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A4" w:rsidRPr="002B4D22" w:rsidRDefault="009B10A4" w:rsidP="00534DFC">
      <w:pPr>
        <w:spacing w:after="120" w:line="240" w:lineRule="auto"/>
        <w:ind w:firstLine="567"/>
        <w:jc w:val="right"/>
        <w:rPr>
          <w:rFonts w:ascii="Times New Roman" w:hAnsi="Times New Roman"/>
          <w:sz w:val="24"/>
          <w:szCs w:val="32"/>
        </w:rPr>
      </w:pPr>
    </w:p>
    <w:p w:rsidR="009B10A4" w:rsidRPr="002B4D22" w:rsidRDefault="009B10A4" w:rsidP="00534DFC">
      <w:pPr>
        <w:spacing w:after="120" w:line="240" w:lineRule="auto"/>
        <w:ind w:firstLine="567"/>
        <w:jc w:val="center"/>
        <w:rPr>
          <w:rFonts w:ascii="Times New Roman" w:hAnsi="Times New Roman"/>
          <w:b/>
          <w:sz w:val="12"/>
          <w:szCs w:val="12"/>
        </w:rPr>
      </w:pPr>
    </w:p>
    <w:p w:rsidR="009B10A4" w:rsidRPr="002B4D22" w:rsidRDefault="009B10A4" w:rsidP="00534DFC">
      <w:pPr>
        <w:spacing w:after="120" w:line="240" w:lineRule="auto"/>
        <w:ind w:firstLine="567"/>
        <w:jc w:val="center"/>
        <w:rPr>
          <w:rFonts w:ascii="Times New Roman" w:hAnsi="Times New Roman"/>
          <w:b/>
          <w:sz w:val="12"/>
          <w:szCs w:val="12"/>
        </w:rPr>
      </w:pPr>
    </w:p>
    <w:p w:rsidR="009B10A4" w:rsidRPr="002B4D22" w:rsidRDefault="00111B8B" w:rsidP="00534DFC">
      <w:pPr>
        <w:spacing w:after="120" w:line="240" w:lineRule="auto"/>
        <w:jc w:val="center"/>
        <w:rPr>
          <w:rFonts w:ascii="Times New Roman" w:hAnsi="Times New Roman"/>
          <w:b/>
          <w:sz w:val="28"/>
          <w:szCs w:val="28"/>
        </w:rPr>
      </w:pPr>
      <w:r w:rsidRPr="002B4D22">
        <w:rPr>
          <w:rFonts w:ascii="Times New Roman" w:hAnsi="Times New Roman"/>
          <w:b/>
          <w:sz w:val="28"/>
          <w:szCs w:val="28"/>
        </w:rPr>
        <w:t>Informatīvais z</w:t>
      </w:r>
      <w:r w:rsidR="009B10A4" w:rsidRPr="002B4D22">
        <w:rPr>
          <w:rFonts w:ascii="Times New Roman" w:hAnsi="Times New Roman"/>
          <w:b/>
          <w:sz w:val="28"/>
          <w:szCs w:val="28"/>
        </w:rPr>
        <w:t>iņojums</w:t>
      </w:r>
    </w:p>
    <w:p w:rsidR="009B10A4" w:rsidRPr="002B4D22" w:rsidRDefault="009B10A4" w:rsidP="00534DFC">
      <w:pPr>
        <w:spacing w:after="120" w:line="240" w:lineRule="auto"/>
        <w:jc w:val="center"/>
        <w:rPr>
          <w:rFonts w:ascii="Times New Roman" w:hAnsi="Times New Roman"/>
          <w:b/>
          <w:sz w:val="28"/>
          <w:szCs w:val="28"/>
        </w:rPr>
      </w:pPr>
      <w:r w:rsidRPr="002B4D22">
        <w:rPr>
          <w:rFonts w:ascii="Times New Roman" w:hAnsi="Times New Roman"/>
          <w:b/>
          <w:sz w:val="28"/>
          <w:szCs w:val="28"/>
        </w:rPr>
        <w:t>par Imigrācijas likuma 23.panta pirmās daļas 3., 28., 29.</w:t>
      </w:r>
      <w:r w:rsidR="00B47F1D">
        <w:rPr>
          <w:rFonts w:ascii="Times New Roman" w:hAnsi="Times New Roman"/>
          <w:b/>
          <w:sz w:val="28"/>
          <w:szCs w:val="28"/>
        </w:rPr>
        <w:t>,</w:t>
      </w:r>
      <w:r w:rsidRPr="002B4D22">
        <w:rPr>
          <w:rFonts w:ascii="Times New Roman" w:hAnsi="Times New Roman"/>
          <w:b/>
          <w:sz w:val="28"/>
          <w:szCs w:val="28"/>
        </w:rPr>
        <w:t xml:space="preserve"> 30.</w:t>
      </w:r>
      <w:r w:rsidR="00B47F1D">
        <w:rPr>
          <w:rFonts w:ascii="Times New Roman" w:hAnsi="Times New Roman"/>
          <w:b/>
          <w:sz w:val="28"/>
          <w:szCs w:val="28"/>
        </w:rPr>
        <w:t xml:space="preserve"> un 31.</w:t>
      </w:r>
      <w:r w:rsidRPr="002B4D22">
        <w:rPr>
          <w:rFonts w:ascii="Times New Roman" w:hAnsi="Times New Roman"/>
          <w:b/>
          <w:sz w:val="28"/>
          <w:szCs w:val="28"/>
        </w:rPr>
        <w:t xml:space="preserve">punktā </w:t>
      </w:r>
    </w:p>
    <w:p w:rsidR="009B10A4" w:rsidRPr="002B4D22" w:rsidRDefault="009B10A4" w:rsidP="00534DFC">
      <w:pPr>
        <w:spacing w:after="120" w:line="240" w:lineRule="auto"/>
        <w:jc w:val="center"/>
        <w:rPr>
          <w:rFonts w:ascii="Times New Roman" w:hAnsi="Times New Roman"/>
          <w:b/>
          <w:sz w:val="28"/>
          <w:szCs w:val="28"/>
        </w:rPr>
      </w:pPr>
      <w:r w:rsidRPr="002B4D22">
        <w:rPr>
          <w:rFonts w:ascii="Times New Roman" w:hAnsi="Times New Roman"/>
          <w:b/>
          <w:sz w:val="28"/>
          <w:szCs w:val="28"/>
        </w:rPr>
        <w:t>paredzēto noteikumu īstenošanas gaitu un rezultātiem</w:t>
      </w:r>
    </w:p>
    <w:p w:rsidR="009B10A4" w:rsidRPr="002B4D22" w:rsidRDefault="009B10A4" w:rsidP="00534DFC">
      <w:pPr>
        <w:spacing w:after="120" w:line="240" w:lineRule="auto"/>
        <w:ind w:firstLine="567"/>
        <w:jc w:val="both"/>
        <w:rPr>
          <w:rFonts w:ascii="Times New Roman" w:hAnsi="Times New Roman"/>
          <w:b/>
          <w:sz w:val="32"/>
          <w:szCs w:val="32"/>
        </w:rPr>
      </w:pPr>
    </w:p>
    <w:p w:rsidR="009B10A4" w:rsidRPr="002B4D22" w:rsidRDefault="009B10A4" w:rsidP="00534DFC">
      <w:pPr>
        <w:spacing w:after="120" w:line="240" w:lineRule="auto"/>
        <w:rPr>
          <w:rFonts w:ascii="Times New Roman" w:hAnsi="Times New Roman"/>
          <w:b/>
          <w:sz w:val="26"/>
          <w:szCs w:val="26"/>
        </w:rPr>
      </w:pPr>
    </w:p>
    <w:p w:rsidR="009B10A4" w:rsidRPr="002B4D22" w:rsidRDefault="009B10A4" w:rsidP="00534DFC">
      <w:pPr>
        <w:spacing w:after="120" w:line="240" w:lineRule="auto"/>
        <w:rPr>
          <w:rFonts w:ascii="Times New Roman" w:hAnsi="Times New Roman"/>
          <w:b/>
          <w:sz w:val="28"/>
          <w:szCs w:val="26"/>
        </w:rPr>
      </w:pPr>
      <w:r w:rsidRPr="002B4D22">
        <w:rPr>
          <w:rFonts w:ascii="Times New Roman" w:hAnsi="Times New Roman"/>
          <w:b/>
          <w:sz w:val="28"/>
          <w:szCs w:val="26"/>
        </w:rPr>
        <w:t>Ievads</w:t>
      </w:r>
    </w:p>
    <w:p w:rsidR="00F443DB" w:rsidRPr="002B4D22" w:rsidRDefault="00F443DB" w:rsidP="00534DFC">
      <w:pPr>
        <w:spacing w:after="120" w:line="240" w:lineRule="auto"/>
        <w:rPr>
          <w:rFonts w:ascii="Times New Roman" w:hAnsi="Times New Roman"/>
          <w:b/>
          <w:sz w:val="28"/>
          <w:szCs w:val="26"/>
        </w:rPr>
      </w:pPr>
    </w:p>
    <w:p w:rsidR="009B10A4" w:rsidRPr="002B4D22" w:rsidRDefault="0096019D" w:rsidP="00534DFC">
      <w:pPr>
        <w:spacing w:after="120" w:line="240" w:lineRule="auto"/>
        <w:ind w:firstLine="567"/>
        <w:jc w:val="both"/>
        <w:rPr>
          <w:rFonts w:ascii="Times New Roman" w:hAnsi="Times New Roman"/>
          <w:sz w:val="26"/>
          <w:szCs w:val="26"/>
        </w:rPr>
      </w:pPr>
      <w:r>
        <w:rPr>
          <w:rFonts w:ascii="Times New Roman" w:hAnsi="Times New Roman"/>
          <w:sz w:val="26"/>
          <w:szCs w:val="26"/>
        </w:rPr>
        <w:t>Informatīvais z</w:t>
      </w:r>
      <w:r w:rsidR="009B10A4" w:rsidRPr="002B4D22">
        <w:rPr>
          <w:rFonts w:ascii="Times New Roman" w:hAnsi="Times New Roman"/>
          <w:sz w:val="26"/>
          <w:szCs w:val="26"/>
        </w:rPr>
        <w:t>iņojums</w:t>
      </w:r>
      <w:r w:rsidR="00E71E8C" w:rsidRPr="002B4D22">
        <w:rPr>
          <w:rFonts w:ascii="Times New Roman" w:hAnsi="Times New Roman"/>
          <w:sz w:val="26"/>
          <w:szCs w:val="26"/>
        </w:rPr>
        <w:t xml:space="preserve"> </w:t>
      </w:r>
      <w:r>
        <w:rPr>
          <w:rFonts w:ascii="Times New Roman" w:hAnsi="Times New Roman"/>
          <w:sz w:val="26"/>
          <w:szCs w:val="26"/>
        </w:rPr>
        <w:t xml:space="preserve">(turpmāk – ziņojums) </w:t>
      </w:r>
      <w:r w:rsidR="00E71E8C" w:rsidRPr="002B4D22">
        <w:rPr>
          <w:rFonts w:ascii="Times New Roman" w:hAnsi="Times New Roman"/>
          <w:sz w:val="26"/>
          <w:szCs w:val="26"/>
        </w:rPr>
        <w:t xml:space="preserve">ietver </w:t>
      </w:r>
      <w:r w:rsidR="002B224D" w:rsidRPr="002B4D22">
        <w:rPr>
          <w:rFonts w:ascii="Times New Roman" w:hAnsi="Times New Roman"/>
          <w:sz w:val="26"/>
          <w:szCs w:val="26"/>
        </w:rPr>
        <w:t>1</w:t>
      </w:r>
      <w:r w:rsidR="00D1667A">
        <w:rPr>
          <w:rFonts w:ascii="Times New Roman" w:hAnsi="Times New Roman"/>
          <w:sz w:val="26"/>
          <w:szCs w:val="26"/>
        </w:rPr>
        <w:t>1</w:t>
      </w:r>
      <w:r w:rsidR="009B10A4" w:rsidRPr="002B4D22">
        <w:rPr>
          <w:rFonts w:ascii="Times New Roman" w:hAnsi="Times New Roman"/>
          <w:sz w:val="26"/>
          <w:szCs w:val="26"/>
        </w:rPr>
        <w:t xml:space="preserve"> nodaļas, kā arī secinājumus. Ziņojumā aplūkota termiņuzturēšanās atļauju (turpmāk – TUA) piešķiršanas dinamika</w:t>
      </w:r>
      <w:r w:rsidR="0016277F">
        <w:rPr>
          <w:rFonts w:ascii="Times New Roman" w:hAnsi="Times New Roman"/>
          <w:sz w:val="26"/>
          <w:szCs w:val="26"/>
        </w:rPr>
        <w:t xml:space="preserve"> un</w:t>
      </w:r>
      <w:r w:rsidR="009B10A4" w:rsidRPr="002B4D22">
        <w:rPr>
          <w:rFonts w:ascii="Times New Roman" w:hAnsi="Times New Roman"/>
          <w:sz w:val="26"/>
          <w:szCs w:val="26"/>
        </w:rPr>
        <w:t xml:space="preserve"> ar </w:t>
      </w:r>
      <w:r w:rsidR="001E24AB" w:rsidRPr="002B4D22">
        <w:rPr>
          <w:rFonts w:ascii="Times New Roman" w:hAnsi="Times New Roman"/>
          <w:sz w:val="26"/>
          <w:szCs w:val="26"/>
        </w:rPr>
        <w:t>TUA</w:t>
      </w:r>
      <w:r w:rsidR="009B10A4" w:rsidRPr="002B4D22">
        <w:rPr>
          <w:rFonts w:ascii="Times New Roman" w:hAnsi="Times New Roman"/>
          <w:sz w:val="26"/>
          <w:szCs w:val="26"/>
        </w:rPr>
        <w:t xml:space="preserve"> saistīto ārvalstu investīciju loma kopējā ārvalstu investīciju ieplūdē, kā arī ārvalstu investoru sadalījums pēc valstiskās piederības</w:t>
      </w:r>
      <w:r w:rsidR="0016277F">
        <w:rPr>
          <w:rFonts w:ascii="Times New Roman" w:hAnsi="Times New Roman"/>
          <w:sz w:val="26"/>
          <w:szCs w:val="26"/>
        </w:rPr>
        <w:t>, sevišķu uzmanību pievērošot pēdējam ziņojuma pārskata periodam no 2014.gada 1.jūlija līdz 2015.gada 30.jūnijam</w:t>
      </w:r>
      <w:r w:rsidR="009B10A4" w:rsidRPr="002B4D22">
        <w:rPr>
          <w:rFonts w:ascii="Times New Roman" w:hAnsi="Times New Roman"/>
          <w:sz w:val="26"/>
          <w:szCs w:val="26"/>
        </w:rPr>
        <w:t>. Detalizēti analizēts katrs no TUA saņemšanas veidiem – investīcijas nekustamajos īpašumos, finanšu investīcijas kredītiestādē un ieguldījumi kapitālsabiedrību pamatkapitālā. Ziņojumā sniegts attiecīgo Imigrācijas likuma normu ietekmes izvērtējums uz tautsaimniecības reālo sektoru, finanšu sektoru, valsts budžetu un sabiedrības attīstību</w:t>
      </w:r>
      <w:r w:rsidR="0016277F">
        <w:rPr>
          <w:rFonts w:ascii="Times New Roman" w:hAnsi="Times New Roman"/>
          <w:sz w:val="26"/>
          <w:szCs w:val="26"/>
        </w:rPr>
        <w:t xml:space="preserve"> kopumā</w:t>
      </w:r>
      <w:r w:rsidR="009B10A4" w:rsidRPr="002B4D22">
        <w:rPr>
          <w:rFonts w:ascii="Times New Roman" w:hAnsi="Times New Roman"/>
          <w:sz w:val="26"/>
          <w:szCs w:val="26"/>
        </w:rPr>
        <w:t>.</w:t>
      </w:r>
    </w:p>
    <w:p w:rsidR="009B10A4" w:rsidRPr="002B4D22" w:rsidRDefault="009B10A4" w:rsidP="00534DFC">
      <w:pPr>
        <w:spacing w:after="120" w:line="240" w:lineRule="auto"/>
        <w:ind w:firstLine="567"/>
        <w:jc w:val="both"/>
        <w:rPr>
          <w:rFonts w:ascii="Times New Roman" w:hAnsi="Times New Roman"/>
          <w:sz w:val="26"/>
          <w:szCs w:val="26"/>
        </w:rPr>
      </w:pPr>
      <w:r w:rsidRPr="002B4D22">
        <w:rPr>
          <w:rFonts w:ascii="Times New Roman" w:hAnsi="Times New Roman"/>
          <w:sz w:val="26"/>
          <w:szCs w:val="26"/>
        </w:rPr>
        <w:t>Ziņojuma sagatavošanā izmantoti Latvijas Republikas Centrālās statistikas pārvaldes, Latvijas Bankas maksājumu bilances, Finanšu un kapitāla tirgus komisijas, Pilsonības un migrācijas lietu pārvaldes, Valsts ieņēmumu dienesta, Valsts zemes dienesta</w:t>
      </w:r>
      <w:r w:rsidR="001E24AB" w:rsidRPr="002B4D22">
        <w:rPr>
          <w:rFonts w:ascii="Times New Roman" w:hAnsi="Times New Roman"/>
          <w:sz w:val="26"/>
          <w:szCs w:val="26"/>
        </w:rPr>
        <w:t>, Valsts vienotās datorizētās zemesgrāmatas</w:t>
      </w:r>
      <w:r w:rsidRPr="002B4D22">
        <w:rPr>
          <w:rFonts w:ascii="Times New Roman" w:hAnsi="Times New Roman"/>
          <w:sz w:val="26"/>
          <w:szCs w:val="26"/>
        </w:rPr>
        <w:t xml:space="preserve"> un </w:t>
      </w:r>
      <w:r w:rsidR="00B65637">
        <w:rPr>
          <w:rFonts w:ascii="Times New Roman" w:hAnsi="Times New Roman"/>
          <w:sz w:val="26"/>
          <w:szCs w:val="26"/>
        </w:rPr>
        <w:t>LURSOFT</w:t>
      </w:r>
      <w:r w:rsidRPr="002B4D22">
        <w:rPr>
          <w:rFonts w:ascii="Times New Roman" w:hAnsi="Times New Roman"/>
          <w:sz w:val="26"/>
          <w:szCs w:val="26"/>
        </w:rPr>
        <w:t xml:space="preserve"> datu bāzes dati, kā arī pašvaldību</w:t>
      </w:r>
      <w:r w:rsidR="00D80BB6" w:rsidRPr="002B4D22">
        <w:rPr>
          <w:rFonts w:ascii="Times New Roman" w:hAnsi="Times New Roman"/>
          <w:sz w:val="26"/>
          <w:szCs w:val="26"/>
        </w:rPr>
        <w:t>,</w:t>
      </w:r>
      <w:r w:rsidRPr="002B4D22">
        <w:rPr>
          <w:rFonts w:ascii="Times New Roman" w:hAnsi="Times New Roman"/>
          <w:sz w:val="26"/>
          <w:szCs w:val="26"/>
        </w:rPr>
        <w:t xml:space="preserve"> Latvijas nekustamo īpašumu darīju</w:t>
      </w:r>
      <w:r w:rsidR="00FA74FC">
        <w:rPr>
          <w:rFonts w:ascii="Times New Roman" w:hAnsi="Times New Roman"/>
          <w:sz w:val="26"/>
          <w:szCs w:val="26"/>
        </w:rPr>
        <w:t>mu asociācijas un SIA “</w:t>
      </w:r>
      <w:r w:rsidRPr="002B4D22">
        <w:rPr>
          <w:rFonts w:ascii="Times New Roman" w:hAnsi="Times New Roman"/>
          <w:sz w:val="26"/>
          <w:szCs w:val="26"/>
        </w:rPr>
        <w:t>Latio”</w:t>
      </w:r>
      <w:r w:rsidR="001E24AB" w:rsidRPr="002B4D22">
        <w:rPr>
          <w:rFonts w:ascii="Times New Roman" w:hAnsi="Times New Roman"/>
          <w:sz w:val="26"/>
          <w:szCs w:val="26"/>
        </w:rPr>
        <w:t>, SIA “</w:t>
      </w:r>
      <w:proofErr w:type="spellStart"/>
      <w:r w:rsidR="001E24AB" w:rsidRPr="002B4D22">
        <w:rPr>
          <w:rFonts w:ascii="Times New Roman" w:hAnsi="Times New Roman"/>
          <w:sz w:val="26"/>
          <w:szCs w:val="26"/>
        </w:rPr>
        <w:t>Ober-haus”</w:t>
      </w:r>
      <w:proofErr w:type="spellEnd"/>
      <w:r w:rsidRPr="002B4D22">
        <w:rPr>
          <w:rFonts w:ascii="Times New Roman" w:hAnsi="Times New Roman"/>
          <w:sz w:val="26"/>
          <w:szCs w:val="26"/>
        </w:rPr>
        <w:t xml:space="preserve"> sniegtā informācija.</w:t>
      </w:r>
    </w:p>
    <w:p w:rsidR="00327CF1" w:rsidRPr="002B4D22" w:rsidRDefault="009B10A4" w:rsidP="00534DFC">
      <w:pPr>
        <w:tabs>
          <w:tab w:val="left" w:pos="6804"/>
        </w:tabs>
        <w:spacing w:after="120" w:line="240" w:lineRule="auto"/>
        <w:ind w:firstLine="567"/>
        <w:jc w:val="both"/>
        <w:rPr>
          <w:rFonts w:ascii="Times New Roman" w:hAnsi="Times New Roman"/>
          <w:sz w:val="26"/>
          <w:szCs w:val="26"/>
        </w:rPr>
      </w:pPr>
      <w:r w:rsidRPr="002B4D22">
        <w:rPr>
          <w:rFonts w:ascii="Times New Roman" w:hAnsi="Times New Roman"/>
          <w:sz w:val="26"/>
          <w:szCs w:val="26"/>
        </w:rPr>
        <w:t xml:space="preserve">Ziņojumam ir </w:t>
      </w:r>
      <w:r w:rsidR="003E34F5">
        <w:rPr>
          <w:rFonts w:ascii="Times New Roman" w:hAnsi="Times New Roman"/>
          <w:sz w:val="26"/>
          <w:szCs w:val="26"/>
        </w:rPr>
        <w:t>septiņi</w:t>
      </w:r>
      <w:r w:rsidRPr="002B4D22">
        <w:rPr>
          <w:rFonts w:ascii="Times New Roman" w:hAnsi="Times New Roman"/>
          <w:sz w:val="26"/>
          <w:szCs w:val="26"/>
        </w:rPr>
        <w:t xml:space="preserve"> pielikumi </w:t>
      </w:r>
      <w:r w:rsidRPr="002B4D22">
        <w:rPr>
          <w:rFonts w:ascii="Times New Roman" w:hAnsi="Times New Roman"/>
          <w:color w:val="000000"/>
          <w:sz w:val="26"/>
          <w:szCs w:val="26"/>
        </w:rPr>
        <w:t xml:space="preserve">– </w:t>
      </w:r>
      <w:r w:rsidRPr="002B4D22">
        <w:rPr>
          <w:rFonts w:ascii="Times New Roman" w:hAnsi="Times New Roman"/>
          <w:sz w:val="26"/>
          <w:szCs w:val="26"/>
        </w:rPr>
        <w:t>1) Kopsavilkums par investor</w:t>
      </w:r>
      <w:r w:rsidR="0006339E" w:rsidRPr="002B4D22">
        <w:rPr>
          <w:rFonts w:ascii="Times New Roman" w:hAnsi="Times New Roman"/>
          <w:sz w:val="26"/>
          <w:szCs w:val="26"/>
        </w:rPr>
        <w:t xml:space="preserve">u </w:t>
      </w:r>
      <w:r w:rsidRPr="002B4D22">
        <w:rPr>
          <w:rFonts w:ascii="Times New Roman" w:hAnsi="Times New Roman"/>
          <w:sz w:val="26"/>
          <w:szCs w:val="26"/>
        </w:rPr>
        <w:t>un viņu ģimenes loce</w:t>
      </w:r>
      <w:r w:rsidR="0006339E" w:rsidRPr="002B4D22">
        <w:rPr>
          <w:rFonts w:ascii="Times New Roman" w:hAnsi="Times New Roman"/>
          <w:sz w:val="26"/>
          <w:szCs w:val="26"/>
        </w:rPr>
        <w:t>kļu</w:t>
      </w:r>
      <w:r w:rsidRPr="002B4D22">
        <w:rPr>
          <w:rFonts w:ascii="Times New Roman" w:hAnsi="Times New Roman"/>
          <w:sz w:val="26"/>
          <w:szCs w:val="26"/>
        </w:rPr>
        <w:t xml:space="preserve"> TUA un veiktajām investīcijām; </w:t>
      </w:r>
      <w:r w:rsidR="0006339E" w:rsidRPr="002B4D22">
        <w:rPr>
          <w:rFonts w:ascii="Times New Roman" w:hAnsi="Times New Roman"/>
          <w:sz w:val="26"/>
          <w:szCs w:val="26"/>
        </w:rPr>
        <w:t>2</w:t>
      </w:r>
      <w:r w:rsidRPr="002B4D22">
        <w:rPr>
          <w:rFonts w:ascii="Times New Roman" w:hAnsi="Times New Roman"/>
          <w:sz w:val="26"/>
          <w:szCs w:val="26"/>
        </w:rPr>
        <w:t xml:space="preserve">) Informācija par investoru un viņu ģimenes locekļu pilsonības valstīm; </w:t>
      </w:r>
      <w:r w:rsidR="0015127C" w:rsidRPr="002B4D22">
        <w:rPr>
          <w:rFonts w:ascii="Times New Roman" w:hAnsi="Times New Roman"/>
          <w:sz w:val="26"/>
          <w:szCs w:val="26"/>
        </w:rPr>
        <w:t>3</w:t>
      </w:r>
      <w:r w:rsidRPr="002B4D22">
        <w:rPr>
          <w:rFonts w:ascii="Times New Roman" w:hAnsi="Times New Roman"/>
          <w:sz w:val="26"/>
          <w:szCs w:val="26"/>
        </w:rPr>
        <w:t>) Pilsonības un migrācijas</w:t>
      </w:r>
      <w:r w:rsidRPr="002B4D22">
        <w:rPr>
          <w:rFonts w:ascii="Times New Roman" w:hAnsi="Times New Roman"/>
          <w:color w:val="000000"/>
          <w:sz w:val="26"/>
          <w:szCs w:val="26"/>
        </w:rPr>
        <w:t xml:space="preserve"> lietu pārvaldē saņemtais investoru </w:t>
      </w:r>
      <w:r w:rsidR="002D7CE6">
        <w:rPr>
          <w:rFonts w:ascii="Times New Roman" w:hAnsi="Times New Roman"/>
          <w:color w:val="000000"/>
          <w:sz w:val="26"/>
          <w:szCs w:val="26"/>
        </w:rPr>
        <w:t xml:space="preserve">uzturēšanās atļauju </w:t>
      </w:r>
      <w:r w:rsidRPr="002B4D22">
        <w:rPr>
          <w:rFonts w:ascii="Times New Roman" w:hAnsi="Times New Roman"/>
          <w:color w:val="000000"/>
          <w:sz w:val="26"/>
          <w:szCs w:val="26"/>
        </w:rPr>
        <w:t xml:space="preserve">pieteikumu skaits pa mēnešiem; </w:t>
      </w:r>
      <w:r w:rsidR="00F443DB" w:rsidRPr="002B4D22">
        <w:rPr>
          <w:rFonts w:ascii="Times New Roman" w:hAnsi="Times New Roman"/>
          <w:color w:val="000000"/>
          <w:sz w:val="26"/>
          <w:szCs w:val="26"/>
        </w:rPr>
        <w:t xml:space="preserve">4) </w:t>
      </w:r>
      <w:r w:rsidR="00F443DB" w:rsidRPr="002B4D22">
        <w:rPr>
          <w:rFonts w:ascii="Times New Roman" w:hAnsi="Times New Roman"/>
          <w:sz w:val="26"/>
          <w:szCs w:val="26"/>
        </w:rPr>
        <w:t xml:space="preserve">TUA pieteicēju iegādāto nekustamo īpašumu atrašanās vieta un </w:t>
      </w:r>
      <w:r w:rsidR="002D7CE6">
        <w:rPr>
          <w:rFonts w:ascii="Times New Roman" w:hAnsi="Times New Roman"/>
          <w:sz w:val="26"/>
          <w:szCs w:val="26"/>
        </w:rPr>
        <w:t xml:space="preserve">vidējā </w:t>
      </w:r>
      <w:r w:rsidR="00F443DB" w:rsidRPr="002B4D22">
        <w:rPr>
          <w:rFonts w:ascii="Times New Roman" w:hAnsi="Times New Roman"/>
          <w:sz w:val="26"/>
          <w:szCs w:val="26"/>
        </w:rPr>
        <w:t>vērtība; 5</w:t>
      </w:r>
      <w:r w:rsidRPr="002B4D22">
        <w:rPr>
          <w:rFonts w:ascii="Times New Roman" w:hAnsi="Times New Roman"/>
          <w:color w:val="000000"/>
          <w:sz w:val="26"/>
          <w:szCs w:val="26"/>
        </w:rPr>
        <w:t>) Valsts zemes dienesta informācija „</w:t>
      </w:r>
      <w:r w:rsidRPr="002B4D22">
        <w:rPr>
          <w:rFonts w:ascii="Times New Roman" w:hAnsi="Times New Roman"/>
          <w:i/>
          <w:color w:val="000000"/>
          <w:sz w:val="26"/>
          <w:szCs w:val="26"/>
        </w:rPr>
        <w:t xml:space="preserve">Valsts zemes dienesta viedoklis par Imigrācijas likuma 23.panta pirmās daļas 29.punktā noteiktās iespējas </w:t>
      </w:r>
      <w:r w:rsidR="0015127C" w:rsidRPr="002B4D22">
        <w:rPr>
          <w:rFonts w:ascii="Times New Roman" w:hAnsi="Times New Roman"/>
          <w:i/>
          <w:color w:val="000000"/>
          <w:sz w:val="26"/>
          <w:szCs w:val="26"/>
        </w:rPr>
        <w:t>saņemt termiņuzturēšanās atļauju</w:t>
      </w:r>
      <w:r w:rsidRPr="002B4D22">
        <w:rPr>
          <w:rFonts w:ascii="Times New Roman" w:hAnsi="Times New Roman"/>
          <w:i/>
          <w:color w:val="000000"/>
          <w:sz w:val="26"/>
          <w:szCs w:val="26"/>
        </w:rPr>
        <w:t xml:space="preserve"> ietekmi uz kopējo valsts un attiecīgo pašvaldību nekustamā īpašuma tirgu”</w:t>
      </w:r>
      <w:r w:rsidRPr="002B4D22">
        <w:rPr>
          <w:rFonts w:ascii="Times New Roman" w:hAnsi="Times New Roman"/>
          <w:color w:val="000000"/>
          <w:sz w:val="26"/>
          <w:szCs w:val="26"/>
        </w:rPr>
        <w:t xml:space="preserve">; </w:t>
      </w:r>
      <w:r w:rsidR="00F443DB" w:rsidRPr="002B4D22">
        <w:rPr>
          <w:rFonts w:ascii="Times New Roman" w:hAnsi="Times New Roman"/>
          <w:color w:val="000000"/>
          <w:sz w:val="26"/>
          <w:szCs w:val="26"/>
        </w:rPr>
        <w:t>6</w:t>
      </w:r>
      <w:r w:rsidRPr="002B4D22">
        <w:rPr>
          <w:rFonts w:ascii="Times New Roman" w:hAnsi="Times New Roman"/>
          <w:color w:val="000000"/>
          <w:sz w:val="26"/>
          <w:szCs w:val="26"/>
        </w:rPr>
        <w:t xml:space="preserve">) Pašvaldību </w:t>
      </w:r>
      <w:r w:rsidR="002D7CE6">
        <w:rPr>
          <w:rFonts w:ascii="Times New Roman" w:hAnsi="Times New Roman"/>
          <w:color w:val="000000"/>
          <w:sz w:val="26"/>
          <w:szCs w:val="26"/>
        </w:rPr>
        <w:t>viedoklis</w:t>
      </w:r>
      <w:r w:rsidRPr="002B4D22">
        <w:rPr>
          <w:rFonts w:ascii="Times New Roman" w:hAnsi="Times New Roman"/>
          <w:color w:val="000000"/>
          <w:sz w:val="26"/>
          <w:szCs w:val="26"/>
        </w:rPr>
        <w:t xml:space="preserve"> par TUA pieteicēju ietekmi uz pašvaldību saistībā ar nekustamā īpašum</w:t>
      </w:r>
      <w:r w:rsidR="002D7CE6">
        <w:rPr>
          <w:rFonts w:ascii="Times New Roman" w:hAnsi="Times New Roman"/>
          <w:color w:val="000000"/>
          <w:sz w:val="26"/>
          <w:szCs w:val="26"/>
        </w:rPr>
        <w:t>a</w:t>
      </w:r>
      <w:r w:rsidRPr="002B4D22">
        <w:rPr>
          <w:rFonts w:ascii="Times New Roman" w:hAnsi="Times New Roman"/>
          <w:color w:val="000000"/>
          <w:sz w:val="26"/>
          <w:szCs w:val="26"/>
        </w:rPr>
        <w:t xml:space="preserve"> darījumiem</w:t>
      </w:r>
      <w:r w:rsidR="002D7CE6">
        <w:rPr>
          <w:rFonts w:ascii="Times New Roman" w:hAnsi="Times New Roman"/>
          <w:color w:val="000000"/>
          <w:sz w:val="26"/>
          <w:szCs w:val="26"/>
        </w:rPr>
        <w:t xml:space="preserve">; 7) </w:t>
      </w:r>
      <w:r w:rsidR="008B47C3">
        <w:rPr>
          <w:rFonts w:ascii="Times New Roman" w:hAnsi="Times New Roman"/>
          <w:color w:val="000000"/>
          <w:sz w:val="26"/>
          <w:szCs w:val="26"/>
        </w:rPr>
        <w:t>Informācija par ar investīciju programmu saistītajiem grozījumiem Imigrācijas likuma 23.pantā</w:t>
      </w:r>
      <w:r w:rsidR="00327CF1" w:rsidRPr="002B4D22">
        <w:rPr>
          <w:rFonts w:ascii="Times New Roman" w:hAnsi="Times New Roman"/>
          <w:sz w:val="26"/>
          <w:szCs w:val="26"/>
        </w:rPr>
        <w:t>.</w:t>
      </w:r>
    </w:p>
    <w:p w:rsidR="009B10A4" w:rsidRPr="002B4D22" w:rsidRDefault="009B10A4" w:rsidP="00534DFC">
      <w:pPr>
        <w:spacing w:after="120" w:line="240" w:lineRule="auto"/>
        <w:ind w:firstLine="567"/>
        <w:jc w:val="both"/>
        <w:rPr>
          <w:rFonts w:ascii="Times New Roman" w:hAnsi="Times New Roman"/>
          <w:color w:val="000000"/>
          <w:sz w:val="28"/>
          <w:szCs w:val="28"/>
        </w:rPr>
      </w:pPr>
    </w:p>
    <w:p w:rsidR="009B10A4" w:rsidRPr="00794A72" w:rsidRDefault="009B10A4" w:rsidP="00534DFC">
      <w:pPr>
        <w:spacing w:after="120" w:line="240" w:lineRule="auto"/>
        <w:rPr>
          <w:rFonts w:ascii="Times New Roman" w:hAnsi="Times New Roman"/>
          <w:b/>
          <w:bCs/>
          <w:sz w:val="28"/>
          <w:szCs w:val="28"/>
        </w:rPr>
      </w:pPr>
      <w:r w:rsidRPr="002B4D22">
        <w:rPr>
          <w:rFonts w:ascii="Times New Roman" w:hAnsi="Times New Roman"/>
          <w:sz w:val="26"/>
          <w:szCs w:val="26"/>
        </w:rPr>
        <w:br w:type="page"/>
      </w:r>
      <w:r w:rsidRPr="00794A72">
        <w:rPr>
          <w:rFonts w:ascii="Times New Roman" w:hAnsi="Times New Roman"/>
          <w:b/>
          <w:bCs/>
          <w:sz w:val="28"/>
          <w:szCs w:val="28"/>
        </w:rPr>
        <w:lastRenderedPageBreak/>
        <w:t>Saturs</w:t>
      </w:r>
    </w:p>
    <w:p w:rsidR="009B10A4" w:rsidRPr="00794A72" w:rsidRDefault="009B10A4" w:rsidP="00534DFC">
      <w:pPr>
        <w:spacing w:after="120" w:line="240" w:lineRule="auto"/>
        <w:jc w:val="center"/>
        <w:rPr>
          <w:rFonts w:ascii="Times New Roman" w:hAnsi="Times New Roman"/>
          <w:sz w:val="26"/>
          <w:szCs w:val="26"/>
        </w:rPr>
      </w:pPr>
    </w:p>
    <w:p w:rsidR="008B47C3" w:rsidRDefault="00106E98">
      <w:pPr>
        <w:pStyle w:val="TOC1"/>
        <w:rPr>
          <w:rFonts w:asciiTheme="minorHAnsi" w:eastAsiaTheme="minorEastAsia" w:hAnsiTheme="minorHAnsi" w:cstheme="minorBidi"/>
          <w:b w:val="0"/>
          <w:szCs w:val="22"/>
          <w:lang w:eastAsia="lv-LV"/>
        </w:rPr>
      </w:pPr>
      <w:r w:rsidRPr="00106E98">
        <w:rPr>
          <w:rFonts w:eastAsia="SimSun"/>
          <w:b w:val="0"/>
          <w:noProof w:val="0"/>
          <w:sz w:val="26"/>
          <w:szCs w:val="26"/>
        </w:rPr>
        <w:fldChar w:fldCharType="begin"/>
      </w:r>
      <w:r w:rsidR="009B10A4" w:rsidRPr="0037556B">
        <w:rPr>
          <w:rFonts w:eastAsia="SimSun"/>
          <w:b w:val="0"/>
          <w:noProof w:val="0"/>
          <w:sz w:val="26"/>
          <w:szCs w:val="26"/>
        </w:rPr>
        <w:instrText xml:space="preserve"> TOC \o "1-1" \h \z \u </w:instrText>
      </w:r>
      <w:r w:rsidRPr="00106E98">
        <w:rPr>
          <w:rFonts w:eastAsia="SimSun"/>
          <w:b w:val="0"/>
          <w:noProof w:val="0"/>
          <w:sz w:val="26"/>
          <w:szCs w:val="26"/>
        </w:rPr>
        <w:fldChar w:fldCharType="separate"/>
      </w:r>
      <w:hyperlink w:anchor="_Toc429659159" w:history="1">
        <w:r w:rsidR="008B47C3" w:rsidRPr="006E754C">
          <w:rPr>
            <w:rStyle w:val="Hyperlink"/>
          </w:rPr>
          <w:t>Saīsinājumi</w:t>
        </w:r>
        <w:r w:rsidR="008B47C3">
          <w:rPr>
            <w:webHidden/>
          </w:rPr>
          <w:tab/>
        </w:r>
        <w:r>
          <w:rPr>
            <w:webHidden/>
          </w:rPr>
          <w:fldChar w:fldCharType="begin"/>
        </w:r>
        <w:r w:rsidR="008B47C3">
          <w:rPr>
            <w:webHidden/>
          </w:rPr>
          <w:instrText xml:space="preserve"> PAGEREF _Toc429659159 \h </w:instrText>
        </w:r>
        <w:r>
          <w:rPr>
            <w:webHidden/>
          </w:rPr>
        </w:r>
        <w:r>
          <w:rPr>
            <w:webHidden/>
          </w:rPr>
          <w:fldChar w:fldCharType="separate"/>
        </w:r>
        <w:r w:rsidR="008B47C3">
          <w:rPr>
            <w:webHidden/>
          </w:rPr>
          <w:t>3</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0" w:history="1">
        <w:r w:rsidR="008B47C3" w:rsidRPr="006E754C">
          <w:rPr>
            <w:rStyle w:val="Hyperlink"/>
          </w:rPr>
          <w:t>Kopsavilkums</w:t>
        </w:r>
        <w:r w:rsidR="008B47C3">
          <w:rPr>
            <w:webHidden/>
          </w:rPr>
          <w:tab/>
        </w:r>
        <w:r>
          <w:rPr>
            <w:webHidden/>
          </w:rPr>
          <w:fldChar w:fldCharType="begin"/>
        </w:r>
        <w:r w:rsidR="008B47C3">
          <w:rPr>
            <w:webHidden/>
          </w:rPr>
          <w:instrText xml:space="preserve"> PAGEREF _Toc429659160 \h </w:instrText>
        </w:r>
        <w:r>
          <w:rPr>
            <w:webHidden/>
          </w:rPr>
        </w:r>
        <w:r>
          <w:rPr>
            <w:webHidden/>
          </w:rPr>
          <w:fldChar w:fldCharType="separate"/>
        </w:r>
        <w:r w:rsidR="008B47C3">
          <w:rPr>
            <w:webHidden/>
          </w:rPr>
          <w:t>4</w:t>
        </w:r>
        <w:r>
          <w:rPr>
            <w:webHidden/>
          </w:rPr>
          <w:fldChar w:fldCharType="end"/>
        </w:r>
      </w:hyperlink>
    </w:p>
    <w:p w:rsidR="008B47C3" w:rsidRDefault="00106E98">
      <w:pPr>
        <w:pStyle w:val="TOC1"/>
        <w:tabs>
          <w:tab w:val="left" w:pos="440"/>
        </w:tabs>
        <w:rPr>
          <w:rFonts w:asciiTheme="minorHAnsi" w:eastAsiaTheme="minorEastAsia" w:hAnsiTheme="minorHAnsi" w:cstheme="minorBidi"/>
          <w:b w:val="0"/>
          <w:szCs w:val="22"/>
          <w:lang w:eastAsia="lv-LV"/>
        </w:rPr>
      </w:pPr>
      <w:hyperlink w:anchor="_Toc429659161" w:history="1">
        <w:r w:rsidR="008B47C3" w:rsidRPr="006E754C">
          <w:rPr>
            <w:rStyle w:val="Hyperlink"/>
          </w:rPr>
          <w:t>1.</w:t>
        </w:r>
        <w:r w:rsidR="008B47C3">
          <w:rPr>
            <w:rFonts w:asciiTheme="minorHAnsi" w:eastAsiaTheme="minorEastAsia" w:hAnsiTheme="minorHAnsi" w:cstheme="minorBidi"/>
            <w:b w:val="0"/>
            <w:szCs w:val="22"/>
            <w:lang w:eastAsia="lv-LV"/>
          </w:rPr>
          <w:tab/>
        </w:r>
        <w:r w:rsidR="008B47C3" w:rsidRPr="006E754C">
          <w:rPr>
            <w:rStyle w:val="Hyperlink"/>
          </w:rPr>
          <w:t>Termiņuzturēšanās atļauju piešķiršanas dinamika 2004.-2015.gadā</w:t>
        </w:r>
        <w:r w:rsidR="008B47C3">
          <w:rPr>
            <w:webHidden/>
          </w:rPr>
          <w:tab/>
        </w:r>
        <w:r>
          <w:rPr>
            <w:webHidden/>
          </w:rPr>
          <w:fldChar w:fldCharType="begin"/>
        </w:r>
        <w:r w:rsidR="008B47C3">
          <w:rPr>
            <w:webHidden/>
          </w:rPr>
          <w:instrText xml:space="preserve"> PAGEREF _Toc429659161 \h </w:instrText>
        </w:r>
        <w:r>
          <w:rPr>
            <w:webHidden/>
          </w:rPr>
        </w:r>
        <w:r>
          <w:rPr>
            <w:webHidden/>
          </w:rPr>
          <w:fldChar w:fldCharType="separate"/>
        </w:r>
        <w:r w:rsidR="008B47C3">
          <w:rPr>
            <w:webHidden/>
          </w:rPr>
          <w:t>8</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2" w:history="1">
        <w:r w:rsidR="008B47C3" w:rsidRPr="006E754C">
          <w:rPr>
            <w:rStyle w:val="Hyperlink"/>
          </w:rPr>
          <w:t>2. Ārvalstu investīcijas saistībā ar termiņuzturēšanās atļaujām</w:t>
        </w:r>
        <w:r w:rsidR="008B47C3">
          <w:rPr>
            <w:webHidden/>
          </w:rPr>
          <w:tab/>
        </w:r>
        <w:r>
          <w:rPr>
            <w:webHidden/>
          </w:rPr>
          <w:fldChar w:fldCharType="begin"/>
        </w:r>
        <w:r w:rsidR="008B47C3">
          <w:rPr>
            <w:webHidden/>
          </w:rPr>
          <w:instrText xml:space="preserve"> PAGEREF _Toc429659162 \h </w:instrText>
        </w:r>
        <w:r>
          <w:rPr>
            <w:webHidden/>
          </w:rPr>
        </w:r>
        <w:r>
          <w:rPr>
            <w:webHidden/>
          </w:rPr>
          <w:fldChar w:fldCharType="separate"/>
        </w:r>
        <w:r w:rsidR="008B47C3">
          <w:rPr>
            <w:webHidden/>
          </w:rPr>
          <w:t>9</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3" w:history="1">
        <w:r w:rsidR="008B47C3" w:rsidRPr="006E754C">
          <w:rPr>
            <w:rStyle w:val="Hyperlink"/>
          </w:rPr>
          <w:t>3. Ārvalstu investoru valstiskā piederība</w:t>
        </w:r>
        <w:r w:rsidR="008B47C3">
          <w:rPr>
            <w:webHidden/>
          </w:rPr>
          <w:tab/>
        </w:r>
        <w:r>
          <w:rPr>
            <w:webHidden/>
          </w:rPr>
          <w:fldChar w:fldCharType="begin"/>
        </w:r>
        <w:r w:rsidR="008B47C3">
          <w:rPr>
            <w:webHidden/>
          </w:rPr>
          <w:instrText xml:space="preserve"> PAGEREF _Toc429659163 \h </w:instrText>
        </w:r>
        <w:r>
          <w:rPr>
            <w:webHidden/>
          </w:rPr>
        </w:r>
        <w:r>
          <w:rPr>
            <w:webHidden/>
          </w:rPr>
          <w:fldChar w:fldCharType="separate"/>
        </w:r>
        <w:r w:rsidR="008B47C3">
          <w:rPr>
            <w:webHidden/>
          </w:rPr>
          <w:t>12</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4" w:history="1">
        <w:r w:rsidR="008B47C3" w:rsidRPr="006E754C">
          <w:rPr>
            <w:rStyle w:val="Hyperlink"/>
          </w:rPr>
          <w:t>4. Investīcijas nekustamajos īpašumos</w:t>
        </w:r>
        <w:r w:rsidR="008B47C3">
          <w:rPr>
            <w:webHidden/>
          </w:rPr>
          <w:tab/>
        </w:r>
        <w:r>
          <w:rPr>
            <w:webHidden/>
          </w:rPr>
          <w:fldChar w:fldCharType="begin"/>
        </w:r>
        <w:r w:rsidR="008B47C3">
          <w:rPr>
            <w:webHidden/>
          </w:rPr>
          <w:instrText xml:space="preserve"> PAGEREF _Toc429659164 \h </w:instrText>
        </w:r>
        <w:r>
          <w:rPr>
            <w:webHidden/>
          </w:rPr>
        </w:r>
        <w:r>
          <w:rPr>
            <w:webHidden/>
          </w:rPr>
          <w:fldChar w:fldCharType="separate"/>
        </w:r>
        <w:r w:rsidR="008B47C3">
          <w:rPr>
            <w:webHidden/>
          </w:rPr>
          <w:t>13</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5" w:history="1">
        <w:r w:rsidR="008B47C3" w:rsidRPr="006E754C">
          <w:rPr>
            <w:rStyle w:val="Hyperlink"/>
          </w:rPr>
          <w:t>5. Finanšu investīcijas kredītiestādē</w:t>
        </w:r>
        <w:r w:rsidR="008B47C3">
          <w:rPr>
            <w:webHidden/>
          </w:rPr>
          <w:tab/>
        </w:r>
        <w:r>
          <w:rPr>
            <w:webHidden/>
          </w:rPr>
          <w:fldChar w:fldCharType="begin"/>
        </w:r>
        <w:r w:rsidR="008B47C3">
          <w:rPr>
            <w:webHidden/>
          </w:rPr>
          <w:instrText xml:space="preserve"> PAGEREF _Toc429659165 \h </w:instrText>
        </w:r>
        <w:r>
          <w:rPr>
            <w:webHidden/>
          </w:rPr>
        </w:r>
        <w:r>
          <w:rPr>
            <w:webHidden/>
          </w:rPr>
          <w:fldChar w:fldCharType="separate"/>
        </w:r>
        <w:r w:rsidR="008B47C3">
          <w:rPr>
            <w:webHidden/>
          </w:rPr>
          <w:t>20</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6" w:history="1">
        <w:r w:rsidR="008B47C3" w:rsidRPr="006E754C">
          <w:rPr>
            <w:rStyle w:val="Hyperlink"/>
          </w:rPr>
          <w:t>6. Ieguldījumi kapitālsabiedrību pamatkapitālā un valdes locekļi</w:t>
        </w:r>
        <w:r w:rsidR="008B47C3">
          <w:rPr>
            <w:webHidden/>
          </w:rPr>
          <w:tab/>
        </w:r>
        <w:r>
          <w:rPr>
            <w:webHidden/>
          </w:rPr>
          <w:fldChar w:fldCharType="begin"/>
        </w:r>
        <w:r w:rsidR="008B47C3">
          <w:rPr>
            <w:webHidden/>
          </w:rPr>
          <w:instrText xml:space="preserve"> PAGEREF _Toc429659166 \h </w:instrText>
        </w:r>
        <w:r>
          <w:rPr>
            <w:webHidden/>
          </w:rPr>
        </w:r>
        <w:r>
          <w:rPr>
            <w:webHidden/>
          </w:rPr>
          <w:fldChar w:fldCharType="separate"/>
        </w:r>
        <w:r w:rsidR="008B47C3">
          <w:rPr>
            <w:webHidden/>
          </w:rPr>
          <w:t>22</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7" w:history="1">
        <w:r w:rsidR="008B47C3" w:rsidRPr="006E754C">
          <w:rPr>
            <w:rStyle w:val="Hyperlink"/>
          </w:rPr>
          <w:t>7. Ieguldījumi valsts vērtspapīros</w:t>
        </w:r>
        <w:r w:rsidR="008B47C3">
          <w:rPr>
            <w:webHidden/>
          </w:rPr>
          <w:tab/>
        </w:r>
        <w:r>
          <w:rPr>
            <w:webHidden/>
          </w:rPr>
          <w:fldChar w:fldCharType="begin"/>
        </w:r>
        <w:r w:rsidR="008B47C3">
          <w:rPr>
            <w:webHidden/>
          </w:rPr>
          <w:instrText xml:space="preserve"> PAGEREF _Toc429659167 \h </w:instrText>
        </w:r>
        <w:r>
          <w:rPr>
            <w:webHidden/>
          </w:rPr>
        </w:r>
        <w:r>
          <w:rPr>
            <w:webHidden/>
          </w:rPr>
          <w:fldChar w:fldCharType="separate"/>
        </w:r>
        <w:r w:rsidR="008B47C3">
          <w:rPr>
            <w:webHidden/>
          </w:rPr>
          <w:t>27</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8" w:history="1">
        <w:r w:rsidR="008B47C3" w:rsidRPr="006E754C">
          <w:rPr>
            <w:rStyle w:val="Hyperlink"/>
          </w:rPr>
          <w:t>8. Ietekme uz tautsaimniecības reālo sektoru</w:t>
        </w:r>
        <w:r w:rsidR="008B47C3">
          <w:rPr>
            <w:webHidden/>
          </w:rPr>
          <w:tab/>
        </w:r>
        <w:r>
          <w:rPr>
            <w:webHidden/>
          </w:rPr>
          <w:fldChar w:fldCharType="begin"/>
        </w:r>
        <w:r w:rsidR="008B47C3">
          <w:rPr>
            <w:webHidden/>
          </w:rPr>
          <w:instrText xml:space="preserve"> PAGEREF _Toc429659168 \h </w:instrText>
        </w:r>
        <w:r>
          <w:rPr>
            <w:webHidden/>
          </w:rPr>
        </w:r>
        <w:r>
          <w:rPr>
            <w:webHidden/>
          </w:rPr>
          <w:fldChar w:fldCharType="separate"/>
        </w:r>
        <w:r w:rsidR="008B47C3">
          <w:rPr>
            <w:webHidden/>
          </w:rPr>
          <w:t>28</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69" w:history="1">
        <w:r w:rsidR="008B47C3" w:rsidRPr="006E754C">
          <w:rPr>
            <w:rStyle w:val="Hyperlink"/>
          </w:rPr>
          <w:t>9. Ietekme uz finanšu sektoru</w:t>
        </w:r>
        <w:r w:rsidR="008B47C3">
          <w:rPr>
            <w:webHidden/>
          </w:rPr>
          <w:tab/>
        </w:r>
        <w:r>
          <w:rPr>
            <w:webHidden/>
          </w:rPr>
          <w:fldChar w:fldCharType="begin"/>
        </w:r>
        <w:r w:rsidR="008B47C3">
          <w:rPr>
            <w:webHidden/>
          </w:rPr>
          <w:instrText xml:space="preserve"> PAGEREF _Toc429659169 \h </w:instrText>
        </w:r>
        <w:r>
          <w:rPr>
            <w:webHidden/>
          </w:rPr>
        </w:r>
        <w:r>
          <w:rPr>
            <w:webHidden/>
          </w:rPr>
          <w:fldChar w:fldCharType="separate"/>
        </w:r>
        <w:r w:rsidR="008B47C3">
          <w:rPr>
            <w:webHidden/>
          </w:rPr>
          <w:t>29</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70" w:history="1">
        <w:r w:rsidR="008B47C3" w:rsidRPr="006E754C">
          <w:rPr>
            <w:rStyle w:val="Hyperlink"/>
          </w:rPr>
          <w:t>10. Ietekme uz valsts un pašvaldību budžetiem</w:t>
        </w:r>
        <w:r w:rsidR="008B47C3">
          <w:rPr>
            <w:webHidden/>
          </w:rPr>
          <w:tab/>
        </w:r>
        <w:r>
          <w:rPr>
            <w:webHidden/>
          </w:rPr>
          <w:fldChar w:fldCharType="begin"/>
        </w:r>
        <w:r w:rsidR="008B47C3">
          <w:rPr>
            <w:webHidden/>
          </w:rPr>
          <w:instrText xml:space="preserve"> PAGEREF _Toc429659170 \h </w:instrText>
        </w:r>
        <w:r>
          <w:rPr>
            <w:webHidden/>
          </w:rPr>
        </w:r>
        <w:r>
          <w:rPr>
            <w:webHidden/>
          </w:rPr>
          <w:fldChar w:fldCharType="separate"/>
        </w:r>
        <w:r w:rsidR="008B47C3">
          <w:rPr>
            <w:webHidden/>
          </w:rPr>
          <w:t>31</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71" w:history="1">
        <w:r w:rsidR="008B47C3" w:rsidRPr="006E754C">
          <w:rPr>
            <w:rStyle w:val="Hyperlink"/>
          </w:rPr>
          <w:t>11. Ietekme uz sabiedrību</w:t>
        </w:r>
        <w:r w:rsidR="008B47C3">
          <w:rPr>
            <w:webHidden/>
          </w:rPr>
          <w:tab/>
        </w:r>
        <w:r>
          <w:rPr>
            <w:webHidden/>
          </w:rPr>
          <w:fldChar w:fldCharType="begin"/>
        </w:r>
        <w:r w:rsidR="008B47C3">
          <w:rPr>
            <w:webHidden/>
          </w:rPr>
          <w:instrText xml:space="preserve"> PAGEREF _Toc429659171 \h </w:instrText>
        </w:r>
        <w:r>
          <w:rPr>
            <w:webHidden/>
          </w:rPr>
        </w:r>
        <w:r>
          <w:rPr>
            <w:webHidden/>
          </w:rPr>
          <w:fldChar w:fldCharType="separate"/>
        </w:r>
        <w:r w:rsidR="008B47C3">
          <w:rPr>
            <w:webHidden/>
          </w:rPr>
          <w:t>33</w:t>
        </w:r>
        <w:r>
          <w:rPr>
            <w:webHidden/>
          </w:rPr>
          <w:fldChar w:fldCharType="end"/>
        </w:r>
      </w:hyperlink>
    </w:p>
    <w:p w:rsidR="008B47C3" w:rsidRDefault="00106E98">
      <w:pPr>
        <w:pStyle w:val="TOC1"/>
        <w:rPr>
          <w:rFonts w:asciiTheme="minorHAnsi" w:eastAsiaTheme="minorEastAsia" w:hAnsiTheme="minorHAnsi" w:cstheme="minorBidi"/>
          <w:b w:val="0"/>
          <w:szCs w:val="22"/>
          <w:lang w:eastAsia="lv-LV"/>
        </w:rPr>
      </w:pPr>
      <w:hyperlink w:anchor="_Toc429659172" w:history="1">
        <w:r w:rsidR="008B47C3" w:rsidRPr="006E754C">
          <w:rPr>
            <w:rStyle w:val="Hyperlink"/>
          </w:rPr>
          <w:t>Secinājumi</w:t>
        </w:r>
        <w:r w:rsidR="008B47C3">
          <w:rPr>
            <w:webHidden/>
          </w:rPr>
          <w:tab/>
        </w:r>
        <w:r>
          <w:rPr>
            <w:webHidden/>
          </w:rPr>
          <w:fldChar w:fldCharType="begin"/>
        </w:r>
        <w:r w:rsidR="008B47C3">
          <w:rPr>
            <w:webHidden/>
          </w:rPr>
          <w:instrText xml:space="preserve"> PAGEREF _Toc429659172 \h </w:instrText>
        </w:r>
        <w:r>
          <w:rPr>
            <w:webHidden/>
          </w:rPr>
        </w:r>
        <w:r>
          <w:rPr>
            <w:webHidden/>
          </w:rPr>
          <w:fldChar w:fldCharType="separate"/>
        </w:r>
        <w:r w:rsidR="008B47C3">
          <w:rPr>
            <w:webHidden/>
          </w:rPr>
          <w:t>37</w:t>
        </w:r>
        <w:r>
          <w:rPr>
            <w:webHidden/>
          </w:rPr>
          <w:fldChar w:fldCharType="end"/>
        </w:r>
      </w:hyperlink>
    </w:p>
    <w:p w:rsidR="009B10A4" w:rsidRPr="0037556B" w:rsidRDefault="00106E98" w:rsidP="00534DFC">
      <w:pPr>
        <w:pStyle w:val="Heading1"/>
        <w:tabs>
          <w:tab w:val="right" w:leader="dot" w:pos="8789"/>
          <w:tab w:val="right" w:leader="dot" w:pos="8931"/>
          <w:tab w:val="right" w:leader="dot" w:pos="9072"/>
          <w:tab w:val="right" w:leader="dot" w:pos="9356"/>
        </w:tabs>
        <w:spacing w:before="0" w:after="120" w:line="240" w:lineRule="auto"/>
        <w:ind w:left="1134"/>
        <w:rPr>
          <w:rFonts w:ascii="Times New Roman" w:hAnsi="Times New Roman"/>
          <w:b w:val="0"/>
          <w:color w:val="auto"/>
          <w:sz w:val="26"/>
          <w:szCs w:val="26"/>
        </w:rPr>
      </w:pPr>
      <w:r w:rsidRPr="0037556B">
        <w:rPr>
          <w:rFonts w:ascii="Times New Roman" w:hAnsi="Times New Roman"/>
          <w:b w:val="0"/>
          <w:sz w:val="26"/>
          <w:szCs w:val="26"/>
        </w:rPr>
        <w:fldChar w:fldCharType="end"/>
      </w:r>
    </w:p>
    <w:p w:rsidR="009B10A4" w:rsidRPr="002B4D22" w:rsidRDefault="009B10A4" w:rsidP="00534DFC">
      <w:pPr>
        <w:spacing w:after="120" w:line="240" w:lineRule="auto"/>
        <w:rPr>
          <w:rFonts w:ascii="Times New Roman" w:hAnsi="Times New Roman"/>
        </w:rPr>
      </w:pPr>
    </w:p>
    <w:p w:rsidR="009B10A4" w:rsidRPr="002B4D22" w:rsidRDefault="009B10A4" w:rsidP="00534DFC">
      <w:pPr>
        <w:spacing w:after="120" w:line="240" w:lineRule="auto"/>
        <w:rPr>
          <w:rFonts w:ascii="Times New Roman" w:hAnsi="Times New Roman"/>
        </w:rPr>
      </w:pPr>
      <w:bookmarkStart w:id="0" w:name="_Toc216077028"/>
      <w:bookmarkStart w:id="1" w:name="_Toc216077732"/>
      <w:bookmarkStart w:id="2" w:name="_Toc216077836"/>
      <w:bookmarkStart w:id="3" w:name="_Toc216077916"/>
      <w:bookmarkStart w:id="4" w:name="_Toc216078658"/>
      <w:bookmarkStart w:id="5" w:name="_Toc216079262"/>
      <w:bookmarkStart w:id="6" w:name="_Toc216079505"/>
      <w:bookmarkStart w:id="7" w:name="_Toc216079573"/>
      <w:bookmarkStart w:id="8" w:name="_Toc216079635"/>
      <w:bookmarkStart w:id="9" w:name="_Toc216079691"/>
      <w:bookmarkStart w:id="10" w:name="_Toc216079747"/>
      <w:bookmarkStart w:id="11" w:name="_Toc216079803"/>
      <w:bookmarkStart w:id="12" w:name="_Toc216080160"/>
      <w:bookmarkStart w:id="13" w:name="_Toc216083814"/>
    </w:p>
    <w:p w:rsidR="000E3AB7" w:rsidRPr="002B4D22" w:rsidRDefault="000E3AB7">
      <w:pPr>
        <w:spacing w:after="0" w:line="240" w:lineRule="auto"/>
        <w:rPr>
          <w:rFonts w:ascii="Times New Roman" w:eastAsia="SimSun" w:hAnsi="Times New Roman"/>
          <w:b/>
          <w:bCs/>
          <w:sz w:val="28"/>
          <w:szCs w:val="28"/>
          <w:lang w:eastAsia="lv-LV"/>
        </w:rPr>
      </w:pPr>
      <w:r w:rsidRPr="002B4D22">
        <w:rPr>
          <w:rFonts w:ascii="Times New Roman" w:hAnsi="Times New Roman"/>
        </w:rPr>
        <w:br w:type="page"/>
      </w:r>
      <w:bookmarkStart w:id="14" w:name="_GoBack"/>
      <w:bookmarkEnd w:id="14"/>
    </w:p>
    <w:p w:rsidR="009B10A4" w:rsidRPr="002B4D22" w:rsidRDefault="009B10A4" w:rsidP="00534DFC">
      <w:pPr>
        <w:pStyle w:val="Heading1"/>
        <w:spacing w:before="0" w:after="120" w:line="240" w:lineRule="auto"/>
        <w:jc w:val="center"/>
        <w:rPr>
          <w:rFonts w:ascii="Times New Roman" w:hAnsi="Times New Roman"/>
          <w:color w:val="auto"/>
        </w:rPr>
      </w:pPr>
      <w:bookmarkStart w:id="15" w:name="_Toc429659159"/>
      <w:r w:rsidRPr="002B4D22">
        <w:rPr>
          <w:rFonts w:ascii="Times New Roman" w:hAnsi="Times New Roman"/>
          <w:color w:val="auto"/>
        </w:rPr>
        <w:lastRenderedPageBreak/>
        <w:t>Saīsinājumi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5"/>
    </w:p>
    <w:p w:rsidR="009B10A4" w:rsidRPr="00F90F91" w:rsidRDefault="009B10A4" w:rsidP="00534DFC">
      <w:pPr>
        <w:spacing w:after="120" w:line="240" w:lineRule="auto"/>
        <w:jc w:val="center"/>
        <w:rPr>
          <w:rFonts w:ascii="Times New Roman" w:hAnsi="Times New Roman"/>
          <w:sz w:val="26"/>
          <w:szCs w:val="26"/>
        </w:rPr>
      </w:pPr>
    </w:p>
    <w:tbl>
      <w:tblPr>
        <w:tblW w:w="0" w:type="auto"/>
        <w:tblLayout w:type="fixed"/>
        <w:tblCellMar>
          <w:left w:w="107" w:type="dxa"/>
          <w:right w:w="107" w:type="dxa"/>
        </w:tblCellMar>
        <w:tblLook w:val="0000"/>
      </w:tblPr>
      <w:tblGrid>
        <w:gridCol w:w="1468"/>
        <w:gridCol w:w="7599"/>
      </w:tblGrid>
      <w:tr w:rsidR="009B10A4" w:rsidRPr="00F90F91" w:rsidTr="0069064B">
        <w:tc>
          <w:tcPr>
            <w:tcW w:w="1468"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ĀTI</w:t>
            </w:r>
          </w:p>
        </w:tc>
        <w:tc>
          <w:tcPr>
            <w:tcW w:w="7599"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Ārvalstu tiešās investīcijas</w:t>
            </w:r>
          </w:p>
        </w:tc>
      </w:tr>
      <w:tr w:rsidR="009B10A4" w:rsidRPr="00F90F91" w:rsidTr="0069064B">
        <w:tc>
          <w:tcPr>
            <w:tcW w:w="1468"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FKTK</w:t>
            </w:r>
          </w:p>
        </w:tc>
        <w:tc>
          <w:tcPr>
            <w:tcW w:w="7599"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Finanšu un kapitāla tirgus komisija</w:t>
            </w:r>
          </w:p>
        </w:tc>
      </w:tr>
      <w:tr w:rsidR="009B10A4" w:rsidRPr="00F90F91" w:rsidTr="0069064B">
        <w:tc>
          <w:tcPr>
            <w:tcW w:w="1468"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IKP</w:t>
            </w:r>
          </w:p>
        </w:tc>
        <w:tc>
          <w:tcPr>
            <w:tcW w:w="7599"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Iekšzemes kopprodukts</w:t>
            </w:r>
          </w:p>
        </w:tc>
      </w:tr>
      <w:tr w:rsidR="009B10A4" w:rsidRPr="00F90F91" w:rsidTr="0069064B">
        <w:tc>
          <w:tcPr>
            <w:tcW w:w="1468" w:type="dxa"/>
          </w:tcPr>
          <w:p w:rsidR="004449B2"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LANĪDA</w:t>
            </w:r>
          </w:p>
          <w:p w:rsidR="007B4F15" w:rsidRPr="00F90F91" w:rsidRDefault="007B4F15" w:rsidP="00534DFC">
            <w:pPr>
              <w:spacing w:after="120" w:line="240" w:lineRule="auto"/>
              <w:rPr>
                <w:rFonts w:ascii="Times New Roman" w:hAnsi="Times New Roman"/>
                <w:sz w:val="26"/>
                <w:szCs w:val="26"/>
              </w:rPr>
            </w:pPr>
            <w:r w:rsidRPr="00F90F91">
              <w:rPr>
                <w:rFonts w:ascii="Times New Roman" w:hAnsi="Times New Roman"/>
                <w:sz w:val="26"/>
                <w:szCs w:val="26"/>
                <w:lang w:eastAsia="lv-LV"/>
              </w:rPr>
              <w:t>LURSOFT</w:t>
            </w:r>
          </w:p>
          <w:p w:rsidR="000658D5" w:rsidRPr="00F90F91" w:rsidRDefault="000658D5" w:rsidP="00534DFC">
            <w:pPr>
              <w:spacing w:after="120" w:line="240" w:lineRule="auto"/>
              <w:rPr>
                <w:rFonts w:ascii="Times New Roman" w:hAnsi="Times New Roman"/>
                <w:sz w:val="26"/>
                <w:szCs w:val="26"/>
              </w:rPr>
            </w:pPr>
            <w:r w:rsidRPr="00F90F91">
              <w:rPr>
                <w:rFonts w:ascii="Times New Roman" w:hAnsi="Times New Roman"/>
                <w:sz w:val="26"/>
                <w:szCs w:val="26"/>
              </w:rPr>
              <w:t>NĪ</w:t>
            </w:r>
          </w:p>
          <w:p w:rsidR="009B10A4" w:rsidRPr="00F90F91" w:rsidRDefault="004449B2" w:rsidP="00534DFC">
            <w:pPr>
              <w:spacing w:after="120" w:line="240" w:lineRule="auto"/>
              <w:rPr>
                <w:rFonts w:ascii="Times New Roman" w:hAnsi="Times New Roman"/>
                <w:sz w:val="26"/>
                <w:szCs w:val="26"/>
              </w:rPr>
            </w:pPr>
            <w:r w:rsidRPr="00F90F91">
              <w:rPr>
                <w:rFonts w:ascii="Times New Roman" w:hAnsi="Times New Roman"/>
                <w:sz w:val="26"/>
                <w:szCs w:val="26"/>
              </w:rPr>
              <w:t>NVA</w:t>
            </w:r>
            <w:r w:rsidR="00F44A2C" w:rsidRPr="00F90F91">
              <w:rPr>
                <w:rFonts w:ascii="Times New Roman" w:hAnsi="Times New Roman"/>
                <w:sz w:val="26"/>
                <w:szCs w:val="26"/>
              </w:rPr>
              <w:t xml:space="preserve"> </w:t>
            </w:r>
          </w:p>
        </w:tc>
        <w:tc>
          <w:tcPr>
            <w:tcW w:w="7599" w:type="dxa"/>
          </w:tcPr>
          <w:p w:rsidR="004449B2" w:rsidRPr="00F90F91" w:rsidRDefault="009B10A4" w:rsidP="00BB583E">
            <w:pPr>
              <w:spacing w:after="120" w:line="240" w:lineRule="auto"/>
              <w:rPr>
                <w:rFonts w:ascii="Times New Roman" w:hAnsi="Times New Roman"/>
                <w:sz w:val="26"/>
                <w:szCs w:val="26"/>
              </w:rPr>
            </w:pPr>
            <w:r w:rsidRPr="00F90F91">
              <w:rPr>
                <w:rFonts w:ascii="Times New Roman" w:hAnsi="Times New Roman"/>
                <w:sz w:val="26"/>
                <w:szCs w:val="26"/>
              </w:rPr>
              <w:t xml:space="preserve">Latvijas nekustamo īpašumu darījumu asociācija </w:t>
            </w:r>
          </w:p>
          <w:p w:rsidR="007B4F15" w:rsidRPr="00F90F91" w:rsidRDefault="007B4F15" w:rsidP="00BB583E">
            <w:pPr>
              <w:spacing w:after="120" w:line="240" w:lineRule="auto"/>
              <w:rPr>
                <w:rFonts w:ascii="Times New Roman" w:hAnsi="Times New Roman"/>
                <w:sz w:val="26"/>
                <w:szCs w:val="26"/>
                <w:lang w:eastAsia="lv-LV"/>
              </w:rPr>
            </w:pPr>
            <w:r w:rsidRPr="00F90F91">
              <w:rPr>
                <w:rFonts w:ascii="Times New Roman" w:hAnsi="Times New Roman"/>
                <w:sz w:val="26"/>
                <w:szCs w:val="26"/>
                <w:lang w:eastAsia="lv-LV"/>
              </w:rPr>
              <w:t>SIA “Lursoft IT”</w:t>
            </w:r>
          </w:p>
          <w:p w:rsidR="000658D5" w:rsidRPr="00F90F91" w:rsidRDefault="000658D5" w:rsidP="00BB583E">
            <w:pPr>
              <w:spacing w:after="120" w:line="240" w:lineRule="auto"/>
              <w:rPr>
                <w:rFonts w:ascii="Times New Roman" w:hAnsi="Times New Roman"/>
                <w:sz w:val="26"/>
                <w:szCs w:val="26"/>
              </w:rPr>
            </w:pPr>
            <w:r w:rsidRPr="00F90F91">
              <w:rPr>
                <w:rFonts w:ascii="Times New Roman" w:hAnsi="Times New Roman"/>
                <w:sz w:val="26"/>
                <w:szCs w:val="26"/>
              </w:rPr>
              <w:t>Nekustamais īpašums</w:t>
            </w:r>
          </w:p>
          <w:p w:rsidR="00BB583E" w:rsidRPr="00F90F91" w:rsidRDefault="00BB583E" w:rsidP="00BB583E">
            <w:pPr>
              <w:spacing w:after="120" w:line="240" w:lineRule="auto"/>
              <w:rPr>
                <w:rFonts w:ascii="Times New Roman" w:hAnsi="Times New Roman"/>
                <w:i/>
                <w:sz w:val="26"/>
                <w:szCs w:val="26"/>
              </w:rPr>
            </w:pPr>
            <w:r w:rsidRPr="00F90F91">
              <w:rPr>
                <w:rFonts w:ascii="Times New Roman" w:hAnsi="Times New Roman"/>
                <w:sz w:val="26"/>
                <w:szCs w:val="26"/>
              </w:rPr>
              <w:t>Nodarbinātības valsts asociācija</w:t>
            </w:r>
          </w:p>
        </w:tc>
      </w:tr>
      <w:tr w:rsidR="009970BE" w:rsidRPr="00F90F91" w:rsidTr="0069064B">
        <w:tc>
          <w:tcPr>
            <w:tcW w:w="1468" w:type="dxa"/>
          </w:tcPr>
          <w:p w:rsidR="009970BE" w:rsidRPr="00F90F91" w:rsidRDefault="009970BE" w:rsidP="00534DFC">
            <w:pPr>
              <w:spacing w:after="120" w:line="240" w:lineRule="auto"/>
              <w:rPr>
                <w:rFonts w:ascii="Times New Roman" w:hAnsi="Times New Roman"/>
                <w:sz w:val="26"/>
                <w:szCs w:val="26"/>
              </w:rPr>
            </w:pPr>
            <w:r w:rsidRPr="00F90F91">
              <w:rPr>
                <w:rFonts w:ascii="Times New Roman" w:hAnsi="Times New Roman"/>
                <w:sz w:val="26"/>
                <w:szCs w:val="26"/>
              </w:rPr>
              <w:t>PSRS</w:t>
            </w:r>
          </w:p>
        </w:tc>
        <w:tc>
          <w:tcPr>
            <w:tcW w:w="7599" w:type="dxa"/>
          </w:tcPr>
          <w:p w:rsidR="009970BE" w:rsidRPr="00F90F91" w:rsidRDefault="009970BE" w:rsidP="009970BE">
            <w:pPr>
              <w:spacing w:after="120" w:line="240" w:lineRule="auto"/>
              <w:rPr>
                <w:rFonts w:ascii="Times New Roman" w:hAnsi="Times New Roman"/>
                <w:sz w:val="26"/>
                <w:szCs w:val="26"/>
              </w:rPr>
            </w:pPr>
            <w:r w:rsidRPr="00F90F91">
              <w:rPr>
                <w:rFonts w:ascii="Times New Roman" w:hAnsi="Times New Roman"/>
                <w:sz w:val="26"/>
                <w:szCs w:val="26"/>
              </w:rPr>
              <w:t>Padomju Sociālistisko Republiku savienība</w:t>
            </w:r>
          </w:p>
        </w:tc>
      </w:tr>
      <w:tr w:rsidR="009B10A4" w:rsidRPr="00F90F91" w:rsidTr="0069064B">
        <w:tc>
          <w:tcPr>
            <w:tcW w:w="1468" w:type="dxa"/>
          </w:tcPr>
          <w:p w:rsidR="00E31AE1" w:rsidRPr="00F90F91" w:rsidRDefault="009B10A4" w:rsidP="00942B81">
            <w:pPr>
              <w:spacing w:after="120" w:line="240" w:lineRule="auto"/>
              <w:rPr>
                <w:rFonts w:ascii="Times New Roman" w:hAnsi="Times New Roman"/>
                <w:sz w:val="26"/>
                <w:szCs w:val="26"/>
              </w:rPr>
            </w:pPr>
            <w:r w:rsidRPr="00F90F91">
              <w:rPr>
                <w:rFonts w:ascii="Times New Roman" w:hAnsi="Times New Roman"/>
                <w:sz w:val="26"/>
                <w:szCs w:val="26"/>
              </w:rPr>
              <w:t>PMLP</w:t>
            </w:r>
          </w:p>
        </w:tc>
        <w:tc>
          <w:tcPr>
            <w:tcW w:w="7599" w:type="dxa"/>
          </w:tcPr>
          <w:p w:rsidR="00E31AE1" w:rsidRPr="00F90F91" w:rsidRDefault="009B10A4" w:rsidP="00942B81">
            <w:pPr>
              <w:spacing w:after="120" w:line="240" w:lineRule="auto"/>
              <w:rPr>
                <w:rFonts w:ascii="Times New Roman" w:hAnsi="Times New Roman"/>
                <w:sz w:val="26"/>
                <w:szCs w:val="26"/>
              </w:rPr>
            </w:pPr>
            <w:r w:rsidRPr="00F90F91">
              <w:rPr>
                <w:rFonts w:ascii="Times New Roman" w:hAnsi="Times New Roman"/>
                <w:sz w:val="26"/>
                <w:szCs w:val="26"/>
              </w:rPr>
              <w:t>Pilsonības</w:t>
            </w:r>
            <w:r w:rsidR="00874066" w:rsidRPr="00F90F91">
              <w:rPr>
                <w:rFonts w:ascii="Times New Roman" w:hAnsi="Times New Roman"/>
                <w:sz w:val="26"/>
                <w:szCs w:val="26"/>
              </w:rPr>
              <w:t xml:space="preserve"> un</w:t>
            </w:r>
            <w:r w:rsidRPr="00F90F91">
              <w:rPr>
                <w:rFonts w:ascii="Times New Roman" w:hAnsi="Times New Roman"/>
                <w:sz w:val="26"/>
                <w:szCs w:val="26"/>
              </w:rPr>
              <w:t xml:space="preserve"> migrācijas lietu pārvalde</w:t>
            </w:r>
          </w:p>
        </w:tc>
      </w:tr>
      <w:tr w:rsidR="009B10A4" w:rsidRPr="00F90F91" w:rsidTr="0069064B">
        <w:tc>
          <w:tcPr>
            <w:tcW w:w="1468"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TUA</w:t>
            </w:r>
          </w:p>
        </w:tc>
        <w:tc>
          <w:tcPr>
            <w:tcW w:w="7599"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Termiņuzturēšanās atļauja</w:t>
            </w:r>
          </w:p>
        </w:tc>
      </w:tr>
      <w:tr w:rsidR="009B10A4" w:rsidRPr="00F90F91" w:rsidTr="0069064B">
        <w:tc>
          <w:tcPr>
            <w:tcW w:w="1468" w:type="dxa"/>
          </w:tcPr>
          <w:p w:rsidR="009B10A4" w:rsidRPr="00F90F91" w:rsidRDefault="009B10A4" w:rsidP="00534DFC">
            <w:pPr>
              <w:spacing w:after="120" w:line="240" w:lineRule="auto"/>
              <w:rPr>
                <w:rFonts w:ascii="Times New Roman" w:hAnsi="Times New Roman"/>
                <w:sz w:val="26"/>
                <w:szCs w:val="26"/>
              </w:rPr>
            </w:pPr>
            <w:smartTag w:uri="schemas-tilde-lv/tildestengine" w:element="currency2">
              <w:smartTagPr>
                <w:attr w:name="currency_text" w:val="USD"/>
                <w:attr w:name="currency_value" w:val="1"/>
                <w:attr w:name="currency_key" w:val="USD"/>
                <w:attr w:name="currency_id" w:val="45"/>
              </w:smartTagPr>
              <w:r w:rsidRPr="00F90F91">
                <w:rPr>
                  <w:rFonts w:ascii="Times New Roman" w:hAnsi="Times New Roman"/>
                  <w:sz w:val="26"/>
                  <w:szCs w:val="26"/>
                </w:rPr>
                <w:t>USD</w:t>
              </w:r>
            </w:smartTag>
          </w:p>
        </w:tc>
        <w:tc>
          <w:tcPr>
            <w:tcW w:w="7599"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ASV dolārs</w:t>
            </w:r>
          </w:p>
        </w:tc>
      </w:tr>
      <w:tr w:rsidR="009B10A4" w:rsidRPr="00F90F91" w:rsidTr="0069064B">
        <w:tc>
          <w:tcPr>
            <w:tcW w:w="1468"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VID</w:t>
            </w:r>
          </w:p>
          <w:p w:rsidR="003319C2" w:rsidRPr="00F90F91" w:rsidRDefault="003319C2" w:rsidP="00534DFC">
            <w:pPr>
              <w:spacing w:after="120" w:line="240" w:lineRule="auto"/>
              <w:rPr>
                <w:rFonts w:ascii="Times New Roman" w:hAnsi="Times New Roman"/>
                <w:sz w:val="26"/>
                <w:szCs w:val="26"/>
              </w:rPr>
            </w:pPr>
            <w:r w:rsidRPr="00F90F91">
              <w:rPr>
                <w:rFonts w:ascii="Times New Roman" w:hAnsi="Times New Roman"/>
                <w:sz w:val="26"/>
                <w:szCs w:val="26"/>
              </w:rPr>
              <w:t>LKA</w:t>
            </w:r>
          </w:p>
          <w:p w:rsidR="00B425F0" w:rsidRPr="00F90F91" w:rsidRDefault="00B425F0" w:rsidP="00534DFC">
            <w:pPr>
              <w:spacing w:after="120" w:line="240" w:lineRule="auto"/>
              <w:rPr>
                <w:rFonts w:ascii="Times New Roman" w:hAnsi="Times New Roman"/>
                <w:sz w:val="26"/>
                <w:szCs w:val="26"/>
              </w:rPr>
            </w:pPr>
            <w:r w:rsidRPr="00F90F91">
              <w:rPr>
                <w:rFonts w:ascii="Times New Roman" w:hAnsi="Times New Roman"/>
                <w:sz w:val="26"/>
                <w:szCs w:val="26"/>
              </w:rPr>
              <w:t>VVDZ</w:t>
            </w:r>
          </w:p>
          <w:p w:rsidR="00652890" w:rsidRPr="00F90F91" w:rsidRDefault="00652890" w:rsidP="00534DFC">
            <w:pPr>
              <w:spacing w:after="120" w:line="240" w:lineRule="auto"/>
              <w:rPr>
                <w:rFonts w:ascii="Times New Roman" w:hAnsi="Times New Roman"/>
                <w:sz w:val="26"/>
                <w:szCs w:val="26"/>
              </w:rPr>
            </w:pPr>
            <w:r w:rsidRPr="00F90F91">
              <w:rPr>
                <w:rFonts w:ascii="Times New Roman" w:hAnsi="Times New Roman"/>
                <w:sz w:val="26"/>
                <w:szCs w:val="26"/>
              </w:rPr>
              <w:t>VZD</w:t>
            </w:r>
          </w:p>
        </w:tc>
        <w:tc>
          <w:tcPr>
            <w:tcW w:w="7599" w:type="dxa"/>
          </w:tcPr>
          <w:p w:rsidR="009B10A4" w:rsidRPr="00F90F91" w:rsidRDefault="009B10A4" w:rsidP="00534DFC">
            <w:pPr>
              <w:spacing w:after="120" w:line="240" w:lineRule="auto"/>
              <w:rPr>
                <w:rFonts w:ascii="Times New Roman" w:hAnsi="Times New Roman"/>
                <w:sz w:val="26"/>
                <w:szCs w:val="26"/>
              </w:rPr>
            </w:pPr>
            <w:r w:rsidRPr="00F90F91">
              <w:rPr>
                <w:rFonts w:ascii="Times New Roman" w:hAnsi="Times New Roman"/>
                <w:sz w:val="26"/>
                <w:szCs w:val="26"/>
              </w:rPr>
              <w:t>Valsts ieņēmumu dienests</w:t>
            </w:r>
          </w:p>
          <w:p w:rsidR="003319C2" w:rsidRPr="00F90F91" w:rsidRDefault="003319C2" w:rsidP="00534DFC">
            <w:pPr>
              <w:spacing w:after="120" w:line="240" w:lineRule="auto"/>
              <w:rPr>
                <w:rFonts w:ascii="Times New Roman" w:hAnsi="Times New Roman"/>
                <w:sz w:val="26"/>
                <w:szCs w:val="26"/>
              </w:rPr>
            </w:pPr>
            <w:r w:rsidRPr="00F90F91">
              <w:rPr>
                <w:rFonts w:ascii="Times New Roman" w:hAnsi="Times New Roman"/>
                <w:sz w:val="26"/>
                <w:szCs w:val="26"/>
              </w:rPr>
              <w:t>Latvijas Komercbanku asociācija</w:t>
            </w:r>
          </w:p>
          <w:p w:rsidR="00B425F0" w:rsidRPr="00F90F91" w:rsidRDefault="00B425F0" w:rsidP="00534DFC">
            <w:pPr>
              <w:spacing w:after="120" w:line="240" w:lineRule="auto"/>
              <w:rPr>
                <w:rFonts w:ascii="Times New Roman" w:hAnsi="Times New Roman"/>
                <w:sz w:val="26"/>
                <w:szCs w:val="26"/>
              </w:rPr>
            </w:pPr>
            <w:r w:rsidRPr="00F90F91">
              <w:rPr>
                <w:rFonts w:ascii="Times New Roman" w:hAnsi="Times New Roman"/>
                <w:sz w:val="26"/>
                <w:szCs w:val="26"/>
              </w:rPr>
              <w:t>Valsts vienotā datorizētā zemesgrāmata</w:t>
            </w:r>
          </w:p>
          <w:p w:rsidR="00652890" w:rsidRPr="00F90F91" w:rsidRDefault="00652890" w:rsidP="00652890">
            <w:pPr>
              <w:spacing w:after="120" w:line="240" w:lineRule="auto"/>
              <w:rPr>
                <w:rFonts w:ascii="Times New Roman" w:hAnsi="Times New Roman"/>
                <w:sz w:val="26"/>
                <w:szCs w:val="26"/>
              </w:rPr>
            </w:pPr>
            <w:r w:rsidRPr="00F90F91">
              <w:rPr>
                <w:rFonts w:ascii="Times New Roman" w:hAnsi="Times New Roman"/>
                <w:sz w:val="26"/>
                <w:szCs w:val="26"/>
              </w:rPr>
              <w:t>Valsts zemes dienests</w:t>
            </w:r>
          </w:p>
        </w:tc>
      </w:tr>
      <w:tr w:rsidR="009B10A4" w:rsidRPr="00F90F91" w:rsidTr="0069064B">
        <w:tc>
          <w:tcPr>
            <w:tcW w:w="1468" w:type="dxa"/>
          </w:tcPr>
          <w:p w:rsidR="009B10A4" w:rsidRPr="00F90F91" w:rsidRDefault="009B10A4" w:rsidP="00534DFC">
            <w:pPr>
              <w:spacing w:after="120" w:line="240" w:lineRule="auto"/>
              <w:rPr>
                <w:rFonts w:ascii="Times New Roman" w:hAnsi="Times New Roman"/>
                <w:sz w:val="26"/>
                <w:szCs w:val="26"/>
              </w:rPr>
            </w:pPr>
          </w:p>
        </w:tc>
        <w:tc>
          <w:tcPr>
            <w:tcW w:w="7599" w:type="dxa"/>
          </w:tcPr>
          <w:p w:rsidR="009B10A4" w:rsidRPr="00F90F91" w:rsidRDefault="009B10A4" w:rsidP="00534DFC">
            <w:pPr>
              <w:spacing w:after="120" w:line="240" w:lineRule="auto"/>
              <w:rPr>
                <w:rFonts w:ascii="Times New Roman" w:hAnsi="Times New Roman"/>
                <w:sz w:val="26"/>
                <w:szCs w:val="26"/>
              </w:rPr>
            </w:pPr>
          </w:p>
        </w:tc>
      </w:tr>
    </w:tbl>
    <w:p w:rsidR="009B10A4" w:rsidRPr="002B4D22" w:rsidRDefault="009B10A4" w:rsidP="00534DFC">
      <w:pPr>
        <w:spacing w:after="120" w:line="240" w:lineRule="auto"/>
        <w:rPr>
          <w:rFonts w:ascii="Times New Roman" w:hAnsi="Times New Roman"/>
          <w:sz w:val="24"/>
          <w:szCs w:val="24"/>
        </w:rPr>
      </w:pPr>
    </w:p>
    <w:p w:rsidR="009B10A4" w:rsidRPr="002B4D22" w:rsidRDefault="009B10A4" w:rsidP="00534DFC">
      <w:pPr>
        <w:spacing w:after="120" w:line="240" w:lineRule="auto"/>
        <w:rPr>
          <w:rFonts w:ascii="Times New Roman" w:eastAsia="SimSun" w:hAnsi="Times New Roman"/>
          <w:b/>
          <w:bCs/>
          <w:sz w:val="28"/>
          <w:szCs w:val="28"/>
        </w:rPr>
      </w:pPr>
      <w:bookmarkStart w:id="16" w:name="_Toc340050952"/>
      <w:r w:rsidRPr="002B4D22">
        <w:rPr>
          <w:rFonts w:ascii="Times New Roman" w:hAnsi="Times New Roman"/>
        </w:rPr>
        <w:br w:type="page"/>
      </w:r>
    </w:p>
    <w:p w:rsidR="0016277F" w:rsidRPr="0016277F" w:rsidRDefault="0016277F" w:rsidP="006723DC">
      <w:pPr>
        <w:pStyle w:val="Heading1"/>
        <w:spacing w:before="0" w:after="120" w:line="240" w:lineRule="auto"/>
        <w:rPr>
          <w:rFonts w:ascii="Times New Roman" w:hAnsi="Times New Roman"/>
          <w:color w:val="auto"/>
          <w:sz w:val="26"/>
          <w:szCs w:val="26"/>
        </w:rPr>
      </w:pPr>
      <w:bookmarkStart w:id="17" w:name="_Toc429659160"/>
      <w:r w:rsidRPr="0016277F">
        <w:rPr>
          <w:rFonts w:ascii="Times New Roman" w:hAnsi="Times New Roman"/>
          <w:color w:val="auto"/>
          <w:sz w:val="26"/>
          <w:szCs w:val="26"/>
        </w:rPr>
        <w:lastRenderedPageBreak/>
        <w:t>Kopsavilkums</w:t>
      </w:r>
      <w:bookmarkEnd w:id="17"/>
    </w:p>
    <w:p w:rsidR="008C5AFC" w:rsidRDefault="008C5AFC" w:rsidP="00A23337">
      <w:pPr>
        <w:spacing w:after="0" w:line="240" w:lineRule="auto"/>
        <w:ind w:firstLine="567"/>
        <w:jc w:val="both"/>
        <w:rPr>
          <w:rFonts w:ascii="Times New Roman" w:hAnsi="Times New Roman"/>
          <w:sz w:val="26"/>
          <w:szCs w:val="26"/>
        </w:rPr>
      </w:pPr>
      <w:r w:rsidRPr="002B4D22">
        <w:rPr>
          <w:rFonts w:ascii="Times New Roman" w:hAnsi="Times New Roman"/>
          <w:sz w:val="26"/>
          <w:szCs w:val="26"/>
        </w:rPr>
        <w:t>Imigrācijas likuma 23.panta pi</w:t>
      </w:r>
      <w:r>
        <w:rPr>
          <w:rFonts w:ascii="Times New Roman" w:hAnsi="Times New Roman"/>
          <w:sz w:val="26"/>
          <w:szCs w:val="26"/>
        </w:rPr>
        <w:t>rmās daļas 28., 29.</w:t>
      </w:r>
      <w:r w:rsidR="00B47F1D">
        <w:rPr>
          <w:rFonts w:ascii="Times New Roman" w:hAnsi="Times New Roman"/>
          <w:sz w:val="26"/>
          <w:szCs w:val="26"/>
        </w:rPr>
        <w:t xml:space="preserve">, </w:t>
      </w:r>
      <w:r>
        <w:rPr>
          <w:rFonts w:ascii="Times New Roman" w:hAnsi="Times New Roman"/>
          <w:sz w:val="26"/>
          <w:szCs w:val="26"/>
        </w:rPr>
        <w:t>30.</w:t>
      </w:r>
      <w:r w:rsidR="00B47F1D">
        <w:rPr>
          <w:rFonts w:ascii="Times New Roman" w:hAnsi="Times New Roman"/>
          <w:sz w:val="26"/>
          <w:szCs w:val="26"/>
        </w:rPr>
        <w:t xml:space="preserve"> un 31.</w:t>
      </w:r>
      <w:r>
        <w:rPr>
          <w:rFonts w:ascii="Times New Roman" w:hAnsi="Times New Roman"/>
          <w:sz w:val="26"/>
          <w:szCs w:val="26"/>
        </w:rPr>
        <w:t>punkts paredz</w:t>
      </w:r>
      <w:r w:rsidRPr="002B4D22">
        <w:rPr>
          <w:rFonts w:ascii="Times New Roman" w:hAnsi="Times New Roman"/>
          <w:sz w:val="26"/>
          <w:szCs w:val="26"/>
        </w:rPr>
        <w:t xml:space="preserve"> TUA izsniegšanu gadījumos, kad ārzemnieks veic investīcijas Latvijas tautsaimniecībā (turpmāk –</w:t>
      </w:r>
      <w:r>
        <w:rPr>
          <w:rFonts w:ascii="Times New Roman" w:hAnsi="Times New Roman"/>
          <w:sz w:val="26"/>
          <w:szCs w:val="26"/>
        </w:rPr>
        <w:t xml:space="preserve"> investīciju programma).</w:t>
      </w:r>
    </w:p>
    <w:p w:rsidR="00A23337" w:rsidRDefault="00A23337" w:rsidP="00A23337">
      <w:pPr>
        <w:spacing w:after="0" w:line="240" w:lineRule="auto"/>
        <w:ind w:firstLine="567"/>
        <w:jc w:val="both"/>
        <w:rPr>
          <w:rFonts w:ascii="Times New Roman" w:hAnsi="Times New Roman"/>
          <w:sz w:val="26"/>
          <w:szCs w:val="26"/>
          <w:lang w:eastAsia="lv-LV"/>
        </w:rPr>
      </w:pPr>
      <w:r w:rsidRPr="003903A2">
        <w:rPr>
          <w:rFonts w:ascii="Times New Roman" w:hAnsi="Times New Roman"/>
          <w:sz w:val="26"/>
          <w:szCs w:val="26"/>
        </w:rPr>
        <w:t>No 2010.gada 1.jūlija līdz 2015.gada 30.jūnijam investīciju programm</w:t>
      </w:r>
      <w:r>
        <w:rPr>
          <w:rFonts w:ascii="Times New Roman" w:hAnsi="Times New Roman"/>
          <w:sz w:val="26"/>
          <w:szCs w:val="26"/>
        </w:rPr>
        <w:t>as ietvaros PMLP ir saņēmusi 16 </w:t>
      </w:r>
      <w:r w:rsidRPr="003903A2">
        <w:rPr>
          <w:rFonts w:ascii="Times New Roman" w:hAnsi="Times New Roman"/>
          <w:sz w:val="26"/>
          <w:szCs w:val="26"/>
        </w:rPr>
        <w:t>295 personu, tajā skaitā 6 871 investoru un 9</w:t>
      </w:r>
      <w:r>
        <w:rPr>
          <w:rFonts w:ascii="Times New Roman" w:hAnsi="Times New Roman"/>
          <w:sz w:val="26"/>
          <w:szCs w:val="26"/>
        </w:rPr>
        <w:t> </w:t>
      </w:r>
      <w:r w:rsidRPr="003903A2">
        <w:rPr>
          <w:rFonts w:ascii="Times New Roman" w:hAnsi="Times New Roman"/>
          <w:sz w:val="26"/>
          <w:szCs w:val="26"/>
        </w:rPr>
        <w:t>424 viņu ģimenes locekļu, iesniegumus TUA pieprasīšanai. Šajā laika posmā izsniegtas 15 820 TUA. No visiem pieņemtajiem lēmumiem 98,3% ir bijuši pozitīvi lēmumi. N</w:t>
      </w:r>
      <w:r>
        <w:rPr>
          <w:rFonts w:ascii="Times New Roman" w:hAnsi="Times New Roman"/>
          <w:sz w:val="26"/>
          <w:szCs w:val="26"/>
        </w:rPr>
        <w:t>o 2010.gada 1.jūlija anulētas 1 </w:t>
      </w:r>
      <w:r w:rsidRPr="003903A2">
        <w:rPr>
          <w:rFonts w:ascii="Times New Roman" w:hAnsi="Times New Roman"/>
          <w:sz w:val="26"/>
          <w:szCs w:val="26"/>
        </w:rPr>
        <w:t>380 TUA.</w:t>
      </w:r>
    </w:p>
    <w:p w:rsidR="00A23337" w:rsidRDefault="00A23337" w:rsidP="00A23337">
      <w:pPr>
        <w:spacing w:after="0" w:line="240" w:lineRule="auto"/>
        <w:ind w:firstLine="567"/>
        <w:jc w:val="both"/>
        <w:rPr>
          <w:rFonts w:ascii="Times New Roman" w:hAnsi="Times New Roman"/>
          <w:sz w:val="26"/>
          <w:szCs w:val="26"/>
          <w:lang w:eastAsia="lv-LV"/>
        </w:rPr>
      </w:pPr>
      <w:r w:rsidRPr="003903A2">
        <w:rPr>
          <w:rFonts w:ascii="Times New Roman" w:hAnsi="Times New Roman"/>
          <w:sz w:val="26"/>
          <w:szCs w:val="26"/>
        </w:rPr>
        <w:t>Nerezidentu ieguldījumi, kas saistīti ar TUA saņemšanu, no 2010.gada 1.jūlija līdz 2015.gada 30.jūnijam bija 1,313 </w:t>
      </w:r>
      <w:r w:rsidR="004F1256">
        <w:rPr>
          <w:rFonts w:ascii="Times New Roman" w:hAnsi="Times New Roman"/>
          <w:sz w:val="26"/>
          <w:szCs w:val="26"/>
        </w:rPr>
        <w:t>mljrd</w:t>
      </w:r>
      <w:r>
        <w:rPr>
          <w:rFonts w:ascii="Times New Roman" w:hAnsi="Times New Roman"/>
          <w:sz w:val="26"/>
          <w:szCs w:val="26"/>
        </w:rPr>
        <w:t>.</w:t>
      </w:r>
      <w:r w:rsidRPr="003903A2">
        <w:rPr>
          <w:rFonts w:ascii="Times New Roman" w:hAnsi="Times New Roman"/>
          <w:sz w:val="26"/>
          <w:szCs w:val="26"/>
        </w:rPr>
        <w:t xml:space="preserve"> </w:t>
      </w:r>
      <w:proofErr w:type="spellStart"/>
      <w:r w:rsidRPr="003903A2">
        <w:rPr>
          <w:rFonts w:ascii="Times New Roman" w:hAnsi="Times New Roman"/>
          <w:i/>
          <w:sz w:val="26"/>
          <w:szCs w:val="26"/>
        </w:rPr>
        <w:t>euro</w:t>
      </w:r>
      <w:proofErr w:type="spellEnd"/>
      <w:r w:rsidRPr="003903A2">
        <w:rPr>
          <w:rFonts w:ascii="Times New Roman" w:hAnsi="Times New Roman"/>
          <w:sz w:val="26"/>
          <w:szCs w:val="26"/>
        </w:rPr>
        <w:t xml:space="preserve">. </w:t>
      </w:r>
    </w:p>
    <w:p w:rsidR="00A23337" w:rsidRPr="0016277F" w:rsidRDefault="00A23337" w:rsidP="00A23337">
      <w:pPr>
        <w:spacing w:after="0" w:line="240" w:lineRule="auto"/>
        <w:ind w:firstLine="567"/>
        <w:jc w:val="both"/>
        <w:rPr>
          <w:rFonts w:ascii="Times New Roman" w:hAnsi="Times New Roman"/>
          <w:sz w:val="26"/>
          <w:szCs w:val="26"/>
          <w:lang w:eastAsia="lv-LV"/>
        </w:rPr>
      </w:pPr>
      <w:r w:rsidRPr="002B4D22">
        <w:rPr>
          <w:rFonts w:ascii="Times New Roman" w:hAnsi="Times New Roman"/>
          <w:sz w:val="26"/>
          <w:szCs w:val="26"/>
        </w:rPr>
        <w:t>No kopumā investīciju programmas ietvaros ieguldītajiem līdzekļiem no 2010.gada 1.jūlija līdz 201</w:t>
      </w:r>
      <w:r>
        <w:rPr>
          <w:rFonts w:ascii="Times New Roman" w:hAnsi="Times New Roman"/>
          <w:sz w:val="26"/>
          <w:szCs w:val="26"/>
        </w:rPr>
        <w:t>5.gada 30.jūnijam 83,26% jeb 1,</w:t>
      </w:r>
      <w:r w:rsidRPr="002B4D22">
        <w:rPr>
          <w:rFonts w:ascii="Times New Roman" w:hAnsi="Times New Roman"/>
          <w:sz w:val="26"/>
          <w:szCs w:val="26"/>
        </w:rPr>
        <w:t xml:space="preserve">093 </w:t>
      </w:r>
      <w:r w:rsidR="004F1256">
        <w:rPr>
          <w:rFonts w:ascii="Times New Roman" w:hAnsi="Times New Roman"/>
          <w:sz w:val="26"/>
          <w:szCs w:val="26"/>
        </w:rPr>
        <w:t>mljrd</w:t>
      </w:r>
      <w:r w:rsidRPr="002B4D22">
        <w:rPr>
          <w:rFonts w:ascii="Times New Roman" w:hAnsi="Times New Roman"/>
          <w:sz w:val="26"/>
          <w:szCs w:val="26"/>
        </w:rPr>
        <w:t xml:space="preserve">.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(11,27% jeb 148,0 milj. </w:t>
      </w:r>
      <w:proofErr w:type="spellStart"/>
      <w:r w:rsidRPr="002B4D22">
        <w:rPr>
          <w:rFonts w:ascii="Times New Roman" w:hAnsi="Times New Roman"/>
          <w:i/>
          <w:sz w:val="26"/>
          <w:szCs w:val="26"/>
        </w:rPr>
        <w:t>euro</w:t>
      </w:r>
      <w:proofErr w:type="spellEnd"/>
      <w:r w:rsidRPr="002B4D22">
        <w:rPr>
          <w:rFonts w:ascii="Times New Roman" w:hAnsi="Times New Roman"/>
          <w:i/>
          <w:sz w:val="26"/>
          <w:szCs w:val="26"/>
        </w:rPr>
        <w:t xml:space="preserve"> </w:t>
      </w:r>
      <w:r w:rsidRPr="002B4D22">
        <w:rPr>
          <w:rFonts w:ascii="Times New Roman" w:hAnsi="Times New Roman"/>
          <w:sz w:val="26"/>
          <w:szCs w:val="26"/>
        </w:rPr>
        <w:t>no visiem ieguldījumiem), savukārt attiecinātie ieguldījumi kapitālsabiedrību pamatkapitālā veido t</w:t>
      </w:r>
      <w:r>
        <w:rPr>
          <w:rFonts w:ascii="Times New Roman" w:hAnsi="Times New Roman"/>
          <w:sz w:val="26"/>
          <w:szCs w:val="26"/>
        </w:rPr>
        <w:t>ikai 5,39% (jeb 70,8 milj.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no kopējām veiktajām investīcijām attiecīgajā periodā. Īpašam mērķim noteiktu bezprocentu valsts vērtspapīru iegādē no 2015.gada 1.janvāra ieguldīts 1 milj.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jeb 0,08% no kopējā investīciju apjoma.</w:t>
      </w:r>
      <w:r>
        <w:rPr>
          <w:rFonts w:ascii="Times New Roman" w:hAnsi="Times New Roman"/>
          <w:sz w:val="26"/>
          <w:szCs w:val="26"/>
          <w:lang w:eastAsia="lv-LV"/>
        </w:rPr>
        <w:tab/>
      </w:r>
    </w:p>
    <w:p w:rsidR="00A23337" w:rsidRDefault="00A23337" w:rsidP="00A23337">
      <w:pPr>
        <w:spacing w:after="0" w:line="240" w:lineRule="auto"/>
        <w:ind w:firstLine="567"/>
        <w:jc w:val="both"/>
        <w:rPr>
          <w:rFonts w:ascii="Times New Roman" w:hAnsi="Times New Roman"/>
          <w:sz w:val="26"/>
          <w:szCs w:val="26"/>
          <w:lang w:eastAsia="lv-LV"/>
        </w:rPr>
      </w:pPr>
      <w:r w:rsidRPr="007C2DA7">
        <w:rPr>
          <w:rFonts w:ascii="Times New Roman" w:hAnsi="Times New Roman"/>
          <w:sz w:val="26"/>
          <w:szCs w:val="26"/>
          <w:lang w:eastAsia="lv-LV"/>
        </w:rPr>
        <w:t xml:space="preserve">Ar TUA pieteicējiem saistītie uzņēmumi (TUA pieteicējiem pieder īpašumtiesību daļas) 2013.gadā ir nomaksājuši VID administrētos nodokļus 23,06 milj. </w:t>
      </w:r>
      <w:proofErr w:type="spellStart"/>
      <w:r w:rsidRPr="007C2DA7">
        <w:rPr>
          <w:rFonts w:ascii="Times New Roman" w:hAnsi="Times New Roman"/>
          <w:i/>
          <w:sz w:val="26"/>
          <w:szCs w:val="26"/>
          <w:lang w:eastAsia="lv-LV"/>
        </w:rPr>
        <w:t>euro</w:t>
      </w:r>
      <w:proofErr w:type="spellEnd"/>
      <w:r w:rsidRPr="007C2DA7">
        <w:rPr>
          <w:rFonts w:ascii="Times New Roman" w:hAnsi="Times New Roman"/>
          <w:sz w:val="26"/>
          <w:szCs w:val="26"/>
          <w:lang w:eastAsia="lv-LV"/>
        </w:rPr>
        <w:t xml:space="preserve"> apmērā, 2014.gadā 30,7 milj. </w:t>
      </w:r>
      <w:proofErr w:type="spellStart"/>
      <w:r w:rsidRPr="007C2DA7">
        <w:rPr>
          <w:rFonts w:ascii="Times New Roman" w:hAnsi="Times New Roman"/>
          <w:i/>
          <w:sz w:val="26"/>
          <w:szCs w:val="26"/>
          <w:lang w:eastAsia="lv-LV"/>
        </w:rPr>
        <w:t>euro</w:t>
      </w:r>
      <w:proofErr w:type="spellEnd"/>
      <w:r w:rsidRPr="007C2DA7">
        <w:rPr>
          <w:rFonts w:ascii="Times New Roman" w:hAnsi="Times New Roman"/>
          <w:sz w:val="26"/>
          <w:szCs w:val="26"/>
          <w:lang w:eastAsia="lv-LV"/>
        </w:rPr>
        <w:t xml:space="preserve"> apmērā un 2015.gada 1.pusgadā 16,9 milj. </w:t>
      </w:r>
      <w:proofErr w:type="spellStart"/>
      <w:r w:rsidRPr="007C2DA7">
        <w:rPr>
          <w:rFonts w:ascii="Times New Roman" w:hAnsi="Times New Roman"/>
          <w:i/>
          <w:sz w:val="26"/>
          <w:szCs w:val="26"/>
          <w:lang w:eastAsia="lv-LV"/>
        </w:rPr>
        <w:t>euro</w:t>
      </w:r>
      <w:proofErr w:type="spellEnd"/>
      <w:r w:rsidRPr="007C2DA7">
        <w:rPr>
          <w:rFonts w:ascii="Times New Roman" w:hAnsi="Times New Roman"/>
          <w:sz w:val="26"/>
          <w:szCs w:val="26"/>
          <w:lang w:eastAsia="lv-LV"/>
        </w:rPr>
        <w:t xml:space="preserve">. </w:t>
      </w:r>
    </w:p>
    <w:p w:rsidR="00A23337" w:rsidRDefault="00A23337" w:rsidP="00A23337">
      <w:pPr>
        <w:spacing w:after="0" w:line="240" w:lineRule="auto"/>
        <w:ind w:firstLine="567"/>
        <w:jc w:val="both"/>
        <w:rPr>
          <w:lang w:eastAsia="lv-LV"/>
        </w:rPr>
      </w:pPr>
      <w:r w:rsidRPr="002B4D22">
        <w:rPr>
          <w:rFonts w:ascii="Times New Roman" w:hAnsi="Times New Roman"/>
          <w:sz w:val="26"/>
          <w:szCs w:val="26"/>
        </w:rPr>
        <w:t>2014.gada 1.septembr</w:t>
      </w:r>
      <w:r>
        <w:rPr>
          <w:rFonts w:ascii="Times New Roman" w:hAnsi="Times New Roman"/>
          <w:sz w:val="26"/>
          <w:szCs w:val="26"/>
        </w:rPr>
        <w:t>ī spēkā stājušies grozījumi</w:t>
      </w:r>
      <w:r w:rsidRPr="002B4D22">
        <w:rPr>
          <w:rFonts w:ascii="Times New Roman" w:hAnsi="Times New Roman"/>
          <w:sz w:val="26"/>
          <w:szCs w:val="26"/>
        </w:rPr>
        <w:t xml:space="preserve"> paredz, ka pirms TUA saņemšanas ārzemniekam jāveic maksājums </w:t>
      </w:r>
      <w:r>
        <w:rPr>
          <w:rFonts w:ascii="Times New Roman" w:hAnsi="Times New Roman"/>
          <w:sz w:val="26"/>
          <w:szCs w:val="26"/>
        </w:rPr>
        <w:t>valsts pamatbudžeta programmai “</w:t>
      </w:r>
      <w:r w:rsidRPr="002B4D22">
        <w:rPr>
          <w:rFonts w:ascii="Times New Roman" w:hAnsi="Times New Roman"/>
          <w:sz w:val="26"/>
          <w:szCs w:val="26"/>
        </w:rPr>
        <w:t>Ekonomikas attīstības programma” atvērtajā valsts pamatbudžeta izdevumu kontā Valsts kasē 5% apjomā no iegādātā nekustamā īpašuma vērtības</w:t>
      </w:r>
      <w:r>
        <w:rPr>
          <w:rFonts w:ascii="Times New Roman" w:hAnsi="Times New Roman"/>
          <w:sz w:val="26"/>
          <w:szCs w:val="26"/>
        </w:rPr>
        <w:t xml:space="preserve"> vai arī bankas pakārtoto saistību vai obligāciju gadījumā </w:t>
      </w:r>
      <w:r w:rsidRPr="001F05BE">
        <w:rPr>
          <w:rFonts w:ascii="Times New Roman" w:hAnsi="Times New Roman"/>
          <w:sz w:val="26"/>
          <w:szCs w:val="26"/>
        </w:rPr>
        <w:t xml:space="preserve">25 000 </w:t>
      </w:r>
      <w:proofErr w:type="spellStart"/>
      <w:r w:rsidRPr="001F05BE">
        <w:rPr>
          <w:rFonts w:ascii="Times New Roman" w:hAnsi="Times New Roman"/>
          <w:i/>
          <w:sz w:val="26"/>
          <w:szCs w:val="26"/>
        </w:rPr>
        <w:t>euro</w:t>
      </w:r>
      <w:proofErr w:type="spellEnd"/>
      <w:r w:rsidRPr="001F05BE">
        <w:rPr>
          <w:rFonts w:ascii="Times New Roman" w:hAnsi="Times New Roman"/>
          <w:sz w:val="26"/>
          <w:szCs w:val="26"/>
        </w:rPr>
        <w:t xml:space="preserve">. No 2014.gada 1.septembra līdz 2015.gada 10.augusta dienas beigām Ekonomikas attīstības programmā ir iemaksāti 2,8 milj. </w:t>
      </w:r>
      <w:proofErr w:type="spellStart"/>
      <w:r w:rsidRPr="001F05BE">
        <w:rPr>
          <w:rFonts w:ascii="Times New Roman" w:hAnsi="Times New Roman"/>
          <w:i/>
          <w:sz w:val="26"/>
          <w:szCs w:val="26"/>
        </w:rPr>
        <w:t>euro</w:t>
      </w:r>
      <w:proofErr w:type="spellEnd"/>
      <w:r w:rsidRPr="001F05BE">
        <w:rPr>
          <w:rFonts w:ascii="Times New Roman" w:hAnsi="Times New Roman"/>
          <w:sz w:val="26"/>
          <w:szCs w:val="26"/>
        </w:rPr>
        <w:t xml:space="preserve">, no tiem 2015.gadā – 2,0 milj. </w:t>
      </w:r>
      <w:proofErr w:type="spellStart"/>
      <w:r w:rsidRPr="001F05BE">
        <w:rPr>
          <w:rFonts w:ascii="Times New Roman" w:hAnsi="Times New Roman"/>
          <w:i/>
          <w:sz w:val="26"/>
          <w:szCs w:val="26"/>
        </w:rPr>
        <w:t>euro</w:t>
      </w:r>
      <w:proofErr w:type="spellEnd"/>
      <w:r w:rsidRPr="001F05BE">
        <w:rPr>
          <w:rFonts w:ascii="Times New Roman" w:hAnsi="Times New Roman"/>
          <w:sz w:val="26"/>
          <w:szCs w:val="26"/>
        </w:rPr>
        <w:t>.</w:t>
      </w:r>
    </w:p>
    <w:p w:rsidR="0016277F" w:rsidRDefault="00633B2C" w:rsidP="00A23337">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Pirmreizēji izsniegto TUA palielinājums līdz 2014.gadam galvenokārt saistīts ar 2010.gada 1.jūlijā Imigrācijas likumā ieviestajiem grozījumiem </w:t>
      </w:r>
      <w:r w:rsidR="008C5AFC">
        <w:rPr>
          <w:rFonts w:ascii="Times New Roman" w:hAnsi="Times New Roman"/>
          <w:sz w:val="26"/>
          <w:szCs w:val="26"/>
        </w:rPr>
        <w:t xml:space="preserve">investīciju programmā </w:t>
      </w:r>
      <w:r w:rsidR="00F15494" w:rsidRPr="00D20BE8">
        <w:rPr>
          <w:rFonts w:ascii="Times New Roman" w:hAnsi="Times New Roman"/>
          <w:sz w:val="26"/>
          <w:szCs w:val="26"/>
        </w:rPr>
        <w:t>(skatīt pielikumu Nr.</w:t>
      </w:r>
      <w:r w:rsidR="00D20BE8" w:rsidRPr="00D20BE8">
        <w:rPr>
          <w:rFonts w:ascii="Times New Roman" w:hAnsi="Times New Roman"/>
          <w:sz w:val="26"/>
          <w:szCs w:val="26"/>
        </w:rPr>
        <w:t>7</w:t>
      </w:r>
      <w:r w:rsidR="00F15494">
        <w:rPr>
          <w:rFonts w:ascii="Times New Roman" w:hAnsi="Times New Roman"/>
          <w:sz w:val="26"/>
          <w:szCs w:val="26"/>
        </w:rPr>
        <w:t>)</w:t>
      </w:r>
      <w:r w:rsidRPr="002B4D22">
        <w:rPr>
          <w:rFonts w:ascii="Times New Roman" w:hAnsi="Times New Roman"/>
          <w:sz w:val="26"/>
          <w:szCs w:val="26"/>
        </w:rPr>
        <w:t>.</w:t>
      </w:r>
      <w:r>
        <w:rPr>
          <w:rFonts w:ascii="Times New Roman" w:hAnsi="Times New Roman"/>
          <w:sz w:val="26"/>
          <w:szCs w:val="26"/>
        </w:rPr>
        <w:t xml:space="preserve"> </w:t>
      </w:r>
      <w:r w:rsidR="00164F28">
        <w:rPr>
          <w:rFonts w:ascii="Times New Roman" w:hAnsi="Times New Roman"/>
          <w:sz w:val="26"/>
          <w:szCs w:val="26"/>
          <w:lang w:eastAsia="lv-LV"/>
        </w:rPr>
        <w:t xml:space="preserve">Līdz ar veiktajām izmaiņām strauji palielinājās arī pirmreizēji izsniegto TUA skaits </w:t>
      </w:r>
      <w:r w:rsidR="00A4425A">
        <w:rPr>
          <w:rFonts w:ascii="Times New Roman" w:hAnsi="Times New Roman"/>
          <w:sz w:val="26"/>
          <w:szCs w:val="26"/>
          <w:lang w:eastAsia="lv-LV"/>
        </w:rPr>
        <w:t>–</w:t>
      </w:r>
      <w:r w:rsidR="00164F28">
        <w:rPr>
          <w:rFonts w:ascii="Times New Roman" w:hAnsi="Times New Roman"/>
          <w:sz w:val="26"/>
          <w:szCs w:val="26"/>
          <w:lang w:eastAsia="lv-LV"/>
        </w:rPr>
        <w:t xml:space="preserve"> </w:t>
      </w:r>
      <w:r w:rsidR="00164F28" w:rsidRPr="002B4D22">
        <w:rPr>
          <w:rFonts w:ascii="Times New Roman" w:hAnsi="Times New Roman"/>
          <w:sz w:val="26"/>
          <w:szCs w:val="26"/>
        </w:rPr>
        <w:t xml:space="preserve">2011.gadā </w:t>
      </w:r>
      <w:r>
        <w:rPr>
          <w:rFonts w:ascii="Times New Roman" w:hAnsi="Times New Roman"/>
          <w:sz w:val="26"/>
          <w:szCs w:val="26"/>
        </w:rPr>
        <w:t xml:space="preserve">tika izsniegtas </w:t>
      </w:r>
      <w:r w:rsidR="00164F28" w:rsidRPr="002B4D22">
        <w:rPr>
          <w:rFonts w:ascii="Times New Roman" w:hAnsi="Times New Roman"/>
          <w:sz w:val="26"/>
          <w:szCs w:val="26"/>
        </w:rPr>
        <w:t>4</w:t>
      </w:r>
      <w:r>
        <w:rPr>
          <w:rFonts w:ascii="Times New Roman" w:hAnsi="Times New Roman"/>
          <w:sz w:val="26"/>
          <w:szCs w:val="26"/>
        </w:rPr>
        <w:t> </w:t>
      </w:r>
      <w:r w:rsidR="00164F28" w:rsidRPr="002B4D22">
        <w:rPr>
          <w:rFonts w:ascii="Times New Roman" w:hAnsi="Times New Roman"/>
          <w:sz w:val="26"/>
          <w:szCs w:val="26"/>
        </w:rPr>
        <w:t>824</w:t>
      </w:r>
      <w:r>
        <w:rPr>
          <w:rFonts w:ascii="Times New Roman" w:hAnsi="Times New Roman"/>
          <w:sz w:val="26"/>
          <w:szCs w:val="26"/>
        </w:rPr>
        <w:t xml:space="preserve"> pirmreizējās TUA</w:t>
      </w:r>
      <w:r w:rsidR="00164F28" w:rsidRPr="002B4D22">
        <w:rPr>
          <w:rFonts w:ascii="Times New Roman" w:hAnsi="Times New Roman"/>
          <w:sz w:val="26"/>
          <w:szCs w:val="26"/>
        </w:rPr>
        <w:t xml:space="preserve">, 2012.gadā </w:t>
      </w:r>
      <w:r w:rsidR="00A4425A">
        <w:rPr>
          <w:rFonts w:ascii="Times New Roman" w:hAnsi="Times New Roman"/>
          <w:sz w:val="26"/>
          <w:szCs w:val="26"/>
        </w:rPr>
        <w:t xml:space="preserve">– </w:t>
      </w:r>
      <w:r w:rsidR="00164F28" w:rsidRPr="002B4D22">
        <w:rPr>
          <w:rFonts w:ascii="Times New Roman" w:hAnsi="Times New Roman"/>
          <w:sz w:val="26"/>
          <w:szCs w:val="26"/>
        </w:rPr>
        <w:t>6</w:t>
      </w:r>
      <w:r w:rsidR="00164F28">
        <w:rPr>
          <w:rFonts w:ascii="Times New Roman" w:hAnsi="Times New Roman"/>
          <w:sz w:val="26"/>
          <w:szCs w:val="26"/>
        </w:rPr>
        <w:t> </w:t>
      </w:r>
      <w:r w:rsidR="00164F28" w:rsidRPr="002B4D22">
        <w:rPr>
          <w:rFonts w:ascii="Times New Roman" w:hAnsi="Times New Roman"/>
          <w:sz w:val="26"/>
          <w:szCs w:val="26"/>
        </w:rPr>
        <w:t xml:space="preserve">365, 2013.gadā – 8 170, </w:t>
      </w:r>
      <w:r w:rsidR="00A4425A">
        <w:rPr>
          <w:rFonts w:ascii="Times New Roman" w:hAnsi="Times New Roman"/>
          <w:sz w:val="26"/>
          <w:szCs w:val="26"/>
        </w:rPr>
        <w:t xml:space="preserve">bet </w:t>
      </w:r>
      <w:r w:rsidR="00164F28" w:rsidRPr="002B4D22">
        <w:rPr>
          <w:rFonts w:ascii="Times New Roman" w:hAnsi="Times New Roman"/>
          <w:sz w:val="26"/>
          <w:szCs w:val="26"/>
        </w:rPr>
        <w:t>2014.gadā –</w:t>
      </w:r>
      <w:r w:rsidR="006723DC">
        <w:rPr>
          <w:rFonts w:ascii="Times New Roman" w:hAnsi="Times New Roman"/>
          <w:sz w:val="26"/>
          <w:szCs w:val="26"/>
        </w:rPr>
        <w:t xml:space="preserve"> 10 504</w:t>
      </w:r>
      <w:r w:rsidR="00164F28">
        <w:rPr>
          <w:rFonts w:ascii="Times New Roman" w:hAnsi="Times New Roman"/>
          <w:sz w:val="26"/>
          <w:szCs w:val="26"/>
        </w:rPr>
        <w:t xml:space="preserve">. Sākot no 2014.gada 1.septembra vērojams ievērojams kritums gan TUA pieteikumu skaitā, gan arī ar pirmreizējiem TUA saistīto investīciju kopapjomā. </w:t>
      </w:r>
      <w:r w:rsidR="00164F28" w:rsidRPr="002B4D22">
        <w:rPr>
          <w:rFonts w:ascii="Times New Roman" w:hAnsi="Times New Roman"/>
          <w:sz w:val="26"/>
          <w:szCs w:val="26"/>
        </w:rPr>
        <w:t xml:space="preserve">2015.gada pirmajā pusgadā </w:t>
      </w:r>
      <w:r w:rsidR="00164F28">
        <w:rPr>
          <w:rFonts w:ascii="Times New Roman" w:hAnsi="Times New Roman"/>
          <w:sz w:val="26"/>
          <w:szCs w:val="26"/>
        </w:rPr>
        <w:t xml:space="preserve">ir izsniegtas </w:t>
      </w:r>
      <w:r w:rsidR="00164F28" w:rsidRPr="002B4D22">
        <w:rPr>
          <w:rFonts w:ascii="Times New Roman" w:hAnsi="Times New Roman"/>
          <w:sz w:val="26"/>
          <w:szCs w:val="26"/>
        </w:rPr>
        <w:t>3 288 TUA.</w:t>
      </w:r>
      <w:r w:rsidR="00164F28">
        <w:rPr>
          <w:rFonts w:ascii="Times New Roman" w:hAnsi="Times New Roman"/>
          <w:sz w:val="26"/>
          <w:szCs w:val="26"/>
        </w:rPr>
        <w:t xml:space="preserve"> </w:t>
      </w:r>
    </w:p>
    <w:p w:rsidR="006723DC" w:rsidRDefault="00164F28" w:rsidP="00AD7870">
      <w:pPr>
        <w:spacing w:after="0" w:line="240" w:lineRule="auto"/>
        <w:ind w:firstLine="567"/>
        <w:jc w:val="both"/>
        <w:rPr>
          <w:rFonts w:ascii="Times New Roman" w:hAnsi="Times New Roman"/>
          <w:sz w:val="26"/>
          <w:szCs w:val="26"/>
        </w:rPr>
      </w:pPr>
      <w:r>
        <w:rPr>
          <w:rFonts w:ascii="Times New Roman" w:hAnsi="Times New Roman"/>
          <w:sz w:val="26"/>
          <w:szCs w:val="26"/>
        </w:rPr>
        <w:t xml:space="preserve">Šo kritumu </w:t>
      </w:r>
      <w:r w:rsidR="00A4425A">
        <w:rPr>
          <w:rFonts w:ascii="Times New Roman" w:hAnsi="Times New Roman"/>
          <w:sz w:val="26"/>
          <w:szCs w:val="26"/>
        </w:rPr>
        <w:t>ietekmēja 2014.gada 1.</w:t>
      </w:r>
      <w:r w:rsidR="00633B2C">
        <w:rPr>
          <w:rFonts w:ascii="Times New Roman" w:hAnsi="Times New Roman"/>
          <w:sz w:val="26"/>
          <w:szCs w:val="26"/>
        </w:rPr>
        <w:t>septembrī spēkā stājušies grozījumi</w:t>
      </w:r>
      <w:r>
        <w:rPr>
          <w:rFonts w:ascii="Times New Roman" w:hAnsi="Times New Roman"/>
          <w:sz w:val="26"/>
          <w:szCs w:val="26"/>
        </w:rPr>
        <w:t xml:space="preserve"> Imigrācijas likuma 23.pantā, kas paaugstināja TUA piešķiršanai nepieciešamo ieguldījumu summas apmēru investīcijām nekustamajā īpašumā. Saskaņā ar šiem grozījumiem, nekustamā īpašuma iegādes darījuma summa, lai </w:t>
      </w:r>
      <w:r w:rsidR="00633B2C">
        <w:rPr>
          <w:rFonts w:ascii="Times New Roman" w:hAnsi="Times New Roman"/>
          <w:sz w:val="26"/>
          <w:szCs w:val="26"/>
        </w:rPr>
        <w:t xml:space="preserve">ārvalstnieks </w:t>
      </w:r>
      <w:r>
        <w:rPr>
          <w:rFonts w:ascii="Times New Roman" w:hAnsi="Times New Roman"/>
          <w:sz w:val="26"/>
          <w:szCs w:val="26"/>
        </w:rPr>
        <w:t xml:space="preserve">varētu pretendēt uz TUA, tika paaugstināta </w:t>
      </w:r>
      <w:r w:rsidR="00A1081F">
        <w:rPr>
          <w:rFonts w:ascii="Times New Roman" w:hAnsi="Times New Roman"/>
          <w:sz w:val="26"/>
          <w:szCs w:val="26"/>
        </w:rPr>
        <w:t>līdz</w:t>
      </w:r>
      <w:r w:rsidR="00A1081F" w:rsidRPr="00A1081F">
        <w:rPr>
          <w:rFonts w:ascii="Times New Roman" w:hAnsi="Times New Roman"/>
          <w:sz w:val="26"/>
          <w:szCs w:val="26"/>
        </w:rPr>
        <w:t xml:space="preserve"> </w:t>
      </w:r>
      <w:r w:rsidR="00A1081F">
        <w:rPr>
          <w:rFonts w:ascii="Times New Roman" w:hAnsi="Times New Roman"/>
          <w:sz w:val="26"/>
          <w:szCs w:val="26"/>
        </w:rPr>
        <w:t xml:space="preserve">250 000 </w:t>
      </w:r>
      <w:proofErr w:type="spellStart"/>
      <w:r w:rsidR="00A1081F" w:rsidRPr="00633B2C">
        <w:rPr>
          <w:rFonts w:ascii="Times New Roman" w:hAnsi="Times New Roman"/>
          <w:i/>
          <w:sz w:val="26"/>
          <w:szCs w:val="26"/>
        </w:rPr>
        <w:t>euro</w:t>
      </w:r>
      <w:proofErr w:type="spellEnd"/>
      <w:r w:rsidR="00A1081F">
        <w:rPr>
          <w:rFonts w:ascii="Times New Roman" w:hAnsi="Times New Roman"/>
          <w:sz w:val="26"/>
          <w:szCs w:val="26"/>
        </w:rPr>
        <w:t xml:space="preserve"> visā Latvijas teritorijā (iepriekš </w:t>
      </w:r>
      <w:r w:rsidR="00E31AE1">
        <w:rPr>
          <w:rFonts w:ascii="Times New Roman" w:hAnsi="Times New Roman"/>
          <w:sz w:val="26"/>
          <w:szCs w:val="26"/>
        </w:rPr>
        <w:t xml:space="preserve">ārpus </w:t>
      </w:r>
      <w:r w:rsidR="0073227B" w:rsidRPr="00F90F91">
        <w:rPr>
          <w:rFonts w:ascii="Times New Roman" w:hAnsi="Times New Roman"/>
          <w:sz w:val="26"/>
          <w:szCs w:val="26"/>
        </w:rPr>
        <w:t>Rīgas plāno</w:t>
      </w:r>
      <w:r w:rsidR="00B10DFB">
        <w:rPr>
          <w:rFonts w:ascii="Times New Roman" w:hAnsi="Times New Roman"/>
          <w:sz w:val="26"/>
          <w:szCs w:val="26"/>
        </w:rPr>
        <w:t>šanas reģiona</w:t>
      </w:r>
      <w:r w:rsidR="00E31AE1">
        <w:rPr>
          <w:rFonts w:ascii="Times New Roman" w:hAnsi="Times New Roman"/>
          <w:sz w:val="26"/>
          <w:szCs w:val="26"/>
        </w:rPr>
        <w:t xml:space="preserve"> vai republikas pilsētām </w:t>
      </w:r>
      <w:r w:rsidR="00B10DFB">
        <w:rPr>
          <w:rFonts w:ascii="Times New Roman" w:hAnsi="Times New Roman"/>
          <w:sz w:val="26"/>
          <w:szCs w:val="26"/>
        </w:rPr>
        <w:t>– 7</w:t>
      </w:r>
      <w:r w:rsidR="00A1081F">
        <w:rPr>
          <w:rFonts w:ascii="Times New Roman" w:hAnsi="Times New Roman"/>
          <w:sz w:val="26"/>
          <w:szCs w:val="26"/>
        </w:rPr>
        <w:t xml:space="preserve">1 150 </w:t>
      </w:r>
      <w:proofErr w:type="spellStart"/>
      <w:r w:rsidR="00A1081F" w:rsidRPr="00633B2C">
        <w:rPr>
          <w:rFonts w:ascii="Times New Roman" w:hAnsi="Times New Roman"/>
          <w:i/>
          <w:sz w:val="26"/>
          <w:szCs w:val="26"/>
        </w:rPr>
        <w:t>euro</w:t>
      </w:r>
      <w:proofErr w:type="spellEnd"/>
      <w:r w:rsidR="00A1081F">
        <w:rPr>
          <w:rFonts w:ascii="Times New Roman" w:hAnsi="Times New Roman"/>
          <w:sz w:val="26"/>
          <w:szCs w:val="26"/>
        </w:rPr>
        <w:t xml:space="preserve">, savukārt, </w:t>
      </w:r>
      <w:r w:rsidR="00A1081F" w:rsidRPr="00F90F91">
        <w:rPr>
          <w:rFonts w:ascii="Times New Roman" w:hAnsi="Times New Roman"/>
          <w:sz w:val="26"/>
          <w:szCs w:val="26"/>
        </w:rPr>
        <w:t>Rīgas plāno</w:t>
      </w:r>
      <w:r w:rsidR="00A1081F">
        <w:rPr>
          <w:rFonts w:ascii="Times New Roman" w:hAnsi="Times New Roman"/>
          <w:sz w:val="26"/>
          <w:szCs w:val="26"/>
        </w:rPr>
        <w:t xml:space="preserve">šanas reģionā </w:t>
      </w:r>
      <w:r w:rsidR="00E31AE1">
        <w:rPr>
          <w:rFonts w:ascii="Times New Roman" w:hAnsi="Times New Roman"/>
          <w:sz w:val="26"/>
          <w:szCs w:val="26"/>
        </w:rPr>
        <w:t xml:space="preserve">un </w:t>
      </w:r>
      <w:r w:rsidR="00A1081F">
        <w:rPr>
          <w:rFonts w:ascii="Times New Roman" w:hAnsi="Times New Roman"/>
          <w:sz w:val="26"/>
          <w:szCs w:val="26"/>
        </w:rPr>
        <w:t xml:space="preserve">republikas nozīmes pilsētās – 142 300 </w:t>
      </w:r>
      <w:proofErr w:type="spellStart"/>
      <w:r w:rsidR="00A1081F" w:rsidRPr="00633B2C">
        <w:rPr>
          <w:rFonts w:ascii="Times New Roman" w:hAnsi="Times New Roman"/>
          <w:i/>
          <w:sz w:val="26"/>
          <w:szCs w:val="26"/>
        </w:rPr>
        <w:t>euro</w:t>
      </w:r>
      <w:proofErr w:type="spellEnd"/>
      <w:r w:rsidR="00A1081F">
        <w:rPr>
          <w:rFonts w:ascii="Times New Roman" w:hAnsi="Times New Roman"/>
          <w:sz w:val="26"/>
          <w:szCs w:val="26"/>
        </w:rPr>
        <w:t>).</w:t>
      </w:r>
      <w:r w:rsidR="00E31AE1">
        <w:rPr>
          <w:rFonts w:ascii="Times New Roman" w:hAnsi="Times New Roman"/>
          <w:sz w:val="26"/>
          <w:szCs w:val="26"/>
        </w:rPr>
        <w:t xml:space="preserve"> </w:t>
      </w:r>
      <w:r w:rsidR="00341965">
        <w:rPr>
          <w:rFonts w:ascii="Times New Roman" w:hAnsi="Times New Roman"/>
          <w:sz w:val="26"/>
          <w:szCs w:val="26"/>
        </w:rPr>
        <w:t>No</w:t>
      </w:r>
      <w:r w:rsidR="00C439C6">
        <w:rPr>
          <w:rFonts w:ascii="Times New Roman" w:hAnsi="Times New Roman"/>
          <w:sz w:val="26"/>
          <w:szCs w:val="26"/>
        </w:rPr>
        <w:t xml:space="preserve"> 2014.gada septembr</w:t>
      </w:r>
      <w:r w:rsidR="00341965">
        <w:rPr>
          <w:rFonts w:ascii="Times New Roman" w:hAnsi="Times New Roman"/>
          <w:sz w:val="26"/>
          <w:szCs w:val="26"/>
        </w:rPr>
        <w:t>a</w:t>
      </w:r>
      <w:r w:rsidR="006723DC">
        <w:rPr>
          <w:rFonts w:ascii="Times New Roman" w:hAnsi="Times New Roman"/>
          <w:sz w:val="26"/>
          <w:szCs w:val="26"/>
        </w:rPr>
        <w:t xml:space="preserve"> ar investīciju programmu saistīto</w:t>
      </w:r>
      <w:r w:rsidR="00C439C6">
        <w:rPr>
          <w:rFonts w:ascii="Times New Roman" w:hAnsi="Times New Roman"/>
          <w:sz w:val="26"/>
          <w:szCs w:val="26"/>
        </w:rPr>
        <w:t xml:space="preserve"> pieteikumu skaits </w:t>
      </w:r>
      <w:r w:rsidR="00341965">
        <w:rPr>
          <w:rFonts w:ascii="Times New Roman" w:hAnsi="Times New Roman"/>
          <w:sz w:val="26"/>
          <w:szCs w:val="26"/>
        </w:rPr>
        <w:t xml:space="preserve">būtiski </w:t>
      </w:r>
      <w:r w:rsidR="00C439C6">
        <w:rPr>
          <w:rFonts w:ascii="Times New Roman" w:hAnsi="Times New Roman"/>
          <w:sz w:val="26"/>
          <w:szCs w:val="26"/>
        </w:rPr>
        <w:t xml:space="preserve">samazinājās, 2015.gadā noslīdot </w:t>
      </w:r>
      <w:r w:rsidR="00341965">
        <w:rPr>
          <w:rFonts w:ascii="Times New Roman" w:hAnsi="Times New Roman"/>
          <w:sz w:val="26"/>
          <w:szCs w:val="26"/>
        </w:rPr>
        <w:t xml:space="preserve">gandrīz </w:t>
      </w:r>
      <w:r w:rsidR="00C439C6">
        <w:rPr>
          <w:rFonts w:ascii="Times New Roman" w:hAnsi="Times New Roman"/>
          <w:sz w:val="26"/>
          <w:szCs w:val="26"/>
        </w:rPr>
        <w:t>līdz 2010</w:t>
      </w:r>
      <w:r w:rsidR="00F3407D">
        <w:rPr>
          <w:rFonts w:ascii="Times New Roman" w:hAnsi="Times New Roman"/>
          <w:sz w:val="26"/>
          <w:szCs w:val="26"/>
        </w:rPr>
        <w:t xml:space="preserve">.gada līmenim. </w:t>
      </w:r>
      <w:r w:rsidR="00D3551F">
        <w:rPr>
          <w:rFonts w:ascii="Times New Roman" w:hAnsi="Times New Roman"/>
          <w:sz w:val="26"/>
          <w:szCs w:val="26"/>
        </w:rPr>
        <w:t xml:space="preserve">Ņemot vērā investīciju programmas nosacījumu maiņu, būtiski </w:t>
      </w:r>
      <w:r w:rsidR="00D3551F">
        <w:rPr>
          <w:rFonts w:ascii="Times New Roman" w:hAnsi="Times New Roman"/>
          <w:sz w:val="26"/>
          <w:szCs w:val="26"/>
        </w:rPr>
        <w:lastRenderedPageBreak/>
        <w:t>samazinājies programmas ietvaros saņemtais pieteikumu skaits. Ja 2014.gadā investīciju programmas ietvaros izsniegto TUA skaits veidoja 53% no visām izsniegtajām TUA, tad 2015.gada pirmajā pusgadā tikai 26%.</w:t>
      </w:r>
    </w:p>
    <w:p w:rsidR="00AA2F7D" w:rsidRPr="00AA2F7D" w:rsidRDefault="00AA2F7D" w:rsidP="0053325B">
      <w:pPr>
        <w:tabs>
          <w:tab w:val="left" w:pos="1155"/>
        </w:tabs>
        <w:spacing w:after="0" w:line="240" w:lineRule="auto"/>
        <w:contextualSpacing/>
        <w:jc w:val="right"/>
        <w:rPr>
          <w:rFonts w:ascii="Times New Roman" w:hAnsi="Times New Roman"/>
          <w:bCs/>
          <w:sz w:val="26"/>
          <w:szCs w:val="26"/>
        </w:rPr>
      </w:pPr>
      <w:r w:rsidRPr="00AA2F7D">
        <w:rPr>
          <w:rFonts w:ascii="Times New Roman" w:hAnsi="Times New Roman"/>
          <w:bCs/>
          <w:sz w:val="26"/>
          <w:szCs w:val="26"/>
        </w:rPr>
        <w:t>1.attēls</w:t>
      </w:r>
      <w:r w:rsidR="006723DC">
        <w:rPr>
          <w:rFonts w:ascii="Times New Roman" w:hAnsi="Times New Roman"/>
          <w:bCs/>
          <w:sz w:val="26"/>
          <w:szCs w:val="26"/>
        </w:rPr>
        <w:tab/>
      </w:r>
    </w:p>
    <w:p w:rsidR="00940A0B" w:rsidRDefault="00633B2C" w:rsidP="0053325B">
      <w:pPr>
        <w:spacing w:after="0" w:line="240" w:lineRule="auto"/>
        <w:contextualSpacing/>
        <w:jc w:val="center"/>
        <w:rPr>
          <w:rFonts w:ascii="Times New Roman" w:hAnsi="Times New Roman"/>
          <w:b/>
          <w:bCs/>
          <w:sz w:val="24"/>
          <w:szCs w:val="26"/>
        </w:rPr>
      </w:pPr>
      <w:r w:rsidRPr="006723DC">
        <w:rPr>
          <w:rFonts w:ascii="Times New Roman" w:hAnsi="Times New Roman"/>
          <w:b/>
          <w:bCs/>
          <w:sz w:val="24"/>
          <w:szCs w:val="26"/>
        </w:rPr>
        <w:t xml:space="preserve">Ar investīciju programmu saistīto </w:t>
      </w:r>
      <w:r w:rsidR="00AA2F7D" w:rsidRPr="006723DC">
        <w:rPr>
          <w:rFonts w:ascii="Times New Roman" w:hAnsi="Times New Roman"/>
          <w:b/>
          <w:bCs/>
          <w:sz w:val="24"/>
          <w:szCs w:val="26"/>
        </w:rPr>
        <w:t xml:space="preserve">TUA saņēmušo ārvalstnieku pieteikumu skaits </w:t>
      </w:r>
      <w:r w:rsidRPr="006723DC">
        <w:rPr>
          <w:rFonts w:ascii="Times New Roman" w:hAnsi="Times New Roman"/>
          <w:b/>
          <w:bCs/>
          <w:sz w:val="24"/>
          <w:szCs w:val="26"/>
        </w:rPr>
        <w:t>u</w:t>
      </w:r>
      <w:r w:rsidR="00AA2F7D" w:rsidRPr="006723DC">
        <w:rPr>
          <w:rFonts w:ascii="Times New Roman" w:hAnsi="Times New Roman"/>
          <w:b/>
          <w:bCs/>
          <w:sz w:val="24"/>
          <w:szCs w:val="26"/>
        </w:rPr>
        <w:t>n darījumu kopsumma</w:t>
      </w:r>
      <w:r w:rsidRPr="006723DC">
        <w:rPr>
          <w:rFonts w:ascii="Times New Roman" w:hAnsi="Times New Roman"/>
          <w:b/>
          <w:bCs/>
          <w:sz w:val="24"/>
          <w:szCs w:val="26"/>
        </w:rPr>
        <w:t xml:space="preserve"> </w:t>
      </w:r>
      <w:r w:rsidR="00AA2F7D" w:rsidRPr="006723DC">
        <w:rPr>
          <w:rFonts w:ascii="Times New Roman" w:hAnsi="Times New Roman"/>
          <w:b/>
          <w:bCs/>
          <w:sz w:val="24"/>
          <w:szCs w:val="26"/>
        </w:rPr>
        <w:t xml:space="preserve">(tūkst. </w:t>
      </w:r>
      <w:proofErr w:type="spellStart"/>
      <w:r w:rsidR="00AA2F7D" w:rsidRPr="006723DC">
        <w:rPr>
          <w:rFonts w:ascii="Times New Roman" w:hAnsi="Times New Roman"/>
          <w:b/>
          <w:bCs/>
          <w:i/>
          <w:iCs/>
          <w:sz w:val="24"/>
          <w:szCs w:val="26"/>
        </w:rPr>
        <w:t>euro</w:t>
      </w:r>
      <w:proofErr w:type="spellEnd"/>
      <w:r w:rsidR="00AA2F7D" w:rsidRPr="006723DC">
        <w:rPr>
          <w:rFonts w:ascii="Times New Roman" w:hAnsi="Times New Roman"/>
          <w:b/>
          <w:bCs/>
          <w:sz w:val="24"/>
          <w:szCs w:val="26"/>
        </w:rPr>
        <w:t xml:space="preserve">) pa mēnešiem </w:t>
      </w:r>
      <w:r w:rsidR="009C030B">
        <w:rPr>
          <w:rFonts w:ascii="Times New Roman" w:hAnsi="Times New Roman"/>
          <w:b/>
          <w:bCs/>
          <w:sz w:val="24"/>
          <w:szCs w:val="26"/>
        </w:rPr>
        <w:t>(</w:t>
      </w:r>
      <w:r w:rsidR="00231A6F">
        <w:rPr>
          <w:rFonts w:ascii="Times New Roman" w:hAnsi="Times New Roman"/>
          <w:b/>
          <w:bCs/>
          <w:sz w:val="24"/>
          <w:szCs w:val="26"/>
        </w:rPr>
        <w:t>01.01.</w:t>
      </w:r>
      <w:r w:rsidR="00AA2F7D" w:rsidRPr="006723DC">
        <w:rPr>
          <w:rFonts w:ascii="Times New Roman" w:hAnsi="Times New Roman"/>
          <w:b/>
          <w:bCs/>
          <w:sz w:val="24"/>
          <w:szCs w:val="26"/>
        </w:rPr>
        <w:t>2014.-</w:t>
      </w:r>
      <w:r w:rsidR="00231A6F">
        <w:rPr>
          <w:rFonts w:ascii="Times New Roman" w:hAnsi="Times New Roman"/>
          <w:b/>
          <w:bCs/>
          <w:sz w:val="24"/>
          <w:szCs w:val="26"/>
        </w:rPr>
        <w:t>30.06.</w:t>
      </w:r>
      <w:r w:rsidR="00AA2F7D" w:rsidRPr="006723DC">
        <w:rPr>
          <w:rFonts w:ascii="Times New Roman" w:hAnsi="Times New Roman"/>
          <w:b/>
          <w:bCs/>
          <w:sz w:val="24"/>
          <w:szCs w:val="26"/>
        </w:rPr>
        <w:t>2015.</w:t>
      </w:r>
      <w:r w:rsidR="009C030B">
        <w:rPr>
          <w:rFonts w:ascii="Times New Roman" w:hAnsi="Times New Roman"/>
          <w:b/>
          <w:bCs/>
          <w:sz w:val="24"/>
          <w:szCs w:val="26"/>
        </w:rPr>
        <w:t>)</w:t>
      </w:r>
    </w:p>
    <w:p w:rsidR="00AA2F7D" w:rsidRDefault="00AA2F7D" w:rsidP="0053325B">
      <w:pPr>
        <w:spacing w:after="0" w:line="240" w:lineRule="auto"/>
        <w:contextualSpacing/>
        <w:jc w:val="center"/>
        <w:rPr>
          <w:rFonts w:ascii="Times New Roman" w:hAnsi="Times New Roman"/>
          <w:b/>
          <w:bCs/>
          <w:sz w:val="24"/>
          <w:szCs w:val="26"/>
        </w:rPr>
      </w:pPr>
      <w:r>
        <w:rPr>
          <w:noProof/>
          <w:lang w:eastAsia="lv-LV"/>
        </w:rPr>
        <w:drawing>
          <wp:inline distT="0" distB="0" distL="0" distR="0">
            <wp:extent cx="5486400" cy="30765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23DC" w:rsidRPr="006723DC" w:rsidRDefault="006723DC" w:rsidP="0053325B">
      <w:pPr>
        <w:spacing w:after="0" w:line="240" w:lineRule="auto"/>
        <w:contextualSpacing/>
        <w:rPr>
          <w:rFonts w:ascii="Times New Roman" w:hAnsi="Times New Roman"/>
          <w:i/>
          <w:szCs w:val="26"/>
        </w:rPr>
      </w:pPr>
      <w:r>
        <w:rPr>
          <w:rFonts w:ascii="Times New Roman" w:hAnsi="Times New Roman"/>
          <w:szCs w:val="26"/>
        </w:rPr>
        <w:t xml:space="preserve">     </w:t>
      </w:r>
      <w:r w:rsidRPr="006723DC">
        <w:rPr>
          <w:rFonts w:ascii="Times New Roman" w:hAnsi="Times New Roman"/>
          <w:i/>
          <w:szCs w:val="26"/>
        </w:rPr>
        <w:t>Avots: PMPL</w:t>
      </w:r>
    </w:p>
    <w:p w:rsidR="006723DC" w:rsidRPr="006723DC" w:rsidRDefault="006723DC" w:rsidP="0053325B">
      <w:pPr>
        <w:spacing w:after="0" w:line="240" w:lineRule="auto"/>
        <w:contextualSpacing/>
        <w:rPr>
          <w:rFonts w:ascii="Times New Roman" w:hAnsi="Times New Roman"/>
          <w:szCs w:val="26"/>
        </w:rPr>
      </w:pPr>
    </w:p>
    <w:p w:rsidR="005E6269" w:rsidRDefault="005E6269" w:rsidP="00E82BD7">
      <w:pPr>
        <w:spacing w:after="0" w:line="240" w:lineRule="auto"/>
        <w:ind w:firstLine="567"/>
        <w:contextualSpacing/>
        <w:jc w:val="both"/>
        <w:rPr>
          <w:rFonts w:ascii="Times New Roman" w:hAnsi="Times New Roman"/>
          <w:sz w:val="26"/>
          <w:szCs w:val="26"/>
          <w:lang w:eastAsia="lv-LV"/>
        </w:rPr>
      </w:pPr>
      <w:r>
        <w:rPr>
          <w:rFonts w:ascii="Times New Roman" w:hAnsi="Times New Roman"/>
          <w:sz w:val="26"/>
          <w:szCs w:val="26"/>
          <w:lang w:eastAsia="lv-LV"/>
        </w:rPr>
        <w:t xml:space="preserve">Saskaņā ar PMLP sniegtajiem datiem 2014.gada 1.pusgadā ar pirmreizējo TUA izsniegšanu saistīto investīciju kopapjoms bija 198,9 milj. </w:t>
      </w:r>
      <w:proofErr w:type="spellStart"/>
      <w:r w:rsidRPr="005E6269">
        <w:rPr>
          <w:rFonts w:ascii="Times New Roman" w:hAnsi="Times New Roman"/>
          <w:i/>
          <w:sz w:val="26"/>
          <w:szCs w:val="26"/>
          <w:lang w:eastAsia="lv-LV"/>
        </w:rPr>
        <w:t>euro</w:t>
      </w:r>
      <w:proofErr w:type="spellEnd"/>
      <w:r>
        <w:rPr>
          <w:rFonts w:ascii="Times New Roman" w:hAnsi="Times New Roman"/>
          <w:sz w:val="26"/>
          <w:szCs w:val="26"/>
          <w:lang w:eastAsia="lv-LV"/>
        </w:rPr>
        <w:t>, taču 2015.gada 1.pusgadā</w:t>
      </w:r>
      <w:r w:rsidR="00371988">
        <w:rPr>
          <w:rFonts w:ascii="Times New Roman" w:hAnsi="Times New Roman"/>
          <w:sz w:val="26"/>
          <w:szCs w:val="26"/>
          <w:lang w:eastAsia="lv-LV"/>
        </w:rPr>
        <w:t xml:space="preserve"> – </w:t>
      </w:r>
      <w:r>
        <w:rPr>
          <w:rFonts w:ascii="Times New Roman" w:hAnsi="Times New Roman"/>
          <w:sz w:val="26"/>
          <w:szCs w:val="26"/>
          <w:lang w:eastAsia="lv-LV"/>
        </w:rPr>
        <w:t xml:space="preserve">34,3 milj. </w:t>
      </w:r>
      <w:proofErr w:type="spellStart"/>
      <w:r w:rsidRPr="005E6269">
        <w:rPr>
          <w:rFonts w:ascii="Times New Roman" w:hAnsi="Times New Roman"/>
          <w:i/>
          <w:sz w:val="26"/>
          <w:szCs w:val="26"/>
          <w:lang w:eastAsia="lv-LV"/>
        </w:rPr>
        <w:t>euro</w:t>
      </w:r>
      <w:proofErr w:type="spellEnd"/>
      <w:r>
        <w:rPr>
          <w:rFonts w:ascii="Times New Roman" w:hAnsi="Times New Roman"/>
          <w:sz w:val="26"/>
          <w:szCs w:val="26"/>
          <w:lang w:eastAsia="lv-LV"/>
        </w:rPr>
        <w:t xml:space="preserve">. No šīm summām investīciju nekustamajā īpašumā īpatsvars 2014.gada 1.pusgadā ir 88,7% un 2015.gada 1.pusgadā </w:t>
      </w:r>
      <w:r w:rsidR="00371988">
        <w:rPr>
          <w:rFonts w:ascii="Times New Roman" w:hAnsi="Times New Roman"/>
          <w:sz w:val="26"/>
          <w:szCs w:val="26"/>
          <w:lang w:eastAsia="lv-LV"/>
        </w:rPr>
        <w:t xml:space="preserve">– </w:t>
      </w:r>
      <w:r>
        <w:rPr>
          <w:rFonts w:ascii="Times New Roman" w:hAnsi="Times New Roman"/>
          <w:sz w:val="26"/>
          <w:szCs w:val="26"/>
          <w:lang w:eastAsia="lv-LV"/>
        </w:rPr>
        <w:t>72,87%.</w:t>
      </w:r>
    </w:p>
    <w:p w:rsidR="00F50EFE" w:rsidRDefault="005E6269" w:rsidP="0053325B">
      <w:pPr>
        <w:spacing w:after="0" w:line="240" w:lineRule="auto"/>
        <w:ind w:firstLine="284"/>
        <w:contextualSpacing/>
        <w:jc w:val="right"/>
        <w:rPr>
          <w:rFonts w:ascii="Times New Roman" w:hAnsi="Times New Roman"/>
          <w:sz w:val="26"/>
          <w:szCs w:val="26"/>
          <w:lang w:eastAsia="lv-LV"/>
        </w:rPr>
      </w:pPr>
      <w:r>
        <w:rPr>
          <w:rFonts w:ascii="Times New Roman" w:hAnsi="Times New Roman"/>
          <w:sz w:val="26"/>
          <w:szCs w:val="26"/>
          <w:lang w:eastAsia="lv-LV"/>
        </w:rPr>
        <w:t xml:space="preserve"> </w:t>
      </w:r>
      <w:r w:rsidR="00F50EFE">
        <w:rPr>
          <w:rFonts w:ascii="Times New Roman" w:hAnsi="Times New Roman"/>
          <w:sz w:val="26"/>
          <w:szCs w:val="26"/>
          <w:lang w:eastAsia="lv-LV"/>
        </w:rPr>
        <w:t>2.attēls</w:t>
      </w:r>
    </w:p>
    <w:p w:rsidR="00F50EFE" w:rsidRDefault="001D26F1" w:rsidP="0053325B">
      <w:pPr>
        <w:spacing w:after="0"/>
        <w:contextualSpacing/>
        <w:jc w:val="center"/>
        <w:rPr>
          <w:rFonts w:ascii="Times New Roman" w:hAnsi="Times New Roman"/>
          <w:b/>
          <w:sz w:val="24"/>
          <w:szCs w:val="24"/>
        </w:rPr>
      </w:pPr>
      <w:r>
        <w:rPr>
          <w:rFonts w:ascii="Times New Roman" w:hAnsi="Times New Roman"/>
          <w:b/>
          <w:sz w:val="24"/>
          <w:szCs w:val="24"/>
        </w:rPr>
        <w:t xml:space="preserve">Ar TUA saistīto ieguldījumu kopsumma </w:t>
      </w:r>
      <w:r w:rsidR="00F50EFE" w:rsidRPr="00F50EFE">
        <w:rPr>
          <w:rFonts w:ascii="Times New Roman" w:hAnsi="Times New Roman"/>
          <w:b/>
          <w:sz w:val="24"/>
          <w:szCs w:val="24"/>
        </w:rPr>
        <w:t xml:space="preserve">* (tūkst., </w:t>
      </w:r>
      <w:proofErr w:type="spellStart"/>
      <w:r w:rsidR="00F50EFE" w:rsidRPr="00F50EFE">
        <w:rPr>
          <w:rFonts w:ascii="Times New Roman" w:hAnsi="Times New Roman"/>
          <w:b/>
          <w:i/>
          <w:sz w:val="24"/>
          <w:szCs w:val="24"/>
        </w:rPr>
        <w:t>euro</w:t>
      </w:r>
      <w:proofErr w:type="spellEnd"/>
      <w:r w:rsidR="00F50EFE" w:rsidRPr="00F50EFE">
        <w:rPr>
          <w:rFonts w:ascii="Times New Roman" w:hAnsi="Times New Roman"/>
          <w:b/>
          <w:sz w:val="24"/>
          <w:szCs w:val="24"/>
        </w:rPr>
        <w:t xml:space="preserve">) </w:t>
      </w:r>
      <w:r>
        <w:rPr>
          <w:rFonts w:ascii="Times New Roman" w:hAnsi="Times New Roman"/>
          <w:b/>
          <w:sz w:val="24"/>
          <w:szCs w:val="24"/>
        </w:rPr>
        <w:t xml:space="preserve">sadalījumā pa ieguldījumu veidiem un </w:t>
      </w:r>
      <w:r w:rsidR="00F50EFE" w:rsidRPr="00F50EFE">
        <w:rPr>
          <w:rFonts w:ascii="Times New Roman" w:hAnsi="Times New Roman"/>
          <w:b/>
          <w:sz w:val="24"/>
          <w:szCs w:val="24"/>
        </w:rPr>
        <w:t>pa ceturkšņiem</w:t>
      </w:r>
      <w:r>
        <w:rPr>
          <w:rFonts w:ascii="Times New Roman" w:hAnsi="Times New Roman"/>
          <w:b/>
          <w:sz w:val="24"/>
          <w:szCs w:val="24"/>
        </w:rPr>
        <w:t xml:space="preserve"> (</w:t>
      </w:r>
      <w:r w:rsidR="00231A6F">
        <w:rPr>
          <w:rFonts w:ascii="Times New Roman" w:hAnsi="Times New Roman"/>
          <w:b/>
          <w:sz w:val="24"/>
          <w:szCs w:val="24"/>
        </w:rPr>
        <w:t>01.</w:t>
      </w:r>
      <w:r>
        <w:rPr>
          <w:rFonts w:ascii="Times New Roman" w:hAnsi="Times New Roman"/>
          <w:b/>
          <w:sz w:val="24"/>
          <w:szCs w:val="24"/>
        </w:rPr>
        <w:t>01.2014.-</w:t>
      </w:r>
      <w:r w:rsidR="00231A6F">
        <w:rPr>
          <w:rFonts w:ascii="Times New Roman" w:hAnsi="Times New Roman"/>
          <w:b/>
          <w:sz w:val="24"/>
          <w:szCs w:val="24"/>
        </w:rPr>
        <w:t>30.</w:t>
      </w:r>
      <w:r>
        <w:rPr>
          <w:rFonts w:ascii="Times New Roman" w:hAnsi="Times New Roman"/>
          <w:b/>
          <w:sz w:val="24"/>
          <w:szCs w:val="24"/>
        </w:rPr>
        <w:t>06.2015.)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751"/>
      </w:tblGrid>
      <w:tr w:rsidR="00E2783C" w:rsidRPr="00245E1C" w:rsidTr="00E2783C">
        <w:tc>
          <w:tcPr>
            <w:tcW w:w="4506" w:type="dxa"/>
          </w:tcPr>
          <w:p w:rsidR="001D26F1" w:rsidRPr="001D26F1" w:rsidRDefault="001D26F1" w:rsidP="0053325B">
            <w:pPr>
              <w:spacing w:after="0" w:line="240" w:lineRule="auto"/>
              <w:contextualSpacing/>
              <w:jc w:val="center"/>
              <w:rPr>
                <w:rFonts w:ascii="Times New Roman" w:hAnsi="Times New Roman"/>
                <w:b/>
                <w:sz w:val="22"/>
                <w:szCs w:val="24"/>
              </w:rPr>
            </w:pPr>
            <w:r w:rsidRPr="001D26F1">
              <w:rPr>
                <w:rFonts w:ascii="Times New Roman" w:hAnsi="Times New Roman"/>
                <w:b/>
                <w:sz w:val="22"/>
                <w:szCs w:val="24"/>
              </w:rPr>
              <w:t>Ieguldījumi kapitālsabiedrību pamatkapitālā</w:t>
            </w:r>
          </w:p>
          <w:p w:rsidR="001D26F1" w:rsidRPr="00371988" w:rsidRDefault="001D26F1" w:rsidP="0053325B">
            <w:pPr>
              <w:spacing w:after="0" w:line="240" w:lineRule="auto"/>
              <w:contextualSpacing/>
              <w:jc w:val="center"/>
              <w:rPr>
                <w:rFonts w:ascii="Times New Roman" w:hAnsi="Times New Roman"/>
                <w:b/>
                <w:sz w:val="24"/>
                <w:szCs w:val="24"/>
              </w:rPr>
            </w:pPr>
            <w:r w:rsidRPr="00371988">
              <w:rPr>
                <w:rFonts w:ascii="Times New Roman" w:hAnsi="Times New Roman"/>
                <w:noProof/>
                <w:lang w:eastAsia="lv-LV"/>
              </w:rPr>
              <w:drawing>
                <wp:inline distT="0" distB="0" distL="0" distR="0">
                  <wp:extent cx="2647950" cy="20764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52CF" w:rsidRDefault="00E552CF" w:rsidP="0053325B">
            <w:pPr>
              <w:tabs>
                <w:tab w:val="center" w:pos="2145"/>
              </w:tabs>
              <w:spacing w:after="0" w:line="240" w:lineRule="auto"/>
              <w:contextualSpacing/>
              <w:rPr>
                <w:rFonts w:ascii="Times New Roman" w:hAnsi="Times New Roman"/>
                <w:b/>
                <w:sz w:val="22"/>
                <w:szCs w:val="22"/>
              </w:rPr>
            </w:pPr>
          </w:p>
          <w:p w:rsidR="00E552CF" w:rsidRDefault="00E552CF" w:rsidP="0053325B">
            <w:pPr>
              <w:tabs>
                <w:tab w:val="center" w:pos="2145"/>
              </w:tabs>
              <w:spacing w:after="0" w:line="240" w:lineRule="auto"/>
              <w:contextualSpacing/>
              <w:rPr>
                <w:rFonts w:ascii="Times New Roman" w:hAnsi="Times New Roman"/>
                <w:b/>
                <w:sz w:val="22"/>
                <w:szCs w:val="22"/>
              </w:rPr>
            </w:pPr>
          </w:p>
          <w:p w:rsidR="00E552CF" w:rsidRDefault="00E552CF" w:rsidP="0053325B">
            <w:pPr>
              <w:tabs>
                <w:tab w:val="center" w:pos="2145"/>
              </w:tabs>
              <w:spacing w:after="0" w:line="240" w:lineRule="auto"/>
              <w:contextualSpacing/>
              <w:rPr>
                <w:rFonts w:ascii="Times New Roman" w:hAnsi="Times New Roman"/>
                <w:b/>
                <w:sz w:val="22"/>
                <w:szCs w:val="22"/>
              </w:rPr>
            </w:pPr>
          </w:p>
          <w:p w:rsidR="00E552CF" w:rsidRDefault="00E552CF" w:rsidP="0053325B">
            <w:pPr>
              <w:tabs>
                <w:tab w:val="center" w:pos="2145"/>
              </w:tabs>
              <w:spacing w:after="0" w:line="240" w:lineRule="auto"/>
              <w:contextualSpacing/>
              <w:rPr>
                <w:rFonts w:ascii="Times New Roman" w:hAnsi="Times New Roman"/>
                <w:b/>
                <w:sz w:val="22"/>
                <w:szCs w:val="22"/>
              </w:rPr>
            </w:pPr>
          </w:p>
          <w:p w:rsidR="00E2783C" w:rsidRPr="00E2783C" w:rsidRDefault="00231A6F" w:rsidP="00E552CF">
            <w:pPr>
              <w:keepNext/>
              <w:tabs>
                <w:tab w:val="center" w:pos="2145"/>
              </w:tabs>
              <w:spacing w:after="0" w:line="240" w:lineRule="auto"/>
              <w:contextualSpacing/>
              <w:rPr>
                <w:rFonts w:ascii="Times New Roman" w:hAnsi="Times New Roman"/>
                <w:b/>
                <w:sz w:val="22"/>
                <w:szCs w:val="22"/>
              </w:rPr>
            </w:pPr>
            <w:r>
              <w:rPr>
                <w:rFonts w:ascii="Times New Roman" w:hAnsi="Times New Roman"/>
                <w:b/>
                <w:sz w:val="22"/>
                <w:szCs w:val="22"/>
              </w:rPr>
              <w:t>Ieguldījumi nekustamajā īpašumā</w:t>
            </w:r>
            <w:r w:rsidR="00E2783C">
              <w:rPr>
                <w:rFonts w:ascii="Times New Roman" w:hAnsi="Times New Roman"/>
                <w:b/>
                <w:sz w:val="22"/>
                <w:szCs w:val="22"/>
              </w:rPr>
              <w:tab/>
            </w:r>
          </w:p>
          <w:p w:rsidR="001D26F1" w:rsidRDefault="001D26F1" w:rsidP="00E552CF">
            <w:pPr>
              <w:keepNext/>
              <w:spacing w:after="0" w:line="240" w:lineRule="auto"/>
              <w:contextualSpacing/>
              <w:rPr>
                <w:rFonts w:ascii="Times New Roman" w:hAnsi="Times New Roman"/>
                <w:i/>
                <w:sz w:val="22"/>
                <w:szCs w:val="22"/>
              </w:rPr>
            </w:pPr>
            <w:r w:rsidRPr="00265C99">
              <w:rPr>
                <w:rFonts w:ascii="Times New Roman" w:hAnsi="Times New Roman"/>
                <w:noProof/>
                <w:lang w:eastAsia="lv-LV"/>
              </w:rPr>
              <w:lastRenderedPageBreak/>
              <w:drawing>
                <wp:inline distT="0" distB="0" distL="0" distR="0">
                  <wp:extent cx="2686050" cy="1952625"/>
                  <wp:effectExtent l="0" t="0" r="0"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6F1" w:rsidRDefault="00E2783C" w:rsidP="00E552CF">
            <w:pPr>
              <w:keepNext/>
              <w:spacing w:after="0" w:line="240" w:lineRule="auto"/>
              <w:contextualSpacing/>
              <w:rPr>
                <w:rFonts w:ascii="Times New Roman" w:hAnsi="Times New Roman"/>
                <w:i/>
                <w:sz w:val="22"/>
                <w:szCs w:val="22"/>
              </w:rPr>
            </w:pPr>
            <w:r w:rsidRPr="00E2783C">
              <w:rPr>
                <w:rFonts w:ascii="Times New Roman" w:hAnsi="Times New Roman"/>
                <w:i/>
                <w:sz w:val="22"/>
                <w:szCs w:val="22"/>
              </w:rPr>
              <w:t>Avots: PMLP</w:t>
            </w:r>
          </w:p>
          <w:p w:rsidR="00E2783C" w:rsidRDefault="00E2783C" w:rsidP="00E552CF">
            <w:pPr>
              <w:keepNext/>
              <w:spacing w:after="0" w:line="240" w:lineRule="auto"/>
              <w:contextualSpacing/>
              <w:rPr>
                <w:rFonts w:ascii="Times New Roman" w:hAnsi="Times New Roman"/>
              </w:rPr>
            </w:pPr>
            <w:r w:rsidRPr="00561943">
              <w:rPr>
                <w:rFonts w:ascii="Times New Roman" w:hAnsi="Times New Roman"/>
              </w:rPr>
              <w:t>*Tikai apstiprinātie TUA pieteikumi</w:t>
            </w:r>
          </w:p>
          <w:p w:rsidR="001D26F1" w:rsidRPr="002B4D22" w:rsidRDefault="001D26F1" w:rsidP="0053325B">
            <w:pPr>
              <w:spacing w:after="0" w:line="240" w:lineRule="auto"/>
              <w:contextualSpacing/>
              <w:rPr>
                <w:rFonts w:ascii="Times New Roman" w:hAnsi="Times New Roman"/>
                <w:b/>
                <w:sz w:val="22"/>
                <w:szCs w:val="22"/>
              </w:rPr>
            </w:pPr>
          </w:p>
        </w:tc>
        <w:tc>
          <w:tcPr>
            <w:tcW w:w="4751" w:type="dxa"/>
          </w:tcPr>
          <w:p w:rsidR="001D26F1" w:rsidRPr="00245E1C" w:rsidRDefault="001D26F1" w:rsidP="0053325B">
            <w:pPr>
              <w:spacing w:after="0" w:line="240" w:lineRule="auto"/>
              <w:contextualSpacing/>
              <w:jc w:val="center"/>
              <w:rPr>
                <w:rFonts w:ascii="Times New Roman" w:hAnsi="Times New Roman"/>
                <w:b/>
                <w:sz w:val="22"/>
                <w:szCs w:val="22"/>
              </w:rPr>
            </w:pPr>
            <w:r>
              <w:rPr>
                <w:rFonts w:ascii="Times New Roman" w:hAnsi="Times New Roman"/>
                <w:b/>
                <w:sz w:val="22"/>
                <w:szCs w:val="22"/>
              </w:rPr>
              <w:lastRenderedPageBreak/>
              <w:t>Ieguldījumi banku pakārtotajās saistībās</w:t>
            </w:r>
          </w:p>
          <w:p w:rsidR="001D26F1" w:rsidRDefault="001D26F1" w:rsidP="0053325B">
            <w:pPr>
              <w:spacing w:after="0" w:line="240" w:lineRule="auto"/>
              <w:contextualSpacing/>
              <w:rPr>
                <w:rFonts w:ascii="Times New Roman" w:hAnsi="Times New Roman"/>
                <w:i/>
                <w:sz w:val="22"/>
                <w:szCs w:val="22"/>
              </w:rPr>
            </w:pPr>
            <w:r w:rsidRPr="00265C99">
              <w:rPr>
                <w:rFonts w:ascii="Times New Roman" w:hAnsi="Times New Roman"/>
                <w:noProof/>
                <w:lang w:eastAsia="lv-LV"/>
              </w:rPr>
              <w:drawing>
                <wp:inline distT="0" distB="0" distL="0" distR="0">
                  <wp:extent cx="2676525" cy="20764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6F1" w:rsidRDefault="001D26F1"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Default="00E2783C" w:rsidP="0053325B">
            <w:pPr>
              <w:spacing w:after="0" w:line="240" w:lineRule="auto"/>
              <w:contextualSpacing/>
              <w:jc w:val="center"/>
              <w:rPr>
                <w:rFonts w:ascii="Times New Roman" w:hAnsi="Times New Roman"/>
                <w:sz w:val="24"/>
                <w:szCs w:val="24"/>
              </w:rPr>
            </w:pPr>
          </w:p>
          <w:p w:rsidR="00E2783C" w:rsidRPr="00245E1C" w:rsidRDefault="00E2783C" w:rsidP="0053325B">
            <w:pPr>
              <w:spacing w:after="0" w:line="240" w:lineRule="auto"/>
              <w:contextualSpacing/>
              <w:jc w:val="center"/>
              <w:rPr>
                <w:rFonts w:ascii="Times New Roman" w:hAnsi="Times New Roman"/>
                <w:sz w:val="24"/>
                <w:szCs w:val="24"/>
              </w:rPr>
            </w:pPr>
          </w:p>
        </w:tc>
      </w:tr>
    </w:tbl>
    <w:p w:rsidR="009157D0" w:rsidRDefault="00637F4C" w:rsidP="000B4756">
      <w:pPr>
        <w:spacing w:after="0" w:line="240" w:lineRule="auto"/>
        <w:ind w:firstLine="567"/>
        <w:jc w:val="both"/>
        <w:rPr>
          <w:rFonts w:ascii="Times New Roman" w:hAnsi="Times New Roman"/>
          <w:sz w:val="26"/>
          <w:szCs w:val="26"/>
          <w:lang w:eastAsia="lv-LV"/>
        </w:rPr>
      </w:pPr>
      <w:r>
        <w:rPr>
          <w:rFonts w:ascii="Times New Roman" w:hAnsi="Times New Roman"/>
          <w:sz w:val="26"/>
          <w:szCs w:val="26"/>
          <w:lang w:eastAsia="lv-LV"/>
        </w:rPr>
        <w:lastRenderedPageBreak/>
        <w:t xml:space="preserve">2014.gada 1.septembrī spēkā stājušies grozījumi </w:t>
      </w:r>
      <w:r w:rsidR="009157D0">
        <w:rPr>
          <w:rFonts w:ascii="Times New Roman" w:hAnsi="Times New Roman"/>
          <w:sz w:val="26"/>
          <w:szCs w:val="26"/>
          <w:lang w:eastAsia="lv-LV"/>
        </w:rPr>
        <w:t>Imigrācijas likumā</w:t>
      </w:r>
      <w:proofErr w:type="gramStart"/>
      <w:r w:rsidR="009157D0">
        <w:rPr>
          <w:rFonts w:ascii="Times New Roman" w:hAnsi="Times New Roman"/>
          <w:sz w:val="26"/>
          <w:szCs w:val="26"/>
          <w:lang w:eastAsia="lv-LV"/>
        </w:rPr>
        <w:t xml:space="preserve">  </w:t>
      </w:r>
      <w:proofErr w:type="gramEnd"/>
      <w:r>
        <w:rPr>
          <w:rFonts w:ascii="Times New Roman" w:hAnsi="Times New Roman"/>
          <w:sz w:val="26"/>
          <w:szCs w:val="26"/>
          <w:lang w:eastAsia="lv-LV"/>
        </w:rPr>
        <w:t xml:space="preserve">mainīja minimālo nepieciešamo investīciju apjomu tikai vienam no TUA iegūšanas veidiem – proti, investīcijām nekustamajā īpašumā. Atlikušajiem TUA ieguves veidiem investīciju apjoms netika grozīts. Tajā pašā laikā 2014.gada 2.pusgadā un 2015.gada 1.pusgadā pirmreizējo TUA pieteikumu skaits un investīciju apjoms ir samazinājies visos TUA ieguves veidos (skatīt 2.attēlu). Līdz ar to var secināt, ka 2014.gada 1.septembrī spēkā stājušies grozījumi Imigrācijas likuma 23.pantā nav vienīgais iemesls vispārējam investīciju apjoma kritumam. Kā vienu no būtiskākajiem iemesliem var minēt ekonomiskās situācijas pasliktināšanos Krievijas Federācijā. Šo tendenci var </w:t>
      </w:r>
      <w:r w:rsidR="009C030B">
        <w:rPr>
          <w:rFonts w:ascii="Times New Roman" w:hAnsi="Times New Roman"/>
          <w:sz w:val="26"/>
          <w:szCs w:val="26"/>
          <w:lang w:eastAsia="lv-LV"/>
        </w:rPr>
        <w:t>novērot</w:t>
      </w:r>
      <w:r w:rsidR="003A38E9">
        <w:rPr>
          <w:rFonts w:ascii="Times New Roman" w:hAnsi="Times New Roman"/>
          <w:sz w:val="26"/>
          <w:szCs w:val="26"/>
          <w:lang w:eastAsia="lv-LV"/>
        </w:rPr>
        <w:t>,</w:t>
      </w:r>
      <w:r>
        <w:rPr>
          <w:rFonts w:ascii="Times New Roman" w:hAnsi="Times New Roman"/>
          <w:sz w:val="26"/>
          <w:szCs w:val="26"/>
          <w:lang w:eastAsia="lv-LV"/>
        </w:rPr>
        <w:t xml:space="preserve"> arī aplūkojot </w:t>
      </w:r>
      <w:r w:rsidR="009C030B">
        <w:rPr>
          <w:rFonts w:ascii="Times New Roman" w:hAnsi="Times New Roman"/>
          <w:sz w:val="26"/>
          <w:szCs w:val="26"/>
          <w:lang w:eastAsia="lv-LV"/>
        </w:rPr>
        <w:t xml:space="preserve">statistiku par </w:t>
      </w:r>
      <w:r>
        <w:rPr>
          <w:rFonts w:ascii="Times New Roman" w:hAnsi="Times New Roman"/>
          <w:sz w:val="26"/>
          <w:szCs w:val="26"/>
          <w:lang w:eastAsia="lv-LV"/>
        </w:rPr>
        <w:t>TUA pieteicēju izcelsmes valst</w:t>
      </w:r>
      <w:r w:rsidR="009C030B">
        <w:rPr>
          <w:rFonts w:ascii="Times New Roman" w:hAnsi="Times New Roman"/>
          <w:sz w:val="26"/>
          <w:szCs w:val="26"/>
          <w:lang w:eastAsia="lv-LV"/>
        </w:rPr>
        <w:t>īm</w:t>
      </w:r>
      <w:r w:rsidR="00EA6C75">
        <w:rPr>
          <w:rFonts w:ascii="Times New Roman" w:hAnsi="Times New Roman"/>
          <w:sz w:val="26"/>
          <w:szCs w:val="26"/>
          <w:lang w:eastAsia="lv-LV"/>
        </w:rPr>
        <w:t xml:space="preserve"> (skatīt 3.attēlu)</w:t>
      </w:r>
      <w:r>
        <w:rPr>
          <w:rFonts w:ascii="Times New Roman" w:hAnsi="Times New Roman"/>
          <w:sz w:val="26"/>
          <w:szCs w:val="26"/>
          <w:lang w:eastAsia="lv-LV"/>
        </w:rPr>
        <w:t xml:space="preserve">. Ja 2012.gadā Krievijas Federācijas pilsoņu īpatsvars starp TUA pieteicējiem bija 72%, tad 2013.gadā </w:t>
      </w:r>
      <w:r w:rsidR="00CD2727">
        <w:rPr>
          <w:rFonts w:ascii="Times New Roman" w:hAnsi="Times New Roman"/>
          <w:sz w:val="26"/>
          <w:szCs w:val="26"/>
          <w:lang w:eastAsia="lv-LV"/>
        </w:rPr>
        <w:t>–</w:t>
      </w:r>
      <w:r>
        <w:rPr>
          <w:rFonts w:ascii="Times New Roman" w:hAnsi="Times New Roman"/>
          <w:sz w:val="26"/>
          <w:szCs w:val="26"/>
          <w:lang w:eastAsia="lv-LV"/>
        </w:rPr>
        <w:t>68,9%, 2014.gadā</w:t>
      </w:r>
      <w:r w:rsidR="00CD2727">
        <w:rPr>
          <w:rFonts w:ascii="Times New Roman" w:hAnsi="Times New Roman"/>
          <w:sz w:val="26"/>
          <w:szCs w:val="26"/>
          <w:lang w:eastAsia="lv-LV"/>
        </w:rPr>
        <w:t xml:space="preserve"> – </w:t>
      </w:r>
      <w:r>
        <w:rPr>
          <w:rFonts w:ascii="Times New Roman" w:hAnsi="Times New Roman"/>
          <w:sz w:val="26"/>
          <w:szCs w:val="26"/>
          <w:lang w:eastAsia="lv-LV"/>
        </w:rPr>
        <w:t xml:space="preserve">66,9% un 2015.gadā </w:t>
      </w:r>
      <w:r w:rsidR="00CD2727">
        <w:rPr>
          <w:rFonts w:ascii="Times New Roman" w:hAnsi="Times New Roman"/>
          <w:sz w:val="26"/>
          <w:szCs w:val="26"/>
          <w:lang w:eastAsia="lv-LV"/>
        </w:rPr>
        <w:t xml:space="preserve">– </w:t>
      </w:r>
      <w:r>
        <w:rPr>
          <w:rFonts w:ascii="Times New Roman" w:hAnsi="Times New Roman"/>
          <w:sz w:val="26"/>
          <w:szCs w:val="26"/>
          <w:lang w:eastAsia="lv-LV"/>
        </w:rPr>
        <w:t>jau 55%.</w:t>
      </w:r>
      <w:r w:rsidR="00942504">
        <w:rPr>
          <w:rFonts w:ascii="Times New Roman" w:hAnsi="Times New Roman"/>
          <w:sz w:val="26"/>
          <w:szCs w:val="26"/>
          <w:lang w:eastAsia="lv-LV"/>
        </w:rPr>
        <w:t xml:space="preserve"> </w:t>
      </w:r>
    </w:p>
    <w:p w:rsidR="009157D0" w:rsidRPr="009157D0" w:rsidRDefault="009157D0" w:rsidP="000B4756">
      <w:pPr>
        <w:spacing w:after="0" w:line="240" w:lineRule="auto"/>
        <w:ind w:firstLine="567"/>
        <w:jc w:val="both"/>
        <w:rPr>
          <w:rFonts w:ascii="Times New Roman" w:hAnsi="Times New Roman"/>
          <w:sz w:val="26"/>
          <w:szCs w:val="26"/>
          <w:lang w:eastAsia="lv-LV"/>
        </w:rPr>
      </w:pPr>
      <w:r w:rsidRPr="009157D0">
        <w:rPr>
          <w:rFonts w:ascii="Times New Roman" w:hAnsi="Times New Roman"/>
          <w:sz w:val="26"/>
          <w:szCs w:val="26"/>
          <w:lang w:eastAsia="lv-LV"/>
        </w:rPr>
        <w:t xml:space="preserve">Šobrīd </w:t>
      </w:r>
      <w:r w:rsidR="0096019D">
        <w:rPr>
          <w:rFonts w:ascii="Times New Roman" w:hAnsi="Times New Roman"/>
          <w:sz w:val="26"/>
          <w:szCs w:val="26"/>
          <w:lang w:eastAsia="lv-LV"/>
        </w:rPr>
        <w:t xml:space="preserve">saskaņā ar Imigrācijas likuma 23.panta pirmās daļas 28.punktā noteikto, </w:t>
      </w:r>
      <w:r w:rsidRPr="009157D0">
        <w:rPr>
          <w:rFonts w:ascii="Times New Roman" w:hAnsi="Times New Roman"/>
          <w:sz w:val="26"/>
          <w:szCs w:val="26"/>
          <w:lang w:eastAsia="lv-LV"/>
        </w:rPr>
        <w:t xml:space="preserve">saistībā ar ieguldījumu vienas kapitālsabiedrības pamatkapitālā TUA nevar saņemt vairāk par </w:t>
      </w:r>
      <w:r w:rsidR="003A38E9">
        <w:rPr>
          <w:rFonts w:ascii="Times New Roman" w:hAnsi="Times New Roman"/>
          <w:sz w:val="26"/>
          <w:szCs w:val="26"/>
          <w:lang w:eastAsia="lv-LV"/>
        </w:rPr>
        <w:t>trīs</w:t>
      </w:r>
      <w:r w:rsidRPr="009157D0">
        <w:rPr>
          <w:rFonts w:ascii="Times New Roman" w:hAnsi="Times New Roman"/>
          <w:sz w:val="26"/>
          <w:szCs w:val="26"/>
          <w:lang w:eastAsia="lv-LV"/>
        </w:rPr>
        <w:t xml:space="preserve"> TUA pieteicējiem, tas savukārt samazina mazo un vidējo kapitālsabiedrību iespējas piesaistīt to izaugsmei nepieciešamos ieguldījumus vajadzīgajā apmērā, ņemot vērā to, ka vispopulārākais ieguldījumu apmērs kapitālsabiedrības pamatkapitālā atbilst vai ir tuvu likumā noteiktajai minimālajai ieguldījuma summai. Ieguldījumu virs 150 000 </w:t>
      </w:r>
      <w:proofErr w:type="spellStart"/>
      <w:r w:rsidRPr="009157D0">
        <w:rPr>
          <w:rFonts w:ascii="Times New Roman" w:hAnsi="Times New Roman"/>
          <w:i/>
          <w:sz w:val="26"/>
          <w:szCs w:val="26"/>
          <w:lang w:eastAsia="lv-LV"/>
        </w:rPr>
        <w:t>euro</w:t>
      </w:r>
      <w:proofErr w:type="spellEnd"/>
      <w:r w:rsidRPr="009157D0">
        <w:rPr>
          <w:rFonts w:ascii="Times New Roman" w:hAnsi="Times New Roman"/>
          <w:sz w:val="26"/>
          <w:szCs w:val="26"/>
          <w:lang w:eastAsia="lv-LV"/>
        </w:rPr>
        <w:t xml:space="preserve"> īpatsvars ir ļoti neliels, kas neveicina investīciju piesaisti lielajām kapitālsabiedrībām un liecina par nepieciešamību pārskatīt likumā noteiktā minimālā ieguldījuma summu lielajās kapitālsabiedrībās. </w:t>
      </w:r>
    </w:p>
    <w:p w:rsidR="00EA6C75" w:rsidRPr="00EA6C75" w:rsidRDefault="00EA6C75" w:rsidP="000B4756">
      <w:pPr>
        <w:keepNext/>
        <w:spacing w:after="0" w:line="240" w:lineRule="auto"/>
        <w:ind w:firstLine="425"/>
        <w:contextualSpacing/>
        <w:jc w:val="right"/>
        <w:rPr>
          <w:rFonts w:ascii="Times New Roman" w:hAnsi="Times New Roman"/>
          <w:sz w:val="26"/>
          <w:szCs w:val="26"/>
        </w:rPr>
      </w:pPr>
      <w:r w:rsidRPr="00EA6C75">
        <w:rPr>
          <w:rFonts w:ascii="Times New Roman" w:hAnsi="Times New Roman"/>
          <w:sz w:val="26"/>
          <w:szCs w:val="26"/>
        </w:rPr>
        <w:lastRenderedPageBreak/>
        <w:t>3.attēls</w:t>
      </w:r>
    </w:p>
    <w:p w:rsidR="00EA6C75" w:rsidRPr="002B4D22" w:rsidRDefault="00EA6C75" w:rsidP="000B4756">
      <w:pPr>
        <w:keepNext/>
        <w:spacing w:after="0" w:line="240" w:lineRule="auto"/>
        <w:ind w:firstLine="425"/>
        <w:contextualSpacing/>
        <w:jc w:val="center"/>
        <w:rPr>
          <w:rFonts w:ascii="Times New Roman" w:hAnsi="Times New Roman"/>
          <w:b/>
          <w:sz w:val="24"/>
          <w:szCs w:val="24"/>
        </w:rPr>
      </w:pPr>
      <w:r w:rsidRPr="002B4D22">
        <w:rPr>
          <w:rFonts w:ascii="Times New Roman" w:hAnsi="Times New Roman"/>
          <w:b/>
          <w:sz w:val="24"/>
          <w:szCs w:val="24"/>
        </w:rPr>
        <w:t>Ārvalstu investoru (TUA pieteicēju) sadalījums pēc valstiskās piederības</w:t>
      </w:r>
    </w:p>
    <w:p w:rsidR="0058509A" w:rsidRDefault="00EA6C75" w:rsidP="000B4756">
      <w:pPr>
        <w:keepNext/>
        <w:spacing w:after="0" w:line="240" w:lineRule="auto"/>
        <w:ind w:firstLine="360"/>
        <w:contextualSpacing/>
        <w:jc w:val="center"/>
        <w:rPr>
          <w:rFonts w:ascii="Times New Roman" w:hAnsi="Times New Roman"/>
          <w:b/>
          <w:sz w:val="24"/>
          <w:szCs w:val="24"/>
        </w:rPr>
      </w:pPr>
      <w:r w:rsidRPr="002B4D22">
        <w:rPr>
          <w:rFonts w:ascii="Times New Roman" w:hAnsi="Times New Roman"/>
          <w:b/>
          <w:sz w:val="24"/>
          <w:szCs w:val="24"/>
        </w:rPr>
        <w:t>(</w:t>
      </w:r>
      <w:r w:rsidR="005F6DB0">
        <w:rPr>
          <w:rFonts w:ascii="Times New Roman" w:hAnsi="Times New Roman"/>
          <w:b/>
          <w:sz w:val="24"/>
          <w:szCs w:val="24"/>
        </w:rPr>
        <w:t>01.</w:t>
      </w:r>
      <w:r w:rsidRPr="002B4D22">
        <w:rPr>
          <w:rFonts w:ascii="Times New Roman" w:hAnsi="Times New Roman"/>
          <w:b/>
          <w:sz w:val="24"/>
          <w:szCs w:val="24"/>
        </w:rPr>
        <w:t>07.2010.-</w:t>
      </w:r>
      <w:r w:rsidR="005F6DB0">
        <w:rPr>
          <w:rFonts w:ascii="Times New Roman" w:hAnsi="Times New Roman"/>
          <w:b/>
          <w:sz w:val="24"/>
          <w:szCs w:val="24"/>
        </w:rPr>
        <w:t>30.</w:t>
      </w:r>
      <w:r w:rsidRPr="002B4D22">
        <w:rPr>
          <w:rFonts w:ascii="Times New Roman" w:hAnsi="Times New Roman"/>
          <w:b/>
          <w:sz w:val="24"/>
          <w:szCs w:val="24"/>
        </w:rPr>
        <w:t>06.2015.)</w:t>
      </w:r>
    </w:p>
    <w:p w:rsidR="00EA6C75" w:rsidRDefault="00EA6C75" w:rsidP="000B4756">
      <w:pPr>
        <w:keepNext/>
        <w:spacing w:after="0" w:line="240" w:lineRule="auto"/>
        <w:ind w:firstLine="360"/>
        <w:contextualSpacing/>
        <w:jc w:val="center"/>
        <w:rPr>
          <w:rFonts w:ascii="Times New Roman" w:hAnsi="Times New Roman"/>
          <w:b/>
          <w:sz w:val="24"/>
          <w:szCs w:val="24"/>
        </w:rPr>
      </w:pPr>
      <w:r>
        <w:rPr>
          <w:noProof/>
          <w:lang w:eastAsia="lv-LV"/>
        </w:rPr>
        <w:drawing>
          <wp:inline distT="0" distB="0" distL="0" distR="0">
            <wp:extent cx="5124450" cy="2867025"/>
            <wp:effectExtent l="0" t="0" r="0"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7D6" w:rsidRDefault="001277D6" w:rsidP="000B4756">
      <w:pPr>
        <w:keepNext/>
        <w:spacing w:after="0" w:line="240" w:lineRule="auto"/>
        <w:ind w:firstLine="360"/>
        <w:contextualSpacing/>
        <w:rPr>
          <w:rFonts w:ascii="Times New Roman" w:hAnsi="Times New Roman"/>
          <w:b/>
          <w:sz w:val="24"/>
          <w:szCs w:val="24"/>
        </w:rPr>
      </w:pPr>
      <w:r w:rsidRPr="00E2783C">
        <w:rPr>
          <w:rFonts w:ascii="Times New Roman" w:hAnsi="Times New Roman"/>
          <w:i/>
        </w:rPr>
        <w:t>Avots: PMLP</w:t>
      </w:r>
    </w:p>
    <w:p w:rsidR="00EA6C75" w:rsidRDefault="00EA6C75" w:rsidP="0053325B">
      <w:pPr>
        <w:spacing w:after="0" w:line="240" w:lineRule="auto"/>
        <w:ind w:firstLine="360"/>
        <w:contextualSpacing/>
        <w:jc w:val="center"/>
        <w:rPr>
          <w:rFonts w:ascii="Times New Roman" w:hAnsi="Times New Roman"/>
          <w:sz w:val="26"/>
          <w:szCs w:val="26"/>
        </w:rPr>
      </w:pPr>
    </w:p>
    <w:p w:rsidR="00EA6C75" w:rsidRDefault="009970BE" w:rsidP="001A2EEF">
      <w:pPr>
        <w:pStyle w:val="NormalWeb"/>
        <w:spacing w:before="0" w:beforeAutospacing="0" w:after="0" w:afterAutospacing="0"/>
        <w:ind w:firstLine="540"/>
        <w:jc w:val="both"/>
        <w:rPr>
          <w:sz w:val="26"/>
          <w:szCs w:val="26"/>
        </w:rPr>
      </w:pPr>
      <w:r w:rsidRPr="002B4D22">
        <w:rPr>
          <w:sz w:val="26"/>
          <w:szCs w:val="26"/>
        </w:rPr>
        <w:t>Kopumā TUA ir pieprasījuši 58 valstu pilsoņi.</w:t>
      </w:r>
      <w:r w:rsidRPr="009970BE">
        <w:rPr>
          <w:sz w:val="26"/>
          <w:szCs w:val="26"/>
        </w:rPr>
        <w:t xml:space="preserve"> </w:t>
      </w:r>
      <w:r w:rsidRPr="002B4D22">
        <w:rPr>
          <w:sz w:val="26"/>
          <w:szCs w:val="26"/>
        </w:rPr>
        <w:t xml:space="preserve">Aptuveni 90% no visām TUA ir pieprasījuši </w:t>
      </w:r>
      <w:r>
        <w:rPr>
          <w:sz w:val="26"/>
          <w:szCs w:val="26"/>
        </w:rPr>
        <w:t xml:space="preserve">investori no bijušajām PSRS republikām. </w:t>
      </w:r>
      <w:r w:rsidRPr="002B4D22">
        <w:rPr>
          <w:sz w:val="26"/>
          <w:szCs w:val="26"/>
        </w:rPr>
        <w:t xml:space="preserve">Ārpus bijušās </w:t>
      </w:r>
      <w:r w:rsidR="003B0B29">
        <w:rPr>
          <w:sz w:val="26"/>
          <w:szCs w:val="26"/>
        </w:rPr>
        <w:t>PSRS</w:t>
      </w:r>
      <w:r w:rsidR="003B0B29" w:rsidRPr="002B4D22">
        <w:rPr>
          <w:sz w:val="26"/>
          <w:szCs w:val="26"/>
        </w:rPr>
        <w:t xml:space="preserve"> </w:t>
      </w:r>
      <w:r w:rsidRPr="002B4D22">
        <w:rPr>
          <w:sz w:val="26"/>
          <w:szCs w:val="26"/>
        </w:rPr>
        <w:t xml:space="preserve">teritorijas lielākā investoru interese ir no Ķīnas (1 315 jeb 8% TUA pieprasījumu), Izraēlas (73 TUA pieprasījumi) un ASV (52 TUA pieprasījumi). </w:t>
      </w:r>
      <w:r w:rsidR="00EA6C75">
        <w:rPr>
          <w:sz w:val="26"/>
          <w:szCs w:val="26"/>
        </w:rPr>
        <w:t>Aplūkojot TUA pieteicēju valstspiederības īpatsvara dinamiku pa gadiem, jāsecina, ka Krievijas Federācijas pilsoņu īpatsvars kopējā TUA pieteikto personu skaitā samazinās, bet stabilu pieaugumu</w:t>
      </w:r>
      <w:r>
        <w:rPr>
          <w:sz w:val="26"/>
          <w:szCs w:val="26"/>
        </w:rPr>
        <w:t xml:space="preserve"> līdz pat 2015.gadam uzrādīja </w:t>
      </w:r>
      <w:r w:rsidR="00EA6C75">
        <w:rPr>
          <w:sz w:val="26"/>
          <w:szCs w:val="26"/>
        </w:rPr>
        <w:t xml:space="preserve">Ķīnas </w:t>
      </w:r>
      <w:r w:rsidR="00341965">
        <w:rPr>
          <w:sz w:val="26"/>
          <w:szCs w:val="26"/>
        </w:rPr>
        <w:t>pilsoņi</w:t>
      </w:r>
      <w:r w:rsidR="00EA6C75">
        <w:rPr>
          <w:sz w:val="26"/>
          <w:szCs w:val="26"/>
        </w:rPr>
        <w:t>.</w:t>
      </w:r>
      <w:r>
        <w:rPr>
          <w:sz w:val="26"/>
          <w:szCs w:val="26"/>
        </w:rPr>
        <w:t xml:space="preserve"> </w:t>
      </w:r>
      <w:r w:rsidR="00AA4813" w:rsidRPr="002B4D22">
        <w:rPr>
          <w:sz w:val="26"/>
          <w:szCs w:val="26"/>
        </w:rPr>
        <w:t>Ja 2010.-2012.gadā kopā tika saņemti 136 TUA pieteikumi, tad 2013.gadā un 2014.gadā kopā – 1 114 pieteikumi, tādējādi Ķīnai kļūstot par otro nozīmīgāko investoru izcelsmes valsti pēc Krievijas. 2015.gadā gan pieprasījumu skaits no Ķīnas pilsoņiem ir būtiski samazinājies Imigrācijas likumā veikto grozījumu dēļ – pieteikumus iesniegušas tikai 65 personas (2014.gadā – 669).</w:t>
      </w:r>
      <w:r>
        <w:rPr>
          <w:sz w:val="26"/>
          <w:szCs w:val="26"/>
        </w:rPr>
        <w:t xml:space="preserve"> 2014.gadā un 2015.gada 1.pusgadā ir pieaudzis Ukrainas pilsoņu īpatsvars, kas ir izskaidrojams ar bruņot</w:t>
      </w:r>
      <w:r w:rsidR="00341965">
        <w:rPr>
          <w:sz w:val="26"/>
          <w:szCs w:val="26"/>
        </w:rPr>
        <w:t>o</w:t>
      </w:r>
      <w:r>
        <w:rPr>
          <w:sz w:val="26"/>
          <w:szCs w:val="26"/>
        </w:rPr>
        <w:t xml:space="preserve"> konfliktu Ukrainas dienvidaustrumu reģionos. </w:t>
      </w:r>
    </w:p>
    <w:p w:rsidR="00830847" w:rsidRDefault="008D7297" w:rsidP="001A2EEF">
      <w:pPr>
        <w:spacing w:after="0" w:line="240" w:lineRule="auto"/>
        <w:ind w:firstLine="567"/>
        <w:jc w:val="both"/>
        <w:rPr>
          <w:rFonts w:ascii="Times New Roman" w:hAnsi="Times New Roman"/>
          <w:sz w:val="26"/>
          <w:szCs w:val="26"/>
        </w:rPr>
      </w:pPr>
      <w:r>
        <w:rPr>
          <w:rFonts w:ascii="Times New Roman" w:hAnsi="Times New Roman"/>
          <w:sz w:val="26"/>
          <w:szCs w:val="26"/>
        </w:rPr>
        <w:t xml:space="preserve">TUA saņemšanai nepieciešamā minimālā ieguldījuma apmēra maiņa nekustamā īpašuma iegādes gadījumā </w:t>
      </w:r>
      <w:r w:rsidR="005E6269">
        <w:rPr>
          <w:rFonts w:ascii="Times New Roman" w:hAnsi="Times New Roman"/>
          <w:sz w:val="26"/>
          <w:szCs w:val="26"/>
        </w:rPr>
        <w:t xml:space="preserve">ir samazinājusi darījumu skaitu ārpus Rīgas un Pierīgas (Jūrmala un </w:t>
      </w:r>
      <w:r w:rsidR="006F0A1C">
        <w:rPr>
          <w:rFonts w:ascii="Times New Roman" w:hAnsi="Times New Roman"/>
          <w:sz w:val="26"/>
          <w:szCs w:val="26"/>
        </w:rPr>
        <w:t xml:space="preserve">Babītes, Mārupes, Olaines, Ķekavas, Baldones, Salaspils, Ikšķiles, Stopiņu, </w:t>
      </w:r>
      <w:r w:rsidR="006F0A1C" w:rsidRPr="00704B2A">
        <w:rPr>
          <w:rFonts w:ascii="Times New Roman" w:hAnsi="Times New Roman"/>
          <w:sz w:val="26"/>
          <w:szCs w:val="26"/>
        </w:rPr>
        <w:t>Ropažu, Garkalnes, Ādažu, Carnikavas un Saulkrastu novadi</w:t>
      </w:r>
      <w:r w:rsidR="005E6269" w:rsidRPr="00704B2A">
        <w:rPr>
          <w:rFonts w:ascii="Times New Roman" w:hAnsi="Times New Roman"/>
          <w:sz w:val="26"/>
          <w:szCs w:val="26"/>
        </w:rPr>
        <w:t>). 2015.gadā apstiprināti vien 17 TUA pieteikumi (16,4%), kur nekustamais īpašums iegādāts ārpus Rīgas un Pierīgas.</w:t>
      </w:r>
      <w:r w:rsidR="008D324F" w:rsidRPr="00704B2A">
        <w:rPr>
          <w:rFonts w:ascii="Times New Roman" w:hAnsi="Times New Roman"/>
          <w:sz w:val="26"/>
          <w:szCs w:val="26"/>
        </w:rPr>
        <w:t xml:space="preserve"> </w:t>
      </w:r>
      <w:r w:rsidR="00341965" w:rsidRPr="00704B2A">
        <w:rPr>
          <w:rFonts w:ascii="Times New Roman" w:hAnsi="Times New Roman"/>
          <w:sz w:val="26"/>
          <w:szCs w:val="26"/>
        </w:rPr>
        <w:t>Savukārt</w:t>
      </w:r>
      <w:r w:rsidR="00704B2A" w:rsidRPr="00704B2A">
        <w:rPr>
          <w:rFonts w:ascii="Times New Roman" w:hAnsi="Times New Roman"/>
          <w:sz w:val="26"/>
          <w:szCs w:val="26"/>
        </w:rPr>
        <w:t xml:space="preserve"> š</w:t>
      </w:r>
      <w:r w:rsidR="008D324F" w:rsidRPr="00704B2A">
        <w:rPr>
          <w:rFonts w:ascii="Times New Roman" w:hAnsi="Times New Roman"/>
          <w:sz w:val="26"/>
          <w:szCs w:val="26"/>
        </w:rPr>
        <w:t>ādu darījumu īpatsva</w:t>
      </w:r>
      <w:r w:rsidR="00D95D82" w:rsidRPr="00704B2A">
        <w:rPr>
          <w:rFonts w:ascii="Times New Roman" w:hAnsi="Times New Roman"/>
          <w:sz w:val="26"/>
          <w:szCs w:val="26"/>
        </w:rPr>
        <w:t xml:space="preserve">rs </w:t>
      </w:r>
      <w:r w:rsidR="00852E19" w:rsidRPr="00704B2A">
        <w:rPr>
          <w:rFonts w:ascii="Times New Roman" w:hAnsi="Times New Roman"/>
          <w:sz w:val="26"/>
          <w:szCs w:val="26"/>
        </w:rPr>
        <w:t xml:space="preserve">bija arī </w:t>
      </w:r>
      <w:r w:rsidR="008D324F" w:rsidRPr="00704B2A">
        <w:rPr>
          <w:rFonts w:ascii="Times New Roman" w:hAnsi="Times New Roman"/>
          <w:sz w:val="26"/>
          <w:szCs w:val="26"/>
        </w:rPr>
        <w:t xml:space="preserve">2014.gada pirmajos astoņos mēnešos </w:t>
      </w:r>
      <w:r w:rsidR="006F0A1C" w:rsidRPr="00704B2A">
        <w:rPr>
          <w:rFonts w:ascii="Times New Roman" w:hAnsi="Times New Roman"/>
          <w:sz w:val="26"/>
          <w:szCs w:val="26"/>
        </w:rPr>
        <w:t>– 18,2%.</w:t>
      </w:r>
    </w:p>
    <w:p w:rsidR="00AA1A3E" w:rsidRPr="00AA1A3E" w:rsidRDefault="008D324F" w:rsidP="001A2EEF">
      <w:pPr>
        <w:spacing w:after="0" w:line="240" w:lineRule="auto"/>
        <w:ind w:firstLine="567"/>
        <w:jc w:val="both"/>
        <w:rPr>
          <w:rFonts w:ascii="Times New Roman" w:hAnsi="Times New Roman"/>
          <w:vanish/>
          <w:sz w:val="26"/>
          <w:szCs w:val="26"/>
          <w:specVanish/>
        </w:rPr>
      </w:pPr>
      <w:r>
        <w:rPr>
          <w:rFonts w:ascii="Times New Roman" w:hAnsi="Times New Roman"/>
          <w:sz w:val="26"/>
          <w:szCs w:val="26"/>
        </w:rPr>
        <w:t xml:space="preserve"> </w:t>
      </w:r>
      <w:r w:rsidR="00AA1A3E" w:rsidRPr="00AA1A3E">
        <w:rPr>
          <w:rFonts w:ascii="Times New Roman" w:hAnsi="Times New Roman"/>
          <w:sz w:val="26"/>
          <w:szCs w:val="26"/>
        </w:rPr>
        <w:t>No nekustamo īpašumu kompāniju tirgus pārskatiem par 2014.gadu un 2015.gada 1.pusgadu secināms, ka pēc grozījumiem Imigrācijas likumā, kas stājās spēkā 2014.gada 1.septembrī, vietējiem pircējiem jauno daudzdzīvokļu mājokļu projektu attīstītāju piedāvājums ir kļuvis pieejamāks un atbilstošāks.</w:t>
      </w:r>
    </w:p>
    <w:p w:rsidR="00AA4813" w:rsidRDefault="00AA1A3E" w:rsidP="003A38E9">
      <w:pPr>
        <w:spacing w:after="0" w:line="240" w:lineRule="auto"/>
        <w:ind w:firstLine="567"/>
        <w:jc w:val="both"/>
        <w:rPr>
          <w:lang w:eastAsia="lv-LV"/>
        </w:rPr>
      </w:pPr>
      <w:r>
        <w:rPr>
          <w:rFonts w:ascii="Times New Roman" w:hAnsi="Times New Roman"/>
          <w:sz w:val="26"/>
          <w:szCs w:val="26"/>
          <w:lang w:eastAsia="lv-LV"/>
        </w:rPr>
        <w:t xml:space="preserve"> </w:t>
      </w:r>
      <w:r w:rsidR="00F15494">
        <w:rPr>
          <w:rFonts w:ascii="Times New Roman" w:hAnsi="Times New Roman"/>
          <w:sz w:val="26"/>
          <w:szCs w:val="26"/>
          <w:lang w:eastAsia="lv-LV"/>
        </w:rPr>
        <w:t xml:space="preserve">Attīstītāji pārorientējas uz vietējo pircēju. </w:t>
      </w:r>
    </w:p>
    <w:p w:rsidR="00AA4813" w:rsidRDefault="00AA4813" w:rsidP="001A2EEF">
      <w:pPr>
        <w:spacing w:after="0"/>
        <w:rPr>
          <w:lang w:eastAsia="lv-LV"/>
        </w:rPr>
      </w:pPr>
    </w:p>
    <w:p w:rsidR="0053325B" w:rsidRDefault="0053325B" w:rsidP="001A2EEF">
      <w:pPr>
        <w:spacing w:after="0" w:line="240" w:lineRule="auto"/>
        <w:rPr>
          <w:lang w:eastAsia="lv-LV"/>
        </w:rPr>
      </w:pPr>
      <w:r>
        <w:rPr>
          <w:lang w:eastAsia="lv-LV"/>
        </w:rPr>
        <w:br w:type="page"/>
      </w:r>
    </w:p>
    <w:p w:rsidR="009B10A4" w:rsidRPr="002B4D22" w:rsidRDefault="009B10A4" w:rsidP="0016277F">
      <w:pPr>
        <w:pStyle w:val="Heading1"/>
        <w:numPr>
          <w:ilvl w:val="0"/>
          <w:numId w:val="10"/>
        </w:numPr>
        <w:spacing w:before="0" w:after="120" w:line="240" w:lineRule="auto"/>
        <w:rPr>
          <w:rFonts w:ascii="Times New Roman" w:hAnsi="Times New Roman"/>
          <w:color w:val="auto"/>
        </w:rPr>
      </w:pPr>
      <w:bookmarkStart w:id="18" w:name="_Toc429659161"/>
      <w:r w:rsidRPr="002B4D22">
        <w:rPr>
          <w:rFonts w:ascii="Times New Roman" w:hAnsi="Times New Roman"/>
          <w:color w:val="auto"/>
        </w:rPr>
        <w:lastRenderedPageBreak/>
        <w:t>Termiņuzturēšanās atļauju piešķiršanas dinamika 2004.-201</w:t>
      </w:r>
      <w:r w:rsidR="0044399A" w:rsidRPr="002B4D22">
        <w:rPr>
          <w:rFonts w:ascii="Times New Roman" w:hAnsi="Times New Roman"/>
          <w:color w:val="auto"/>
        </w:rPr>
        <w:t>5</w:t>
      </w:r>
      <w:r w:rsidRPr="002B4D22">
        <w:rPr>
          <w:rFonts w:ascii="Times New Roman" w:hAnsi="Times New Roman"/>
          <w:color w:val="auto"/>
        </w:rPr>
        <w:t>.gad</w:t>
      </w:r>
      <w:bookmarkEnd w:id="16"/>
      <w:r w:rsidRPr="002B4D22">
        <w:rPr>
          <w:rFonts w:ascii="Times New Roman" w:hAnsi="Times New Roman"/>
          <w:color w:val="auto"/>
        </w:rPr>
        <w:t>ā</w:t>
      </w:r>
      <w:bookmarkEnd w:id="18"/>
    </w:p>
    <w:p w:rsidR="00AA4813" w:rsidRDefault="009B10A4" w:rsidP="00901F02">
      <w:pPr>
        <w:spacing w:after="120" w:line="240" w:lineRule="auto"/>
        <w:ind w:firstLine="567"/>
        <w:jc w:val="both"/>
        <w:rPr>
          <w:rFonts w:ascii="Times New Roman" w:hAnsi="Times New Roman"/>
          <w:sz w:val="26"/>
          <w:szCs w:val="26"/>
        </w:rPr>
      </w:pPr>
      <w:r w:rsidRPr="002B4D22">
        <w:rPr>
          <w:rFonts w:ascii="Times New Roman" w:hAnsi="Times New Roman"/>
          <w:sz w:val="26"/>
          <w:szCs w:val="26"/>
        </w:rPr>
        <w:t>No 2004.gada līdz 2007.gadam pirmreizēji ieceļojušo ārzemnieku skaits Latvijā ir pakāpeniski palielinājies, augstāko līmeni sasniedzot 2007.gadā (4</w:t>
      </w:r>
      <w:r w:rsidR="0047401D" w:rsidRPr="002B4D22">
        <w:rPr>
          <w:rFonts w:ascii="Times New Roman" w:hAnsi="Times New Roman"/>
          <w:sz w:val="26"/>
          <w:szCs w:val="26"/>
        </w:rPr>
        <w:t> </w:t>
      </w:r>
      <w:r w:rsidRPr="002B4D22">
        <w:rPr>
          <w:rFonts w:ascii="Times New Roman" w:hAnsi="Times New Roman"/>
          <w:sz w:val="26"/>
          <w:szCs w:val="26"/>
        </w:rPr>
        <w:t xml:space="preserve">831 ārzemnieks). Ieceļotāju skaita pieaugumu šajos gados lielā mērā ietekmēja strauji augošais pieprasījums pēc darbaspēka un viesstrādnieku uzaicināšana no ārvalstīm. </w:t>
      </w:r>
    </w:p>
    <w:p w:rsidR="009B10A4" w:rsidRPr="002B4D22" w:rsidRDefault="007833C9" w:rsidP="00534DFC">
      <w:pPr>
        <w:spacing w:after="120" w:line="240" w:lineRule="auto"/>
        <w:jc w:val="right"/>
        <w:rPr>
          <w:rFonts w:ascii="Times New Roman" w:hAnsi="Times New Roman"/>
          <w:sz w:val="26"/>
          <w:szCs w:val="26"/>
        </w:rPr>
      </w:pPr>
      <w:r>
        <w:rPr>
          <w:rFonts w:ascii="Times New Roman" w:hAnsi="Times New Roman"/>
          <w:sz w:val="26"/>
          <w:szCs w:val="26"/>
        </w:rPr>
        <w:t>4</w:t>
      </w:r>
      <w:r w:rsidR="009B10A4" w:rsidRPr="002B4D22">
        <w:rPr>
          <w:rFonts w:ascii="Times New Roman" w:hAnsi="Times New Roman"/>
          <w:sz w:val="26"/>
          <w:szCs w:val="26"/>
        </w:rPr>
        <w:t>.attēls</w:t>
      </w:r>
    </w:p>
    <w:p w:rsidR="00924AA5" w:rsidRPr="002B4D22" w:rsidRDefault="00924AA5" w:rsidP="00534DFC">
      <w:pPr>
        <w:spacing w:after="120" w:line="240" w:lineRule="auto"/>
        <w:jc w:val="center"/>
        <w:rPr>
          <w:rFonts w:ascii="Times New Roman" w:hAnsi="Times New Roman"/>
          <w:b/>
          <w:sz w:val="24"/>
          <w:szCs w:val="24"/>
        </w:rPr>
      </w:pPr>
      <w:r w:rsidRPr="002B4D22">
        <w:rPr>
          <w:rFonts w:ascii="Times New Roman" w:hAnsi="Times New Roman"/>
          <w:b/>
          <w:sz w:val="24"/>
          <w:szCs w:val="24"/>
        </w:rPr>
        <w:t>Pirmreizēji izsniegto TUA skaits 2004.-201</w:t>
      </w:r>
      <w:r w:rsidR="00F512AA" w:rsidRPr="002B4D22">
        <w:rPr>
          <w:rFonts w:ascii="Times New Roman" w:hAnsi="Times New Roman"/>
          <w:b/>
          <w:sz w:val="24"/>
          <w:szCs w:val="24"/>
        </w:rPr>
        <w:t>5</w:t>
      </w:r>
      <w:r w:rsidRPr="002B4D22">
        <w:rPr>
          <w:rFonts w:ascii="Times New Roman" w:hAnsi="Times New Roman"/>
          <w:b/>
          <w:sz w:val="24"/>
          <w:szCs w:val="24"/>
        </w:rPr>
        <w:t>.gadā</w:t>
      </w:r>
    </w:p>
    <w:p w:rsidR="00924AA5" w:rsidRPr="002B4D22" w:rsidRDefault="00254452" w:rsidP="00534DFC">
      <w:pPr>
        <w:spacing w:after="120" w:line="240" w:lineRule="auto"/>
        <w:jc w:val="center"/>
        <w:rPr>
          <w:rFonts w:ascii="Times New Roman" w:hAnsi="Times New Roman"/>
          <w:sz w:val="26"/>
          <w:szCs w:val="26"/>
        </w:rPr>
      </w:pPr>
      <w:r w:rsidRPr="002B4D22">
        <w:rPr>
          <w:rFonts w:ascii="Times New Roman" w:hAnsi="Times New Roman"/>
          <w:noProof/>
          <w:sz w:val="24"/>
          <w:szCs w:val="24"/>
          <w:lang w:eastAsia="lv-LV"/>
        </w:rPr>
        <w:drawing>
          <wp:inline distT="0" distB="0" distL="0" distR="0">
            <wp:extent cx="4781550" cy="2867025"/>
            <wp:effectExtent l="0" t="0" r="0"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322" w:type="pct"/>
        <w:tblLayout w:type="fixed"/>
        <w:tblLook w:val="00A0"/>
      </w:tblPr>
      <w:tblGrid>
        <w:gridCol w:w="5052"/>
        <w:gridCol w:w="5031"/>
      </w:tblGrid>
      <w:tr w:rsidR="009B10A4" w:rsidRPr="002B4D22" w:rsidTr="000322BB">
        <w:tc>
          <w:tcPr>
            <w:tcW w:w="2505" w:type="pct"/>
          </w:tcPr>
          <w:p w:rsidR="009B10A4" w:rsidRPr="002B4D22" w:rsidRDefault="009B10A4" w:rsidP="00534DFC">
            <w:pPr>
              <w:spacing w:after="120" w:line="240" w:lineRule="auto"/>
              <w:ind w:left="142" w:right="202"/>
              <w:rPr>
                <w:rFonts w:ascii="Times New Roman" w:hAnsi="Times New Roman"/>
                <w:i/>
                <w:szCs w:val="26"/>
              </w:rPr>
            </w:pPr>
            <w:r w:rsidRPr="002B4D22">
              <w:rPr>
                <w:rFonts w:ascii="Times New Roman" w:hAnsi="Times New Roman"/>
                <w:i/>
                <w:szCs w:val="26"/>
              </w:rPr>
              <w:t xml:space="preserve">Avots: PMLP </w:t>
            </w:r>
          </w:p>
        </w:tc>
        <w:tc>
          <w:tcPr>
            <w:tcW w:w="2495" w:type="pct"/>
          </w:tcPr>
          <w:p w:rsidR="009B10A4" w:rsidRPr="002B4D22" w:rsidRDefault="009B10A4" w:rsidP="00534DFC">
            <w:pPr>
              <w:spacing w:after="120" w:line="240" w:lineRule="auto"/>
              <w:ind w:left="142" w:right="202"/>
              <w:rPr>
                <w:rFonts w:ascii="Times New Roman" w:hAnsi="Times New Roman"/>
                <w:i/>
                <w:szCs w:val="26"/>
              </w:rPr>
            </w:pPr>
          </w:p>
        </w:tc>
      </w:tr>
    </w:tbl>
    <w:p w:rsidR="00506C49" w:rsidRPr="002B4D22" w:rsidRDefault="007833C9" w:rsidP="00534DFC">
      <w:pPr>
        <w:spacing w:after="120" w:line="240" w:lineRule="auto"/>
        <w:ind w:firstLine="426"/>
        <w:jc w:val="right"/>
        <w:rPr>
          <w:rFonts w:ascii="Times New Roman" w:hAnsi="Times New Roman"/>
          <w:sz w:val="26"/>
          <w:szCs w:val="26"/>
        </w:rPr>
      </w:pPr>
      <w:r>
        <w:rPr>
          <w:rFonts w:ascii="Times New Roman" w:hAnsi="Times New Roman"/>
          <w:sz w:val="26"/>
          <w:szCs w:val="26"/>
        </w:rPr>
        <w:t>5</w:t>
      </w:r>
      <w:r w:rsidR="00506C49" w:rsidRPr="002B4D22">
        <w:rPr>
          <w:rFonts w:ascii="Times New Roman" w:hAnsi="Times New Roman"/>
          <w:sz w:val="26"/>
          <w:szCs w:val="26"/>
        </w:rPr>
        <w:t>.attēls</w:t>
      </w:r>
    </w:p>
    <w:p w:rsidR="00924AA5" w:rsidRPr="002B4D22" w:rsidRDefault="00924AA5" w:rsidP="00534DFC">
      <w:pPr>
        <w:spacing w:after="120" w:line="240" w:lineRule="auto"/>
        <w:ind w:firstLine="425"/>
        <w:jc w:val="center"/>
        <w:rPr>
          <w:rFonts w:ascii="Times New Roman" w:hAnsi="Times New Roman"/>
          <w:b/>
          <w:sz w:val="24"/>
          <w:szCs w:val="24"/>
        </w:rPr>
      </w:pPr>
      <w:r w:rsidRPr="002B4D22">
        <w:rPr>
          <w:rFonts w:ascii="Times New Roman" w:hAnsi="Times New Roman"/>
          <w:b/>
          <w:sz w:val="24"/>
          <w:szCs w:val="24"/>
        </w:rPr>
        <w:t>Pirmreizēji izsniegto TUA sadalījums pa atļauju pieprasīšanas iemesliem</w:t>
      </w:r>
    </w:p>
    <w:p w:rsidR="00374963" w:rsidRPr="002B4D22" w:rsidRDefault="00374963" w:rsidP="00534DFC">
      <w:pPr>
        <w:spacing w:after="120" w:line="240" w:lineRule="auto"/>
        <w:ind w:firstLine="425"/>
        <w:jc w:val="center"/>
        <w:rPr>
          <w:rFonts w:ascii="Times New Roman" w:hAnsi="Times New Roman"/>
          <w:sz w:val="24"/>
          <w:szCs w:val="24"/>
        </w:rPr>
      </w:pPr>
      <w:r w:rsidRPr="002B4D22">
        <w:rPr>
          <w:rFonts w:ascii="Times New Roman" w:hAnsi="Times New Roman"/>
          <w:noProof/>
          <w:sz w:val="24"/>
          <w:szCs w:val="24"/>
          <w:lang w:eastAsia="lv-LV"/>
        </w:rPr>
        <w:drawing>
          <wp:inline distT="0" distB="0" distL="0" distR="0">
            <wp:extent cx="5429250" cy="2809875"/>
            <wp:effectExtent l="0" t="0" r="0" b="952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4AA5" w:rsidRPr="002B4D22" w:rsidRDefault="00924AA5" w:rsidP="00534DFC">
      <w:pPr>
        <w:spacing w:after="120" w:line="240" w:lineRule="auto"/>
        <w:rPr>
          <w:rFonts w:ascii="Times New Roman" w:hAnsi="Times New Roman"/>
          <w:i/>
          <w:szCs w:val="26"/>
        </w:rPr>
      </w:pPr>
      <w:r w:rsidRPr="002B4D22">
        <w:rPr>
          <w:rFonts w:ascii="Times New Roman" w:hAnsi="Times New Roman"/>
          <w:i/>
          <w:szCs w:val="26"/>
        </w:rPr>
        <w:t>Avots: PMLP</w:t>
      </w:r>
    </w:p>
    <w:p w:rsidR="00A835C0" w:rsidRPr="002B4D22" w:rsidRDefault="00A835C0" w:rsidP="00177B4E">
      <w:pPr>
        <w:spacing w:after="0" w:line="240" w:lineRule="auto"/>
        <w:ind w:firstLine="567"/>
        <w:jc w:val="both"/>
        <w:rPr>
          <w:rFonts w:ascii="Times New Roman" w:hAnsi="Times New Roman"/>
          <w:sz w:val="26"/>
          <w:szCs w:val="26"/>
        </w:rPr>
      </w:pPr>
      <w:r w:rsidRPr="002B4D22">
        <w:rPr>
          <w:rFonts w:ascii="Times New Roman" w:hAnsi="Times New Roman"/>
          <w:sz w:val="26"/>
          <w:szCs w:val="26"/>
        </w:rPr>
        <w:lastRenderedPageBreak/>
        <w:t>Ekonomiskās krīzes laikā pirmreizēji izsniegto termiņuzturēšanās atļauju (turpmāk – TUA) skaits strauji samazinājās. 2009.gadā un 2010.gadā izsniegto TUA skaits bija uz pusi mazāks nekā 2007.gadā.</w:t>
      </w:r>
    </w:p>
    <w:p w:rsidR="009B10A4" w:rsidRPr="002B4D22" w:rsidRDefault="009B10A4" w:rsidP="00177B4E">
      <w:pPr>
        <w:spacing w:after="0" w:line="240" w:lineRule="auto"/>
        <w:ind w:firstLine="567"/>
        <w:jc w:val="both"/>
        <w:rPr>
          <w:rFonts w:ascii="Times New Roman" w:hAnsi="Times New Roman"/>
          <w:vanish/>
          <w:sz w:val="26"/>
          <w:szCs w:val="26"/>
          <w:specVanish/>
        </w:rPr>
      </w:pPr>
      <w:r w:rsidRPr="002B4D22">
        <w:rPr>
          <w:rFonts w:ascii="Times New Roman" w:hAnsi="Times New Roman"/>
          <w:sz w:val="26"/>
          <w:szCs w:val="26"/>
        </w:rPr>
        <w:t>2011.gadā pirmreizēji izsniegto TUA skaits palielinā</w:t>
      </w:r>
      <w:r w:rsidR="00504FD7" w:rsidRPr="002B4D22">
        <w:rPr>
          <w:rFonts w:ascii="Times New Roman" w:hAnsi="Times New Roman"/>
          <w:sz w:val="26"/>
          <w:szCs w:val="26"/>
        </w:rPr>
        <w:t>jās, sasniedzot 4 824 atļaujas, šī tendence turpinā</w:t>
      </w:r>
      <w:r w:rsidR="00F512AA" w:rsidRPr="002B4D22">
        <w:rPr>
          <w:rFonts w:ascii="Times New Roman" w:hAnsi="Times New Roman"/>
          <w:sz w:val="26"/>
          <w:szCs w:val="26"/>
        </w:rPr>
        <w:t>jā</w:t>
      </w:r>
      <w:r w:rsidR="00504FD7" w:rsidRPr="002B4D22">
        <w:rPr>
          <w:rFonts w:ascii="Times New Roman" w:hAnsi="Times New Roman"/>
          <w:sz w:val="26"/>
          <w:szCs w:val="26"/>
        </w:rPr>
        <w:t xml:space="preserve">s arī </w:t>
      </w:r>
      <w:r w:rsidR="00F512AA" w:rsidRPr="002B4D22">
        <w:rPr>
          <w:rFonts w:ascii="Times New Roman" w:hAnsi="Times New Roman"/>
          <w:sz w:val="26"/>
          <w:szCs w:val="26"/>
        </w:rPr>
        <w:t>nākamajos</w:t>
      </w:r>
      <w:r w:rsidR="00504FD7" w:rsidRPr="002B4D22">
        <w:rPr>
          <w:rFonts w:ascii="Times New Roman" w:hAnsi="Times New Roman"/>
          <w:sz w:val="26"/>
          <w:szCs w:val="26"/>
        </w:rPr>
        <w:t xml:space="preserve"> gados, 2012.gadā pirmreizējo atļauju skaitam sasniedzot 6</w:t>
      </w:r>
      <w:r w:rsidR="0047401D" w:rsidRPr="002B4D22">
        <w:rPr>
          <w:rFonts w:ascii="Times New Roman" w:hAnsi="Times New Roman"/>
          <w:sz w:val="26"/>
          <w:szCs w:val="26"/>
        </w:rPr>
        <w:t> </w:t>
      </w:r>
      <w:r w:rsidR="00504FD7" w:rsidRPr="002B4D22">
        <w:rPr>
          <w:rFonts w:ascii="Times New Roman" w:hAnsi="Times New Roman"/>
          <w:sz w:val="26"/>
          <w:szCs w:val="26"/>
        </w:rPr>
        <w:t xml:space="preserve">365, 2013.gadā – </w:t>
      </w:r>
      <w:r w:rsidR="00F16FC3" w:rsidRPr="002B4D22">
        <w:rPr>
          <w:rFonts w:ascii="Times New Roman" w:hAnsi="Times New Roman"/>
          <w:sz w:val="26"/>
          <w:szCs w:val="26"/>
        </w:rPr>
        <w:t>8</w:t>
      </w:r>
      <w:r w:rsidR="00516C0B" w:rsidRPr="002B4D22">
        <w:rPr>
          <w:rFonts w:ascii="Times New Roman" w:hAnsi="Times New Roman"/>
          <w:sz w:val="26"/>
          <w:szCs w:val="26"/>
        </w:rPr>
        <w:t> </w:t>
      </w:r>
      <w:r w:rsidR="00F16FC3" w:rsidRPr="002B4D22">
        <w:rPr>
          <w:rFonts w:ascii="Times New Roman" w:hAnsi="Times New Roman"/>
          <w:sz w:val="26"/>
          <w:szCs w:val="26"/>
        </w:rPr>
        <w:t>170</w:t>
      </w:r>
      <w:r w:rsidR="00504FD7" w:rsidRPr="002B4D22">
        <w:rPr>
          <w:rFonts w:ascii="Times New Roman" w:hAnsi="Times New Roman"/>
          <w:sz w:val="26"/>
          <w:szCs w:val="26"/>
        </w:rPr>
        <w:t xml:space="preserve"> TUA</w:t>
      </w:r>
      <w:r w:rsidR="0044399A" w:rsidRPr="002B4D22">
        <w:rPr>
          <w:rFonts w:ascii="Times New Roman" w:hAnsi="Times New Roman"/>
          <w:sz w:val="26"/>
          <w:szCs w:val="26"/>
        </w:rPr>
        <w:t xml:space="preserve">, 2014.gadā </w:t>
      </w:r>
      <w:r w:rsidR="00F16FC3" w:rsidRPr="002B4D22">
        <w:rPr>
          <w:rFonts w:ascii="Times New Roman" w:hAnsi="Times New Roman"/>
          <w:sz w:val="26"/>
          <w:szCs w:val="26"/>
        </w:rPr>
        <w:t>– 10</w:t>
      </w:r>
      <w:r w:rsidR="00516C0B" w:rsidRPr="002B4D22">
        <w:rPr>
          <w:rFonts w:ascii="Times New Roman" w:hAnsi="Times New Roman"/>
          <w:sz w:val="26"/>
          <w:szCs w:val="26"/>
        </w:rPr>
        <w:t> </w:t>
      </w:r>
      <w:r w:rsidR="00F16FC3" w:rsidRPr="002B4D22">
        <w:rPr>
          <w:rFonts w:ascii="Times New Roman" w:hAnsi="Times New Roman"/>
          <w:sz w:val="26"/>
          <w:szCs w:val="26"/>
        </w:rPr>
        <w:t xml:space="preserve">504 TUA, bet 2015.gada pirmajā pusgadā </w:t>
      </w:r>
      <w:r w:rsidR="00CB73CB" w:rsidRPr="002B4D22">
        <w:rPr>
          <w:rFonts w:ascii="Times New Roman" w:hAnsi="Times New Roman"/>
          <w:sz w:val="26"/>
          <w:szCs w:val="26"/>
        </w:rPr>
        <w:t>–</w:t>
      </w:r>
      <w:r w:rsidR="00F16FC3" w:rsidRPr="002B4D22">
        <w:rPr>
          <w:rFonts w:ascii="Times New Roman" w:hAnsi="Times New Roman"/>
          <w:sz w:val="26"/>
          <w:szCs w:val="26"/>
        </w:rPr>
        <w:t xml:space="preserve"> </w:t>
      </w:r>
      <w:r w:rsidR="00CB73CB" w:rsidRPr="002B4D22">
        <w:rPr>
          <w:rFonts w:ascii="Times New Roman" w:hAnsi="Times New Roman"/>
          <w:sz w:val="26"/>
          <w:szCs w:val="26"/>
        </w:rPr>
        <w:t>3</w:t>
      </w:r>
      <w:r w:rsidR="00516C0B" w:rsidRPr="002B4D22">
        <w:rPr>
          <w:rFonts w:ascii="Times New Roman" w:hAnsi="Times New Roman"/>
          <w:sz w:val="26"/>
          <w:szCs w:val="26"/>
        </w:rPr>
        <w:t> </w:t>
      </w:r>
      <w:r w:rsidR="00CB73CB" w:rsidRPr="002B4D22">
        <w:rPr>
          <w:rFonts w:ascii="Times New Roman" w:hAnsi="Times New Roman"/>
          <w:sz w:val="26"/>
          <w:szCs w:val="26"/>
        </w:rPr>
        <w:t>288 TUA</w:t>
      </w:r>
      <w:r w:rsidR="00504FD7" w:rsidRPr="002B4D22">
        <w:rPr>
          <w:rFonts w:ascii="Times New Roman" w:hAnsi="Times New Roman"/>
          <w:sz w:val="26"/>
          <w:szCs w:val="26"/>
        </w:rPr>
        <w:t xml:space="preserve">. </w:t>
      </w:r>
      <w:r w:rsidRPr="002B4D22">
        <w:rPr>
          <w:rFonts w:ascii="Times New Roman" w:hAnsi="Times New Roman"/>
          <w:sz w:val="26"/>
          <w:szCs w:val="26"/>
        </w:rPr>
        <w:t xml:space="preserve">Pirmreizēji izsniegto TUA palielinājums </w:t>
      </w:r>
      <w:r w:rsidR="00CB73CB" w:rsidRPr="002B4D22">
        <w:rPr>
          <w:rFonts w:ascii="Times New Roman" w:hAnsi="Times New Roman"/>
          <w:sz w:val="26"/>
          <w:szCs w:val="26"/>
        </w:rPr>
        <w:t xml:space="preserve">līdz 2014.gadam galvenokārt </w:t>
      </w:r>
      <w:r w:rsidRPr="002B4D22">
        <w:rPr>
          <w:rFonts w:ascii="Times New Roman" w:hAnsi="Times New Roman"/>
          <w:sz w:val="26"/>
          <w:szCs w:val="26"/>
        </w:rPr>
        <w:t>saistīts ar 2010.gada 1.jūlijā Imigrācijas likumā ieviestajiem grozījumiem</w:t>
      </w:r>
      <w:r w:rsidR="00633178" w:rsidRPr="002B4D22">
        <w:rPr>
          <w:rFonts w:ascii="Times New Roman" w:hAnsi="Times New Roman"/>
          <w:sz w:val="26"/>
          <w:szCs w:val="26"/>
        </w:rPr>
        <w:t xml:space="preserve"> – Imigrācijas likuma 23.panta pirmās daļas 28., 29. un 30.punk</w:t>
      </w:r>
      <w:r w:rsidR="00F66A3F" w:rsidRPr="002B4D22">
        <w:rPr>
          <w:rFonts w:ascii="Times New Roman" w:hAnsi="Times New Roman"/>
          <w:sz w:val="26"/>
          <w:szCs w:val="26"/>
        </w:rPr>
        <w:t>t</w:t>
      </w:r>
      <w:r w:rsidR="00CB73CB" w:rsidRPr="002B4D22">
        <w:rPr>
          <w:rFonts w:ascii="Times New Roman" w:hAnsi="Times New Roman"/>
          <w:sz w:val="26"/>
          <w:szCs w:val="26"/>
        </w:rPr>
        <w:t>u</w:t>
      </w:r>
      <w:r w:rsidRPr="002B4D22">
        <w:rPr>
          <w:rFonts w:ascii="Times New Roman" w:hAnsi="Times New Roman"/>
          <w:sz w:val="26"/>
          <w:szCs w:val="26"/>
        </w:rPr>
        <w:t>, kas paredzēja TUA izsniegšanu gadījumos, kad ārzemnieks veic investīcijas Latvijas tautsaimniecībā</w:t>
      </w:r>
      <w:r w:rsidR="00F66A3F" w:rsidRPr="002B4D22">
        <w:rPr>
          <w:rFonts w:ascii="Times New Roman" w:hAnsi="Times New Roman"/>
          <w:sz w:val="26"/>
          <w:szCs w:val="26"/>
        </w:rPr>
        <w:t xml:space="preserve"> (turpmāk – investīciju programma)</w:t>
      </w:r>
      <w:r w:rsidRPr="002B4D22">
        <w:rPr>
          <w:rFonts w:ascii="Times New Roman" w:hAnsi="Times New Roman"/>
          <w:sz w:val="26"/>
          <w:szCs w:val="26"/>
        </w:rPr>
        <w:t>.</w:t>
      </w:r>
      <w:bookmarkStart w:id="19" w:name="_Toc340050953"/>
      <w:r w:rsidRPr="002B4D22">
        <w:rPr>
          <w:rFonts w:ascii="Times New Roman" w:hAnsi="Times New Roman"/>
          <w:sz w:val="26"/>
          <w:szCs w:val="26"/>
        </w:rPr>
        <w:t xml:space="preserve"> No 2011.gadā izsniegtajām 4 824 TUA vairāk nekā 30% bija saistītas ar minētajiem Imigrācijas likumā ieviestajiem grozījumiem</w:t>
      </w:r>
      <w:r w:rsidR="006868D3" w:rsidRPr="002B4D22">
        <w:rPr>
          <w:rFonts w:ascii="Times New Roman" w:hAnsi="Times New Roman"/>
          <w:sz w:val="26"/>
          <w:szCs w:val="26"/>
        </w:rPr>
        <w:t xml:space="preserve">, turpmāk šī tendence pastiprinājās, </w:t>
      </w:r>
      <w:r w:rsidRPr="002B4D22">
        <w:rPr>
          <w:rFonts w:ascii="Times New Roman" w:hAnsi="Times New Roman"/>
          <w:sz w:val="26"/>
          <w:szCs w:val="26"/>
        </w:rPr>
        <w:t>201</w:t>
      </w:r>
      <w:r w:rsidR="00ED5400" w:rsidRPr="002B4D22">
        <w:rPr>
          <w:rFonts w:ascii="Times New Roman" w:hAnsi="Times New Roman"/>
          <w:sz w:val="26"/>
          <w:szCs w:val="26"/>
        </w:rPr>
        <w:t>3</w:t>
      </w:r>
      <w:r w:rsidRPr="002B4D22">
        <w:rPr>
          <w:rFonts w:ascii="Times New Roman" w:hAnsi="Times New Roman"/>
          <w:sz w:val="26"/>
          <w:szCs w:val="26"/>
        </w:rPr>
        <w:t>.gadā ārvalstu investoriem un viņu ģimenes locekļiem izsniegto pirmreizējo uzturēšanās atļauju skaitam sasniedzot 40% no visa kopējā t</w:t>
      </w:r>
      <w:r w:rsidR="00CB27B4" w:rsidRPr="002B4D22">
        <w:rPr>
          <w:rFonts w:ascii="Times New Roman" w:hAnsi="Times New Roman"/>
          <w:sz w:val="26"/>
          <w:szCs w:val="26"/>
        </w:rPr>
        <w:t xml:space="preserve">ermiņuzturēšanās atļauju skaita, </w:t>
      </w:r>
      <w:r w:rsidR="006868D3" w:rsidRPr="002B4D22">
        <w:rPr>
          <w:rFonts w:ascii="Times New Roman" w:hAnsi="Times New Roman"/>
          <w:sz w:val="26"/>
          <w:szCs w:val="26"/>
        </w:rPr>
        <w:t xml:space="preserve">bet </w:t>
      </w:r>
      <w:r w:rsidR="00CB27B4" w:rsidRPr="002B4D22">
        <w:rPr>
          <w:rFonts w:ascii="Times New Roman" w:hAnsi="Times New Roman"/>
          <w:sz w:val="26"/>
          <w:szCs w:val="26"/>
        </w:rPr>
        <w:t>2014.</w:t>
      </w:r>
      <w:r w:rsidR="006868D3" w:rsidRPr="002B4D22">
        <w:rPr>
          <w:rFonts w:ascii="Times New Roman" w:hAnsi="Times New Roman"/>
          <w:sz w:val="26"/>
          <w:szCs w:val="26"/>
        </w:rPr>
        <w:t xml:space="preserve">gadā </w:t>
      </w:r>
      <w:r w:rsidR="00516C0B" w:rsidRPr="002B4D22">
        <w:rPr>
          <w:rFonts w:ascii="Times New Roman" w:hAnsi="Times New Roman"/>
          <w:sz w:val="26"/>
          <w:szCs w:val="26"/>
        </w:rPr>
        <w:t>–</w:t>
      </w:r>
      <w:r w:rsidR="006868D3" w:rsidRPr="002B4D22">
        <w:rPr>
          <w:rFonts w:ascii="Times New Roman" w:hAnsi="Times New Roman"/>
          <w:sz w:val="26"/>
          <w:szCs w:val="26"/>
        </w:rPr>
        <w:t xml:space="preserve"> </w:t>
      </w:r>
      <w:r w:rsidR="00CB27B4" w:rsidRPr="002B4D22">
        <w:rPr>
          <w:rFonts w:ascii="Times New Roman" w:hAnsi="Times New Roman"/>
          <w:sz w:val="26"/>
          <w:szCs w:val="26"/>
        </w:rPr>
        <w:t>5</w:t>
      </w:r>
      <w:r w:rsidR="00CB73CB" w:rsidRPr="002B4D22">
        <w:rPr>
          <w:rFonts w:ascii="Times New Roman" w:hAnsi="Times New Roman"/>
          <w:sz w:val="26"/>
          <w:szCs w:val="26"/>
        </w:rPr>
        <w:t>3</w:t>
      </w:r>
      <w:r w:rsidR="00CB27B4" w:rsidRPr="002B4D22">
        <w:rPr>
          <w:rFonts w:ascii="Times New Roman" w:hAnsi="Times New Roman"/>
          <w:sz w:val="26"/>
          <w:szCs w:val="26"/>
        </w:rPr>
        <w:t>% no kopējā pirmreizēji izsniegto termiņuzturēšanās atļauju skaita.</w:t>
      </w:r>
      <w:r w:rsidR="006868D3" w:rsidRPr="002B4D22">
        <w:rPr>
          <w:rFonts w:ascii="Times New Roman" w:hAnsi="Times New Roman"/>
          <w:sz w:val="26"/>
          <w:szCs w:val="26"/>
        </w:rPr>
        <w:t xml:space="preserve"> 2015.gada pirmajā pusgadā investīciju programmas ietvaros izsniegt</w:t>
      </w:r>
      <w:r w:rsidR="00735C40" w:rsidRPr="002B4D22">
        <w:rPr>
          <w:rFonts w:ascii="Times New Roman" w:hAnsi="Times New Roman"/>
          <w:sz w:val="26"/>
          <w:szCs w:val="26"/>
        </w:rPr>
        <w:t>ās</w:t>
      </w:r>
      <w:r w:rsidR="006868D3" w:rsidRPr="002B4D22">
        <w:rPr>
          <w:rFonts w:ascii="Times New Roman" w:hAnsi="Times New Roman"/>
          <w:sz w:val="26"/>
          <w:szCs w:val="26"/>
        </w:rPr>
        <w:t xml:space="preserve"> </w:t>
      </w:r>
      <w:r w:rsidR="00735C40" w:rsidRPr="002B4D22">
        <w:rPr>
          <w:rFonts w:ascii="Times New Roman" w:hAnsi="Times New Roman"/>
          <w:sz w:val="26"/>
          <w:szCs w:val="26"/>
        </w:rPr>
        <w:t xml:space="preserve">atļaujas ir </w:t>
      </w:r>
      <w:r w:rsidR="00890FB5" w:rsidRPr="002B4D22">
        <w:rPr>
          <w:rFonts w:ascii="Times New Roman" w:hAnsi="Times New Roman"/>
          <w:sz w:val="26"/>
          <w:szCs w:val="26"/>
        </w:rPr>
        <w:t>tikai 26%</w:t>
      </w:r>
      <w:r w:rsidR="00735C40" w:rsidRPr="002B4D22">
        <w:rPr>
          <w:rFonts w:ascii="Times New Roman" w:hAnsi="Times New Roman"/>
          <w:sz w:val="26"/>
          <w:szCs w:val="26"/>
        </w:rPr>
        <w:t xml:space="preserve"> no kopējā skaita attiecīgajā periodā</w:t>
      </w:r>
      <w:r w:rsidR="00BA4A9B" w:rsidRPr="002B4D22">
        <w:rPr>
          <w:rFonts w:ascii="Times New Roman" w:hAnsi="Times New Roman"/>
          <w:sz w:val="26"/>
          <w:szCs w:val="26"/>
        </w:rPr>
        <w:t>.</w:t>
      </w:r>
      <w:r w:rsidR="00890FB5" w:rsidRPr="002B4D22">
        <w:rPr>
          <w:rFonts w:ascii="Times New Roman" w:hAnsi="Times New Roman"/>
          <w:sz w:val="26"/>
          <w:szCs w:val="26"/>
        </w:rPr>
        <w:t xml:space="preserve"> </w:t>
      </w:r>
      <w:r w:rsidR="00BA4A9B" w:rsidRPr="002B4D22">
        <w:rPr>
          <w:rFonts w:ascii="Times New Roman" w:hAnsi="Times New Roman"/>
          <w:sz w:val="26"/>
          <w:szCs w:val="26"/>
        </w:rPr>
        <w:t xml:space="preserve">Tas </w:t>
      </w:r>
      <w:r w:rsidR="00890FB5" w:rsidRPr="002B4D22">
        <w:rPr>
          <w:rFonts w:ascii="Times New Roman" w:hAnsi="Times New Roman"/>
          <w:sz w:val="26"/>
          <w:szCs w:val="26"/>
        </w:rPr>
        <w:t xml:space="preserve">saistīts ar </w:t>
      </w:r>
      <w:r w:rsidR="00BA4A9B" w:rsidRPr="002B4D22">
        <w:rPr>
          <w:rFonts w:ascii="Times New Roman" w:hAnsi="Times New Roman"/>
          <w:sz w:val="26"/>
          <w:szCs w:val="26"/>
        </w:rPr>
        <w:t xml:space="preserve">būtiskām izmaiņām </w:t>
      </w:r>
      <w:r w:rsidR="00890FB5" w:rsidRPr="002B4D22">
        <w:rPr>
          <w:rFonts w:ascii="Times New Roman" w:hAnsi="Times New Roman"/>
          <w:sz w:val="26"/>
          <w:szCs w:val="26"/>
        </w:rPr>
        <w:t>investīciju programm</w:t>
      </w:r>
      <w:r w:rsidR="00BA4A9B" w:rsidRPr="002B4D22">
        <w:rPr>
          <w:rFonts w:ascii="Times New Roman" w:hAnsi="Times New Roman"/>
          <w:sz w:val="26"/>
          <w:szCs w:val="26"/>
        </w:rPr>
        <w:t xml:space="preserve">as nosacījumos, paredzot </w:t>
      </w:r>
      <w:r w:rsidR="00890FB5" w:rsidRPr="002B4D22">
        <w:rPr>
          <w:rFonts w:ascii="Times New Roman" w:hAnsi="Times New Roman"/>
          <w:sz w:val="26"/>
          <w:szCs w:val="26"/>
        </w:rPr>
        <w:t xml:space="preserve">no 2014.gada 1.septembra paaugstināt minimālo </w:t>
      </w:r>
      <w:r w:rsidR="00BA4A9B" w:rsidRPr="002B4D22">
        <w:rPr>
          <w:rFonts w:ascii="Times New Roman" w:hAnsi="Times New Roman"/>
          <w:sz w:val="26"/>
          <w:szCs w:val="26"/>
        </w:rPr>
        <w:t xml:space="preserve">attiecināmo </w:t>
      </w:r>
      <w:r w:rsidR="00890FB5" w:rsidRPr="002B4D22">
        <w:rPr>
          <w:rFonts w:ascii="Times New Roman" w:hAnsi="Times New Roman"/>
          <w:sz w:val="26"/>
          <w:szCs w:val="26"/>
        </w:rPr>
        <w:t xml:space="preserve">nekustamā īpašuma iegādes </w:t>
      </w:r>
      <w:r w:rsidR="00BA4A9B" w:rsidRPr="002B4D22">
        <w:rPr>
          <w:rFonts w:ascii="Times New Roman" w:hAnsi="Times New Roman"/>
          <w:sz w:val="26"/>
          <w:szCs w:val="26"/>
        </w:rPr>
        <w:t>vērtību</w:t>
      </w:r>
      <w:r w:rsidR="00890FB5" w:rsidRPr="002B4D22">
        <w:rPr>
          <w:rFonts w:ascii="Times New Roman" w:hAnsi="Times New Roman"/>
          <w:sz w:val="26"/>
          <w:szCs w:val="26"/>
        </w:rPr>
        <w:t xml:space="preserve"> un </w:t>
      </w:r>
      <w:r w:rsidR="00BA4A9B" w:rsidRPr="002B4D22">
        <w:rPr>
          <w:rFonts w:ascii="Times New Roman" w:hAnsi="Times New Roman"/>
          <w:sz w:val="26"/>
          <w:szCs w:val="26"/>
        </w:rPr>
        <w:t xml:space="preserve">nosakot, ka tiek attiecināta </w:t>
      </w:r>
      <w:r w:rsidR="00890FB5" w:rsidRPr="002B4D22">
        <w:rPr>
          <w:rFonts w:ascii="Times New Roman" w:hAnsi="Times New Roman"/>
          <w:sz w:val="26"/>
          <w:szCs w:val="26"/>
        </w:rPr>
        <w:t>tikai viena funkcionāli saistīta īpašuma iegād</w:t>
      </w:r>
      <w:r w:rsidR="00BA4A9B" w:rsidRPr="002B4D22">
        <w:rPr>
          <w:rFonts w:ascii="Times New Roman" w:hAnsi="Times New Roman"/>
          <w:sz w:val="26"/>
          <w:szCs w:val="26"/>
        </w:rPr>
        <w:t>e</w:t>
      </w:r>
      <w:r w:rsidR="00890FB5" w:rsidRPr="002B4D22">
        <w:rPr>
          <w:rFonts w:ascii="Times New Roman" w:hAnsi="Times New Roman"/>
          <w:sz w:val="26"/>
          <w:szCs w:val="26"/>
        </w:rPr>
        <w:t>.</w:t>
      </w:r>
    </w:p>
    <w:p w:rsidR="009B10A4" w:rsidRPr="002B4D22" w:rsidRDefault="00B24667" w:rsidP="00534DFC">
      <w:pPr>
        <w:pStyle w:val="ListParagraph"/>
        <w:spacing w:after="120" w:line="240" w:lineRule="auto"/>
        <w:ind w:left="0" w:firstLine="426"/>
        <w:jc w:val="both"/>
        <w:rPr>
          <w:rFonts w:ascii="Times New Roman" w:hAnsi="Times New Roman"/>
          <w:vanish/>
          <w:sz w:val="26"/>
          <w:szCs w:val="26"/>
          <w:specVanish/>
        </w:rPr>
      </w:pPr>
      <w:r w:rsidRPr="002B4D22">
        <w:rPr>
          <w:rFonts w:ascii="Times New Roman" w:hAnsi="Times New Roman"/>
          <w:sz w:val="26"/>
          <w:szCs w:val="26"/>
        </w:rPr>
        <w:t xml:space="preserve"> </w:t>
      </w:r>
      <w:r w:rsidR="009B10A4" w:rsidRPr="002B4D22">
        <w:rPr>
          <w:rFonts w:ascii="Times New Roman" w:hAnsi="Times New Roman"/>
          <w:sz w:val="26"/>
          <w:szCs w:val="26"/>
        </w:rPr>
        <w:t>No 2010.gada 1.jūlija līdz 201</w:t>
      </w:r>
      <w:r w:rsidR="00F512AA" w:rsidRPr="002B4D22">
        <w:rPr>
          <w:rFonts w:ascii="Times New Roman" w:hAnsi="Times New Roman"/>
          <w:sz w:val="26"/>
          <w:szCs w:val="26"/>
        </w:rPr>
        <w:t>5</w:t>
      </w:r>
      <w:r w:rsidR="009B10A4" w:rsidRPr="002B4D22">
        <w:rPr>
          <w:rFonts w:ascii="Times New Roman" w:hAnsi="Times New Roman"/>
          <w:sz w:val="26"/>
          <w:szCs w:val="26"/>
        </w:rPr>
        <w:t xml:space="preserve">.gada 30.jūnijam </w:t>
      </w:r>
      <w:r w:rsidR="00CB27B4" w:rsidRPr="002B4D22">
        <w:rPr>
          <w:rFonts w:ascii="Times New Roman" w:hAnsi="Times New Roman"/>
          <w:sz w:val="26"/>
          <w:szCs w:val="26"/>
        </w:rPr>
        <w:t xml:space="preserve">investīciju programmas ietvaros </w:t>
      </w:r>
      <w:r w:rsidR="009B10A4" w:rsidRPr="002B4D22">
        <w:rPr>
          <w:rFonts w:ascii="Times New Roman" w:hAnsi="Times New Roman"/>
          <w:sz w:val="26"/>
          <w:szCs w:val="26"/>
        </w:rPr>
        <w:t xml:space="preserve">PMLP ir saņēmusi </w:t>
      </w:r>
      <w:r w:rsidR="009F69C8" w:rsidRPr="002B4D22">
        <w:rPr>
          <w:rFonts w:ascii="Times New Roman" w:hAnsi="Times New Roman"/>
          <w:sz w:val="26"/>
          <w:szCs w:val="26"/>
        </w:rPr>
        <w:t>16</w:t>
      </w:r>
      <w:r w:rsidR="00516C0B" w:rsidRPr="002B4D22">
        <w:rPr>
          <w:rFonts w:ascii="Times New Roman" w:hAnsi="Times New Roman"/>
          <w:sz w:val="26"/>
          <w:szCs w:val="26"/>
        </w:rPr>
        <w:t> </w:t>
      </w:r>
      <w:r w:rsidR="009F69C8" w:rsidRPr="002B4D22">
        <w:rPr>
          <w:rFonts w:ascii="Times New Roman" w:hAnsi="Times New Roman"/>
          <w:sz w:val="26"/>
          <w:szCs w:val="26"/>
        </w:rPr>
        <w:t>295</w:t>
      </w:r>
      <w:r w:rsidR="00AD3D9A" w:rsidRPr="002B4D22">
        <w:rPr>
          <w:rFonts w:ascii="Times New Roman" w:hAnsi="Times New Roman"/>
          <w:sz w:val="26"/>
          <w:szCs w:val="26"/>
        </w:rPr>
        <w:t xml:space="preserve"> personu, tajā skaitā </w:t>
      </w:r>
      <w:r w:rsidR="009F69C8" w:rsidRPr="002B4D22">
        <w:rPr>
          <w:rFonts w:ascii="Times New Roman" w:hAnsi="Times New Roman"/>
          <w:sz w:val="26"/>
          <w:szCs w:val="26"/>
        </w:rPr>
        <w:t>6</w:t>
      </w:r>
      <w:r w:rsidR="00CB27B4" w:rsidRPr="002B4D22">
        <w:rPr>
          <w:rFonts w:ascii="Times New Roman" w:hAnsi="Times New Roman"/>
          <w:sz w:val="26"/>
          <w:szCs w:val="26"/>
        </w:rPr>
        <w:t> </w:t>
      </w:r>
      <w:r w:rsidR="009F69C8" w:rsidRPr="002B4D22">
        <w:rPr>
          <w:rFonts w:ascii="Times New Roman" w:hAnsi="Times New Roman"/>
          <w:sz w:val="26"/>
          <w:szCs w:val="26"/>
        </w:rPr>
        <w:t>871</w:t>
      </w:r>
      <w:r w:rsidR="00CB27B4" w:rsidRPr="002B4D22">
        <w:rPr>
          <w:rFonts w:ascii="Times New Roman" w:hAnsi="Times New Roman"/>
          <w:sz w:val="26"/>
          <w:szCs w:val="26"/>
        </w:rPr>
        <w:t xml:space="preserve"> </w:t>
      </w:r>
      <w:r w:rsidR="009B10A4" w:rsidRPr="002B4D22">
        <w:rPr>
          <w:rFonts w:ascii="Times New Roman" w:hAnsi="Times New Roman"/>
          <w:sz w:val="26"/>
          <w:szCs w:val="26"/>
        </w:rPr>
        <w:t xml:space="preserve">investoru un </w:t>
      </w:r>
      <w:r w:rsidR="009F69C8" w:rsidRPr="002B4D22">
        <w:rPr>
          <w:rFonts w:ascii="Times New Roman" w:hAnsi="Times New Roman"/>
          <w:sz w:val="26"/>
          <w:szCs w:val="26"/>
        </w:rPr>
        <w:t>9 424</w:t>
      </w:r>
      <w:r w:rsidR="009B10A4" w:rsidRPr="002B4D22">
        <w:rPr>
          <w:rFonts w:ascii="Times New Roman" w:hAnsi="Times New Roman"/>
          <w:sz w:val="26"/>
          <w:szCs w:val="26"/>
        </w:rPr>
        <w:t xml:space="preserve"> viņu ģimenes locekļu</w:t>
      </w:r>
      <w:r w:rsidR="00AD3D9A" w:rsidRPr="002B4D22">
        <w:rPr>
          <w:rFonts w:ascii="Times New Roman" w:hAnsi="Times New Roman"/>
          <w:sz w:val="26"/>
          <w:szCs w:val="26"/>
        </w:rPr>
        <w:t>,</w:t>
      </w:r>
      <w:r w:rsidR="009B10A4" w:rsidRPr="002B4D22">
        <w:rPr>
          <w:rFonts w:ascii="Times New Roman" w:hAnsi="Times New Roman"/>
          <w:sz w:val="26"/>
          <w:szCs w:val="26"/>
        </w:rPr>
        <w:t xml:space="preserve"> </w:t>
      </w:r>
      <w:r w:rsidR="00CB27B4" w:rsidRPr="002B4D22">
        <w:rPr>
          <w:rFonts w:ascii="Times New Roman" w:hAnsi="Times New Roman"/>
          <w:sz w:val="26"/>
          <w:szCs w:val="26"/>
        </w:rPr>
        <w:t>iesniegumus</w:t>
      </w:r>
      <w:r w:rsidR="009B10A4" w:rsidRPr="002B4D22">
        <w:rPr>
          <w:rFonts w:ascii="Times New Roman" w:hAnsi="Times New Roman"/>
          <w:sz w:val="26"/>
          <w:szCs w:val="26"/>
        </w:rPr>
        <w:t xml:space="preserve"> TUA </w:t>
      </w:r>
      <w:r w:rsidR="00CB27B4" w:rsidRPr="002B4D22">
        <w:rPr>
          <w:rFonts w:ascii="Times New Roman" w:hAnsi="Times New Roman"/>
          <w:sz w:val="26"/>
          <w:szCs w:val="26"/>
        </w:rPr>
        <w:t>pieprasīša</w:t>
      </w:r>
      <w:r w:rsidR="009B10A4" w:rsidRPr="002B4D22">
        <w:rPr>
          <w:rFonts w:ascii="Times New Roman" w:hAnsi="Times New Roman"/>
          <w:sz w:val="26"/>
          <w:szCs w:val="26"/>
        </w:rPr>
        <w:t xml:space="preserve">nai. Šajā laika posmā izsniegtas </w:t>
      </w:r>
      <w:r w:rsidR="00CB27B4" w:rsidRPr="002B4D22">
        <w:rPr>
          <w:rFonts w:ascii="Times New Roman" w:hAnsi="Times New Roman"/>
          <w:sz w:val="26"/>
          <w:szCs w:val="26"/>
        </w:rPr>
        <w:t>1</w:t>
      </w:r>
      <w:r w:rsidR="009F69C8" w:rsidRPr="002B4D22">
        <w:rPr>
          <w:rFonts w:ascii="Times New Roman" w:hAnsi="Times New Roman"/>
          <w:sz w:val="26"/>
          <w:szCs w:val="26"/>
        </w:rPr>
        <w:t>5</w:t>
      </w:r>
      <w:r w:rsidR="00CB27B4" w:rsidRPr="002B4D22">
        <w:rPr>
          <w:rFonts w:ascii="Times New Roman" w:hAnsi="Times New Roman"/>
          <w:sz w:val="26"/>
          <w:szCs w:val="26"/>
        </w:rPr>
        <w:t> </w:t>
      </w:r>
      <w:r w:rsidR="009F69C8" w:rsidRPr="002B4D22">
        <w:rPr>
          <w:rFonts w:ascii="Times New Roman" w:hAnsi="Times New Roman"/>
          <w:sz w:val="26"/>
          <w:szCs w:val="26"/>
        </w:rPr>
        <w:t>820</w:t>
      </w:r>
      <w:r w:rsidR="009B10A4" w:rsidRPr="002B4D22">
        <w:rPr>
          <w:rFonts w:ascii="Times New Roman" w:hAnsi="Times New Roman"/>
          <w:sz w:val="26"/>
          <w:szCs w:val="26"/>
        </w:rPr>
        <w:t xml:space="preserve"> </w:t>
      </w:r>
      <w:r w:rsidR="006A3802" w:rsidRPr="002B4D22">
        <w:rPr>
          <w:rFonts w:ascii="Times New Roman" w:hAnsi="Times New Roman"/>
          <w:sz w:val="26"/>
          <w:szCs w:val="26"/>
        </w:rPr>
        <w:t>TUA</w:t>
      </w:r>
      <w:r w:rsidR="009B10A4" w:rsidRPr="002B4D22">
        <w:rPr>
          <w:rFonts w:ascii="Times New Roman" w:hAnsi="Times New Roman"/>
          <w:sz w:val="26"/>
          <w:szCs w:val="26"/>
        </w:rPr>
        <w:t>. No visiem pieņemtajiem lēmumiem 9</w:t>
      </w:r>
      <w:r w:rsidR="00B27ABB" w:rsidRPr="002B4D22">
        <w:rPr>
          <w:rFonts w:ascii="Times New Roman" w:hAnsi="Times New Roman"/>
          <w:sz w:val="26"/>
          <w:szCs w:val="26"/>
        </w:rPr>
        <w:t>8</w:t>
      </w:r>
      <w:r w:rsidR="00CB27B4" w:rsidRPr="002B4D22">
        <w:rPr>
          <w:rFonts w:ascii="Times New Roman" w:hAnsi="Times New Roman"/>
          <w:sz w:val="26"/>
          <w:szCs w:val="26"/>
        </w:rPr>
        <w:t>,</w:t>
      </w:r>
      <w:r w:rsidR="00B27ABB" w:rsidRPr="002B4D22">
        <w:rPr>
          <w:rFonts w:ascii="Times New Roman" w:hAnsi="Times New Roman"/>
          <w:sz w:val="26"/>
          <w:szCs w:val="26"/>
        </w:rPr>
        <w:t>3</w:t>
      </w:r>
      <w:r w:rsidR="002B224D" w:rsidRPr="002B4D22">
        <w:rPr>
          <w:rFonts w:ascii="Times New Roman" w:hAnsi="Times New Roman"/>
          <w:sz w:val="26"/>
          <w:szCs w:val="26"/>
        </w:rPr>
        <w:t>% ir bijuši pozitīvi lēmumi, negatīva lēmuma (TUA atteikuma) galvenie iemesli ir personas iegādātā nekustamā īpašuma neatbilstība Imigrācijas likumā noteiktajām prasībām, kā arī, mainoties uzturēšanās atļ</w:t>
      </w:r>
      <w:r w:rsidR="00A52ABB" w:rsidRPr="002B4D22">
        <w:rPr>
          <w:rFonts w:ascii="Times New Roman" w:hAnsi="Times New Roman"/>
          <w:sz w:val="26"/>
          <w:szCs w:val="26"/>
        </w:rPr>
        <w:t>aujas izsniegšanas iemeslam, personai, kas ieguldījusi līdzekļus komercsabiedrības pamatkapitālā, vēloties turpmāk uzturēties Latvijā saistībā ar nekustamā īpašuma iegādi</w:t>
      </w:r>
      <w:r w:rsidR="00641A38">
        <w:rPr>
          <w:rFonts w:ascii="Times New Roman" w:hAnsi="Times New Roman"/>
          <w:sz w:val="26"/>
          <w:szCs w:val="26"/>
        </w:rPr>
        <w:t>,</w:t>
      </w:r>
      <w:r w:rsidR="00A52ABB" w:rsidRPr="002B4D22">
        <w:rPr>
          <w:rFonts w:ascii="Times New Roman" w:hAnsi="Times New Roman"/>
          <w:sz w:val="26"/>
          <w:szCs w:val="26"/>
        </w:rPr>
        <w:t xml:space="preserve"> </w:t>
      </w:r>
      <w:r w:rsidR="000639BC" w:rsidRPr="002B4D22">
        <w:rPr>
          <w:rFonts w:ascii="Times New Roman" w:hAnsi="Times New Roman"/>
          <w:sz w:val="26"/>
          <w:szCs w:val="26"/>
        </w:rPr>
        <w:t xml:space="preserve">nav izpildīta Imigrācijas likumā noteiktā prasība </w:t>
      </w:r>
      <w:r w:rsidR="00A52ABB" w:rsidRPr="002B4D22">
        <w:rPr>
          <w:rFonts w:ascii="Times New Roman" w:hAnsi="Times New Roman"/>
          <w:sz w:val="26"/>
          <w:szCs w:val="26"/>
        </w:rPr>
        <w:t xml:space="preserve">– </w:t>
      </w:r>
      <w:r w:rsidR="00F90BBB" w:rsidRPr="002B4D22">
        <w:rPr>
          <w:rFonts w:ascii="Times New Roman" w:hAnsi="Times New Roman"/>
          <w:sz w:val="26"/>
          <w:szCs w:val="26"/>
        </w:rPr>
        <w:t>veicot komercdarbību, nav veikta nodokļu samaksa Imigrācijas likumā noteiktajā apjomā.</w:t>
      </w:r>
      <w:r w:rsidR="009B10A4" w:rsidRPr="002B4D22">
        <w:rPr>
          <w:rFonts w:ascii="Times New Roman" w:hAnsi="Times New Roman"/>
          <w:sz w:val="26"/>
          <w:szCs w:val="26"/>
        </w:rPr>
        <w:t xml:space="preserve"> No 2010.gada 1.jūlija anulēta</w:t>
      </w:r>
      <w:r w:rsidR="00CA0FDF" w:rsidRPr="002B4D22">
        <w:rPr>
          <w:rFonts w:ascii="Times New Roman" w:hAnsi="Times New Roman"/>
          <w:sz w:val="26"/>
          <w:szCs w:val="26"/>
        </w:rPr>
        <w:t>s</w:t>
      </w:r>
      <w:r w:rsidR="009B10A4" w:rsidRPr="002B4D22">
        <w:rPr>
          <w:rFonts w:ascii="Times New Roman" w:hAnsi="Times New Roman"/>
          <w:sz w:val="26"/>
          <w:szCs w:val="26"/>
        </w:rPr>
        <w:t xml:space="preserve"> </w:t>
      </w:r>
      <w:r w:rsidR="00CA0FDF" w:rsidRPr="002B4D22">
        <w:rPr>
          <w:rFonts w:ascii="Times New Roman" w:hAnsi="Times New Roman"/>
          <w:sz w:val="26"/>
          <w:szCs w:val="26"/>
        </w:rPr>
        <w:t>1</w:t>
      </w:r>
      <w:r w:rsidR="00516C0B" w:rsidRPr="002B4D22">
        <w:rPr>
          <w:rFonts w:ascii="Times New Roman" w:hAnsi="Times New Roman"/>
          <w:sz w:val="26"/>
          <w:szCs w:val="26"/>
        </w:rPr>
        <w:t> </w:t>
      </w:r>
      <w:r w:rsidR="00CA0FDF" w:rsidRPr="002B4D22">
        <w:rPr>
          <w:rFonts w:ascii="Times New Roman" w:hAnsi="Times New Roman"/>
          <w:sz w:val="26"/>
          <w:szCs w:val="26"/>
        </w:rPr>
        <w:t>380</w:t>
      </w:r>
      <w:r w:rsidR="009B10A4" w:rsidRPr="002B4D22">
        <w:rPr>
          <w:rFonts w:ascii="Times New Roman" w:hAnsi="Times New Roman"/>
          <w:sz w:val="26"/>
          <w:szCs w:val="26"/>
        </w:rPr>
        <w:t xml:space="preserve"> TUA. Galvenie anulēšanas iemesli – nekustamā īpašuma pārdošana, iepriekšējās atļaujas anulēšana sakarā ar investīciju veida maiņu (piemēram, ieguldītājs kapitālsabiedrības pamatkapitālā iegādājas nekustamo īpašumu), nepietiekama kapitālsa</w:t>
      </w:r>
      <w:r w:rsidR="00F66A3F" w:rsidRPr="002B4D22">
        <w:rPr>
          <w:rFonts w:ascii="Times New Roman" w:hAnsi="Times New Roman"/>
          <w:sz w:val="26"/>
          <w:szCs w:val="26"/>
        </w:rPr>
        <w:t xml:space="preserve">biedrības saimnieciskā darbība vai arī </w:t>
      </w:r>
      <w:r w:rsidR="00302B0F" w:rsidRPr="002B4D22">
        <w:rPr>
          <w:rFonts w:ascii="Times New Roman" w:hAnsi="Times New Roman"/>
          <w:sz w:val="26"/>
          <w:szCs w:val="26"/>
        </w:rPr>
        <w:t xml:space="preserve">pašas personas iesniegums par to, ka viņa vairs nevēlas uzturēties Latvijas Republikā vai arī TUA nav reģistrēta </w:t>
      </w:r>
      <w:r w:rsidR="00F66A3F" w:rsidRPr="002B4D22">
        <w:rPr>
          <w:rFonts w:ascii="Times New Roman" w:hAnsi="Times New Roman"/>
          <w:sz w:val="26"/>
          <w:szCs w:val="26"/>
        </w:rPr>
        <w:t>Imigrācijas likumā noteiktajā kārtībā.</w:t>
      </w:r>
    </w:p>
    <w:p w:rsidR="009B10A4" w:rsidRPr="002B4D22" w:rsidRDefault="00B24667" w:rsidP="00534DFC">
      <w:pPr>
        <w:spacing w:after="120" w:line="240" w:lineRule="auto"/>
        <w:ind w:firstLine="426"/>
        <w:jc w:val="both"/>
        <w:rPr>
          <w:rFonts w:ascii="Times New Roman" w:hAnsi="Times New Roman"/>
          <w:sz w:val="26"/>
          <w:szCs w:val="26"/>
        </w:rPr>
      </w:pPr>
      <w:r w:rsidRPr="002B4D22">
        <w:rPr>
          <w:rFonts w:ascii="Times New Roman" w:hAnsi="Times New Roman"/>
          <w:sz w:val="26"/>
          <w:szCs w:val="26"/>
        </w:rPr>
        <w:t xml:space="preserve"> </w:t>
      </w:r>
    </w:p>
    <w:p w:rsidR="009B10A4" w:rsidRPr="002B4D22" w:rsidRDefault="009B10A4" w:rsidP="00534DFC">
      <w:pPr>
        <w:spacing w:after="120" w:line="240" w:lineRule="auto"/>
        <w:ind w:firstLine="426"/>
        <w:jc w:val="both"/>
        <w:rPr>
          <w:rFonts w:ascii="Times New Roman" w:hAnsi="Times New Roman"/>
          <w:sz w:val="26"/>
          <w:szCs w:val="26"/>
        </w:rPr>
      </w:pPr>
    </w:p>
    <w:p w:rsidR="009B10A4" w:rsidRPr="002B4D22" w:rsidRDefault="009B10A4" w:rsidP="00534DFC">
      <w:pPr>
        <w:pStyle w:val="Heading1"/>
        <w:spacing w:before="0" w:after="120" w:line="240" w:lineRule="auto"/>
        <w:rPr>
          <w:rFonts w:ascii="Times New Roman" w:hAnsi="Times New Roman"/>
          <w:color w:val="auto"/>
        </w:rPr>
      </w:pPr>
      <w:bookmarkStart w:id="20" w:name="_Toc429659162"/>
      <w:r w:rsidRPr="002B4D22">
        <w:rPr>
          <w:rFonts w:ascii="Times New Roman" w:hAnsi="Times New Roman"/>
          <w:color w:val="auto"/>
        </w:rPr>
        <w:t>2. Ārvalstu investīcijas saistībā ar termiņuzturēšanās atļaujām</w:t>
      </w:r>
      <w:bookmarkEnd w:id="20"/>
    </w:p>
    <w:p w:rsidR="009B10A4" w:rsidRPr="002B4D22" w:rsidRDefault="009B10A4" w:rsidP="00177B4E">
      <w:pPr>
        <w:spacing w:after="0" w:line="240" w:lineRule="auto"/>
        <w:ind w:firstLine="567"/>
        <w:jc w:val="both"/>
        <w:rPr>
          <w:rFonts w:ascii="Times New Roman" w:hAnsi="Times New Roman"/>
          <w:i/>
          <w:sz w:val="26"/>
          <w:szCs w:val="26"/>
        </w:rPr>
      </w:pPr>
      <w:r w:rsidRPr="002B4D22">
        <w:rPr>
          <w:rFonts w:ascii="Times New Roman" w:hAnsi="Times New Roman"/>
          <w:sz w:val="26"/>
          <w:szCs w:val="26"/>
        </w:rPr>
        <w:t xml:space="preserve">Imigrācijas likuma </w:t>
      </w:r>
      <w:r w:rsidR="0096019D">
        <w:rPr>
          <w:rFonts w:ascii="Times New Roman" w:hAnsi="Times New Roman"/>
          <w:sz w:val="26"/>
          <w:szCs w:val="26"/>
        </w:rPr>
        <w:t xml:space="preserve">23.panta pirmās daļas 28., 29., un 30.punkta </w:t>
      </w:r>
      <w:r w:rsidRPr="002B4D22">
        <w:rPr>
          <w:rFonts w:ascii="Times New Roman" w:hAnsi="Times New Roman"/>
          <w:sz w:val="26"/>
          <w:szCs w:val="26"/>
        </w:rPr>
        <w:t>normas ļauj ārvalstniekiem iegūt TUA Latvijā pret noteiktiem ieguldījumiem Latvijas tautsaimniecībā – investīcijām nekustamajā īpašumā, uzņēmējdarbībā (kapitālsabiedrības pamatkapitālā) vai arī Latvijā reģistrētas kredītiestādes</w:t>
      </w:r>
      <w:r w:rsidRPr="002B4D22">
        <w:rPr>
          <w:rFonts w:ascii="Times New Roman" w:hAnsi="Times New Roman"/>
        </w:rPr>
        <w:t xml:space="preserve"> </w:t>
      </w:r>
      <w:r w:rsidR="00F90BBB" w:rsidRPr="002B4D22">
        <w:rPr>
          <w:rFonts w:ascii="Times New Roman" w:hAnsi="Times New Roman"/>
          <w:sz w:val="26"/>
          <w:szCs w:val="26"/>
        </w:rPr>
        <w:t>pakārtotajās saistībās</w:t>
      </w:r>
      <w:r w:rsidRPr="002B4D22">
        <w:rPr>
          <w:rFonts w:ascii="Times New Roman" w:hAnsi="Times New Roman"/>
          <w:sz w:val="26"/>
          <w:szCs w:val="26"/>
        </w:rPr>
        <w:t>.</w:t>
      </w:r>
      <w:r w:rsidR="00302B0F" w:rsidRPr="002B4D22">
        <w:rPr>
          <w:rFonts w:ascii="Times New Roman" w:hAnsi="Times New Roman"/>
          <w:sz w:val="26"/>
          <w:szCs w:val="26"/>
        </w:rPr>
        <w:t xml:space="preserve"> No 2015.gada 1.janvāra </w:t>
      </w:r>
      <w:r w:rsidR="00D359B5" w:rsidRPr="002B4D22">
        <w:rPr>
          <w:rFonts w:ascii="Times New Roman" w:hAnsi="Times New Roman"/>
          <w:sz w:val="26"/>
          <w:szCs w:val="26"/>
        </w:rPr>
        <w:t xml:space="preserve">TUA saņemšanai tiek attiecināts </w:t>
      </w:r>
      <w:r w:rsidR="00302B0F" w:rsidRPr="002B4D22">
        <w:rPr>
          <w:rFonts w:ascii="Times New Roman" w:hAnsi="Times New Roman"/>
          <w:sz w:val="26"/>
          <w:szCs w:val="26"/>
        </w:rPr>
        <w:t>vēl viens investīciju veids – īpašam mērķim noteiktu bezprocentu valsts vērtspapīru iegāde par nominālvērtību 250</w:t>
      </w:r>
      <w:r w:rsidR="00516C0B" w:rsidRPr="002B4D22">
        <w:rPr>
          <w:rFonts w:ascii="Times New Roman" w:hAnsi="Times New Roman"/>
          <w:sz w:val="26"/>
          <w:szCs w:val="26"/>
        </w:rPr>
        <w:t> </w:t>
      </w:r>
      <w:r w:rsidR="00302B0F" w:rsidRPr="002B4D22">
        <w:rPr>
          <w:rFonts w:ascii="Times New Roman" w:hAnsi="Times New Roman"/>
          <w:sz w:val="26"/>
          <w:szCs w:val="26"/>
        </w:rPr>
        <w:t xml:space="preserve">000 </w:t>
      </w:r>
      <w:proofErr w:type="spellStart"/>
      <w:r w:rsidR="00C232F4" w:rsidRPr="002B4D22">
        <w:rPr>
          <w:rFonts w:ascii="Times New Roman" w:hAnsi="Times New Roman"/>
          <w:i/>
          <w:sz w:val="26"/>
          <w:szCs w:val="26"/>
        </w:rPr>
        <w:t>euro</w:t>
      </w:r>
      <w:proofErr w:type="spellEnd"/>
      <w:r w:rsidR="0096019D">
        <w:rPr>
          <w:rFonts w:ascii="Times New Roman" w:hAnsi="Times New Roman"/>
          <w:i/>
          <w:sz w:val="26"/>
          <w:szCs w:val="26"/>
        </w:rPr>
        <w:t xml:space="preserve"> </w:t>
      </w:r>
      <w:r w:rsidR="0096019D">
        <w:rPr>
          <w:rFonts w:ascii="Times New Roman" w:hAnsi="Times New Roman"/>
          <w:sz w:val="26"/>
          <w:szCs w:val="26"/>
        </w:rPr>
        <w:t>(Imigrācijas likuma 23.panta pirmās daļas 31.punkts)</w:t>
      </w:r>
      <w:r w:rsidR="00CE387A" w:rsidRPr="002B4D22">
        <w:rPr>
          <w:rFonts w:ascii="Times New Roman" w:hAnsi="Times New Roman"/>
          <w:i/>
          <w:sz w:val="26"/>
          <w:szCs w:val="26"/>
        </w:rPr>
        <w:t>.</w:t>
      </w:r>
    </w:p>
    <w:p w:rsidR="009B10A4" w:rsidRPr="002B4D22" w:rsidRDefault="009B10A4" w:rsidP="00177B4E">
      <w:pPr>
        <w:spacing w:after="0" w:line="240" w:lineRule="auto"/>
        <w:ind w:firstLine="567"/>
        <w:jc w:val="both"/>
        <w:rPr>
          <w:rFonts w:ascii="Times New Roman" w:hAnsi="Times New Roman"/>
          <w:color w:val="000000"/>
          <w:sz w:val="26"/>
          <w:szCs w:val="26"/>
        </w:rPr>
      </w:pPr>
      <w:r w:rsidRPr="002B4D22">
        <w:rPr>
          <w:rFonts w:ascii="Times New Roman" w:hAnsi="Times New Roman"/>
          <w:sz w:val="26"/>
          <w:szCs w:val="26"/>
        </w:rPr>
        <w:lastRenderedPageBreak/>
        <w:t xml:space="preserve">Attiecīgās Imigrācijas likuma normas ir aktivizējušas ārvalstu investīciju plūsmas uz Latviju. No kopumā </w:t>
      </w:r>
      <w:r w:rsidR="00F66A3F" w:rsidRPr="002B4D22">
        <w:rPr>
          <w:rFonts w:ascii="Times New Roman" w:hAnsi="Times New Roman"/>
          <w:sz w:val="26"/>
          <w:szCs w:val="26"/>
        </w:rPr>
        <w:t>investīciju programmas</w:t>
      </w:r>
      <w:r w:rsidRPr="002B4D22">
        <w:rPr>
          <w:rFonts w:ascii="Times New Roman" w:hAnsi="Times New Roman"/>
          <w:sz w:val="26"/>
          <w:szCs w:val="26"/>
        </w:rPr>
        <w:t xml:space="preserve"> ietvaros ieguldītajiem līdzekļiem </w:t>
      </w:r>
      <w:r w:rsidR="008E6545" w:rsidRPr="002B4D22">
        <w:rPr>
          <w:rFonts w:ascii="Times New Roman" w:hAnsi="Times New Roman"/>
          <w:sz w:val="26"/>
          <w:szCs w:val="26"/>
        </w:rPr>
        <w:t>no 2010.gada 1.jūlija līdz 201</w:t>
      </w:r>
      <w:r w:rsidR="00CE387A" w:rsidRPr="002B4D22">
        <w:rPr>
          <w:rFonts w:ascii="Times New Roman" w:hAnsi="Times New Roman"/>
          <w:sz w:val="26"/>
          <w:szCs w:val="26"/>
        </w:rPr>
        <w:t>5</w:t>
      </w:r>
      <w:r w:rsidR="008E6545" w:rsidRPr="002B4D22">
        <w:rPr>
          <w:rFonts w:ascii="Times New Roman" w:hAnsi="Times New Roman"/>
          <w:sz w:val="26"/>
          <w:szCs w:val="26"/>
        </w:rPr>
        <w:t xml:space="preserve">.gada 30.jūnijam </w:t>
      </w:r>
      <w:r w:rsidRPr="002B4D22">
        <w:rPr>
          <w:rFonts w:ascii="Times New Roman" w:hAnsi="Times New Roman"/>
          <w:sz w:val="26"/>
          <w:szCs w:val="26"/>
        </w:rPr>
        <w:t>8</w:t>
      </w:r>
      <w:r w:rsidR="00675976" w:rsidRPr="002B4D22">
        <w:rPr>
          <w:rFonts w:ascii="Times New Roman" w:hAnsi="Times New Roman"/>
          <w:sz w:val="26"/>
          <w:szCs w:val="26"/>
        </w:rPr>
        <w:t>3</w:t>
      </w:r>
      <w:r w:rsidR="00B13F53" w:rsidRPr="002B4D22">
        <w:rPr>
          <w:rFonts w:ascii="Times New Roman" w:hAnsi="Times New Roman"/>
          <w:sz w:val="26"/>
          <w:szCs w:val="26"/>
        </w:rPr>
        <w:t>,</w:t>
      </w:r>
      <w:r w:rsidR="001509DD" w:rsidRPr="002B4D22">
        <w:rPr>
          <w:rFonts w:ascii="Times New Roman" w:hAnsi="Times New Roman"/>
          <w:sz w:val="26"/>
          <w:szCs w:val="26"/>
        </w:rPr>
        <w:t>26</w:t>
      </w:r>
      <w:r w:rsidRPr="002B4D22">
        <w:rPr>
          <w:rFonts w:ascii="Times New Roman" w:hAnsi="Times New Roman"/>
          <w:sz w:val="26"/>
          <w:szCs w:val="26"/>
        </w:rPr>
        <w:t xml:space="preserve">% jeb </w:t>
      </w:r>
      <w:r w:rsidR="00A66730" w:rsidRPr="002B4D22">
        <w:rPr>
          <w:rFonts w:ascii="Times New Roman" w:hAnsi="Times New Roman"/>
          <w:sz w:val="26"/>
          <w:szCs w:val="26"/>
        </w:rPr>
        <w:t>1 093 milj.</w:t>
      </w:r>
      <w:r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w:t>
      </w:r>
      <w:r w:rsidR="00F90BBB" w:rsidRPr="002B4D22">
        <w:rPr>
          <w:rFonts w:ascii="Times New Roman" w:hAnsi="Times New Roman"/>
          <w:sz w:val="26"/>
          <w:szCs w:val="26"/>
        </w:rPr>
        <w:t xml:space="preserve">pakārtotajās saistībās </w:t>
      </w:r>
      <w:r w:rsidRPr="002B4D22">
        <w:rPr>
          <w:rFonts w:ascii="Times New Roman" w:hAnsi="Times New Roman"/>
          <w:sz w:val="26"/>
          <w:szCs w:val="26"/>
        </w:rPr>
        <w:t>(1</w:t>
      </w:r>
      <w:r w:rsidR="00675976" w:rsidRPr="002B4D22">
        <w:rPr>
          <w:rFonts w:ascii="Times New Roman" w:hAnsi="Times New Roman"/>
          <w:sz w:val="26"/>
          <w:szCs w:val="26"/>
        </w:rPr>
        <w:t>1</w:t>
      </w:r>
      <w:r w:rsidR="00B13F53" w:rsidRPr="002B4D22">
        <w:rPr>
          <w:rFonts w:ascii="Times New Roman" w:hAnsi="Times New Roman"/>
          <w:sz w:val="26"/>
          <w:szCs w:val="26"/>
        </w:rPr>
        <w:t>,</w:t>
      </w:r>
      <w:r w:rsidR="00B61E44" w:rsidRPr="002B4D22">
        <w:rPr>
          <w:rFonts w:ascii="Times New Roman" w:hAnsi="Times New Roman"/>
          <w:sz w:val="26"/>
          <w:szCs w:val="26"/>
        </w:rPr>
        <w:t>27</w:t>
      </w:r>
      <w:r w:rsidRPr="002B4D22">
        <w:rPr>
          <w:rFonts w:ascii="Times New Roman" w:hAnsi="Times New Roman"/>
          <w:sz w:val="26"/>
          <w:szCs w:val="26"/>
        </w:rPr>
        <w:t xml:space="preserve">% jeb </w:t>
      </w:r>
      <w:r w:rsidR="004C1A45" w:rsidRPr="002B4D22">
        <w:rPr>
          <w:rFonts w:ascii="Times New Roman" w:hAnsi="Times New Roman"/>
          <w:sz w:val="26"/>
          <w:szCs w:val="26"/>
        </w:rPr>
        <w:t>148</w:t>
      </w:r>
      <w:r w:rsidR="00B13F53" w:rsidRPr="002B4D22">
        <w:rPr>
          <w:rFonts w:ascii="Times New Roman" w:hAnsi="Times New Roman"/>
          <w:sz w:val="26"/>
          <w:szCs w:val="26"/>
        </w:rPr>
        <w:t>,</w:t>
      </w:r>
      <w:r w:rsidR="004C1A45" w:rsidRPr="002B4D22">
        <w:rPr>
          <w:rFonts w:ascii="Times New Roman" w:hAnsi="Times New Roman"/>
          <w:sz w:val="26"/>
          <w:szCs w:val="26"/>
        </w:rPr>
        <w:t>0</w:t>
      </w:r>
      <w:r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B8367F" w:rsidRPr="002B4D22">
        <w:rPr>
          <w:rFonts w:ascii="Times New Roman" w:hAnsi="Times New Roman"/>
          <w:sz w:val="26"/>
          <w:szCs w:val="26"/>
        </w:rPr>
        <w:t xml:space="preserve"> no visiem ieguldījumiem), s</w:t>
      </w:r>
      <w:r w:rsidRPr="002B4D22">
        <w:rPr>
          <w:rFonts w:ascii="Times New Roman" w:hAnsi="Times New Roman"/>
          <w:sz w:val="26"/>
          <w:szCs w:val="26"/>
        </w:rPr>
        <w:t xml:space="preserve">avukārt attiecinātie </w:t>
      </w:r>
      <w:r w:rsidRPr="002B4D22">
        <w:rPr>
          <w:rFonts w:ascii="Times New Roman" w:hAnsi="Times New Roman"/>
          <w:color w:val="000000"/>
          <w:sz w:val="26"/>
          <w:szCs w:val="26"/>
        </w:rPr>
        <w:t xml:space="preserve">ieguldījumi kapitālsabiedrību pamatkapitālā veido </w:t>
      </w:r>
      <w:r w:rsidR="004A523D" w:rsidRPr="002B4D22">
        <w:rPr>
          <w:rFonts w:ascii="Times New Roman" w:hAnsi="Times New Roman"/>
          <w:color w:val="000000"/>
          <w:sz w:val="26"/>
          <w:szCs w:val="26"/>
        </w:rPr>
        <w:t xml:space="preserve">tikai </w:t>
      </w:r>
      <w:r w:rsidRPr="002B4D22">
        <w:rPr>
          <w:rFonts w:ascii="Times New Roman" w:hAnsi="Times New Roman"/>
          <w:color w:val="000000"/>
          <w:sz w:val="26"/>
          <w:szCs w:val="26"/>
        </w:rPr>
        <w:t>5</w:t>
      </w:r>
      <w:r w:rsidR="00884B34" w:rsidRPr="002B4D22">
        <w:rPr>
          <w:rFonts w:ascii="Times New Roman" w:hAnsi="Times New Roman"/>
          <w:color w:val="000000"/>
          <w:sz w:val="26"/>
          <w:szCs w:val="26"/>
        </w:rPr>
        <w:t>,</w:t>
      </w:r>
      <w:r w:rsidR="00B61E44" w:rsidRPr="002B4D22">
        <w:rPr>
          <w:rFonts w:ascii="Times New Roman" w:hAnsi="Times New Roman"/>
          <w:color w:val="000000"/>
          <w:sz w:val="26"/>
          <w:szCs w:val="26"/>
        </w:rPr>
        <w:t>39</w:t>
      </w:r>
      <w:r w:rsidRPr="002B4D22">
        <w:rPr>
          <w:rFonts w:ascii="Times New Roman" w:hAnsi="Times New Roman"/>
          <w:color w:val="000000"/>
          <w:sz w:val="26"/>
          <w:szCs w:val="26"/>
        </w:rPr>
        <w:t xml:space="preserve">% (jeb </w:t>
      </w:r>
      <w:r w:rsidR="004C1A45" w:rsidRPr="002B4D22">
        <w:rPr>
          <w:rFonts w:ascii="Times New Roman" w:hAnsi="Times New Roman"/>
          <w:color w:val="000000"/>
          <w:sz w:val="26"/>
          <w:szCs w:val="26"/>
        </w:rPr>
        <w:t>70</w:t>
      </w:r>
      <w:r w:rsidR="00B13F53" w:rsidRPr="002B4D22">
        <w:rPr>
          <w:rFonts w:ascii="Times New Roman" w:hAnsi="Times New Roman"/>
          <w:color w:val="000000"/>
          <w:sz w:val="26"/>
          <w:szCs w:val="26"/>
        </w:rPr>
        <w:t>,</w:t>
      </w:r>
      <w:r w:rsidR="004C1A45" w:rsidRPr="002B4D22">
        <w:rPr>
          <w:rFonts w:ascii="Times New Roman" w:hAnsi="Times New Roman"/>
          <w:color w:val="000000"/>
          <w:sz w:val="26"/>
          <w:szCs w:val="26"/>
        </w:rPr>
        <w:t>8</w:t>
      </w:r>
      <w:r w:rsidRPr="002B4D22">
        <w:rPr>
          <w:rFonts w:ascii="Times New Roman" w:hAnsi="Times New Roman"/>
          <w:color w:val="000000"/>
          <w:sz w:val="26"/>
          <w:szCs w:val="26"/>
        </w:rPr>
        <w:t xml:space="preserve"> milj. </w:t>
      </w:r>
      <w:proofErr w:type="spellStart"/>
      <w:r w:rsidR="00C232F4" w:rsidRPr="002B4D22">
        <w:rPr>
          <w:rFonts w:ascii="Times New Roman" w:hAnsi="Times New Roman"/>
          <w:i/>
          <w:sz w:val="26"/>
          <w:szCs w:val="26"/>
        </w:rPr>
        <w:t>euro</w:t>
      </w:r>
      <w:proofErr w:type="spellEnd"/>
      <w:r w:rsidRPr="002B4D22">
        <w:rPr>
          <w:rFonts w:ascii="Times New Roman" w:hAnsi="Times New Roman"/>
          <w:color w:val="000000"/>
          <w:sz w:val="26"/>
          <w:szCs w:val="26"/>
        </w:rPr>
        <w:t>) no kopējām veiktajām investīcijām attiecīgajā periodā</w:t>
      </w:r>
      <w:r w:rsidR="00B13F53" w:rsidRPr="002B4D22">
        <w:rPr>
          <w:rFonts w:ascii="Times New Roman" w:hAnsi="Times New Roman"/>
          <w:color w:val="000000"/>
          <w:sz w:val="26"/>
          <w:szCs w:val="26"/>
        </w:rPr>
        <w:t>.</w:t>
      </w:r>
      <w:r w:rsidR="004C1A45" w:rsidRPr="002B4D22">
        <w:rPr>
          <w:rFonts w:ascii="Times New Roman" w:hAnsi="Times New Roman"/>
          <w:color w:val="000000"/>
          <w:sz w:val="26"/>
          <w:szCs w:val="26"/>
        </w:rPr>
        <w:t xml:space="preserve"> </w:t>
      </w:r>
      <w:r w:rsidR="00B8367F" w:rsidRPr="002B4D22">
        <w:rPr>
          <w:rFonts w:ascii="Times New Roman" w:hAnsi="Times New Roman"/>
          <w:color w:val="000000"/>
          <w:sz w:val="26"/>
          <w:szCs w:val="26"/>
        </w:rPr>
        <w:t xml:space="preserve">Īpašam mērķim noteiktu bezprocentu valsts vērtspapīru iegādē no 2015.gada 1.janvāra ieguldīts 1 milj. </w:t>
      </w:r>
      <w:proofErr w:type="spellStart"/>
      <w:r w:rsidR="00C232F4" w:rsidRPr="002B4D22">
        <w:rPr>
          <w:rFonts w:ascii="Times New Roman" w:hAnsi="Times New Roman"/>
          <w:i/>
          <w:color w:val="000000"/>
          <w:sz w:val="26"/>
          <w:szCs w:val="26"/>
        </w:rPr>
        <w:t>euro</w:t>
      </w:r>
      <w:proofErr w:type="spellEnd"/>
      <w:r w:rsidR="00B8367F" w:rsidRPr="002B4D22">
        <w:rPr>
          <w:rFonts w:ascii="Times New Roman" w:hAnsi="Times New Roman"/>
          <w:color w:val="000000"/>
          <w:sz w:val="26"/>
          <w:szCs w:val="26"/>
        </w:rPr>
        <w:t xml:space="preserve"> jeb 0,08% no kopējā investīciju apjoma. </w:t>
      </w:r>
    </w:p>
    <w:p w:rsidR="009B10A4" w:rsidRPr="002B4D22" w:rsidRDefault="009B10A4" w:rsidP="00534DFC">
      <w:pPr>
        <w:spacing w:after="120" w:line="240" w:lineRule="auto"/>
        <w:ind w:firstLine="567"/>
        <w:jc w:val="right"/>
        <w:rPr>
          <w:rFonts w:ascii="Times New Roman" w:hAnsi="Times New Roman"/>
          <w:sz w:val="26"/>
          <w:szCs w:val="26"/>
        </w:rPr>
      </w:pPr>
    </w:p>
    <w:p w:rsidR="009B10A4" w:rsidRPr="002B4D22" w:rsidRDefault="009B10A4" w:rsidP="00534DFC">
      <w:pPr>
        <w:spacing w:after="120" w:line="240" w:lineRule="auto"/>
        <w:ind w:firstLine="567"/>
        <w:jc w:val="right"/>
        <w:rPr>
          <w:rFonts w:ascii="Times New Roman" w:hAnsi="Times New Roman"/>
          <w:sz w:val="26"/>
          <w:szCs w:val="26"/>
        </w:rPr>
      </w:pPr>
      <w:r w:rsidRPr="002B4D22">
        <w:rPr>
          <w:rFonts w:ascii="Times New Roman" w:hAnsi="Times New Roman"/>
          <w:sz w:val="26"/>
          <w:szCs w:val="26"/>
        </w:rPr>
        <w:t>1.tabula</w:t>
      </w:r>
    </w:p>
    <w:p w:rsidR="009B10A4" w:rsidRPr="002B4D22" w:rsidRDefault="009B10A4" w:rsidP="00534DFC">
      <w:pPr>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Kopējais investīciju apjoms </w:t>
      </w:r>
      <w:r w:rsidR="0077232F" w:rsidRPr="002B4D22">
        <w:rPr>
          <w:rFonts w:ascii="Times New Roman" w:hAnsi="Times New Roman"/>
          <w:b/>
          <w:sz w:val="24"/>
          <w:szCs w:val="24"/>
        </w:rPr>
        <w:t>(</w:t>
      </w:r>
      <w:proofErr w:type="spellStart"/>
      <w:r w:rsidR="00C232F4" w:rsidRPr="002B4D22">
        <w:rPr>
          <w:rFonts w:ascii="Times New Roman" w:hAnsi="Times New Roman"/>
          <w:b/>
          <w:i/>
          <w:sz w:val="24"/>
          <w:szCs w:val="24"/>
        </w:rPr>
        <w:t>euro</w:t>
      </w:r>
      <w:proofErr w:type="spellEnd"/>
      <w:r w:rsidRPr="002B4D22">
        <w:rPr>
          <w:rFonts w:ascii="Times New Roman" w:hAnsi="Times New Roman"/>
          <w:b/>
          <w:sz w:val="24"/>
          <w:szCs w:val="24"/>
        </w:rPr>
        <w:t>)</w:t>
      </w:r>
    </w:p>
    <w:p w:rsidR="00EB3317" w:rsidRPr="002B4D22" w:rsidRDefault="00EB3317" w:rsidP="00534DFC">
      <w:pPr>
        <w:spacing w:after="120" w:line="240" w:lineRule="auto"/>
        <w:jc w:val="center"/>
        <w:rPr>
          <w:rFonts w:ascii="Times New Roman" w:hAnsi="Times New Roman"/>
          <w:b/>
          <w:sz w:val="24"/>
          <w:szCs w:val="24"/>
        </w:rPr>
      </w:pPr>
    </w:p>
    <w:tbl>
      <w:tblPr>
        <w:tblStyle w:val="LightShading"/>
        <w:tblW w:w="0" w:type="auto"/>
        <w:tblLook w:val="04A0"/>
      </w:tblPr>
      <w:tblGrid>
        <w:gridCol w:w="1526"/>
        <w:gridCol w:w="1642"/>
        <w:gridCol w:w="1696"/>
        <w:gridCol w:w="1623"/>
        <w:gridCol w:w="1275"/>
        <w:gridCol w:w="1702"/>
      </w:tblGrid>
      <w:tr w:rsidR="00EB3317" w:rsidRPr="002B4D22" w:rsidTr="00EB3317">
        <w:trPr>
          <w:cnfStyle w:val="100000000000"/>
        </w:trPr>
        <w:tc>
          <w:tcPr>
            <w:cnfStyle w:val="001000000000"/>
            <w:tcW w:w="1526" w:type="dxa"/>
            <w:vAlign w:val="center"/>
          </w:tcPr>
          <w:p w:rsidR="00EB3317" w:rsidRPr="002B4D22" w:rsidRDefault="00EB3317" w:rsidP="00534DFC">
            <w:pPr>
              <w:spacing w:after="120" w:line="240" w:lineRule="auto"/>
              <w:jc w:val="center"/>
              <w:rPr>
                <w:rFonts w:ascii="Times New Roman" w:hAnsi="Times New Roman"/>
                <w:sz w:val="24"/>
                <w:szCs w:val="24"/>
              </w:rPr>
            </w:pPr>
          </w:p>
        </w:tc>
        <w:tc>
          <w:tcPr>
            <w:tcW w:w="1642" w:type="dxa"/>
            <w:vAlign w:val="center"/>
          </w:tcPr>
          <w:p w:rsidR="00EB3317" w:rsidRPr="002B4D22" w:rsidRDefault="00EB3317"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Nekustamie īpašumi</w:t>
            </w:r>
          </w:p>
        </w:tc>
        <w:tc>
          <w:tcPr>
            <w:tcW w:w="1696" w:type="dxa"/>
            <w:vAlign w:val="center"/>
          </w:tcPr>
          <w:p w:rsidR="00EB3317" w:rsidRPr="002B4D22" w:rsidRDefault="00EB3317"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Kredītiestādes</w:t>
            </w:r>
          </w:p>
        </w:tc>
        <w:tc>
          <w:tcPr>
            <w:tcW w:w="1623" w:type="dxa"/>
            <w:vAlign w:val="center"/>
          </w:tcPr>
          <w:p w:rsidR="00EB3317" w:rsidRPr="002B4D22" w:rsidRDefault="00EB3317" w:rsidP="00534DFC">
            <w:pPr>
              <w:spacing w:after="120" w:line="240" w:lineRule="auto"/>
              <w:jc w:val="center"/>
              <w:cnfStyle w:val="100000000000"/>
              <w:rPr>
                <w:rFonts w:ascii="Times New Roman" w:hAnsi="Times New Roman"/>
                <w:sz w:val="24"/>
                <w:szCs w:val="24"/>
              </w:rPr>
            </w:pPr>
            <w:proofErr w:type="spellStart"/>
            <w:r w:rsidRPr="002B4D22">
              <w:rPr>
                <w:rFonts w:ascii="Times New Roman" w:hAnsi="Times New Roman"/>
                <w:sz w:val="24"/>
                <w:szCs w:val="24"/>
              </w:rPr>
              <w:t>Kapitāl-</w:t>
            </w:r>
            <w:proofErr w:type="spellEnd"/>
          </w:p>
          <w:p w:rsidR="00EB3317" w:rsidRPr="002B4D22" w:rsidRDefault="00EB3317"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sabiedrības</w:t>
            </w:r>
          </w:p>
        </w:tc>
        <w:tc>
          <w:tcPr>
            <w:tcW w:w="1275" w:type="dxa"/>
          </w:tcPr>
          <w:p w:rsidR="00EB3317" w:rsidRPr="002B4D22" w:rsidRDefault="00EB3317"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Valsts vērts-papīri</w:t>
            </w:r>
          </w:p>
        </w:tc>
        <w:tc>
          <w:tcPr>
            <w:tcW w:w="1702" w:type="dxa"/>
            <w:vAlign w:val="center"/>
          </w:tcPr>
          <w:p w:rsidR="00EB3317" w:rsidRPr="002B4D22" w:rsidRDefault="00EB3317" w:rsidP="00534DFC">
            <w:pPr>
              <w:spacing w:after="120" w:line="240" w:lineRule="auto"/>
              <w:ind w:left="-170" w:firstLine="170"/>
              <w:jc w:val="center"/>
              <w:cnfStyle w:val="100000000000"/>
              <w:rPr>
                <w:rFonts w:ascii="Times New Roman" w:hAnsi="Times New Roman"/>
                <w:sz w:val="24"/>
                <w:szCs w:val="24"/>
              </w:rPr>
            </w:pPr>
            <w:r w:rsidRPr="002B4D22">
              <w:rPr>
                <w:rFonts w:ascii="Times New Roman" w:hAnsi="Times New Roman"/>
                <w:sz w:val="24"/>
                <w:szCs w:val="24"/>
              </w:rPr>
              <w:t>Kopā</w:t>
            </w:r>
          </w:p>
        </w:tc>
      </w:tr>
      <w:tr w:rsidR="00EB3317" w:rsidRPr="002B4D22" w:rsidTr="00EB3317">
        <w:trPr>
          <w:cnfStyle w:val="000000100000"/>
          <w:trHeight w:val="602"/>
        </w:trPr>
        <w:tc>
          <w:tcPr>
            <w:cnfStyle w:val="001000000000"/>
            <w:tcW w:w="1526" w:type="dxa"/>
          </w:tcPr>
          <w:p w:rsidR="00EB3317" w:rsidRPr="002B4D22" w:rsidRDefault="00EB3317" w:rsidP="00534DFC">
            <w:pPr>
              <w:spacing w:after="120" w:line="240" w:lineRule="auto"/>
              <w:jc w:val="center"/>
              <w:rPr>
                <w:rFonts w:ascii="Times New Roman" w:hAnsi="Times New Roman"/>
                <w:b w:val="0"/>
                <w:sz w:val="20"/>
              </w:rPr>
            </w:pPr>
            <w:r w:rsidRPr="002B4D22">
              <w:rPr>
                <w:rFonts w:ascii="Times New Roman" w:hAnsi="Times New Roman"/>
                <w:b w:val="0"/>
                <w:sz w:val="24"/>
                <w:szCs w:val="24"/>
              </w:rPr>
              <w:t>01.07.2010.-31.12.2010.</w:t>
            </w:r>
          </w:p>
        </w:tc>
        <w:tc>
          <w:tcPr>
            <w:tcW w:w="1642"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15 843 266</w:t>
            </w:r>
          </w:p>
        </w:tc>
        <w:tc>
          <w:tcPr>
            <w:tcW w:w="1696"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12 283 072</w:t>
            </w:r>
          </w:p>
        </w:tc>
        <w:tc>
          <w:tcPr>
            <w:tcW w:w="1623"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304 708</w:t>
            </w:r>
          </w:p>
        </w:tc>
        <w:tc>
          <w:tcPr>
            <w:tcW w:w="1275" w:type="dxa"/>
          </w:tcPr>
          <w:p w:rsidR="00EB3317" w:rsidRPr="002B4D22" w:rsidRDefault="00EB3317" w:rsidP="00534DFC">
            <w:pPr>
              <w:spacing w:after="120" w:line="240" w:lineRule="auto"/>
              <w:jc w:val="right"/>
              <w:cnfStyle w:val="000000100000"/>
              <w:rPr>
                <w:rFonts w:ascii="Times New Roman" w:hAnsi="Times New Roman"/>
                <w:bCs/>
                <w:sz w:val="24"/>
                <w:szCs w:val="24"/>
              </w:rPr>
            </w:pPr>
            <w:r w:rsidRPr="002B4D22">
              <w:rPr>
                <w:rFonts w:ascii="Times New Roman" w:hAnsi="Times New Roman"/>
                <w:bCs/>
                <w:sz w:val="24"/>
                <w:szCs w:val="24"/>
              </w:rPr>
              <w:t>-</w:t>
            </w:r>
          </w:p>
        </w:tc>
        <w:tc>
          <w:tcPr>
            <w:tcW w:w="1702"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b/>
                <w:bCs/>
                <w:sz w:val="24"/>
                <w:szCs w:val="24"/>
              </w:rPr>
              <w:t>28 431 046</w:t>
            </w:r>
          </w:p>
        </w:tc>
      </w:tr>
      <w:tr w:rsidR="00EB3317" w:rsidRPr="002B4D22" w:rsidTr="00EB3317">
        <w:tc>
          <w:tcPr>
            <w:cnfStyle w:val="001000000000"/>
            <w:tcW w:w="1526" w:type="dxa"/>
          </w:tcPr>
          <w:p w:rsidR="00EB3317" w:rsidRPr="002B4D22" w:rsidRDefault="00EB3317"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2011.</w:t>
            </w:r>
          </w:p>
        </w:tc>
        <w:tc>
          <w:tcPr>
            <w:tcW w:w="1642" w:type="dxa"/>
          </w:tcPr>
          <w:p w:rsidR="00EB3317" w:rsidRPr="002B4D22" w:rsidRDefault="00EB3317" w:rsidP="00534DFC">
            <w:pPr>
              <w:spacing w:after="120" w:line="240" w:lineRule="auto"/>
              <w:jc w:val="right"/>
              <w:cnfStyle w:val="000000000000"/>
              <w:rPr>
                <w:rFonts w:ascii="Times New Roman" w:hAnsi="Times New Roman"/>
                <w:b/>
                <w:sz w:val="24"/>
                <w:szCs w:val="24"/>
              </w:rPr>
            </w:pPr>
            <w:r w:rsidRPr="002B4D22">
              <w:rPr>
                <w:rFonts w:ascii="Times New Roman" w:hAnsi="Times New Roman"/>
                <w:sz w:val="24"/>
                <w:szCs w:val="24"/>
              </w:rPr>
              <w:t xml:space="preserve">138 </w:t>
            </w:r>
            <w:r w:rsidR="00022C4C" w:rsidRPr="002B4D22">
              <w:rPr>
                <w:rFonts w:ascii="Times New Roman" w:hAnsi="Times New Roman"/>
                <w:sz w:val="24"/>
                <w:szCs w:val="24"/>
              </w:rPr>
              <w:t xml:space="preserve">035 </w:t>
            </w:r>
            <w:r w:rsidR="001509DD" w:rsidRPr="002B4D22">
              <w:rPr>
                <w:rFonts w:ascii="Times New Roman" w:hAnsi="Times New Roman"/>
                <w:sz w:val="24"/>
                <w:szCs w:val="24"/>
              </w:rPr>
              <w:t>076</w:t>
            </w:r>
          </w:p>
        </w:tc>
        <w:tc>
          <w:tcPr>
            <w:tcW w:w="1696" w:type="dxa"/>
          </w:tcPr>
          <w:p w:rsidR="00EB3317" w:rsidRPr="002B4D22" w:rsidRDefault="00EB3317" w:rsidP="00534DFC">
            <w:pPr>
              <w:spacing w:after="120" w:line="240" w:lineRule="auto"/>
              <w:jc w:val="right"/>
              <w:cnfStyle w:val="000000000000"/>
              <w:rPr>
                <w:rFonts w:ascii="Times New Roman" w:hAnsi="Times New Roman"/>
                <w:b/>
                <w:sz w:val="24"/>
                <w:szCs w:val="24"/>
              </w:rPr>
            </w:pPr>
            <w:r w:rsidRPr="002B4D22">
              <w:rPr>
                <w:rFonts w:ascii="Times New Roman" w:hAnsi="Times New Roman"/>
                <w:sz w:val="24"/>
                <w:szCs w:val="24"/>
              </w:rPr>
              <w:t>35 063 985</w:t>
            </w:r>
          </w:p>
        </w:tc>
        <w:tc>
          <w:tcPr>
            <w:tcW w:w="1623" w:type="dxa"/>
          </w:tcPr>
          <w:p w:rsidR="00EB3317" w:rsidRPr="002B4D22" w:rsidRDefault="00EB3317" w:rsidP="00534DFC">
            <w:pPr>
              <w:spacing w:after="120" w:line="240" w:lineRule="auto"/>
              <w:jc w:val="right"/>
              <w:cnfStyle w:val="000000000000"/>
              <w:rPr>
                <w:rFonts w:ascii="Times New Roman" w:hAnsi="Times New Roman"/>
                <w:b/>
                <w:sz w:val="24"/>
                <w:szCs w:val="24"/>
              </w:rPr>
            </w:pPr>
            <w:r w:rsidRPr="002B4D22">
              <w:rPr>
                <w:rFonts w:ascii="Times New Roman" w:hAnsi="Times New Roman"/>
                <w:sz w:val="24"/>
                <w:szCs w:val="24"/>
              </w:rPr>
              <w:t>3 641 314</w:t>
            </w:r>
          </w:p>
        </w:tc>
        <w:tc>
          <w:tcPr>
            <w:tcW w:w="1275" w:type="dxa"/>
          </w:tcPr>
          <w:p w:rsidR="00EB3317" w:rsidRPr="002B4D22" w:rsidRDefault="00EB3317" w:rsidP="00534DFC">
            <w:pPr>
              <w:spacing w:after="120" w:line="240" w:lineRule="auto"/>
              <w:jc w:val="right"/>
              <w:cnfStyle w:val="000000000000"/>
              <w:rPr>
                <w:rFonts w:ascii="Times New Roman" w:hAnsi="Times New Roman"/>
                <w:bCs/>
                <w:sz w:val="24"/>
                <w:szCs w:val="24"/>
              </w:rPr>
            </w:pPr>
            <w:r w:rsidRPr="002B4D22">
              <w:rPr>
                <w:rFonts w:ascii="Times New Roman" w:hAnsi="Times New Roman"/>
                <w:bCs/>
                <w:sz w:val="24"/>
                <w:szCs w:val="24"/>
              </w:rPr>
              <w:t>-</w:t>
            </w:r>
          </w:p>
        </w:tc>
        <w:tc>
          <w:tcPr>
            <w:tcW w:w="1702" w:type="dxa"/>
          </w:tcPr>
          <w:p w:rsidR="00EB3317" w:rsidRPr="002B4D22" w:rsidRDefault="00EB3317" w:rsidP="00534DFC">
            <w:pPr>
              <w:spacing w:after="120" w:line="240" w:lineRule="auto"/>
              <w:jc w:val="right"/>
              <w:cnfStyle w:val="000000000000"/>
              <w:rPr>
                <w:rFonts w:ascii="Times New Roman" w:hAnsi="Times New Roman"/>
                <w:b/>
                <w:sz w:val="24"/>
                <w:szCs w:val="24"/>
              </w:rPr>
            </w:pPr>
            <w:r w:rsidRPr="002B4D22">
              <w:rPr>
                <w:rFonts w:ascii="Times New Roman" w:hAnsi="Times New Roman"/>
                <w:b/>
                <w:bCs/>
                <w:sz w:val="24"/>
                <w:szCs w:val="24"/>
              </w:rPr>
              <w:t>17</w:t>
            </w:r>
            <w:r w:rsidR="001509DD" w:rsidRPr="002B4D22">
              <w:rPr>
                <w:rFonts w:ascii="Times New Roman" w:hAnsi="Times New Roman"/>
                <w:b/>
                <w:bCs/>
                <w:sz w:val="24"/>
                <w:szCs w:val="24"/>
              </w:rPr>
              <w:t>6</w:t>
            </w:r>
            <w:r w:rsidRPr="002B4D22">
              <w:rPr>
                <w:rFonts w:ascii="Times New Roman" w:hAnsi="Times New Roman"/>
                <w:b/>
                <w:bCs/>
                <w:sz w:val="24"/>
                <w:szCs w:val="24"/>
              </w:rPr>
              <w:t xml:space="preserve"> </w:t>
            </w:r>
            <w:r w:rsidR="001509DD" w:rsidRPr="002B4D22">
              <w:rPr>
                <w:rFonts w:ascii="Times New Roman" w:hAnsi="Times New Roman"/>
                <w:b/>
                <w:bCs/>
                <w:sz w:val="24"/>
                <w:szCs w:val="24"/>
              </w:rPr>
              <w:t>740</w:t>
            </w:r>
            <w:r w:rsidRPr="002B4D22">
              <w:rPr>
                <w:rFonts w:ascii="Times New Roman" w:hAnsi="Times New Roman"/>
                <w:b/>
                <w:bCs/>
                <w:sz w:val="24"/>
                <w:szCs w:val="24"/>
              </w:rPr>
              <w:t xml:space="preserve"> </w:t>
            </w:r>
            <w:r w:rsidR="001509DD" w:rsidRPr="002B4D22">
              <w:rPr>
                <w:rFonts w:ascii="Times New Roman" w:hAnsi="Times New Roman"/>
                <w:b/>
                <w:bCs/>
                <w:sz w:val="24"/>
                <w:szCs w:val="24"/>
              </w:rPr>
              <w:t>375</w:t>
            </w:r>
          </w:p>
        </w:tc>
      </w:tr>
      <w:tr w:rsidR="00EB3317" w:rsidRPr="002B4D22" w:rsidTr="00EB3317">
        <w:trPr>
          <w:cnfStyle w:val="000000100000"/>
        </w:trPr>
        <w:tc>
          <w:tcPr>
            <w:cnfStyle w:val="001000000000"/>
            <w:tcW w:w="1526" w:type="dxa"/>
          </w:tcPr>
          <w:p w:rsidR="00EB3317" w:rsidRPr="002B4D22" w:rsidRDefault="00EB3317"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2012.</w:t>
            </w:r>
          </w:p>
        </w:tc>
        <w:tc>
          <w:tcPr>
            <w:tcW w:w="1642"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208 0</w:t>
            </w:r>
            <w:r w:rsidR="00D10E02" w:rsidRPr="002B4D22">
              <w:rPr>
                <w:rFonts w:ascii="Times New Roman" w:hAnsi="Times New Roman"/>
                <w:sz w:val="24"/>
                <w:szCs w:val="24"/>
              </w:rPr>
              <w:t>5</w:t>
            </w:r>
            <w:r w:rsidRPr="002B4D22">
              <w:rPr>
                <w:rFonts w:ascii="Times New Roman" w:hAnsi="Times New Roman"/>
                <w:sz w:val="24"/>
                <w:szCs w:val="24"/>
              </w:rPr>
              <w:t>1 1</w:t>
            </w:r>
            <w:r w:rsidR="00B61E44" w:rsidRPr="002B4D22">
              <w:rPr>
                <w:rFonts w:ascii="Times New Roman" w:hAnsi="Times New Roman"/>
                <w:sz w:val="24"/>
                <w:szCs w:val="24"/>
              </w:rPr>
              <w:t>4</w:t>
            </w:r>
            <w:r w:rsidRPr="002B4D22">
              <w:rPr>
                <w:rFonts w:ascii="Times New Roman" w:hAnsi="Times New Roman"/>
                <w:sz w:val="24"/>
                <w:szCs w:val="24"/>
              </w:rPr>
              <w:t>6</w:t>
            </w:r>
          </w:p>
        </w:tc>
        <w:tc>
          <w:tcPr>
            <w:tcW w:w="1696"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28 474 027</w:t>
            </w:r>
          </w:p>
        </w:tc>
        <w:tc>
          <w:tcPr>
            <w:tcW w:w="1623"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13 335 101</w:t>
            </w:r>
          </w:p>
        </w:tc>
        <w:tc>
          <w:tcPr>
            <w:tcW w:w="1275" w:type="dxa"/>
          </w:tcPr>
          <w:p w:rsidR="00EB3317" w:rsidRPr="002B4D22" w:rsidRDefault="00EB3317" w:rsidP="00534DFC">
            <w:pPr>
              <w:spacing w:after="120" w:line="240" w:lineRule="auto"/>
              <w:jc w:val="right"/>
              <w:cnfStyle w:val="000000100000"/>
              <w:rPr>
                <w:rFonts w:ascii="Times New Roman" w:hAnsi="Times New Roman"/>
                <w:bCs/>
                <w:sz w:val="24"/>
                <w:szCs w:val="24"/>
              </w:rPr>
            </w:pPr>
            <w:r w:rsidRPr="002B4D22">
              <w:rPr>
                <w:rFonts w:ascii="Times New Roman" w:hAnsi="Times New Roman"/>
                <w:bCs/>
                <w:sz w:val="24"/>
                <w:szCs w:val="24"/>
              </w:rPr>
              <w:t>-</w:t>
            </w:r>
          </w:p>
        </w:tc>
        <w:tc>
          <w:tcPr>
            <w:tcW w:w="1702"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b/>
                <w:bCs/>
                <w:sz w:val="24"/>
                <w:szCs w:val="24"/>
              </w:rPr>
              <w:t>249 8</w:t>
            </w:r>
            <w:r w:rsidR="00B61E44" w:rsidRPr="002B4D22">
              <w:rPr>
                <w:rFonts w:ascii="Times New Roman" w:hAnsi="Times New Roman"/>
                <w:b/>
                <w:bCs/>
                <w:sz w:val="24"/>
                <w:szCs w:val="24"/>
              </w:rPr>
              <w:t>6</w:t>
            </w:r>
            <w:r w:rsidRPr="002B4D22">
              <w:rPr>
                <w:rFonts w:ascii="Times New Roman" w:hAnsi="Times New Roman"/>
                <w:b/>
                <w:bCs/>
                <w:sz w:val="24"/>
                <w:szCs w:val="24"/>
              </w:rPr>
              <w:t xml:space="preserve">0 </w:t>
            </w:r>
            <w:r w:rsidR="00B61E44" w:rsidRPr="002B4D22">
              <w:rPr>
                <w:rFonts w:ascii="Times New Roman" w:hAnsi="Times New Roman"/>
                <w:b/>
                <w:bCs/>
                <w:sz w:val="24"/>
                <w:szCs w:val="24"/>
              </w:rPr>
              <w:t>274</w:t>
            </w:r>
          </w:p>
        </w:tc>
      </w:tr>
      <w:tr w:rsidR="00EB3317" w:rsidRPr="002B4D22" w:rsidTr="00EB3317">
        <w:tc>
          <w:tcPr>
            <w:cnfStyle w:val="001000000000"/>
            <w:tcW w:w="1526" w:type="dxa"/>
          </w:tcPr>
          <w:p w:rsidR="00EB3317" w:rsidRPr="002B4D22" w:rsidRDefault="00EB3317"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2013.</w:t>
            </w:r>
          </w:p>
        </w:tc>
        <w:tc>
          <w:tcPr>
            <w:tcW w:w="1642" w:type="dxa"/>
          </w:tcPr>
          <w:p w:rsidR="00EB3317" w:rsidRPr="002B4D22" w:rsidRDefault="00EB3317" w:rsidP="00534DFC">
            <w:pPr>
              <w:spacing w:after="120" w:line="240" w:lineRule="auto"/>
              <w:jc w:val="right"/>
              <w:cnfStyle w:val="000000000000"/>
              <w:rPr>
                <w:rFonts w:ascii="Times New Roman" w:hAnsi="Times New Roman"/>
                <w:sz w:val="24"/>
                <w:szCs w:val="24"/>
              </w:rPr>
            </w:pPr>
            <w:r w:rsidRPr="002B4D22">
              <w:rPr>
                <w:rFonts w:ascii="Times New Roman" w:hAnsi="Times New Roman"/>
                <w:sz w:val="24"/>
                <w:szCs w:val="24"/>
              </w:rPr>
              <w:t xml:space="preserve">296 </w:t>
            </w:r>
            <w:r w:rsidR="00D10E02" w:rsidRPr="002B4D22">
              <w:rPr>
                <w:rFonts w:ascii="Times New Roman" w:hAnsi="Times New Roman"/>
                <w:sz w:val="24"/>
                <w:szCs w:val="24"/>
              </w:rPr>
              <w:t>575 884</w:t>
            </w:r>
          </w:p>
        </w:tc>
        <w:tc>
          <w:tcPr>
            <w:tcW w:w="1696" w:type="dxa"/>
          </w:tcPr>
          <w:p w:rsidR="00EB3317" w:rsidRPr="002B4D22" w:rsidRDefault="00EB3317" w:rsidP="00534DFC">
            <w:pPr>
              <w:spacing w:after="120" w:line="240" w:lineRule="auto"/>
              <w:jc w:val="right"/>
              <w:cnfStyle w:val="000000000000"/>
              <w:rPr>
                <w:rFonts w:ascii="Times New Roman" w:hAnsi="Times New Roman"/>
                <w:b/>
                <w:sz w:val="24"/>
                <w:szCs w:val="24"/>
              </w:rPr>
            </w:pPr>
            <w:r w:rsidRPr="002B4D22">
              <w:rPr>
                <w:rFonts w:ascii="Times New Roman" w:hAnsi="Times New Roman"/>
                <w:sz w:val="24"/>
                <w:szCs w:val="24"/>
              </w:rPr>
              <w:t>34 105 828</w:t>
            </w:r>
          </w:p>
        </w:tc>
        <w:tc>
          <w:tcPr>
            <w:tcW w:w="1623" w:type="dxa"/>
          </w:tcPr>
          <w:p w:rsidR="00EB3317" w:rsidRPr="002B4D22" w:rsidRDefault="00EB3317" w:rsidP="00534DFC">
            <w:pPr>
              <w:spacing w:after="120" w:line="240" w:lineRule="auto"/>
              <w:jc w:val="right"/>
              <w:cnfStyle w:val="000000000000"/>
              <w:rPr>
                <w:rFonts w:ascii="Times New Roman" w:hAnsi="Times New Roman"/>
                <w:b/>
                <w:sz w:val="24"/>
                <w:szCs w:val="24"/>
              </w:rPr>
            </w:pPr>
            <w:r w:rsidRPr="002B4D22">
              <w:rPr>
                <w:rFonts w:ascii="Times New Roman" w:hAnsi="Times New Roman"/>
                <w:sz w:val="24"/>
                <w:szCs w:val="24"/>
              </w:rPr>
              <w:t>29 300 291</w:t>
            </w:r>
          </w:p>
        </w:tc>
        <w:tc>
          <w:tcPr>
            <w:tcW w:w="1275" w:type="dxa"/>
          </w:tcPr>
          <w:p w:rsidR="00EB3317" w:rsidRPr="002B4D22" w:rsidRDefault="00EB3317" w:rsidP="00534DFC">
            <w:pPr>
              <w:spacing w:after="120" w:line="240" w:lineRule="auto"/>
              <w:jc w:val="right"/>
              <w:cnfStyle w:val="000000000000"/>
              <w:rPr>
                <w:rFonts w:ascii="Times New Roman" w:hAnsi="Times New Roman"/>
                <w:bCs/>
                <w:sz w:val="24"/>
                <w:szCs w:val="24"/>
              </w:rPr>
            </w:pPr>
            <w:r w:rsidRPr="002B4D22">
              <w:rPr>
                <w:rFonts w:ascii="Times New Roman" w:hAnsi="Times New Roman"/>
                <w:bCs/>
                <w:sz w:val="24"/>
                <w:szCs w:val="24"/>
              </w:rPr>
              <w:t>-</w:t>
            </w:r>
          </w:p>
        </w:tc>
        <w:tc>
          <w:tcPr>
            <w:tcW w:w="1702" w:type="dxa"/>
          </w:tcPr>
          <w:p w:rsidR="00EB3317" w:rsidRPr="002B4D22" w:rsidRDefault="00EB3317" w:rsidP="00534DFC">
            <w:pPr>
              <w:spacing w:after="120" w:line="240" w:lineRule="auto"/>
              <w:jc w:val="right"/>
              <w:cnfStyle w:val="000000000000"/>
              <w:rPr>
                <w:rFonts w:ascii="Times New Roman" w:hAnsi="Times New Roman"/>
                <w:b/>
                <w:sz w:val="24"/>
                <w:szCs w:val="24"/>
              </w:rPr>
            </w:pPr>
            <w:r w:rsidRPr="002B4D22">
              <w:rPr>
                <w:rFonts w:ascii="Times New Roman" w:hAnsi="Times New Roman"/>
                <w:b/>
                <w:bCs/>
                <w:sz w:val="24"/>
                <w:szCs w:val="24"/>
              </w:rPr>
              <w:t>3</w:t>
            </w:r>
            <w:r w:rsidR="008C7CCE" w:rsidRPr="002B4D22">
              <w:rPr>
                <w:rFonts w:ascii="Times New Roman" w:hAnsi="Times New Roman"/>
                <w:b/>
                <w:bCs/>
                <w:sz w:val="24"/>
                <w:szCs w:val="24"/>
              </w:rPr>
              <w:t>59</w:t>
            </w:r>
            <w:r w:rsidRPr="002B4D22">
              <w:rPr>
                <w:rFonts w:ascii="Times New Roman" w:hAnsi="Times New Roman"/>
                <w:b/>
                <w:bCs/>
                <w:sz w:val="24"/>
                <w:szCs w:val="24"/>
              </w:rPr>
              <w:t xml:space="preserve"> </w:t>
            </w:r>
            <w:r w:rsidR="008C7CCE" w:rsidRPr="002B4D22">
              <w:rPr>
                <w:rFonts w:ascii="Times New Roman" w:hAnsi="Times New Roman"/>
                <w:b/>
                <w:bCs/>
                <w:sz w:val="24"/>
                <w:szCs w:val="24"/>
              </w:rPr>
              <w:t>982 003</w:t>
            </w:r>
            <w:r w:rsidRPr="002B4D22">
              <w:rPr>
                <w:rFonts w:ascii="Times New Roman" w:hAnsi="Times New Roman"/>
                <w:b/>
                <w:bCs/>
                <w:sz w:val="24"/>
                <w:szCs w:val="24"/>
              </w:rPr>
              <w:t xml:space="preserve"> </w:t>
            </w:r>
          </w:p>
        </w:tc>
      </w:tr>
      <w:tr w:rsidR="00EB3317" w:rsidRPr="002B4D22" w:rsidTr="00EB3317">
        <w:trPr>
          <w:cnfStyle w:val="000000100000"/>
        </w:trPr>
        <w:tc>
          <w:tcPr>
            <w:cnfStyle w:val="001000000000"/>
            <w:tcW w:w="1526" w:type="dxa"/>
          </w:tcPr>
          <w:p w:rsidR="00EB3317" w:rsidRPr="002B4D22" w:rsidRDefault="00EB3317"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2014.</w:t>
            </w:r>
          </w:p>
        </w:tc>
        <w:tc>
          <w:tcPr>
            <w:tcW w:w="1642" w:type="dxa"/>
          </w:tcPr>
          <w:p w:rsidR="00EB3317" w:rsidRPr="002B4D22" w:rsidRDefault="00D10E02" w:rsidP="00534DFC">
            <w:pPr>
              <w:spacing w:after="120" w:line="240" w:lineRule="auto"/>
              <w:jc w:val="right"/>
              <w:cnfStyle w:val="000000100000"/>
              <w:rPr>
                <w:rFonts w:ascii="Times New Roman" w:hAnsi="Times New Roman"/>
                <w:sz w:val="24"/>
                <w:szCs w:val="24"/>
              </w:rPr>
            </w:pPr>
            <w:r w:rsidRPr="002B4D22">
              <w:rPr>
                <w:rFonts w:ascii="Times New Roman" w:hAnsi="Times New Roman"/>
                <w:sz w:val="24"/>
                <w:szCs w:val="24"/>
              </w:rPr>
              <w:t>397 314 888</w:t>
            </w:r>
          </w:p>
        </w:tc>
        <w:tc>
          <w:tcPr>
            <w:tcW w:w="1696" w:type="dxa"/>
          </w:tcPr>
          <w:p w:rsidR="00EB3317" w:rsidRPr="002B4D22" w:rsidRDefault="008B1302"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31 328 218</w:t>
            </w:r>
          </w:p>
        </w:tc>
        <w:tc>
          <w:tcPr>
            <w:tcW w:w="1623" w:type="dxa"/>
          </w:tcPr>
          <w:p w:rsidR="00EB3317" w:rsidRPr="002B4D22" w:rsidRDefault="008B1302" w:rsidP="00534DFC">
            <w:pPr>
              <w:spacing w:after="120" w:line="240" w:lineRule="auto"/>
              <w:jc w:val="right"/>
              <w:cnfStyle w:val="000000100000"/>
              <w:rPr>
                <w:rFonts w:ascii="Times New Roman" w:hAnsi="Times New Roman"/>
                <w:b/>
                <w:sz w:val="24"/>
                <w:szCs w:val="24"/>
              </w:rPr>
            </w:pPr>
            <w:r w:rsidRPr="002B4D22">
              <w:rPr>
                <w:rFonts w:ascii="Times New Roman" w:hAnsi="Times New Roman"/>
                <w:sz w:val="24"/>
                <w:szCs w:val="24"/>
              </w:rPr>
              <w:t>18 825 495</w:t>
            </w:r>
          </w:p>
        </w:tc>
        <w:tc>
          <w:tcPr>
            <w:tcW w:w="1275" w:type="dxa"/>
          </w:tcPr>
          <w:p w:rsidR="00EB3317" w:rsidRPr="002B4D22" w:rsidRDefault="00EB3317" w:rsidP="00534DFC">
            <w:pPr>
              <w:spacing w:after="120" w:line="240" w:lineRule="auto"/>
              <w:jc w:val="right"/>
              <w:cnfStyle w:val="000000100000"/>
              <w:rPr>
                <w:rFonts w:ascii="Times New Roman" w:hAnsi="Times New Roman"/>
                <w:bCs/>
                <w:sz w:val="24"/>
                <w:szCs w:val="24"/>
              </w:rPr>
            </w:pPr>
            <w:r w:rsidRPr="002B4D22">
              <w:rPr>
                <w:rFonts w:ascii="Times New Roman" w:hAnsi="Times New Roman"/>
                <w:bCs/>
                <w:sz w:val="24"/>
                <w:szCs w:val="24"/>
              </w:rPr>
              <w:t>-</w:t>
            </w:r>
          </w:p>
        </w:tc>
        <w:tc>
          <w:tcPr>
            <w:tcW w:w="1702" w:type="dxa"/>
          </w:tcPr>
          <w:p w:rsidR="00EB3317" w:rsidRPr="002B4D22" w:rsidRDefault="008C7CCE" w:rsidP="00534DFC">
            <w:pPr>
              <w:spacing w:after="120" w:line="240" w:lineRule="auto"/>
              <w:jc w:val="right"/>
              <w:cnfStyle w:val="000000100000"/>
              <w:rPr>
                <w:rFonts w:ascii="Times New Roman" w:hAnsi="Times New Roman"/>
                <w:b/>
                <w:sz w:val="24"/>
                <w:szCs w:val="24"/>
              </w:rPr>
            </w:pPr>
            <w:r w:rsidRPr="002B4D22">
              <w:rPr>
                <w:rFonts w:ascii="Times New Roman" w:hAnsi="Times New Roman"/>
                <w:b/>
                <w:bCs/>
                <w:sz w:val="24"/>
                <w:szCs w:val="24"/>
              </w:rPr>
              <w:t>447 468 601</w:t>
            </w:r>
          </w:p>
        </w:tc>
      </w:tr>
      <w:tr w:rsidR="00EB3317" w:rsidRPr="002B4D22" w:rsidTr="00EB3317">
        <w:tc>
          <w:tcPr>
            <w:cnfStyle w:val="001000000000"/>
            <w:tcW w:w="1526" w:type="dxa"/>
          </w:tcPr>
          <w:p w:rsidR="00EB3317" w:rsidRPr="002B4D22" w:rsidRDefault="00EB3317"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01.01.2015.-30.06.2015.</w:t>
            </w:r>
          </w:p>
        </w:tc>
        <w:tc>
          <w:tcPr>
            <w:tcW w:w="1642" w:type="dxa"/>
          </w:tcPr>
          <w:p w:rsidR="00EB3317" w:rsidRPr="002B4D22" w:rsidRDefault="00EB3317" w:rsidP="00534DFC">
            <w:pPr>
              <w:spacing w:after="120" w:line="240" w:lineRule="auto"/>
              <w:jc w:val="right"/>
              <w:cnfStyle w:val="000000000000"/>
              <w:rPr>
                <w:rFonts w:ascii="Times New Roman" w:hAnsi="Times New Roman"/>
                <w:sz w:val="24"/>
                <w:szCs w:val="24"/>
              </w:rPr>
            </w:pPr>
            <w:r w:rsidRPr="002B4D22">
              <w:rPr>
                <w:rFonts w:ascii="Times New Roman" w:hAnsi="Times New Roman"/>
                <w:sz w:val="24"/>
                <w:szCs w:val="24"/>
              </w:rPr>
              <w:t>37 665 409</w:t>
            </w:r>
          </w:p>
        </w:tc>
        <w:tc>
          <w:tcPr>
            <w:tcW w:w="1696" w:type="dxa"/>
          </w:tcPr>
          <w:p w:rsidR="00EB3317" w:rsidRPr="002B4D22" w:rsidRDefault="00EB3317" w:rsidP="00534DFC">
            <w:pPr>
              <w:spacing w:after="120" w:line="240" w:lineRule="auto"/>
              <w:jc w:val="right"/>
              <w:cnfStyle w:val="000000000000"/>
              <w:rPr>
                <w:rFonts w:ascii="Times New Roman" w:hAnsi="Times New Roman"/>
                <w:sz w:val="24"/>
                <w:szCs w:val="24"/>
              </w:rPr>
            </w:pPr>
            <w:r w:rsidRPr="002B4D22">
              <w:rPr>
                <w:rFonts w:ascii="Times New Roman" w:hAnsi="Times New Roman"/>
                <w:sz w:val="24"/>
                <w:szCs w:val="24"/>
              </w:rPr>
              <w:t>6 758 000</w:t>
            </w:r>
          </w:p>
        </w:tc>
        <w:tc>
          <w:tcPr>
            <w:tcW w:w="1623" w:type="dxa"/>
          </w:tcPr>
          <w:p w:rsidR="00EB3317" w:rsidRPr="002B4D22" w:rsidRDefault="00EB3317" w:rsidP="00534DFC">
            <w:pPr>
              <w:spacing w:after="120" w:line="240" w:lineRule="auto"/>
              <w:jc w:val="right"/>
              <w:cnfStyle w:val="000000000000"/>
              <w:rPr>
                <w:rFonts w:ascii="Times New Roman" w:hAnsi="Times New Roman"/>
                <w:sz w:val="24"/>
                <w:szCs w:val="24"/>
              </w:rPr>
            </w:pPr>
            <w:r w:rsidRPr="002B4D22">
              <w:rPr>
                <w:rFonts w:ascii="Times New Roman" w:hAnsi="Times New Roman"/>
                <w:sz w:val="24"/>
                <w:szCs w:val="24"/>
              </w:rPr>
              <w:t>5 421 511</w:t>
            </w:r>
          </w:p>
        </w:tc>
        <w:tc>
          <w:tcPr>
            <w:tcW w:w="1275" w:type="dxa"/>
          </w:tcPr>
          <w:p w:rsidR="00EB3317" w:rsidRPr="002B4D22" w:rsidRDefault="00EB3317" w:rsidP="00534DFC">
            <w:pPr>
              <w:spacing w:after="120" w:line="240" w:lineRule="auto"/>
              <w:jc w:val="right"/>
              <w:cnfStyle w:val="000000000000"/>
              <w:rPr>
                <w:rFonts w:ascii="Times New Roman" w:hAnsi="Times New Roman"/>
                <w:bCs/>
                <w:sz w:val="24"/>
                <w:szCs w:val="24"/>
              </w:rPr>
            </w:pPr>
            <w:r w:rsidRPr="002B4D22">
              <w:rPr>
                <w:rFonts w:ascii="Times New Roman" w:hAnsi="Times New Roman"/>
                <w:bCs/>
                <w:sz w:val="24"/>
                <w:szCs w:val="24"/>
              </w:rPr>
              <w:t xml:space="preserve">1 000 </w:t>
            </w:r>
            <w:proofErr w:type="spellStart"/>
            <w:r w:rsidRPr="002B4D22">
              <w:rPr>
                <w:rFonts w:ascii="Times New Roman" w:hAnsi="Times New Roman"/>
                <w:bCs/>
                <w:sz w:val="24"/>
                <w:szCs w:val="24"/>
              </w:rPr>
              <w:t>000</w:t>
            </w:r>
            <w:proofErr w:type="spellEnd"/>
          </w:p>
        </w:tc>
        <w:tc>
          <w:tcPr>
            <w:tcW w:w="1702" w:type="dxa"/>
          </w:tcPr>
          <w:p w:rsidR="00EB3317" w:rsidRPr="002B4D22" w:rsidRDefault="008C7CCE" w:rsidP="00534DFC">
            <w:pPr>
              <w:spacing w:after="120" w:line="240" w:lineRule="auto"/>
              <w:jc w:val="right"/>
              <w:cnfStyle w:val="000000000000"/>
              <w:rPr>
                <w:rFonts w:ascii="Times New Roman" w:hAnsi="Times New Roman"/>
                <w:b/>
                <w:bCs/>
                <w:sz w:val="24"/>
                <w:szCs w:val="24"/>
              </w:rPr>
            </w:pPr>
            <w:r w:rsidRPr="002B4D22">
              <w:rPr>
                <w:rFonts w:ascii="Times New Roman" w:hAnsi="Times New Roman"/>
                <w:b/>
                <w:bCs/>
                <w:sz w:val="24"/>
                <w:szCs w:val="24"/>
              </w:rPr>
              <w:t>50 844 920</w:t>
            </w:r>
          </w:p>
        </w:tc>
      </w:tr>
      <w:tr w:rsidR="00EB3317" w:rsidRPr="002B4D22" w:rsidTr="00EB3317">
        <w:trPr>
          <w:cnfStyle w:val="000000100000"/>
          <w:trHeight w:val="453"/>
        </w:trPr>
        <w:tc>
          <w:tcPr>
            <w:cnfStyle w:val="001000000000"/>
            <w:tcW w:w="1526" w:type="dxa"/>
          </w:tcPr>
          <w:p w:rsidR="00EB3317" w:rsidRPr="002B4D22" w:rsidRDefault="00EB3317" w:rsidP="00534DFC">
            <w:pPr>
              <w:spacing w:after="120" w:line="240" w:lineRule="auto"/>
              <w:jc w:val="center"/>
              <w:rPr>
                <w:rFonts w:ascii="Times New Roman" w:hAnsi="Times New Roman"/>
                <w:sz w:val="24"/>
                <w:szCs w:val="24"/>
              </w:rPr>
            </w:pPr>
            <w:r w:rsidRPr="002B4D22">
              <w:rPr>
                <w:rFonts w:ascii="Times New Roman" w:hAnsi="Times New Roman"/>
                <w:sz w:val="24"/>
                <w:szCs w:val="24"/>
              </w:rPr>
              <w:t>Kopā</w:t>
            </w:r>
          </w:p>
        </w:tc>
        <w:tc>
          <w:tcPr>
            <w:tcW w:w="1642" w:type="dxa"/>
          </w:tcPr>
          <w:p w:rsidR="00EB3317" w:rsidRPr="002B4D22" w:rsidRDefault="00EB3317" w:rsidP="00534DFC">
            <w:pPr>
              <w:spacing w:after="120" w:line="240" w:lineRule="auto"/>
              <w:jc w:val="right"/>
              <w:cnfStyle w:val="000000100000"/>
              <w:rPr>
                <w:rFonts w:ascii="Times New Roman" w:hAnsi="Times New Roman"/>
                <w:b/>
                <w:bCs/>
                <w:sz w:val="24"/>
                <w:szCs w:val="24"/>
              </w:rPr>
            </w:pPr>
            <w:r w:rsidRPr="002B4D22">
              <w:rPr>
                <w:rFonts w:ascii="Times New Roman" w:hAnsi="Times New Roman"/>
                <w:b/>
                <w:bCs/>
                <w:sz w:val="24"/>
                <w:szCs w:val="24"/>
              </w:rPr>
              <w:t>1 09</w:t>
            </w:r>
            <w:r w:rsidR="00B61E44" w:rsidRPr="002B4D22">
              <w:rPr>
                <w:rFonts w:ascii="Times New Roman" w:hAnsi="Times New Roman"/>
                <w:b/>
                <w:bCs/>
                <w:sz w:val="24"/>
                <w:szCs w:val="24"/>
              </w:rPr>
              <w:t>3</w:t>
            </w:r>
            <w:r w:rsidRPr="002B4D22">
              <w:rPr>
                <w:rFonts w:ascii="Times New Roman" w:hAnsi="Times New Roman"/>
                <w:b/>
                <w:bCs/>
                <w:sz w:val="24"/>
                <w:szCs w:val="24"/>
              </w:rPr>
              <w:t xml:space="preserve"> </w:t>
            </w:r>
            <w:r w:rsidR="00B61E44" w:rsidRPr="002B4D22">
              <w:rPr>
                <w:rFonts w:ascii="Times New Roman" w:hAnsi="Times New Roman"/>
                <w:b/>
                <w:bCs/>
                <w:sz w:val="24"/>
                <w:szCs w:val="24"/>
              </w:rPr>
              <w:t>485</w:t>
            </w:r>
            <w:r w:rsidRPr="002B4D22">
              <w:rPr>
                <w:rFonts w:ascii="Times New Roman" w:hAnsi="Times New Roman"/>
                <w:b/>
                <w:bCs/>
                <w:sz w:val="24"/>
                <w:szCs w:val="24"/>
              </w:rPr>
              <w:t xml:space="preserve"> </w:t>
            </w:r>
            <w:r w:rsidR="00B61E44" w:rsidRPr="002B4D22">
              <w:rPr>
                <w:rFonts w:ascii="Times New Roman" w:hAnsi="Times New Roman"/>
                <w:b/>
                <w:bCs/>
                <w:sz w:val="24"/>
                <w:szCs w:val="24"/>
              </w:rPr>
              <w:t>669</w:t>
            </w:r>
          </w:p>
        </w:tc>
        <w:tc>
          <w:tcPr>
            <w:tcW w:w="1696" w:type="dxa"/>
          </w:tcPr>
          <w:p w:rsidR="00EB3317" w:rsidRPr="002B4D22" w:rsidRDefault="00EB3317" w:rsidP="00534DFC">
            <w:pPr>
              <w:spacing w:after="120" w:line="240" w:lineRule="auto"/>
              <w:jc w:val="right"/>
              <w:cnfStyle w:val="000000100000"/>
              <w:rPr>
                <w:rFonts w:ascii="Times New Roman" w:hAnsi="Times New Roman"/>
                <w:b/>
                <w:bCs/>
                <w:sz w:val="24"/>
                <w:szCs w:val="24"/>
              </w:rPr>
            </w:pPr>
            <w:r w:rsidRPr="002B4D22">
              <w:rPr>
                <w:rFonts w:ascii="Times New Roman" w:hAnsi="Times New Roman"/>
                <w:b/>
                <w:bCs/>
                <w:sz w:val="24"/>
                <w:szCs w:val="24"/>
              </w:rPr>
              <w:t>148 013 13</w:t>
            </w:r>
            <w:r w:rsidR="00D10E02" w:rsidRPr="002B4D22">
              <w:rPr>
                <w:rFonts w:ascii="Times New Roman" w:hAnsi="Times New Roman"/>
                <w:b/>
                <w:bCs/>
                <w:sz w:val="24"/>
                <w:szCs w:val="24"/>
              </w:rPr>
              <w:t>0</w:t>
            </w:r>
          </w:p>
        </w:tc>
        <w:tc>
          <w:tcPr>
            <w:tcW w:w="1623" w:type="dxa"/>
          </w:tcPr>
          <w:p w:rsidR="00EB3317" w:rsidRPr="002B4D22" w:rsidRDefault="00EB3317" w:rsidP="00534DFC">
            <w:pPr>
              <w:spacing w:after="120" w:line="240" w:lineRule="auto"/>
              <w:jc w:val="right"/>
              <w:cnfStyle w:val="000000100000"/>
              <w:rPr>
                <w:rFonts w:ascii="Times New Roman" w:hAnsi="Times New Roman"/>
                <w:b/>
                <w:bCs/>
                <w:sz w:val="24"/>
                <w:szCs w:val="24"/>
              </w:rPr>
            </w:pPr>
            <w:r w:rsidRPr="002B4D22">
              <w:rPr>
                <w:rFonts w:ascii="Times New Roman" w:hAnsi="Times New Roman"/>
                <w:b/>
                <w:bCs/>
                <w:sz w:val="24"/>
                <w:szCs w:val="24"/>
              </w:rPr>
              <w:t>70 828 420</w:t>
            </w:r>
          </w:p>
        </w:tc>
        <w:tc>
          <w:tcPr>
            <w:tcW w:w="1275" w:type="dxa"/>
          </w:tcPr>
          <w:p w:rsidR="00EB3317" w:rsidRPr="002B4D22" w:rsidRDefault="00EB3317" w:rsidP="00534DFC">
            <w:pPr>
              <w:spacing w:after="120" w:line="240" w:lineRule="auto"/>
              <w:jc w:val="right"/>
              <w:cnfStyle w:val="000000100000"/>
              <w:rPr>
                <w:rFonts w:ascii="Times New Roman" w:hAnsi="Times New Roman"/>
                <w:b/>
                <w:bCs/>
                <w:sz w:val="24"/>
                <w:szCs w:val="24"/>
              </w:rPr>
            </w:pPr>
            <w:r w:rsidRPr="002B4D22">
              <w:rPr>
                <w:rFonts w:ascii="Times New Roman" w:hAnsi="Times New Roman"/>
                <w:b/>
                <w:bCs/>
                <w:sz w:val="24"/>
                <w:szCs w:val="24"/>
              </w:rPr>
              <w:t xml:space="preserve">1 000 </w:t>
            </w:r>
            <w:proofErr w:type="spellStart"/>
            <w:r w:rsidRPr="002B4D22">
              <w:rPr>
                <w:rFonts w:ascii="Times New Roman" w:hAnsi="Times New Roman"/>
                <w:b/>
                <w:bCs/>
                <w:sz w:val="24"/>
                <w:szCs w:val="24"/>
              </w:rPr>
              <w:t>000</w:t>
            </w:r>
            <w:proofErr w:type="spellEnd"/>
          </w:p>
        </w:tc>
        <w:tc>
          <w:tcPr>
            <w:tcW w:w="1702" w:type="dxa"/>
          </w:tcPr>
          <w:p w:rsidR="00EB3317" w:rsidRPr="002B4D22" w:rsidRDefault="00EB3317" w:rsidP="00534DFC">
            <w:pPr>
              <w:spacing w:after="120" w:line="240" w:lineRule="auto"/>
              <w:jc w:val="right"/>
              <w:cnfStyle w:val="000000100000"/>
              <w:rPr>
                <w:rFonts w:ascii="Times New Roman" w:hAnsi="Times New Roman"/>
                <w:b/>
                <w:sz w:val="24"/>
                <w:szCs w:val="24"/>
              </w:rPr>
            </w:pPr>
            <w:r w:rsidRPr="002B4D22">
              <w:rPr>
                <w:rFonts w:ascii="Times New Roman" w:hAnsi="Times New Roman"/>
                <w:b/>
                <w:bCs/>
                <w:sz w:val="24"/>
                <w:szCs w:val="24"/>
              </w:rPr>
              <w:t xml:space="preserve">1 313 </w:t>
            </w:r>
            <w:r w:rsidR="008C7CCE" w:rsidRPr="002B4D22">
              <w:rPr>
                <w:rFonts w:ascii="Times New Roman" w:hAnsi="Times New Roman"/>
                <w:b/>
                <w:bCs/>
                <w:sz w:val="24"/>
                <w:szCs w:val="24"/>
              </w:rPr>
              <w:t>327 219</w:t>
            </w:r>
          </w:p>
        </w:tc>
      </w:tr>
    </w:tbl>
    <w:p w:rsidR="009B10A4" w:rsidRPr="002B4D22" w:rsidRDefault="009B10A4" w:rsidP="00955E2C">
      <w:pPr>
        <w:spacing w:before="40" w:after="120" w:line="240" w:lineRule="auto"/>
        <w:jc w:val="both"/>
        <w:rPr>
          <w:rFonts w:ascii="Times New Roman" w:hAnsi="Times New Roman"/>
          <w:i/>
        </w:rPr>
      </w:pPr>
      <w:r w:rsidRPr="002B4D22">
        <w:rPr>
          <w:rFonts w:ascii="Times New Roman" w:hAnsi="Times New Roman"/>
          <w:i/>
        </w:rPr>
        <w:t>Avots: PMLP</w:t>
      </w:r>
    </w:p>
    <w:p w:rsidR="00EB3317" w:rsidRPr="002B4D22" w:rsidRDefault="00EB3317" w:rsidP="00534DFC">
      <w:pPr>
        <w:spacing w:after="120" w:line="240" w:lineRule="auto"/>
        <w:jc w:val="both"/>
        <w:rPr>
          <w:rFonts w:ascii="Times New Roman" w:hAnsi="Times New Roman"/>
          <w:i/>
        </w:rPr>
      </w:pPr>
    </w:p>
    <w:p w:rsidR="009B10A4" w:rsidRPr="002B4D22" w:rsidRDefault="00E32651" w:rsidP="00534DFC">
      <w:pPr>
        <w:spacing w:after="120" w:line="240" w:lineRule="auto"/>
        <w:ind w:firstLine="567"/>
        <w:jc w:val="both"/>
        <w:rPr>
          <w:rFonts w:ascii="Times New Roman" w:hAnsi="Times New Roman"/>
          <w:sz w:val="24"/>
        </w:rPr>
      </w:pPr>
      <w:r w:rsidRPr="002B4D22">
        <w:rPr>
          <w:rFonts w:ascii="Times New Roman" w:hAnsi="Times New Roman"/>
          <w:sz w:val="26"/>
          <w:szCs w:val="26"/>
        </w:rPr>
        <w:t>No 2010.gada 1.jūlija līdz 201</w:t>
      </w:r>
      <w:r w:rsidR="00F266AD" w:rsidRPr="002B4D22">
        <w:rPr>
          <w:rFonts w:ascii="Times New Roman" w:hAnsi="Times New Roman"/>
          <w:sz w:val="26"/>
          <w:szCs w:val="26"/>
        </w:rPr>
        <w:t>4</w:t>
      </w:r>
      <w:r w:rsidRPr="002B4D22">
        <w:rPr>
          <w:rFonts w:ascii="Times New Roman" w:hAnsi="Times New Roman"/>
          <w:sz w:val="26"/>
          <w:szCs w:val="26"/>
        </w:rPr>
        <w:t xml:space="preserve">.gadam </w:t>
      </w:r>
      <w:r w:rsidR="00F266AD" w:rsidRPr="002B4D22">
        <w:rPr>
          <w:rFonts w:ascii="Times New Roman" w:hAnsi="Times New Roman"/>
          <w:sz w:val="26"/>
          <w:szCs w:val="26"/>
        </w:rPr>
        <w:t>ik</w:t>
      </w:r>
      <w:r w:rsidRPr="002B4D22">
        <w:rPr>
          <w:rFonts w:ascii="Times New Roman" w:hAnsi="Times New Roman"/>
          <w:sz w:val="26"/>
          <w:szCs w:val="26"/>
        </w:rPr>
        <w:t xml:space="preserve"> gadu ir novērojams </w:t>
      </w:r>
      <w:r w:rsidR="00F266AD" w:rsidRPr="002B4D22">
        <w:rPr>
          <w:rFonts w:ascii="Times New Roman" w:hAnsi="Times New Roman"/>
          <w:sz w:val="26"/>
          <w:szCs w:val="26"/>
        </w:rPr>
        <w:t xml:space="preserve">investīciju </w:t>
      </w:r>
      <w:r w:rsidR="00464386" w:rsidRPr="002B4D22">
        <w:rPr>
          <w:rFonts w:ascii="Times New Roman" w:hAnsi="Times New Roman"/>
          <w:sz w:val="26"/>
          <w:szCs w:val="26"/>
        </w:rPr>
        <w:t xml:space="preserve">kopējā </w:t>
      </w:r>
      <w:r w:rsidR="00F266AD" w:rsidRPr="002B4D22">
        <w:rPr>
          <w:rFonts w:ascii="Times New Roman" w:hAnsi="Times New Roman"/>
          <w:sz w:val="26"/>
          <w:szCs w:val="26"/>
        </w:rPr>
        <w:t xml:space="preserve">apjoma </w:t>
      </w:r>
      <w:r w:rsidRPr="002B4D22">
        <w:rPr>
          <w:rFonts w:ascii="Times New Roman" w:hAnsi="Times New Roman"/>
          <w:sz w:val="26"/>
          <w:szCs w:val="26"/>
        </w:rPr>
        <w:t>palielinājums,</w:t>
      </w:r>
      <w:r w:rsidR="00464386" w:rsidRPr="002B4D22">
        <w:rPr>
          <w:rFonts w:ascii="Times New Roman" w:hAnsi="Times New Roman"/>
          <w:sz w:val="26"/>
          <w:szCs w:val="26"/>
        </w:rPr>
        <w:t xml:space="preserve"> lai gan atsevišķos investīciju veidos ieguldījumu summa ir arī samazinājusies, piemēram, 2014.gadā būtiski samazinājušies ieguldījumi </w:t>
      </w:r>
      <w:r w:rsidR="00A66730" w:rsidRPr="002B4D22">
        <w:rPr>
          <w:rFonts w:ascii="Times New Roman" w:hAnsi="Times New Roman"/>
          <w:sz w:val="26"/>
          <w:szCs w:val="26"/>
        </w:rPr>
        <w:t xml:space="preserve">kapitālsabiedrību </w:t>
      </w:r>
      <w:r w:rsidR="00464386" w:rsidRPr="002B4D22">
        <w:rPr>
          <w:rFonts w:ascii="Times New Roman" w:hAnsi="Times New Roman"/>
          <w:sz w:val="26"/>
          <w:szCs w:val="26"/>
        </w:rPr>
        <w:t>pamatkapitālā – par 36%, salīdzinot ar 2013.gadu. Investīciju samazinājums saistīts ar veiktajiem grozījumiem Imigrācijas likumā, kas no 2014.gada 1.janvāra paredzēja ierobežot ieguldītāju skaitu</w:t>
      </w:r>
      <w:r w:rsidR="00185D50" w:rsidRPr="002B4D22">
        <w:rPr>
          <w:rFonts w:ascii="Times New Roman" w:hAnsi="Times New Roman"/>
          <w:sz w:val="26"/>
          <w:szCs w:val="26"/>
        </w:rPr>
        <w:t xml:space="preserve"> mazajos uzņēmumos, kā arī noteica</w:t>
      </w:r>
      <w:r w:rsidR="0024540F" w:rsidRPr="002B4D22">
        <w:rPr>
          <w:rFonts w:ascii="Times New Roman" w:hAnsi="Times New Roman"/>
          <w:sz w:val="26"/>
          <w:szCs w:val="26"/>
        </w:rPr>
        <w:t xml:space="preserve"> </w:t>
      </w:r>
      <w:r w:rsidR="001E7338" w:rsidRPr="002B4D22">
        <w:rPr>
          <w:rFonts w:ascii="Times New Roman" w:hAnsi="Times New Roman"/>
          <w:sz w:val="26"/>
          <w:szCs w:val="26"/>
        </w:rPr>
        <w:t>to, ka tikai tiem</w:t>
      </w:r>
      <w:r w:rsidR="0024540F" w:rsidRPr="002B4D22">
        <w:rPr>
          <w:rFonts w:ascii="Times New Roman" w:hAnsi="Times New Roman"/>
          <w:sz w:val="26"/>
          <w:szCs w:val="26"/>
        </w:rPr>
        <w:t xml:space="preserve"> ieguldītājiem, kas investējuši 1</w:t>
      </w:r>
      <w:r w:rsidR="00955563" w:rsidRPr="002B4D22">
        <w:rPr>
          <w:rFonts w:ascii="Times New Roman" w:hAnsi="Times New Roman"/>
          <w:sz w:val="26"/>
          <w:szCs w:val="26"/>
        </w:rPr>
        <w:t>5</w:t>
      </w:r>
      <w:r w:rsidR="0024540F" w:rsidRPr="002B4D22">
        <w:rPr>
          <w:rFonts w:ascii="Times New Roman" w:hAnsi="Times New Roman"/>
          <w:sz w:val="26"/>
          <w:szCs w:val="26"/>
        </w:rPr>
        <w:t xml:space="preserve">0 000 </w:t>
      </w:r>
      <w:proofErr w:type="spellStart"/>
      <w:r w:rsidR="00C232F4" w:rsidRPr="002B4D22">
        <w:rPr>
          <w:rFonts w:ascii="Times New Roman" w:hAnsi="Times New Roman"/>
          <w:i/>
          <w:sz w:val="26"/>
          <w:szCs w:val="26"/>
        </w:rPr>
        <w:t>euro</w:t>
      </w:r>
      <w:proofErr w:type="spellEnd"/>
      <w:r w:rsidR="001E7338" w:rsidRPr="002B4D22">
        <w:rPr>
          <w:rFonts w:ascii="Times New Roman" w:hAnsi="Times New Roman"/>
          <w:i/>
          <w:sz w:val="26"/>
          <w:szCs w:val="26"/>
        </w:rPr>
        <w:t xml:space="preserve"> </w:t>
      </w:r>
      <w:r w:rsidR="001E7338" w:rsidRPr="002B4D22">
        <w:rPr>
          <w:rFonts w:ascii="Times New Roman" w:hAnsi="Times New Roman"/>
          <w:sz w:val="26"/>
          <w:szCs w:val="26"/>
        </w:rPr>
        <w:t>kapitālsabiedrībā</w:t>
      </w:r>
      <w:r w:rsidR="00955563" w:rsidRPr="002B4D22">
        <w:rPr>
          <w:rFonts w:ascii="Times New Roman" w:hAnsi="Times New Roman"/>
          <w:sz w:val="26"/>
          <w:szCs w:val="26"/>
        </w:rPr>
        <w:t>, kas nodarbina v</w:t>
      </w:r>
      <w:r w:rsidR="001E7338" w:rsidRPr="002B4D22">
        <w:rPr>
          <w:rFonts w:ascii="Times New Roman" w:hAnsi="Times New Roman"/>
          <w:sz w:val="26"/>
          <w:szCs w:val="26"/>
        </w:rPr>
        <w:t>airāk nekā 50 darbinieku un kuras gada bilance vai apgrozījums pārsniedz 10</w:t>
      </w:r>
      <w:r w:rsidR="0024540F" w:rsidRPr="002B4D22">
        <w:rPr>
          <w:rFonts w:ascii="Times New Roman" w:hAnsi="Times New Roman"/>
          <w:sz w:val="26"/>
          <w:szCs w:val="26"/>
        </w:rPr>
        <w:t xml:space="preserve"> </w:t>
      </w:r>
      <w:r w:rsidR="00143D38">
        <w:rPr>
          <w:rFonts w:ascii="Times New Roman" w:hAnsi="Times New Roman"/>
          <w:sz w:val="26"/>
          <w:szCs w:val="26"/>
        </w:rPr>
        <w:t>milj.</w:t>
      </w:r>
      <w:r w:rsidR="001E7338"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001E7338" w:rsidRPr="002B4D22">
        <w:rPr>
          <w:rFonts w:ascii="Times New Roman" w:hAnsi="Times New Roman"/>
          <w:i/>
          <w:sz w:val="26"/>
          <w:szCs w:val="26"/>
        </w:rPr>
        <w:t xml:space="preserve">, </w:t>
      </w:r>
      <w:r w:rsidR="001E7338" w:rsidRPr="002B4D22">
        <w:rPr>
          <w:rFonts w:ascii="Times New Roman" w:hAnsi="Times New Roman"/>
          <w:sz w:val="26"/>
          <w:szCs w:val="26"/>
        </w:rPr>
        <w:t xml:space="preserve">netiek </w:t>
      </w:r>
      <w:r w:rsidR="0024540F" w:rsidRPr="002B4D22">
        <w:rPr>
          <w:rFonts w:ascii="Times New Roman" w:hAnsi="Times New Roman"/>
          <w:sz w:val="26"/>
          <w:szCs w:val="26"/>
        </w:rPr>
        <w:t>veikt</w:t>
      </w:r>
      <w:r w:rsidR="001E7338" w:rsidRPr="002B4D22">
        <w:rPr>
          <w:rFonts w:ascii="Times New Roman" w:hAnsi="Times New Roman"/>
          <w:sz w:val="26"/>
          <w:szCs w:val="26"/>
        </w:rPr>
        <w:t>a</w:t>
      </w:r>
      <w:r w:rsidR="0024540F" w:rsidRPr="002B4D22">
        <w:rPr>
          <w:rFonts w:ascii="Times New Roman" w:hAnsi="Times New Roman"/>
          <w:sz w:val="26"/>
          <w:szCs w:val="26"/>
        </w:rPr>
        <w:t xml:space="preserve"> nodokļu nomaks</w:t>
      </w:r>
      <w:r w:rsidR="001E7338" w:rsidRPr="002B4D22">
        <w:rPr>
          <w:rFonts w:ascii="Times New Roman" w:hAnsi="Times New Roman"/>
          <w:sz w:val="26"/>
          <w:szCs w:val="26"/>
        </w:rPr>
        <w:t xml:space="preserve">as pārbaude. </w:t>
      </w:r>
      <w:r w:rsidR="003D125C" w:rsidRPr="002B4D22">
        <w:rPr>
          <w:rFonts w:ascii="Times New Roman" w:hAnsi="Times New Roman"/>
          <w:sz w:val="26"/>
          <w:szCs w:val="26"/>
        </w:rPr>
        <w:t>2015.gadā ieguldījumu apjoms būtiski samazinājies visos investīciju veidos, kas izskaidrojams ar 2014.gadā veiktajām izmaiņām Imigrācijas likumā.</w:t>
      </w:r>
    </w:p>
    <w:p w:rsidR="005A6EA9" w:rsidRDefault="005A6EA9" w:rsidP="00534DFC">
      <w:pPr>
        <w:spacing w:after="120" w:line="240" w:lineRule="auto"/>
        <w:ind w:firstLine="567"/>
        <w:jc w:val="right"/>
        <w:rPr>
          <w:rFonts w:ascii="Times New Roman" w:hAnsi="Times New Roman"/>
          <w:sz w:val="26"/>
          <w:szCs w:val="26"/>
        </w:rPr>
      </w:pPr>
    </w:p>
    <w:p w:rsidR="00ED1D1B" w:rsidRDefault="00ED1D1B" w:rsidP="00534DFC">
      <w:pPr>
        <w:spacing w:after="120" w:line="240" w:lineRule="auto"/>
        <w:ind w:firstLine="567"/>
        <w:jc w:val="right"/>
        <w:rPr>
          <w:rFonts w:ascii="Times New Roman" w:hAnsi="Times New Roman"/>
          <w:sz w:val="26"/>
          <w:szCs w:val="26"/>
        </w:rPr>
      </w:pPr>
    </w:p>
    <w:p w:rsidR="00ED1D1B" w:rsidRPr="002B4D22" w:rsidRDefault="00ED1D1B" w:rsidP="00534DFC">
      <w:pPr>
        <w:spacing w:after="120" w:line="240" w:lineRule="auto"/>
        <w:ind w:firstLine="567"/>
        <w:jc w:val="right"/>
        <w:rPr>
          <w:rFonts w:ascii="Times New Roman" w:hAnsi="Times New Roman"/>
          <w:sz w:val="26"/>
          <w:szCs w:val="26"/>
        </w:rPr>
      </w:pPr>
    </w:p>
    <w:p w:rsidR="009B10A4" w:rsidRPr="002B4D22" w:rsidRDefault="009B10A4" w:rsidP="00534DFC">
      <w:pPr>
        <w:spacing w:after="120" w:line="240" w:lineRule="auto"/>
        <w:ind w:firstLine="567"/>
        <w:jc w:val="right"/>
        <w:rPr>
          <w:rFonts w:ascii="Times New Roman" w:hAnsi="Times New Roman"/>
          <w:sz w:val="26"/>
          <w:szCs w:val="26"/>
        </w:rPr>
      </w:pPr>
      <w:r w:rsidRPr="002B4D22">
        <w:rPr>
          <w:rFonts w:ascii="Times New Roman" w:hAnsi="Times New Roman"/>
          <w:sz w:val="26"/>
          <w:szCs w:val="26"/>
        </w:rPr>
        <w:t>2.tabula</w:t>
      </w:r>
    </w:p>
    <w:p w:rsidR="009B10A4" w:rsidRPr="002B4D22" w:rsidRDefault="009B10A4" w:rsidP="00534DFC">
      <w:pPr>
        <w:spacing w:after="120" w:line="240" w:lineRule="auto"/>
        <w:jc w:val="center"/>
        <w:rPr>
          <w:rFonts w:ascii="Times New Roman" w:hAnsi="Times New Roman"/>
          <w:b/>
          <w:sz w:val="24"/>
          <w:szCs w:val="24"/>
        </w:rPr>
      </w:pPr>
      <w:r w:rsidRPr="002B4D22">
        <w:rPr>
          <w:rFonts w:ascii="Times New Roman" w:hAnsi="Times New Roman"/>
          <w:b/>
          <w:sz w:val="24"/>
          <w:szCs w:val="24"/>
        </w:rPr>
        <w:t>Imigrācijas likuma normu izmaiņu rezultātā pieteikt</w:t>
      </w:r>
      <w:r w:rsidR="00D80BB6" w:rsidRPr="002B4D22">
        <w:rPr>
          <w:rFonts w:ascii="Times New Roman" w:hAnsi="Times New Roman"/>
          <w:b/>
          <w:sz w:val="24"/>
          <w:szCs w:val="24"/>
        </w:rPr>
        <w:t>o TUA skaits investoriem un viņu</w:t>
      </w:r>
      <w:r w:rsidRPr="002B4D22">
        <w:rPr>
          <w:rFonts w:ascii="Times New Roman" w:hAnsi="Times New Roman"/>
          <w:b/>
          <w:sz w:val="24"/>
          <w:szCs w:val="24"/>
        </w:rPr>
        <w:t xml:space="preserve"> ģimenes locekļiem</w:t>
      </w:r>
    </w:p>
    <w:tbl>
      <w:tblPr>
        <w:tblStyle w:val="LightShading"/>
        <w:tblW w:w="0" w:type="auto"/>
        <w:tblLook w:val="04A0"/>
      </w:tblPr>
      <w:tblGrid>
        <w:gridCol w:w="1605"/>
        <w:gridCol w:w="1642"/>
        <w:gridCol w:w="1696"/>
        <w:gridCol w:w="2260"/>
        <w:gridCol w:w="995"/>
        <w:gridCol w:w="1275"/>
      </w:tblGrid>
      <w:tr w:rsidR="00ED2338" w:rsidRPr="002B4D22" w:rsidTr="00ED2338">
        <w:trPr>
          <w:cnfStyle w:val="100000000000"/>
        </w:trPr>
        <w:tc>
          <w:tcPr>
            <w:cnfStyle w:val="001000000000"/>
            <w:tcW w:w="1605" w:type="dxa"/>
          </w:tcPr>
          <w:p w:rsidR="00ED2338" w:rsidRPr="002B4D22" w:rsidRDefault="00ED2338" w:rsidP="00534DFC">
            <w:pPr>
              <w:spacing w:after="120" w:line="240" w:lineRule="auto"/>
              <w:jc w:val="center"/>
              <w:rPr>
                <w:rFonts w:ascii="Times New Roman" w:hAnsi="Times New Roman"/>
                <w:b w:val="0"/>
                <w:sz w:val="24"/>
                <w:szCs w:val="24"/>
              </w:rPr>
            </w:pPr>
          </w:p>
        </w:tc>
        <w:tc>
          <w:tcPr>
            <w:tcW w:w="1642" w:type="dxa"/>
            <w:vAlign w:val="center"/>
          </w:tcPr>
          <w:p w:rsidR="00ED2338" w:rsidRPr="002B4D22" w:rsidRDefault="00ED2338"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Nekustamie īpašumi</w:t>
            </w:r>
          </w:p>
        </w:tc>
        <w:tc>
          <w:tcPr>
            <w:tcW w:w="1696" w:type="dxa"/>
            <w:vAlign w:val="center"/>
          </w:tcPr>
          <w:p w:rsidR="00ED2338" w:rsidRPr="002B4D22" w:rsidRDefault="00ED2338"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Kredītiestādes</w:t>
            </w:r>
          </w:p>
        </w:tc>
        <w:tc>
          <w:tcPr>
            <w:tcW w:w="2260" w:type="dxa"/>
            <w:vAlign w:val="center"/>
          </w:tcPr>
          <w:p w:rsidR="00ED2338" w:rsidRPr="002B4D22" w:rsidRDefault="00ED2338"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Kapitālsabiedrības</w:t>
            </w:r>
          </w:p>
        </w:tc>
        <w:tc>
          <w:tcPr>
            <w:tcW w:w="995" w:type="dxa"/>
          </w:tcPr>
          <w:p w:rsidR="00ED2338" w:rsidRPr="002B4D22" w:rsidRDefault="00ED2338"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Valsts vērts-papīri</w:t>
            </w:r>
          </w:p>
        </w:tc>
        <w:tc>
          <w:tcPr>
            <w:tcW w:w="1275" w:type="dxa"/>
            <w:vAlign w:val="center"/>
          </w:tcPr>
          <w:p w:rsidR="00ED2338" w:rsidRPr="002B4D22" w:rsidRDefault="00ED2338" w:rsidP="00534DFC">
            <w:pPr>
              <w:spacing w:after="120" w:line="240" w:lineRule="auto"/>
              <w:jc w:val="center"/>
              <w:cnfStyle w:val="100000000000"/>
              <w:rPr>
                <w:rFonts w:ascii="Times New Roman" w:hAnsi="Times New Roman"/>
                <w:sz w:val="24"/>
                <w:szCs w:val="24"/>
              </w:rPr>
            </w:pPr>
            <w:r w:rsidRPr="002B4D22">
              <w:rPr>
                <w:rFonts w:ascii="Times New Roman" w:hAnsi="Times New Roman"/>
                <w:sz w:val="24"/>
                <w:szCs w:val="24"/>
              </w:rPr>
              <w:t>Kopā</w:t>
            </w:r>
          </w:p>
        </w:tc>
      </w:tr>
      <w:tr w:rsidR="00ED2338" w:rsidRPr="002B4D22" w:rsidTr="00ED2338">
        <w:trPr>
          <w:cnfStyle w:val="000000100000"/>
          <w:trHeight w:val="602"/>
        </w:trPr>
        <w:tc>
          <w:tcPr>
            <w:cnfStyle w:val="001000000000"/>
            <w:tcW w:w="1605" w:type="dxa"/>
          </w:tcPr>
          <w:p w:rsidR="00ED2338" w:rsidRPr="002B4D22" w:rsidRDefault="00ED2338" w:rsidP="00534DFC">
            <w:pPr>
              <w:spacing w:after="120" w:line="240" w:lineRule="auto"/>
              <w:jc w:val="center"/>
              <w:rPr>
                <w:rFonts w:ascii="Times New Roman" w:hAnsi="Times New Roman"/>
                <w:b w:val="0"/>
                <w:sz w:val="20"/>
              </w:rPr>
            </w:pPr>
            <w:r w:rsidRPr="002B4D22">
              <w:rPr>
                <w:rFonts w:ascii="Times New Roman" w:hAnsi="Times New Roman"/>
                <w:b w:val="0"/>
                <w:sz w:val="24"/>
                <w:szCs w:val="24"/>
              </w:rPr>
              <w:t>01.07.2010.-31.12.2010.</w:t>
            </w:r>
          </w:p>
        </w:tc>
        <w:tc>
          <w:tcPr>
            <w:tcW w:w="1642"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172</w:t>
            </w:r>
          </w:p>
        </w:tc>
        <w:tc>
          <w:tcPr>
            <w:tcW w:w="1696"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103</w:t>
            </w:r>
          </w:p>
        </w:tc>
        <w:tc>
          <w:tcPr>
            <w:tcW w:w="2260"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14</w:t>
            </w:r>
          </w:p>
        </w:tc>
        <w:tc>
          <w:tcPr>
            <w:tcW w:w="995" w:type="dxa"/>
          </w:tcPr>
          <w:p w:rsidR="00ED2338" w:rsidRPr="002B4D22" w:rsidRDefault="00ED2338" w:rsidP="00534DFC">
            <w:pPr>
              <w:spacing w:after="120" w:line="240" w:lineRule="auto"/>
              <w:jc w:val="center"/>
              <w:cnfStyle w:val="000000100000"/>
              <w:rPr>
                <w:rFonts w:ascii="Times New Roman" w:hAnsi="Times New Roman"/>
                <w:b/>
                <w:sz w:val="24"/>
                <w:szCs w:val="24"/>
              </w:rPr>
            </w:pPr>
          </w:p>
        </w:tc>
        <w:tc>
          <w:tcPr>
            <w:tcW w:w="1275"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289</w:t>
            </w:r>
          </w:p>
        </w:tc>
      </w:tr>
      <w:tr w:rsidR="00ED2338" w:rsidRPr="002B4D22" w:rsidTr="00ED2338">
        <w:tc>
          <w:tcPr>
            <w:cnfStyle w:val="001000000000"/>
            <w:tcW w:w="1605" w:type="dxa"/>
          </w:tcPr>
          <w:p w:rsidR="00ED2338" w:rsidRPr="002B4D22" w:rsidRDefault="00ED2338"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2011.</w:t>
            </w:r>
          </w:p>
        </w:tc>
        <w:tc>
          <w:tcPr>
            <w:tcW w:w="1642"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1 560</w:t>
            </w:r>
          </w:p>
        </w:tc>
        <w:tc>
          <w:tcPr>
            <w:tcW w:w="1696"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298</w:t>
            </w:r>
          </w:p>
        </w:tc>
        <w:tc>
          <w:tcPr>
            <w:tcW w:w="2260"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119</w:t>
            </w:r>
          </w:p>
        </w:tc>
        <w:tc>
          <w:tcPr>
            <w:tcW w:w="995" w:type="dxa"/>
          </w:tcPr>
          <w:p w:rsidR="00ED2338" w:rsidRPr="002B4D22" w:rsidRDefault="00ED2338" w:rsidP="00534DFC">
            <w:pPr>
              <w:spacing w:after="120" w:line="240" w:lineRule="auto"/>
              <w:jc w:val="center"/>
              <w:cnfStyle w:val="000000000000"/>
              <w:rPr>
                <w:rFonts w:ascii="Times New Roman" w:hAnsi="Times New Roman"/>
                <w:b/>
                <w:sz w:val="24"/>
                <w:szCs w:val="24"/>
              </w:rPr>
            </w:pPr>
          </w:p>
        </w:tc>
        <w:tc>
          <w:tcPr>
            <w:tcW w:w="1275" w:type="dxa"/>
          </w:tcPr>
          <w:p w:rsidR="00ED2338" w:rsidRPr="002B4D22" w:rsidRDefault="00ED2338" w:rsidP="00534DFC">
            <w:pPr>
              <w:spacing w:after="120" w:line="240" w:lineRule="auto"/>
              <w:jc w:val="center"/>
              <w:cnfStyle w:val="000000000000"/>
              <w:rPr>
                <w:rFonts w:ascii="Times New Roman" w:hAnsi="Times New Roman"/>
                <w:b/>
                <w:sz w:val="24"/>
                <w:szCs w:val="24"/>
              </w:rPr>
            </w:pPr>
            <w:r w:rsidRPr="002B4D22">
              <w:rPr>
                <w:rFonts w:ascii="Times New Roman" w:hAnsi="Times New Roman"/>
                <w:b/>
                <w:sz w:val="24"/>
                <w:szCs w:val="24"/>
              </w:rPr>
              <w:t>1 977</w:t>
            </w:r>
          </w:p>
        </w:tc>
      </w:tr>
      <w:tr w:rsidR="00ED2338" w:rsidRPr="002B4D22" w:rsidTr="00ED2338">
        <w:trPr>
          <w:cnfStyle w:val="000000100000"/>
          <w:trHeight w:val="481"/>
        </w:trPr>
        <w:tc>
          <w:tcPr>
            <w:cnfStyle w:val="001000000000"/>
            <w:tcW w:w="1605" w:type="dxa"/>
          </w:tcPr>
          <w:p w:rsidR="00ED2338" w:rsidRPr="002B4D22" w:rsidRDefault="00ED2338"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2012.</w:t>
            </w:r>
          </w:p>
        </w:tc>
        <w:tc>
          <w:tcPr>
            <w:tcW w:w="1642"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2 442</w:t>
            </w:r>
          </w:p>
        </w:tc>
        <w:tc>
          <w:tcPr>
            <w:tcW w:w="1696"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210</w:t>
            </w:r>
          </w:p>
        </w:tc>
        <w:tc>
          <w:tcPr>
            <w:tcW w:w="2260"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269</w:t>
            </w:r>
          </w:p>
        </w:tc>
        <w:tc>
          <w:tcPr>
            <w:tcW w:w="995" w:type="dxa"/>
          </w:tcPr>
          <w:p w:rsidR="00ED2338" w:rsidRPr="002B4D22" w:rsidRDefault="00ED2338" w:rsidP="00534DFC">
            <w:pPr>
              <w:spacing w:after="120" w:line="240" w:lineRule="auto"/>
              <w:jc w:val="center"/>
              <w:cnfStyle w:val="000000100000"/>
              <w:rPr>
                <w:rFonts w:ascii="Times New Roman" w:hAnsi="Times New Roman"/>
                <w:b/>
                <w:sz w:val="24"/>
                <w:szCs w:val="24"/>
              </w:rPr>
            </w:pPr>
          </w:p>
        </w:tc>
        <w:tc>
          <w:tcPr>
            <w:tcW w:w="1275"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2 921</w:t>
            </w:r>
          </w:p>
        </w:tc>
      </w:tr>
      <w:tr w:rsidR="00ED2338" w:rsidRPr="002B4D22" w:rsidTr="00ED2338">
        <w:trPr>
          <w:trHeight w:val="276"/>
        </w:trPr>
        <w:tc>
          <w:tcPr>
            <w:cnfStyle w:val="001000000000"/>
            <w:tcW w:w="1605" w:type="dxa"/>
          </w:tcPr>
          <w:p w:rsidR="00ED2338" w:rsidRPr="002B4D22" w:rsidRDefault="00ED2338"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2013.</w:t>
            </w:r>
          </w:p>
        </w:tc>
        <w:tc>
          <w:tcPr>
            <w:tcW w:w="1642" w:type="dxa"/>
          </w:tcPr>
          <w:p w:rsidR="00ED2338" w:rsidRPr="002B4D22" w:rsidRDefault="00ED2338" w:rsidP="00534DFC">
            <w:pPr>
              <w:spacing w:after="120" w:line="240" w:lineRule="auto"/>
              <w:jc w:val="center"/>
              <w:cnfStyle w:val="000000000000"/>
              <w:rPr>
                <w:rFonts w:ascii="Times New Roman" w:hAnsi="Times New Roman"/>
                <w:sz w:val="20"/>
                <w:szCs w:val="20"/>
              </w:rPr>
            </w:pPr>
            <w:r w:rsidRPr="002B4D22">
              <w:rPr>
                <w:rFonts w:ascii="Times New Roman" w:hAnsi="Times New Roman"/>
                <w:sz w:val="24"/>
                <w:szCs w:val="24"/>
              </w:rPr>
              <w:t>3 683</w:t>
            </w:r>
          </w:p>
        </w:tc>
        <w:tc>
          <w:tcPr>
            <w:tcW w:w="1696"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256</w:t>
            </w:r>
          </w:p>
        </w:tc>
        <w:tc>
          <w:tcPr>
            <w:tcW w:w="2260"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569</w:t>
            </w:r>
          </w:p>
        </w:tc>
        <w:tc>
          <w:tcPr>
            <w:tcW w:w="995" w:type="dxa"/>
          </w:tcPr>
          <w:p w:rsidR="00ED2338" w:rsidRPr="002B4D22" w:rsidRDefault="00ED2338" w:rsidP="00534DFC">
            <w:pPr>
              <w:spacing w:after="120" w:line="240" w:lineRule="auto"/>
              <w:jc w:val="center"/>
              <w:cnfStyle w:val="000000000000"/>
              <w:rPr>
                <w:rFonts w:ascii="Times New Roman" w:hAnsi="Times New Roman"/>
                <w:b/>
                <w:sz w:val="24"/>
                <w:szCs w:val="24"/>
              </w:rPr>
            </w:pPr>
          </w:p>
        </w:tc>
        <w:tc>
          <w:tcPr>
            <w:tcW w:w="1275" w:type="dxa"/>
          </w:tcPr>
          <w:p w:rsidR="00ED2338" w:rsidRPr="002B4D22" w:rsidRDefault="00ED2338" w:rsidP="00534DFC">
            <w:pPr>
              <w:spacing w:after="120" w:line="240" w:lineRule="auto"/>
              <w:jc w:val="center"/>
              <w:cnfStyle w:val="000000000000"/>
              <w:rPr>
                <w:rFonts w:ascii="Times New Roman" w:hAnsi="Times New Roman"/>
                <w:b/>
                <w:sz w:val="24"/>
                <w:szCs w:val="24"/>
              </w:rPr>
            </w:pPr>
            <w:r w:rsidRPr="002B4D22">
              <w:rPr>
                <w:rFonts w:ascii="Times New Roman" w:hAnsi="Times New Roman"/>
                <w:b/>
                <w:sz w:val="24"/>
                <w:szCs w:val="24"/>
              </w:rPr>
              <w:t>4 508</w:t>
            </w:r>
          </w:p>
        </w:tc>
      </w:tr>
      <w:tr w:rsidR="00ED2338" w:rsidRPr="002B4D22" w:rsidTr="00ED2338">
        <w:trPr>
          <w:cnfStyle w:val="000000100000"/>
        </w:trPr>
        <w:tc>
          <w:tcPr>
            <w:cnfStyle w:val="001000000000"/>
            <w:tcW w:w="1605" w:type="dxa"/>
          </w:tcPr>
          <w:p w:rsidR="00ED2338" w:rsidRPr="002B4D22" w:rsidRDefault="00ED2338"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2014.</w:t>
            </w:r>
          </w:p>
        </w:tc>
        <w:tc>
          <w:tcPr>
            <w:tcW w:w="1642"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5 311</w:t>
            </w:r>
          </w:p>
        </w:tc>
        <w:tc>
          <w:tcPr>
            <w:tcW w:w="1696"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246</w:t>
            </w:r>
          </w:p>
        </w:tc>
        <w:tc>
          <w:tcPr>
            <w:tcW w:w="2260" w:type="dxa"/>
          </w:tcPr>
          <w:p w:rsidR="00ED2338" w:rsidRPr="002B4D22" w:rsidRDefault="00ED2338" w:rsidP="00534DFC">
            <w:pPr>
              <w:spacing w:after="120" w:line="240" w:lineRule="auto"/>
              <w:jc w:val="center"/>
              <w:cnfStyle w:val="000000100000"/>
              <w:rPr>
                <w:rFonts w:ascii="Times New Roman" w:hAnsi="Times New Roman"/>
                <w:sz w:val="24"/>
                <w:szCs w:val="24"/>
              </w:rPr>
            </w:pPr>
            <w:r w:rsidRPr="002B4D22">
              <w:rPr>
                <w:rFonts w:ascii="Times New Roman" w:hAnsi="Times New Roman"/>
                <w:sz w:val="24"/>
                <w:szCs w:val="24"/>
              </w:rPr>
              <w:t>387</w:t>
            </w:r>
          </w:p>
        </w:tc>
        <w:tc>
          <w:tcPr>
            <w:tcW w:w="995" w:type="dxa"/>
          </w:tcPr>
          <w:p w:rsidR="00ED2338" w:rsidRPr="002B4D22" w:rsidRDefault="00ED2338" w:rsidP="00534DFC">
            <w:pPr>
              <w:spacing w:after="120" w:line="240" w:lineRule="auto"/>
              <w:jc w:val="center"/>
              <w:cnfStyle w:val="000000100000"/>
              <w:rPr>
                <w:rFonts w:ascii="Times New Roman" w:hAnsi="Times New Roman"/>
                <w:b/>
                <w:sz w:val="24"/>
                <w:szCs w:val="24"/>
              </w:rPr>
            </w:pPr>
          </w:p>
        </w:tc>
        <w:tc>
          <w:tcPr>
            <w:tcW w:w="1275"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5 944</w:t>
            </w:r>
          </w:p>
        </w:tc>
      </w:tr>
      <w:tr w:rsidR="00ED2338" w:rsidRPr="002B4D22" w:rsidTr="00ED2338">
        <w:tc>
          <w:tcPr>
            <w:cnfStyle w:val="001000000000"/>
            <w:tcW w:w="1605" w:type="dxa"/>
          </w:tcPr>
          <w:p w:rsidR="00ED2338" w:rsidRPr="002B4D22" w:rsidRDefault="00ED2338"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01.01.2015.-</w:t>
            </w:r>
          </w:p>
          <w:p w:rsidR="00ED2338" w:rsidRPr="002B4D22" w:rsidRDefault="00ED2338" w:rsidP="00534DFC">
            <w:pPr>
              <w:spacing w:after="120" w:line="240" w:lineRule="auto"/>
              <w:jc w:val="center"/>
              <w:rPr>
                <w:rFonts w:ascii="Times New Roman" w:hAnsi="Times New Roman"/>
                <w:b w:val="0"/>
                <w:sz w:val="24"/>
                <w:szCs w:val="24"/>
              </w:rPr>
            </w:pPr>
            <w:r w:rsidRPr="002B4D22">
              <w:rPr>
                <w:rFonts w:ascii="Times New Roman" w:hAnsi="Times New Roman"/>
                <w:b w:val="0"/>
                <w:sz w:val="24"/>
                <w:szCs w:val="24"/>
              </w:rPr>
              <w:t>30.06.2015.</w:t>
            </w:r>
          </w:p>
        </w:tc>
        <w:tc>
          <w:tcPr>
            <w:tcW w:w="1642"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503</w:t>
            </w:r>
          </w:p>
        </w:tc>
        <w:tc>
          <w:tcPr>
            <w:tcW w:w="1696"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45</w:t>
            </w:r>
          </w:p>
        </w:tc>
        <w:tc>
          <w:tcPr>
            <w:tcW w:w="2260"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98</w:t>
            </w:r>
          </w:p>
        </w:tc>
        <w:tc>
          <w:tcPr>
            <w:tcW w:w="995" w:type="dxa"/>
          </w:tcPr>
          <w:p w:rsidR="00ED2338" w:rsidRPr="002B4D22" w:rsidRDefault="00ED2338" w:rsidP="00534DFC">
            <w:pPr>
              <w:spacing w:after="120" w:line="240" w:lineRule="auto"/>
              <w:jc w:val="center"/>
              <w:cnfStyle w:val="000000000000"/>
              <w:rPr>
                <w:rFonts w:ascii="Times New Roman" w:hAnsi="Times New Roman"/>
                <w:sz w:val="24"/>
                <w:szCs w:val="24"/>
              </w:rPr>
            </w:pPr>
            <w:r w:rsidRPr="002B4D22">
              <w:rPr>
                <w:rFonts w:ascii="Times New Roman" w:hAnsi="Times New Roman"/>
                <w:sz w:val="24"/>
                <w:szCs w:val="24"/>
              </w:rPr>
              <w:t>10</w:t>
            </w:r>
          </w:p>
        </w:tc>
        <w:tc>
          <w:tcPr>
            <w:tcW w:w="1275" w:type="dxa"/>
          </w:tcPr>
          <w:p w:rsidR="00ED2338" w:rsidRPr="002B4D22" w:rsidRDefault="00ED2338" w:rsidP="00534DFC">
            <w:pPr>
              <w:spacing w:after="120" w:line="240" w:lineRule="auto"/>
              <w:jc w:val="center"/>
              <w:cnfStyle w:val="000000000000"/>
              <w:rPr>
                <w:rFonts w:ascii="Times New Roman" w:hAnsi="Times New Roman"/>
                <w:b/>
                <w:sz w:val="24"/>
                <w:szCs w:val="24"/>
              </w:rPr>
            </w:pPr>
            <w:r w:rsidRPr="002B4D22">
              <w:rPr>
                <w:rFonts w:ascii="Times New Roman" w:hAnsi="Times New Roman"/>
                <w:b/>
                <w:sz w:val="24"/>
                <w:szCs w:val="24"/>
              </w:rPr>
              <w:t>656</w:t>
            </w:r>
          </w:p>
        </w:tc>
      </w:tr>
      <w:tr w:rsidR="00ED2338" w:rsidRPr="002B4D22" w:rsidTr="00ED2338">
        <w:trPr>
          <w:cnfStyle w:val="000000100000"/>
        </w:trPr>
        <w:tc>
          <w:tcPr>
            <w:cnfStyle w:val="001000000000"/>
            <w:tcW w:w="1605" w:type="dxa"/>
          </w:tcPr>
          <w:p w:rsidR="00ED2338" w:rsidRPr="002B4D22" w:rsidRDefault="00ED2338" w:rsidP="00534DFC">
            <w:pPr>
              <w:spacing w:after="120" w:line="240" w:lineRule="auto"/>
              <w:jc w:val="center"/>
              <w:rPr>
                <w:rFonts w:ascii="Times New Roman" w:hAnsi="Times New Roman"/>
                <w:sz w:val="24"/>
                <w:szCs w:val="24"/>
              </w:rPr>
            </w:pPr>
            <w:r w:rsidRPr="002B4D22">
              <w:rPr>
                <w:rFonts w:ascii="Times New Roman" w:hAnsi="Times New Roman"/>
                <w:sz w:val="24"/>
                <w:szCs w:val="24"/>
              </w:rPr>
              <w:t>Kopā</w:t>
            </w:r>
          </w:p>
        </w:tc>
        <w:tc>
          <w:tcPr>
            <w:tcW w:w="1642"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13 671</w:t>
            </w:r>
          </w:p>
        </w:tc>
        <w:tc>
          <w:tcPr>
            <w:tcW w:w="1696"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1 158</w:t>
            </w:r>
          </w:p>
        </w:tc>
        <w:tc>
          <w:tcPr>
            <w:tcW w:w="2260"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1 456</w:t>
            </w:r>
          </w:p>
        </w:tc>
        <w:tc>
          <w:tcPr>
            <w:tcW w:w="995"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10</w:t>
            </w:r>
          </w:p>
        </w:tc>
        <w:tc>
          <w:tcPr>
            <w:tcW w:w="1275" w:type="dxa"/>
          </w:tcPr>
          <w:p w:rsidR="00ED2338" w:rsidRPr="002B4D22" w:rsidRDefault="00ED2338" w:rsidP="00534DFC">
            <w:pPr>
              <w:spacing w:after="120" w:line="240" w:lineRule="auto"/>
              <w:jc w:val="center"/>
              <w:cnfStyle w:val="000000100000"/>
              <w:rPr>
                <w:rFonts w:ascii="Times New Roman" w:hAnsi="Times New Roman"/>
                <w:b/>
                <w:sz w:val="24"/>
                <w:szCs w:val="24"/>
              </w:rPr>
            </w:pPr>
            <w:r w:rsidRPr="002B4D22">
              <w:rPr>
                <w:rFonts w:ascii="Times New Roman" w:hAnsi="Times New Roman"/>
                <w:b/>
                <w:sz w:val="24"/>
                <w:szCs w:val="24"/>
              </w:rPr>
              <w:t>16 295</w:t>
            </w:r>
          </w:p>
        </w:tc>
      </w:tr>
    </w:tbl>
    <w:p w:rsidR="009B10A4" w:rsidRPr="002B4D22" w:rsidRDefault="009B10A4" w:rsidP="00534DFC">
      <w:pPr>
        <w:spacing w:after="120" w:line="240" w:lineRule="auto"/>
        <w:jc w:val="both"/>
        <w:rPr>
          <w:rFonts w:ascii="Times New Roman" w:hAnsi="Times New Roman"/>
          <w:i/>
        </w:rPr>
      </w:pPr>
      <w:r w:rsidRPr="002B4D22">
        <w:rPr>
          <w:rFonts w:ascii="Times New Roman" w:hAnsi="Times New Roman"/>
          <w:i/>
        </w:rPr>
        <w:t>Avots: PMLP</w:t>
      </w:r>
    </w:p>
    <w:p w:rsidR="003073CA" w:rsidRPr="002B4D22" w:rsidRDefault="003073CA" w:rsidP="00534DFC">
      <w:pPr>
        <w:spacing w:after="120" w:line="240" w:lineRule="auto"/>
        <w:ind w:firstLine="426"/>
        <w:jc w:val="both"/>
        <w:rPr>
          <w:rFonts w:ascii="Times New Roman" w:hAnsi="Times New Roman"/>
          <w:sz w:val="26"/>
          <w:szCs w:val="26"/>
        </w:rPr>
      </w:pPr>
    </w:p>
    <w:p w:rsidR="004C1FF1" w:rsidRPr="002B4D22" w:rsidRDefault="00066EE5" w:rsidP="00534DFC">
      <w:pPr>
        <w:spacing w:after="120" w:line="240" w:lineRule="auto"/>
        <w:ind w:firstLine="426"/>
        <w:jc w:val="both"/>
        <w:rPr>
          <w:rFonts w:ascii="Times New Roman" w:hAnsi="Times New Roman"/>
          <w:sz w:val="26"/>
          <w:szCs w:val="26"/>
        </w:rPr>
      </w:pPr>
      <w:r w:rsidRPr="002B4D22">
        <w:rPr>
          <w:rFonts w:ascii="Times New Roman" w:hAnsi="Times New Roman"/>
          <w:sz w:val="26"/>
          <w:szCs w:val="26"/>
        </w:rPr>
        <w:t>S</w:t>
      </w:r>
      <w:r w:rsidR="004C1FF1" w:rsidRPr="002B4D22">
        <w:rPr>
          <w:rFonts w:ascii="Times New Roman" w:hAnsi="Times New Roman"/>
          <w:sz w:val="26"/>
          <w:szCs w:val="26"/>
        </w:rPr>
        <w:t>tabilizējoties ekonomikai un palielinoties ekonomiskām aktivitātēm, ĀTI plūsmas strauji pie</w:t>
      </w:r>
      <w:r w:rsidR="0052100E" w:rsidRPr="002B4D22">
        <w:rPr>
          <w:rFonts w:ascii="Times New Roman" w:hAnsi="Times New Roman"/>
          <w:sz w:val="26"/>
          <w:szCs w:val="26"/>
        </w:rPr>
        <w:t>auga</w:t>
      </w:r>
      <w:r w:rsidRPr="002B4D22">
        <w:rPr>
          <w:rStyle w:val="FootnoteReference"/>
          <w:rFonts w:ascii="Times New Roman" w:hAnsi="Times New Roman"/>
          <w:sz w:val="26"/>
          <w:szCs w:val="26"/>
        </w:rPr>
        <w:footnoteReference w:id="1"/>
      </w:r>
      <w:r w:rsidR="0052100E" w:rsidRPr="002B4D22">
        <w:rPr>
          <w:rFonts w:ascii="Times New Roman" w:hAnsi="Times New Roman"/>
          <w:sz w:val="26"/>
          <w:szCs w:val="26"/>
        </w:rPr>
        <w:t>. Ienākošo ĀTI apjoms 2010.</w:t>
      </w:r>
      <w:r w:rsidR="004C1FF1" w:rsidRPr="002B4D22">
        <w:rPr>
          <w:rFonts w:ascii="Times New Roman" w:hAnsi="Times New Roman"/>
          <w:sz w:val="26"/>
          <w:szCs w:val="26"/>
        </w:rPr>
        <w:t>gadā bija četras reizes lielāks nekā 2009.gadā, savukārt 2011.gadā ĀTI plūsmas gandrīz četras reizes pārsniedza iepriekšējā gada rādītāju un sasniedza 5,</w:t>
      </w:r>
      <w:r w:rsidR="00AE1EC1" w:rsidRPr="002B4D22">
        <w:rPr>
          <w:rFonts w:ascii="Times New Roman" w:hAnsi="Times New Roman"/>
          <w:sz w:val="26"/>
          <w:szCs w:val="26"/>
        </w:rPr>
        <w:t>1</w:t>
      </w:r>
      <w:r w:rsidR="004C1FF1" w:rsidRPr="002B4D22">
        <w:rPr>
          <w:rFonts w:ascii="Times New Roman" w:hAnsi="Times New Roman"/>
          <w:sz w:val="26"/>
          <w:szCs w:val="26"/>
        </w:rPr>
        <w:t>% no IKP. 2012.gadā un 2013.gadā piesaistīto ĀTI apjoms bija nedaudz mērenāks nekā iepriekšējos gados un sasniedza attie</w:t>
      </w:r>
      <w:r w:rsidR="0052100E" w:rsidRPr="002B4D22">
        <w:rPr>
          <w:rFonts w:ascii="Times New Roman" w:hAnsi="Times New Roman"/>
          <w:sz w:val="26"/>
          <w:szCs w:val="26"/>
        </w:rPr>
        <w:t xml:space="preserve">cīgi 3,9% un 2,6% no IKP. </w:t>
      </w:r>
      <w:r w:rsidR="00AE1EC1" w:rsidRPr="002B4D22">
        <w:rPr>
          <w:rFonts w:ascii="Times New Roman" w:hAnsi="Times New Roman"/>
          <w:sz w:val="26"/>
          <w:szCs w:val="26"/>
        </w:rPr>
        <w:t xml:space="preserve">Savukārt </w:t>
      </w:r>
      <w:r w:rsidR="00D74C0C" w:rsidRPr="002B4D22">
        <w:rPr>
          <w:rFonts w:ascii="Times New Roman" w:hAnsi="Times New Roman"/>
          <w:sz w:val="26"/>
          <w:szCs w:val="26"/>
        </w:rPr>
        <w:t>2014.gadā</w:t>
      </w:r>
      <w:r w:rsidR="0052100E" w:rsidRPr="002B4D22">
        <w:rPr>
          <w:rFonts w:ascii="Times New Roman" w:hAnsi="Times New Roman"/>
          <w:sz w:val="26"/>
          <w:szCs w:val="26"/>
        </w:rPr>
        <w:t xml:space="preserve"> </w:t>
      </w:r>
      <w:r w:rsidR="004C1FF1" w:rsidRPr="002B4D22">
        <w:rPr>
          <w:rFonts w:ascii="Times New Roman" w:hAnsi="Times New Roman"/>
          <w:sz w:val="26"/>
          <w:szCs w:val="26"/>
        </w:rPr>
        <w:t xml:space="preserve">ĀTI </w:t>
      </w:r>
      <w:r w:rsidR="00AE1EC1" w:rsidRPr="002B4D22">
        <w:rPr>
          <w:rFonts w:ascii="Times New Roman" w:hAnsi="Times New Roman"/>
          <w:sz w:val="26"/>
          <w:szCs w:val="26"/>
        </w:rPr>
        <w:t xml:space="preserve">neto ieplūde Latvijā bija visai mērena un sasniedza 1,5% no IKP. Galvenokārt to noteica ieguldījumu samazināšanās uzņēmumu pašu kapitālā, ko daļēji kompensēja reinvestētās peļņas pieaugums. </w:t>
      </w:r>
    </w:p>
    <w:p w:rsidR="00FF6039" w:rsidRPr="002B4D22" w:rsidRDefault="007833C9" w:rsidP="00534DFC">
      <w:pPr>
        <w:keepNext/>
        <w:spacing w:after="120" w:line="240" w:lineRule="auto"/>
        <w:jc w:val="right"/>
        <w:rPr>
          <w:rFonts w:ascii="Times New Roman" w:hAnsi="Times New Roman"/>
          <w:sz w:val="26"/>
          <w:szCs w:val="26"/>
        </w:rPr>
      </w:pPr>
      <w:r>
        <w:rPr>
          <w:rFonts w:ascii="Times New Roman" w:hAnsi="Times New Roman"/>
          <w:sz w:val="26"/>
          <w:szCs w:val="26"/>
        </w:rPr>
        <w:lastRenderedPageBreak/>
        <w:t>6</w:t>
      </w:r>
      <w:r w:rsidR="00FF6039" w:rsidRPr="002B4D22">
        <w:rPr>
          <w:rFonts w:ascii="Times New Roman" w:hAnsi="Times New Roman"/>
          <w:sz w:val="26"/>
          <w:szCs w:val="26"/>
        </w:rPr>
        <w:t>.attēls</w:t>
      </w:r>
    </w:p>
    <w:p w:rsidR="002B5630" w:rsidRPr="002B4D22" w:rsidRDefault="009A1A6F" w:rsidP="00534DFC">
      <w:pPr>
        <w:keepNext/>
        <w:spacing w:after="120" w:line="240" w:lineRule="auto"/>
        <w:ind w:firstLine="426"/>
        <w:jc w:val="center"/>
        <w:rPr>
          <w:rFonts w:ascii="Times New Roman" w:hAnsi="Times New Roman"/>
          <w:b/>
          <w:color w:val="4F81BD" w:themeColor="accent1"/>
          <w:sz w:val="24"/>
          <w:szCs w:val="24"/>
        </w:rPr>
      </w:pPr>
      <w:r w:rsidRPr="002B4D22">
        <w:rPr>
          <w:rFonts w:ascii="Times New Roman" w:hAnsi="Times New Roman"/>
          <w:b/>
          <w:sz w:val="24"/>
          <w:szCs w:val="24"/>
        </w:rPr>
        <w:t>N</w:t>
      </w:r>
      <w:r w:rsidR="002B5630" w:rsidRPr="002B4D22">
        <w:rPr>
          <w:rFonts w:ascii="Times New Roman" w:hAnsi="Times New Roman"/>
          <w:b/>
          <w:sz w:val="24"/>
          <w:szCs w:val="24"/>
        </w:rPr>
        <w:t xml:space="preserve">eto </w:t>
      </w:r>
      <w:r w:rsidRPr="002B4D22">
        <w:rPr>
          <w:rFonts w:ascii="Times New Roman" w:hAnsi="Times New Roman"/>
          <w:b/>
          <w:sz w:val="24"/>
          <w:szCs w:val="24"/>
        </w:rPr>
        <w:t xml:space="preserve">ĀTI </w:t>
      </w:r>
      <w:r w:rsidR="002B5630" w:rsidRPr="002B4D22">
        <w:rPr>
          <w:rFonts w:ascii="Times New Roman" w:hAnsi="Times New Roman"/>
          <w:b/>
          <w:sz w:val="24"/>
          <w:szCs w:val="24"/>
        </w:rPr>
        <w:t>plūsmas Latvijā</w:t>
      </w:r>
      <w:r w:rsidRPr="002B4D22">
        <w:rPr>
          <w:rFonts w:ascii="Times New Roman" w:hAnsi="Times New Roman"/>
          <w:b/>
          <w:sz w:val="24"/>
          <w:szCs w:val="24"/>
        </w:rPr>
        <w:t xml:space="preserve"> un uz TUA attiecināmie ieguldījumi</w:t>
      </w:r>
      <w:r w:rsidR="002B5630" w:rsidRPr="002B4D22">
        <w:rPr>
          <w:rFonts w:ascii="Times New Roman" w:hAnsi="Times New Roman"/>
          <w:b/>
          <w:sz w:val="24"/>
          <w:szCs w:val="24"/>
        </w:rPr>
        <w:t xml:space="preserve">, milj. </w:t>
      </w:r>
      <w:proofErr w:type="spellStart"/>
      <w:r w:rsidR="00C232F4" w:rsidRPr="002B4D22">
        <w:rPr>
          <w:rFonts w:ascii="Times New Roman" w:hAnsi="Times New Roman"/>
          <w:b/>
          <w:i/>
          <w:sz w:val="24"/>
          <w:szCs w:val="24"/>
        </w:rPr>
        <w:t>euro</w:t>
      </w:r>
      <w:proofErr w:type="spellEnd"/>
    </w:p>
    <w:p w:rsidR="0052100E" w:rsidRPr="002B4D22" w:rsidRDefault="0052100E" w:rsidP="00534DFC">
      <w:pPr>
        <w:keepNext/>
        <w:spacing w:after="120" w:line="240" w:lineRule="auto"/>
        <w:ind w:firstLine="426"/>
        <w:jc w:val="both"/>
        <w:rPr>
          <w:rFonts w:ascii="Times New Roman" w:hAnsi="Times New Roman"/>
          <w:sz w:val="26"/>
          <w:szCs w:val="26"/>
        </w:rPr>
      </w:pPr>
      <w:r w:rsidRPr="002B4D22">
        <w:rPr>
          <w:rFonts w:ascii="Times New Roman" w:hAnsi="Times New Roman"/>
          <w:noProof/>
          <w:sz w:val="26"/>
          <w:szCs w:val="26"/>
          <w:lang w:eastAsia="lv-LV"/>
        </w:rPr>
        <w:drawing>
          <wp:inline distT="0" distB="0" distL="0" distR="0">
            <wp:extent cx="5314950" cy="303847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100E" w:rsidRPr="002B4D22" w:rsidRDefault="0052100E" w:rsidP="00534DFC">
      <w:pPr>
        <w:keepNext/>
        <w:spacing w:after="120" w:line="240" w:lineRule="auto"/>
        <w:ind w:firstLine="425"/>
        <w:rPr>
          <w:rFonts w:ascii="Times New Roman" w:hAnsi="Times New Roman"/>
          <w:i/>
        </w:rPr>
      </w:pPr>
      <w:r w:rsidRPr="002B4D22">
        <w:rPr>
          <w:rFonts w:ascii="Times New Roman" w:hAnsi="Times New Roman"/>
          <w:i/>
        </w:rPr>
        <w:t>Avots: Latvijas Banka, PMLP</w:t>
      </w:r>
    </w:p>
    <w:p w:rsidR="00043CFD" w:rsidRPr="002B4D22" w:rsidRDefault="00043CFD" w:rsidP="00534DFC">
      <w:pPr>
        <w:keepNext/>
        <w:spacing w:after="120" w:line="240" w:lineRule="auto"/>
        <w:ind w:firstLine="425"/>
        <w:rPr>
          <w:rFonts w:ascii="Times New Roman" w:hAnsi="Times New Roman"/>
          <w:i/>
        </w:rPr>
      </w:pPr>
      <w:r w:rsidRPr="002B4D22">
        <w:rPr>
          <w:rFonts w:ascii="Times New Roman" w:hAnsi="Times New Roman"/>
          <w:i/>
        </w:rPr>
        <w:t>Piezīme: 2015.gadā uzrādītas neto ĀTI Latvijā par 1.ceturksni</w:t>
      </w:r>
    </w:p>
    <w:p w:rsidR="00DD658B" w:rsidRPr="002B4D22" w:rsidRDefault="00DD658B" w:rsidP="00534DFC">
      <w:pPr>
        <w:spacing w:after="120" w:line="240" w:lineRule="auto"/>
        <w:ind w:firstLine="426"/>
        <w:rPr>
          <w:rFonts w:ascii="Times New Roman" w:hAnsi="Times New Roman"/>
          <w:i/>
        </w:rPr>
      </w:pPr>
    </w:p>
    <w:p w:rsidR="00EC4C1D" w:rsidRPr="002B4D22" w:rsidRDefault="002E5A13" w:rsidP="00800988">
      <w:pPr>
        <w:spacing w:after="120" w:line="240" w:lineRule="auto"/>
        <w:ind w:firstLine="567"/>
        <w:jc w:val="both"/>
        <w:rPr>
          <w:rFonts w:ascii="Times New Roman" w:hAnsi="Times New Roman"/>
          <w:sz w:val="26"/>
          <w:szCs w:val="26"/>
        </w:rPr>
      </w:pPr>
      <w:r>
        <w:rPr>
          <w:rFonts w:ascii="Times New Roman" w:hAnsi="Times New Roman"/>
          <w:sz w:val="26"/>
          <w:szCs w:val="26"/>
        </w:rPr>
        <w:t xml:space="preserve">Pēc </w:t>
      </w:r>
      <w:proofErr w:type="gramStart"/>
      <w:r>
        <w:rPr>
          <w:rFonts w:ascii="Times New Roman" w:hAnsi="Times New Roman"/>
          <w:sz w:val="26"/>
          <w:szCs w:val="26"/>
        </w:rPr>
        <w:t>būtiska ĀTI</w:t>
      </w:r>
      <w:proofErr w:type="gramEnd"/>
      <w:r>
        <w:rPr>
          <w:rFonts w:ascii="Times New Roman" w:hAnsi="Times New Roman"/>
          <w:sz w:val="26"/>
          <w:szCs w:val="26"/>
        </w:rPr>
        <w:t xml:space="preserve"> ieplūdes</w:t>
      </w:r>
      <w:r w:rsidR="00AE2ECC">
        <w:rPr>
          <w:rFonts w:ascii="Times New Roman" w:hAnsi="Times New Roman"/>
          <w:sz w:val="26"/>
          <w:szCs w:val="26"/>
        </w:rPr>
        <w:t xml:space="preserve"> Latvijā </w:t>
      </w:r>
      <w:r>
        <w:rPr>
          <w:rFonts w:ascii="Times New Roman" w:hAnsi="Times New Roman"/>
          <w:sz w:val="26"/>
          <w:szCs w:val="26"/>
        </w:rPr>
        <w:t>samazinājuma 2009. un 2010.gadā</w:t>
      </w:r>
      <w:r w:rsidR="00797372">
        <w:rPr>
          <w:rFonts w:ascii="Times New Roman" w:hAnsi="Times New Roman"/>
          <w:sz w:val="26"/>
          <w:szCs w:val="26"/>
        </w:rPr>
        <w:t xml:space="preserve">, </w:t>
      </w:r>
      <w:r w:rsidR="00AE2ECC">
        <w:rPr>
          <w:rFonts w:ascii="Times New Roman" w:hAnsi="Times New Roman"/>
          <w:sz w:val="26"/>
          <w:szCs w:val="26"/>
        </w:rPr>
        <w:t>tās atkal ievērojami pieauga</w:t>
      </w:r>
      <w:r w:rsidR="00797372">
        <w:rPr>
          <w:rFonts w:ascii="Times New Roman" w:hAnsi="Times New Roman"/>
          <w:sz w:val="26"/>
          <w:szCs w:val="26"/>
        </w:rPr>
        <w:t xml:space="preserve"> 2011.gadā. Tajā pašā laikā pieauga arī ar TUA saistīto ieguldījumu apmērs attiecībā uz ĀTI (skatīt </w:t>
      </w:r>
      <w:r w:rsidR="008F6423">
        <w:rPr>
          <w:rFonts w:ascii="Times New Roman" w:hAnsi="Times New Roman"/>
          <w:sz w:val="26"/>
          <w:szCs w:val="26"/>
        </w:rPr>
        <w:t>6</w:t>
      </w:r>
      <w:r w:rsidR="00797372">
        <w:rPr>
          <w:rFonts w:ascii="Times New Roman" w:hAnsi="Times New Roman"/>
          <w:sz w:val="26"/>
          <w:szCs w:val="26"/>
        </w:rPr>
        <w:t xml:space="preserve">.attēlu), 2014.gadā pārsniedzot ĀTI. 2015.gada 1.pusgadā ĀTI kopapjoms ir pārsniedzis pusi no 2014.gada apjoma, taču uz TUA attiecināmie ieguldījumi ievērojami samazinājušies. Jāņem vērā fakts, ka absolūti lielāko daļu no uz TUA attiecināmajiem ieguldījumiem veidoja ieguldījumi nekustamajā īpašumā. </w:t>
      </w:r>
      <w:r w:rsidR="004D499B" w:rsidRPr="002B4D22">
        <w:rPr>
          <w:rFonts w:ascii="Times New Roman" w:hAnsi="Times New Roman"/>
          <w:sz w:val="26"/>
          <w:szCs w:val="26"/>
        </w:rPr>
        <w:t>Jāatzīmē, ka par šīm investīcijām Latvija konkurē ar citām ES valstīm (piemēram, Ungāriju, Čehiju, Bulgāriju) un it īpaši sava reģiona valstīm</w:t>
      </w:r>
      <w:r w:rsidR="004D499B" w:rsidRPr="002B4D22">
        <w:rPr>
          <w:rStyle w:val="FootnoteReference"/>
          <w:rFonts w:ascii="Times New Roman" w:hAnsi="Times New Roman"/>
          <w:sz w:val="26"/>
          <w:szCs w:val="26"/>
        </w:rPr>
        <w:footnoteReference w:id="2"/>
      </w:r>
      <w:r w:rsidR="004D499B" w:rsidRPr="002B4D22">
        <w:rPr>
          <w:rFonts w:ascii="Times New Roman" w:hAnsi="Times New Roman"/>
          <w:sz w:val="26"/>
          <w:szCs w:val="26"/>
        </w:rPr>
        <w:t xml:space="preserve">. </w:t>
      </w:r>
      <w:r w:rsidR="00EC4C1D" w:rsidRPr="002B4D22">
        <w:rPr>
          <w:rFonts w:ascii="Times New Roman" w:hAnsi="Times New Roman"/>
          <w:sz w:val="26"/>
          <w:szCs w:val="26"/>
        </w:rPr>
        <w:t xml:space="preserve">Vienlaikus jāņem vērā, ka vairākās Eiropas Savienības valstīs darbojas līdzīgas biznesa investoru imigrācijas programmas, kas ir vērā ņemams finanšu piesaistes instruments. </w:t>
      </w:r>
      <w:r w:rsidR="00E70F36" w:rsidRPr="002B4D22">
        <w:rPr>
          <w:rFonts w:ascii="Times New Roman" w:hAnsi="Times New Roman"/>
          <w:sz w:val="26"/>
          <w:szCs w:val="26"/>
        </w:rPr>
        <w:t>Līdzšinējais i</w:t>
      </w:r>
      <w:r w:rsidR="00EC4C1D" w:rsidRPr="002B4D22">
        <w:rPr>
          <w:rFonts w:ascii="Times New Roman" w:hAnsi="Times New Roman"/>
          <w:sz w:val="26"/>
          <w:szCs w:val="26"/>
        </w:rPr>
        <w:t xml:space="preserve">nvestīciju programmas </w:t>
      </w:r>
      <w:r w:rsidR="00E70F36" w:rsidRPr="002B4D22">
        <w:rPr>
          <w:rFonts w:ascii="Times New Roman" w:hAnsi="Times New Roman"/>
          <w:sz w:val="26"/>
          <w:szCs w:val="26"/>
        </w:rPr>
        <w:t>regulējums</w:t>
      </w:r>
      <w:r w:rsidR="00EC4C1D" w:rsidRPr="002B4D22">
        <w:rPr>
          <w:rFonts w:ascii="Times New Roman" w:hAnsi="Times New Roman"/>
          <w:sz w:val="26"/>
          <w:szCs w:val="26"/>
        </w:rPr>
        <w:t xml:space="preserve"> ir pozitīvi ietekmēj</w:t>
      </w:r>
      <w:r w:rsidR="00E70F36" w:rsidRPr="002B4D22">
        <w:rPr>
          <w:rFonts w:ascii="Times New Roman" w:hAnsi="Times New Roman"/>
          <w:sz w:val="26"/>
          <w:szCs w:val="26"/>
        </w:rPr>
        <w:t>is</w:t>
      </w:r>
      <w:r w:rsidR="00EC4C1D" w:rsidRPr="002B4D22">
        <w:rPr>
          <w:rFonts w:ascii="Times New Roman" w:hAnsi="Times New Roman"/>
          <w:sz w:val="26"/>
          <w:szCs w:val="26"/>
        </w:rPr>
        <w:t xml:space="preserve"> investīciju pieplūdi Latvijā.</w:t>
      </w:r>
    </w:p>
    <w:p w:rsidR="009B10A4" w:rsidRPr="002B4D22" w:rsidRDefault="009B10A4" w:rsidP="00534DFC">
      <w:pPr>
        <w:pStyle w:val="Heading1"/>
        <w:spacing w:before="0" w:after="120" w:line="240" w:lineRule="auto"/>
        <w:rPr>
          <w:rFonts w:ascii="Times New Roman" w:hAnsi="Times New Roman"/>
          <w:color w:val="auto"/>
        </w:rPr>
      </w:pPr>
    </w:p>
    <w:p w:rsidR="009B10A4" w:rsidRPr="002B4D22" w:rsidRDefault="009B10A4" w:rsidP="00534DFC">
      <w:pPr>
        <w:pStyle w:val="Heading1"/>
        <w:spacing w:before="0" w:after="120" w:line="240" w:lineRule="auto"/>
        <w:rPr>
          <w:rFonts w:ascii="Times New Roman" w:hAnsi="Times New Roman"/>
          <w:color w:val="auto"/>
        </w:rPr>
      </w:pPr>
      <w:bookmarkStart w:id="21" w:name="_Toc429659163"/>
      <w:r w:rsidRPr="002B4D22">
        <w:rPr>
          <w:rFonts w:ascii="Times New Roman" w:hAnsi="Times New Roman"/>
          <w:color w:val="auto"/>
        </w:rPr>
        <w:t>3. Ārvalstu investoru valstiskā piederība</w:t>
      </w:r>
      <w:bookmarkEnd w:id="21"/>
    </w:p>
    <w:p w:rsidR="009B10A4" w:rsidRPr="002B4D22" w:rsidRDefault="009B10A4" w:rsidP="00955E2C">
      <w:pPr>
        <w:pStyle w:val="NormalWeb"/>
        <w:spacing w:before="0" w:beforeAutospacing="0" w:after="0" w:afterAutospacing="0"/>
        <w:ind w:firstLine="540"/>
        <w:jc w:val="both"/>
        <w:rPr>
          <w:sz w:val="26"/>
          <w:szCs w:val="26"/>
        </w:rPr>
      </w:pPr>
      <w:r w:rsidRPr="002B4D22">
        <w:rPr>
          <w:sz w:val="26"/>
          <w:szCs w:val="26"/>
        </w:rPr>
        <w:t>Kopumā TUA</w:t>
      </w:r>
      <w:r w:rsidR="00836F59" w:rsidRPr="002B4D22">
        <w:rPr>
          <w:sz w:val="26"/>
          <w:szCs w:val="26"/>
        </w:rPr>
        <w:t xml:space="preserve"> ir pieprasījuši </w:t>
      </w:r>
      <w:r w:rsidR="00786CC8" w:rsidRPr="002B4D22">
        <w:rPr>
          <w:sz w:val="26"/>
          <w:szCs w:val="26"/>
        </w:rPr>
        <w:t>58</w:t>
      </w:r>
      <w:r w:rsidR="00836F59" w:rsidRPr="002B4D22">
        <w:rPr>
          <w:sz w:val="26"/>
          <w:szCs w:val="26"/>
        </w:rPr>
        <w:t xml:space="preserve"> valst</w:t>
      </w:r>
      <w:r w:rsidR="00786CC8" w:rsidRPr="002B4D22">
        <w:rPr>
          <w:sz w:val="26"/>
          <w:szCs w:val="26"/>
        </w:rPr>
        <w:t>u</w:t>
      </w:r>
      <w:r w:rsidR="00836F59" w:rsidRPr="002B4D22">
        <w:rPr>
          <w:sz w:val="26"/>
          <w:szCs w:val="26"/>
        </w:rPr>
        <w:t xml:space="preserve"> pilsoņi</w:t>
      </w:r>
      <w:r w:rsidRPr="002B4D22">
        <w:rPr>
          <w:sz w:val="26"/>
          <w:szCs w:val="26"/>
        </w:rPr>
        <w:t>. Ņemot vērā Latvijas ģeogrāfisko izvietojumu, vēsturi un ar daudzām trešajām valstīm salīdzinoši augsto dzīves līmeni, attie</w:t>
      </w:r>
      <w:r w:rsidR="00037B97" w:rsidRPr="002B4D22">
        <w:rPr>
          <w:sz w:val="26"/>
          <w:szCs w:val="26"/>
        </w:rPr>
        <w:t>cīgās Imigrācijas likuma normas galvenokārt</w:t>
      </w:r>
      <w:r w:rsidRPr="002B4D22">
        <w:rPr>
          <w:sz w:val="26"/>
          <w:szCs w:val="26"/>
        </w:rPr>
        <w:t xml:space="preserve"> ir piesaistījušas investorus no bijušajām Padomju Savienības republikām. </w:t>
      </w:r>
      <w:r w:rsidR="00F46321" w:rsidRPr="002B4D22">
        <w:rPr>
          <w:sz w:val="26"/>
          <w:szCs w:val="26"/>
        </w:rPr>
        <w:t xml:space="preserve">Aptuveni </w:t>
      </w:r>
      <w:r w:rsidR="00836F59" w:rsidRPr="002B4D22">
        <w:rPr>
          <w:sz w:val="26"/>
          <w:szCs w:val="26"/>
        </w:rPr>
        <w:t>90</w:t>
      </w:r>
      <w:r w:rsidRPr="002B4D22">
        <w:rPr>
          <w:sz w:val="26"/>
          <w:szCs w:val="26"/>
        </w:rPr>
        <w:t>% no visām TUA ir pieprasījuši šo valstu investori. Ārpus bijušās Padomju Savienības teritorijas lielākā investoru interese ir no Ķīnas (</w:t>
      </w:r>
      <w:r w:rsidR="00F46321" w:rsidRPr="002B4D22">
        <w:rPr>
          <w:sz w:val="26"/>
          <w:szCs w:val="26"/>
        </w:rPr>
        <w:t>1</w:t>
      </w:r>
      <w:r w:rsidR="005A6EA9" w:rsidRPr="002B4D22">
        <w:rPr>
          <w:sz w:val="26"/>
          <w:szCs w:val="26"/>
        </w:rPr>
        <w:t xml:space="preserve"> </w:t>
      </w:r>
      <w:r w:rsidR="00F46321" w:rsidRPr="002B4D22">
        <w:rPr>
          <w:sz w:val="26"/>
          <w:szCs w:val="26"/>
        </w:rPr>
        <w:t>31</w:t>
      </w:r>
      <w:r w:rsidR="00836F59" w:rsidRPr="002B4D22">
        <w:rPr>
          <w:sz w:val="26"/>
          <w:szCs w:val="26"/>
        </w:rPr>
        <w:t>5</w:t>
      </w:r>
      <w:r w:rsidR="000E3867" w:rsidRPr="002B4D22">
        <w:rPr>
          <w:sz w:val="26"/>
          <w:szCs w:val="26"/>
        </w:rPr>
        <w:t xml:space="preserve"> jeb </w:t>
      </w:r>
      <w:r w:rsidR="00F46321" w:rsidRPr="002B4D22">
        <w:rPr>
          <w:sz w:val="26"/>
          <w:szCs w:val="26"/>
        </w:rPr>
        <w:t xml:space="preserve">8% </w:t>
      </w:r>
      <w:r w:rsidRPr="002B4D22">
        <w:rPr>
          <w:sz w:val="26"/>
          <w:szCs w:val="26"/>
        </w:rPr>
        <w:t>TUA pieprasījumu), Izraēlas (</w:t>
      </w:r>
      <w:r w:rsidR="00F46321" w:rsidRPr="002B4D22">
        <w:rPr>
          <w:sz w:val="26"/>
          <w:szCs w:val="26"/>
        </w:rPr>
        <w:t>73</w:t>
      </w:r>
      <w:r w:rsidR="00590DB8" w:rsidRPr="002B4D22">
        <w:rPr>
          <w:sz w:val="26"/>
          <w:szCs w:val="26"/>
        </w:rPr>
        <w:t xml:space="preserve"> </w:t>
      </w:r>
      <w:r w:rsidRPr="002B4D22">
        <w:rPr>
          <w:sz w:val="26"/>
          <w:szCs w:val="26"/>
        </w:rPr>
        <w:t>TUA pieprasījum</w:t>
      </w:r>
      <w:r w:rsidR="00F46321" w:rsidRPr="002B4D22">
        <w:rPr>
          <w:sz w:val="26"/>
          <w:szCs w:val="26"/>
        </w:rPr>
        <w:t>i</w:t>
      </w:r>
      <w:r w:rsidRPr="002B4D22">
        <w:rPr>
          <w:sz w:val="26"/>
          <w:szCs w:val="26"/>
        </w:rPr>
        <w:t>) un ASV (</w:t>
      </w:r>
      <w:r w:rsidR="00F46321" w:rsidRPr="002B4D22">
        <w:rPr>
          <w:sz w:val="26"/>
          <w:szCs w:val="26"/>
        </w:rPr>
        <w:t>52</w:t>
      </w:r>
      <w:r w:rsidRPr="002B4D22">
        <w:rPr>
          <w:sz w:val="26"/>
          <w:szCs w:val="26"/>
        </w:rPr>
        <w:t xml:space="preserve"> TUA pieprasījum</w:t>
      </w:r>
      <w:r w:rsidR="00F46321" w:rsidRPr="002B4D22">
        <w:rPr>
          <w:sz w:val="26"/>
          <w:szCs w:val="26"/>
        </w:rPr>
        <w:t>i</w:t>
      </w:r>
      <w:r w:rsidRPr="002B4D22">
        <w:rPr>
          <w:sz w:val="26"/>
          <w:szCs w:val="26"/>
        </w:rPr>
        <w:t xml:space="preserve">). </w:t>
      </w:r>
      <w:r w:rsidR="00590DB8" w:rsidRPr="002B4D22">
        <w:rPr>
          <w:sz w:val="26"/>
          <w:szCs w:val="26"/>
        </w:rPr>
        <w:t xml:space="preserve">Sākot no 2013.gada, straujš TUA pieprasījumu </w:t>
      </w:r>
      <w:r w:rsidR="00590DB8" w:rsidRPr="002B4D22">
        <w:rPr>
          <w:sz w:val="26"/>
          <w:szCs w:val="26"/>
        </w:rPr>
        <w:lastRenderedPageBreak/>
        <w:t xml:space="preserve">pieaugums vērojams no </w:t>
      </w:r>
      <w:r w:rsidRPr="002B4D22">
        <w:rPr>
          <w:sz w:val="26"/>
          <w:szCs w:val="26"/>
        </w:rPr>
        <w:t>Ķīnas valsts piederīgo puses</w:t>
      </w:r>
      <w:r w:rsidR="00590DB8" w:rsidRPr="002B4D22">
        <w:rPr>
          <w:sz w:val="26"/>
          <w:szCs w:val="26"/>
        </w:rPr>
        <w:t>. Ja 2010.-2012.gadā kopā tika saņemti 136 TUA pieteik</w:t>
      </w:r>
      <w:r w:rsidR="00F46321" w:rsidRPr="002B4D22">
        <w:rPr>
          <w:sz w:val="26"/>
          <w:szCs w:val="26"/>
        </w:rPr>
        <w:t xml:space="preserve">umi, tad 2013.gadā un 2014.gadā kopā </w:t>
      </w:r>
      <w:r w:rsidR="00590DB8" w:rsidRPr="002B4D22">
        <w:rPr>
          <w:sz w:val="26"/>
          <w:szCs w:val="26"/>
        </w:rPr>
        <w:t xml:space="preserve">– </w:t>
      </w:r>
      <w:r w:rsidR="00F46321" w:rsidRPr="002B4D22">
        <w:rPr>
          <w:sz w:val="26"/>
          <w:szCs w:val="26"/>
        </w:rPr>
        <w:t>1</w:t>
      </w:r>
      <w:r w:rsidR="005A6EA9" w:rsidRPr="002B4D22">
        <w:rPr>
          <w:sz w:val="26"/>
          <w:szCs w:val="26"/>
        </w:rPr>
        <w:t xml:space="preserve"> </w:t>
      </w:r>
      <w:r w:rsidR="00F46321" w:rsidRPr="002B4D22">
        <w:rPr>
          <w:sz w:val="26"/>
          <w:szCs w:val="26"/>
        </w:rPr>
        <w:t>114</w:t>
      </w:r>
      <w:r w:rsidR="00590DB8" w:rsidRPr="002B4D22">
        <w:rPr>
          <w:sz w:val="26"/>
          <w:szCs w:val="26"/>
        </w:rPr>
        <w:t xml:space="preserve"> pieteikumi, tādējādi Ķīnai kļūstot par otro nozīmīgāko investoru izcelsmes valsti pēc Krievijas. </w:t>
      </w:r>
      <w:r w:rsidR="00F46321" w:rsidRPr="002B4D22">
        <w:rPr>
          <w:sz w:val="26"/>
          <w:szCs w:val="26"/>
        </w:rPr>
        <w:t>2015.gadā gan pieprasījumu skaits no Ķīnas pilsoņiem ir būtiski samazinājies Imigrācijas likumā veikto grozījumu dēļ</w:t>
      </w:r>
      <w:r w:rsidR="00BA0960" w:rsidRPr="002B4D22">
        <w:rPr>
          <w:sz w:val="26"/>
          <w:szCs w:val="26"/>
        </w:rPr>
        <w:t xml:space="preserve"> – pieteikumus iesniegušas tikai 65 personas (2014.gadā – 669)</w:t>
      </w:r>
      <w:r w:rsidR="00F46321" w:rsidRPr="002B4D22">
        <w:rPr>
          <w:sz w:val="26"/>
          <w:szCs w:val="26"/>
        </w:rPr>
        <w:t xml:space="preserve">. </w:t>
      </w:r>
    </w:p>
    <w:p w:rsidR="009B10A4" w:rsidRPr="002B4D22" w:rsidRDefault="009B10A4" w:rsidP="00955E2C">
      <w:pPr>
        <w:pStyle w:val="NormalWeb"/>
        <w:spacing w:before="0" w:beforeAutospacing="0" w:after="0" w:afterAutospacing="0"/>
        <w:ind w:firstLine="540"/>
        <w:jc w:val="both"/>
        <w:rPr>
          <w:sz w:val="26"/>
          <w:szCs w:val="26"/>
        </w:rPr>
      </w:pPr>
      <w:r w:rsidRPr="002B4D22">
        <w:rPr>
          <w:sz w:val="26"/>
          <w:szCs w:val="26"/>
        </w:rPr>
        <w:t>No paaugstināta terorisma riska valstu</w:t>
      </w:r>
      <w:r w:rsidRPr="002B4D22">
        <w:rPr>
          <w:rStyle w:val="FootnoteReference"/>
          <w:sz w:val="26"/>
          <w:szCs w:val="26"/>
        </w:rPr>
        <w:footnoteReference w:id="3"/>
      </w:r>
      <w:r w:rsidRPr="002B4D22">
        <w:rPr>
          <w:sz w:val="26"/>
          <w:szCs w:val="26"/>
        </w:rPr>
        <w:t xml:space="preserve"> pilsoņiem saņemtais pieteikumu skaits (kopā </w:t>
      </w:r>
      <w:r w:rsidR="008210D2" w:rsidRPr="002B4D22">
        <w:rPr>
          <w:sz w:val="26"/>
          <w:szCs w:val="26"/>
        </w:rPr>
        <w:t>227</w:t>
      </w:r>
      <w:r w:rsidR="00571E96" w:rsidRPr="002B4D22">
        <w:rPr>
          <w:sz w:val="26"/>
          <w:szCs w:val="26"/>
        </w:rPr>
        <w:t xml:space="preserve"> </w:t>
      </w:r>
      <w:r w:rsidRPr="002B4D22">
        <w:rPr>
          <w:sz w:val="26"/>
          <w:szCs w:val="26"/>
        </w:rPr>
        <w:t>investoru un</w:t>
      </w:r>
      <w:r w:rsidR="00571E96" w:rsidRPr="002B4D22">
        <w:rPr>
          <w:sz w:val="26"/>
          <w:szCs w:val="26"/>
        </w:rPr>
        <w:t xml:space="preserve"> viņu ģimenes locekļu pieteikumi</w:t>
      </w:r>
      <w:r w:rsidRPr="002B4D22">
        <w:rPr>
          <w:sz w:val="26"/>
          <w:szCs w:val="26"/>
        </w:rPr>
        <w:t xml:space="preserve">) </w:t>
      </w:r>
      <w:r w:rsidR="00571E96" w:rsidRPr="002B4D22">
        <w:rPr>
          <w:sz w:val="26"/>
          <w:szCs w:val="26"/>
        </w:rPr>
        <w:t>veido</w:t>
      </w:r>
      <w:proofErr w:type="gramStart"/>
      <w:r w:rsidR="00571E96" w:rsidRPr="002B4D22">
        <w:rPr>
          <w:sz w:val="26"/>
          <w:szCs w:val="26"/>
        </w:rPr>
        <w:t xml:space="preserve"> 1</w:t>
      </w:r>
      <w:r w:rsidR="00981AA8" w:rsidRPr="002B4D22">
        <w:rPr>
          <w:sz w:val="26"/>
          <w:szCs w:val="26"/>
        </w:rPr>
        <w:t>,</w:t>
      </w:r>
      <w:r w:rsidR="00800988">
        <w:rPr>
          <w:sz w:val="26"/>
          <w:szCs w:val="26"/>
        </w:rPr>
        <w:t>4</w:t>
      </w:r>
      <w:r w:rsidR="00571E96" w:rsidRPr="002B4D22">
        <w:rPr>
          <w:sz w:val="26"/>
          <w:szCs w:val="26"/>
        </w:rPr>
        <w:t>% no kopējā saņemto pieteikumu skaita</w:t>
      </w:r>
      <w:proofErr w:type="gramEnd"/>
      <w:r w:rsidRPr="002B4D22">
        <w:rPr>
          <w:sz w:val="26"/>
          <w:szCs w:val="26"/>
        </w:rPr>
        <w:t xml:space="preserve">. </w:t>
      </w:r>
    </w:p>
    <w:p w:rsidR="009B10A4" w:rsidRPr="002B4D22" w:rsidRDefault="00923D72" w:rsidP="00955E2C">
      <w:pPr>
        <w:spacing w:after="0" w:line="240" w:lineRule="auto"/>
        <w:ind w:firstLine="426"/>
        <w:jc w:val="both"/>
        <w:rPr>
          <w:rFonts w:ascii="Times New Roman" w:hAnsi="Times New Roman"/>
          <w:sz w:val="26"/>
          <w:szCs w:val="26"/>
        </w:rPr>
      </w:pPr>
      <w:r w:rsidRPr="002B4D22">
        <w:rPr>
          <w:rFonts w:ascii="Times New Roman" w:hAnsi="Times New Roman"/>
          <w:sz w:val="26"/>
          <w:szCs w:val="26"/>
        </w:rPr>
        <w:t xml:space="preserve">Ziņojuma </w:t>
      </w:r>
      <w:r w:rsidR="009B10A4" w:rsidRPr="002B4D22">
        <w:rPr>
          <w:rFonts w:ascii="Times New Roman" w:hAnsi="Times New Roman"/>
          <w:sz w:val="26"/>
          <w:szCs w:val="26"/>
        </w:rPr>
        <w:t>1., 2.</w:t>
      </w:r>
      <w:r w:rsidR="00F443DB" w:rsidRPr="002B4D22">
        <w:rPr>
          <w:rFonts w:ascii="Times New Roman" w:hAnsi="Times New Roman"/>
          <w:sz w:val="26"/>
          <w:szCs w:val="26"/>
        </w:rPr>
        <w:t xml:space="preserve"> un </w:t>
      </w:r>
      <w:r w:rsidR="009B10A4" w:rsidRPr="002B4D22">
        <w:rPr>
          <w:rFonts w:ascii="Times New Roman" w:hAnsi="Times New Roman"/>
          <w:sz w:val="26"/>
          <w:szCs w:val="26"/>
        </w:rPr>
        <w:t>3.</w:t>
      </w:r>
      <w:r w:rsidR="00571E96" w:rsidRPr="002B4D22">
        <w:rPr>
          <w:rFonts w:ascii="Times New Roman" w:hAnsi="Times New Roman"/>
          <w:sz w:val="26"/>
          <w:szCs w:val="26"/>
        </w:rPr>
        <w:t xml:space="preserve"> </w:t>
      </w:r>
      <w:r w:rsidR="009B10A4" w:rsidRPr="002B4D22">
        <w:rPr>
          <w:rFonts w:ascii="Times New Roman" w:hAnsi="Times New Roman"/>
          <w:sz w:val="26"/>
          <w:szCs w:val="26"/>
        </w:rPr>
        <w:t>pielikumā ir sniegta detalizētāka informācija par investoru un viņu ģimenes locekļu iesniegto pieteikumu skaitu, izsniegtajām un anulētajām termiņuzturēšanās atļaujām un personu pilsonības valstīm.</w:t>
      </w:r>
    </w:p>
    <w:p w:rsidR="00571E96" w:rsidRPr="002B4D22" w:rsidRDefault="007833C9" w:rsidP="00534DFC">
      <w:pPr>
        <w:spacing w:after="120" w:line="240" w:lineRule="auto"/>
        <w:ind w:firstLine="425"/>
        <w:jc w:val="right"/>
        <w:rPr>
          <w:rFonts w:ascii="Times New Roman" w:hAnsi="Times New Roman"/>
          <w:sz w:val="26"/>
          <w:szCs w:val="26"/>
        </w:rPr>
      </w:pPr>
      <w:r>
        <w:rPr>
          <w:rFonts w:ascii="Times New Roman" w:hAnsi="Times New Roman"/>
          <w:sz w:val="26"/>
          <w:szCs w:val="26"/>
        </w:rPr>
        <w:t>7</w:t>
      </w:r>
      <w:r w:rsidR="00571E96" w:rsidRPr="002B4D22">
        <w:rPr>
          <w:rFonts w:ascii="Times New Roman" w:hAnsi="Times New Roman"/>
          <w:sz w:val="26"/>
          <w:szCs w:val="26"/>
        </w:rPr>
        <w:t>. attēls</w:t>
      </w:r>
    </w:p>
    <w:p w:rsidR="00D768F0" w:rsidRPr="002B4D22" w:rsidRDefault="009751A7" w:rsidP="00534DFC">
      <w:pPr>
        <w:spacing w:after="120" w:line="240" w:lineRule="auto"/>
        <w:ind w:firstLine="425"/>
        <w:jc w:val="center"/>
        <w:rPr>
          <w:rFonts w:ascii="Times New Roman" w:hAnsi="Times New Roman"/>
          <w:b/>
          <w:sz w:val="24"/>
          <w:szCs w:val="24"/>
        </w:rPr>
      </w:pPr>
      <w:r w:rsidRPr="002B4D22">
        <w:rPr>
          <w:rFonts w:ascii="Times New Roman" w:hAnsi="Times New Roman"/>
          <w:b/>
          <w:sz w:val="24"/>
          <w:szCs w:val="24"/>
        </w:rPr>
        <w:t>Ārvalstu investoru (TUA pieteicēju) sadalījums pēc valstiskās piederības</w:t>
      </w:r>
    </w:p>
    <w:p w:rsidR="008210D2" w:rsidRPr="002B4D22" w:rsidRDefault="009751A7" w:rsidP="00534DFC">
      <w:pPr>
        <w:spacing w:after="120" w:line="240" w:lineRule="auto"/>
        <w:ind w:firstLine="426"/>
        <w:jc w:val="center"/>
        <w:rPr>
          <w:rFonts w:ascii="Times New Roman" w:hAnsi="Times New Roman"/>
          <w:b/>
          <w:sz w:val="24"/>
          <w:szCs w:val="24"/>
        </w:rPr>
      </w:pPr>
      <w:r w:rsidRPr="002B4D22">
        <w:rPr>
          <w:rFonts w:ascii="Times New Roman" w:hAnsi="Times New Roman"/>
          <w:b/>
          <w:sz w:val="24"/>
          <w:szCs w:val="24"/>
        </w:rPr>
        <w:t>(07.2010.-06.201</w:t>
      </w:r>
      <w:r w:rsidR="00165D5F" w:rsidRPr="002B4D22">
        <w:rPr>
          <w:rFonts w:ascii="Times New Roman" w:hAnsi="Times New Roman"/>
          <w:b/>
          <w:sz w:val="24"/>
          <w:szCs w:val="24"/>
        </w:rPr>
        <w:t>5</w:t>
      </w:r>
      <w:r w:rsidRPr="002B4D22">
        <w:rPr>
          <w:rFonts w:ascii="Times New Roman" w:hAnsi="Times New Roman"/>
          <w:b/>
          <w:sz w:val="24"/>
          <w:szCs w:val="24"/>
        </w:rPr>
        <w:t>.)</w:t>
      </w:r>
    </w:p>
    <w:p w:rsidR="008210D2" w:rsidRPr="002B4D22" w:rsidRDefault="00165D5F" w:rsidP="00534DFC">
      <w:pPr>
        <w:spacing w:after="120" w:line="240" w:lineRule="auto"/>
        <w:ind w:firstLine="426"/>
        <w:jc w:val="center"/>
        <w:rPr>
          <w:rFonts w:ascii="Times New Roman" w:hAnsi="Times New Roman"/>
          <w:b/>
          <w:sz w:val="24"/>
          <w:szCs w:val="24"/>
        </w:rPr>
      </w:pPr>
      <w:r w:rsidRPr="002B4D22">
        <w:rPr>
          <w:rFonts w:ascii="Times New Roman" w:hAnsi="Times New Roman"/>
          <w:b/>
          <w:noProof/>
          <w:sz w:val="24"/>
          <w:szCs w:val="24"/>
          <w:lang w:eastAsia="lv-LV"/>
        </w:rPr>
        <w:drawing>
          <wp:inline distT="0" distB="0" distL="0" distR="0">
            <wp:extent cx="4572000" cy="274320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51A7" w:rsidRPr="002B4D22" w:rsidRDefault="009751A7" w:rsidP="00534DFC">
      <w:pPr>
        <w:spacing w:after="120" w:line="240" w:lineRule="auto"/>
        <w:ind w:firstLine="993"/>
        <w:rPr>
          <w:rFonts w:ascii="Times New Roman" w:hAnsi="Times New Roman"/>
        </w:rPr>
      </w:pPr>
      <w:r w:rsidRPr="002B4D22">
        <w:rPr>
          <w:rFonts w:ascii="Times New Roman" w:hAnsi="Times New Roman"/>
          <w:i/>
          <w:noProof/>
          <w:lang w:eastAsia="zh-CN"/>
        </w:rPr>
        <w:t>Avots: PMLP</w:t>
      </w:r>
    </w:p>
    <w:p w:rsidR="00342EAA" w:rsidRPr="002B4D22" w:rsidRDefault="00342EAA" w:rsidP="00534DFC">
      <w:pPr>
        <w:autoSpaceDE w:val="0"/>
        <w:autoSpaceDN w:val="0"/>
        <w:adjustRightInd w:val="0"/>
        <w:spacing w:after="120" w:line="240" w:lineRule="auto"/>
        <w:rPr>
          <w:rFonts w:ascii="Times New Roman" w:hAnsi="Times New Roman"/>
          <w:sz w:val="26"/>
          <w:szCs w:val="26"/>
        </w:rPr>
      </w:pPr>
    </w:p>
    <w:p w:rsidR="009B10A4" w:rsidRPr="002B4D22" w:rsidRDefault="009B10A4" w:rsidP="00534DFC">
      <w:pPr>
        <w:pStyle w:val="Heading1"/>
        <w:spacing w:before="0" w:after="120" w:line="240" w:lineRule="auto"/>
        <w:rPr>
          <w:rFonts w:ascii="Times New Roman" w:hAnsi="Times New Roman"/>
          <w:color w:val="auto"/>
        </w:rPr>
      </w:pPr>
      <w:bookmarkStart w:id="22" w:name="_Toc429659164"/>
      <w:bookmarkEnd w:id="19"/>
      <w:r w:rsidRPr="002B4D22">
        <w:rPr>
          <w:rFonts w:ascii="Times New Roman" w:hAnsi="Times New Roman"/>
          <w:color w:val="auto"/>
        </w:rPr>
        <w:t>4. Investīcijas nekustamajos īpašumos</w:t>
      </w:r>
      <w:bookmarkEnd w:id="22"/>
    </w:p>
    <w:p w:rsidR="009B10A4" w:rsidRPr="002B4D22" w:rsidRDefault="00712A2D" w:rsidP="00E05460">
      <w:pPr>
        <w:spacing w:after="120" w:line="240" w:lineRule="auto"/>
        <w:ind w:firstLine="567"/>
        <w:jc w:val="both"/>
        <w:rPr>
          <w:rFonts w:ascii="Times New Roman" w:hAnsi="Times New Roman"/>
          <w:sz w:val="26"/>
          <w:szCs w:val="26"/>
        </w:rPr>
      </w:pPr>
      <w:r>
        <w:rPr>
          <w:rFonts w:ascii="Times New Roman" w:hAnsi="Times New Roman"/>
          <w:sz w:val="26"/>
          <w:szCs w:val="26"/>
        </w:rPr>
        <w:t xml:space="preserve">Saskaņā ar Imigrācijas likuma 23.panta pirmās daļas 29.punktā noteikto </w:t>
      </w:r>
      <w:r w:rsidR="009B10A4" w:rsidRPr="002B4D22">
        <w:rPr>
          <w:rFonts w:ascii="Times New Roman" w:hAnsi="Times New Roman"/>
          <w:sz w:val="26"/>
          <w:szCs w:val="26"/>
        </w:rPr>
        <w:t xml:space="preserve">Latvijā TUA var iegūt trešo valstu pilsoņi, kuri iegādājušies </w:t>
      </w:r>
      <w:r w:rsidR="00674EA8" w:rsidRPr="002B4D22">
        <w:rPr>
          <w:rFonts w:ascii="Times New Roman" w:hAnsi="Times New Roman"/>
          <w:sz w:val="26"/>
          <w:szCs w:val="26"/>
        </w:rPr>
        <w:t>un kuriem pieder viens funkcionāli saistīts apbūvēts nekustamais īpašum</w:t>
      </w:r>
      <w:r w:rsidR="006D51E5" w:rsidRPr="002B4D22">
        <w:rPr>
          <w:rFonts w:ascii="Times New Roman" w:hAnsi="Times New Roman"/>
          <w:sz w:val="26"/>
          <w:szCs w:val="26"/>
        </w:rPr>
        <w:t xml:space="preserve">s, kura vērtība ir ne mazāka par 250 000 </w:t>
      </w:r>
      <w:proofErr w:type="spellStart"/>
      <w:r w:rsidR="00C232F4" w:rsidRPr="002B4D22">
        <w:rPr>
          <w:rFonts w:ascii="Times New Roman" w:hAnsi="Times New Roman"/>
          <w:i/>
          <w:sz w:val="26"/>
          <w:szCs w:val="26"/>
        </w:rPr>
        <w:t>euro</w:t>
      </w:r>
      <w:proofErr w:type="spellEnd"/>
      <w:r w:rsidR="006D51E5" w:rsidRPr="002B4D22">
        <w:rPr>
          <w:rFonts w:ascii="Times New Roman" w:hAnsi="Times New Roman"/>
          <w:i/>
          <w:sz w:val="26"/>
          <w:szCs w:val="26"/>
        </w:rPr>
        <w:t>.</w:t>
      </w:r>
      <w:r w:rsidR="008F1B1E" w:rsidRPr="002B4D22">
        <w:rPr>
          <w:rFonts w:ascii="Times New Roman" w:hAnsi="Times New Roman"/>
          <w:sz w:val="26"/>
          <w:szCs w:val="26"/>
        </w:rPr>
        <w:t xml:space="preserve"> Šād</w:t>
      </w:r>
      <w:r w:rsidR="006D51E5" w:rsidRPr="002B4D22">
        <w:rPr>
          <w:rFonts w:ascii="Times New Roman" w:hAnsi="Times New Roman"/>
          <w:sz w:val="26"/>
          <w:szCs w:val="26"/>
        </w:rPr>
        <w:t>s</w:t>
      </w:r>
      <w:r w:rsidR="008F1B1E" w:rsidRPr="002B4D22">
        <w:rPr>
          <w:rFonts w:ascii="Times New Roman" w:hAnsi="Times New Roman"/>
          <w:sz w:val="26"/>
          <w:szCs w:val="26"/>
        </w:rPr>
        <w:t xml:space="preserve"> nosacījum</w:t>
      </w:r>
      <w:r w:rsidR="006D51E5" w:rsidRPr="002B4D22">
        <w:rPr>
          <w:rFonts w:ascii="Times New Roman" w:hAnsi="Times New Roman"/>
          <w:sz w:val="26"/>
          <w:szCs w:val="26"/>
        </w:rPr>
        <w:t xml:space="preserve">s, kas paaugstina </w:t>
      </w:r>
      <w:r w:rsidR="00A41DEC" w:rsidRPr="002B4D22">
        <w:rPr>
          <w:rFonts w:ascii="Times New Roman" w:hAnsi="Times New Roman"/>
          <w:sz w:val="26"/>
          <w:szCs w:val="26"/>
        </w:rPr>
        <w:t xml:space="preserve">iegādājamā </w:t>
      </w:r>
      <w:r w:rsidR="006D51E5" w:rsidRPr="002B4D22">
        <w:rPr>
          <w:rFonts w:ascii="Times New Roman" w:hAnsi="Times New Roman"/>
          <w:sz w:val="26"/>
          <w:szCs w:val="26"/>
        </w:rPr>
        <w:t xml:space="preserve">nekustamā īpašuma vērtību un nosaka to, ka ir TUA saņemšanai kvalificējas tikai viens, nevis vairāki nekustamie īpašumi, ir </w:t>
      </w:r>
      <w:r w:rsidR="008F1B1E" w:rsidRPr="002B4D22">
        <w:rPr>
          <w:rFonts w:ascii="Times New Roman" w:hAnsi="Times New Roman"/>
          <w:sz w:val="26"/>
          <w:szCs w:val="26"/>
        </w:rPr>
        <w:t xml:space="preserve">spēkā </w:t>
      </w:r>
      <w:r w:rsidR="006D51E5" w:rsidRPr="002B4D22">
        <w:rPr>
          <w:rFonts w:ascii="Times New Roman" w:hAnsi="Times New Roman"/>
          <w:sz w:val="26"/>
          <w:szCs w:val="26"/>
        </w:rPr>
        <w:t xml:space="preserve">no </w:t>
      </w:r>
      <w:r w:rsidR="008F1B1E" w:rsidRPr="002B4D22">
        <w:rPr>
          <w:rFonts w:ascii="Times New Roman" w:hAnsi="Times New Roman"/>
          <w:sz w:val="26"/>
          <w:szCs w:val="26"/>
        </w:rPr>
        <w:t>2014.gada 1.septembr</w:t>
      </w:r>
      <w:r w:rsidR="006D51E5" w:rsidRPr="002B4D22">
        <w:rPr>
          <w:rFonts w:ascii="Times New Roman" w:hAnsi="Times New Roman"/>
          <w:sz w:val="26"/>
          <w:szCs w:val="26"/>
        </w:rPr>
        <w:t>a</w:t>
      </w:r>
      <w:r w:rsidR="008F1B1E" w:rsidRPr="002B4D22">
        <w:rPr>
          <w:rFonts w:ascii="Times New Roman" w:hAnsi="Times New Roman"/>
          <w:sz w:val="26"/>
          <w:szCs w:val="26"/>
        </w:rPr>
        <w:t xml:space="preserve">, kad spēkā </w:t>
      </w:r>
      <w:r w:rsidR="00951721" w:rsidRPr="002B4D22">
        <w:rPr>
          <w:rFonts w:ascii="Times New Roman" w:hAnsi="Times New Roman"/>
          <w:sz w:val="26"/>
          <w:szCs w:val="26"/>
        </w:rPr>
        <w:t xml:space="preserve">stājās </w:t>
      </w:r>
      <w:r w:rsidR="008F1B1E" w:rsidRPr="002B4D22">
        <w:rPr>
          <w:rFonts w:ascii="Times New Roman" w:hAnsi="Times New Roman"/>
          <w:sz w:val="26"/>
          <w:szCs w:val="26"/>
        </w:rPr>
        <w:t xml:space="preserve">2014.gada 8.maija grozījumi Imigrācijas </w:t>
      </w:r>
      <w:r w:rsidR="006D51E5" w:rsidRPr="002B4D22">
        <w:rPr>
          <w:rFonts w:ascii="Times New Roman" w:hAnsi="Times New Roman"/>
          <w:sz w:val="26"/>
          <w:szCs w:val="26"/>
        </w:rPr>
        <w:t>likumā</w:t>
      </w:r>
      <w:r w:rsidR="008F1B1E" w:rsidRPr="002B4D22">
        <w:rPr>
          <w:rFonts w:ascii="Times New Roman" w:hAnsi="Times New Roman"/>
          <w:sz w:val="26"/>
          <w:szCs w:val="26"/>
        </w:rPr>
        <w:t>.</w:t>
      </w:r>
      <w:r w:rsidR="00A41DEC" w:rsidRPr="002B4D22">
        <w:rPr>
          <w:rFonts w:ascii="Times New Roman" w:hAnsi="Times New Roman"/>
          <w:sz w:val="26"/>
          <w:szCs w:val="26"/>
        </w:rPr>
        <w:t xml:space="preserve"> Minētie grozījumi </w:t>
      </w:r>
      <w:r w:rsidR="00515B75" w:rsidRPr="002B4D22">
        <w:rPr>
          <w:rFonts w:ascii="Times New Roman" w:hAnsi="Times New Roman"/>
          <w:sz w:val="26"/>
          <w:szCs w:val="26"/>
        </w:rPr>
        <w:t>turklāt</w:t>
      </w:r>
      <w:r w:rsidR="00A41DEC" w:rsidRPr="002B4D22">
        <w:rPr>
          <w:rFonts w:ascii="Times New Roman" w:hAnsi="Times New Roman"/>
          <w:sz w:val="26"/>
          <w:szCs w:val="26"/>
        </w:rPr>
        <w:t xml:space="preserve"> paredz, ka pirms TUA saņemšanas ārzemniekam jāveic maksājums valsts pamatbudžeta programmai „Ekonomikas attīstības programma” </w:t>
      </w:r>
      <w:r w:rsidR="00515B75" w:rsidRPr="002B4D22">
        <w:rPr>
          <w:rFonts w:ascii="Times New Roman" w:hAnsi="Times New Roman"/>
          <w:sz w:val="26"/>
          <w:szCs w:val="26"/>
        </w:rPr>
        <w:lastRenderedPageBreak/>
        <w:t xml:space="preserve">atvērtajā valsts pamatbudžeta izdevumu kontā Valsts kasē 5% apjomā no iegādātā nekustamā īpašuma vērtības. </w:t>
      </w:r>
    </w:p>
    <w:p w:rsidR="009B10A4" w:rsidRPr="002B4D22" w:rsidRDefault="00515B75" w:rsidP="00E05460">
      <w:pPr>
        <w:spacing w:after="120" w:line="240" w:lineRule="auto"/>
        <w:ind w:firstLine="567"/>
        <w:jc w:val="both"/>
        <w:rPr>
          <w:rFonts w:ascii="Times New Roman" w:hAnsi="Times New Roman"/>
          <w:sz w:val="26"/>
          <w:szCs w:val="26"/>
        </w:rPr>
      </w:pPr>
      <w:r w:rsidRPr="002B4D22">
        <w:rPr>
          <w:rFonts w:ascii="Times New Roman" w:hAnsi="Times New Roman"/>
          <w:sz w:val="26"/>
          <w:szCs w:val="26"/>
        </w:rPr>
        <w:t>N</w:t>
      </w:r>
      <w:r w:rsidR="00833283" w:rsidRPr="002B4D22">
        <w:rPr>
          <w:rFonts w:ascii="Times New Roman" w:hAnsi="Times New Roman"/>
          <w:sz w:val="26"/>
          <w:szCs w:val="26"/>
        </w:rPr>
        <w:t xml:space="preserve">o </w:t>
      </w:r>
      <w:r w:rsidR="009B10A4" w:rsidRPr="002B4D22">
        <w:rPr>
          <w:rFonts w:ascii="Times New Roman" w:hAnsi="Times New Roman"/>
          <w:sz w:val="26"/>
          <w:szCs w:val="26"/>
        </w:rPr>
        <w:t xml:space="preserve">2010.gada 1.jūlija </w:t>
      </w:r>
      <w:r w:rsidR="00833283" w:rsidRPr="002B4D22">
        <w:rPr>
          <w:rFonts w:ascii="Times New Roman" w:hAnsi="Times New Roman"/>
          <w:sz w:val="26"/>
          <w:szCs w:val="26"/>
        </w:rPr>
        <w:t>līdz 201</w:t>
      </w:r>
      <w:r w:rsidRPr="002B4D22">
        <w:rPr>
          <w:rFonts w:ascii="Times New Roman" w:hAnsi="Times New Roman"/>
          <w:sz w:val="26"/>
          <w:szCs w:val="26"/>
        </w:rPr>
        <w:t>5</w:t>
      </w:r>
      <w:r w:rsidR="00833283" w:rsidRPr="002B4D22">
        <w:rPr>
          <w:rFonts w:ascii="Times New Roman" w:hAnsi="Times New Roman"/>
          <w:sz w:val="26"/>
          <w:szCs w:val="26"/>
        </w:rPr>
        <w:t xml:space="preserve">.gada 30.jūnijam </w:t>
      </w:r>
      <w:r w:rsidR="009B10A4" w:rsidRPr="002B4D22">
        <w:rPr>
          <w:rFonts w:ascii="Times New Roman" w:hAnsi="Times New Roman"/>
          <w:sz w:val="26"/>
          <w:szCs w:val="26"/>
        </w:rPr>
        <w:t xml:space="preserve">TUA pieteikumos ir attiecināti darījumi Latvijas nekustamā īpašuma tirgū </w:t>
      </w:r>
      <w:r w:rsidRPr="002B4D22">
        <w:rPr>
          <w:rFonts w:ascii="Times New Roman" w:hAnsi="Times New Roman"/>
          <w:sz w:val="26"/>
          <w:szCs w:val="26"/>
        </w:rPr>
        <w:t>1</w:t>
      </w:r>
      <w:r w:rsidR="0049336E" w:rsidRPr="002B4D22">
        <w:rPr>
          <w:rFonts w:ascii="Times New Roman" w:hAnsi="Times New Roman"/>
          <w:sz w:val="26"/>
          <w:szCs w:val="26"/>
        </w:rPr>
        <w:t xml:space="preserve"> </w:t>
      </w:r>
      <w:r w:rsidRPr="002B4D22">
        <w:rPr>
          <w:rFonts w:ascii="Times New Roman" w:hAnsi="Times New Roman"/>
          <w:sz w:val="26"/>
          <w:szCs w:val="26"/>
        </w:rPr>
        <w:t xml:space="preserve">093 </w:t>
      </w:r>
      <w:r w:rsidR="0049336E" w:rsidRPr="002B4D22">
        <w:rPr>
          <w:rFonts w:ascii="Times New Roman" w:hAnsi="Times New Roman"/>
          <w:sz w:val="26"/>
          <w:szCs w:val="26"/>
        </w:rPr>
        <w:t>milj</w:t>
      </w:r>
      <w:r w:rsidR="00F66A3F"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00833283" w:rsidRPr="002B4D22">
        <w:rPr>
          <w:rFonts w:ascii="Times New Roman" w:hAnsi="Times New Roman"/>
          <w:sz w:val="26"/>
          <w:szCs w:val="26"/>
        </w:rPr>
        <w:t xml:space="preserve"> </w:t>
      </w:r>
      <w:r w:rsidR="009B10A4" w:rsidRPr="002B4D22">
        <w:rPr>
          <w:rFonts w:ascii="Times New Roman" w:hAnsi="Times New Roman"/>
          <w:sz w:val="26"/>
          <w:szCs w:val="26"/>
        </w:rPr>
        <w:t xml:space="preserve">apmērā. </w:t>
      </w:r>
    </w:p>
    <w:p w:rsidR="009B10A4" w:rsidRPr="002B4D22" w:rsidRDefault="009B10A4" w:rsidP="00534DFC">
      <w:pPr>
        <w:spacing w:after="120" w:line="240" w:lineRule="auto"/>
        <w:ind w:firstLine="426"/>
        <w:jc w:val="both"/>
        <w:rPr>
          <w:rFonts w:ascii="Times New Roman" w:hAnsi="Times New Roman"/>
          <w:sz w:val="26"/>
          <w:szCs w:val="26"/>
        </w:rPr>
      </w:pPr>
    </w:p>
    <w:p w:rsidR="00164DB5" w:rsidRPr="002B4D22" w:rsidRDefault="007833C9" w:rsidP="00534DFC">
      <w:pPr>
        <w:spacing w:after="120" w:line="240" w:lineRule="auto"/>
        <w:jc w:val="right"/>
        <w:rPr>
          <w:rFonts w:ascii="Times New Roman" w:hAnsi="Times New Roman"/>
          <w:sz w:val="26"/>
          <w:szCs w:val="26"/>
        </w:rPr>
      </w:pPr>
      <w:r>
        <w:rPr>
          <w:rFonts w:ascii="Times New Roman" w:hAnsi="Times New Roman"/>
          <w:sz w:val="26"/>
          <w:szCs w:val="26"/>
        </w:rPr>
        <w:t>8</w:t>
      </w:r>
      <w:r w:rsidR="00164DB5" w:rsidRPr="002B4D22">
        <w:rPr>
          <w:rFonts w:ascii="Times New Roman" w:hAnsi="Times New Roman"/>
          <w:sz w:val="26"/>
          <w:szCs w:val="26"/>
        </w:rPr>
        <w:t>.attēls</w:t>
      </w:r>
    </w:p>
    <w:p w:rsidR="009F4C01" w:rsidRDefault="009F4C01" w:rsidP="00245E1C">
      <w:pPr>
        <w:spacing w:after="0" w:line="240" w:lineRule="auto"/>
        <w:jc w:val="center"/>
        <w:rPr>
          <w:rFonts w:ascii="Times New Roman" w:hAnsi="Times New Roman"/>
          <w:b/>
          <w:sz w:val="24"/>
          <w:szCs w:val="24"/>
        </w:rPr>
      </w:pPr>
      <w:r w:rsidRPr="002B4D22">
        <w:rPr>
          <w:rFonts w:ascii="Times New Roman" w:hAnsi="Times New Roman"/>
          <w:b/>
          <w:sz w:val="24"/>
          <w:szCs w:val="24"/>
        </w:rPr>
        <w:t>TUA iesniedzēju – nekustamā īpašuma pircēju</w:t>
      </w:r>
    </w:p>
    <w:p w:rsidR="00245E1C" w:rsidRPr="002B4D22" w:rsidRDefault="00245E1C" w:rsidP="00245E1C">
      <w:pPr>
        <w:spacing w:after="0" w:line="240" w:lineRule="auto"/>
        <w:jc w:val="center"/>
        <w:rPr>
          <w:rFonts w:ascii="Times New Roman" w:hAnsi="Times New Roman"/>
          <w:sz w:val="26"/>
          <w:szCs w:val="26"/>
        </w:rPr>
      </w:pPr>
      <w:r w:rsidRPr="002B4D22">
        <w:rPr>
          <w:rFonts w:ascii="Times New Roman" w:hAnsi="Times New Roman"/>
          <w:b/>
          <w:sz w:val="24"/>
          <w:szCs w:val="24"/>
        </w:rPr>
        <w:t xml:space="preserve">ar TUA saistīto nekustamā īpašuma iegādes darījumu skaits sadalījumā pēc tā vērtības, </w:t>
      </w:r>
      <w:proofErr w:type="spellStart"/>
      <w:r w:rsidRPr="002B4D22">
        <w:rPr>
          <w:rFonts w:ascii="Times New Roman" w:hAnsi="Times New Roman"/>
          <w:b/>
          <w:i/>
          <w:sz w:val="24"/>
          <w:szCs w:val="24"/>
        </w:rPr>
        <w:t>euro</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686"/>
      </w:tblGrid>
      <w:tr w:rsidR="00C83CA2" w:rsidRPr="002B4D22" w:rsidTr="00AF1BAE">
        <w:tc>
          <w:tcPr>
            <w:tcW w:w="4658" w:type="dxa"/>
          </w:tcPr>
          <w:p w:rsidR="00C83CA2" w:rsidRPr="002B4D22" w:rsidRDefault="00C83CA2" w:rsidP="00534DFC">
            <w:pPr>
              <w:spacing w:after="120" w:line="240" w:lineRule="auto"/>
              <w:jc w:val="center"/>
              <w:rPr>
                <w:rFonts w:ascii="Times New Roman" w:hAnsi="Times New Roman"/>
                <w:b/>
                <w:sz w:val="24"/>
                <w:szCs w:val="24"/>
              </w:rPr>
            </w:pPr>
          </w:p>
        </w:tc>
        <w:tc>
          <w:tcPr>
            <w:tcW w:w="4599" w:type="dxa"/>
          </w:tcPr>
          <w:p w:rsidR="00C83CA2" w:rsidRPr="002B4D22" w:rsidRDefault="00C83CA2" w:rsidP="00534DFC">
            <w:pPr>
              <w:spacing w:after="120" w:line="240" w:lineRule="auto"/>
              <w:jc w:val="center"/>
              <w:rPr>
                <w:rFonts w:ascii="Times New Roman" w:hAnsi="Times New Roman"/>
                <w:b/>
                <w:sz w:val="24"/>
                <w:szCs w:val="24"/>
              </w:rPr>
            </w:pPr>
          </w:p>
        </w:tc>
      </w:tr>
      <w:tr w:rsidR="00874066" w:rsidRPr="002B4D22" w:rsidTr="00AF1BAE">
        <w:tc>
          <w:tcPr>
            <w:tcW w:w="4658" w:type="dxa"/>
          </w:tcPr>
          <w:p w:rsidR="00874066" w:rsidRPr="002B4D22" w:rsidRDefault="00900627" w:rsidP="00534DFC">
            <w:pPr>
              <w:spacing w:after="120" w:line="240" w:lineRule="auto"/>
              <w:jc w:val="center"/>
              <w:rPr>
                <w:rFonts w:ascii="Times New Roman" w:hAnsi="Times New Roman"/>
                <w:b/>
                <w:sz w:val="24"/>
                <w:szCs w:val="24"/>
              </w:rPr>
            </w:pPr>
            <w:r>
              <w:rPr>
                <w:rFonts w:ascii="Times New Roman" w:hAnsi="Times New Roman"/>
                <w:b/>
                <w:sz w:val="24"/>
                <w:szCs w:val="24"/>
              </w:rPr>
              <w:t>01.</w:t>
            </w:r>
            <w:r w:rsidR="00874066" w:rsidRPr="002B4D22">
              <w:rPr>
                <w:rFonts w:ascii="Times New Roman" w:hAnsi="Times New Roman"/>
                <w:b/>
                <w:sz w:val="24"/>
                <w:szCs w:val="24"/>
              </w:rPr>
              <w:t>07.2010.-</w:t>
            </w:r>
            <w:r>
              <w:rPr>
                <w:rFonts w:ascii="Times New Roman" w:hAnsi="Times New Roman"/>
                <w:b/>
                <w:sz w:val="24"/>
                <w:szCs w:val="24"/>
              </w:rPr>
              <w:t>31.</w:t>
            </w:r>
            <w:r w:rsidR="00245E1C">
              <w:rPr>
                <w:rFonts w:ascii="Times New Roman" w:hAnsi="Times New Roman"/>
                <w:b/>
                <w:sz w:val="24"/>
                <w:szCs w:val="24"/>
              </w:rPr>
              <w:t>12</w:t>
            </w:r>
            <w:r w:rsidR="00874066" w:rsidRPr="002B4D22">
              <w:rPr>
                <w:rFonts w:ascii="Times New Roman" w:hAnsi="Times New Roman"/>
                <w:b/>
                <w:sz w:val="24"/>
                <w:szCs w:val="24"/>
              </w:rPr>
              <w:t>.</w:t>
            </w:r>
            <w:r w:rsidR="00245E1C">
              <w:rPr>
                <w:rFonts w:ascii="Times New Roman" w:hAnsi="Times New Roman"/>
                <w:b/>
                <w:sz w:val="24"/>
                <w:szCs w:val="24"/>
              </w:rPr>
              <w:t>2013.</w:t>
            </w:r>
          </w:p>
          <w:p w:rsidR="0079664F" w:rsidRPr="002B4D22" w:rsidRDefault="00245E1C" w:rsidP="00534DFC">
            <w:pPr>
              <w:spacing w:after="120" w:line="240" w:lineRule="auto"/>
              <w:jc w:val="center"/>
              <w:rPr>
                <w:rFonts w:ascii="Times New Roman" w:hAnsi="Times New Roman"/>
                <w:b/>
                <w:sz w:val="24"/>
                <w:szCs w:val="24"/>
              </w:rPr>
            </w:pPr>
            <w:r w:rsidRPr="002B4D22">
              <w:rPr>
                <w:rFonts w:ascii="Times New Roman" w:hAnsi="Times New Roman"/>
                <w:b/>
                <w:noProof/>
                <w:sz w:val="24"/>
                <w:szCs w:val="24"/>
                <w:lang w:eastAsia="lv-LV"/>
              </w:rPr>
              <w:drawing>
                <wp:inline distT="0" distB="0" distL="0" distR="0">
                  <wp:extent cx="2667000" cy="2581275"/>
                  <wp:effectExtent l="0" t="0" r="0" b="9525"/>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5E1C" w:rsidRDefault="0079664F" w:rsidP="00245E1C">
            <w:pPr>
              <w:spacing w:after="120" w:line="240" w:lineRule="auto"/>
              <w:rPr>
                <w:rFonts w:ascii="Times New Roman" w:hAnsi="Times New Roman"/>
                <w:i/>
                <w:sz w:val="22"/>
                <w:szCs w:val="22"/>
              </w:rPr>
            </w:pPr>
            <w:r w:rsidRPr="002B4D22">
              <w:rPr>
                <w:rFonts w:ascii="Times New Roman" w:hAnsi="Times New Roman"/>
                <w:i/>
                <w:sz w:val="22"/>
                <w:szCs w:val="22"/>
              </w:rPr>
              <w:t>Avots: PMLP</w:t>
            </w:r>
          </w:p>
          <w:p w:rsidR="00245E1C" w:rsidRDefault="00245E1C" w:rsidP="00245E1C">
            <w:pPr>
              <w:spacing w:after="120" w:line="240" w:lineRule="auto"/>
              <w:rPr>
                <w:rFonts w:ascii="Times New Roman" w:hAnsi="Times New Roman"/>
                <w:i/>
                <w:sz w:val="22"/>
                <w:szCs w:val="22"/>
              </w:rPr>
            </w:pPr>
          </w:p>
          <w:p w:rsidR="00245E1C" w:rsidRPr="00245E1C" w:rsidRDefault="00900627" w:rsidP="00245E1C">
            <w:pPr>
              <w:spacing w:after="120" w:line="240" w:lineRule="auto"/>
              <w:jc w:val="center"/>
              <w:rPr>
                <w:rFonts w:ascii="Times New Roman" w:hAnsi="Times New Roman"/>
                <w:b/>
                <w:sz w:val="24"/>
                <w:szCs w:val="22"/>
              </w:rPr>
            </w:pPr>
            <w:r>
              <w:rPr>
                <w:rFonts w:ascii="Times New Roman" w:hAnsi="Times New Roman"/>
                <w:b/>
                <w:sz w:val="24"/>
                <w:szCs w:val="22"/>
              </w:rPr>
              <w:t>01.</w:t>
            </w:r>
            <w:r w:rsidR="00245E1C" w:rsidRPr="00245E1C">
              <w:rPr>
                <w:rFonts w:ascii="Times New Roman" w:hAnsi="Times New Roman"/>
                <w:b/>
                <w:sz w:val="24"/>
                <w:szCs w:val="22"/>
              </w:rPr>
              <w:t>01.2015.-</w:t>
            </w:r>
            <w:r>
              <w:rPr>
                <w:rFonts w:ascii="Times New Roman" w:hAnsi="Times New Roman"/>
                <w:b/>
                <w:sz w:val="24"/>
                <w:szCs w:val="22"/>
              </w:rPr>
              <w:t>30.</w:t>
            </w:r>
            <w:r w:rsidR="00245E1C" w:rsidRPr="00245E1C">
              <w:rPr>
                <w:rFonts w:ascii="Times New Roman" w:hAnsi="Times New Roman"/>
                <w:b/>
                <w:sz w:val="24"/>
                <w:szCs w:val="22"/>
              </w:rPr>
              <w:t>06.2015.</w:t>
            </w:r>
          </w:p>
          <w:p w:rsidR="00245E1C" w:rsidRDefault="00341B03" w:rsidP="00245E1C">
            <w:pPr>
              <w:spacing w:after="120" w:line="240" w:lineRule="auto"/>
              <w:rPr>
                <w:rFonts w:ascii="Times New Roman" w:hAnsi="Times New Roman"/>
                <w:b/>
                <w:sz w:val="22"/>
                <w:szCs w:val="22"/>
              </w:rPr>
            </w:pPr>
            <w:r w:rsidRPr="002B4D22">
              <w:rPr>
                <w:rFonts w:ascii="Times New Roman" w:hAnsi="Times New Roman"/>
                <w:b/>
                <w:noProof/>
                <w:sz w:val="24"/>
                <w:szCs w:val="24"/>
                <w:lang w:eastAsia="lv-LV"/>
              </w:rPr>
              <w:drawing>
                <wp:inline distT="0" distB="0" distL="0" distR="0">
                  <wp:extent cx="2867025" cy="2628900"/>
                  <wp:effectExtent l="0" t="0" r="9525"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5E1C" w:rsidRDefault="00245E1C" w:rsidP="00245E1C">
            <w:pPr>
              <w:spacing w:after="120" w:line="240" w:lineRule="auto"/>
              <w:rPr>
                <w:rFonts w:ascii="Times New Roman" w:hAnsi="Times New Roman"/>
                <w:i/>
                <w:sz w:val="22"/>
                <w:szCs w:val="22"/>
              </w:rPr>
            </w:pPr>
            <w:r w:rsidRPr="002B4D22">
              <w:rPr>
                <w:rFonts w:ascii="Times New Roman" w:hAnsi="Times New Roman"/>
                <w:i/>
                <w:sz w:val="22"/>
                <w:szCs w:val="22"/>
              </w:rPr>
              <w:t>Avots: PMLP</w:t>
            </w:r>
          </w:p>
          <w:p w:rsidR="00245E1C" w:rsidRPr="002B4D22" w:rsidRDefault="00245E1C" w:rsidP="00245E1C">
            <w:pPr>
              <w:spacing w:after="120" w:line="240" w:lineRule="auto"/>
              <w:rPr>
                <w:rFonts w:ascii="Times New Roman" w:hAnsi="Times New Roman"/>
                <w:b/>
                <w:sz w:val="22"/>
                <w:szCs w:val="22"/>
              </w:rPr>
            </w:pPr>
          </w:p>
        </w:tc>
        <w:tc>
          <w:tcPr>
            <w:tcW w:w="4599" w:type="dxa"/>
          </w:tcPr>
          <w:p w:rsidR="00245E1C" w:rsidRPr="00245E1C" w:rsidRDefault="00900627" w:rsidP="00245E1C">
            <w:pPr>
              <w:spacing w:after="120" w:line="240" w:lineRule="auto"/>
              <w:jc w:val="center"/>
              <w:rPr>
                <w:rFonts w:ascii="Times New Roman" w:hAnsi="Times New Roman"/>
                <w:b/>
                <w:sz w:val="22"/>
                <w:szCs w:val="22"/>
              </w:rPr>
            </w:pPr>
            <w:r>
              <w:rPr>
                <w:rFonts w:ascii="Times New Roman" w:hAnsi="Times New Roman"/>
                <w:b/>
                <w:sz w:val="22"/>
                <w:szCs w:val="22"/>
              </w:rPr>
              <w:lastRenderedPageBreak/>
              <w:t>01.</w:t>
            </w:r>
            <w:r w:rsidR="00245E1C" w:rsidRPr="00245E1C">
              <w:rPr>
                <w:rFonts w:ascii="Times New Roman" w:hAnsi="Times New Roman"/>
                <w:b/>
                <w:sz w:val="22"/>
                <w:szCs w:val="22"/>
              </w:rPr>
              <w:t>01.2014.-</w:t>
            </w:r>
            <w:r>
              <w:rPr>
                <w:rFonts w:ascii="Times New Roman" w:hAnsi="Times New Roman"/>
                <w:b/>
                <w:sz w:val="22"/>
                <w:szCs w:val="22"/>
              </w:rPr>
              <w:t>31.</w:t>
            </w:r>
            <w:r w:rsidR="00245E1C" w:rsidRPr="00245E1C">
              <w:rPr>
                <w:rFonts w:ascii="Times New Roman" w:hAnsi="Times New Roman"/>
                <w:b/>
                <w:sz w:val="22"/>
                <w:szCs w:val="22"/>
              </w:rPr>
              <w:t>12.2014.</w:t>
            </w:r>
          </w:p>
          <w:p w:rsidR="00245E1C" w:rsidRDefault="00341B03" w:rsidP="00534DFC">
            <w:pPr>
              <w:spacing w:after="120" w:line="240" w:lineRule="auto"/>
              <w:rPr>
                <w:rFonts w:ascii="Times New Roman" w:hAnsi="Times New Roman"/>
                <w:i/>
                <w:sz w:val="22"/>
                <w:szCs w:val="22"/>
              </w:rPr>
            </w:pPr>
            <w:r w:rsidRPr="002B4D22">
              <w:rPr>
                <w:rFonts w:ascii="Times New Roman" w:hAnsi="Times New Roman"/>
                <w:b/>
                <w:noProof/>
                <w:sz w:val="24"/>
                <w:szCs w:val="24"/>
                <w:lang w:eastAsia="lv-LV"/>
              </w:rPr>
              <w:drawing>
                <wp:inline distT="0" distB="0" distL="0" distR="0">
                  <wp:extent cx="2676525" cy="2600325"/>
                  <wp:effectExtent l="0" t="0" r="9525" b="9525"/>
                  <wp:docPr id="4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5E1C" w:rsidRDefault="00245E1C" w:rsidP="00245E1C">
            <w:pPr>
              <w:spacing w:after="120" w:line="240" w:lineRule="auto"/>
              <w:rPr>
                <w:rFonts w:ascii="Times New Roman" w:hAnsi="Times New Roman"/>
                <w:i/>
                <w:sz w:val="22"/>
                <w:szCs w:val="22"/>
              </w:rPr>
            </w:pPr>
            <w:r w:rsidRPr="002B4D22">
              <w:rPr>
                <w:rFonts w:ascii="Times New Roman" w:hAnsi="Times New Roman"/>
                <w:i/>
                <w:sz w:val="22"/>
                <w:szCs w:val="22"/>
              </w:rPr>
              <w:t>Avots: PMLP</w:t>
            </w:r>
          </w:p>
          <w:p w:rsidR="00245E1C" w:rsidRPr="002B4D22" w:rsidRDefault="00245E1C" w:rsidP="00900627">
            <w:pPr>
              <w:spacing w:before="240" w:after="0" w:line="240" w:lineRule="auto"/>
              <w:rPr>
                <w:rFonts w:ascii="Times New Roman" w:hAnsi="Times New Roman"/>
                <w:b/>
                <w:sz w:val="24"/>
                <w:szCs w:val="24"/>
              </w:rPr>
            </w:pPr>
            <w:r w:rsidRPr="002B4D22">
              <w:rPr>
                <w:rFonts w:ascii="Times New Roman" w:hAnsi="Times New Roman"/>
                <w:b/>
                <w:sz w:val="24"/>
                <w:szCs w:val="24"/>
              </w:rPr>
              <w:t xml:space="preserve">sadalījums pēc valstiskās piederības </w:t>
            </w:r>
          </w:p>
          <w:p w:rsidR="00245E1C" w:rsidRPr="002B4D22" w:rsidRDefault="00245E1C" w:rsidP="00245E1C">
            <w:pPr>
              <w:spacing w:after="120" w:line="240" w:lineRule="auto"/>
              <w:jc w:val="center"/>
              <w:rPr>
                <w:rFonts w:ascii="Times New Roman" w:hAnsi="Times New Roman"/>
                <w:b/>
                <w:sz w:val="24"/>
                <w:szCs w:val="24"/>
              </w:rPr>
            </w:pPr>
            <w:r w:rsidRPr="002B4D22">
              <w:rPr>
                <w:rFonts w:ascii="Times New Roman" w:hAnsi="Times New Roman"/>
                <w:b/>
                <w:sz w:val="24"/>
                <w:szCs w:val="24"/>
              </w:rPr>
              <w:t>(</w:t>
            </w:r>
            <w:r w:rsidR="00900627">
              <w:rPr>
                <w:rFonts w:ascii="Times New Roman" w:hAnsi="Times New Roman"/>
                <w:b/>
                <w:sz w:val="24"/>
                <w:szCs w:val="24"/>
              </w:rPr>
              <w:t>01.</w:t>
            </w:r>
            <w:r w:rsidRPr="002B4D22">
              <w:rPr>
                <w:rFonts w:ascii="Times New Roman" w:hAnsi="Times New Roman"/>
                <w:b/>
                <w:sz w:val="24"/>
                <w:szCs w:val="24"/>
              </w:rPr>
              <w:t>07.2010.-</w:t>
            </w:r>
            <w:r w:rsidR="00900627">
              <w:rPr>
                <w:rFonts w:ascii="Times New Roman" w:hAnsi="Times New Roman"/>
                <w:b/>
                <w:sz w:val="24"/>
                <w:szCs w:val="24"/>
              </w:rPr>
              <w:t>30.</w:t>
            </w:r>
            <w:r w:rsidRPr="002B4D22">
              <w:rPr>
                <w:rFonts w:ascii="Times New Roman" w:hAnsi="Times New Roman"/>
                <w:b/>
                <w:sz w:val="24"/>
                <w:szCs w:val="24"/>
              </w:rPr>
              <w:t>06.2015.)</w:t>
            </w:r>
            <w:r w:rsidRPr="002B4D22">
              <w:rPr>
                <w:rFonts w:ascii="Times New Roman" w:hAnsi="Times New Roman"/>
                <w:noProof/>
                <w:lang w:eastAsia="lv-LV"/>
              </w:rPr>
              <w:drawing>
                <wp:inline distT="0" distB="0" distL="0" distR="0">
                  <wp:extent cx="2828925" cy="2695575"/>
                  <wp:effectExtent l="0" t="0" r="9525" b="9525"/>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5E1C" w:rsidRDefault="00245E1C" w:rsidP="00245E1C">
            <w:pPr>
              <w:spacing w:after="120" w:line="240" w:lineRule="auto"/>
              <w:rPr>
                <w:rFonts w:ascii="Times New Roman" w:hAnsi="Times New Roman"/>
                <w:i/>
                <w:sz w:val="22"/>
                <w:szCs w:val="22"/>
              </w:rPr>
            </w:pPr>
            <w:r w:rsidRPr="002B4D22">
              <w:rPr>
                <w:rFonts w:ascii="Times New Roman" w:hAnsi="Times New Roman"/>
                <w:i/>
                <w:sz w:val="22"/>
                <w:szCs w:val="22"/>
              </w:rPr>
              <w:t>Avots: PMLP</w:t>
            </w:r>
          </w:p>
          <w:p w:rsidR="0079664F" w:rsidRPr="00245E1C" w:rsidRDefault="0079664F" w:rsidP="00245E1C">
            <w:pPr>
              <w:ind w:firstLine="720"/>
              <w:rPr>
                <w:rFonts w:ascii="Times New Roman" w:hAnsi="Times New Roman"/>
                <w:sz w:val="24"/>
                <w:szCs w:val="24"/>
              </w:rPr>
            </w:pPr>
          </w:p>
        </w:tc>
      </w:tr>
    </w:tbl>
    <w:p w:rsidR="00AF1BAE" w:rsidRDefault="00AF1BAE" w:rsidP="00955DA8">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TUA iesniedzēju – nekustamā īpašuma pircēju – ar TUA saistīto nekustamā īpašuma iegādes darījumu skaits sadalījumā pēc tā vērtības parāda, ka laika posmā no 2010.gada jūlija līdz 2013.gada decembrim lielākā daļa darījumu (74%) notika robežās no 125 tūkst. </w:t>
      </w:r>
      <w:proofErr w:type="spellStart"/>
      <w:r w:rsidRPr="00A74145">
        <w:rPr>
          <w:rFonts w:ascii="Times New Roman" w:hAnsi="Times New Roman"/>
          <w:i/>
          <w:sz w:val="26"/>
          <w:szCs w:val="26"/>
        </w:rPr>
        <w:t>euro</w:t>
      </w:r>
      <w:proofErr w:type="spellEnd"/>
      <w:r>
        <w:rPr>
          <w:rFonts w:ascii="Times New Roman" w:hAnsi="Times New Roman"/>
          <w:sz w:val="26"/>
          <w:szCs w:val="26"/>
        </w:rPr>
        <w:t xml:space="preserve"> līdz 250 tūkst. </w:t>
      </w:r>
      <w:proofErr w:type="spellStart"/>
      <w:r w:rsidRPr="00A74145">
        <w:rPr>
          <w:rFonts w:ascii="Times New Roman" w:hAnsi="Times New Roman"/>
          <w:i/>
          <w:sz w:val="26"/>
          <w:szCs w:val="26"/>
        </w:rPr>
        <w:t>euro</w:t>
      </w:r>
      <w:proofErr w:type="spellEnd"/>
      <w:r>
        <w:rPr>
          <w:rFonts w:ascii="Times New Roman" w:hAnsi="Times New Roman"/>
          <w:sz w:val="26"/>
          <w:szCs w:val="26"/>
        </w:rPr>
        <w:t xml:space="preserve">, bet darījumu virs 250 tūkst. </w:t>
      </w:r>
      <w:proofErr w:type="spellStart"/>
      <w:r w:rsidRPr="00341B03">
        <w:rPr>
          <w:rFonts w:ascii="Times New Roman" w:hAnsi="Times New Roman"/>
          <w:i/>
          <w:sz w:val="26"/>
          <w:szCs w:val="26"/>
        </w:rPr>
        <w:t>euro</w:t>
      </w:r>
      <w:proofErr w:type="spellEnd"/>
      <w:r>
        <w:rPr>
          <w:rFonts w:ascii="Times New Roman" w:hAnsi="Times New Roman"/>
          <w:i/>
          <w:sz w:val="26"/>
          <w:szCs w:val="26"/>
        </w:rPr>
        <w:t xml:space="preserve"> </w:t>
      </w:r>
      <w:r w:rsidRPr="00AF1BAE">
        <w:rPr>
          <w:rFonts w:ascii="Times New Roman" w:hAnsi="Times New Roman"/>
          <w:sz w:val="26"/>
          <w:szCs w:val="26"/>
        </w:rPr>
        <w:t>īpatsvars</w:t>
      </w:r>
      <w:r>
        <w:rPr>
          <w:rFonts w:ascii="Times New Roman" w:hAnsi="Times New Roman"/>
          <w:i/>
          <w:sz w:val="26"/>
          <w:szCs w:val="26"/>
        </w:rPr>
        <w:t xml:space="preserve"> </w:t>
      </w:r>
      <w:r>
        <w:rPr>
          <w:rFonts w:ascii="Times New Roman" w:hAnsi="Times New Roman"/>
          <w:sz w:val="26"/>
          <w:szCs w:val="26"/>
        </w:rPr>
        <w:t xml:space="preserve">bija 16%. 2014.gadā darījumu īpatsvars par nekustamā īpašuma iegādes summu robežās no 150 tūkst. </w:t>
      </w:r>
      <w:proofErr w:type="spellStart"/>
      <w:r w:rsidRPr="00AF1BAE">
        <w:rPr>
          <w:rFonts w:ascii="Times New Roman" w:hAnsi="Times New Roman"/>
          <w:i/>
          <w:sz w:val="26"/>
          <w:szCs w:val="26"/>
        </w:rPr>
        <w:t>euro</w:t>
      </w:r>
      <w:proofErr w:type="spellEnd"/>
      <w:r>
        <w:rPr>
          <w:rFonts w:ascii="Times New Roman" w:hAnsi="Times New Roman"/>
          <w:sz w:val="26"/>
          <w:szCs w:val="26"/>
        </w:rPr>
        <w:t xml:space="preserve"> līdz 250 tūkst. </w:t>
      </w:r>
      <w:proofErr w:type="spellStart"/>
      <w:r w:rsidRPr="00AF1BAE">
        <w:rPr>
          <w:rFonts w:ascii="Times New Roman" w:hAnsi="Times New Roman"/>
          <w:i/>
          <w:sz w:val="26"/>
          <w:szCs w:val="26"/>
        </w:rPr>
        <w:t>euro</w:t>
      </w:r>
      <w:proofErr w:type="spellEnd"/>
      <w:r>
        <w:rPr>
          <w:rFonts w:ascii="Times New Roman" w:hAnsi="Times New Roman"/>
          <w:sz w:val="26"/>
          <w:szCs w:val="26"/>
        </w:rPr>
        <w:t xml:space="preserve"> samazinājās līdz 71%, vienlaicīgi pieaugot darījumu īpatsvaram virs 250 tūkst. </w:t>
      </w:r>
      <w:proofErr w:type="spellStart"/>
      <w:r w:rsidRPr="00AF1BAE">
        <w:rPr>
          <w:rFonts w:ascii="Times New Roman" w:hAnsi="Times New Roman"/>
          <w:i/>
          <w:sz w:val="26"/>
          <w:szCs w:val="26"/>
        </w:rPr>
        <w:t>euro</w:t>
      </w:r>
      <w:proofErr w:type="spellEnd"/>
      <w:r>
        <w:rPr>
          <w:rFonts w:ascii="Times New Roman" w:hAnsi="Times New Roman"/>
          <w:sz w:val="26"/>
          <w:szCs w:val="26"/>
        </w:rPr>
        <w:t xml:space="preserve"> līdz 20%. 2015.gada 1.pusgadā darījumu īpatsvars virs 250 tūkst. </w:t>
      </w:r>
      <w:proofErr w:type="spellStart"/>
      <w:r w:rsidRPr="00AF1BAE">
        <w:rPr>
          <w:rFonts w:ascii="Times New Roman" w:hAnsi="Times New Roman"/>
          <w:i/>
          <w:sz w:val="26"/>
          <w:szCs w:val="26"/>
        </w:rPr>
        <w:t>euro</w:t>
      </w:r>
      <w:proofErr w:type="spellEnd"/>
      <w:r>
        <w:rPr>
          <w:rFonts w:ascii="Times New Roman" w:hAnsi="Times New Roman"/>
          <w:sz w:val="26"/>
          <w:szCs w:val="26"/>
        </w:rPr>
        <w:t xml:space="preserve"> ir 50%. Šis pieaugums ir saistīts ar grozījumiem Imigrācijas likumā, kas stājās spēkā 2014.gada 1.septembrī un noteica, ka TUA par nekustamā īpašuma iegādi var saņemt, ja ir iegādāts viens nekustamais īpašums par pirkuma summu, kas nav mazāka par 250 tūkst. </w:t>
      </w:r>
      <w:proofErr w:type="spellStart"/>
      <w:r w:rsidRPr="00AF1BAE">
        <w:rPr>
          <w:rFonts w:ascii="Times New Roman" w:hAnsi="Times New Roman"/>
          <w:i/>
          <w:sz w:val="26"/>
          <w:szCs w:val="26"/>
        </w:rPr>
        <w:t>euro</w:t>
      </w:r>
      <w:proofErr w:type="spellEnd"/>
      <w:r>
        <w:rPr>
          <w:rFonts w:ascii="Times New Roman" w:hAnsi="Times New Roman"/>
          <w:sz w:val="26"/>
          <w:szCs w:val="26"/>
        </w:rPr>
        <w:t xml:space="preserve">. Tajā pašā laikā, to darījumu, kuru iegādes summas ir zem 250 tūkst. </w:t>
      </w:r>
      <w:proofErr w:type="spellStart"/>
      <w:r w:rsidRPr="00AF1BAE">
        <w:rPr>
          <w:rFonts w:ascii="Times New Roman" w:hAnsi="Times New Roman"/>
          <w:i/>
          <w:sz w:val="26"/>
          <w:szCs w:val="26"/>
        </w:rPr>
        <w:t>euro</w:t>
      </w:r>
      <w:proofErr w:type="spellEnd"/>
      <w:r>
        <w:rPr>
          <w:rFonts w:ascii="Times New Roman" w:hAnsi="Times New Roman"/>
          <w:sz w:val="26"/>
          <w:szCs w:val="26"/>
        </w:rPr>
        <w:t xml:space="preserve">, īpatsvars 2015.gada 1.pusgadā ir 50%. Tas ir izskaidrojams ar to, ka šie 2015.gadā TUA saņemšanai uzrādītie darījumi par nekustamā īpašuma iegādi ir notikuši pirms 2014.gada 1.septembra un uz tiem nevar attiecināt jaunos grozījumus. </w:t>
      </w:r>
    </w:p>
    <w:p w:rsidR="009B10A4" w:rsidRPr="002B4D22" w:rsidRDefault="009B10A4" w:rsidP="00955DA8">
      <w:pPr>
        <w:spacing w:after="0" w:line="240" w:lineRule="auto"/>
        <w:ind w:firstLine="426"/>
        <w:jc w:val="both"/>
        <w:rPr>
          <w:rFonts w:ascii="Times New Roman" w:hAnsi="Times New Roman"/>
          <w:sz w:val="26"/>
          <w:szCs w:val="26"/>
        </w:rPr>
      </w:pPr>
      <w:r w:rsidRPr="002B4D22">
        <w:rPr>
          <w:rFonts w:ascii="Times New Roman" w:hAnsi="Times New Roman"/>
          <w:sz w:val="26"/>
          <w:szCs w:val="26"/>
        </w:rPr>
        <w:t>Ārvalstnieki dod priekšroku investīcijām nekustamajā īpašumā vairāku iemeslu dēļ:</w:t>
      </w:r>
    </w:p>
    <w:p w:rsidR="009B10A4" w:rsidRPr="002B4D22" w:rsidRDefault="009B10A4" w:rsidP="001A30DC">
      <w:pPr>
        <w:pStyle w:val="ListParagraph"/>
        <w:numPr>
          <w:ilvl w:val="0"/>
          <w:numId w:val="1"/>
        </w:numPr>
        <w:spacing w:after="0" w:line="240" w:lineRule="auto"/>
        <w:ind w:left="851" w:hanging="284"/>
        <w:jc w:val="both"/>
        <w:rPr>
          <w:rFonts w:ascii="Times New Roman" w:hAnsi="Times New Roman"/>
          <w:sz w:val="26"/>
          <w:szCs w:val="26"/>
        </w:rPr>
      </w:pPr>
      <w:r w:rsidRPr="002B4D22">
        <w:rPr>
          <w:rFonts w:ascii="Times New Roman" w:hAnsi="Times New Roman"/>
          <w:sz w:val="26"/>
          <w:szCs w:val="26"/>
        </w:rPr>
        <w:t>investīcijas nekustamajā īpašumā tiek uzskatītas par vienu no drošākajiem investīciju veidiem;</w:t>
      </w:r>
    </w:p>
    <w:p w:rsidR="009B10A4" w:rsidRPr="002B4D22" w:rsidRDefault="009B10A4" w:rsidP="001A30DC">
      <w:pPr>
        <w:pStyle w:val="ListParagraph"/>
        <w:numPr>
          <w:ilvl w:val="0"/>
          <w:numId w:val="1"/>
        </w:numPr>
        <w:spacing w:after="0" w:line="240" w:lineRule="auto"/>
        <w:ind w:left="851" w:hanging="284"/>
        <w:jc w:val="both"/>
        <w:rPr>
          <w:rFonts w:ascii="Times New Roman" w:hAnsi="Times New Roman"/>
          <w:sz w:val="26"/>
          <w:szCs w:val="26"/>
        </w:rPr>
      </w:pPr>
      <w:r w:rsidRPr="002B4D22">
        <w:rPr>
          <w:rFonts w:ascii="Times New Roman" w:hAnsi="Times New Roman"/>
          <w:sz w:val="26"/>
          <w:szCs w:val="26"/>
        </w:rPr>
        <w:t xml:space="preserve">iespēja diferencēt savu aktīvu saglabāšanu; </w:t>
      </w:r>
    </w:p>
    <w:p w:rsidR="009B10A4" w:rsidRPr="002B4D22" w:rsidRDefault="009B10A4" w:rsidP="001A30DC">
      <w:pPr>
        <w:pStyle w:val="ListParagraph"/>
        <w:numPr>
          <w:ilvl w:val="0"/>
          <w:numId w:val="1"/>
        </w:numPr>
        <w:spacing w:after="0" w:line="240" w:lineRule="auto"/>
        <w:ind w:left="851" w:hanging="284"/>
        <w:jc w:val="both"/>
        <w:rPr>
          <w:rFonts w:ascii="Times New Roman" w:hAnsi="Times New Roman"/>
          <w:sz w:val="26"/>
          <w:szCs w:val="26"/>
        </w:rPr>
      </w:pPr>
      <w:r w:rsidRPr="002B4D22">
        <w:rPr>
          <w:rFonts w:ascii="Times New Roman" w:hAnsi="Times New Roman"/>
          <w:sz w:val="26"/>
          <w:szCs w:val="26"/>
        </w:rPr>
        <w:t>TUA saņemšanas un reģistrācijas process ir vienkāršāks nekā, piemēram, veicot investīcijas kapitālsabiedrības pamatkapitālā, jo nav nepieciešams nodrošināt uzņēmuma sekmīgu darbību; vienīgais priekšnosacījums TUA saglabāšanai ir savlaicīga nekustamā īpašuma nodokļa samaksa.</w:t>
      </w:r>
    </w:p>
    <w:p w:rsidR="009B10A4" w:rsidRPr="002B4D22" w:rsidRDefault="009B10A4" w:rsidP="00955DA8">
      <w:pPr>
        <w:spacing w:after="0" w:line="240" w:lineRule="auto"/>
        <w:ind w:firstLine="567"/>
        <w:jc w:val="both"/>
        <w:rPr>
          <w:rFonts w:ascii="Times New Roman" w:hAnsi="Times New Roman"/>
          <w:sz w:val="26"/>
          <w:szCs w:val="26"/>
        </w:rPr>
      </w:pPr>
      <w:r w:rsidRPr="002B4D22">
        <w:rPr>
          <w:rFonts w:ascii="Times New Roman" w:hAnsi="Times New Roman"/>
          <w:sz w:val="26"/>
          <w:szCs w:val="26"/>
        </w:rPr>
        <w:t>Jāatzīmē, ka aizvien vairāk valstu piedāvā iespēju piešķirt TUA trešo valstu pilsoņiem, kas iegādājas nekustamo īpašumu</w:t>
      </w:r>
      <w:r w:rsidR="003769C2" w:rsidRPr="002B4D22">
        <w:rPr>
          <w:rFonts w:ascii="Times New Roman" w:hAnsi="Times New Roman"/>
          <w:sz w:val="26"/>
          <w:szCs w:val="26"/>
        </w:rPr>
        <w:t xml:space="preserve"> (piemēram, Grieķija, Portugāle</w:t>
      </w:r>
      <w:r w:rsidR="003769C2" w:rsidRPr="002B4D22">
        <w:rPr>
          <w:rStyle w:val="FootnoteReference"/>
          <w:rFonts w:ascii="Times New Roman" w:hAnsi="Times New Roman"/>
          <w:sz w:val="26"/>
          <w:szCs w:val="26"/>
        </w:rPr>
        <w:footnoteReference w:id="4"/>
      </w:r>
      <w:r w:rsidR="003769C2" w:rsidRPr="002B4D22">
        <w:rPr>
          <w:rFonts w:ascii="Times New Roman" w:hAnsi="Times New Roman"/>
          <w:sz w:val="26"/>
          <w:szCs w:val="26"/>
        </w:rPr>
        <w:t>)</w:t>
      </w:r>
      <w:r w:rsidR="005A6EA9" w:rsidRPr="002B4D22">
        <w:rPr>
          <w:rFonts w:ascii="Times New Roman" w:hAnsi="Times New Roman"/>
          <w:sz w:val="26"/>
          <w:szCs w:val="26"/>
        </w:rPr>
        <w:t>.</w:t>
      </w:r>
    </w:p>
    <w:p w:rsidR="009E35F2" w:rsidRPr="002B4D22" w:rsidRDefault="009B10A4" w:rsidP="00955DA8">
      <w:pPr>
        <w:spacing w:after="0" w:line="240" w:lineRule="auto"/>
        <w:ind w:firstLine="567"/>
        <w:jc w:val="both"/>
        <w:rPr>
          <w:rFonts w:ascii="Times New Roman" w:hAnsi="Times New Roman"/>
          <w:sz w:val="26"/>
          <w:szCs w:val="26"/>
        </w:rPr>
      </w:pPr>
      <w:r w:rsidRPr="002B4D22">
        <w:rPr>
          <w:rFonts w:ascii="Times New Roman" w:hAnsi="Times New Roman"/>
          <w:sz w:val="26"/>
          <w:szCs w:val="26"/>
        </w:rPr>
        <w:t>Kā liecina nekustamā īpašuma tirgus dati</w:t>
      </w:r>
      <w:r w:rsidR="000C6DF8" w:rsidRPr="002B4D22">
        <w:rPr>
          <w:rStyle w:val="FootnoteReference"/>
          <w:rFonts w:ascii="Times New Roman" w:hAnsi="Times New Roman"/>
          <w:sz w:val="26"/>
          <w:szCs w:val="26"/>
        </w:rPr>
        <w:footnoteReference w:id="5"/>
      </w:r>
      <w:r w:rsidRPr="002B4D22">
        <w:rPr>
          <w:rFonts w:ascii="Times New Roman" w:hAnsi="Times New Roman"/>
          <w:sz w:val="26"/>
          <w:szCs w:val="26"/>
        </w:rPr>
        <w:t xml:space="preserve">, tad attiecīgās Imigrācijas likuma normas </w:t>
      </w:r>
      <w:r w:rsidR="00BE68AA" w:rsidRPr="002B4D22">
        <w:rPr>
          <w:rFonts w:ascii="Times New Roman" w:hAnsi="Times New Roman"/>
          <w:sz w:val="26"/>
          <w:szCs w:val="26"/>
        </w:rPr>
        <w:t>daļēji aktivizēja tirgu un bija par iemeslu tam, ka nekustamo īpašumu darījumu skaitam bija tendence pieaugt</w:t>
      </w:r>
      <w:r w:rsidR="00641A38">
        <w:rPr>
          <w:rFonts w:ascii="Times New Roman" w:hAnsi="Times New Roman"/>
          <w:sz w:val="26"/>
          <w:szCs w:val="26"/>
        </w:rPr>
        <w:t>,</w:t>
      </w:r>
      <w:r w:rsidR="00BE68AA" w:rsidRPr="002B4D22">
        <w:rPr>
          <w:rFonts w:ascii="Times New Roman" w:hAnsi="Times New Roman"/>
          <w:sz w:val="26"/>
          <w:szCs w:val="26"/>
        </w:rPr>
        <w:t xml:space="preserve"> sākot no 201</w:t>
      </w:r>
      <w:r w:rsidR="00B30A7B" w:rsidRPr="002B4D22">
        <w:rPr>
          <w:rFonts w:ascii="Times New Roman" w:hAnsi="Times New Roman"/>
          <w:sz w:val="26"/>
          <w:szCs w:val="26"/>
        </w:rPr>
        <w:t>1</w:t>
      </w:r>
      <w:r w:rsidR="00BE68AA" w:rsidRPr="002B4D22">
        <w:rPr>
          <w:rFonts w:ascii="Times New Roman" w:hAnsi="Times New Roman"/>
          <w:sz w:val="26"/>
          <w:szCs w:val="26"/>
        </w:rPr>
        <w:t xml:space="preserve">.gada līdz pat 2014.gada </w:t>
      </w:r>
      <w:r w:rsidR="00B30A7B" w:rsidRPr="002B4D22">
        <w:rPr>
          <w:rFonts w:ascii="Times New Roman" w:hAnsi="Times New Roman"/>
          <w:sz w:val="26"/>
          <w:szCs w:val="26"/>
        </w:rPr>
        <w:t>1.septembrim</w:t>
      </w:r>
      <w:r w:rsidRPr="002B4D22">
        <w:rPr>
          <w:rFonts w:ascii="Times New Roman" w:hAnsi="Times New Roman"/>
          <w:sz w:val="26"/>
          <w:szCs w:val="26"/>
        </w:rPr>
        <w:t xml:space="preserve">. Kopš 2011.gada </w:t>
      </w:r>
      <w:r w:rsidR="00B30A7B" w:rsidRPr="002B4D22">
        <w:rPr>
          <w:rFonts w:ascii="Times New Roman" w:hAnsi="Times New Roman"/>
          <w:sz w:val="26"/>
          <w:szCs w:val="26"/>
        </w:rPr>
        <w:t>pieauga</w:t>
      </w:r>
      <w:r w:rsidRPr="002B4D22">
        <w:rPr>
          <w:rFonts w:ascii="Times New Roman" w:hAnsi="Times New Roman"/>
          <w:sz w:val="26"/>
          <w:szCs w:val="26"/>
        </w:rPr>
        <w:t xml:space="preserve"> gan ārvalstnieku veikto darījumu skaits, gan v</w:t>
      </w:r>
      <w:r w:rsidR="004D499B" w:rsidRPr="002B4D22">
        <w:rPr>
          <w:rFonts w:ascii="Times New Roman" w:hAnsi="Times New Roman"/>
          <w:sz w:val="26"/>
          <w:szCs w:val="26"/>
        </w:rPr>
        <w:t>eikto darījumu kopējā vērtība.</w:t>
      </w:r>
    </w:p>
    <w:p w:rsidR="00955DA8" w:rsidRDefault="00955DA8" w:rsidP="00955DA8">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097C34" w:rsidRDefault="00097C34" w:rsidP="00097C34">
      <w:pPr>
        <w:spacing w:after="120" w:line="240" w:lineRule="auto"/>
        <w:ind w:firstLine="425"/>
        <w:jc w:val="right"/>
        <w:rPr>
          <w:rFonts w:ascii="Times New Roman" w:hAnsi="Times New Roman"/>
          <w:sz w:val="26"/>
          <w:szCs w:val="26"/>
        </w:rPr>
      </w:pPr>
    </w:p>
    <w:p w:rsidR="009E35F2" w:rsidRPr="002B4D22" w:rsidRDefault="007833C9" w:rsidP="00097C34">
      <w:pPr>
        <w:spacing w:after="120" w:line="240" w:lineRule="auto"/>
        <w:ind w:firstLine="425"/>
        <w:jc w:val="right"/>
        <w:rPr>
          <w:rFonts w:ascii="Times New Roman" w:hAnsi="Times New Roman"/>
          <w:sz w:val="26"/>
          <w:szCs w:val="26"/>
        </w:rPr>
      </w:pPr>
      <w:r>
        <w:rPr>
          <w:rFonts w:ascii="Times New Roman" w:hAnsi="Times New Roman"/>
          <w:sz w:val="26"/>
          <w:szCs w:val="26"/>
        </w:rPr>
        <w:t>9</w:t>
      </w:r>
      <w:r w:rsidR="006D57C1" w:rsidRPr="002B4D22">
        <w:rPr>
          <w:rFonts w:ascii="Times New Roman" w:hAnsi="Times New Roman"/>
          <w:sz w:val="26"/>
          <w:szCs w:val="26"/>
        </w:rPr>
        <w:t>.attēls</w:t>
      </w:r>
    </w:p>
    <w:p w:rsidR="009E35F2" w:rsidRPr="002B4D22" w:rsidRDefault="009E35F2" w:rsidP="00097C34">
      <w:pPr>
        <w:spacing w:after="120" w:line="240" w:lineRule="auto"/>
        <w:ind w:firstLine="425"/>
        <w:jc w:val="center"/>
        <w:rPr>
          <w:rFonts w:ascii="Times New Roman" w:hAnsi="Times New Roman"/>
          <w:b/>
          <w:sz w:val="24"/>
          <w:szCs w:val="24"/>
        </w:rPr>
      </w:pPr>
      <w:r w:rsidRPr="002B4D22">
        <w:rPr>
          <w:rFonts w:ascii="Times New Roman" w:hAnsi="Times New Roman"/>
          <w:b/>
          <w:bCs/>
          <w:sz w:val="24"/>
          <w:szCs w:val="24"/>
        </w:rPr>
        <w:t>TUA saņēmušo ārvalstnieku darījumi pret visiem zemesgrāmatā reģistrētajiem pirkuma līgumiem</w:t>
      </w:r>
      <w:r w:rsidRPr="002B4D22">
        <w:rPr>
          <w:rFonts w:ascii="Times New Roman" w:hAnsi="Times New Roman"/>
          <w:b/>
          <w:bCs/>
          <w:sz w:val="24"/>
          <w:szCs w:val="24"/>
        </w:rPr>
        <w:br/>
      </w:r>
      <w:r w:rsidRPr="002B4D22">
        <w:rPr>
          <w:rFonts w:ascii="Times New Roman" w:hAnsi="Times New Roman"/>
          <w:bCs/>
          <w:sz w:val="24"/>
          <w:szCs w:val="24"/>
        </w:rPr>
        <w:t>(kreisā ass – darījumu skaits tūkstošos; labā ass – darījumu summa milj. eiro)</w:t>
      </w:r>
      <w:r w:rsidRPr="002B4D22">
        <w:rPr>
          <w:rFonts w:ascii="Times New Roman" w:hAnsi="Times New Roman"/>
          <w:noProof/>
          <w:color w:val="000000"/>
          <w:sz w:val="21"/>
          <w:szCs w:val="21"/>
          <w:lang w:eastAsia="lv-LV"/>
        </w:rPr>
        <w:drawing>
          <wp:inline distT="0" distB="0" distL="0" distR="0">
            <wp:extent cx="5143500" cy="3248025"/>
            <wp:effectExtent l="0" t="0" r="0" b="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35F2" w:rsidRPr="002B4D22" w:rsidRDefault="009E35F2" w:rsidP="00097C34">
      <w:pPr>
        <w:spacing w:after="120" w:line="240" w:lineRule="auto"/>
        <w:ind w:left="142" w:right="202"/>
        <w:rPr>
          <w:rFonts w:ascii="Times New Roman" w:hAnsi="Times New Roman"/>
          <w:sz w:val="16"/>
          <w:szCs w:val="16"/>
        </w:rPr>
      </w:pPr>
      <w:r w:rsidRPr="002B4D22">
        <w:rPr>
          <w:rFonts w:ascii="Times New Roman" w:hAnsi="Times New Roman"/>
          <w:sz w:val="16"/>
          <w:szCs w:val="16"/>
        </w:rPr>
        <w:t>*līdz 30.06.2015, TUA investīciju summa līdz 11.08.2015</w:t>
      </w:r>
    </w:p>
    <w:p w:rsidR="002C617B" w:rsidRPr="002B4D22" w:rsidRDefault="009E35F2" w:rsidP="00097C34">
      <w:pPr>
        <w:spacing w:after="120" w:line="240" w:lineRule="auto"/>
        <w:rPr>
          <w:rFonts w:ascii="Times New Roman" w:hAnsi="Times New Roman"/>
          <w:sz w:val="26"/>
          <w:szCs w:val="26"/>
        </w:rPr>
      </w:pPr>
      <w:r w:rsidRPr="002B4D22">
        <w:rPr>
          <w:rFonts w:ascii="Times New Roman" w:hAnsi="Times New Roman"/>
          <w:i/>
        </w:rPr>
        <w:t>Avots: PMPL, VZD, Latio</w:t>
      </w:r>
    </w:p>
    <w:p w:rsidR="00B425F0" w:rsidRPr="002B4D22" w:rsidRDefault="0069397C" w:rsidP="00B310C1">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Kopš 2014.gada 1.septembra ārvalstnieku veikto darījumu skaits </w:t>
      </w:r>
      <w:r w:rsidR="00174F1D" w:rsidRPr="002B4D22">
        <w:rPr>
          <w:rFonts w:ascii="Times New Roman" w:hAnsi="Times New Roman"/>
          <w:sz w:val="26"/>
          <w:szCs w:val="26"/>
        </w:rPr>
        <w:t xml:space="preserve">ir samazinājies </w:t>
      </w:r>
      <w:r w:rsidRPr="002B4D22">
        <w:rPr>
          <w:rFonts w:ascii="Times New Roman" w:hAnsi="Times New Roman"/>
          <w:sz w:val="26"/>
          <w:szCs w:val="26"/>
        </w:rPr>
        <w:t xml:space="preserve">līdz 181 personai, kas saņēmusi TUA </w:t>
      </w:r>
      <w:r w:rsidR="00B425F0" w:rsidRPr="002B4D22">
        <w:rPr>
          <w:rFonts w:ascii="Times New Roman" w:hAnsi="Times New Roman"/>
          <w:sz w:val="26"/>
          <w:szCs w:val="26"/>
        </w:rPr>
        <w:t>par</w:t>
      </w:r>
      <w:r w:rsidRPr="002B4D22">
        <w:rPr>
          <w:rFonts w:ascii="Times New Roman" w:hAnsi="Times New Roman"/>
          <w:sz w:val="26"/>
          <w:szCs w:val="26"/>
        </w:rPr>
        <w:t xml:space="preserve"> ieguldījumu nekustamajā īpašumā. </w:t>
      </w:r>
      <w:r w:rsidR="006B26C1" w:rsidRPr="002B4D22">
        <w:rPr>
          <w:rFonts w:ascii="Times New Roman" w:hAnsi="Times New Roman"/>
          <w:sz w:val="26"/>
          <w:szCs w:val="26"/>
        </w:rPr>
        <w:t xml:space="preserve">Salīdzinot 2014.gada </w:t>
      </w:r>
      <w:r w:rsidR="00190374" w:rsidRPr="002B4D22">
        <w:rPr>
          <w:rFonts w:ascii="Times New Roman" w:hAnsi="Times New Roman"/>
          <w:sz w:val="26"/>
          <w:szCs w:val="26"/>
        </w:rPr>
        <w:t>1.</w:t>
      </w:r>
      <w:r w:rsidR="006B26C1" w:rsidRPr="002B4D22">
        <w:rPr>
          <w:rFonts w:ascii="Times New Roman" w:hAnsi="Times New Roman"/>
          <w:sz w:val="26"/>
          <w:szCs w:val="26"/>
        </w:rPr>
        <w:t xml:space="preserve">pusgadu un 2015.gada </w:t>
      </w:r>
      <w:r w:rsidR="00190374" w:rsidRPr="002B4D22">
        <w:rPr>
          <w:rFonts w:ascii="Times New Roman" w:hAnsi="Times New Roman"/>
          <w:sz w:val="26"/>
          <w:szCs w:val="26"/>
        </w:rPr>
        <w:t>1.</w:t>
      </w:r>
      <w:r w:rsidR="006B26C1" w:rsidRPr="002B4D22">
        <w:rPr>
          <w:rFonts w:ascii="Times New Roman" w:hAnsi="Times New Roman"/>
          <w:sz w:val="26"/>
          <w:szCs w:val="26"/>
        </w:rPr>
        <w:t>pusgadu</w:t>
      </w:r>
      <w:r w:rsidR="00B425F0" w:rsidRPr="002B4D22">
        <w:rPr>
          <w:rFonts w:ascii="Times New Roman" w:hAnsi="Times New Roman"/>
          <w:sz w:val="26"/>
          <w:szCs w:val="26"/>
        </w:rPr>
        <w:t>,</w:t>
      </w:r>
      <w:r w:rsidR="006B26C1" w:rsidRPr="002B4D22">
        <w:rPr>
          <w:rFonts w:ascii="Times New Roman" w:hAnsi="Times New Roman"/>
          <w:sz w:val="26"/>
          <w:szCs w:val="26"/>
        </w:rPr>
        <w:t xml:space="preserve"> </w:t>
      </w:r>
      <w:r w:rsidR="00626285" w:rsidRPr="002B4D22">
        <w:rPr>
          <w:rFonts w:ascii="Times New Roman" w:hAnsi="Times New Roman"/>
          <w:sz w:val="26"/>
          <w:szCs w:val="26"/>
        </w:rPr>
        <w:t xml:space="preserve">TUA investīciju summa </w:t>
      </w:r>
      <w:r w:rsidR="006B26C1" w:rsidRPr="002B4D22">
        <w:rPr>
          <w:rFonts w:ascii="Times New Roman" w:hAnsi="Times New Roman"/>
          <w:sz w:val="26"/>
          <w:szCs w:val="26"/>
        </w:rPr>
        <w:t>nekustamajos īpašumos ir samazinājusies no 178,09 milj.</w:t>
      </w:r>
      <w:r w:rsidR="00190374" w:rsidRPr="002B4D22">
        <w:rPr>
          <w:rFonts w:ascii="Times New Roman" w:hAnsi="Times New Roman"/>
          <w:sz w:val="26"/>
          <w:szCs w:val="26"/>
        </w:rPr>
        <w:t xml:space="preserve"> </w:t>
      </w:r>
      <w:proofErr w:type="spellStart"/>
      <w:r w:rsidR="00190374" w:rsidRPr="002B4D22">
        <w:rPr>
          <w:rFonts w:ascii="Times New Roman" w:hAnsi="Times New Roman"/>
          <w:i/>
          <w:sz w:val="26"/>
          <w:szCs w:val="26"/>
        </w:rPr>
        <w:t>euro</w:t>
      </w:r>
      <w:proofErr w:type="spellEnd"/>
      <w:r w:rsidR="006B26C1" w:rsidRPr="002B4D22">
        <w:rPr>
          <w:rFonts w:ascii="Times New Roman" w:hAnsi="Times New Roman"/>
          <w:sz w:val="26"/>
          <w:szCs w:val="26"/>
        </w:rPr>
        <w:t xml:space="preserve"> līdz 37,7 milj.</w:t>
      </w:r>
      <w:r w:rsidR="00190374" w:rsidRPr="002B4D22">
        <w:rPr>
          <w:rFonts w:ascii="Times New Roman" w:hAnsi="Times New Roman"/>
          <w:sz w:val="26"/>
          <w:szCs w:val="26"/>
        </w:rPr>
        <w:t xml:space="preserve"> </w:t>
      </w:r>
      <w:proofErr w:type="spellStart"/>
      <w:r w:rsidR="00190374" w:rsidRPr="002B4D22">
        <w:rPr>
          <w:rFonts w:ascii="Times New Roman" w:hAnsi="Times New Roman"/>
          <w:i/>
          <w:sz w:val="26"/>
          <w:szCs w:val="26"/>
        </w:rPr>
        <w:t>euro</w:t>
      </w:r>
      <w:proofErr w:type="spellEnd"/>
      <w:r w:rsidR="006B26C1" w:rsidRPr="002B4D22">
        <w:rPr>
          <w:rFonts w:ascii="Times New Roman" w:hAnsi="Times New Roman"/>
          <w:sz w:val="26"/>
          <w:szCs w:val="26"/>
        </w:rPr>
        <w:t xml:space="preserve">, t.i. par 79%. </w:t>
      </w:r>
      <w:r w:rsidR="003B548D" w:rsidRPr="002B4D22">
        <w:rPr>
          <w:rFonts w:ascii="Times New Roman" w:hAnsi="Times New Roman"/>
          <w:sz w:val="26"/>
          <w:szCs w:val="26"/>
        </w:rPr>
        <w:t>Tāpat, saskaņā ar V</w:t>
      </w:r>
      <w:r w:rsidR="00D7722B" w:rsidRPr="002B4D22">
        <w:rPr>
          <w:rFonts w:ascii="Times New Roman" w:hAnsi="Times New Roman"/>
          <w:sz w:val="26"/>
          <w:szCs w:val="26"/>
        </w:rPr>
        <w:t>VDZ</w:t>
      </w:r>
      <w:r w:rsidR="003B548D" w:rsidRPr="002B4D22">
        <w:rPr>
          <w:rFonts w:ascii="Times New Roman" w:hAnsi="Times New Roman"/>
          <w:sz w:val="26"/>
          <w:szCs w:val="26"/>
        </w:rPr>
        <w:t xml:space="preserve"> datiem, zemesgrāmatā reģistr</w:t>
      </w:r>
      <w:r w:rsidR="000043AC">
        <w:rPr>
          <w:rFonts w:ascii="Times New Roman" w:hAnsi="Times New Roman"/>
          <w:sz w:val="26"/>
          <w:szCs w:val="26"/>
        </w:rPr>
        <w:t>ēto pirkuma līgumu skaits 2015.</w:t>
      </w:r>
      <w:r w:rsidR="003B548D" w:rsidRPr="002B4D22">
        <w:rPr>
          <w:rFonts w:ascii="Times New Roman" w:hAnsi="Times New Roman"/>
          <w:sz w:val="26"/>
          <w:szCs w:val="26"/>
        </w:rPr>
        <w:t>gada</w:t>
      </w:r>
      <w:proofErr w:type="gramStart"/>
      <w:r w:rsidR="003B548D" w:rsidRPr="002B4D22">
        <w:rPr>
          <w:rFonts w:ascii="Times New Roman" w:hAnsi="Times New Roman"/>
          <w:sz w:val="26"/>
          <w:szCs w:val="26"/>
        </w:rPr>
        <w:t xml:space="preserve">  </w:t>
      </w:r>
      <w:proofErr w:type="gramEnd"/>
      <w:r w:rsidR="00785B37" w:rsidRPr="002B4D22">
        <w:rPr>
          <w:rFonts w:ascii="Times New Roman" w:hAnsi="Times New Roman"/>
          <w:sz w:val="26"/>
          <w:szCs w:val="26"/>
        </w:rPr>
        <w:t>1.</w:t>
      </w:r>
      <w:r w:rsidR="003B548D" w:rsidRPr="002B4D22">
        <w:rPr>
          <w:rFonts w:ascii="Times New Roman" w:hAnsi="Times New Roman"/>
          <w:sz w:val="26"/>
          <w:szCs w:val="26"/>
        </w:rPr>
        <w:t xml:space="preserve">pusgadā, salīdzinājumā ar </w:t>
      </w:r>
      <w:r w:rsidR="00824696" w:rsidRPr="002B4D22">
        <w:rPr>
          <w:rFonts w:ascii="Times New Roman" w:hAnsi="Times New Roman"/>
          <w:sz w:val="26"/>
          <w:szCs w:val="26"/>
        </w:rPr>
        <w:t xml:space="preserve">atbilstošo periodu </w:t>
      </w:r>
      <w:r w:rsidR="003B548D" w:rsidRPr="002B4D22">
        <w:rPr>
          <w:rFonts w:ascii="Times New Roman" w:hAnsi="Times New Roman"/>
          <w:sz w:val="26"/>
          <w:szCs w:val="26"/>
        </w:rPr>
        <w:t>2014.gadā, ir samazinājies par 4%</w:t>
      </w:r>
      <w:r w:rsidR="00D7722B" w:rsidRPr="002B4D22">
        <w:rPr>
          <w:rFonts w:ascii="Times New Roman" w:hAnsi="Times New Roman"/>
          <w:sz w:val="26"/>
          <w:szCs w:val="26"/>
        </w:rPr>
        <w:t>,</w:t>
      </w:r>
      <w:r w:rsidR="003B548D" w:rsidRPr="002B4D22">
        <w:rPr>
          <w:rFonts w:ascii="Times New Roman" w:hAnsi="Times New Roman"/>
          <w:sz w:val="26"/>
          <w:szCs w:val="26"/>
        </w:rPr>
        <w:t xml:space="preserve"> </w:t>
      </w:r>
      <w:r w:rsidR="00824696" w:rsidRPr="002B4D22">
        <w:rPr>
          <w:rFonts w:ascii="Times New Roman" w:hAnsi="Times New Roman"/>
          <w:sz w:val="26"/>
          <w:szCs w:val="26"/>
        </w:rPr>
        <w:t xml:space="preserve">bet </w:t>
      </w:r>
      <w:r w:rsidR="003B548D" w:rsidRPr="002B4D22">
        <w:rPr>
          <w:rFonts w:ascii="Times New Roman" w:hAnsi="Times New Roman"/>
          <w:sz w:val="26"/>
          <w:szCs w:val="26"/>
        </w:rPr>
        <w:t xml:space="preserve">noslēgto darījumu kopējā summa samazinājusies no </w:t>
      </w:r>
      <w:r w:rsidR="000043AC">
        <w:rPr>
          <w:rFonts w:ascii="Times New Roman" w:hAnsi="Times New Roman"/>
          <w:sz w:val="26"/>
          <w:szCs w:val="26"/>
        </w:rPr>
        <w:t>848 </w:t>
      </w:r>
      <w:r w:rsidR="00375539" w:rsidRPr="002B4D22">
        <w:rPr>
          <w:rFonts w:ascii="Times New Roman" w:hAnsi="Times New Roman"/>
          <w:sz w:val="26"/>
          <w:szCs w:val="26"/>
        </w:rPr>
        <w:t xml:space="preserve">293,22 tūkst. </w:t>
      </w:r>
      <w:proofErr w:type="spellStart"/>
      <w:r w:rsidR="00C232F4" w:rsidRPr="002B4D22">
        <w:rPr>
          <w:rFonts w:ascii="Times New Roman" w:hAnsi="Times New Roman"/>
          <w:i/>
          <w:sz w:val="26"/>
          <w:szCs w:val="26"/>
        </w:rPr>
        <w:t>euro</w:t>
      </w:r>
      <w:proofErr w:type="spellEnd"/>
      <w:r w:rsidR="00375539" w:rsidRPr="002B4D22">
        <w:rPr>
          <w:rFonts w:ascii="Times New Roman" w:hAnsi="Times New Roman"/>
          <w:sz w:val="26"/>
          <w:szCs w:val="26"/>
        </w:rPr>
        <w:t xml:space="preserve"> līdz 586 352,16 tūkst. </w:t>
      </w:r>
      <w:proofErr w:type="spellStart"/>
      <w:r w:rsidR="00375539" w:rsidRPr="002B4D22">
        <w:rPr>
          <w:rFonts w:ascii="Times New Roman" w:hAnsi="Times New Roman"/>
          <w:i/>
          <w:sz w:val="26"/>
          <w:szCs w:val="26"/>
        </w:rPr>
        <w:t>euro</w:t>
      </w:r>
      <w:proofErr w:type="spellEnd"/>
      <w:r w:rsidR="00375539" w:rsidRPr="002B4D22">
        <w:rPr>
          <w:rFonts w:ascii="Times New Roman" w:hAnsi="Times New Roman"/>
          <w:sz w:val="26"/>
          <w:szCs w:val="26"/>
        </w:rPr>
        <w:t>, t.i. par 31%.</w:t>
      </w:r>
    </w:p>
    <w:p w:rsidR="003F5AEC" w:rsidRPr="002B4D22" w:rsidRDefault="003F5AEC" w:rsidP="00B310C1">
      <w:pPr>
        <w:spacing w:after="0" w:line="240" w:lineRule="auto"/>
        <w:ind w:firstLine="567"/>
        <w:jc w:val="both"/>
        <w:rPr>
          <w:rFonts w:ascii="Times New Roman" w:hAnsi="Times New Roman"/>
          <w:sz w:val="26"/>
          <w:szCs w:val="26"/>
        </w:rPr>
      </w:pPr>
      <w:r w:rsidRPr="002B4D22">
        <w:rPr>
          <w:rFonts w:ascii="Times New Roman" w:hAnsi="Times New Roman"/>
          <w:sz w:val="26"/>
          <w:szCs w:val="26"/>
        </w:rPr>
        <w:t>Saskaņā ar SIA “Latio” 2014.gada mājokļu tirgus pārskatu</w:t>
      </w:r>
      <w:r w:rsidR="005E7345" w:rsidRPr="002B4D22">
        <w:rPr>
          <w:rFonts w:ascii="Times New Roman" w:hAnsi="Times New Roman"/>
          <w:sz w:val="26"/>
          <w:szCs w:val="26"/>
        </w:rPr>
        <w:t>,</w:t>
      </w:r>
      <w:r w:rsidRPr="002B4D22">
        <w:rPr>
          <w:rFonts w:ascii="Times New Roman" w:hAnsi="Times New Roman"/>
          <w:sz w:val="26"/>
          <w:szCs w:val="26"/>
        </w:rPr>
        <w:t xml:space="preserve"> kopš </w:t>
      </w:r>
      <w:r w:rsidR="005E7345" w:rsidRPr="002B4D22">
        <w:rPr>
          <w:rFonts w:ascii="Times New Roman" w:hAnsi="Times New Roman"/>
          <w:sz w:val="26"/>
          <w:szCs w:val="26"/>
        </w:rPr>
        <w:t xml:space="preserve">grozījumiem Imigrācijas likumā, kas stājās spēkā </w:t>
      </w:r>
      <w:r w:rsidRPr="002B4D22">
        <w:rPr>
          <w:rFonts w:ascii="Times New Roman" w:hAnsi="Times New Roman"/>
          <w:sz w:val="26"/>
          <w:szCs w:val="26"/>
        </w:rPr>
        <w:t xml:space="preserve">2014.gada </w:t>
      </w:r>
      <w:r w:rsidR="005E7345" w:rsidRPr="002B4D22">
        <w:rPr>
          <w:rFonts w:ascii="Times New Roman" w:hAnsi="Times New Roman"/>
          <w:sz w:val="26"/>
          <w:szCs w:val="26"/>
        </w:rPr>
        <w:t>1.</w:t>
      </w:r>
      <w:r w:rsidRPr="002B4D22">
        <w:rPr>
          <w:rFonts w:ascii="Times New Roman" w:hAnsi="Times New Roman"/>
          <w:sz w:val="26"/>
          <w:szCs w:val="26"/>
        </w:rPr>
        <w:t>septembrī</w:t>
      </w:r>
      <w:r w:rsidR="00D7722B" w:rsidRPr="002B4D22">
        <w:rPr>
          <w:rFonts w:ascii="Times New Roman" w:hAnsi="Times New Roman"/>
          <w:sz w:val="26"/>
          <w:szCs w:val="26"/>
        </w:rPr>
        <w:t>,</w:t>
      </w:r>
      <w:r w:rsidRPr="002B4D22">
        <w:rPr>
          <w:rFonts w:ascii="Times New Roman" w:hAnsi="Times New Roman"/>
          <w:sz w:val="26"/>
          <w:szCs w:val="26"/>
        </w:rPr>
        <w:t xml:space="preserve"> krasi samazinājās ārzemnieku pieprasījums pēc dzīvokļu iegādes. Nerezidentu darījumu īpatsvars Rīgas jauno dzīvokļu tirgū gan pēc skaita, gan kopējās summas 2014.gadā bija </w:t>
      </w:r>
      <w:r w:rsidR="00D7722B" w:rsidRPr="002B4D22">
        <w:rPr>
          <w:rFonts w:ascii="Times New Roman" w:hAnsi="Times New Roman"/>
          <w:sz w:val="26"/>
          <w:szCs w:val="26"/>
        </w:rPr>
        <w:t>uz pusi mazāks</w:t>
      </w:r>
      <w:r w:rsidRPr="002B4D22">
        <w:rPr>
          <w:rFonts w:ascii="Times New Roman" w:hAnsi="Times New Roman"/>
          <w:sz w:val="26"/>
          <w:szCs w:val="26"/>
        </w:rPr>
        <w:t xml:space="preserve"> – attiecīgi 44% un 47%. Nerezidentu īpatsvars jauno dzīvokļu pirkuma darījumos no 50-70% gada vidū saruka līdz 15-20% gada pēdējos mēnešos. </w:t>
      </w:r>
      <w:r w:rsidR="007F4165" w:rsidRPr="002B4D22">
        <w:rPr>
          <w:rFonts w:ascii="Times New Roman" w:hAnsi="Times New Roman"/>
          <w:sz w:val="26"/>
          <w:szCs w:val="26"/>
        </w:rPr>
        <w:t xml:space="preserve">Nerezidentu īpatsvars centra dzīvokļu pirkuma darījumos no 44% 2014.gada augustā saruka līdz </w:t>
      </w:r>
      <w:r w:rsidR="005E7345" w:rsidRPr="002B4D22">
        <w:rPr>
          <w:rFonts w:ascii="Times New Roman" w:hAnsi="Times New Roman"/>
          <w:sz w:val="26"/>
          <w:szCs w:val="26"/>
        </w:rPr>
        <w:t xml:space="preserve">pat </w:t>
      </w:r>
      <w:r w:rsidR="007F4165" w:rsidRPr="002B4D22">
        <w:rPr>
          <w:rFonts w:ascii="Times New Roman" w:hAnsi="Times New Roman"/>
          <w:sz w:val="26"/>
          <w:szCs w:val="26"/>
        </w:rPr>
        <w:t xml:space="preserve">14-17% gada pēdējos mēnešos. </w:t>
      </w:r>
      <w:r w:rsidRPr="002B4D22">
        <w:rPr>
          <w:rFonts w:ascii="Times New Roman" w:hAnsi="Times New Roman"/>
          <w:sz w:val="26"/>
          <w:szCs w:val="26"/>
        </w:rPr>
        <w:t xml:space="preserve">Neraugoties uz ārvalstu pircēju skaita samazināšanos, 2014.gada </w:t>
      </w:r>
      <w:r w:rsidR="001C5389" w:rsidRPr="002B4D22">
        <w:rPr>
          <w:rFonts w:ascii="Times New Roman" w:hAnsi="Times New Roman"/>
          <w:sz w:val="26"/>
          <w:szCs w:val="26"/>
        </w:rPr>
        <w:t>4</w:t>
      </w:r>
      <w:r w:rsidRPr="002B4D22">
        <w:rPr>
          <w:rFonts w:ascii="Times New Roman" w:hAnsi="Times New Roman"/>
          <w:sz w:val="26"/>
          <w:szCs w:val="26"/>
        </w:rPr>
        <w:t>.ceturksnī kopējais pirkuma darījumu skaits Rīgas centra dzīvokļu segmentā bija gada pirmo ceturkšņu līmenī.</w:t>
      </w:r>
      <w:r w:rsidR="007F4165" w:rsidRPr="002B4D22">
        <w:rPr>
          <w:rFonts w:ascii="Times New Roman" w:hAnsi="Times New Roman"/>
          <w:sz w:val="26"/>
          <w:szCs w:val="26"/>
        </w:rPr>
        <w:t xml:space="preserve"> </w:t>
      </w:r>
      <w:r w:rsidR="005E7345" w:rsidRPr="002B4D22">
        <w:rPr>
          <w:rFonts w:ascii="Times New Roman" w:hAnsi="Times New Roman"/>
          <w:sz w:val="26"/>
          <w:szCs w:val="26"/>
        </w:rPr>
        <w:t>Tāpat TUA</w:t>
      </w:r>
      <w:r w:rsidR="007F4165" w:rsidRPr="002B4D22">
        <w:rPr>
          <w:rFonts w:ascii="Times New Roman" w:hAnsi="Times New Roman"/>
          <w:sz w:val="26"/>
          <w:szCs w:val="26"/>
        </w:rPr>
        <w:t xml:space="preserve"> saņemšanas nosacījumu izmaiņas kopš 2014.gada </w:t>
      </w:r>
      <w:r w:rsidR="007F4165" w:rsidRPr="002B4D22">
        <w:rPr>
          <w:rFonts w:ascii="Times New Roman" w:hAnsi="Times New Roman"/>
          <w:sz w:val="26"/>
          <w:szCs w:val="26"/>
        </w:rPr>
        <w:lastRenderedPageBreak/>
        <w:t>rudens samazināja ārzemju pircēju pieprasījumu pēc savrupmājām cenu kategorijā līdz 200 </w:t>
      </w:r>
      <w:r w:rsidR="00D7722B" w:rsidRPr="002B4D22">
        <w:rPr>
          <w:rFonts w:ascii="Times New Roman" w:hAnsi="Times New Roman"/>
          <w:sz w:val="26"/>
          <w:szCs w:val="26"/>
        </w:rPr>
        <w:t>tūkst.</w:t>
      </w:r>
      <w:r w:rsidR="007F4165" w:rsidRPr="002B4D22">
        <w:rPr>
          <w:rFonts w:ascii="Times New Roman" w:hAnsi="Times New Roman"/>
          <w:sz w:val="26"/>
          <w:szCs w:val="26"/>
        </w:rPr>
        <w:t xml:space="preserve"> </w:t>
      </w:r>
      <w:proofErr w:type="spellStart"/>
      <w:r w:rsidR="007F4165" w:rsidRPr="002B4D22">
        <w:rPr>
          <w:rFonts w:ascii="Times New Roman" w:hAnsi="Times New Roman"/>
          <w:i/>
          <w:sz w:val="26"/>
          <w:szCs w:val="26"/>
        </w:rPr>
        <w:t>euro</w:t>
      </w:r>
      <w:proofErr w:type="spellEnd"/>
      <w:r w:rsidR="007F4165" w:rsidRPr="002B4D22">
        <w:rPr>
          <w:rStyle w:val="FootnoteReference"/>
          <w:rFonts w:ascii="Times New Roman" w:hAnsi="Times New Roman"/>
          <w:sz w:val="26"/>
          <w:szCs w:val="26"/>
        </w:rPr>
        <w:footnoteReference w:id="6"/>
      </w:r>
      <w:r w:rsidR="007F4165" w:rsidRPr="002B4D22">
        <w:rPr>
          <w:rFonts w:ascii="Times New Roman" w:hAnsi="Times New Roman"/>
          <w:sz w:val="26"/>
          <w:szCs w:val="26"/>
        </w:rPr>
        <w:t>.</w:t>
      </w:r>
    </w:p>
    <w:p w:rsidR="003F5AEC" w:rsidRPr="002B4D22" w:rsidRDefault="003F5AEC" w:rsidP="00B310C1">
      <w:pPr>
        <w:spacing w:after="0" w:line="240" w:lineRule="auto"/>
        <w:ind w:firstLine="567"/>
        <w:jc w:val="both"/>
        <w:rPr>
          <w:rFonts w:ascii="Times New Roman" w:hAnsi="Times New Roman"/>
          <w:sz w:val="26"/>
          <w:szCs w:val="26"/>
        </w:rPr>
      </w:pPr>
      <w:r w:rsidRPr="002B4D22">
        <w:rPr>
          <w:rFonts w:ascii="Times New Roman" w:hAnsi="Times New Roman"/>
          <w:sz w:val="26"/>
          <w:szCs w:val="26"/>
        </w:rPr>
        <w:t>Saskaņā ar SIA “Latio” 2015.gada I. ceturkšņa mājo</w:t>
      </w:r>
      <w:r w:rsidR="00D576C1">
        <w:rPr>
          <w:rFonts w:ascii="Times New Roman" w:hAnsi="Times New Roman"/>
          <w:sz w:val="26"/>
          <w:szCs w:val="26"/>
        </w:rPr>
        <w:t>kļu tirgus pārskatu, 2015.gada 1</w:t>
      </w:r>
      <w:r w:rsidRPr="002B4D22">
        <w:rPr>
          <w:rFonts w:ascii="Times New Roman" w:hAnsi="Times New Roman"/>
          <w:sz w:val="26"/>
          <w:szCs w:val="26"/>
        </w:rPr>
        <w:t>. ceturksnī mājokļu tirgus noskaņojumu turpināja ietekmēt vairāki negatīvi faktori</w:t>
      </w:r>
      <w:r w:rsidR="007F4165" w:rsidRPr="002B4D22">
        <w:rPr>
          <w:rFonts w:ascii="Times New Roman" w:hAnsi="Times New Roman"/>
          <w:sz w:val="26"/>
          <w:szCs w:val="26"/>
        </w:rPr>
        <w:t xml:space="preserve">, piemēram, neskaidrības ar “nolikto atslēgu” principa ieviešanu un pērn pieņemtās izmaiņas Imigrācijas likumā par termiņuzturēšanās atļauju iegūšanas nosacījumu maiņu. Janvārī tika piedzīvots būtisks tirgus aktivitātes kritums, taču februārī un martā segmentos, kuros dominē darījumi ar rezidentiem, tā atgriezās 2014.gada līmenī. Pēc izmaiņām Imigrācijas likumā turpinājās nerezidentu pieprasījuma kritums Latvijas mājokļu tirgū, bet Krievijas pilsoņu interesi vēl vairāk samazināja ģeopolitisko notikumu eskalācija un rubļa vērtības samazināšanās. </w:t>
      </w:r>
      <w:r w:rsidR="00F15F90" w:rsidRPr="002B4D22">
        <w:rPr>
          <w:rFonts w:ascii="Times New Roman" w:hAnsi="Times New Roman"/>
          <w:sz w:val="26"/>
          <w:szCs w:val="26"/>
        </w:rPr>
        <w:t>Uz nerezidentiem orientētajos segmentos pieprasījuma samazināšanās dēļ cenas piedzīvoja pirmo kritumu kopš krīzes zemākā punkta 2009.gadā. Ekskluzīvajā segmentā tas bija 10-15% robežās, centra dzīvokļiem 7-10%, bet dzīvokļiem jaunajos projektos mikrorajonos 5-7% apmērā.</w:t>
      </w:r>
      <w:r w:rsidR="007F287A" w:rsidRPr="002B4D22">
        <w:rPr>
          <w:rFonts w:ascii="Times New Roman" w:hAnsi="Times New Roman"/>
          <w:sz w:val="26"/>
          <w:szCs w:val="26"/>
        </w:rPr>
        <w:t xml:space="preserve"> Neskatoties uz saspīlēto tirgus situāciju, tipveida dzīvokļu vidējā kvadrātmetra cena gada laikā pieauga par 7%.</w:t>
      </w:r>
      <w:r w:rsidR="00F15F90" w:rsidRPr="002B4D22">
        <w:rPr>
          <w:rFonts w:ascii="Times New Roman" w:hAnsi="Times New Roman"/>
          <w:sz w:val="26"/>
          <w:szCs w:val="26"/>
        </w:rPr>
        <w:t xml:space="preserve"> Darījumu skaita ziņā, salīdzinājumā ar 2014.gada attiecīgo periodu, izaugsmi nomainīja kritums – Rīgā darījumu skaits samazinājās par 4%, bet pārējā valsts teritorijā tikai par 0,7%, jo reģioni mazāk izjuta nerezidentu aktivitātes samazināšanos.</w:t>
      </w:r>
      <w:r w:rsidR="00F15F90" w:rsidRPr="002B4D22">
        <w:rPr>
          <w:rStyle w:val="FootnoteReference"/>
          <w:rFonts w:ascii="Times New Roman" w:hAnsi="Times New Roman"/>
          <w:sz w:val="26"/>
          <w:szCs w:val="26"/>
        </w:rPr>
        <w:footnoteReference w:id="7"/>
      </w:r>
      <w:r w:rsidR="00F15F90" w:rsidRPr="002B4D22">
        <w:rPr>
          <w:rFonts w:ascii="Times New Roman" w:hAnsi="Times New Roman"/>
          <w:sz w:val="26"/>
          <w:szCs w:val="26"/>
        </w:rPr>
        <w:t xml:space="preserve"> Tajā pašā laikā atsevišķos novados, kuros pirms pēdēj</w:t>
      </w:r>
      <w:r w:rsidR="007F287A" w:rsidRPr="002B4D22">
        <w:rPr>
          <w:rFonts w:ascii="Times New Roman" w:hAnsi="Times New Roman"/>
          <w:sz w:val="26"/>
          <w:szCs w:val="26"/>
        </w:rPr>
        <w:t>ām</w:t>
      </w:r>
      <w:r w:rsidR="00F15F90" w:rsidRPr="002B4D22">
        <w:rPr>
          <w:rFonts w:ascii="Times New Roman" w:hAnsi="Times New Roman"/>
          <w:sz w:val="26"/>
          <w:szCs w:val="26"/>
        </w:rPr>
        <w:t xml:space="preserve"> </w:t>
      </w:r>
      <w:r w:rsidR="005E7345" w:rsidRPr="002B4D22">
        <w:rPr>
          <w:rFonts w:ascii="Times New Roman" w:hAnsi="Times New Roman"/>
          <w:sz w:val="26"/>
          <w:szCs w:val="26"/>
        </w:rPr>
        <w:t xml:space="preserve">TUA </w:t>
      </w:r>
      <w:r w:rsidR="00F15F90" w:rsidRPr="002B4D22">
        <w:rPr>
          <w:rFonts w:ascii="Times New Roman" w:hAnsi="Times New Roman"/>
          <w:sz w:val="26"/>
          <w:szCs w:val="26"/>
        </w:rPr>
        <w:t>izsniegšanas nosacījumu</w:t>
      </w:r>
      <w:r w:rsidR="007F287A" w:rsidRPr="002B4D22">
        <w:rPr>
          <w:rFonts w:ascii="Times New Roman" w:hAnsi="Times New Roman"/>
          <w:sz w:val="26"/>
          <w:szCs w:val="26"/>
        </w:rPr>
        <w:t xml:space="preserve"> izmaiņām nerezidentu aktivitāte bija augsta, darījumu skaits ir būtiski samazinājies</w:t>
      </w:r>
      <w:r w:rsidR="008B47C3">
        <w:rPr>
          <w:rFonts w:ascii="Times New Roman" w:hAnsi="Times New Roman"/>
          <w:sz w:val="26"/>
          <w:szCs w:val="26"/>
        </w:rPr>
        <w:t>,</w:t>
      </w:r>
      <w:r w:rsidR="00D7722B" w:rsidRPr="002B4D22">
        <w:rPr>
          <w:rFonts w:ascii="Times New Roman" w:hAnsi="Times New Roman"/>
          <w:sz w:val="26"/>
          <w:szCs w:val="26"/>
        </w:rPr>
        <w:t xml:space="preserve"> piemēram, Ozolnieku novadā šādu nerezidentu pieteikumu skaits ir samazinājies no 111 2014.gadā līdz 4 2015.gada </w:t>
      </w:r>
      <w:r w:rsidR="001C5389" w:rsidRPr="002B4D22">
        <w:rPr>
          <w:rFonts w:ascii="Times New Roman" w:hAnsi="Times New Roman"/>
          <w:sz w:val="26"/>
          <w:szCs w:val="26"/>
        </w:rPr>
        <w:t>1</w:t>
      </w:r>
      <w:r w:rsidR="00D7722B" w:rsidRPr="002B4D22">
        <w:rPr>
          <w:rFonts w:ascii="Times New Roman" w:hAnsi="Times New Roman"/>
          <w:sz w:val="26"/>
          <w:szCs w:val="26"/>
        </w:rPr>
        <w:t xml:space="preserve">.pusgadā. </w:t>
      </w:r>
    </w:p>
    <w:p w:rsidR="00465C02" w:rsidRPr="002B4D22" w:rsidRDefault="00465C02" w:rsidP="00B310C1">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Saskaņā ar LANĪDA sniegto informāciju, jauno projektu tirgus Rīgā 2014.gadā bija mērāms aptuveni 70 milj. </w:t>
      </w:r>
      <w:proofErr w:type="spellStart"/>
      <w:r w:rsidRPr="002B4D22">
        <w:rPr>
          <w:rFonts w:ascii="Times New Roman" w:hAnsi="Times New Roman"/>
          <w:i/>
          <w:sz w:val="26"/>
          <w:szCs w:val="26"/>
        </w:rPr>
        <w:t>euro</w:t>
      </w:r>
      <w:proofErr w:type="spellEnd"/>
      <w:r w:rsidR="00997F23" w:rsidRPr="002B4D22">
        <w:rPr>
          <w:rFonts w:ascii="Times New Roman" w:hAnsi="Times New Roman"/>
          <w:sz w:val="26"/>
          <w:szCs w:val="26"/>
        </w:rPr>
        <w:t xml:space="preserve"> lielumā</w:t>
      </w:r>
      <w:r w:rsidRPr="002B4D22">
        <w:rPr>
          <w:rFonts w:ascii="Times New Roman" w:hAnsi="Times New Roman"/>
          <w:sz w:val="26"/>
          <w:szCs w:val="26"/>
        </w:rPr>
        <w:t xml:space="preserve">, no </w:t>
      </w:r>
      <w:r w:rsidR="00997F23" w:rsidRPr="002B4D22">
        <w:rPr>
          <w:rFonts w:ascii="Times New Roman" w:hAnsi="Times New Roman"/>
          <w:sz w:val="26"/>
          <w:szCs w:val="26"/>
        </w:rPr>
        <w:t>tiem</w:t>
      </w:r>
      <w:r w:rsidRPr="002B4D22">
        <w:rPr>
          <w:rFonts w:ascii="Times New Roman" w:hAnsi="Times New Roman"/>
          <w:sz w:val="26"/>
          <w:szCs w:val="26"/>
        </w:rPr>
        <w:t xml:space="preserve"> nerezidentu pieprasījuma īpatsvars bij</w:t>
      </w:r>
      <w:r w:rsidR="00997F23" w:rsidRPr="002B4D22">
        <w:rPr>
          <w:rFonts w:ascii="Times New Roman" w:hAnsi="Times New Roman"/>
          <w:sz w:val="26"/>
          <w:szCs w:val="26"/>
        </w:rPr>
        <w:t>a</w:t>
      </w:r>
      <w:r w:rsidR="00C11B29" w:rsidRPr="002B4D22">
        <w:rPr>
          <w:rFonts w:ascii="Times New Roman" w:hAnsi="Times New Roman"/>
          <w:sz w:val="26"/>
          <w:szCs w:val="26"/>
        </w:rPr>
        <w:t xml:space="preserve"> – </w:t>
      </w:r>
      <w:r w:rsidR="00997F23" w:rsidRPr="002B4D22">
        <w:rPr>
          <w:rFonts w:ascii="Times New Roman" w:hAnsi="Times New Roman"/>
          <w:sz w:val="26"/>
          <w:szCs w:val="26"/>
        </w:rPr>
        <w:t>~</w:t>
      </w:r>
      <w:r w:rsidRPr="002B4D22">
        <w:rPr>
          <w:rFonts w:ascii="Times New Roman" w:hAnsi="Times New Roman"/>
          <w:sz w:val="26"/>
          <w:szCs w:val="26"/>
        </w:rPr>
        <w:t xml:space="preserve">50 milj.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Kopš 2014.gada septembra vidējais darījumu skaits mēnesī jaunajos projektos ir nokrities par 80%. </w:t>
      </w:r>
    </w:p>
    <w:p w:rsidR="00BC4261" w:rsidRPr="0004402A" w:rsidRDefault="008B40C9" w:rsidP="00B310C1">
      <w:pPr>
        <w:spacing w:after="0" w:line="240" w:lineRule="auto"/>
        <w:ind w:firstLine="567"/>
        <w:jc w:val="both"/>
        <w:rPr>
          <w:rFonts w:ascii="Times New Roman" w:hAnsi="Times New Roman"/>
          <w:sz w:val="26"/>
          <w:szCs w:val="26"/>
        </w:rPr>
      </w:pPr>
      <w:r w:rsidRPr="0004402A">
        <w:rPr>
          <w:rFonts w:ascii="Times New Roman" w:hAnsi="Times New Roman"/>
          <w:sz w:val="26"/>
          <w:szCs w:val="26"/>
        </w:rPr>
        <w:t xml:space="preserve">Saskaņā ar SIA “Latio” tirgus pārskatiem par 2014.gadu un 2015.gada </w:t>
      </w:r>
      <w:r w:rsidR="0004402A">
        <w:rPr>
          <w:rFonts w:ascii="Times New Roman" w:hAnsi="Times New Roman"/>
          <w:sz w:val="26"/>
          <w:szCs w:val="26"/>
        </w:rPr>
        <w:t>1</w:t>
      </w:r>
      <w:r w:rsidRPr="0004402A">
        <w:rPr>
          <w:rFonts w:ascii="Times New Roman" w:hAnsi="Times New Roman"/>
          <w:sz w:val="26"/>
          <w:szCs w:val="26"/>
        </w:rPr>
        <w:t xml:space="preserve">.ceturksni, nerezidentu darījumu īpatsvars Rīgas jauno dzīvokļu tirgū gan pēc skaita, gan kopējās summas 2014.gadā bija mazāks par pusi </w:t>
      </w:r>
      <w:r w:rsidR="0004402A" w:rsidRPr="0004402A">
        <w:rPr>
          <w:rFonts w:ascii="Times New Roman" w:hAnsi="Times New Roman"/>
          <w:sz w:val="26"/>
          <w:szCs w:val="26"/>
        </w:rPr>
        <w:t>–</w:t>
      </w:r>
      <w:r w:rsidRPr="0004402A">
        <w:rPr>
          <w:rFonts w:ascii="Times New Roman" w:hAnsi="Times New Roman"/>
          <w:sz w:val="26"/>
          <w:szCs w:val="26"/>
        </w:rPr>
        <w:t xml:space="preserve"> attiecīgi</w:t>
      </w:r>
      <w:r w:rsidR="0004402A" w:rsidRPr="0004402A">
        <w:rPr>
          <w:rFonts w:ascii="Times New Roman" w:hAnsi="Times New Roman"/>
          <w:sz w:val="26"/>
          <w:szCs w:val="26"/>
        </w:rPr>
        <w:t xml:space="preserve"> 44% un 47%. Darījumi ar jaunajiem dzīvokļiem 2014.gadā veidoja 22.5% no kopējā Rīgas dzīvokļu darījuma skaita. Nerezidentu īpatsvars jauno dzīvokļu pirkuma darījumos no 50-70% gada vidū saruka līdz 15-20% gada pēdējos mēnešos</w:t>
      </w:r>
      <w:r w:rsidR="0004402A" w:rsidRPr="0004402A">
        <w:rPr>
          <w:rStyle w:val="FootnoteReference"/>
          <w:rFonts w:ascii="Times New Roman" w:hAnsi="Times New Roman"/>
          <w:sz w:val="26"/>
          <w:szCs w:val="26"/>
        </w:rPr>
        <w:footnoteReference w:id="8"/>
      </w:r>
      <w:r w:rsidR="0004402A" w:rsidRPr="0004402A">
        <w:rPr>
          <w:rFonts w:ascii="Times New Roman" w:hAnsi="Times New Roman"/>
          <w:sz w:val="26"/>
          <w:szCs w:val="26"/>
        </w:rPr>
        <w:t xml:space="preserve">. 2015.gada </w:t>
      </w:r>
      <w:r w:rsidR="0004402A">
        <w:rPr>
          <w:rFonts w:ascii="Times New Roman" w:hAnsi="Times New Roman"/>
          <w:sz w:val="26"/>
          <w:szCs w:val="26"/>
        </w:rPr>
        <w:t>1</w:t>
      </w:r>
      <w:r w:rsidR="0004402A" w:rsidRPr="0004402A">
        <w:rPr>
          <w:rFonts w:ascii="Times New Roman" w:hAnsi="Times New Roman"/>
          <w:sz w:val="26"/>
          <w:szCs w:val="26"/>
        </w:rPr>
        <w:t xml:space="preserve">.ceturksnī, salīdzinot ar 2014.gada </w:t>
      </w:r>
      <w:r w:rsidR="0004402A">
        <w:rPr>
          <w:rFonts w:ascii="Times New Roman" w:hAnsi="Times New Roman"/>
          <w:sz w:val="26"/>
          <w:szCs w:val="26"/>
        </w:rPr>
        <w:t>1</w:t>
      </w:r>
      <w:r w:rsidR="0004402A" w:rsidRPr="0004402A">
        <w:rPr>
          <w:rFonts w:ascii="Times New Roman" w:hAnsi="Times New Roman"/>
          <w:sz w:val="26"/>
          <w:szCs w:val="26"/>
        </w:rPr>
        <w:t xml:space="preserve">.ceturksni, darījumu skaits samazinājies par 44%, bet kopējā darījumu summa par 47%. Jauno dzīvokļu tirgus bija nogaidoši stabils – vidēji 80 līdz 90 darījumi par kopējo summu aptuveni 8 milj. </w:t>
      </w:r>
      <w:proofErr w:type="spellStart"/>
      <w:r w:rsidR="0004402A" w:rsidRPr="0004402A">
        <w:rPr>
          <w:rFonts w:ascii="Times New Roman" w:hAnsi="Times New Roman"/>
          <w:i/>
          <w:sz w:val="26"/>
          <w:szCs w:val="26"/>
        </w:rPr>
        <w:t>euro</w:t>
      </w:r>
      <w:proofErr w:type="spellEnd"/>
      <w:r w:rsidR="0004402A" w:rsidRPr="0004402A">
        <w:rPr>
          <w:rFonts w:ascii="Times New Roman" w:hAnsi="Times New Roman"/>
          <w:sz w:val="26"/>
          <w:szCs w:val="26"/>
        </w:rPr>
        <w:t xml:space="preserve"> mēnesī. Nerezidentu īpatsvars, salīdzinot ar iepriekšējo ceturksni, pieauga par 11 procentpunktiem</w:t>
      </w:r>
      <w:r w:rsidR="0004402A">
        <w:rPr>
          <w:rStyle w:val="FootnoteReference"/>
          <w:rFonts w:ascii="Times New Roman" w:hAnsi="Times New Roman"/>
          <w:sz w:val="26"/>
          <w:szCs w:val="26"/>
        </w:rPr>
        <w:footnoteReference w:id="9"/>
      </w:r>
      <w:r w:rsidR="0004402A" w:rsidRPr="0004402A">
        <w:rPr>
          <w:rFonts w:ascii="Times New Roman" w:hAnsi="Times New Roman"/>
          <w:sz w:val="26"/>
          <w:szCs w:val="26"/>
        </w:rPr>
        <w:t xml:space="preserve">. </w:t>
      </w:r>
    </w:p>
    <w:p w:rsidR="00873031" w:rsidRPr="002B4D22" w:rsidRDefault="008B40C9" w:rsidP="00B310C1">
      <w:pPr>
        <w:spacing w:after="0" w:line="240" w:lineRule="auto"/>
        <w:ind w:firstLine="567"/>
        <w:jc w:val="both"/>
        <w:rPr>
          <w:rFonts w:ascii="Times New Roman" w:hAnsi="Times New Roman"/>
          <w:sz w:val="26"/>
          <w:szCs w:val="26"/>
        </w:rPr>
      </w:pPr>
      <w:r>
        <w:rPr>
          <w:rFonts w:ascii="Times New Roman" w:hAnsi="Times New Roman"/>
          <w:sz w:val="26"/>
          <w:szCs w:val="26"/>
        </w:rPr>
        <w:t xml:space="preserve">2015.gada 1.ceturksnī jauno dzīvokļu tirgus </w:t>
      </w:r>
      <w:r w:rsidR="00873031" w:rsidRPr="002B4D22">
        <w:rPr>
          <w:rFonts w:ascii="Times New Roman" w:hAnsi="Times New Roman"/>
          <w:sz w:val="26"/>
          <w:szCs w:val="26"/>
        </w:rPr>
        <w:t xml:space="preserve">Jūrmalas </w:t>
      </w:r>
      <w:r w:rsidR="00D10FAD" w:rsidRPr="002B4D22">
        <w:rPr>
          <w:rFonts w:ascii="Times New Roman" w:hAnsi="Times New Roman"/>
          <w:sz w:val="26"/>
          <w:szCs w:val="26"/>
        </w:rPr>
        <w:t>pilsētā</w:t>
      </w:r>
      <w:r w:rsidR="00873031" w:rsidRPr="002B4D22">
        <w:rPr>
          <w:rFonts w:ascii="Times New Roman" w:hAnsi="Times New Roman"/>
          <w:sz w:val="26"/>
          <w:szCs w:val="26"/>
        </w:rPr>
        <w:t xml:space="preserve"> galvenie dzīvokļu pircēji ir ārvalstnieki, kas pērk dzīvokļus, galvenokārt, jaunajos dzīvokļu projektos.</w:t>
      </w:r>
      <w:r w:rsidR="00D10FAD" w:rsidRPr="002B4D22">
        <w:rPr>
          <w:rFonts w:ascii="Times New Roman" w:hAnsi="Times New Roman"/>
          <w:sz w:val="26"/>
          <w:szCs w:val="26"/>
        </w:rPr>
        <w:t xml:space="preserve"> 2015.gada pirmajos piecos mēnešos Jūrmalā reģistrēti tikai 485 pirkuma-pārdošanas gadījumi, kas ir par 32% mazāk nekā attiecīgajā periodā 2014.gadā. </w:t>
      </w:r>
      <w:r w:rsidR="00997F23" w:rsidRPr="002B4D22">
        <w:rPr>
          <w:rFonts w:ascii="Times New Roman" w:hAnsi="Times New Roman"/>
          <w:sz w:val="26"/>
          <w:szCs w:val="26"/>
        </w:rPr>
        <w:t xml:space="preserve">Nekustamo īpašumu </w:t>
      </w:r>
      <w:r w:rsidR="00997F23" w:rsidRPr="002B4D22">
        <w:rPr>
          <w:rFonts w:ascii="Times New Roman" w:hAnsi="Times New Roman"/>
          <w:sz w:val="26"/>
          <w:szCs w:val="26"/>
        </w:rPr>
        <w:lastRenderedPageBreak/>
        <w:t xml:space="preserve">tirgu negatīvi ietekmē arī tas, ka īpašumu </w:t>
      </w:r>
      <w:r w:rsidR="00D10FAD" w:rsidRPr="002B4D22">
        <w:rPr>
          <w:rFonts w:ascii="Times New Roman" w:hAnsi="Times New Roman"/>
          <w:sz w:val="26"/>
          <w:szCs w:val="26"/>
        </w:rPr>
        <w:t>cenas tiek mākslīgi paaugstinātas, lai sasniegtu Imigrācijas likumā noteikto nekustamā īpašuma vērtību iegādes brīdī un varētu saņemt TUA.</w:t>
      </w:r>
      <w:r w:rsidR="00D10FAD" w:rsidRPr="002B4D22">
        <w:rPr>
          <w:rStyle w:val="FootnoteReference"/>
          <w:rFonts w:ascii="Times New Roman" w:hAnsi="Times New Roman"/>
          <w:sz w:val="26"/>
          <w:szCs w:val="26"/>
        </w:rPr>
        <w:footnoteReference w:id="10"/>
      </w:r>
    </w:p>
    <w:p w:rsidR="009B10A4" w:rsidRPr="002B4D22" w:rsidRDefault="00873031" w:rsidP="00B310C1">
      <w:pPr>
        <w:spacing w:after="0" w:line="240" w:lineRule="auto"/>
        <w:ind w:firstLine="567"/>
        <w:jc w:val="both"/>
        <w:rPr>
          <w:rFonts w:ascii="Times New Roman" w:hAnsi="Times New Roman"/>
          <w:color w:val="000000"/>
          <w:sz w:val="26"/>
          <w:szCs w:val="26"/>
        </w:rPr>
      </w:pPr>
      <w:r w:rsidRPr="002B4D22">
        <w:rPr>
          <w:rFonts w:ascii="Times New Roman" w:hAnsi="Times New Roman"/>
          <w:sz w:val="26"/>
          <w:szCs w:val="26"/>
        </w:rPr>
        <w:t xml:space="preserve">Jauno projektu attīstītāji pēc Imigrācijas likuma normu stāšanās spēkā 2010.gadā </w:t>
      </w:r>
      <w:r w:rsidR="00997F23" w:rsidRPr="002B4D22">
        <w:rPr>
          <w:rFonts w:ascii="Times New Roman" w:hAnsi="Times New Roman"/>
          <w:sz w:val="26"/>
          <w:szCs w:val="26"/>
        </w:rPr>
        <w:t>rēķinājās</w:t>
      </w:r>
      <w:r w:rsidRPr="002B4D22">
        <w:rPr>
          <w:rFonts w:ascii="Times New Roman" w:hAnsi="Times New Roman"/>
          <w:sz w:val="26"/>
          <w:szCs w:val="26"/>
        </w:rPr>
        <w:t xml:space="preserve"> ar ārvalstnieku interesi par nekustamo īpašumu iegādi un līdz ar to </w:t>
      </w:r>
      <w:r w:rsidR="00997F23" w:rsidRPr="002B4D22">
        <w:rPr>
          <w:rFonts w:ascii="Times New Roman" w:hAnsi="Times New Roman"/>
          <w:sz w:val="26"/>
          <w:szCs w:val="26"/>
        </w:rPr>
        <w:t>tika</w:t>
      </w:r>
      <w:r w:rsidRPr="002B4D22">
        <w:rPr>
          <w:rFonts w:ascii="Times New Roman" w:hAnsi="Times New Roman"/>
          <w:sz w:val="26"/>
          <w:szCs w:val="26"/>
        </w:rPr>
        <w:t xml:space="preserve"> veidots atbilstošs piedāvājums</w:t>
      </w:r>
      <w:r w:rsidR="009B10A4" w:rsidRPr="002B4D22">
        <w:rPr>
          <w:rStyle w:val="FootnoteReference"/>
          <w:rFonts w:ascii="Times New Roman" w:hAnsi="Times New Roman"/>
          <w:color w:val="000000"/>
          <w:sz w:val="26"/>
          <w:szCs w:val="26"/>
        </w:rPr>
        <w:footnoteReference w:id="11"/>
      </w:r>
      <w:r w:rsidR="009B10A4" w:rsidRPr="002B4D22">
        <w:rPr>
          <w:rFonts w:ascii="Times New Roman" w:hAnsi="Times New Roman"/>
          <w:color w:val="000000"/>
          <w:sz w:val="26"/>
          <w:szCs w:val="26"/>
        </w:rPr>
        <w:t>.</w:t>
      </w:r>
      <w:r w:rsidR="00AB1CC3" w:rsidRPr="002B4D22">
        <w:rPr>
          <w:rFonts w:ascii="Times New Roman" w:hAnsi="Times New Roman"/>
          <w:color w:val="000000"/>
          <w:sz w:val="26"/>
          <w:szCs w:val="26"/>
        </w:rPr>
        <w:t xml:space="preserve"> </w:t>
      </w:r>
      <w:r w:rsidR="00AB1CC3" w:rsidRPr="002B4D22">
        <w:rPr>
          <w:rFonts w:ascii="Times New Roman" w:hAnsi="Times New Roman"/>
          <w:sz w:val="26"/>
          <w:szCs w:val="26"/>
        </w:rPr>
        <w:t xml:space="preserve">Šobrīd </w:t>
      </w:r>
      <w:r w:rsidR="00515448" w:rsidRPr="002B4D22">
        <w:rPr>
          <w:rFonts w:ascii="Times New Roman" w:hAnsi="Times New Roman"/>
          <w:sz w:val="26"/>
          <w:szCs w:val="26"/>
        </w:rPr>
        <w:t xml:space="preserve">nekustamo īpašumu </w:t>
      </w:r>
      <w:r w:rsidR="00AB1CC3" w:rsidRPr="002B4D22">
        <w:rPr>
          <w:rFonts w:ascii="Times New Roman" w:hAnsi="Times New Roman"/>
          <w:sz w:val="26"/>
          <w:szCs w:val="26"/>
        </w:rPr>
        <w:t>tirgū valda nogaidoša attieksme</w:t>
      </w:r>
      <w:r w:rsidR="008B47C3">
        <w:rPr>
          <w:rFonts w:ascii="Times New Roman" w:hAnsi="Times New Roman"/>
          <w:sz w:val="26"/>
          <w:szCs w:val="26"/>
        </w:rPr>
        <w:t>,</w:t>
      </w:r>
      <w:r w:rsidR="00AB1CC3" w:rsidRPr="002B4D22">
        <w:rPr>
          <w:rFonts w:ascii="Times New Roman" w:hAnsi="Times New Roman"/>
          <w:sz w:val="26"/>
          <w:szCs w:val="26"/>
        </w:rPr>
        <w:t xml:space="preserve"> un visos segmentos tirgus pārorientējas uz vietējiem pircējiem, iespēju robežās koriģējot piedāvājuma cenas un savus biznesa plānus.</w:t>
      </w:r>
      <w:r w:rsidR="00AB1CC3" w:rsidRPr="002B4D22">
        <w:rPr>
          <w:rStyle w:val="FootnoteReference"/>
          <w:rFonts w:ascii="Times New Roman" w:hAnsi="Times New Roman"/>
          <w:sz w:val="26"/>
          <w:szCs w:val="26"/>
        </w:rPr>
        <w:footnoteReference w:id="12"/>
      </w:r>
    </w:p>
    <w:p w:rsidR="00B60BEF" w:rsidRPr="002B4D22" w:rsidRDefault="00B60BEF" w:rsidP="00B310C1">
      <w:pPr>
        <w:spacing w:after="0" w:line="240" w:lineRule="auto"/>
        <w:ind w:firstLine="567"/>
        <w:jc w:val="both"/>
        <w:rPr>
          <w:rFonts w:ascii="Times New Roman" w:hAnsi="Times New Roman"/>
          <w:color w:val="C00000"/>
          <w:sz w:val="26"/>
          <w:szCs w:val="26"/>
        </w:rPr>
      </w:pPr>
      <w:r w:rsidRPr="002B4D22">
        <w:rPr>
          <w:rFonts w:ascii="Times New Roman" w:hAnsi="Times New Roman"/>
          <w:color w:val="000000"/>
          <w:sz w:val="26"/>
          <w:szCs w:val="26"/>
        </w:rPr>
        <w:t xml:space="preserve">Saskaņā ar VZD sniegto informāciju personu, kuras pret nekustamā īpašuma iegādi ir saņēmušas </w:t>
      </w:r>
      <w:r w:rsidR="005E7345" w:rsidRPr="002B4D22">
        <w:rPr>
          <w:rFonts w:ascii="Times New Roman" w:hAnsi="Times New Roman"/>
          <w:color w:val="000000"/>
          <w:sz w:val="26"/>
          <w:szCs w:val="26"/>
        </w:rPr>
        <w:t>TUA</w:t>
      </w:r>
      <w:r w:rsidRPr="002B4D22">
        <w:rPr>
          <w:rFonts w:ascii="Times New Roman" w:hAnsi="Times New Roman"/>
          <w:color w:val="000000"/>
          <w:sz w:val="26"/>
          <w:szCs w:val="26"/>
        </w:rPr>
        <w:t>, īpašumā ir aptuveni 10 000 nekustamā īpašuma objektu.</w:t>
      </w:r>
    </w:p>
    <w:p w:rsidR="007A4C41" w:rsidRDefault="009B10A4" w:rsidP="00B310C1">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Analizējot ārzemnieku iegādāto nekustamo īpašumu atrašanās vietu, jāsecina, ka saglabājas arī iepriekšējos gados novērotā tendence, ka galvenokārt īpašums atrodas Rīgā, Jūrmalā un tajā Rīgas plānošanas reģiona teritorijā, kas izvietota tuvāk Rīgai un Jūrmalai, </w:t>
      </w:r>
      <w:r w:rsidR="00997F23" w:rsidRPr="002B4D22">
        <w:rPr>
          <w:rFonts w:ascii="Times New Roman" w:hAnsi="Times New Roman"/>
          <w:sz w:val="26"/>
          <w:szCs w:val="26"/>
        </w:rPr>
        <w:t>tikmēr</w:t>
      </w:r>
      <w:r w:rsidRPr="002B4D22">
        <w:rPr>
          <w:rFonts w:ascii="Times New Roman" w:hAnsi="Times New Roman"/>
          <w:sz w:val="26"/>
          <w:szCs w:val="26"/>
        </w:rPr>
        <w:t xml:space="preserve"> pārējos plānošanas reģionos un attālākajā Rīgas plānošanas reģiona teritorijā nekustamo īpašumu iegāde nav bijusi tik intensīva. Vismazāk īpašumu iegādāts Latgales un Kurzemes plānošanas reģionos.</w:t>
      </w:r>
    </w:p>
    <w:p w:rsidR="003632AF" w:rsidRPr="00A1081F" w:rsidRDefault="003632AF" w:rsidP="003632AF">
      <w:pPr>
        <w:spacing w:after="0" w:line="240" w:lineRule="auto"/>
        <w:ind w:firstLine="567"/>
        <w:jc w:val="both"/>
        <w:rPr>
          <w:rFonts w:ascii="Times New Roman" w:hAnsi="Times New Roman"/>
          <w:sz w:val="26"/>
          <w:szCs w:val="26"/>
        </w:rPr>
      </w:pPr>
      <w:r w:rsidRPr="00A1081F">
        <w:rPr>
          <w:rFonts w:ascii="Times New Roman" w:hAnsi="Times New Roman"/>
          <w:sz w:val="26"/>
          <w:szCs w:val="26"/>
        </w:rPr>
        <w:t>TUA saņemšanai nepieciešamā minimālā ieguldījuma apmēra maiņa nekustamā īpašuma iegādes gadījumā ir samazinājusi darījumu skaitu ārpus Rīgas un Pierīgas (Jūrmala un Babītes, Mārupes, Olaines, Ķekavas, Baldones, Salaspils, Ikšķiles, Stopiņu, Ropažu, Garkalnes, Ādažu, Carnikavas un Saulkrastu novadi). 2015.gadā apstiprināti vien 17 TUA pieteikumi (16,4%), kur nekustamais īpašums iegādāts ārpus Rīgas un Pierīgas. Savukārt šādu darījumu īpatsvars bija arī 2014.gada pirmajos astoņos mēnešos – 18,2%.</w:t>
      </w:r>
    </w:p>
    <w:p w:rsidR="009B10A4" w:rsidRPr="002B4D22" w:rsidRDefault="009B10A4" w:rsidP="00B310C1">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Viena nekustamā īpašuma </w:t>
      </w:r>
      <w:r w:rsidR="00997F23" w:rsidRPr="002B4D22">
        <w:rPr>
          <w:rFonts w:ascii="Times New Roman" w:hAnsi="Times New Roman"/>
          <w:sz w:val="26"/>
          <w:szCs w:val="26"/>
        </w:rPr>
        <w:t>pirkuma</w:t>
      </w:r>
      <w:r w:rsidRPr="002B4D22">
        <w:rPr>
          <w:rFonts w:ascii="Times New Roman" w:hAnsi="Times New Roman"/>
          <w:sz w:val="26"/>
          <w:szCs w:val="26"/>
        </w:rPr>
        <w:t xml:space="preserve"> darījuma vidējā vērtība Rīgā</w:t>
      </w:r>
      <w:r w:rsidR="00515448" w:rsidRPr="002B4D22">
        <w:rPr>
          <w:rFonts w:ascii="Times New Roman" w:hAnsi="Times New Roman"/>
          <w:sz w:val="26"/>
          <w:szCs w:val="26"/>
        </w:rPr>
        <w:t xml:space="preserve"> un</w:t>
      </w:r>
      <w:r w:rsidR="00F45E49" w:rsidRPr="002B4D22">
        <w:rPr>
          <w:rFonts w:ascii="Times New Roman" w:hAnsi="Times New Roman"/>
          <w:sz w:val="26"/>
          <w:szCs w:val="26"/>
        </w:rPr>
        <w:t xml:space="preserve"> </w:t>
      </w:r>
      <w:r w:rsidRPr="002B4D22">
        <w:rPr>
          <w:rFonts w:ascii="Times New Roman" w:hAnsi="Times New Roman"/>
          <w:sz w:val="26"/>
          <w:szCs w:val="26"/>
        </w:rPr>
        <w:t>Jūrmalā pārsniedz Imigrācijas likumā noteikto minimālo darījuma vērtību</w:t>
      </w:r>
      <w:r w:rsidR="00997F23" w:rsidRPr="002B4D22">
        <w:rPr>
          <w:rFonts w:ascii="Times New Roman" w:hAnsi="Times New Roman"/>
          <w:sz w:val="26"/>
          <w:szCs w:val="26"/>
        </w:rPr>
        <w:t xml:space="preserve"> </w:t>
      </w:r>
      <w:r w:rsidR="00515448" w:rsidRPr="002B4D22">
        <w:rPr>
          <w:rFonts w:ascii="Times New Roman" w:hAnsi="Times New Roman"/>
          <w:sz w:val="26"/>
          <w:szCs w:val="26"/>
        </w:rPr>
        <w:t xml:space="preserve">un ir </w:t>
      </w:r>
      <w:r w:rsidR="00997F23" w:rsidRPr="002B4D22">
        <w:rPr>
          <w:rFonts w:ascii="Times New Roman" w:hAnsi="Times New Roman"/>
          <w:sz w:val="26"/>
          <w:szCs w:val="26"/>
        </w:rPr>
        <w:t>vidēji 330 tūkst.</w:t>
      </w:r>
      <w:r w:rsidR="00515448" w:rsidRPr="002B4D22">
        <w:rPr>
          <w:rFonts w:ascii="Times New Roman" w:hAnsi="Times New Roman"/>
          <w:sz w:val="26"/>
          <w:szCs w:val="26"/>
        </w:rPr>
        <w:t xml:space="preserve"> </w:t>
      </w:r>
      <w:proofErr w:type="spellStart"/>
      <w:r w:rsidR="00515448" w:rsidRPr="002B4D22">
        <w:rPr>
          <w:rFonts w:ascii="Times New Roman" w:hAnsi="Times New Roman"/>
          <w:i/>
          <w:sz w:val="26"/>
          <w:szCs w:val="26"/>
        </w:rPr>
        <w:t>euro</w:t>
      </w:r>
      <w:proofErr w:type="spellEnd"/>
      <w:r w:rsidRPr="002B4D22">
        <w:rPr>
          <w:rFonts w:ascii="Times New Roman" w:hAnsi="Times New Roman"/>
          <w:sz w:val="26"/>
          <w:szCs w:val="26"/>
        </w:rPr>
        <w:t>, kamēr pārējās administratīvajās teritorijās</w:t>
      </w:r>
      <w:r w:rsidR="00515448" w:rsidRPr="002B4D22">
        <w:rPr>
          <w:rFonts w:ascii="Times New Roman" w:hAnsi="Times New Roman"/>
          <w:sz w:val="26"/>
          <w:szCs w:val="26"/>
        </w:rPr>
        <w:t>,</w:t>
      </w:r>
      <w:r w:rsidRPr="002B4D22">
        <w:rPr>
          <w:rFonts w:ascii="Times New Roman" w:hAnsi="Times New Roman"/>
          <w:sz w:val="26"/>
          <w:szCs w:val="26"/>
        </w:rPr>
        <w:t xml:space="preserve"> </w:t>
      </w:r>
      <w:r w:rsidR="00515448" w:rsidRPr="002B4D22">
        <w:rPr>
          <w:rFonts w:ascii="Times New Roman" w:hAnsi="Times New Roman"/>
          <w:sz w:val="26"/>
          <w:szCs w:val="26"/>
        </w:rPr>
        <w:t xml:space="preserve">izņemot atsevišķus gadījumus, </w:t>
      </w:r>
      <w:r w:rsidRPr="002B4D22">
        <w:rPr>
          <w:rFonts w:ascii="Times New Roman" w:hAnsi="Times New Roman"/>
          <w:sz w:val="26"/>
          <w:szCs w:val="26"/>
        </w:rPr>
        <w:t xml:space="preserve">ir </w:t>
      </w:r>
      <w:r w:rsidR="00997F23" w:rsidRPr="002B4D22">
        <w:rPr>
          <w:rFonts w:ascii="Times New Roman" w:hAnsi="Times New Roman"/>
          <w:sz w:val="26"/>
          <w:szCs w:val="26"/>
        </w:rPr>
        <w:t>tuva</w:t>
      </w:r>
      <w:r w:rsidRPr="002B4D22">
        <w:rPr>
          <w:rFonts w:ascii="Times New Roman" w:hAnsi="Times New Roman"/>
          <w:sz w:val="26"/>
          <w:szCs w:val="26"/>
        </w:rPr>
        <w:t xml:space="preserve"> minimālajai darījuma vērtībai. </w:t>
      </w:r>
    </w:p>
    <w:p w:rsidR="0009111B" w:rsidRPr="002B4D22" w:rsidRDefault="0009111B" w:rsidP="00B310C1">
      <w:pPr>
        <w:spacing w:after="0" w:line="240" w:lineRule="auto"/>
        <w:ind w:firstLine="567"/>
        <w:jc w:val="both"/>
        <w:rPr>
          <w:rFonts w:ascii="Times New Roman" w:hAnsi="Times New Roman"/>
          <w:sz w:val="26"/>
          <w:szCs w:val="26"/>
        </w:rPr>
      </w:pPr>
      <w:r w:rsidRPr="002B4D22">
        <w:rPr>
          <w:rFonts w:ascii="Times New Roman" w:hAnsi="Times New Roman"/>
          <w:color w:val="000000"/>
          <w:sz w:val="26"/>
          <w:szCs w:val="26"/>
        </w:rPr>
        <w:t>Ņemot vērā datus par ārvalstnieku veikto darījumu skaitu</w:t>
      </w:r>
      <w:r w:rsidRPr="002B4D22">
        <w:rPr>
          <w:rStyle w:val="FootnoteReference"/>
          <w:rFonts w:ascii="Times New Roman" w:hAnsi="Times New Roman"/>
          <w:color w:val="000000"/>
          <w:sz w:val="26"/>
          <w:szCs w:val="26"/>
        </w:rPr>
        <w:footnoteReference w:id="13"/>
      </w:r>
      <w:r w:rsidRPr="002B4D22">
        <w:rPr>
          <w:rFonts w:ascii="Times New Roman" w:hAnsi="Times New Roman"/>
          <w:color w:val="000000"/>
          <w:sz w:val="26"/>
          <w:szCs w:val="26"/>
        </w:rPr>
        <w:t xml:space="preserve"> un šo darījumu kopējo vērtību, var secināt, ka ne visos gadījumos ārvalstnieki, kas iegādājušies nekustamo īpašumu Latvijā, ir vērsušies ar lūgumu piešķirt TUA.</w:t>
      </w:r>
    </w:p>
    <w:p w:rsidR="00CA6460" w:rsidRPr="002B4D22" w:rsidRDefault="00CA6460" w:rsidP="00B310C1">
      <w:pPr>
        <w:spacing w:after="0" w:line="240" w:lineRule="auto"/>
        <w:ind w:firstLine="567"/>
        <w:jc w:val="both"/>
        <w:rPr>
          <w:rFonts w:ascii="Times New Roman" w:hAnsi="Times New Roman"/>
          <w:sz w:val="26"/>
          <w:szCs w:val="26"/>
        </w:rPr>
      </w:pPr>
      <w:r w:rsidRPr="002B4D22">
        <w:rPr>
          <w:rFonts w:ascii="Times New Roman" w:hAnsi="Times New Roman"/>
          <w:sz w:val="26"/>
          <w:szCs w:val="26"/>
        </w:rPr>
        <w:t>Attiecībā par ietekmi uz kadastrālo vērtību – pašreiz veiktie darījumi kadastrālo vērtību neietekmē, jo ārvalstnieku darījumu ietekme ir tikai uz ekskluzīvo un jauno īpašumu segmentu Rīgā un Jūrmalā. Minētie darījumi netiek izmantoti sērijveida dzīvokļu un neekskluzīvo mājokļu kadastrālo vērtību bāzes izstrādē. Citos segmentos ārvalstnieku ietekme uz tirgu ir nebūtiska, līdz ar to nav ietekme šobrīd uz kadastrālām vērtībām.</w:t>
      </w:r>
    </w:p>
    <w:p w:rsidR="007168AA" w:rsidRPr="002B4D22" w:rsidRDefault="004E559B" w:rsidP="00B310C1">
      <w:pPr>
        <w:spacing w:after="0" w:line="240" w:lineRule="auto"/>
        <w:ind w:firstLine="567"/>
        <w:jc w:val="both"/>
        <w:rPr>
          <w:rFonts w:ascii="Times New Roman" w:hAnsi="Times New Roman"/>
          <w:sz w:val="26"/>
          <w:szCs w:val="26"/>
        </w:rPr>
      </w:pPr>
      <w:r w:rsidRPr="002B4D22">
        <w:rPr>
          <w:rFonts w:ascii="Times New Roman" w:hAnsi="Times New Roman"/>
          <w:color w:val="000000"/>
          <w:sz w:val="26"/>
          <w:szCs w:val="26"/>
        </w:rPr>
        <w:t>Vienlaikus jāatzīmē, ka ir novērojama arī netieša TUA saņēmēju ietekme uz tautsaimniecību viņiem un viņu ģimenes locekļiem iesaistoties uzņēmējdarbībā Latvijā.</w:t>
      </w:r>
      <w:r w:rsidR="00327CF1" w:rsidRPr="002B4D22">
        <w:rPr>
          <w:rFonts w:ascii="Times New Roman" w:hAnsi="Times New Roman"/>
          <w:color w:val="000000"/>
          <w:sz w:val="26"/>
          <w:szCs w:val="26"/>
        </w:rPr>
        <w:t xml:space="preserve"> </w:t>
      </w:r>
      <w:r w:rsidR="009B10A4" w:rsidRPr="002B4D22">
        <w:rPr>
          <w:rFonts w:ascii="Times New Roman" w:hAnsi="Times New Roman"/>
          <w:sz w:val="26"/>
          <w:szCs w:val="26"/>
        </w:rPr>
        <w:t>Daļa no nerezidentiem (vai to ģimenes locekļi), kas saņēmuši TUA iegādājoties nekustamo īpašumu Latvijā</w:t>
      </w:r>
      <w:r w:rsidR="004B414D" w:rsidRPr="002B4D22">
        <w:rPr>
          <w:rFonts w:ascii="Times New Roman" w:hAnsi="Times New Roman"/>
          <w:sz w:val="26"/>
          <w:szCs w:val="26"/>
        </w:rPr>
        <w:t>,</w:t>
      </w:r>
      <w:r w:rsidR="009B10A4" w:rsidRPr="002B4D22">
        <w:rPr>
          <w:rFonts w:ascii="Times New Roman" w:hAnsi="Times New Roman"/>
          <w:sz w:val="26"/>
          <w:szCs w:val="26"/>
        </w:rPr>
        <w:t xml:space="preserve"> </w:t>
      </w:r>
      <w:r w:rsidR="00CE4BF1" w:rsidRPr="002B4D22">
        <w:rPr>
          <w:rFonts w:ascii="Times New Roman" w:hAnsi="Times New Roman"/>
          <w:sz w:val="26"/>
          <w:szCs w:val="26"/>
        </w:rPr>
        <w:t>veic</w:t>
      </w:r>
      <w:r w:rsidR="009B10A4" w:rsidRPr="002B4D22">
        <w:rPr>
          <w:rFonts w:ascii="Times New Roman" w:hAnsi="Times New Roman"/>
          <w:sz w:val="26"/>
          <w:szCs w:val="26"/>
        </w:rPr>
        <w:t xml:space="preserve"> saimniecisko darbību. Šādi nerezidenti ieņem kādu amatu</w:t>
      </w:r>
      <w:r w:rsidR="006E0F42" w:rsidRPr="002B4D22">
        <w:rPr>
          <w:rFonts w:ascii="Times New Roman" w:hAnsi="Times New Roman"/>
          <w:sz w:val="26"/>
          <w:szCs w:val="26"/>
        </w:rPr>
        <w:t xml:space="preserve"> – ir valdes loceklis vai prokūrists,</w:t>
      </w:r>
      <w:r w:rsidR="009B10A4" w:rsidRPr="002B4D22">
        <w:rPr>
          <w:rFonts w:ascii="Times New Roman" w:hAnsi="Times New Roman"/>
          <w:sz w:val="26"/>
          <w:szCs w:val="26"/>
        </w:rPr>
        <w:t xml:space="preserve"> </w:t>
      </w:r>
      <w:r w:rsidR="007A4C41" w:rsidRPr="002B4D22">
        <w:rPr>
          <w:rFonts w:ascii="Times New Roman" w:hAnsi="Times New Roman"/>
          <w:sz w:val="26"/>
          <w:szCs w:val="26"/>
        </w:rPr>
        <w:t>451</w:t>
      </w:r>
      <w:r w:rsidR="007C7278" w:rsidRPr="002B4D22">
        <w:rPr>
          <w:rFonts w:ascii="Times New Roman" w:hAnsi="Times New Roman"/>
          <w:sz w:val="26"/>
          <w:szCs w:val="26"/>
        </w:rPr>
        <w:t xml:space="preserve"> Latvijā </w:t>
      </w:r>
      <w:r w:rsidR="0047363D" w:rsidRPr="002B4D22">
        <w:rPr>
          <w:rFonts w:ascii="Times New Roman" w:hAnsi="Times New Roman"/>
          <w:sz w:val="26"/>
          <w:szCs w:val="26"/>
        </w:rPr>
        <w:t>reģistrētos uzņēmumos</w:t>
      </w:r>
      <w:r w:rsidR="00E42542" w:rsidRPr="002B4D22">
        <w:rPr>
          <w:rFonts w:ascii="Times New Roman" w:hAnsi="Times New Roman"/>
          <w:sz w:val="26"/>
          <w:szCs w:val="26"/>
        </w:rPr>
        <w:t>, tai skaitā – 1</w:t>
      </w:r>
      <w:r w:rsidR="007A4C41" w:rsidRPr="002B4D22">
        <w:rPr>
          <w:rFonts w:ascii="Times New Roman" w:hAnsi="Times New Roman"/>
          <w:sz w:val="26"/>
          <w:szCs w:val="26"/>
        </w:rPr>
        <w:t>3</w:t>
      </w:r>
      <w:r w:rsidR="00E42542" w:rsidRPr="002B4D22">
        <w:rPr>
          <w:rFonts w:ascii="Times New Roman" w:hAnsi="Times New Roman"/>
          <w:sz w:val="26"/>
          <w:szCs w:val="26"/>
        </w:rPr>
        <w:t xml:space="preserve"> ak</w:t>
      </w:r>
      <w:r w:rsidR="007168AA" w:rsidRPr="002B4D22">
        <w:rPr>
          <w:rFonts w:ascii="Times New Roman" w:hAnsi="Times New Roman"/>
          <w:sz w:val="26"/>
          <w:szCs w:val="26"/>
        </w:rPr>
        <w:t>ciju sabiedrībā</w:t>
      </w:r>
      <w:r w:rsidR="007A4C41" w:rsidRPr="002B4D22">
        <w:rPr>
          <w:rFonts w:ascii="Times New Roman" w:hAnsi="Times New Roman"/>
          <w:sz w:val="26"/>
          <w:szCs w:val="26"/>
        </w:rPr>
        <w:t>s</w:t>
      </w:r>
      <w:r w:rsidR="007168AA" w:rsidRPr="002B4D22">
        <w:rPr>
          <w:rFonts w:ascii="Times New Roman" w:hAnsi="Times New Roman"/>
          <w:sz w:val="26"/>
          <w:szCs w:val="26"/>
        </w:rPr>
        <w:t xml:space="preserve"> un 1</w:t>
      </w:r>
      <w:r w:rsidR="007A4C41" w:rsidRPr="002B4D22">
        <w:rPr>
          <w:rFonts w:ascii="Times New Roman" w:hAnsi="Times New Roman"/>
          <w:sz w:val="26"/>
          <w:szCs w:val="26"/>
        </w:rPr>
        <w:t>8</w:t>
      </w:r>
      <w:r w:rsidR="007168AA" w:rsidRPr="002B4D22">
        <w:rPr>
          <w:rFonts w:ascii="Times New Roman" w:hAnsi="Times New Roman"/>
          <w:sz w:val="26"/>
          <w:szCs w:val="26"/>
        </w:rPr>
        <w:t xml:space="preserve"> biedrībās.</w:t>
      </w:r>
      <w:r w:rsidR="00A05141" w:rsidRPr="002B4D22">
        <w:rPr>
          <w:rFonts w:ascii="Times New Roman" w:hAnsi="Times New Roman"/>
          <w:sz w:val="26"/>
          <w:szCs w:val="26"/>
        </w:rPr>
        <w:t xml:space="preserve"> Kopumā </w:t>
      </w:r>
      <w:r w:rsidR="00D576C1">
        <w:rPr>
          <w:rFonts w:ascii="Times New Roman" w:hAnsi="Times New Roman"/>
          <w:sz w:val="26"/>
          <w:szCs w:val="26"/>
        </w:rPr>
        <w:t>šie uzņēmumi un biedrības 2015.</w:t>
      </w:r>
      <w:r w:rsidR="00A05141" w:rsidRPr="002B4D22">
        <w:rPr>
          <w:rFonts w:ascii="Times New Roman" w:hAnsi="Times New Roman"/>
          <w:sz w:val="26"/>
          <w:szCs w:val="26"/>
        </w:rPr>
        <w:t xml:space="preserve">gada </w:t>
      </w:r>
      <w:r w:rsidR="00A05141" w:rsidRPr="002B4D22">
        <w:rPr>
          <w:rFonts w:ascii="Times New Roman" w:hAnsi="Times New Roman"/>
          <w:sz w:val="26"/>
          <w:szCs w:val="26"/>
        </w:rPr>
        <w:lastRenderedPageBreak/>
        <w:t xml:space="preserve">1.pusgadā ir nomaksājuši </w:t>
      </w:r>
      <w:r w:rsidR="00875A2C" w:rsidRPr="002B4D22">
        <w:rPr>
          <w:rFonts w:ascii="Times New Roman" w:hAnsi="Times New Roman"/>
          <w:sz w:val="26"/>
          <w:szCs w:val="26"/>
        </w:rPr>
        <w:t xml:space="preserve">VID administrētos nodokļus </w:t>
      </w:r>
      <w:r w:rsidR="00BD01D5" w:rsidRPr="002B4D22">
        <w:rPr>
          <w:rFonts w:ascii="Times New Roman" w:hAnsi="Times New Roman"/>
          <w:sz w:val="26"/>
          <w:szCs w:val="26"/>
        </w:rPr>
        <w:t xml:space="preserve">19,2 milj. </w:t>
      </w:r>
      <w:proofErr w:type="spellStart"/>
      <w:r w:rsidR="00BD01D5" w:rsidRPr="002B4D22">
        <w:rPr>
          <w:rFonts w:ascii="Times New Roman" w:hAnsi="Times New Roman"/>
          <w:i/>
          <w:sz w:val="26"/>
          <w:szCs w:val="26"/>
        </w:rPr>
        <w:t>euro</w:t>
      </w:r>
      <w:proofErr w:type="spellEnd"/>
      <w:r w:rsidR="00BD01D5" w:rsidRPr="002B4D22">
        <w:rPr>
          <w:rFonts w:ascii="Times New Roman" w:hAnsi="Times New Roman"/>
          <w:sz w:val="26"/>
          <w:szCs w:val="26"/>
        </w:rPr>
        <w:t xml:space="preserve"> apmērā, kas ir 56% no šādu uzņēmumu samaksāto nodokļu kopapjoma 2014.gadā.</w:t>
      </w:r>
    </w:p>
    <w:p w:rsidR="0009111B" w:rsidRPr="002B4D22" w:rsidRDefault="0084486F" w:rsidP="00B310C1">
      <w:pPr>
        <w:spacing w:after="0" w:line="240" w:lineRule="auto"/>
        <w:ind w:firstLine="567"/>
        <w:jc w:val="both"/>
        <w:rPr>
          <w:rFonts w:ascii="Times New Roman" w:hAnsi="Times New Roman"/>
          <w:sz w:val="26"/>
          <w:szCs w:val="26"/>
        </w:rPr>
      </w:pPr>
      <w:r w:rsidRPr="002B4D22">
        <w:rPr>
          <w:rFonts w:ascii="Times New Roman" w:hAnsi="Times New Roman"/>
          <w:color w:val="000000"/>
          <w:sz w:val="26"/>
          <w:szCs w:val="26"/>
        </w:rPr>
        <w:t xml:space="preserve">Saskaņā ar </w:t>
      </w:r>
      <w:r w:rsidR="00B65637">
        <w:rPr>
          <w:rFonts w:ascii="Times New Roman" w:hAnsi="Times New Roman"/>
          <w:sz w:val="26"/>
          <w:szCs w:val="26"/>
        </w:rPr>
        <w:t>LURSOFT</w:t>
      </w:r>
      <w:r w:rsidRPr="002B4D22">
        <w:rPr>
          <w:rFonts w:ascii="Times New Roman" w:hAnsi="Times New Roman"/>
          <w:color w:val="FF0000"/>
          <w:sz w:val="26"/>
          <w:szCs w:val="26"/>
        </w:rPr>
        <w:t xml:space="preserve"> </w:t>
      </w:r>
      <w:r w:rsidRPr="002B4D22">
        <w:rPr>
          <w:rFonts w:ascii="Times New Roman" w:hAnsi="Times New Roman"/>
          <w:color w:val="000000"/>
          <w:sz w:val="26"/>
          <w:szCs w:val="26"/>
        </w:rPr>
        <w:t>datiem</w:t>
      </w:r>
      <w:r w:rsidR="00F45E49" w:rsidRPr="002B4D22">
        <w:rPr>
          <w:rFonts w:ascii="Times New Roman" w:hAnsi="Times New Roman"/>
          <w:color w:val="000000"/>
          <w:sz w:val="26"/>
          <w:szCs w:val="26"/>
        </w:rPr>
        <w:t>,</w:t>
      </w:r>
      <w:r w:rsidRPr="002B4D22">
        <w:rPr>
          <w:rFonts w:ascii="Times New Roman" w:hAnsi="Times New Roman"/>
          <w:color w:val="000000"/>
          <w:sz w:val="26"/>
          <w:szCs w:val="26"/>
        </w:rPr>
        <w:t xml:space="preserve"> </w:t>
      </w:r>
      <w:r w:rsidR="00F45E49" w:rsidRPr="002B4D22">
        <w:rPr>
          <w:rFonts w:ascii="Times New Roman" w:hAnsi="Times New Roman"/>
          <w:color w:val="000000"/>
          <w:sz w:val="26"/>
          <w:szCs w:val="26"/>
        </w:rPr>
        <w:t xml:space="preserve">apstiprināto </w:t>
      </w:r>
      <w:r w:rsidR="007168AA" w:rsidRPr="002B4D22">
        <w:rPr>
          <w:rFonts w:ascii="Times New Roman" w:hAnsi="Times New Roman"/>
          <w:color w:val="000000"/>
          <w:sz w:val="26"/>
          <w:szCs w:val="26"/>
        </w:rPr>
        <w:t>TUA</w:t>
      </w:r>
      <w:r w:rsidR="00F45E49" w:rsidRPr="002B4D22">
        <w:rPr>
          <w:rFonts w:ascii="Times New Roman" w:hAnsi="Times New Roman"/>
          <w:color w:val="000000"/>
          <w:sz w:val="26"/>
          <w:szCs w:val="26"/>
        </w:rPr>
        <w:t xml:space="preserve"> pieteikumu</w:t>
      </w:r>
      <w:r w:rsidR="007168AA" w:rsidRPr="002B4D22">
        <w:rPr>
          <w:rFonts w:ascii="Times New Roman" w:hAnsi="Times New Roman"/>
          <w:color w:val="000000"/>
          <w:sz w:val="26"/>
          <w:szCs w:val="26"/>
        </w:rPr>
        <w:t xml:space="preserve"> saņēmējiem</w:t>
      </w:r>
      <w:r w:rsidR="00297CC0" w:rsidRPr="002B4D22">
        <w:rPr>
          <w:rFonts w:ascii="Times New Roman" w:hAnsi="Times New Roman"/>
          <w:color w:val="000000"/>
          <w:sz w:val="26"/>
          <w:szCs w:val="26"/>
        </w:rPr>
        <w:t xml:space="preserve"> </w:t>
      </w:r>
      <w:r w:rsidR="009B10A4" w:rsidRPr="002B4D22">
        <w:rPr>
          <w:rFonts w:ascii="Times New Roman" w:hAnsi="Times New Roman"/>
          <w:sz w:val="26"/>
          <w:szCs w:val="26"/>
        </w:rPr>
        <w:t>pi</w:t>
      </w:r>
      <w:r w:rsidR="001E091D" w:rsidRPr="002B4D22">
        <w:rPr>
          <w:rFonts w:ascii="Times New Roman" w:hAnsi="Times New Roman"/>
          <w:sz w:val="26"/>
          <w:szCs w:val="26"/>
        </w:rPr>
        <w:t xml:space="preserve">eder kapitāla daļas </w:t>
      </w:r>
      <w:r w:rsidRPr="002B4D22">
        <w:rPr>
          <w:rFonts w:ascii="Times New Roman" w:hAnsi="Times New Roman"/>
          <w:sz w:val="26"/>
          <w:szCs w:val="26"/>
        </w:rPr>
        <w:t>348</w:t>
      </w:r>
      <w:r w:rsidR="009B10A4" w:rsidRPr="002B4D22">
        <w:rPr>
          <w:rFonts w:ascii="Times New Roman" w:hAnsi="Times New Roman"/>
          <w:sz w:val="26"/>
          <w:szCs w:val="26"/>
        </w:rPr>
        <w:t xml:space="preserve"> Latvijā </w:t>
      </w:r>
      <w:r w:rsidR="0047363D" w:rsidRPr="002B4D22">
        <w:rPr>
          <w:rFonts w:ascii="Times New Roman" w:hAnsi="Times New Roman"/>
          <w:sz w:val="26"/>
          <w:szCs w:val="26"/>
        </w:rPr>
        <w:t>reģistrētos uzņēmumos</w:t>
      </w:r>
      <w:r w:rsidR="009B10A4" w:rsidRPr="002B4D22">
        <w:rPr>
          <w:rFonts w:ascii="Times New Roman" w:hAnsi="Times New Roman"/>
          <w:sz w:val="26"/>
          <w:szCs w:val="26"/>
        </w:rPr>
        <w:t xml:space="preserve">. </w:t>
      </w:r>
      <w:r w:rsidR="00867FAF" w:rsidRPr="002B4D22">
        <w:rPr>
          <w:rFonts w:ascii="Times New Roman" w:hAnsi="Times New Roman"/>
          <w:sz w:val="26"/>
          <w:szCs w:val="26"/>
        </w:rPr>
        <w:t>K</w:t>
      </w:r>
      <w:r w:rsidR="0009111B" w:rsidRPr="002B4D22">
        <w:rPr>
          <w:rFonts w:ascii="Times New Roman" w:hAnsi="Times New Roman"/>
          <w:sz w:val="26"/>
          <w:szCs w:val="26"/>
        </w:rPr>
        <w:t xml:space="preserve">opumā </w:t>
      </w:r>
      <w:r w:rsidR="0047363D" w:rsidRPr="002B4D22">
        <w:rPr>
          <w:rFonts w:ascii="Times New Roman" w:hAnsi="Times New Roman"/>
          <w:sz w:val="26"/>
          <w:szCs w:val="26"/>
        </w:rPr>
        <w:t xml:space="preserve">šajos uzņēmumos </w:t>
      </w:r>
      <w:r w:rsidR="0009111B" w:rsidRPr="002B4D22">
        <w:rPr>
          <w:rFonts w:ascii="Times New Roman" w:hAnsi="Times New Roman"/>
          <w:sz w:val="26"/>
          <w:szCs w:val="26"/>
        </w:rPr>
        <w:t>2014.gadā tika nodarbināti 398 darbinieki</w:t>
      </w:r>
      <w:r w:rsidR="00867FAF" w:rsidRPr="002B4D22">
        <w:rPr>
          <w:rStyle w:val="FootnoteReference"/>
          <w:rFonts w:ascii="Times New Roman" w:hAnsi="Times New Roman"/>
          <w:sz w:val="26"/>
          <w:szCs w:val="26"/>
        </w:rPr>
        <w:footnoteReference w:id="14"/>
      </w:r>
      <w:r w:rsidR="0009111B" w:rsidRPr="002B4D22">
        <w:rPr>
          <w:rFonts w:ascii="Times New Roman" w:hAnsi="Times New Roman"/>
          <w:sz w:val="26"/>
          <w:szCs w:val="26"/>
        </w:rPr>
        <w:t xml:space="preserve"> un kopējais </w:t>
      </w:r>
      <w:r w:rsidR="0047363D" w:rsidRPr="002B4D22">
        <w:rPr>
          <w:rFonts w:ascii="Times New Roman" w:hAnsi="Times New Roman"/>
          <w:sz w:val="26"/>
          <w:szCs w:val="26"/>
        </w:rPr>
        <w:t xml:space="preserve">uzņēmumu </w:t>
      </w:r>
      <w:r w:rsidR="00867FAF" w:rsidRPr="002B4D22">
        <w:rPr>
          <w:rFonts w:ascii="Times New Roman" w:hAnsi="Times New Roman"/>
          <w:sz w:val="26"/>
          <w:szCs w:val="26"/>
        </w:rPr>
        <w:t>(t.sk. akciju sabiedrības)</w:t>
      </w:r>
      <w:r w:rsidR="0009111B" w:rsidRPr="002B4D22">
        <w:rPr>
          <w:rFonts w:ascii="Times New Roman" w:hAnsi="Times New Roman"/>
          <w:sz w:val="26"/>
          <w:szCs w:val="26"/>
        </w:rPr>
        <w:t xml:space="preserve"> apgrozījums sasniedza aptuveni </w:t>
      </w:r>
      <w:r w:rsidR="006D5ABC" w:rsidRPr="002B4D22">
        <w:rPr>
          <w:rFonts w:ascii="Times New Roman" w:hAnsi="Times New Roman"/>
          <w:sz w:val="26"/>
          <w:szCs w:val="26"/>
        </w:rPr>
        <w:t>85,25</w:t>
      </w:r>
      <w:r w:rsidR="0009111B"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09111B" w:rsidRPr="002B4D22">
        <w:rPr>
          <w:rFonts w:ascii="Times New Roman" w:hAnsi="Times New Roman"/>
          <w:sz w:val="26"/>
          <w:szCs w:val="26"/>
        </w:rPr>
        <w:t xml:space="preserve">, </w:t>
      </w:r>
      <w:r w:rsidR="00867FAF" w:rsidRPr="002B4D22">
        <w:rPr>
          <w:rFonts w:ascii="Times New Roman" w:hAnsi="Times New Roman"/>
          <w:sz w:val="26"/>
          <w:szCs w:val="26"/>
        </w:rPr>
        <w:t xml:space="preserve">2014.gadā </w:t>
      </w:r>
      <w:r w:rsidR="0009111B" w:rsidRPr="002B4D22">
        <w:rPr>
          <w:rFonts w:ascii="Times New Roman" w:hAnsi="Times New Roman"/>
          <w:sz w:val="26"/>
          <w:szCs w:val="26"/>
        </w:rPr>
        <w:t xml:space="preserve">ar peļņu strādāja </w:t>
      </w:r>
      <w:r w:rsidR="00761D99" w:rsidRPr="002B4D22">
        <w:rPr>
          <w:rFonts w:ascii="Times New Roman" w:hAnsi="Times New Roman"/>
          <w:sz w:val="26"/>
          <w:szCs w:val="26"/>
        </w:rPr>
        <w:t>66</w:t>
      </w:r>
      <w:r w:rsidR="0009111B" w:rsidRPr="002B4D22">
        <w:rPr>
          <w:rFonts w:ascii="Times New Roman" w:hAnsi="Times New Roman"/>
          <w:sz w:val="26"/>
          <w:szCs w:val="26"/>
        </w:rPr>
        <w:t xml:space="preserve"> </w:t>
      </w:r>
      <w:r w:rsidR="00E52D70" w:rsidRPr="002B4D22">
        <w:rPr>
          <w:rFonts w:ascii="Times New Roman" w:hAnsi="Times New Roman"/>
          <w:sz w:val="26"/>
          <w:szCs w:val="26"/>
        </w:rPr>
        <w:t>uzņēmumi</w:t>
      </w:r>
      <w:r w:rsidR="0009111B" w:rsidRPr="002B4D22">
        <w:rPr>
          <w:rFonts w:ascii="Times New Roman" w:hAnsi="Times New Roman"/>
          <w:sz w:val="26"/>
          <w:szCs w:val="26"/>
        </w:rPr>
        <w:t xml:space="preserve">, bet ar zaudējumiem – </w:t>
      </w:r>
      <w:r w:rsidR="006D5ABC" w:rsidRPr="002B4D22">
        <w:rPr>
          <w:rFonts w:ascii="Times New Roman" w:hAnsi="Times New Roman"/>
          <w:sz w:val="26"/>
          <w:szCs w:val="26"/>
        </w:rPr>
        <w:t>154</w:t>
      </w:r>
      <w:r w:rsidR="0009111B" w:rsidRPr="002B4D22">
        <w:rPr>
          <w:rFonts w:ascii="Times New Roman" w:hAnsi="Times New Roman"/>
          <w:sz w:val="26"/>
          <w:szCs w:val="26"/>
        </w:rPr>
        <w:t>.</w:t>
      </w:r>
      <w:r w:rsidR="008D2F21" w:rsidRPr="002B4D22">
        <w:rPr>
          <w:rFonts w:ascii="Times New Roman" w:hAnsi="Times New Roman"/>
          <w:sz w:val="26"/>
          <w:szCs w:val="26"/>
        </w:rPr>
        <w:t xml:space="preserve"> 2</w:t>
      </w:r>
      <w:r w:rsidR="0009111B" w:rsidRPr="002B4D22">
        <w:rPr>
          <w:rFonts w:ascii="Times New Roman" w:hAnsi="Times New Roman"/>
          <w:sz w:val="26"/>
          <w:szCs w:val="26"/>
        </w:rPr>
        <w:t xml:space="preserve">015.gada </w:t>
      </w:r>
      <w:r w:rsidR="00867FAF" w:rsidRPr="002B4D22">
        <w:rPr>
          <w:rFonts w:ascii="Times New Roman" w:hAnsi="Times New Roman"/>
          <w:sz w:val="26"/>
          <w:szCs w:val="26"/>
        </w:rPr>
        <w:t>1</w:t>
      </w:r>
      <w:r w:rsidR="0009111B" w:rsidRPr="002B4D22">
        <w:rPr>
          <w:rFonts w:ascii="Times New Roman" w:hAnsi="Times New Roman"/>
          <w:sz w:val="26"/>
          <w:szCs w:val="26"/>
        </w:rPr>
        <w:t xml:space="preserve">.pusgadā </w:t>
      </w:r>
      <w:r w:rsidR="00E52D70" w:rsidRPr="002B4D22">
        <w:rPr>
          <w:rFonts w:ascii="Times New Roman" w:hAnsi="Times New Roman"/>
          <w:sz w:val="26"/>
          <w:szCs w:val="26"/>
        </w:rPr>
        <w:t xml:space="preserve">šajos uzņēmumos </w:t>
      </w:r>
      <w:r w:rsidR="0009111B" w:rsidRPr="002B4D22">
        <w:rPr>
          <w:rFonts w:ascii="Times New Roman" w:hAnsi="Times New Roman"/>
          <w:sz w:val="26"/>
          <w:szCs w:val="26"/>
        </w:rPr>
        <w:t xml:space="preserve">tika nodarbināti </w:t>
      </w:r>
      <w:r w:rsidR="006D5ABC" w:rsidRPr="002B4D22">
        <w:rPr>
          <w:rFonts w:ascii="Times New Roman" w:hAnsi="Times New Roman"/>
          <w:sz w:val="26"/>
          <w:szCs w:val="26"/>
        </w:rPr>
        <w:t>598 darbinieki</w:t>
      </w:r>
      <w:r w:rsidR="008369F4" w:rsidRPr="002B4D22">
        <w:rPr>
          <w:rFonts w:ascii="Times New Roman" w:hAnsi="Times New Roman"/>
          <w:sz w:val="26"/>
          <w:szCs w:val="26"/>
        </w:rPr>
        <w:t>.</w:t>
      </w:r>
      <w:r w:rsidR="006D5ABC" w:rsidRPr="002B4D22">
        <w:rPr>
          <w:rFonts w:ascii="Times New Roman" w:hAnsi="Times New Roman"/>
          <w:sz w:val="26"/>
          <w:szCs w:val="26"/>
        </w:rPr>
        <w:t xml:space="preserve"> </w:t>
      </w:r>
    </w:p>
    <w:p w:rsidR="00B6641A" w:rsidRPr="002B4D22" w:rsidRDefault="00B6641A" w:rsidP="00534DFC">
      <w:pPr>
        <w:spacing w:after="120" w:line="240" w:lineRule="auto"/>
        <w:jc w:val="right"/>
        <w:rPr>
          <w:rFonts w:ascii="Times New Roman" w:hAnsi="Times New Roman"/>
          <w:sz w:val="26"/>
          <w:szCs w:val="26"/>
        </w:rPr>
      </w:pPr>
    </w:p>
    <w:p w:rsidR="00380F71" w:rsidRPr="002B4D22" w:rsidRDefault="007833C9" w:rsidP="00534DFC">
      <w:pPr>
        <w:keepNext/>
        <w:spacing w:after="120" w:line="240" w:lineRule="auto"/>
        <w:jc w:val="right"/>
        <w:rPr>
          <w:rFonts w:ascii="Times New Roman" w:hAnsi="Times New Roman"/>
          <w:sz w:val="26"/>
          <w:szCs w:val="26"/>
        </w:rPr>
      </w:pPr>
      <w:r>
        <w:rPr>
          <w:rFonts w:ascii="Times New Roman" w:hAnsi="Times New Roman"/>
          <w:sz w:val="26"/>
          <w:szCs w:val="26"/>
        </w:rPr>
        <w:t>10</w:t>
      </w:r>
      <w:r w:rsidR="00380F71" w:rsidRPr="002B4D22">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7"/>
        <w:gridCol w:w="4766"/>
      </w:tblGrid>
      <w:tr w:rsidR="00380F71" w:rsidRPr="002B4D22" w:rsidTr="00873031">
        <w:tc>
          <w:tcPr>
            <w:tcW w:w="9571" w:type="dxa"/>
            <w:gridSpan w:val="2"/>
          </w:tcPr>
          <w:p w:rsidR="000B5F1D" w:rsidRPr="002B4D22" w:rsidRDefault="0047363D"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Uzņēmumu</w:t>
            </w:r>
            <w:r w:rsidR="000B5F1D" w:rsidRPr="002B4D22">
              <w:rPr>
                <w:rFonts w:ascii="Times New Roman" w:hAnsi="Times New Roman"/>
                <w:b/>
                <w:sz w:val="24"/>
                <w:szCs w:val="24"/>
              </w:rPr>
              <w:t xml:space="preserve">, </w:t>
            </w:r>
            <w:r w:rsidRPr="002B4D22">
              <w:rPr>
                <w:rFonts w:ascii="Times New Roman" w:hAnsi="Times New Roman"/>
                <w:b/>
                <w:sz w:val="24"/>
                <w:szCs w:val="24"/>
              </w:rPr>
              <w:t xml:space="preserve">kuros </w:t>
            </w:r>
            <w:r w:rsidR="00380F71" w:rsidRPr="002B4D22">
              <w:rPr>
                <w:rFonts w:ascii="Times New Roman" w:hAnsi="Times New Roman"/>
                <w:b/>
                <w:sz w:val="24"/>
                <w:szCs w:val="24"/>
              </w:rPr>
              <w:t>TUA iesniedzējiem – ieguldītājiem nekust</w:t>
            </w:r>
            <w:r w:rsidR="00544584" w:rsidRPr="002B4D22">
              <w:rPr>
                <w:rFonts w:ascii="Times New Roman" w:hAnsi="Times New Roman"/>
                <w:b/>
                <w:sz w:val="24"/>
                <w:szCs w:val="24"/>
              </w:rPr>
              <w:t>a</w:t>
            </w:r>
            <w:r w:rsidR="00380F71" w:rsidRPr="002B4D22">
              <w:rPr>
                <w:rFonts w:ascii="Times New Roman" w:hAnsi="Times New Roman"/>
                <w:b/>
                <w:sz w:val="24"/>
                <w:szCs w:val="24"/>
              </w:rPr>
              <w:t>majā īpašumā</w:t>
            </w:r>
            <w:r w:rsidR="000B5F1D" w:rsidRPr="002B4D22">
              <w:rPr>
                <w:rFonts w:ascii="Times New Roman" w:hAnsi="Times New Roman"/>
                <w:b/>
                <w:sz w:val="24"/>
                <w:szCs w:val="24"/>
              </w:rPr>
              <w:t>, pieder īpašumtiesību daļas</w:t>
            </w:r>
          </w:p>
          <w:p w:rsidR="00380F71" w:rsidRPr="002B4D22" w:rsidRDefault="00380F71" w:rsidP="00534DFC">
            <w:pPr>
              <w:keepNext/>
              <w:spacing w:after="120" w:line="240" w:lineRule="auto"/>
              <w:jc w:val="center"/>
              <w:rPr>
                <w:rFonts w:ascii="Times New Roman" w:hAnsi="Times New Roman"/>
                <w:b/>
                <w:sz w:val="24"/>
                <w:szCs w:val="24"/>
              </w:rPr>
            </w:pPr>
          </w:p>
        </w:tc>
      </w:tr>
      <w:tr w:rsidR="006D1997" w:rsidRPr="002B4D22" w:rsidTr="00873031">
        <w:tc>
          <w:tcPr>
            <w:tcW w:w="4785" w:type="dxa"/>
          </w:tcPr>
          <w:p w:rsidR="00380F71" w:rsidRPr="002B4D22" w:rsidRDefault="00380F7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sadalījums pēc to dibināšanas gada</w:t>
            </w:r>
          </w:p>
          <w:p w:rsidR="00380F71" w:rsidRPr="002B4D22" w:rsidRDefault="00380F71" w:rsidP="00534DFC">
            <w:pPr>
              <w:keepNext/>
              <w:spacing w:after="120" w:line="240" w:lineRule="auto"/>
              <w:jc w:val="right"/>
              <w:rPr>
                <w:rFonts w:ascii="Times New Roman" w:hAnsi="Times New Roman"/>
                <w:sz w:val="26"/>
                <w:szCs w:val="26"/>
              </w:rPr>
            </w:pPr>
            <w:r w:rsidRPr="002B4D22">
              <w:rPr>
                <w:rFonts w:ascii="Times New Roman" w:hAnsi="Times New Roman"/>
                <w:noProof/>
                <w:sz w:val="26"/>
                <w:szCs w:val="26"/>
                <w:lang w:eastAsia="lv-LV"/>
              </w:rPr>
              <w:drawing>
                <wp:inline distT="0" distB="0" distL="0" distR="0">
                  <wp:extent cx="2838450" cy="267652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0F71" w:rsidRPr="002B4D22" w:rsidRDefault="00380F71" w:rsidP="00534DFC">
            <w:pPr>
              <w:keepNext/>
              <w:spacing w:after="120" w:line="240" w:lineRule="auto"/>
              <w:rPr>
                <w:rFonts w:ascii="Times New Roman" w:hAnsi="Times New Roman"/>
                <w:i/>
                <w:sz w:val="26"/>
                <w:szCs w:val="26"/>
              </w:rPr>
            </w:pPr>
          </w:p>
          <w:p w:rsidR="00380F71" w:rsidRPr="002B4D22" w:rsidRDefault="00380F71" w:rsidP="00534DFC">
            <w:pPr>
              <w:keepNext/>
              <w:spacing w:after="120" w:line="240" w:lineRule="auto"/>
              <w:rPr>
                <w:rFonts w:ascii="Times New Roman" w:hAnsi="Times New Roman"/>
                <w:sz w:val="22"/>
                <w:szCs w:val="22"/>
              </w:rPr>
            </w:pPr>
            <w:r w:rsidRPr="002B4D22">
              <w:rPr>
                <w:rFonts w:ascii="Times New Roman" w:hAnsi="Times New Roman"/>
                <w:i/>
                <w:sz w:val="22"/>
                <w:szCs w:val="22"/>
              </w:rPr>
              <w:t xml:space="preserve">Avots: </w:t>
            </w:r>
            <w:r w:rsidR="00B65637">
              <w:rPr>
                <w:rFonts w:ascii="Times New Roman" w:hAnsi="Times New Roman"/>
                <w:i/>
                <w:sz w:val="22"/>
                <w:szCs w:val="22"/>
              </w:rPr>
              <w:t>LURSOFT</w:t>
            </w:r>
          </w:p>
        </w:tc>
        <w:tc>
          <w:tcPr>
            <w:tcW w:w="4786" w:type="dxa"/>
          </w:tcPr>
          <w:p w:rsidR="00380F71" w:rsidRPr="002B4D22" w:rsidRDefault="00380F7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sadalījums pēc darbības jomas </w:t>
            </w:r>
            <w:r w:rsidRPr="002B4D22">
              <w:rPr>
                <w:rFonts w:ascii="Times New Roman" w:hAnsi="Times New Roman"/>
                <w:noProof/>
                <w:sz w:val="26"/>
                <w:szCs w:val="26"/>
                <w:lang w:eastAsia="lv-LV"/>
              </w:rPr>
              <w:drawing>
                <wp:inline distT="0" distB="0" distL="0" distR="0">
                  <wp:extent cx="2886075" cy="275272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0F71" w:rsidRPr="002B4D22" w:rsidRDefault="00380F71" w:rsidP="00534DFC">
            <w:pPr>
              <w:keepNext/>
              <w:spacing w:after="120" w:line="240" w:lineRule="auto"/>
              <w:rPr>
                <w:rFonts w:ascii="Times New Roman" w:hAnsi="Times New Roman"/>
                <w:i/>
                <w:sz w:val="26"/>
                <w:szCs w:val="26"/>
              </w:rPr>
            </w:pPr>
          </w:p>
          <w:p w:rsidR="00380F71" w:rsidRPr="002B4D22" w:rsidRDefault="00380F71" w:rsidP="00534DFC">
            <w:pPr>
              <w:keepNext/>
              <w:spacing w:after="120" w:line="240" w:lineRule="auto"/>
              <w:rPr>
                <w:rFonts w:ascii="Times New Roman" w:hAnsi="Times New Roman"/>
                <w:i/>
                <w:sz w:val="26"/>
                <w:szCs w:val="26"/>
              </w:rPr>
            </w:pPr>
            <w:r w:rsidRPr="002B4D22">
              <w:rPr>
                <w:rFonts w:ascii="Times New Roman" w:hAnsi="Times New Roman"/>
                <w:i/>
                <w:sz w:val="22"/>
                <w:szCs w:val="22"/>
              </w:rPr>
              <w:t xml:space="preserve">Avots: </w:t>
            </w:r>
            <w:r w:rsidR="00B65637">
              <w:rPr>
                <w:rFonts w:ascii="Times New Roman" w:hAnsi="Times New Roman"/>
                <w:i/>
                <w:sz w:val="22"/>
                <w:szCs w:val="22"/>
              </w:rPr>
              <w:t>LURSOFT</w:t>
            </w:r>
            <w:r w:rsidRPr="002B4D22">
              <w:rPr>
                <w:rFonts w:ascii="Times New Roman" w:hAnsi="Times New Roman"/>
                <w:i/>
                <w:sz w:val="26"/>
                <w:szCs w:val="26"/>
              </w:rPr>
              <w:t xml:space="preserve"> </w:t>
            </w:r>
          </w:p>
        </w:tc>
      </w:tr>
    </w:tbl>
    <w:p w:rsidR="00380F71" w:rsidRPr="002B4D22" w:rsidRDefault="00380F71" w:rsidP="00534DFC">
      <w:pPr>
        <w:spacing w:after="120" w:line="240" w:lineRule="auto"/>
        <w:jc w:val="right"/>
        <w:rPr>
          <w:rFonts w:ascii="Times New Roman" w:hAnsi="Times New Roman"/>
          <w:sz w:val="26"/>
          <w:szCs w:val="26"/>
        </w:rPr>
      </w:pPr>
    </w:p>
    <w:p w:rsidR="009B10A4" w:rsidRPr="002B4D22" w:rsidRDefault="002868F7" w:rsidP="00534DFC">
      <w:pPr>
        <w:keepNext/>
        <w:spacing w:after="120" w:line="240" w:lineRule="auto"/>
        <w:ind w:firstLine="567"/>
        <w:jc w:val="both"/>
        <w:rPr>
          <w:rFonts w:ascii="Times New Roman" w:hAnsi="Times New Roman"/>
          <w:sz w:val="26"/>
          <w:szCs w:val="26"/>
        </w:rPr>
      </w:pPr>
      <w:r w:rsidRPr="002B4D22">
        <w:rPr>
          <w:rFonts w:ascii="Times New Roman" w:hAnsi="Times New Roman"/>
          <w:sz w:val="26"/>
          <w:szCs w:val="26"/>
        </w:rPr>
        <w:lastRenderedPageBreak/>
        <w:t>No</w:t>
      </w:r>
      <w:r w:rsidR="00C9363E" w:rsidRPr="002B4D22">
        <w:rPr>
          <w:rFonts w:ascii="Times New Roman" w:hAnsi="Times New Roman"/>
          <w:sz w:val="26"/>
          <w:szCs w:val="26"/>
        </w:rPr>
        <w:t xml:space="preserve"> </w:t>
      </w:r>
      <w:r w:rsidR="00E52D70" w:rsidRPr="002B4D22">
        <w:rPr>
          <w:rFonts w:ascii="Times New Roman" w:hAnsi="Times New Roman"/>
          <w:sz w:val="26"/>
          <w:szCs w:val="26"/>
        </w:rPr>
        <w:t>uzņēmumiem</w:t>
      </w:r>
      <w:r w:rsidRPr="002B4D22">
        <w:rPr>
          <w:rFonts w:ascii="Times New Roman" w:hAnsi="Times New Roman"/>
          <w:sz w:val="26"/>
          <w:szCs w:val="26"/>
        </w:rPr>
        <w:t>,</w:t>
      </w:r>
      <w:r w:rsidR="00C9363E" w:rsidRPr="002B4D22">
        <w:rPr>
          <w:rFonts w:ascii="Times New Roman" w:hAnsi="Times New Roman"/>
          <w:sz w:val="26"/>
          <w:szCs w:val="26"/>
        </w:rPr>
        <w:t xml:space="preserve"> </w:t>
      </w:r>
      <w:r w:rsidR="00E52D70" w:rsidRPr="002B4D22">
        <w:rPr>
          <w:rFonts w:ascii="Times New Roman" w:hAnsi="Times New Roman"/>
          <w:sz w:val="26"/>
          <w:szCs w:val="26"/>
        </w:rPr>
        <w:t xml:space="preserve">kuros </w:t>
      </w:r>
      <w:r w:rsidR="00721BD1" w:rsidRPr="002B4D22">
        <w:rPr>
          <w:rFonts w:ascii="Times New Roman" w:hAnsi="Times New Roman"/>
          <w:sz w:val="26"/>
          <w:szCs w:val="26"/>
        </w:rPr>
        <w:t xml:space="preserve">apstiprināto </w:t>
      </w:r>
      <w:r w:rsidR="00C9363E" w:rsidRPr="002B4D22">
        <w:rPr>
          <w:rFonts w:ascii="Times New Roman" w:hAnsi="Times New Roman"/>
          <w:sz w:val="26"/>
          <w:szCs w:val="26"/>
        </w:rPr>
        <w:t xml:space="preserve">TUA </w:t>
      </w:r>
      <w:r w:rsidR="00721BD1" w:rsidRPr="002B4D22">
        <w:rPr>
          <w:rFonts w:ascii="Times New Roman" w:hAnsi="Times New Roman"/>
          <w:sz w:val="26"/>
          <w:szCs w:val="26"/>
        </w:rPr>
        <w:t xml:space="preserve">pieteikumu </w:t>
      </w:r>
      <w:r w:rsidR="00C9363E" w:rsidRPr="002B4D22">
        <w:rPr>
          <w:rFonts w:ascii="Times New Roman" w:hAnsi="Times New Roman"/>
          <w:sz w:val="26"/>
          <w:szCs w:val="26"/>
        </w:rPr>
        <w:t xml:space="preserve">iesniedzējiem (ieguldītāji nekustamajā īpašumā) pieder </w:t>
      </w:r>
      <w:r w:rsidRPr="002B4D22">
        <w:rPr>
          <w:rFonts w:ascii="Times New Roman" w:hAnsi="Times New Roman"/>
          <w:sz w:val="26"/>
          <w:szCs w:val="26"/>
        </w:rPr>
        <w:t xml:space="preserve">īpašumtiesību </w:t>
      </w:r>
      <w:r w:rsidR="000A2105" w:rsidRPr="002B4D22">
        <w:rPr>
          <w:rFonts w:ascii="Times New Roman" w:hAnsi="Times New Roman"/>
          <w:sz w:val="26"/>
          <w:szCs w:val="26"/>
        </w:rPr>
        <w:t>daļas</w:t>
      </w:r>
      <w:r w:rsidR="00A05141" w:rsidRPr="002B4D22">
        <w:rPr>
          <w:rFonts w:ascii="Times New Roman" w:hAnsi="Times New Roman"/>
          <w:sz w:val="26"/>
          <w:szCs w:val="26"/>
        </w:rPr>
        <w:t>,</w:t>
      </w:r>
      <w:r w:rsidR="000A2105" w:rsidRPr="002B4D22">
        <w:rPr>
          <w:rFonts w:ascii="Times New Roman" w:hAnsi="Times New Roman"/>
          <w:sz w:val="26"/>
          <w:szCs w:val="26"/>
        </w:rPr>
        <w:t xml:space="preserve"> vairāk kā</w:t>
      </w:r>
      <w:r w:rsidR="00C9363E" w:rsidRPr="002B4D22">
        <w:rPr>
          <w:rFonts w:ascii="Times New Roman" w:hAnsi="Times New Roman"/>
          <w:sz w:val="26"/>
          <w:szCs w:val="26"/>
        </w:rPr>
        <w:t xml:space="preserve"> puse</w:t>
      </w:r>
      <w:r w:rsidRPr="002B4D22">
        <w:rPr>
          <w:rFonts w:ascii="Times New Roman" w:hAnsi="Times New Roman"/>
          <w:sz w:val="26"/>
          <w:szCs w:val="26"/>
        </w:rPr>
        <w:t xml:space="preserve"> no </w:t>
      </w:r>
      <w:r w:rsidR="00E52D70" w:rsidRPr="002B4D22">
        <w:rPr>
          <w:rFonts w:ascii="Times New Roman" w:hAnsi="Times New Roman"/>
          <w:sz w:val="26"/>
          <w:szCs w:val="26"/>
        </w:rPr>
        <w:t>tiem</w:t>
      </w:r>
      <w:r w:rsidRPr="002B4D22">
        <w:rPr>
          <w:rFonts w:ascii="Times New Roman" w:hAnsi="Times New Roman"/>
          <w:sz w:val="26"/>
          <w:szCs w:val="26"/>
        </w:rPr>
        <w:t xml:space="preserve">, </w:t>
      </w:r>
      <w:r w:rsidR="00E52D70" w:rsidRPr="002B4D22">
        <w:rPr>
          <w:rFonts w:ascii="Times New Roman" w:hAnsi="Times New Roman"/>
          <w:sz w:val="26"/>
          <w:szCs w:val="26"/>
        </w:rPr>
        <w:t>kuri norādījuši</w:t>
      </w:r>
      <w:r w:rsidRPr="002B4D22">
        <w:rPr>
          <w:rFonts w:ascii="Times New Roman" w:hAnsi="Times New Roman"/>
          <w:sz w:val="26"/>
          <w:szCs w:val="26"/>
        </w:rPr>
        <w:t xml:space="preserve"> </w:t>
      </w:r>
      <w:r w:rsidR="00FE1CB5" w:rsidRPr="002B4D22">
        <w:rPr>
          <w:rFonts w:ascii="Times New Roman" w:hAnsi="Times New Roman"/>
          <w:sz w:val="26"/>
          <w:szCs w:val="26"/>
        </w:rPr>
        <w:t>darbības veid</w:t>
      </w:r>
      <w:r w:rsidRPr="002B4D22">
        <w:rPr>
          <w:rFonts w:ascii="Times New Roman" w:hAnsi="Times New Roman"/>
          <w:sz w:val="26"/>
          <w:szCs w:val="26"/>
        </w:rPr>
        <w:t>u</w:t>
      </w:r>
      <w:r w:rsidR="00FE1CB5" w:rsidRPr="002B4D22">
        <w:rPr>
          <w:rFonts w:ascii="Times New Roman" w:hAnsi="Times New Roman"/>
          <w:sz w:val="26"/>
          <w:szCs w:val="26"/>
        </w:rPr>
        <w:t xml:space="preserve"> (5</w:t>
      </w:r>
      <w:r w:rsidRPr="002B4D22">
        <w:rPr>
          <w:rFonts w:ascii="Times New Roman" w:hAnsi="Times New Roman"/>
          <w:sz w:val="26"/>
          <w:szCs w:val="26"/>
        </w:rPr>
        <w:t>4</w:t>
      </w:r>
      <w:r w:rsidR="009B10A4" w:rsidRPr="002B4D22">
        <w:rPr>
          <w:rFonts w:ascii="Times New Roman" w:hAnsi="Times New Roman"/>
          <w:sz w:val="26"/>
          <w:szCs w:val="26"/>
        </w:rPr>
        <w:t xml:space="preserve">% no </w:t>
      </w:r>
      <w:r w:rsidR="00E52D70" w:rsidRPr="002B4D22">
        <w:rPr>
          <w:rFonts w:ascii="Times New Roman" w:hAnsi="Times New Roman"/>
          <w:sz w:val="26"/>
          <w:szCs w:val="26"/>
        </w:rPr>
        <w:t>visiem uzņēmumiem</w:t>
      </w:r>
      <w:r w:rsidR="00E1482E" w:rsidRPr="002B4D22">
        <w:rPr>
          <w:rFonts w:ascii="Times New Roman" w:hAnsi="Times New Roman"/>
          <w:sz w:val="26"/>
          <w:szCs w:val="26"/>
        </w:rPr>
        <w:t xml:space="preserve">, kas </w:t>
      </w:r>
      <w:r w:rsidR="00E52D70" w:rsidRPr="002B4D22">
        <w:rPr>
          <w:rFonts w:ascii="Times New Roman" w:hAnsi="Times New Roman"/>
          <w:sz w:val="26"/>
          <w:szCs w:val="26"/>
        </w:rPr>
        <w:t>norādījuši</w:t>
      </w:r>
      <w:r w:rsidR="00E1482E" w:rsidRPr="002B4D22">
        <w:rPr>
          <w:rFonts w:ascii="Times New Roman" w:hAnsi="Times New Roman"/>
          <w:sz w:val="26"/>
          <w:szCs w:val="26"/>
        </w:rPr>
        <w:t xml:space="preserve"> pamatdarbības veidu</w:t>
      </w:r>
      <w:r w:rsidR="009B10A4" w:rsidRPr="002B4D22">
        <w:rPr>
          <w:rFonts w:ascii="Times New Roman" w:hAnsi="Times New Roman"/>
          <w:sz w:val="26"/>
          <w:szCs w:val="26"/>
        </w:rPr>
        <w:t>) snie</w:t>
      </w:r>
      <w:r w:rsidR="00FE1CB5" w:rsidRPr="002B4D22">
        <w:rPr>
          <w:rFonts w:ascii="Times New Roman" w:hAnsi="Times New Roman"/>
          <w:sz w:val="26"/>
          <w:szCs w:val="26"/>
        </w:rPr>
        <w:t xml:space="preserve">dz komercpakalpojumus (no tiem </w:t>
      </w:r>
      <w:r w:rsidR="00267B03" w:rsidRPr="002B4D22">
        <w:rPr>
          <w:rFonts w:ascii="Times New Roman" w:hAnsi="Times New Roman"/>
          <w:sz w:val="26"/>
          <w:szCs w:val="26"/>
        </w:rPr>
        <w:t>22</w:t>
      </w:r>
      <w:r w:rsidR="009B10A4" w:rsidRPr="002B4D22">
        <w:rPr>
          <w:rFonts w:ascii="Times New Roman" w:hAnsi="Times New Roman"/>
          <w:sz w:val="26"/>
          <w:szCs w:val="26"/>
        </w:rPr>
        <w:t>% ir saistīti ar darījumiem ar neku</w:t>
      </w:r>
      <w:r w:rsidR="00FE1CB5" w:rsidRPr="002B4D22">
        <w:rPr>
          <w:rFonts w:ascii="Times New Roman" w:hAnsi="Times New Roman"/>
          <w:sz w:val="26"/>
          <w:szCs w:val="26"/>
        </w:rPr>
        <w:t xml:space="preserve">stamajiem īpašumiem). Savukārt </w:t>
      </w:r>
      <w:r w:rsidR="00267B03" w:rsidRPr="002B4D22">
        <w:rPr>
          <w:rFonts w:ascii="Times New Roman" w:hAnsi="Times New Roman"/>
          <w:sz w:val="26"/>
          <w:szCs w:val="26"/>
        </w:rPr>
        <w:t>21</w:t>
      </w:r>
      <w:r w:rsidR="009B10A4" w:rsidRPr="002B4D22">
        <w:rPr>
          <w:rFonts w:ascii="Times New Roman" w:hAnsi="Times New Roman"/>
          <w:sz w:val="26"/>
          <w:szCs w:val="26"/>
        </w:rPr>
        <w:t xml:space="preserve">% </w:t>
      </w:r>
      <w:r w:rsidR="00E52D70" w:rsidRPr="002B4D22">
        <w:rPr>
          <w:rFonts w:ascii="Times New Roman" w:hAnsi="Times New Roman"/>
          <w:sz w:val="26"/>
          <w:szCs w:val="26"/>
        </w:rPr>
        <w:t xml:space="preserve">uzņēmumu </w:t>
      </w:r>
      <w:r w:rsidR="009B10A4" w:rsidRPr="002B4D22">
        <w:rPr>
          <w:rFonts w:ascii="Times New Roman" w:hAnsi="Times New Roman"/>
          <w:sz w:val="26"/>
          <w:szCs w:val="26"/>
        </w:rPr>
        <w:t xml:space="preserve">pamatdarbības veids ir </w:t>
      </w:r>
      <w:r w:rsidR="00267B03" w:rsidRPr="002B4D22">
        <w:rPr>
          <w:rFonts w:ascii="Times New Roman" w:hAnsi="Times New Roman"/>
          <w:sz w:val="26"/>
          <w:szCs w:val="26"/>
        </w:rPr>
        <w:t>vairumtirdzniecība vai mazumtirdzniecība</w:t>
      </w:r>
      <w:r w:rsidR="009B10A4" w:rsidRPr="002B4D22">
        <w:rPr>
          <w:rFonts w:ascii="Times New Roman" w:hAnsi="Times New Roman"/>
          <w:sz w:val="26"/>
          <w:szCs w:val="26"/>
        </w:rPr>
        <w:t>.</w:t>
      </w:r>
      <w:r w:rsidR="00267B03" w:rsidRPr="002B4D22">
        <w:rPr>
          <w:rFonts w:ascii="Times New Roman" w:hAnsi="Times New Roman"/>
          <w:sz w:val="26"/>
          <w:szCs w:val="26"/>
        </w:rPr>
        <w:t xml:space="preserve"> Kā pamatdarbības veidu – </w:t>
      </w:r>
      <w:r w:rsidR="0047363D" w:rsidRPr="002B4D22">
        <w:rPr>
          <w:rFonts w:ascii="Times New Roman" w:hAnsi="Times New Roman"/>
          <w:sz w:val="26"/>
          <w:szCs w:val="26"/>
        </w:rPr>
        <w:t>apstrādes</w:t>
      </w:r>
      <w:r w:rsidR="00E51806" w:rsidRPr="002B4D22">
        <w:rPr>
          <w:rFonts w:ascii="Times New Roman" w:hAnsi="Times New Roman"/>
          <w:sz w:val="26"/>
          <w:szCs w:val="26"/>
        </w:rPr>
        <w:t xml:space="preserve"> </w:t>
      </w:r>
      <w:r w:rsidR="0047363D" w:rsidRPr="002B4D22">
        <w:rPr>
          <w:rFonts w:ascii="Times New Roman" w:hAnsi="Times New Roman"/>
          <w:sz w:val="26"/>
          <w:szCs w:val="26"/>
        </w:rPr>
        <w:t xml:space="preserve">rūpniecību </w:t>
      </w:r>
      <w:r w:rsidR="00267B03" w:rsidRPr="002B4D22">
        <w:rPr>
          <w:rFonts w:ascii="Times New Roman" w:hAnsi="Times New Roman"/>
          <w:sz w:val="26"/>
          <w:szCs w:val="26"/>
        </w:rPr>
        <w:t xml:space="preserve">ir </w:t>
      </w:r>
      <w:r w:rsidR="00E52D70" w:rsidRPr="002B4D22">
        <w:rPr>
          <w:rFonts w:ascii="Times New Roman" w:hAnsi="Times New Roman"/>
          <w:sz w:val="26"/>
          <w:szCs w:val="26"/>
        </w:rPr>
        <w:t xml:space="preserve">norādījuši </w:t>
      </w:r>
      <w:r w:rsidR="00267B03" w:rsidRPr="002B4D22">
        <w:rPr>
          <w:rFonts w:ascii="Times New Roman" w:hAnsi="Times New Roman"/>
          <w:sz w:val="26"/>
          <w:szCs w:val="26"/>
        </w:rPr>
        <w:t xml:space="preserve">vien 10 </w:t>
      </w:r>
      <w:r w:rsidR="00E52D70" w:rsidRPr="002B4D22">
        <w:rPr>
          <w:rFonts w:ascii="Times New Roman" w:hAnsi="Times New Roman"/>
          <w:sz w:val="26"/>
          <w:szCs w:val="26"/>
        </w:rPr>
        <w:t>uzņēmumi</w:t>
      </w:r>
      <w:r w:rsidR="00267B03" w:rsidRPr="002B4D22">
        <w:rPr>
          <w:rFonts w:ascii="Times New Roman" w:hAnsi="Times New Roman"/>
          <w:sz w:val="26"/>
          <w:szCs w:val="26"/>
        </w:rPr>
        <w:t xml:space="preserve">, t.i. 6,5% no </w:t>
      </w:r>
      <w:r w:rsidR="00E52D70" w:rsidRPr="002B4D22">
        <w:rPr>
          <w:rFonts w:ascii="Times New Roman" w:hAnsi="Times New Roman"/>
          <w:sz w:val="26"/>
          <w:szCs w:val="26"/>
        </w:rPr>
        <w:t>tiem uzņēmumiem</w:t>
      </w:r>
      <w:r w:rsidR="00267B03" w:rsidRPr="002B4D22">
        <w:rPr>
          <w:rFonts w:ascii="Times New Roman" w:hAnsi="Times New Roman"/>
          <w:sz w:val="26"/>
          <w:szCs w:val="26"/>
        </w:rPr>
        <w:t xml:space="preserve">, kas ir </w:t>
      </w:r>
      <w:r w:rsidR="00E52D70" w:rsidRPr="002B4D22">
        <w:rPr>
          <w:rFonts w:ascii="Times New Roman" w:hAnsi="Times New Roman"/>
          <w:sz w:val="26"/>
          <w:szCs w:val="26"/>
        </w:rPr>
        <w:t xml:space="preserve">norādījuši </w:t>
      </w:r>
      <w:r w:rsidR="00267B03" w:rsidRPr="002B4D22">
        <w:rPr>
          <w:rFonts w:ascii="Times New Roman" w:hAnsi="Times New Roman"/>
          <w:sz w:val="26"/>
          <w:szCs w:val="26"/>
        </w:rPr>
        <w:t>pamatdarbības veidus.</w:t>
      </w:r>
      <w:r w:rsidR="009B10A4" w:rsidRPr="002B4D22">
        <w:rPr>
          <w:rFonts w:ascii="Times New Roman" w:hAnsi="Times New Roman"/>
          <w:sz w:val="26"/>
          <w:szCs w:val="26"/>
        </w:rPr>
        <w:t xml:space="preserve"> </w:t>
      </w:r>
      <w:r w:rsidR="0047363D" w:rsidRPr="002B4D22">
        <w:rPr>
          <w:rFonts w:ascii="Times New Roman" w:hAnsi="Times New Roman"/>
          <w:sz w:val="26"/>
          <w:szCs w:val="26"/>
        </w:rPr>
        <w:t xml:space="preserve">Pēc apgrozījuma 2014.gadā </w:t>
      </w:r>
      <w:r w:rsidR="00E52D70" w:rsidRPr="002B4D22">
        <w:rPr>
          <w:rFonts w:ascii="Times New Roman" w:hAnsi="Times New Roman"/>
          <w:sz w:val="26"/>
          <w:szCs w:val="26"/>
        </w:rPr>
        <w:t>lielākie no tiem</w:t>
      </w:r>
      <w:r w:rsidR="009B10A4" w:rsidRPr="002B4D22">
        <w:rPr>
          <w:rFonts w:ascii="Times New Roman" w:hAnsi="Times New Roman"/>
          <w:sz w:val="26"/>
          <w:szCs w:val="26"/>
        </w:rPr>
        <w:t xml:space="preserve"> darbojās tādās apakšnozarēs kā </w:t>
      </w:r>
      <w:r w:rsidR="00267B03" w:rsidRPr="002B4D22">
        <w:rPr>
          <w:rFonts w:ascii="Times New Roman" w:hAnsi="Times New Roman"/>
          <w:sz w:val="26"/>
          <w:szCs w:val="26"/>
        </w:rPr>
        <w:t xml:space="preserve">koka izstrādājumu ražošana, papīra un kartona izstrādājumu ražošana, detaļu un piederumu ražošana mehāniskajiem transportlīdzekļiem, pārējo neorganisko ķīmisko pamatvielu ražošana. </w:t>
      </w:r>
    </w:p>
    <w:p w:rsidR="00A411C7" w:rsidRDefault="00A411C7" w:rsidP="00534DFC">
      <w:pPr>
        <w:pStyle w:val="Heading1"/>
        <w:spacing w:before="0" w:after="120" w:line="240" w:lineRule="auto"/>
        <w:rPr>
          <w:rFonts w:ascii="Times New Roman" w:hAnsi="Times New Roman"/>
          <w:sz w:val="26"/>
          <w:szCs w:val="26"/>
        </w:rPr>
      </w:pPr>
    </w:p>
    <w:p w:rsidR="009B10A4" w:rsidRPr="002B4D22" w:rsidRDefault="009B10A4" w:rsidP="00534DFC">
      <w:pPr>
        <w:pStyle w:val="Heading1"/>
        <w:spacing w:before="0" w:after="120" w:line="240" w:lineRule="auto"/>
        <w:rPr>
          <w:rFonts w:ascii="Times New Roman" w:hAnsi="Times New Roman"/>
          <w:color w:val="auto"/>
        </w:rPr>
      </w:pPr>
      <w:bookmarkStart w:id="23" w:name="_Toc429659165"/>
      <w:r w:rsidRPr="002B4D22">
        <w:rPr>
          <w:rFonts w:ascii="Times New Roman" w:hAnsi="Times New Roman"/>
          <w:color w:val="auto"/>
        </w:rPr>
        <w:t>5. Finanšu investīcijas kredītiestādē</w:t>
      </w:r>
      <w:bookmarkEnd w:id="23"/>
    </w:p>
    <w:p w:rsidR="00D33630" w:rsidRPr="002B4D22" w:rsidRDefault="009B10A4" w:rsidP="00D9172E">
      <w:pPr>
        <w:spacing w:after="0" w:line="240" w:lineRule="auto"/>
        <w:ind w:firstLine="567"/>
        <w:jc w:val="both"/>
        <w:rPr>
          <w:rFonts w:ascii="Times New Roman" w:hAnsi="Times New Roman"/>
          <w:sz w:val="26"/>
          <w:szCs w:val="26"/>
        </w:rPr>
      </w:pPr>
      <w:r w:rsidRPr="002B4D22">
        <w:rPr>
          <w:rFonts w:ascii="Times New Roman" w:hAnsi="Times New Roman"/>
          <w:sz w:val="26"/>
          <w:szCs w:val="26"/>
        </w:rPr>
        <w:t>Imigrācijas likuma 23.panta pirmās daļas 30.punkts paredz piešķirt TUA trešo valstu pilsoņiem, kuri ieguldījuši vismaz 2</w:t>
      </w:r>
      <w:r w:rsidR="000C2A4F" w:rsidRPr="002B4D22">
        <w:rPr>
          <w:rFonts w:ascii="Times New Roman" w:hAnsi="Times New Roman"/>
          <w:sz w:val="26"/>
          <w:szCs w:val="26"/>
        </w:rPr>
        <w:t>80</w:t>
      </w:r>
      <w:r w:rsidRPr="002B4D22">
        <w:rPr>
          <w:rFonts w:ascii="Times New Roman" w:hAnsi="Times New Roman"/>
          <w:sz w:val="26"/>
          <w:szCs w:val="26"/>
        </w:rPr>
        <w:t xml:space="preserve"> tūkstošus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Latvijas kredītiestādes </w:t>
      </w:r>
      <w:r w:rsidR="00544584" w:rsidRPr="002B4D22">
        <w:rPr>
          <w:rFonts w:ascii="Times New Roman" w:hAnsi="Times New Roman"/>
          <w:sz w:val="26"/>
          <w:szCs w:val="26"/>
        </w:rPr>
        <w:t>pakārtotajās saistībās</w:t>
      </w:r>
      <w:r w:rsidRPr="002B4D22">
        <w:rPr>
          <w:rFonts w:ascii="Times New Roman" w:hAnsi="Times New Roman"/>
          <w:sz w:val="26"/>
          <w:szCs w:val="26"/>
        </w:rPr>
        <w:t>.</w:t>
      </w:r>
      <w:r w:rsidR="00B63404" w:rsidRPr="002B4D22">
        <w:rPr>
          <w:rFonts w:ascii="Times New Roman" w:hAnsi="Times New Roman"/>
          <w:sz w:val="26"/>
          <w:szCs w:val="26"/>
        </w:rPr>
        <w:t xml:space="preserve"> No 2014.gada 1.septembra papildus šim ieguldījumam TUA pieprasītājiem jāveic maksājums </w:t>
      </w:r>
      <w:r w:rsidR="003F2DC4">
        <w:rPr>
          <w:rFonts w:ascii="Times New Roman" w:hAnsi="Times New Roman"/>
          <w:sz w:val="26"/>
          <w:szCs w:val="26"/>
        </w:rPr>
        <w:t>valsts pamatbudžeta programmai “</w:t>
      </w:r>
      <w:r w:rsidR="00B63404" w:rsidRPr="002B4D22">
        <w:rPr>
          <w:rFonts w:ascii="Times New Roman" w:hAnsi="Times New Roman"/>
          <w:sz w:val="26"/>
          <w:szCs w:val="26"/>
        </w:rPr>
        <w:t>Ekonomikas attīstības programma” atvērtajā valsts pamatbudžeta izdevumu kontā 25</w:t>
      </w:r>
      <w:r w:rsidR="003F2DC4">
        <w:rPr>
          <w:rFonts w:ascii="Times New Roman" w:hAnsi="Times New Roman"/>
          <w:sz w:val="26"/>
          <w:szCs w:val="26"/>
        </w:rPr>
        <w:t> </w:t>
      </w:r>
      <w:r w:rsidR="00B63404" w:rsidRPr="002B4D22">
        <w:rPr>
          <w:rFonts w:ascii="Times New Roman" w:hAnsi="Times New Roman"/>
          <w:sz w:val="26"/>
          <w:szCs w:val="26"/>
        </w:rPr>
        <w:t xml:space="preserve">000 </w:t>
      </w:r>
      <w:proofErr w:type="spellStart"/>
      <w:r w:rsidR="003D08DB" w:rsidRPr="002B4D22">
        <w:rPr>
          <w:rFonts w:ascii="Times New Roman" w:hAnsi="Times New Roman"/>
          <w:i/>
          <w:sz w:val="26"/>
          <w:szCs w:val="26"/>
        </w:rPr>
        <w:t>euro</w:t>
      </w:r>
      <w:proofErr w:type="spellEnd"/>
      <w:r w:rsidR="00B63404" w:rsidRPr="002B4D22">
        <w:rPr>
          <w:rFonts w:ascii="Times New Roman" w:hAnsi="Times New Roman"/>
          <w:sz w:val="26"/>
          <w:szCs w:val="26"/>
        </w:rPr>
        <w:t xml:space="preserve"> apmērā. </w:t>
      </w:r>
      <w:r w:rsidR="00D33630" w:rsidRPr="002B4D22">
        <w:rPr>
          <w:rFonts w:ascii="Times New Roman" w:hAnsi="Times New Roman"/>
          <w:sz w:val="26"/>
          <w:szCs w:val="26"/>
        </w:rPr>
        <w:t xml:space="preserve">Jaunā regulējuma ietekmē TUA pieprasītāju skaits saskaņā ar šo Imigrācijas likuma normu ir samazinājies – no 2014.gada 1.septembra līdz 2015.gada 30.jūnijam TUA pieteikumus iesnieguši </w:t>
      </w:r>
      <w:r w:rsidR="00152DA6" w:rsidRPr="002B4D22">
        <w:rPr>
          <w:rFonts w:ascii="Times New Roman" w:hAnsi="Times New Roman"/>
          <w:sz w:val="26"/>
          <w:szCs w:val="26"/>
        </w:rPr>
        <w:t xml:space="preserve">tikai </w:t>
      </w:r>
      <w:r w:rsidR="00D33630" w:rsidRPr="002B4D22">
        <w:rPr>
          <w:rFonts w:ascii="Times New Roman" w:hAnsi="Times New Roman"/>
          <w:sz w:val="26"/>
          <w:szCs w:val="26"/>
        </w:rPr>
        <w:t xml:space="preserve">32 investori. Salīdzinot ar atbilstošu laikposmu </w:t>
      </w:r>
      <w:r w:rsidR="00E03D2F" w:rsidRPr="002B4D22">
        <w:rPr>
          <w:rFonts w:ascii="Times New Roman" w:hAnsi="Times New Roman"/>
          <w:sz w:val="26"/>
          <w:szCs w:val="26"/>
        </w:rPr>
        <w:t>–</w:t>
      </w:r>
      <w:r w:rsidR="00D33630" w:rsidRPr="002B4D22">
        <w:rPr>
          <w:rFonts w:ascii="Times New Roman" w:hAnsi="Times New Roman"/>
          <w:sz w:val="26"/>
          <w:szCs w:val="26"/>
        </w:rPr>
        <w:t xml:space="preserve"> no 2013.gada 1.septembra līdz 2014.gada 30.jūnijam, kad pieteikumus iesniedza 198 investori, vērojams pieteikumu skaita samazinājums par 84%.</w:t>
      </w:r>
    </w:p>
    <w:p w:rsidR="009B10A4" w:rsidRPr="002B4D22" w:rsidRDefault="009B10A4" w:rsidP="00D9172E">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Attiecīgās Imigrācijas likuma normas ietvaros kopš 2010.gada 1.jūlija Latvijas kredītiestāžu </w:t>
      </w:r>
      <w:r w:rsidR="00544584" w:rsidRPr="002B4D22">
        <w:rPr>
          <w:rFonts w:ascii="Times New Roman" w:hAnsi="Times New Roman"/>
          <w:sz w:val="26"/>
          <w:szCs w:val="26"/>
        </w:rPr>
        <w:t>pakārtotajās saistībās</w:t>
      </w:r>
      <w:r w:rsidRPr="002B4D22">
        <w:rPr>
          <w:rFonts w:ascii="Times New Roman" w:hAnsi="Times New Roman"/>
          <w:sz w:val="26"/>
          <w:szCs w:val="26"/>
        </w:rPr>
        <w:t xml:space="preserve"> veikti </w:t>
      </w:r>
      <w:r w:rsidR="00160DDB" w:rsidRPr="002B4D22">
        <w:rPr>
          <w:rFonts w:ascii="Times New Roman" w:hAnsi="Times New Roman"/>
          <w:sz w:val="26"/>
          <w:szCs w:val="26"/>
        </w:rPr>
        <w:t>459</w:t>
      </w:r>
      <w:r w:rsidR="00E40B1C" w:rsidRPr="002B4D22">
        <w:rPr>
          <w:rFonts w:ascii="Times New Roman" w:hAnsi="Times New Roman"/>
          <w:sz w:val="26"/>
          <w:szCs w:val="26"/>
        </w:rPr>
        <w:t xml:space="preserve"> ieguldījumi </w:t>
      </w:r>
      <w:r w:rsidR="00160DDB" w:rsidRPr="002B4D22">
        <w:rPr>
          <w:rFonts w:ascii="Times New Roman" w:hAnsi="Times New Roman"/>
          <w:sz w:val="26"/>
          <w:szCs w:val="26"/>
        </w:rPr>
        <w:t>148,0</w:t>
      </w:r>
      <w:r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AB15B2" w:rsidRPr="002B4D22">
        <w:rPr>
          <w:rFonts w:ascii="Times New Roman" w:hAnsi="Times New Roman"/>
          <w:sz w:val="26"/>
          <w:szCs w:val="26"/>
        </w:rPr>
        <w:t xml:space="preserve"> apmērā, kur 98% </w:t>
      </w:r>
      <w:r w:rsidR="0007206A">
        <w:rPr>
          <w:rFonts w:ascii="Times New Roman" w:hAnsi="Times New Roman"/>
          <w:sz w:val="26"/>
          <w:szCs w:val="26"/>
        </w:rPr>
        <w:t>no darījumu skaita</w:t>
      </w:r>
      <w:r w:rsidR="00AB15B2" w:rsidRPr="002B4D22">
        <w:rPr>
          <w:rFonts w:ascii="Times New Roman" w:hAnsi="Times New Roman"/>
          <w:sz w:val="26"/>
          <w:szCs w:val="26"/>
        </w:rPr>
        <w:t xml:space="preserve"> ir intervālā no 250 līdz 500 tūkst.</w:t>
      </w:r>
      <w:r w:rsidR="0047363D"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001B0886" w:rsidRPr="002B4D22">
        <w:rPr>
          <w:rStyle w:val="FootnoteReference"/>
          <w:rFonts w:ascii="Times New Roman" w:hAnsi="Times New Roman"/>
          <w:i/>
          <w:sz w:val="26"/>
          <w:szCs w:val="26"/>
        </w:rPr>
        <w:footnoteReference w:id="15"/>
      </w:r>
      <w:r w:rsidR="00AB15B2" w:rsidRPr="002B4D22">
        <w:rPr>
          <w:rFonts w:ascii="Times New Roman" w:hAnsi="Times New Roman"/>
          <w:sz w:val="26"/>
          <w:szCs w:val="26"/>
        </w:rPr>
        <w:t>.</w:t>
      </w:r>
    </w:p>
    <w:p w:rsidR="009B10A4" w:rsidRPr="002B4D22" w:rsidRDefault="009B10A4" w:rsidP="00D9172E">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Investīcijām kredītiestādes </w:t>
      </w:r>
      <w:r w:rsidR="00544584" w:rsidRPr="002B4D22">
        <w:rPr>
          <w:rFonts w:ascii="Times New Roman" w:hAnsi="Times New Roman"/>
          <w:sz w:val="26"/>
          <w:szCs w:val="26"/>
        </w:rPr>
        <w:t xml:space="preserve">pakārtotajās saistībās </w:t>
      </w:r>
      <w:r w:rsidRPr="002B4D22">
        <w:rPr>
          <w:rFonts w:ascii="Times New Roman" w:hAnsi="Times New Roman"/>
          <w:sz w:val="26"/>
          <w:szCs w:val="26"/>
        </w:rPr>
        <w:t>ir divas svarīgas priekšrocības:</w:t>
      </w:r>
    </w:p>
    <w:p w:rsidR="009B10A4" w:rsidRPr="002B4D22" w:rsidRDefault="009B10A4" w:rsidP="00A91A72">
      <w:pPr>
        <w:pStyle w:val="ListParagraph"/>
        <w:numPr>
          <w:ilvl w:val="0"/>
          <w:numId w:val="2"/>
        </w:numPr>
        <w:spacing w:after="0" w:line="240" w:lineRule="auto"/>
        <w:ind w:left="993" w:hanging="284"/>
        <w:contextualSpacing w:val="0"/>
        <w:jc w:val="both"/>
        <w:rPr>
          <w:rFonts w:ascii="Times New Roman" w:hAnsi="Times New Roman"/>
          <w:sz w:val="26"/>
          <w:szCs w:val="26"/>
        </w:rPr>
      </w:pPr>
      <w:r w:rsidRPr="002B4D22">
        <w:rPr>
          <w:rFonts w:ascii="Times New Roman" w:hAnsi="Times New Roman"/>
          <w:sz w:val="26"/>
          <w:szCs w:val="26"/>
        </w:rPr>
        <w:t>ļoti ātrs un salīdzinoši vienkāršs variants TUA saņemšanai;</w:t>
      </w:r>
    </w:p>
    <w:p w:rsidR="009B10A4" w:rsidRPr="002B4D22" w:rsidRDefault="009B10A4" w:rsidP="00D9172E">
      <w:pPr>
        <w:pStyle w:val="ListParagraph"/>
        <w:numPr>
          <w:ilvl w:val="0"/>
          <w:numId w:val="2"/>
        </w:numPr>
        <w:spacing w:after="120" w:line="240" w:lineRule="auto"/>
        <w:ind w:left="993" w:hanging="284"/>
        <w:contextualSpacing w:val="0"/>
        <w:jc w:val="both"/>
        <w:rPr>
          <w:rFonts w:ascii="Times New Roman" w:hAnsi="Times New Roman"/>
          <w:sz w:val="26"/>
          <w:szCs w:val="26"/>
        </w:rPr>
      </w:pPr>
      <w:r w:rsidRPr="002B4D22">
        <w:rPr>
          <w:rFonts w:ascii="Times New Roman" w:hAnsi="Times New Roman"/>
          <w:sz w:val="26"/>
          <w:szCs w:val="26"/>
        </w:rPr>
        <w:t>procentu likmes – tas nozīmē, ka investors saņem regulāru un stabilu atdevi no saviem ieguldījumiem.</w:t>
      </w:r>
    </w:p>
    <w:p w:rsidR="009B10A4" w:rsidRDefault="000C7FE2" w:rsidP="00A91A72">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Saskaņā ar AS “ABLV </w:t>
      </w:r>
      <w:proofErr w:type="spellStart"/>
      <w:r w:rsidRPr="002B4D22">
        <w:rPr>
          <w:rFonts w:ascii="Times New Roman" w:hAnsi="Times New Roman"/>
          <w:sz w:val="26"/>
          <w:szCs w:val="26"/>
        </w:rPr>
        <w:t>Bank</w:t>
      </w:r>
      <w:proofErr w:type="spellEnd"/>
      <w:r w:rsidRPr="002B4D22">
        <w:rPr>
          <w:rFonts w:ascii="Times New Roman" w:hAnsi="Times New Roman"/>
          <w:sz w:val="26"/>
          <w:szCs w:val="26"/>
        </w:rPr>
        <w:t xml:space="preserve">” sniegto informāciju 2015.gada pirmajos septiņos mēnešos TUA par investīcijām AS “ABLV </w:t>
      </w:r>
      <w:proofErr w:type="spellStart"/>
      <w:r w:rsidRPr="002B4D22">
        <w:rPr>
          <w:rFonts w:ascii="Times New Roman" w:hAnsi="Times New Roman"/>
          <w:sz w:val="26"/>
          <w:szCs w:val="26"/>
        </w:rPr>
        <w:t>Bank</w:t>
      </w:r>
      <w:proofErr w:type="spellEnd"/>
      <w:r w:rsidRPr="002B4D22">
        <w:rPr>
          <w:rFonts w:ascii="Times New Roman" w:hAnsi="Times New Roman"/>
          <w:sz w:val="26"/>
          <w:szCs w:val="26"/>
        </w:rPr>
        <w:t xml:space="preserve">” (subordinētie aizdevumi) ir saņēmis tikai viens bankas klients (izskatīšanā vēl 2 pieteikumi). Salīdzinājumā, 2014.gada pirmajos septiņos mēnešos šāda veida TUA saņēma 10 bankas klienti. Banka pauž viedokli, ka šis samazinājums saistīts ar plašsaziņas līdzekļos plaši </w:t>
      </w:r>
      <w:r w:rsidR="006A1B76">
        <w:rPr>
          <w:rFonts w:ascii="Times New Roman" w:hAnsi="Times New Roman"/>
          <w:sz w:val="26"/>
          <w:szCs w:val="26"/>
        </w:rPr>
        <w:t>apspries</w:t>
      </w:r>
      <w:r w:rsidRPr="002B4D22">
        <w:rPr>
          <w:rFonts w:ascii="Times New Roman" w:hAnsi="Times New Roman"/>
          <w:sz w:val="26"/>
          <w:szCs w:val="26"/>
        </w:rPr>
        <w:t>to programmas slēgšanu un jau izsniegto TUA anulēšanu Krievijas pilsoņiem.</w:t>
      </w:r>
    </w:p>
    <w:p w:rsidR="006A1B76" w:rsidRDefault="006A1B76" w:rsidP="00A91A72">
      <w:pPr>
        <w:spacing w:after="0" w:line="240" w:lineRule="auto"/>
        <w:ind w:firstLine="567"/>
        <w:jc w:val="both"/>
        <w:rPr>
          <w:rFonts w:ascii="Times New Roman" w:hAnsi="Times New Roman"/>
          <w:sz w:val="26"/>
          <w:szCs w:val="26"/>
        </w:rPr>
      </w:pPr>
    </w:p>
    <w:p w:rsidR="006A1B76" w:rsidRDefault="006A1B76" w:rsidP="00A91A72">
      <w:pPr>
        <w:spacing w:after="0" w:line="240" w:lineRule="auto"/>
        <w:ind w:firstLine="567"/>
        <w:jc w:val="both"/>
        <w:rPr>
          <w:rFonts w:ascii="Times New Roman" w:hAnsi="Times New Roman"/>
          <w:sz w:val="26"/>
          <w:szCs w:val="26"/>
        </w:rPr>
      </w:pPr>
    </w:p>
    <w:p w:rsidR="006A1B76" w:rsidRDefault="006A1B76" w:rsidP="00A91A72">
      <w:pPr>
        <w:spacing w:after="0" w:line="240" w:lineRule="auto"/>
        <w:ind w:firstLine="567"/>
        <w:jc w:val="both"/>
        <w:rPr>
          <w:rFonts w:ascii="Times New Roman" w:hAnsi="Times New Roman"/>
          <w:sz w:val="26"/>
          <w:szCs w:val="26"/>
        </w:rPr>
      </w:pPr>
    </w:p>
    <w:p w:rsidR="006A1B76" w:rsidRDefault="006A1B76" w:rsidP="00A91A72">
      <w:pPr>
        <w:spacing w:after="0" w:line="240" w:lineRule="auto"/>
        <w:ind w:firstLine="567"/>
        <w:jc w:val="both"/>
        <w:rPr>
          <w:rFonts w:ascii="Times New Roman" w:hAnsi="Times New Roman"/>
          <w:sz w:val="26"/>
          <w:szCs w:val="26"/>
        </w:rPr>
      </w:pPr>
    </w:p>
    <w:p w:rsidR="006A1B76" w:rsidRDefault="006A1B76" w:rsidP="00A91A72">
      <w:pPr>
        <w:spacing w:after="0" w:line="240" w:lineRule="auto"/>
        <w:ind w:firstLine="567"/>
        <w:jc w:val="both"/>
        <w:rPr>
          <w:rFonts w:ascii="Times New Roman" w:hAnsi="Times New Roman"/>
          <w:sz w:val="26"/>
          <w:szCs w:val="26"/>
        </w:rPr>
      </w:pPr>
    </w:p>
    <w:p w:rsidR="006A1B76" w:rsidRDefault="006A1B76" w:rsidP="00A91A72">
      <w:pPr>
        <w:spacing w:after="0" w:line="240" w:lineRule="auto"/>
        <w:ind w:firstLine="567"/>
        <w:jc w:val="both"/>
        <w:rPr>
          <w:rFonts w:ascii="Times New Roman" w:hAnsi="Times New Roman"/>
          <w:sz w:val="26"/>
          <w:szCs w:val="26"/>
        </w:rPr>
      </w:pPr>
    </w:p>
    <w:p w:rsidR="006A1B76" w:rsidRPr="002B4D22" w:rsidRDefault="006A1B76" w:rsidP="00A91A72">
      <w:pPr>
        <w:spacing w:after="0" w:line="240" w:lineRule="auto"/>
        <w:ind w:firstLine="567"/>
        <w:jc w:val="both"/>
        <w:rPr>
          <w:rFonts w:ascii="Times New Roman" w:hAnsi="Times New Roman"/>
          <w:sz w:val="26"/>
          <w:szCs w:val="26"/>
        </w:rPr>
      </w:pPr>
    </w:p>
    <w:p w:rsidR="00F6498D" w:rsidRPr="002B4D22" w:rsidRDefault="00D9501E" w:rsidP="00534DFC">
      <w:pPr>
        <w:spacing w:after="120" w:line="240" w:lineRule="auto"/>
        <w:jc w:val="right"/>
        <w:rPr>
          <w:rFonts w:ascii="Times New Roman" w:hAnsi="Times New Roman"/>
          <w:sz w:val="26"/>
          <w:szCs w:val="26"/>
        </w:rPr>
      </w:pPr>
      <w:r>
        <w:rPr>
          <w:rFonts w:ascii="Times New Roman" w:hAnsi="Times New Roman"/>
          <w:sz w:val="26"/>
          <w:szCs w:val="26"/>
        </w:rPr>
        <w:lastRenderedPageBreak/>
        <w:t>1</w:t>
      </w:r>
      <w:r w:rsidR="007833C9">
        <w:rPr>
          <w:rFonts w:ascii="Times New Roman" w:hAnsi="Times New Roman"/>
          <w:sz w:val="26"/>
          <w:szCs w:val="26"/>
        </w:rPr>
        <w:t>1</w:t>
      </w:r>
      <w:r w:rsidR="00F6498D" w:rsidRPr="002B4D22">
        <w:rPr>
          <w:rFonts w:ascii="Times New Roman" w:hAnsi="Times New Roman"/>
          <w:sz w:val="26"/>
          <w:szCs w:val="26"/>
        </w:rPr>
        <w:t>.attēls</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967"/>
      </w:tblGrid>
      <w:tr w:rsidR="00C83CA2" w:rsidRPr="002B4D22" w:rsidTr="000555CD">
        <w:tc>
          <w:tcPr>
            <w:tcW w:w="9571" w:type="dxa"/>
            <w:gridSpan w:val="2"/>
          </w:tcPr>
          <w:p w:rsidR="00C83CA2" w:rsidRPr="002B4D22" w:rsidRDefault="009F4C0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TUA iesniedzēju – ieguldītāju</w:t>
            </w:r>
            <w:r w:rsidR="00C83CA2" w:rsidRPr="002B4D22">
              <w:rPr>
                <w:rFonts w:ascii="Times New Roman" w:hAnsi="Times New Roman"/>
                <w:b/>
                <w:sz w:val="24"/>
                <w:szCs w:val="24"/>
              </w:rPr>
              <w:t xml:space="preserve"> kredītiestādes </w:t>
            </w:r>
            <w:r w:rsidRPr="002B4D22">
              <w:rPr>
                <w:rFonts w:ascii="Times New Roman" w:hAnsi="Times New Roman"/>
                <w:b/>
                <w:sz w:val="24"/>
                <w:szCs w:val="24"/>
              </w:rPr>
              <w:t xml:space="preserve">pakārtotajās saistībās </w:t>
            </w:r>
          </w:p>
        </w:tc>
      </w:tr>
      <w:tr w:rsidR="00F6498D" w:rsidRPr="002B4D22" w:rsidTr="0047363D">
        <w:tc>
          <w:tcPr>
            <w:tcW w:w="4427" w:type="dxa"/>
          </w:tcPr>
          <w:p w:rsidR="00F6498D" w:rsidRPr="002B4D22" w:rsidRDefault="00F6498D" w:rsidP="00342716">
            <w:pPr>
              <w:spacing w:after="0" w:line="240" w:lineRule="auto"/>
              <w:jc w:val="center"/>
              <w:rPr>
                <w:rFonts w:ascii="Times New Roman" w:hAnsi="Times New Roman"/>
                <w:b/>
                <w:sz w:val="24"/>
                <w:szCs w:val="24"/>
              </w:rPr>
            </w:pPr>
            <w:r w:rsidRPr="002B4D22">
              <w:rPr>
                <w:rFonts w:ascii="Times New Roman" w:hAnsi="Times New Roman"/>
                <w:b/>
                <w:sz w:val="24"/>
                <w:szCs w:val="24"/>
              </w:rPr>
              <w:t xml:space="preserve">sadalījums pēc valstiskās piederības </w:t>
            </w:r>
          </w:p>
          <w:p w:rsidR="00ED06D9" w:rsidRPr="002B4D22" w:rsidRDefault="00F6498D" w:rsidP="00534DFC">
            <w:pPr>
              <w:spacing w:after="120" w:line="240" w:lineRule="auto"/>
              <w:jc w:val="center"/>
              <w:rPr>
                <w:rFonts w:ascii="Times New Roman" w:hAnsi="Times New Roman"/>
                <w:sz w:val="26"/>
                <w:szCs w:val="26"/>
              </w:rPr>
            </w:pPr>
            <w:r w:rsidRPr="002B4D22">
              <w:rPr>
                <w:rFonts w:ascii="Times New Roman" w:hAnsi="Times New Roman"/>
                <w:b/>
                <w:sz w:val="24"/>
                <w:szCs w:val="24"/>
              </w:rPr>
              <w:t>(07.2010.-06.201</w:t>
            </w:r>
            <w:r w:rsidR="003B5E94" w:rsidRPr="002B4D22">
              <w:rPr>
                <w:rFonts w:ascii="Times New Roman" w:hAnsi="Times New Roman"/>
                <w:b/>
                <w:sz w:val="24"/>
                <w:szCs w:val="24"/>
              </w:rPr>
              <w:t>5</w:t>
            </w:r>
            <w:r w:rsidRPr="002B4D22">
              <w:rPr>
                <w:rFonts w:ascii="Times New Roman" w:hAnsi="Times New Roman"/>
                <w:b/>
                <w:sz w:val="24"/>
                <w:szCs w:val="24"/>
              </w:rPr>
              <w:t>.)</w:t>
            </w:r>
          </w:p>
          <w:p w:rsidR="00F6498D" w:rsidRPr="002B4D22" w:rsidRDefault="00D5342A" w:rsidP="00534DFC">
            <w:pPr>
              <w:spacing w:after="120" w:line="240" w:lineRule="auto"/>
              <w:jc w:val="center"/>
              <w:rPr>
                <w:rFonts w:ascii="Times New Roman" w:hAnsi="Times New Roman"/>
                <w:noProof/>
                <w:lang w:eastAsia="lv-LV"/>
              </w:rPr>
            </w:pPr>
            <w:r w:rsidRPr="002B4D22">
              <w:rPr>
                <w:rFonts w:ascii="Times New Roman" w:hAnsi="Times New Roman"/>
                <w:noProof/>
                <w:lang w:eastAsia="lv-LV"/>
              </w:rPr>
              <w:drawing>
                <wp:inline distT="0" distB="0" distL="0" distR="0">
                  <wp:extent cx="2714625" cy="25527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498D" w:rsidRPr="002B4D22" w:rsidRDefault="00F6498D" w:rsidP="00534DFC">
            <w:pPr>
              <w:spacing w:after="120" w:line="240" w:lineRule="auto"/>
              <w:rPr>
                <w:rFonts w:ascii="Times New Roman" w:hAnsi="Times New Roman"/>
                <w:b/>
                <w:sz w:val="22"/>
                <w:szCs w:val="22"/>
              </w:rPr>
            </w:pPr>
            <w:r w:rsidRPr="002B4D22">
              <w:rPr>
                <w:rFonts w:ascii="Times New Roman" w:hAnsi="Times New Roman"/>
                <w:i/>
                <w:sz w:val="22"/>
                <w:szCs w:val="22"/>
              </w:rPr>
              <w:t>Avots: PMLP</w:t>
            </w:r>
          </w:p>
        </w:tc>
        <w:tc>
          <w:tcPr>
            <w:tcW w:w="5144" w:type="dxa"/>
          </w:tcPr>
          <w:p w:rsidR="001277D6" w:rsidRDefault="005D7B39" w:rsidP="003F2DC4">
            <w:pPr>
              <w:spacing w:after="120" w:line="240" w:lineRule="auto"/>
              <w:ind w:left="-219" w:right="-207"/>
              <w:jc w:val="center"/>
              <w:rPr>
                <w:rFonts w:ascii="Times New Roman" w:hAnsi="Times New Roman"/>
                <w:b/>
                <w:sz w:val="24"/>
                <w:szCs w:val="24"/>
              </w:rPr>
            </w:pPr>
            <w:r w:rsidRPr="002B4D22">
              <w:rPr>
                <w:rFonts w:ascii="Times New Roman" w:hAnsi="Times New Roman"/>
                <w:b/>
                <w:sz w:val="24"/>
                <w:szCs w:val="24"/>
              </w:rPr>
              <w:t>veikto ieguldījumu apjoms sadalījumā pa kredītiestādēm (07.2010.-06.201</w:t>
            </w:r>
            <w:r w:rsidR="003B5E94" w:rsidRPr="002B4D22">
              <w:rPr>
                <w:rFonts w:ascii="Times New Roman" w:hAnsi="Times New Roman"/>
                <w:b/>
                <w:sz w:val="24"/>
                <w:szCs w:val="24"/>
              </w:rPr>
              <w:t>5</w:t>
            </w:r>
            <w:r w:rsidRPr="002B4D22">
              <w:rPr>
                <w:rFonts w:ascii="Times New Roman" w:hAnsi="Times New Roman"/>
                <w:b/>
                <w:sz w:val="24"/>
                <w:szCs w:val="24"/>
              </w:rPr>
              <w:t>.)</w:t>
            </w:r>
          </w:p>
          <w:p w:rsidR="00F6498D" w:rsidRPr="002B4D22" w:rsidRDefault="001277D6" w:rsidP="00534DFC">
            <w:pPr>
              <w:spacing w:after="120" w:line="240" w:lineRule="auto"/>
              <w:jc w:val="center"/>
              <w:rPr>
                <w:rFonts w:ascii="Times New Roman" w:hAnsi="Times New Roman"/>
                <w:b/>
                <w:sz w:val="24"/>
                <w:szCs w:val="24"/>
              </w:rPr>
            </w:pPr>
            <w:r w:rsidRPr="002B4D22">
              <w:rPr>
                <w:rFonts w:ascii="Times New Roman" w:hAnsi="Times New Roman"/>
                <w:b/>
                <w:noProof/>
                <w:sz w:val="24"/>
                <w:szCs w:val="24"/>
                <w:lang w:eastAsia="lv-LV"/>
              </w:rPr>
              <w:drawing>
                <wp:inline distT="0" distB="0" distL="0" distR="0">
                  <wp:extent cx="2724150" cy="2552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498D" w:rsidRPr="002B4D22" w:rsidRDefault="00F6498D" w:rsidP="00534DFC">
            <w:pPr>
              <w:spacing w:after="120" w:line="240" w:lineRule="auto"/>
              <w:rPr>
                <w:rFonts w:ascii="Times New Roman" w:hAnsi="Times New Roman"/>
                <w:b/>
                <w:sz w:val="24"/>
                <w:szCs w:val="24"/>
              </w:rPr>
            </w:pPr>
            <w:r w:rsidRPr="002B4D22">
              <w:rPr>
                <w:rFonts w:ascii="Times New Roman" w:hAnsi="Times New Roman"/>
                <w:i/>
                <w:sz w:val="22"/>
                <w:szCs w:val="22"/>
              </w:rPr>
              <w:t>Avots: PMLP</w:t>
            </w:r>
          </w:p>
        </w:tc>
      </w:tr>
    </w:tbl>
    <w:p w:rsidR="00A91A72" w:rsidRDefault="00A91A72" w:rsidP="00534DFC">
      <w:pPr>
        <w:spacing w:after="120" w:line="240" w:lineRule="auto"/>
        <w:ind w:firstLine="426"/>
        <w:jc w:val="both"/>
        <w:rPr>
          <w:rFonts w:ascii="Times New Roman" w:hAnsi="Times New Roman"/>
          <w:sz w:val="26"/>
          <w:szCs w:val="26"/>
        </w:rPr>
      </w:pPr>
    </w:p>
    <w:p w:rsidR="009B10A4" w:rsidRPr="002B4D22" w:rsidRDefault="009B10A4" w:rsidP="00A91A72">
      <w:pPr>
        <w:spacing w:after="120" w:line="240" w:lineRule="auto"/>
        <w:ind w:firstLine="567"/>
        <w:jc w:val="both"/>
        <w:rPr>
          <w:rFonts w:ascii="Times New Roman" w:hAnsi="Times New Roman"/>
          <w:color w:val="C00000"/>
          <w:sz w:val="26"/>
          <w:szCs w:val="26"/>
        </w:rPr>
      </w:pPr>
      <w:r w:rsidRPr="002B4D22">
        <w:rPr>
          <w:rFonts w:ascii="Times New Roman" w:hAnsi="Times New Roman"/>
          <w:sz w:val="26"/>
          <w:szCs w:val="26"/>
        </w:rPr>
        <w:t xml:space="preserve">Bez ieguldījumiem kredītiestāžu </w:t>
      </w:r>
      <w:r w:rsidR="00544584" w:rsidRPr="002B4D22">
        <w:rPr>
          <w:rFonts w:ascii="Times New Roman" w:hAnsi="Times New Roman"/>
          <w:sz w:val="26"/>
          <w:szCs w:val="26"/>
        </w:rPr>
        <w:t>pakārtotajās saistībās</w:t>
      </w:r>
      <w:r w:rsidRPr="002B4D22">
        <w:rPr>
          <w:rFonts w:ascii="Times New Roman" w:hAnsi="Times New Roman"/>
          <w:sz w:val="26"/>
          <w:szCs w:val="26"/>
        </w:rPr>
        <w:t xml:space="preserve">, daļa no šiem nerezidentiem, kas saņēmuši TUA Latvijā, ir iesaistījušies saimnieciskajā darbībā – tie ieņem kādu amatu </w:t>
      </w:r>
      <w:r w:rsidR="00DC43DD" w:rsidRPr="002B4D22">
        <w:rPr>
          <w:rFonts w:ascii="Times New Roman" w:hAnsi="Times New Roman"/>
          <w:sz w:val="26"/>
          <w:szCs w:val="26"/>
        </w:rPr>
        <w:t>30</w:t>
      </w:r>
      <w:r w:rsidR="00547B7A" w:rsidRPr="002B4D22">
        <w:rPr>
          <w:rFonts w:ascii="Times New Roman" w:hAnsi="Times New Roman"/>
          <w:sz w:val="26"/>
          <w:szCs w:val="26"/>
        </w:rPr>
        <w:t xml:space="preserve"> Latvijā </w:t>
      </w:r>
      <w:r w:rsidR="00E52D70" w:rsidRPr="002B4D22">
        <w:rPr>
          <w:rFonts w:ascii="Times New Roman" w:hAnsi="Times New Roman"/>
          <w:sz w:val="26"/>
          <w:szCs w:val="26"/>
        </w:rPr>
        <w:t>reģistrētos uzņēmumos</w:t>
      </w:r>
      <w:r w:rsidR="00560D45" w:rsidRPr="002B4D22">
        <w:rPr>
          <w:rFonts w:ascii="Times New Roman" w:hAnsi="Times New Roman"/>
          <w:sz w:val="26"/>
          <w:szCs w:val="26"/>
        </w:rPr>
        <w:t xml:space="preserve"> </w:t>
      </w:r>
      <w:r w:rsidR="004309B1" w:rsidRPr="002B4D22">
        <w:rPr>
          <w:rFonts w:ascii="Times New Roman" w:hAnsi="Times New Roman"/>
          <w:sz w:val="26"/>
          <w:szCs w:val="26"/>
        </w:rPr>
        <w:t>un tiem pieder kapitāla daļas 3</w:t>
      </w:r>
      <w:r w:rsidR="00973862" w:rsidRPr="002B4D22">
        <w:rPr>
          <w:rFonts w:ascii="Times New Roman" w:hAnsi="Times New Roman"/>
          <w:sz w:val="26"/>
          <w:szCs w:val="26"/>
        </w:rPr>
        <w:t>4</w:t>
      </w:r>
      <w:r w:rsidRPr="002B4D22">
        <w:rPr>
          <w:rFonts w:ascii="Times New Roman" w:hAnsi="Times New Roman"/>
          <w:sz w:val="26"/>
          <w:szCs w:val="26"/>
        </w:rPr>
        <w:t xml:space="preserve"> Latvijā </w:t>
      </w:r>
      <w:r w:rsidR="00E52D70" w:rsidRPr="002B4D22">
        <w:rPr>
          <w:rFonts w:ascii="Times New Roman" w:hAnsi="Times New Roman"/>
          <w:sz w:val="26"/>
          <w:szCs w:val="26"/>
        </w:rPr>
        <w:t>reģistrētos uzņēmumos</w:t>
      </w:r>
      <w:r w:rsidRPr="002B4D22">
        <w:rPr>
          <w:rFonts w:ascii="Times New Roman" w:hAnsi="Times New Roman"/>
          <w:sz w:val="26"/>
          <w:szCs w:val="26"/>
        </w:rPr>
        <w:t>.</w:t>
      </w:r>
      <w:r w:rsidR="00BD01D5" w:rsidRPr="002B4D22">
        <w:rPr>
          <w:rFonts w:ascii="Times New Roman" w:hAnsi="Times New Roman"/>
          <w:sz w:val="26"/>
          <w:szCs w:val="26"/>
        </w:rPr>
        <w:t xml:space="preserve"> </w:t>
      </w:r>
      <w:r w:rsidR="00C6746F">
        <w:rPr>
          <w:rFonts w:ascii="Times New Roman" w:hAnsi="Times New Roman"/>
          <w:sz w:val="26"/>
          <w:szCs w:val="26"/>
        </w:rPr>
        <w:t>Kopumā šo uzņēmumu 2015.</w:t>
      </w:r>
      <w:r w:rsidR="009F7D3B" w:rsidRPr="002B4D22">
        <w:rPr>
          <w:rFonts w:ascii="Times New Roman" w:hAnsi="Times New Roman"/>
          <w:sz w:val="26"/>
          <w:szCs w:val="26"/>
        </w:rPr>
        <w:t xml:space="preserve">gada 1.pusgadā samaksāto VID administrēto nodokļu kopapjoms bija ar negatīvu zīmi (-85 tūkst. </w:t>
      </w:r>
      <w:proofErr w:type="spellStart"/>
      <w:r w:rsidR="009F7D3B" w:rsidRPr="002B4D22">
        <w:rPr>
          <w:rFonts w:ascii="Times New Roman" w:hAnsi="Times New Roman"/>
          <w:i/>
          <w:sz w:val="26"/>
          <w:szCs w:val="26"/>
        </w:rPr>
        <w:t>euro</w:t>
      </w:r>
      <w:proofErr w:type="spellEnd"/>
      <w:r w:rsidR="009F7D3B" w:rsidRPr="002B4D22">
        <w:rPr>
          <w:rFonts w:ascii="Times New Roman" w:hAnsi="Times New Roman"/>
          <w:sz w:val="26"/>
          <w:szCs w:val="26"/>
        </w:rPr>
        <w:t xml:space="preserve">). 2014.gadā šādi uzņēmumi kopā valsts kopbudžetā iemaksāja VID administrētos nodokļus 1,1 milj. </w:t>
      </w:r>
      <w:proofErr w:type="spellStart"/>
      <w:r w:rsidR="009F7D3B" w:rsidRPr="002B4D22">
        <w:rPr>
          <w:rFonts w:ascii="Times New Roman" w:hAnsi="Times New Roman"/>
          <w:i/>
          <w:sz w:val="26"/>
          <w:szCs w:val="26"/>
        </w:rPr>
        <w:t>euro</w:t>
      </w:r>
      <w:proofErr w:type="spellEnd"/>
      <w:r w:rsidR="009F7D3B" w:rsidRPr="002B4D22">
        <w:rPr>
          <w:rFonts w:ascii="Times New Roman" w:hAnsi="Times New Roman"/>
          <w:sz w:val="26"/>
          <w:szCs w:val="26"/>
        </w:rPr>
        <w:t xml:space="preserve"> apjomā.</w:t>
      </w:r>
      <w:proofErr w:type="gramStart"/>
      <w:r w:rsidR="009F7D3B" w:rsidRPr="002B4D22">
        <w:rPr>
          <w:rFonts w:ascii="Times New Roman" w:hAnsi="Times New Roman"/>
          <w:sz w:val="26"/>
          <w:szCs w:val="26"/>
        </w:rPr>
        <w:t xml:space="preserve">  </w:t>
      </w:r>
      <w:proofErr w:type="gramEnd"/>
    </w:p>
    <w:p w:rsidR="00D64C3A" w:rsidRPr="002B4D22" w:rsidRDefault="00D64C3A" w:rsidP="00534DFC">
      <w:pPr>
        <w:keepNext/>
        <w:spacing w:after="120" w:line="240" w:lineRule="auto"/>
        <w:jc w:val="right"/>
        <w:rPr>
          <w:rFonts w:ascii="Times New Roman" w:hAnsi="Times New Roman"/>
          <w:color w:val="C00000"/>
          <w:sz w:val="26"/>
          <w:szCs w:val="26"/>
        </w:rPr>
      </w:pPr>
    </w:p>
    <w:p w:rsidR="00D64C3A" w:rsidRPr="002B4D22" w:rsidRDefault="00D9501E" w:rsidP="00534DFC">
      <w:pPr>
        <w:keepNext/>
        <w:spacing w:after="120" w:line="240" w:lineRule="auto"/>
        <w:jc w:val="right"/>
        <w:rPr>
          <w:rFonts w:ascii="Times New Roman" w:hAnsi="Times New Roman"/>
          <w:sz w:val="26"/>
          <w:szCs w:val="26"/>
        </w:rPr>
      </w:pPr>
      <w:r>
        <w:rPr>
          <w:rFonts w:ascii="Times New Roman" w:hAnsi="Times New Roman"/>
          <w:sz w:val="26"/>
          <w:szCs w:val="26"/>
        </w:rPr>
        <w:t>1</w:t>
      </w:r>
      <w:r w:rsidR="007833C9">
        <w:rPr>
          <w:rFonts w:ascii="Times New Roman" w:hAnsi="Times New Roman"/>
          <w:sz w:val="26"/>
          <w:szCs w:val="26"/>
        </w:rPr>
        <w:t>2</w:t>
      </w:r>
      <w:r w:rsidR="00D64C3A" w:rsidRPr="002B4D22">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4748"/>
      </w:tblGrid>
      <w:tr w:rsidR="00D64C3A" w:rsidRPr="002B4D22" w:rsidTr="00873031">
        <w:tc>
          <w:tcPr>
            <w:tcW w:w="9571" w:type="dxa"/>
            <w:gridSpan w:val="2"/>
          </w:tcPr>
          <w:p w:rsidR="00D64C3A" w:rsidRPr="002B4D22" w:rsidRDefault="00D64C3A"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 TUA iesniedzējiem – ieguldītājiem kredītiestāžu </w:t>
            </w:r>
            <w:r w:rsidR="00544584" w:rsidRPr="002B4D22">
              <w:rPr>
                <w:rFonts w:ascii="Times New Roman" w:hAnsi="Times New Roman"/>
                <w:b/>
                <w:sz w:val="24"/>
                <w:szCs w:val="24"/>
              </w:rPr>
              <w:t>pakārtotajās saistībās</w:t>
            </w:r>
            <w:r w:rsidRPr="002B4D22">
              <w:rPr>
                <w:rFonts w:ascii="Times New Roman" w:hAnsi="Times New Roman"/>
                <w:b/>
                <w:sz w:val="24"/>
                <w:szCs w:val="24"/>
              </w:rPr>
              <w:t xml:space="preserve"> attiecināmo (pieder </w:t>
            </w:r>
            <w:r w:rsidR="00973862" w:rsidRPr="002B4D22">
              <w:rPr>
                <w:rFonts w:ascii="Times New Roman" w:hAnsi="Times New Roman"/>
                <w:b/>
                <w:sz w:val="24"/>
                <w:szCs w:val="24"/>
              </w:rPr>
              <w:t xml:space="preserve">īpašumtiesību </w:t>
            </w:r>
            <w:r w:rsidRPr="002B4D22">
              <w:rPr>
                <w:rFonts w:ascii="Times New Roman" w:hAnsi="Times New Roman"/>
                <w:b/>
                <w:sz w:val="24"/>
                <w:szCs w:val="24"/>
              </w:rPr>
              <w:t>daļas)</w:t>
            </w:r>
          </w:p>
        </w:tc>
      </w:tr>
      <w:tr w:rsidR="00D64C3A" w:rsidRPr="002B4D22" w:rsidTr="007F0448">
        <w:trPr>
          <w:trHeight w:val="4383"/>
        </w:trPr>
        <w:tc>
          <w:tcPr>
            <w:tcW w:w="4785" w:type="dxa"/>
          </w:tcPr>
          <w:p w:rsidR="00D64C3A" w:rsidRPr="002B4D22" w:rsidRDefault="00E52D70"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uzņēmumu </w:t>
            </w:r>
            <w:r w:rsidR="00D64C3A" w:rsidRPr="002B4D22">
              <w:rPr>
                <w:rFonts w:ascii="Times New Roman" w:hAnsi="Times New Roman"/>
                <w:b/>
                <w:sz w:val="24"/>
                <w:szCs w:val="24"/>
              </w:rPr>
              <w:t>sadalījums pēc to dibināšanas gada</w:t>
            </w:r>
          </w:p>
          <w:p w:rsidR="00D64C3A" w:rsidRPr="002B4D22" w:rsidRDefault="00D64C3A" w:rsidP="00534DFC">
            <w:pPr>
              <w:keepNext/>
              <w:spacing w:after="120" w:line="240" w:lineRule="auto"/>
              <w:jc w:val="right"/>
              <w:rPr>
                <w:rFonts w:ascii="Times New Roman" w:hAnsi="Times New Roman"/>
                <w:sz w:val="26"/>
                <w:szCs w:val="26"/>
              </w:rPr>
            </w:pPr>
            <w:r w:rsidRPr="002B4D22">
              <w:rPr>
                <w:rFonts w:ascii="Times New Roman" w:hAnsi="Times New Roman"/>
                <w:noProof/>
                <w:sz w:val="26"/>
                <w:szCs w:val="26"/>
                <w:lang w:eastAsia="lv-LV"/>
              </w:rPr>
              <w:drawing>
                <wp:inline distT="0" distB="0" distL="0" distR="0">
                  <wp:extent cx="2619375" cy="215265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F0448" w:rsidRDefault="007F0448" w:rsidP="00534DFC">
            <w:pPr>
              <w:keepNext/>
              <w:spacing w:after="120" w:line="240" w:lineRule="auto"/>
              <w:rPr>
                <w:rFonts w:ascii="Times New Roman" w:hAnsi="Times New Roman"/>
                <w:i/>
                <w:sz w:val="22"/>
                <w:szCs w:val="22"/>
              </w:rPr>
            </w:pPr>
          </w:p>
          <w:p w:rsidR="00D64C3A" w:rsidRPr="002B4D22" w:rsidRDefault="00D64C3A" w:rsidP="00534DFC">
            <w:pPr>
              <w:keepNext/>
              <w:spacing w:after="120" w:line="240" w:lineRule="auto"/>
              <w:rPr>
                <w:rFonts w:ascii="Times New Roman" w:hAnsi="Times New Roman"/>
                <w:sz w:val="22"/>
                <w:szCs w:val="22"/>
              </w:rPr>
            </w:pPr>
            <w:r w:rsidRPr="002B4D22">
              <w:rPr>
                <w:rFonts w:ascii="Times New Roman" w:hAnsi="Times New Roman"/>
                <w:i/>
                <w:sz w:val="22"/>
                <w:szCs w:val="22"/>
              </w:rPr>
              <w:t xml:space="preserve">Avots: </w:t>
            </w:r>
            <w:r w:rsidR="00B65637">
              <w:rPr>
                <w:rFonts w:ascii="Times New Roman" w:hAnsi="Times New Roman"/>
                <w:i/>
                <w:sz w:val="22"/>
                <w:szCs w:val="22"/>
              </w:rPr>
              <w:t>LURSOFT</w:t>
            </w:r>
          </w:p>
        </w:tc>
        <w:tc>
          <w:tcPr>
            <w:tcW w:w="4786" w:type="dxa"/>
          </w:tcPr>
          <w:p w:rsidR="00D64C3A" w:rsidRPr="002B4D22" w:rsidRDefault="00E52D70"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uzņēmumu </w:t>
            </w:r>
            <w:r w:rsidR="00D64C3A" w:rsidRPr="002B4D22">
              <w:rPr>
                <w:rFonts w:ascii="Times New Roman" w:hAnsi="Times New Roman"/>
                <w:b/>
                <w:sz w:val="24"/>
                <w:szCs w:val="24"/>
              </w:rPr>
              <w:t xml:space="preserve">sadalījums pēc darbības jomas </w:t>
            </w:r>
          </w:p>
          <w:p w:rsidR="00D64C3A" w:rsidRPr="002B4D22" w:rsidRDefault="00D64C3A" w:rsidP="00534DFC">
            <w:pPr>
              <w:keepNext/>
              <w:spacing w:after="120" w:line="240" w:lineRule="auto"/>
              <w:jc w:val="center"/>
              <w:rPr>
                <w:rFonts w:ascii="Times New Roman" w:hAnsi="Times New Roman"/>
                <w:b/>
                <w:sz w:val="24"/>
                <w:szCs w:val="24"/>
              </w:rPr>
            </w:pPr>
            <w:r w:rsidRPr="002B4D22">
              <w:rPr>
                <w:rFonts w:ascii="Times New Roman" w:hAnsi="Times New Roman"/>
                <w:noProof/>
                <w:sz w:val="26"/>
                <w:szCs w:val="26"/>
                <w:lang w:eastAsia="lv-LV"/>
              </w:rPr>
              <w:drawing>
                <wp:inline distT="0" distB="0" distL="0" distR="0">
                  <wp:extent cx="2724150" cy="23241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0448" w:rsidRDefault="007F0448" w:rsidP="00534DFC">
            <w:pPr>
              <w:keepNext/>
              <w:spacing w:after="120" w:line="240" w:lineRule="auto"/>
              <w:rPr>
                <w:rFonts w:ascii="Times New Roman" w:hAnsi="Times New Roman"/>
                <w:i/>
                <w:sz w:val="26"/>
                <w:szCs w:val="26"/>
              </w:rPr>
            </w:pPr>
          </w:p>
          <w:p w:rsidR="00D64C3A" w:rsidRPr="002B4D22" w:rsidRDefault="007F0448" w:rsidP="00534DFC">
            <w:pPr>
              <w:keepNext/>
              <w:spacing w:after="120" w:line="240" w:lineRule="auto"/>
              <w:rPr>
                <w:rFonts w:ascii="Times New Roman" w:hAnsi="Times New Roman"/>
                <w:sz w:val="26"/>
                <w:szCs w:val="26"/>
              </w:rPr>
            </w:pPr>
            <w:r>
              <w:rPr>
                <w:rFonts w:ascii="Times New Roman" w:hAnsi="Times New Roman"/>
                <w:i/>
                <w:sz w:val="22"/>
                <w:szCs w:val="22"/>
              </w:rPr>
              <w:t>A</w:t>
            </w:r>
            <w:r w:rsidR="00D64C3A" w:rsidRPr="002B4D22">
              <w:rPr>
                <w:rFonts w:ascii="Times New Roman" w:hAnsi="Times New Roman"/>
                <w:i/>
                <w:sz w:val="22"/>
                <w:szCs w:val="22"/>
              </w:rPr>
              <w:t xml:space="preserve">vots: </w:t>
            </w:r>
            <w:r w:rsidR="00B65637">
              <w:rPr>
                <w:rFonts w:ascii="Times New Roman" w:hAnsi="Times New Roman"/>
                <w:i/>
                <w:sz w:val="22"/>
                <w:szCs w:val="22"/>
              </w:rPr>
              <w:t>LURSOFT</w:t>
            </w:r>
            <w:r w:rsidR="00D64C3A" w:rsidRPr="002B4D22">
              <w:rPr>
                <w:rFonts w:ascii="Times New Roman" w:hAnsi="Times New Roman"/>
                <w:sz w:val="26"/>
                <w:szCs w:val="26"/>
              </w:rPr>
              <w:t xml:space="preserve"> </w:t>
            </w:r>
          </w:p>
        </w:tc>
      </w:tr>
    </w:tbl>
    <w:p w:rsidR="00D64C3A" w:rsidRPr="002B4D22" w:rsidRDefault="00D64C3A" w:rsidP="00534DFC">
      <w:pPr>
        <w:spacing w:after="120" w:line="240" w:lineRule="auto"/>
        <w:ind w:firstLine="426"/>
        <w:jc w:val="both"/>
        <w:rPr>
          <w:rFonts w:ascii="Times New Roman" w:hAnsi="Times New Roman"/>
          <w:sz w:val="26"/>
          <w:szCs w:val="26"/>
        </w:rPr>
      </w:pPr>
    </w:p>
    <w:p w:rsidR="009B10A4" w:rsidRPr="002B4D22" w:rsidRDefault="00D85B57" w:rsidP="00A91A72">
      <w:pPr>
        <w:spacing w:after="120" w:line="240" w:lineRule="auto"/>
        <w:ind w:firstLine="567"/>
        <w:jc w:val="both"/>
        <w:rPr>
          <w:rFonts w:ascii="Times New Roman" w:hAnsi="Times New Roman"/>
          <w:sz w:val="26"/>
          <w:szCs w:val="26"/>
        </w:rPr>
      </w:pPr>
      <w:r w:rsidRPr="002B4D22">
        <w:rPr>
          <w:rFonts w:ascii="Times New Roman" w:hAnsi="Times New Roman"/>
          <w:sz w:val="26"/>
          <w:szCs w:val="26"/>
        </w:rPr>
        <w:t>To</w:t>
      </w:r>
      <w:r w:rsidR="00380F71" w:rsidRPr="002B4D22">
        <w:rPr>
          <w:rFonts w:ascii="Times New Roman" w:hAnsi="Times New Roman"/>
          <w:sz w:val="26"/>
          <w:szCs w:val="26"/>
        </w:rPr>
        <w:t xml:space="preserve"> </w:t>
      </w:r>
      <w:r w:rsidR="00E52D70" w:rsidRPr="002B4D22">
        <w:rPr>
          <w:rFonts w:ascii="Times New Roman" w:hAnsi="Times New Roman"/>
          <w:sz w:val="26"/>
          <w:szCs w:val="26"/>
        </w:rPr>
        <w:t>uzņēmumu, kuros</w:t>
      </w:r>
      <w:r w:rsidR="001B0886" w:rsidRPr="002B4D22">
        <w:rPr>
          <w:rFonts w:ascii="Times New Roman" w:hAnsi="Times New Roman"/>
          <w:sz w:val="26"/>
          <w:szCs w:val="26"/>
        </w:rPr>
        <w:t xml:space="preserve"> TUA iesniedzējiem pieder daļas,</w:t>
      </w:r>
      <w:r w:rsidR="00547B7A" w:rsidRPr="002B4D22">
        <w:rPr>
          <w:rFonts w:ascii="Times New Roman" w:hAnsi="Times New Roman"/>
          <w:sz w:val="26"/>
          <w:szCs w:val="26"/>
        </w:rPr>
        <w:t xml:space="preserve"> apgrozījums 201</w:t>
      </w:r>
      <w:r w:rsidRPr="002B4D22">
        <w:rPr>
          <w:rFonts w:ascii="Times New Roman" w:hAnsi="Times New Roman"/>
          <w:sz w:val="26"/>
          <w:szCs w:val="26"/>
        </w:rPr>
        <w:t>4</w:t>
      </w:r>
      <w:r w:rsidR="009B10A4" w:rsidRPr="002B4D22">
        <w:rPr>
          <w:rFonts w:ascii="Times New Roman" w:hAnsi="Times New Roman"/>
          <w:sz w:val="26"/>
          <w:szCs w:val="26"/>
        </w:rPr>
        <w:t xml:space="preserve">.gadā </w:t>
      </w:r>
      <w:r w:rsidR="00547B7A" w:rsidRPr="002B4D22">
        <w:rPr>
          <w:rFonts w:ascii="Times New Roman" w:hAnsi="Times New Roman"/>
          <w:sz w:val="26"/>
          <w:szCs w:val="26"/>
        </w:rPr>
        <w:t>sasniedza</w:t>
      </w:r>
      <w:r w:rsidRPr="002B4D22">
        <w:rPr>
          <w:rFonts w:ascii="Times New Roman" w:hAnsi="Times New Roman"/>
          <w:sz w:val="26"/>
          <w:szCs w:val="26"/>
        </w:rPr>
        <w:t xml:space="preserve"> 4,6</w:t>
      </w:r>
      <w:r w:rsidR="00547B7A"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Pr="002B4D22">
        <w:rPr>
          <w:rFonts w:ascii="Times New Roman" w:hAnsi="Times New Roman"/>
          <w:i/>
          <w:sz w:val="26"/>
          <w:szCs w:val="26"/>
        </w:rPr>
        <w:t xml:space="preserve"> </w:t>
      </w:r>
      <w:r w:rsidR="00547B7A" w:rsidRPr="002B4D22">
        <w:rPr>
          <w:rFonts w:ascii="Times New Roman" w:hAnsi="Times New Roman"/>
          <w:sz w:val="26"/>
          <w:szCs w:val="26"/>
        </w:rPr>
        <w:t xml:space="preserve">un </w:t>
      </w:r>
      <w:r w:rsidR="00E52D70" w:rsidRPr="002B4D22">
        <w:rPr>
          <w:rFonts w:ascii="Times New Roman" w:hAnsi="Times New Roman"/>
          <w:sz w:val="26"/>
          <w:szCs w:val="26"/>
        </w:rPr>
        <w:t xml:space="preserve">tajos </w:t>
      </w:r>
      <w:r w:rsidR="00547B7A" w:rsidRPr="002B4D22">
        <w:rPr>
          <w:rFonts w:ascii="Times New Roman" w:hAnsi="Times New Roman"/>
          <w:sz w:val="26"/>
          <w:szCs w:val="26"/>
        </w:rPr>
        <w:t xml:space="preserve">tika nodarbināti </w:t>
      </w:r>
      <w:r w:rsidRPr="002B4D22">
        <w:rPr>
          <w:rFonts w:ascii="Times New Roman" w:hAnsi="Times New Roman"/>
          <w:sz w:val="26"/>
          <w:szCs w:val="26"/>
        </w:rPr>
        <w:t>44</w:t>
      </w:r>
      <w:r w:rsidR="009B10A4" w:rsidRPr="002B4D22">
        <w:rPr>
          <w:rFonts w:ascii="Times New Roman" w:hAnsi="Times New Roman"/>
          <w:sz w:val="26"/>
          <w:szCs w:val="26"/>
        </w:rPr>
        <w:t xml:space="preserve"> darbinieki</w:t>
      </w:r>
      <w:r w:rsidR="00FB052F" w:rsidRPr="002B4D22">
        <w:rPr>
          <w:rStyle w:val="FootnoteReference"/>
          <w:rFonts w:ascii="Times New Roman" w:hAnsi="Times New Roman"/>
          <w:sz w:val="26"/>
          <w:szCs w:val="26"/>
        </w:rPr>
        <w:footnoteReference w:id="16"/>
      </w:r>
      <w:r w:rsidRPr="002B4D22">
        <w:rPr>
          <w:rFonts w:ascii="Times New Roman" w:hAnsi="Times New Roman"/>
          <w:sz w:val="26"/>
          <w:szCs w:val="26"/>
        </w:rPr>
        <w:t xml:space="preserve">, no tiem </w:t>
      </w:r>
      <w:r w:rsidR="00E77F56" w:rsidRPr="002B4D22">
        <w:rPr>
          <w:rFonts w:ascii="Times New Roman" w:hAnsi="Times New Roman"/>
          <w:sz w:val="26"/>
          <w:szCs w:val="26"/>
        </w:rPr>
        <w:t xml:space="preserve">vienā uzņēmumā – </w:t>
      </w:r>
      <w:r w:rsidRPr="002B4D22">
        <w:rPr>
          <w:rFonts w:ascii="Times New Roman" w:hAnsi="Times New Roman"/>
          <w:sz w:val="26"/>
          <w:szCs w:val="26"/>
        </w:rPr>
        <w:t>23 darbinieki, 21 uzņēmumā nav bijis neviens darbinieks.</w:t>
      </w:r>
      <w:r w:rsidR="009B10A4" w:rsidRPr="002B4D22">
        <w:rPr>
          <w:rFonts w:ascii="Times New Roman" w:hAnsi="Times New Roman"/>
          <w:sz w:val="26"/>
          <w:szCs w:val="26"/>
        </w:rPr>
        <w:t xml:space="preserve"> </w:t>
      </w:r>
      <w:r w:rsidR="00336B6D" w:rsidRPr="002B4D22">
        <w:rPr>
          <w:rFonts w:ascii="Times New Roman" w:hAnsi="Times New Roman"/>
          <w:sz w:val="26"/>
          <w:szCs w:val="26"/>
        </w:rPr>
        <w:t xml:space="preserve">Saskaņā ar </w:t>
      </w:r>
      <w:r w:rsidR="00B65637">
        <w:rPr>
          <w:rFonts w:ascii="Times New Roman" w:hAnsi="Times New Roman"/>
          <w:sz w:val="26"/>
          <w:szCs w:val="26"/>
        </w:rPr>
        <w:t>LURSOFT</w:t>
      </w:r>
      <w:r w:rsidR="00336B6D" w:rsidRPr="00CD1447">
        <w:rPr>
          <w:rFonts w:ascii="Times New Roman" w:hAnsi="Times New Roman"/>
          <w:sz w:val="26"/>
          <w:szCs w:val="26"/>
        </w:rPr>
        <w:t xml:space="preserve"> </w:t>
      </w:r>
      <w:r w:rsidR="00FB052F" w:rsidRPr="002B4D22">
        <w:rPr>
          <w:rFonts w:ascii="Times New Roman" w:hAnsi="Times New Roman"/>
          <w:sz w:val="26"/>
          <w:szCs w:val="26"/>
        </w:rPr>
        <w:t>datiem n</w:t>
      </w:r>
      <w:r w:rsidR="008B5698" w:rsidRPr="002B4D22">
        <w:rPr>
          <w:rFonts w:ascii="Times New Roman" w:hAnsi="Times New Roman"/>
          <w:sz w:val="26"/>
          <w:szCs w:val="26"/>
        </w:rPr>
        <w:t xml:space="preserve">o tām ar </w:t>
      </w:r>
      <w:r w:rsidR="008B47C3" w:rsidRPr="002B4D22">
        <w:rPr>
          <w:rFonts w:ascii="Times New Roman" w:hAnsi="Times New Roman"/>
          <w:sz w:val="26"/>
          <w:szCs w:val="26"/>
        </w:rPr>
        <w:t>peļņu</w:t>
      </w:r>
      <w:r w:rsidR="008B5698" w:rsidRPr="002B4D22">
        <w:rPr>
          <w:rFonts w:ascii="Times New Roman" w:hAnsi="Times New Roman"/>
          <w:sz w:val="26"/>
          <w:szCs w:val="26"/>
        </w:rPr>
        <w:t xml:space="preserve"> 201</w:t>
      </w:r>
      <w:r w:rsidRPr="002B4D22">
        <w:rPr>
          <w:rFonts w:ascii="Times New Roman" w:hAnsi="Times New Roman"/>
          <w:sz w:val="26"/>
          <w:szCs w:val="26"/>
        </w:rPr>
        <w:t>4</w:t>
      </w:r>
      <w:r w:rsidR="008B5698" w:rsidRPr="002B4D22">
        <w:rPr>
          <w:rFonts w:ascii="Times New Roman" w:hAnsi="Times New Roman"/>
          <w:sz w:val="26"/>
          <w:szCs w:val="26"/>
        </w:rPr>
        <w:t xml:space="preserve">.gadu </w:t>
      </w:r>
      <w:r w:rsidR="00E52D70" w:rsidRPr="002B4D22">
        <w:rPr>
          <w:rFonts w:ascii="Times New Roman" w:hAnsi="Times New Roman"/>
          <w:sz w:val="26"/>
          <w:szCs w:val="26"/>
        </w:rPr>
        <w:t xml:space="preserve">noslēguši </w:t>
      </w:r>
      <w:r w:rsidRPr="002B4D22">
        <w:rPr>
          <w:rFonts w:ascii="Times New Roman" w:hAnsi="Times New Roman"/>
          <w:sz w:val="26"/>
          <w:szCs w:val="26"/>
        </w:rPr>
        <w:t>7</w:t>
      </w:r>
      <w:r w:rsidR="008B5698" w:rsidRPr="002B4D22">
        <w:rPr>
          <w:rFonts w:ascii="Times New Roman" w:hAnsi="Times New Roman"/>
          <w:sz w:val="26"/>
          <w:szCs w:val="26"/>
        </w:rPr>
        <w:t xml:space="preserve"> </w:t>
      </w:r>
      <w:r w:rsidR="00E52D70" w:rsidRPr="002B4D22">
        <w:rPr>
          <w:rFonts w:ascii="Times New Roman" w:hAnsi="Times New Roman"/>
          <w:sz w:val="26"/>
          <w:szCs w:val="26"/>
        </w:rPr>
        <w:t>uzņēmumi</w:t>
      </w:r>
      <w:r w:rsidR="008B5698" w:rsidRPr="002B4D22">
        <w:rPr>
          <w:rFonts w:ascii="Times New Roman" w:hAnsi="Times New Roman"/>
          <w:sz w:val="26"/>
          <w:szCs w:val="26"/>
        </w:rPr>
        <w:t>, bet ar zaudējumiem – 1</w:t>
      </w:r>
      <w:r w:rsidRPr="002B4D22">
        <w:rPr>
          <w:rFonts w:ascii="Times New Roman" w:hAnsi="Times New Roman"/>
          <w:sz w:val="26"/>
          <w:szCs w:val="26"/>
        </w:rPr>
        <w:t>3</w:t>
      </w:r>
      <w:r w:rsidR="008B5698" w:rsidRPr="002B4D22">
        <w:rPr>
          <w:rFonts w:ascii="Times New Roman" w:hAnsi="Times New Roman"/>
          <w:sz w:val="26"/>
          <w:szCs w:val="26"/>
        </w:rPr>
        <w:t xml:space="preserve">. </w:t>
      </w:r>
      <w:r w:rsidR="009B10A4" w:rsidRPr="002B4D22">
        <w:rPr>
          <w:rFonts w:ascii="Times New Roman" w:hAnsi="Times New Roman"/>
          <w:sz w:val="26"/>
          <w:szCs w:val="26"/>
        </w:rPr>
        <w:t>Lielāk</w:t>
      </w:r>
      <w:r w:rsidR="0060546D" w:rsidRPr="002B4D22">
        <w:rPr>
          <w:rFonts w:ascii="Times New Roman" w:hAnsi="Times New Roman"/>
          <w:sz w:val="26"/>
          <w:szCs w:val="26"/>
        </w:rPr>
        <w:t>ais</w:t>
      </w:r>
      <w:r w:rsidR="009B10A4" w:rsidRPr="002B4D22">
        <w:rPr>
          <w:rFonts w:ascii="Times New Roman" w:hAnsi="Times New Roman"/>
          <w:sz w:val="26"/>
          <w:szCs w:val="26"/>
        </w:rPr>
        <w:t xml:space="preserve"> apgrozījum</w:t>
      </w:r>
      <w:r w:rsidR="0060546D" w:rsidRPr="002B4D22">
        <w:rPr>
          <w:rFonts w:ascii="Times New Roman" w:hAnsi="Times New Roman"/>
          <w:sz w:val="26"/>
          <w:szCs w:val="26"/>
        </w:rPr>
        <w:t>s</w:t>
      </w:r>
      <w:r w:rsidR="009B10A4" w:rsidRPr="002B4D22">
        <w:rPr>
          <w:rFonts w:ascii="Times New Roman" w:hAnsi="Times New Roman"/>
          <w:sz w:val="26"/>
          <w:szCs w:val="26"/>
        </w:rPr>
        <w:t xml:space="preserve"> un </w:t>
      </w:r>
      <w:r w:rsidR="008B47C3" w:rsidRPr="002B4D22">
        <w:rPr>
          <w:rFonts w:ascii="Times New Roman" w:hAnsi="Times New Roman"/>
          <w:sz w:val="26"/>
          <w:szCs w:val="26"/>
        </w:rPr>
        <w:t>darbavietu</w:t>
      </w:r>
      <w:r w:rsidR="0060546D" w:rsidRPr="002B4D22">
        <w:rPr>
          <w:rFonts w:ascii="Times New Roman" w:hAnsi="Times New Roman"/>
          <w:sz w:val="26"/>
          <w:szCs w:val="26"/>
        </w:rPr>
        <w:t xml:space="preserve"> skaits</w:t>
      </w:r>
      <w:r w:rsidR="009B10A4" w:rsidRPr="002B4D22">
        <w:rPr>
          <w:rFonts w:ascii="Times New Roman" w:hAnsi="Times New Roman"/>
          <w:sz w:val="26"/>
          <w:szCs w:val="26"/>
        </w:rPr>
        <w:t xml:space="preserve"> </w:t>
      </w:r>
      <w:r w:rsidR="0060546D" w:rsidRPr="002B4D22">
        <w:rPr>
          <w:rFonts w:ascii="Times New Roman" w:hAnsi="Times New Roman"/>
          <w:sz w:val="26"/>
          <w:szCs w:val="26"/>
        </w:rPr>
        <w:t xml:space="preserve">bija </w:t>
      </w:r>
      <w:r w:rsidR="00E52D70" w:rsidRPr="002B4D22">
        <w:rPr>
          <w:rFonts w:ascii="Times New Roman" w:hAnsi="Times New Roman"/>
          <w:sz w:val="26"/>
          <w:szCs w:val="26"/>
        </w:rPr>
        <w:t>uzņēmumiem</w:t>
      </w:r>
      <w:r w:rsidR="0060546D" w:rsidRPr="002B4D22">
        <w:rPr>
          <w:rFonts w:ascii="Times New Roman" w:hAnsi="Times New Roman"/>
          <w:sz w:val="26"/>
          <w:szCs w:val="26"/>
        </w:rPr>
        <w:t>, kuru darbība ir saistīta ar</w:t>
      </w:r>
      <w:r w:rsidR="009B10A4" w:rsidRPr="002B4D22">
        <w:rPr>
          <w:rFonts w:ascii="Times New Roman" w:hAnsi="Times New Roman"/>
          <w:sz w:val="26"/>
          <w:szCs w:val="26"/>
        </w:rPr>
        <w:t xml:space="preserve"> operācij</w:t>
      </w:r>
      <w:r w:rsidR="0060546D" w:rsidRPr="002B4D22">
        <w:rPr>
          <w:rFonts w:ascii="Times New Roman" w:hAnsi="Times New Roman"/>
          <w:sz w:val="26"/>
          <w:szCs w:val="26"/>
        </w:rPr>
        <w:t>ām</w:t>
      </w:r>
      <w:r w:rsidR="009B10A4" w:rsidRPr="002B4D22">
        <w:rPr>
          <w:rFonts w:ascii="Times New Roman" w:hAnsi="Times New Roman"/>
          <w:sz w:val="26"/>
          <w:szCs w:val="26"/>
        </w:rPr>
        <w:t xml:space="preserve"> ar nekustamo īpašumu</w:t>
      </w:r>
      <w:r w:rsidR="0060546D" w:rsidRPr="002B4D22">
        <w:rPr>
          <w:rFonts w:ascii="Times New Roman" w:hAnsi="Times New Roman"/>
          <w:sz w:val="26"/>
          <w:szCs w:val="26"/>
        </w:rPr>
        <w:t>.</w:t>
      </w:r>
      <w:r w:rsidR="008B5698" w:rsidRPr="002B4D22">
        <w:rPr>
          <w:rFonts w:ascii="Times New Roman" w:hAnsi="Times New Roman"/>
          <w:sz w:val="26"/>
          <w:szCs w:val="26"/>
        </w:rPr>
        <w:t xml:space="preserve"> </w:t>
      </w:r>
    </w:p>
    <w:p w:rsidR="009B10A4" w:rsidRPr="002B4D22" w:rsidRDefault="009B10A4" w:rsidP="00534DFC">
      <w:pPr>
        <w:spacing w:after="120" w:line="240" w:lineRule="auto"/>
        <w:rPr>
          <w:rFonts w:ascii="Times New Roman" w:hAnsi="Times New Roman"/>
        </w:rPr>
      </w:pPr>
    </w:p>
    <w:p w:rsidR="009B10A4" w:rsidRPr="002B4D22" w:rsidRDefault="009B10A4" w:rsidP="00534DFC">
      <w:pPr>
        <w:pStyle w:val="Heading1"/>
        <w:spacing w:before="0" w:after="120" w:line="240" w:lineRule="auto"/>
        <w:rPr>
          <w:rFonts w:ascii="Times New Roman" w:hAnsi="Times New Roman"/>
          <w:color w:val="auto"/>
        </w:rPr>
      </w:pPr>
      <w:bookmarkStart w:id="24" w:name="_Toc429659166"/>
      <w:r w:rsidRPr="002B4D22">
        <w:rPr>
          <w:rFonts w:ascii="Times New Roman" w:hAnsi="Times New Roman"/>
          <w:color w:val="auto"/>
        </w:rPr>
        <w:t>6. Ieguldījumi kapitālsabiedrību pamatkapitālā un valdes locekļi</w:t>
      </w:r>
      <w:bookmarkEnd w:id="24"/>
    </w:p>
    <w:p w:rsidR="009B10A4" w:rsidRPr="002B4D22" w:rsidRDefault="00B60961" w:rsidP="00D56709">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Salīdzinājumā ar </w:t>
      </w:r>
      <w:r w:rsidR="009B10A4" w:rsidRPr="002B4D22">
        <w:rPr>
          <w:rFonts w:ascii="Times New Roman" w:hAnsi="Times New Roman"/>
          <w:sz w:val="26"/>
          <w:szCs w:val="26"/>
        </w:rPr>
        <w:t xml:space="preserve">Imigrācijas likuma normām par nekustamā īpašuma iegādi un ieguldījumiem kredītiestāžu </w:t>
      </w:r>
      <w:r w:rsidR="00544584" w:rsidRPr="002B4D22">
        <w:rPr>
          <w:rFonts w:ascii="Times New Roman" w:hAnsi="Times New Roman"/>
          <w:sz w:val="26"/>
          <w:szCs w:val="26"/>
        </w:rPr>
        <w:t>pakārtotajās saistībās</w:t>
      </w:r>
      <w:r w:rsidR="009B10A4" w:rsidRPr="002B4D22">
        <w:rPr>
          <w:rFonts w:ascii="Times New Roman" w:hAnsi="Times New Roman"/>
          <w:sz w:val="26"/>
          <w:szCs w:val="26"/>
        </w:rPr>
        <w:t>, ieguldījum</w:t>
      </w:r>
      <w:r w:rsidR="000C7FE2" w:rsidRPr="002B4D22">
        <w:rPr>
          <w:rFonts w:ascii="Times New Roman" w:hAnsi="Times New Roman"/>
          <w:sz w:val="26"/>
          <w:szCs w:val="26"/>
        </w:rPr>
        <w:t>us</w:t>
      </w:r>
      <w:r w:rsidR="009B10A4" w:rsidRPr="002B4D22">
        <w:rPr>
          <w:rFonts w:ascii="Times New Roman" w:hAnsi="Times New Roman"/>
          <w:sz w:val="26"/>
          <w:szCs w:val="26"/>
        </w:rPr>
        <w:t xml:space="preserve"> kapitālsabiedrību pamatkapitālā vai amatu ieņemšan</w:t>
      </w:r>
      <w:r w:rsidR="000C7FE2" w:rsidRPr="002B4D22">
        <w:rPr>
          <w:rFonts w:ascii="Times New Roman" w:hAnsi="Times New Roman"/>
          <w:sz w:val="26"/>
          <w:szCs w:val="26"/>
        </w:rPr>
        <w:t>u Latvijā reģistrētos uzņēmumos kā pamatojumu</w:t>
      </w:r>
      <w:r w:rsidR="009B10A4" w:rsidRPr="002B4D22">
        <w:rPr>
          <w:rFonts w:ascii="Times New Roman" w:hAnsi="Times New Roman"/>
          <w:sz w:val="26"/>
          <w:szCs w:val="26"/>
        </w:rPr>
        <w:t xml:space="preserve"> TUA saņemšanai </w:t>
      </w:r>
      <w:r w:rsidR="00355093" w:rsidRPr="002B4D22">
        <w:rPr>
          <w:rFonts w:ascii="Times New Roman" w:hAnsi="Times New Roman"/>
          <w:sz w:val="26"/>
          <w:szCs w:val="26"/>
        </w:rPr>
        <w:t xml:space="preserve">sākotnēji </w:t>
      </w:r>
      <w:r w:rsidR="000C7FE2" w:rsidRPr="002B4D22">
        <w:rPr>
          <w:rFonts w:ascii="Times New Roman" w:hAnsi="Times New Roman"/>
          <w:sz w:val="26"/>
          <w:szCs w:val="26"/>
        </w:rPr>
        <w:t>izmantoja</w:t>
      </w:r>
      <w:r w:rsidR="009B10A4" w:rsidRPr="002B4D22">
        <w:rPr>
          <w:rFonts w:ascii="Times New Roman" w:hAnsi="Times New Roman"/>
          <w:sz w:val="26"/>
          <w:szCs w:val="26"/>
        </w:rPr>
        <w:t xml:space="preserve"> retāk</w:t>
      </w:r>
      <w:r w:rsidR="00E91250" w:rsidRPr="002B4D22">
        <w:rPr>
          <w:rFonts w:ascii="Times New Roman" w:hAnsi="Times New Roman"/>
          <w:sz w:val="26"/>
          <w:szCs w:val="26"/>
        </w:rPr>
        <w:t>,</w:t>
      </w:r>
      <w:r w:rsidR="00355093" w:rsidRPr="002B4D22">
        <w:rPr>
          <w:rFonts w:ascii="Times New Roman" w:hAnsi="Times New Roman"/>
          <w:sz w:val="26"/>
          <w:szCs w:val="26"/>
        </w:rPr>
        <w:t xml:space="preserve"> pieprasījumu skaitam palielinoties</w:t>
      </w:r>
      <w:r w:rsidR="00E91250" w:rsidRPr="002B4D22">
        <w:rPr>
          <w:rFonts w:ascii="Times New Roman" w:hAnsi="Times New Roman"/>
          <w:sz w:val="26"/>
          <w:szCs w:val="26"/>
        </w:rPr>
        <w:t xml:space="preserve"> 2012.-2014.gadā, kad šis ieguldījumu veids pieteikumu skaita ziņā </w:t>
      </w:r>
      <w:r w:rsidR="00D73C9B" w:rsidRPr="002B4D22">
        <w:rPr>
          <w:rFonts w:ascii="Times New Roman" w:hAnsi="Times New Roman"/>
          <w:sz w:val="26"/>
          <w:szCs w:val="26"/>
        </w:rPr>
        <w:t xml:space="preserve">pārsniedza sākotnēji </w:t>
      </w:r>
      <w:r w:rsidR="00927719">
        <w:rPr>
          <w:rFonts w:ascii="Times New Roman" w:hAnsi="Times New Roman"/>
          <w:sz w:val="26"/>
          <w:szCs w:val="26"/>
        </w:rPr>
        <w:t xml:space="preserve">par ieguldījumiem pamatkapitālā </w:t>
      </w:r>
      <w:r w:rsidR="00D73C9B" w:rsidRPr="002B4D22">
        <w:rPr>
          <w:rFonts w:ascii="Times New Roman" w:hAnsi="Times New Roman"/>
          <w:sz w:val="26"/>
          <w:szCs w:val="26"/>
        </w:rPr>
        <w:t>biežāk izmantoto investīciju veidu – ieguldījumu kredītiestādes pakārtotajās saistībās</w:t>
      </w:r>
      <w:r w:rsidR="009B10A4" w:rsidRPr="002B4D22">
        <w:rPr>
          <w:rFonts w:ascii="Times New Roman" w:hAnsi="Times New Roman"/>
          <w:sz w:val="26"/>
          <w:szCs w:val="26"/>
        </w:rPr>
        <w:t>.</w:t>
      </w:r>
      <w:r w:rsidR="00D73C9B" w:rsidRPr="002B4D22">
        <w:rPr>
          <w:rFonts w:ascii="Times New Roman" w:hAnsi="Times New Roman"/>
          <w:sz w:val="26"/>
          <w:szCs w:val="26"/>
        </w:rPr>
        <w:t xml:space="preserve"> 2015.gadā pieteikumu skaits ir samazinājies, tāpat kā citos ieguldījumu veidos – ja 2014.gada laikā tika saņemti 178 pieteikumi, tad 2015.gada pirmajā pusgadā – tikai 49. </w:t>
      </w:r>
      <w:r w:rsidR="009B10A4" w:rsidRPr="002B4D22">
        <w:rPr>
          <w:rFonts w:ascii="Times New Roman" w:hAnsi="Times New Roman"/>
          <w:sz w:val="26"/>
          <w:szCs w:val="26"/>
        </w:rPr>
        <w:t xml:space="preserve">Attiecīgās Imigrācijas likuma normas ietvaros kopš 2010.gada 1.jūlija kapitālsabiedrību pamatkapitālā veikti ieguldījumi </w:t>
      </w:r>
      <w:r w:rsidR="00D73C9B" w:rsidRPr="002B4D22">
        <w:rPr>
          <w:rFonts w:ascii="Times New Roman" w:hAnsi="Times New Roman"/>
          <w:sz w:val="26"/>
          <w:szCs w:val="26"/>
        </w:rPr>
        <w:t>148</w:t>
      </w:r>
      <w:r w:rsidR="0093149F" w:rsidRPr="002B4D22">
        <w:rPr>
          <w:rFonts w:ascii="Times New Roman" w:hAnsi="Times New Roman"/>
          <w:sz w:val="26"/>
          <w:szCs w:val="26"/>
        </w:rPr>
        <w:t>,</w:t>
      </w:r>
      <w:r w:rsidR="00D73C9B" w:rsidRPr="002B4D22">
        <w:rPr>
          <w:rFonts w:ascii="Times New Roman" w:hAnsi="Times New Roman"/>
          <w:sz w:val="26"/>
          <w:szCs w:val="26"/>
        </w:rPr>
        <w:t>0</w:t>
      </w:r>
      <w:r w:rsidR="0093149F"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9B10A4" w:rsidRPr="002B4D22">
        <w:rPr>
          <w:rFonts w:ascii="Times New Roman" w:hAnsi="Times New Roman"/>
          <w:sz w:val="26"/>
          <w:szCs w:val="26"/>
        </w:rPr>
        <w:t xml:space="preserve"> apmērā </w:t>
      </w:r>
      <w:r w:rsidR="00AC494B" w:rsidRPr="002B4D22">
        <w:rPr>
          <w:rFonts w:ascii="Times New Roman" w:hAnsi="Times New Roman"/>
          <w:sz w:val="26"/>
          <w:szCs w:val="26"/>
        </w:rPr>
        <w:t>418</w:t>
      </w:r>
      <w:r w:rsidR="009B10A4" w:rsidRPr="002B4D22">
        <w:rPr>
          <w:rFonts w:ascii="Times New Roman" w:hAnsi="Times New Roman"/>
          <w:sz w:val="26"/>
          <w:szCs w:val="26"/>
        </w:rPr>
        <w:t xml:space="preserve"> Latvijā</w:t>
      </w:r>
      <w:r w:rsidR="00F003ED" w:rsidRPr="002B4D22">
        <w:rPr>
          <w:rFonts w:ascii="Times New Roman" w:hAnsi="Times New Roman"/>
          <w:sz w:val="26"/>
          <w:szCs w:val="26"/>
        </w:rPr>
        <w:t xml:space="preserve"> reģistrētās kapitālsabiedrībās</w:t>
      </w:r>
      <w:r w:rsidR="000557D8" w:rsidRPr="002B4D22">
        <w:rPr>
          <w:rFonts w:ascii="Times New Roman" w:hAnsi="Times New Roman"/>
          <w:sz w:val="26"/>
          <w:szCs w:val="26"/>
        </w:rPr>
        <w:t>, kas ir tikai 5,</w:t>
      </w:r>
      <w:r w:rsidR="00AC494B" w:rsidRPr="002B4D22">
        <w:rPr>
          <w:rFonts w:ascii="Times New Roman" w:hAnsi="Times New Roman"/>
          <w:sz w:val="26"/>
          <w:szCs w:val="26"/>
        </w:rPr>
        <w:t>39</w:t>
      </w:r>
      <w:r w:rsidR="000557D8" w:rsidRPr="002B4D22">
        <w:rPr>
          <w:rFonts w:ascii="Times New Roman" w:hAnsi="Times New Roman"/>
          <w:sz w:val="26"/>
          <w:szCs w:val="26"/>
        </w:rPr>
        <w:t>% no kopēj</w:t>
      </w:r>
      <w:r w:rsidR="00AC494B" w:rsidRPr="002B4D22">
        <w:rPr>
          <w:rFonts w:ascii="Times New Roman" w:hAnsi="Times New Roman"/>
          <w:sz w:val="26"/>
          <w:szCs w:val="26"/>
        </w:rPr>
        <w:t>ie</w:t>
      </w:r>
      <w:r w:rsidR="000557D8" w:rsidRPr="002B4D22">
        <w:rPr>
          <w:rFonts w:ascii="Times New Roman" w:hAnsi="Times New Roman"/>
          <w:sz w:val="26"/>
          <w:szCs w:val="26"/>
        </w:rPr>
        <w:t>m attiecinātajiem ieguldījumiem</w:t>
      </w:r>
      <w:bookmarkStart w:id="25" w:name="_Toc340050958"/>
      <w:r w:rsidR="009D7922" w:rsidRPr="002B4D22">
        <w:rPr>
          <w:rFonts w:ascii="Times New Roman" w:hAnsi="Times New Roman"/>
          <w:sz w:val="26"/>
          <w:szCs w:val="26"/>
        </w:rPr>
        <w:t>, t</w:t>
      </w:r>
      <w:r w:rsidR="009B10A4" w:rsidRPr="002B4D22">
        <w:rPr>
          <w:rFonts w:ascii="Times New Roman" w:hAnsi="Times New Roman"/>
          <w:sz w:val="26"/>
          <w:szCs w:val="26"/>
        </w:rPr>
        <w:t xml:space="preserve">āpēc TUA izsniegšanu pret ieguldījumiem </w:t>
      </w:r>
      <w:r w:rsidR="009B10A4" w:rsidRPr="002B4D22">
        <w:rPr>
          <w:rFonts w:ascii="Times New Roman" w:hAnsi="Times New Roman"/>
          <w:sz w:val="26"/>
          <w:szCs w:val="26"/>
        </w:rPr>
        <w:lastRenderedPageBreak/>
        <w:t xml:space="preserve">kapitālsabiedrību pamatkapitālā pašlaik </w:t>
      </w:r>
      <w:r w:rsidR="009D7922" w:rsidRPr="002B4D22">
        <w:rPr>
          <w:rFonts w:ascii="Times New Roman" w:hAnsi="Times New Roman"/>
          <w:sz w:val="26"/>
          <w:szCs w:val="26"/>
        </w:rPr>
        <w:t xml:space="preserve">joprojām </w:t>
      </w:r>
      <w:r w:rsidR="009B10A4" w:rsidRPr="002B4D22">
        <w:rPr>
          <w:rFonts w:ascii="Times New Roman" w:hAnsi="Times New Roman"/>
          <w:sz w:val="26"/>
          <w:szCs w:val="26"/>
        </w:rPr>
        <w:t xml:space="preserve">var vērtēt tikai kā vienu no stimuliem, kas </w:t>
      </w:r>
      <w:r w:rsidR="00E76245" w:rsidRPr="002B4D22">
        <w:rPr>
          <w:rFonts w:ascii="Times New Roman" w:hAnsi="Times New Roman"/>
          <w:sz w:val="26"/>
          <w:szCs w:val="26"/>
        </w:rPr>
        <w:t>sniedz</w:t>
      </w:r>
      <w:r w:rsidR="009B10A4" w:rsidRPr="002B4D22">
        <w:rPr>
          <w:rFonts w:ascii="Times New Roman" w:hAnsi="Times New Roman"/>
          <w:sz w:val="26"/>
          <w:szCs w:val="26"/>
        </w:rPr>
        <w:t xml:space="preserve"> ieguldījumu ārvalstu investīciju piesaistei reālajā sektorā.</w:t>
      </w:r>
    </w:p>
    <w:p w:rsidR="00EF074B" w:rsidRDefault="009B10A4" w:rsidP="00D56709">
      <w:pPr>
        <w:pStyle w:val="tv213"/>
        <w:spacing w:before="0" w:beforeAutospacing="0" w:after="0" w:afterAutospacing="0"/>
        <w:ind w:firstLine="426"/>
        <w:jc w:val="both"/>
        <w:rPr>
          <w:sz w:val="26"/>
          <w:szCs w:val="26"/>
        </w:rPr>
      </w:pPr>
      <w:r w:rsidRPr="002B4D22">
        <w:rPr>
          <w:sz w:val="26"/>
          <w:szCs w:val="26"/>
        </w:rPr>
        <w:t xml:space="preserve">Imigrācijas likuma </w:t>
      </w:r>
      <w:r w:rsidR="00712A2D">
        <w:rPr>
          <w:sz w:val="26"/>
          <w:szCs w:val="26"/>
        </w:rPr>
        <w:t xml:space="preserve">23.panta pirmās daļas 28.punkts </w:t>
      </w:r>
      <w:r w:rsidRPr="002B4D22">
        <w:rPr>
          <w:sz w:val="26"/>
          <w:szCs w:val="26"/>
        </w:rPr>
        <w:t>paredz, ka ārzemnieks ir tiesīgs pieprasīt TUA uz laiku, ja viņš veicis ieguldījumu esošas kapitālsabiedrības pamatkapitālā</w:t>
      </w:r>
      <w:r w:rsidR="00EF074B" w:rsidRPr="002B4D22">
        <w:rPr>
          <w:sz w:val="26"/>
          <w:szCs w:val="26"/>
        </w:rPr>
        <w:t>, to palielinot,</w:t>
      </w:r>
      <w:r w:rsidRPr="002B4D22">
        <w:rPr>
          <w:sz w:val="26"/>
          <w:szCs w:val="26"/>
        </w:rPr>
        <w:t xml:space="preserve"> vai veicis ieguldījumu jaundibinātas kapitālsabiedrības pamatkapitālā.</w:t>
      </w:r>
      <w:r w:rsidR="00EF074B" w:rsidRPr="002B4D22">
        <w:rPr>
          <w:sz w:val="26"/>
          <w:szCs w:val="26"/>
        </w:rPr>
        <w:t xml:space="preserve"> Imigrācijas likums paredz vairākus ieguldījumu variantus – veikt ieguldījumu</w:t>
      </w:r>
      <w:r w:rsidRPr="002B4D22">
        <w:rPr>
          <w:sz w:val="26"/>
          <w:szCs w:val="26"/>
        </w:rPr>
        <w:t xml:space="preserve"> </w:t>
      </w:r>
      <w:r w:rsidR="00EF074B" w:rsidRPr="002B4D22">
        <w:rPr>
          <w:sz w:val="26"/>
          <w:szCs w:val="26"/>
        </w:rPr>
        <w:t xml:space="preserve">35 </w:t>
      </w:r>
      <w:r w:rsidRPr="002B4D22">
        <w:rPr>
          <w:sz w:val="26"/>
          <w:szCs w:val="26"/>
        </w:rPr>
        <w:t>tūkst</w:t>
      </w:r>
      <w:r w:rsidR="00D051D7" w:rsidRPr="002B4D22">
        <w:rPr>
          <w:sz w:val="26"/>
          <w:szCs w:val="26"/>
        </w:rPr>
        <w:t>.</w:t>
      </w:r>
      <w:r w:rsidRPr="002B4D22">
        <w:rPr>
          <w:sz w:val="26"/>
          <w:szCs w:val="26"/>
        </w:rPr>
        <w:t xml:space="preserve"> </w:t>
      </w:r>
      <w:proofErr w:type="spellStart"/>
      <w:r w:rsidR="00C232F4" w:rsidRPr="002B4D22">
        <w:rPr>
          <w:i/>
          <w:sz w:val="26"/>
          <w:szCs w:val="26"/>
        </w:rPr>
        <w:t>euro</w:t>
      </w:r>
      <w:proofErr w:type="spellEnd"/>
      <w:r w:rsidRPr="002B4D22">
        <w:rPr>
          <w:sz w:val="26"/>
          <w:szCs w:val="26"/>
        </w:rPr>
        <w:t xml:space="preserve"> apmērā </w:t>
      </w:r>
      <w:r w:rsidR="00EF074B" w:rsidRPr="002B4D22">
        <w:rPr>
          <w:sz w:val="26"/>
          <w:szCs w:val="26"/>
        </w:rPr>
        <w:t xml:space="preserve">kapitālsabiedrībā, kura </w:t>
      </w:r>
      <w:r w:rsidRPr="002B4D22">
        <w:rPr>
          <w:sz w:val="26"/>
          <w:szCs w:val="26"/>
        </w:rPr>
        <w:t>nodarbina ne vairāk kā 50 darbiniekus,</w:t>
      </w:r>
      <w:r w:rsidR="00EF074B" w:rsidRPr="002B4D22">
        <w:rPr>
          <w:sz w:val="26"/>
          <w:szCs w:val="26"/>
        </w:rPr>
        <w:t xml:space="preserve"> kuras</w:t>
      </w:r>
      <w:r w:rsidRPr="002B4D22">
        <w:rPr>
          <w:sz w:val="26"/>
          <w:szCs w:val="26"/>
        </w:rPr>
        <w:t xml:space="preserve"> gada apgrozījums vai gada bilance nepārsniedz </w:t>
      </w:r>
      <w:r w:rsidR="00EF074B" w:rsidRPr="002B4D22">
        <w:rPr>
          <w:sz w:val="26"/>
          <w:szCs w:val="26"/>
        </w:rPr>
        <w:t>10 milj</w:t>
      </w:r>
      <w:r w:rsidR="00D051D7" w:rsidRPr="002B4D22">
        <w:rPr>
          <w:sz w:val="26"/>
          <w:szCs w:val="26"/>
        </w:rPr>
        <w:t>.</w:t>
      </w:r>
      <w:r w:rsidR="00EF074B" w:rsidRPr="002B4D22">
        <w:rPr>
          <w:sz w:val="26"/>
          <w:szCs w:val="26"/>
        </w:rPr>
        <w:t xml:space="preserve"> </w:t>
      </w:r>
      <w:proofErr w:type="spellStart"/>
      <w:r w:rsidR="00C232F4" w:rsidRPr="002B4D22">
        <w:rPr>
          <w:i/>
          <w:sz w:val="26"/>
          <w:szCs w:val="26"/>
        </w:rPr>
        <w:t>euro</w:t>
      </w:r>
      <w:proofErr w:type="spellEnd"/>
      <w:r w:rsidRPr="002B4D22">
        <w:rPr>
          <w:sz w:val="26"/>
          <w:szCs w:val="26"/>
        </w:rPr>
        <w:t xml:space="preserve"> un kura saimnieciskā gada laikā kopā valsts budžetā un pašvaldības budžetā nodokļos samaksā ne mazāk kā </w:t>
      </w:r>
      <w:r w:rsidR="00EF074B" w:rsidRPr="002B4D22">
        <w:rPr>
          <w:sz w:val="26"/>
          <w:szCs w:val="26"/>
        </w:rPr>
        <w:t>4</w:t>
      </w:r>
      <w:r w:rsidRPr="002B4D22">
        <w:rPr>
          <w:sz w:val="26"/>
          <w:szCs w:val="26"/>
        </w:rPr>
        <w:t>0 tūkst</w:t>
      </w:r>
      <w:r w:rsidR="00D051D7" w:rsidRPr="002B4D22">
        <w:rPr>
          <w:sz w:val="26"/>
          <w:szCs w:val="26"/>
        </w:rPr>
        <w:t>.</w:t>
      </w:r>
      <w:r w:rsidRPr="002B4D22">
        <w:rPr>
          <w:sz w:val="26"/>
          <w:szCs w:val="26"/>
        </w:rPr>
        <w:t xml:space="preserve"> </w:t>
      </w:r>
      <w:proofErr w:type="spellStart"/>
      <w:r w:rsidR="00C232F4" w:rsidRPr="002B4D22">
        <w:rPr>
          <w:i/>
          <w:sz w:val="26"/>
          <w:szCs w:val="26"/>
        </w:rPr>
        <w:t>euro</w:t>
      </w:r>
      <w:proofErr w:type="spellEnd"/>
      <w:r w:rsidRPr="002B4D22">
        <w:rPr>
          <w:sz w:val="26"/>
          <w:szCs w:val="26"/>
        </w:rPr>
        <w:t>.</w:t>
      </w:r>
      <w:r w:rsidR="00EF074B" w:rsidRPr="002B4D22">
        <w:rPr>
          <w:sz w:val="26"/>
          <w:szCs w:val="26"/>
        </w:rPr>
        <w:t xml:space="preserve"> No 2014.gada 1.janvāra ir spēkā grozījumi Imigrācijas likumā, kas šāda veida ieguldījuma veikšanas gadījumā pieļauj TUA izsniegšanu ne vairāk kā tr</w:t>
      </w:r>
      <w:r w:rsidR="00D051D7" w:rsidRPr="002B4D22">
        <w:rPr>
          <w:sz w:val="26"/>
          <w:szCs w:val="26"/>
        </w:rPr>
        <w:t>īs</w:t>
      </w:r>
      <w:r w:rsidR="00EF074B" w:rsidRPr="002B4D22">
        <w:rPr>
          <w:sz w:val="26"/>
          <w:szCs w:val="26"/>
        </w:rPr>
        <w:t xml:space="preserve"> ārzemniekiem</w:t>
      </w:r>
      <w:r w:rsidR="00EA746B" w:rsidRPr="002B4D22">
        <w:rPr>
          <w:sz w:val="26"/>
          <w:szCs w:val="26"/>
        </w:rPr>
        <w:t xml:space="preserve">, tādējādi izslēdzot iespēju, ka praktiski neierobežots skaits ārzemnieku var saņemt uzturēšanās atļauju, veicot nelielu ieguldījumu uzņēmumā, kurš veic formālu nodokļu nomaksu 40 000 </w:t>
      </w:r>
      <w:proofErr w:type="spellStart"/>
      <w:r w:rsidR="00C232F4" w:rsidRPr="002B4D22">
        <w:rPr>
          <w:i/>
          <w:sz w:val="26"/>
          <w:szCs w:val="26"/>
        </w:rPr>
        <w:t>euro</w:t>
      </w:r>
      <w:proofErr w:type="spellEnd"/>
      <w:r w:rsidR="00EA746B" w:rsidRPr="002B4D22">
        <w:rPr>
          <w:sz w:val="26"/>
          <w:szCs w:val="26"/>
        </w:rPr>
        <w:t xml:space="preserve"> apjomā gada laikā</w:t>
      </w:r>
      <w:r w:rsidR="00EF074B" w:rsidRPr="002B4D22">
        <w:rPr>
          <w:sz w:val="26"/>
          <w:szCs w:val="26"/>
        </w:rPr>
        <w:t>.</w:t>
      </w:r>
      <w:r w:rsidR="00EF074B" w:rsidRPr="002B4D22">
        <w:t xml:space="preserve"> </w:t>
      </w:r>
      <w:r w:rsidR="00EF074B" w:rsidRPr="002B4D22">
        <w:rPr>
          <w:sz w:val="26"/>
          <w:szCs w:val="26"/>
        </w:rPr>
        <w:t>Otra veida ieguldījums attiecas uz kapitālsabiedrībām, kuras nodarbina vairāk nekā 50 darbinieku un kuru gada apgrozījums vai gada bilance pārsniedz 10 milj</w:t>
      </w:r>
      <w:r w:rsidR="003F3F53" w:rsidRPr="002B4D22">
        <w:rPr>
          <w:sz w:val="26"/>
          <w:szCs w:val="26"/>
        </w:rPr>
        <w:t>.</w:t>
      </w:r>
      <w:r w:rsidR="00EF074B" w:rsidRPr="002B4D22">
        <w:rPr>
          <w:sz w:val="26"/>
          <w:szCs w:val="26"/>
        </w:rPr>
        <w:t xml:space="preserve"> </w:t>
      </w:r>
      <w:proofErr w:type="spellStart"/>
      <w:r w:rsidR="00C232F4" w:rsidRPr="002B4D22">
        <w:rPr>
          <w:i/>
          <w:sz w:val="26"/>
          <w:szCs w:val="26"/>
        </w:rPr>
        <w:t>euro</w:t>
      </w:r>
      <w:proofErr w:type="spellEnd"/>
      <w:r w:rsidR="00EA746B" w:rsidRPr="002B4D22">
        <w:rPr>
          <w:sz w:val="26"/>
          <w:szCs w:val="26"/>
        </w:rPr>
        <w:t xml:space="preserve">. Šādā gadījumā ieguldījumam jābūt vismaz 150 000 </w:t>
      </w:r>
      <w:proofErr w:type="spellStart"/>
      <w:r w:rsidR="00C232F4" w:rsidRPr="002B4D22">
        <w:rPr>
          <w:i/>
          <w:sz w:val="26"/>
          <w:szCs w:val="26"/>
        </w:rPr>
        <w:t>euro</w:t>
      </w:r>
      <w:proofErr w:type="spellEnd"/>
      <w:r w:rsidR="00612092" w:rsidRPr="002B4D22">
        <w:rPr>
          <w:sz w:val="26"/>
          <w:szCs w:val="26"/>
        </w:rPr>
        <w:t xml:space="preserve"> apmērā</w:t>
      </w:r>
      <w:r w:rsidR="00EA746B" w:rsidRPr="002B4D22">
        <w:rPr>
          <w:sz w:val="26"/>
          <w:szCs w:val="26"/>
        </w:rPr>
        <w:t>.</w:t>
      </w:r>
    </w:p>
    <w:p w:rsidR="00A72F29" w:rsidRDefault="00A72F29" w:rsidP="00084DA1">
      <w:pPr>
        <w:pStyle w:val="tv213"/>
        <w:spacing w:before="0" w:beforeAutospacing="0" w:after="120" w:afterAutospacing="0"/>
        <w:ind w:firstLine="426"/>
        <w:jc w:val="right"/>
        <w:rPr>
          <w:sz w:val="26"/>
          <w:szCs w:val="26"/>
        </w:rPr>
      </w:pPr>
    </w:p>
    <w:p w:rsidR="00084DA1" w:rsidRDefault="00084DA1" w:rsidP="00084DA1">
      <w:pPr>
        <w:pStyle w:val="tv213"/>
        <w:spacing w:before="0" w:beforeAutospacing="0" w:after="120" w:afterAutospacing="0"/>
        <w:ind w:firstLine="426"/>
        <w:jc w:val="right"/>
        <w:rPr>
          <w:sz w:val="26"/>
          <w:szCs w:val="26"/>
        </w:rPr>
      </w:pPr>
      <w:r>
        <w:rPr>
          <w:sz w:val="26"/>
          <w:szCs w:val="26"/>
        </w:rPr>
        <w:t>13.attēls</w:t>
      </w:r>
    </w:p>
    <w:p w:rsidR="00084DA1" w:rsidRPr="00D84FCA" w:rsidRDefault="00084DA1" w:rsidP="00084DA1">
      <w:pPr>
        <w:pStyle w:val="tv213"/>
        <w:spacing w:before="0" w:beforeAutospacing="0" w:after="120" w:afterAutospacing="0"/>
        <w:ind w:firstLine="426"/>
        <w:jc w:val="center"/>
        <w:rPr>
          <w:b/>
          <w:sz w:val="26"/>
          <w:szCs w:val="26"/>
        </w:rPr>
      </w:pPr>
      <w:r w:rsidRPr="00D84FCA">
        <w:rPr>
          <w:b/>
        </w:rPr>
        <w:t>Ar TUA saistītie ieguldījumi kapitālsabiedrību pamatkapitālā</w:t>
      </w:r>
    </w:p>
    <w:p w:rsidR="00084DA1" w:rsidRDefault="00084DA1" w:rsidP="00084DA1">
      <w:pPr>
        <w:pStyle w:val="tv213"/>
        <w:spacing w:before="0" w:beforeAutospacing="0" w:after="0" w:afterAutospacing="0"/>
        <w:ind w:firstLine="426"/>
        <w:jc w:val="center"/>
        <w:rPr>
          <w:sz w:val="26"/>
          <w:szCs w:val="26"/>
        </w:rPr>
      </w:pPr>
      <w:r>
        <w:rPr>
          <w:noProof/>
        </w:rPr>
        <w:drawing>
          <wp:inline distT="0" distB="0" distL="0" distR="0">
            <wp:extent cx="3971925" cy="25622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84DA1" w:rsidRPr="00C30D5F" w:rsidRDefault="00084DA1" w:rsidP="001277D6">
      <w:pPr>
        <w:pStyle w:val="tv213"/>
        <w:spacing w:before="0" w:beforeAutospacing="0" w:after="0" w:afterAutospacing="0"/>
        <w:ind w:firstLine="425"/>
        <w:rPr>
          <w:sz w:val="22"/>
          <w:szCs w:val="22"/>
        </w:rPr>
      </w:pPr>
      <w:r w:rsidRPr="00C30D5F">
        <w:rPr>
          <w:sz w:val="22"/>
          <w:szCs w:val="22"/>
        </w:rPr>
        <w:t>*TUA pieteicējiem un to ģimenes locekļiem</w:t>
      </w:r>
      <w:r w:rsidR="001277D6">
        <w:rPr>
          <w:sz w:val="22"/>
          <w:szCs w:val="22"/>
        </w:rPr>
        <w:t xml:space="preserve"> kopā</w:t>
      </w:r>
    </w:p>
    <w:p w:rsidR="00084DA1" w:rsidRPr="00C30D5F" w:rsidRDefault="00084DA1" w:rsidP="00084DA1">
      <w:pPr>
        <w:pStyle w:val="tv213"/>
        <w:spacing w:before="0" w:beforeAutospacing="0" w:after="0" w:afterAutospacing="0"/>
        <w:ind w:firstLine="425"/>
        <w:rPr>
          <w:i/>
          <w:sz w:val="22"/>
          <w:szCs w:val="22"/>
        </w:rPr>
      </w:pPr>
      <w:r w:rsidRPr="00C30D5F">
        <w:rPr>
          <w:i/>
          <w:sz w:val="22"/>
          <w:szCs w:val="22"/>
        </w:rPr>
        <w:t>Avots: PMLP</w:t>
      </w:r>
    </w:p>
    <w:p w:rsidR="00084DA1" w:rsidRPr="002B4D22" w:rsidRDefault="00084DA1" w:rsidP="00084DA1">
      <w:pPr>
        <w:pStyle w:val="tv213"/>
        <w:spacing w:before="0" w:beforeAutospacing="0" w:after="0" w:afterAutospacing="0"/>
        <w:ind w:firstLine="425"/>
        <w:jc w:val="both"/>
        <w:rPr>
          <w:sz w:val="26"/>
          <w:szCs w:val="26"/>
        </w:rPr>
      </w:pPr>
    </w:p>
    <w:p w:rsidR="00C30D5F" w:rsidRPr="007C3734" w:rsidRDefault="00084DA1" w:rsidP="00D00D3E">
      <w:pPr>
        <w:pStyle w:val="tv213"/>
        <w:spacing w:before="0" w:beforeAutospacing="0" w:after="0" w:afterAutospacing="0"/>
        <w:ind w:firstLine="567"/>
        <w:jc w:val="both"/>
        <w:rPr>
          <w:sz w:val="26"/>
          <w:szCs w:val="26"/>
        </w:rPr>
      </w:pPr>
      <w:r>
        <w:rPr>
          <w:sz w:val="26"/>
          <w:szCs w:val="26"/>
        </w:rPr>
        <w:t xml:space="preserve">Ar TUA saistīto ieguldījumu kapitālsabiedrībās apjoms, tāpat kā pieteikumu skaits, pakāpeniski pieauga sākot no 2010.gada, augstāko līmeni sasniedzot 2013.gadā, kad investīciju apjoms bija 29,3 milj. </w:t>
      </w:r>
      <w:proofErr w:type="spellStart"/>
      <w:r w:rsidRPr="00C30D5F">
        <w:rPr>
          <w:i/>
          <w:sz w:val="26"/>
          <w:szCs w:val="26"/>
        </w:rPr>
        <w:t>euro</w:t>
      </w:r>
      <w:proofErr w:type="spellEnd"/>
      <w:r>
        <w:rPr>
          <w:sz w:val="26"/>
          <w:szCs w:val="26"/>
        </w:rPr>
        <w:t xml:space="preserve">. Pēc grozījumiem Imigrācijas likumā, kas stājās spēkā 2014.gada 1.janvārī un noteica, ka turpmāk par šāda ieguldījuma veikšanu kapitālsabiedrību pamatkapitālā TUA var izsniegt ne vairāk kā trīs ārzemniekiem, investīciju kopējais apjoms 2014.gadā kritās līdz 18,8 milj. </w:t>
      </w:r>
      <w:proofErr w:type="spellStart"/>
      <w:r w:rsidRPr="00C30D5F">
        <w:rPr>
          <w:i/>
          <w:sz w:val="26"/>
          <w:szCs w:val="26"/>
        </w:rPr>
        <w:t>euro</w:t>
      </w:r>
      <w:proofErr w:type="spellEnd"/>
      <w:r>
        <w:rPr>
          <w:i/>
          <w:sz w:val="26"/>
          <w:szCs w:val="26"/>
        </w:rPr>
        <w:t xml:space="preserve">. </w:t>
      </w:r>
      <w:r>
        <w:rPr>
          <w:sz w:val="26"/>
          <w:szCs w:val="26"/>
        </w:rPr>
        <w:t>Tā</w:t>
      </w:r>
      <w:proofErr w:type="gramStart"/>
      <w:r>
        <w:rPr>
          <w:sz w:val="26"/>
          <w:szCs w:val="26"/>
        </w:rPr>
        <w:t xml:space="preserve"> piemēram</w:t>
      </w:r>
      <w:proofErr w:type="gramEnd"/>
      <w:r>
        <w:rPr>
          <w:sz w:val="26"/>
          <w:szCs w:val="26"/>
        </w:rPr>
        <w:t xml:space="preserve">, 2014.gadā 70% gadījumu ieguldījumu apmērs nepārsniedza 36 tūkst. </w:t>
      </w:r>
      <w:proofErr w:type="spellStart"/>
      <w:r w:rsidRPr="007C3734">
        <w:rPr>
          <w:i/>
          <w:sz w:val="26"/>
          <w:szCs w:val="26"/>
        </w:rPr>
        <w:t>euro</w:t>
      </w:r>
      <w:proofErr w:type="spellEnd"/>
      <w:r>
        <w:rPr>
          <w:sz w:val="26"/>
          <w:szCs w:val="26"/>
        </w:rPr>
        <w:t>.</w:t>
      </w:r>
    </w:p>
    <w:p w:rsidR="00FE5E10" w:rsidRPr="00FE5E10" w:rsidRDefault="007400D8" w:rsidP="00D00D3E">
      <w:pPr>
        <w:pStyle w:val="tv213"/>
        <w:spacing w:before="0" w:beforeAutospacing="0" w:after="0" w:afterAutospacing="0"/>
        <w:ind w:firstLine="567"/>
        <w:jc w:val="both"/>
        <w:rPr>
          <w:sz w:val="26"/>
          <w:szCs w:val="26"/>
        </w:rPr>
      </w:pPr>
      <w:r>
        <w:rPr>
          <w:sz w:val="26"/>
          <w:szCs w:val="26"/>
        </w:rPr>
        <w:t xml:space="preserve">Ja salīdzina pieteikumu skaitu, kas saistīti ar ieguldījumiem mazajās un vidējās kapitālsabiedrībās (ieguldījuma apmērs nedrīkst būt mazāks par 35 000 </w:t>
      </w:r>
      <w:proofErr w:type="spellStart"/>
      <w:r w:rsidRPr="00FE5E10">
        <w:rPr>
          <w:i/>
          <w:sz w:val="26"/>
          <w:szCs w:val="26"/>
        </w:rPr>
        <w:t>euro</w:t>
      </w:r>
      <w:proofErr w:type="spellEnd"/>
      <w:r>
        <w:rPr>
          <w:sz w:val="26"/>
          <w:szCs w:val="26"/>
        </w:rPr>
        <w:t xml:space="preserve">) un lielajās </w:t>
      </w:r>
      <w:r>
        <w:rPr>
          <w:sz w:val="26"/>
          <w:szCs w:val="26"/>
        </w:rPr>
        <w:lastRenderedPageBreak/>
        <w:t xml:space="preserve">kapitālsabiedrībās (ieguldījuma apmērs nedrīkst būt mazāks par 150 000 </w:t>
      </w:r>
      <w:proofErr w:type="spellStart"/>
      <w:r w:rsidRPr="00FE5E10">
        <w:rPr>
          <w:i/>
          <w:sz w:val="26"/>
          <w:szCs w:val="26"/>
        </w:rPr>
        <w:t>euro</w:t>
      </w:r>
      <w:proofErr w:type="spellEnd"/>
      <w:r>
        <w:rPr>
          <w:sz w:val="26"/>
          <w:szCs w:val="26"/>
        </w:rPr>
        <w:t xml:space="preserve">), jāsecina, ka absolūti lielākajā vairumā gadījumu ieguldījumu apmērs ir mazāks par 150 000 </w:t>
      </w:r>
      <w:proofErr w:type="spellStart"/>
      <w:r w:rsidRPr="00FE5E10">
        <w:rPr>
          <w:i/>
          <w:sz w:val="26"/>
          <w:szCs w:val="26"/>
        </w:rPr>
        <w:t>euro</w:t>
      </w:r>
      <w:proofErr w:type="spellEnd"/>
      <w:r>
        <w:rPr>
          <w:sz w:val="26"/>
          <w:szCs w:val="26"/>
        </w:rPr>
        <w:t xml:space="preserve"> (2015.gada 1.pusgadā </w:t>
      </w:r>
      <w:r w:rsidR="00D142F7" w:rsidRPr="002B4D22">
        <w:rPr>
          <w:sz w:val="26"/>
          <w:szCs w:val="26"/>
        </w:rPr>
        <w:t>–</w:t>
      </w:r>
      <w:r w:rsidR="00D142F7">
        <w:rPr>
          <w:sz w:val="26"/>
          <w:szCs w:val="26"/>
        </w:rPr>
        <w:t xml:space="preserve"> </w:t>
      </w:r>
      <w:r>
        <w:rPr>
          <w:sz w:val="26"/>
          <w:szCs w:val="26"/>
        </w:rPr>
        <w:t xml:space="preserve">94%, 2014.gadā </w:t>
      </w:r>
      <w:r w:rsidR="00D142F7" w:rsidRPr="002B4D22">
        <w:rPr>
          <w:sz w:val="26"/>
          <w:szCs w:val="26"/>
        </w:rPr>
        <w:t>–</w:t>
      </w:r>
      <w:r w:rsidR="00D142F7">
        <w:rPr>
          <w:sz w:val="26"/>
          <w:szCs w:val="26"/>
        </w:rPr>
        <w:t xml:space="preserve"> </w:t>
      </w:r>
      <w:r>
        <w:rPr>
          <w:sz w:val="26"/>
          <w:szCs w:val="26"/>
        </w:rPr>
        <w:t>87%). Vairumā gadījumu ieguldījuma apmērs ir vienāds vai tuvu likumā noteiktajam minimālajam ieguldījuma apmēram.</w:t>
      </w:r>
    </w:p>
    <w:p w:rsidR="005B6991" w:rsidRPr="002B4D22" w:rsidRDefault="009B10A4" w:rsidP="00D00D3E">
      <w:pPr>
        <w:pStyle w:val="tv213"/>
        <w:spacing w:before="0" w:beforeAutospacing="0" w:after="0" w:afterAutospacing="0"/>
        <w:ind w:firstLine="567"/>
        <w:jc w:val="both"/>
        <w:rPr>
          <w:sz w:val="26"/>
          <w:szCs w:val="26"/>
        </w:rPr>
      </w:pPr>
      <w:r w:rsidRPr="002B4D22">
        <w:rPr>
          <w:sz w:val="26"/>
          <w:szCs w:val="26"/>
        </w:rPr>
        <w:t xml:space="preserve">Kā liecina </w:t>
      </w:r>
      <w:r w:rsidR="00336B6D" w:rsidRPr="002B4D22">
        <w:rPr>
          <w:sz w:val="26"/>
          <w:szCs w:val="26"/>
        </w:rPr>
        <w:t>PMLP</w:t>
      </w:r>
      <w:r w:rsidRPr="002B4D22">
        <w:rPr>
          <w:sz w:val="26"/>
          <w:szCs w:val="26"/>
        </w:rPr>
        <w:t xml:space="preserve"> dati, tad </w:t>
      </w:r>
      <w:r w:rsidR="00C0414F" w:rsidRPr="002B4D22">
        <w:rPr>
          <w:sz w:val="26"/>
          <w:szCs w:val="26"/>
        </w:rPr>
        <w:t>nedaudz vairāk nekā</w:t>
      </w:r>
      <w:r w:rsidRPr="002B4D22">
        <w:rPr>
          <w:sz w:val="26"/>
          <w:szCs w:val="26"/>
        </w:rPr>
        <w:t xml:space="preserve"> puse</w:t>
      </w:r>
      <w:r w:rsidR="00C0414F" w:rsidRPr="002B4D22">
        <w:rPr>
          <w:sz w:val="26"/>
          <w:szCs w:val="26"/>
        </w:rPr>
        <w:t xml:space="preserve"> (5</w:t>
      </w:r>
      <w:r w:rsidR="009D7922" w:rsidRPr="002B4D22">
        <w:rPr>
          <w:sz w:val="26"/>
          <w:szCs w:val="26"/>
        </w:rPr>
        <w:t>8,5</w:t>
      </w:r>
      <w:r w:rsidR="00C0414F" w:rsidRPr="002B4D22">
        <w:rPr>
          <w:sz w:val="26"/>
          <w:szCs w:val="26"/>
        </w:rPr>
        <w:t>%)</w:t>
      </w:r>
      <w:r w:rsidRPr="002B4D22">
        <w:rPr>
          <w:sz w:val="26"/>
          <w:szCs w:val="26"/>
        </w:rPr>
        <w:t xml:space="preserve"> no ārvalstu investoriem, kas veikuši ieguldījumu kapitālsabiedrībās, to darījuši tuvu minimālajai pieļaujamai ieguldījumu summai, </w:t>
      </w:r>
      <w:r w:rsidR="00C0414F" w:rsidRPr="002B4D22">
        <w:rPr>
          <w:sz w:val="26"/>
          <w:szCs w:val="26"/>
        </w:rPr>
        <w:t>savukārt</w:t>
      </w:r>
      <w:r w:rsidRPr="002B4D22">
        <w:rPr>
          <w:sz w:val="26"/>
          <w:szCs w:val="26"/>
        </w:rPr>
        <w:t xml:space="preserve"> </w:t>
      </w:r>
      <w:r w:rsidR="009D7922" w:rsidRPr="002B4D22">
        <w:rPr>
          <w:sz w:val="26"/>
          <w:szCs w:val="26"/>
        </w:rPr>
        <w:t>6</w:t>
      </w:r>
      <w:r w:rsidR="001F0336" w:rsidRPr="002B4D22">
        <w:rPr>
          <w:sz w:val="26"/>
          <w:szCs w:val="26"/>
        </w:rPr>
        <w:t>,</w:t>
      </w:r>
      <w:r w:rsidR="009D7922" w:rsidRPr="002B4D22">
        <w:rPr>
          <w:sz w:val="26"/>
          <w:szCs w:val="26"/>
        </w:rPr>
        <w:t>5</w:t>
      </w:r>
      <w:r w:rsidRPr="002B4D22">
        <w:rPr>
          <w:sz w:val="26"/>
          <w:szCs w:val="26"/>
        </w:rPr>
        <w:t>% no ārvalstu investoriem ir veikuši ieguldījumus kapitālsabiedrību pamatkapitālā vairāk nekā 1</w:t>
      </w:r>
      <w:r w:rsidR="00C0414F" w:rsidRPr="002B4D22">
        <w:rPr>
          <w:sz w:val="26"/>
          <w:szCs w:val="26"/>
        </w:rPr>
        <w:t xml:space="preserve">50 tūkst. </w:t>
      </w:r>
      <w:proofErr w:type="spellStart"/>
      <w:r w:rsidR="00C232F4" w:rsidRPr="002B4D22">
        <w:rPr>
          <w:i/>
          <w:sz w:val="26"/>
          <w:szCs w:val="26"/>
        </w:rPr>
        <w:t>euro</w:t>
      </w:r>
      <w:proofErr w:type="spellEnd"/>
      <w:r w:rsidRPr="002B4D22">
        <w:rPr>
          <w:sz w:val="26"/>
          <w:szCs w:val="26"/>
        </w:rPr>
        <w:t xml:space="preserve"> apmērā</w:t>
      </w:r>
      <w:r w:rsidR="00336B6D" w:rsidRPr="002B4D22">
        <w:rPr>
          <w:sz w:val="26"/>
          <w:szCs w:val="26"/>
        </w:rPr>
        <w:t xml:space="preserve"> (skatīt 1</w:t>
      </w:r>
      <w:r w:rsidR="008F6423">
        <w:rPr>
          <w:sz w:val="26"/>
          <w:szCs w:val="26"/>
        </w:rPr>
        <w:t>3</w:t>
      </w:r>
      <w:r w:rsidR="00336B6D" w:rsidRPr="002B4D22">
        <w:rPr>
          <w:sz w:val="26"/>
          <w:szCs w:val="26"/>
        </w:rPr>
        <w:t>.attēlu)</w:t>
      </w:r>
      <w:r w:rsidRPr="002B4D22">
        <w:rPr>
          <w:sz w:val="26"/>
          <w:szCs w:val="26"/>
        </w:rPr>
        <w:t xml:space="preserve">. </w:t>
      </w:r>
      <w:r w:rsidR="005B6991" w:rsidRPr="002B4D22">
        <w:rPr>
          <w:sz w:val="26"/>
          <w:szCs w:val="26"/>
        </w:rPr>
        <w:t xml:space="preserve">Kopumā </w:t>
      </w:r>
      <w:r w:rsidR="00974418" w:rsidRPr="002B4D22">
        <w:rPr>
          <w:sz w:val="26"/>
          <w:szCs w:val="26"/>
        </w:rPr>
        <w:t xml:space="preserve">visā pārskata periodā </w:t>
      </w:r>
      <w:r w:rsidR="005B6991" w:rsidRPr="002B4D22">
        <w:rPr>
          <w:sz w:val="26"/>
          <w:szCs w:val="26"/>
        </w:rPr>
        <w:t>no investīcijām kapitālsabiedrību pamatkapitālā 6</w:t>
      </w:r>
      <w:r w:rsidR="00BA0960" w:rsidRPr="002B4D22">
        <w:rPr>
          <w:sz w:val="26"/>
          <w:szCs w:val="26"/>
        </w:rPr>
        <w:t>7</w:t>
      </w:r>
      <w:r w:rsidR="009F2AD5" w:rsidRPr="002B4D22">
        <w:rPr>
          <w:sz w:val="26"/>
          <w:szCs w:val="26"/>
        </w:rPr>
        <w:t>,4</w:t>
      </w:r>
      <w:r w:rsidR="00BA0960" w:rsidRPr="002B4D22">
        <w:rPr>
          <w:sz w:val="26"/>
          <w:szCs w:val="26"/>
        </w:rPr>
        <w:t>% gadījumu</w:t>
      </w:r>
      <w:r w:rsidR="005B6991" w:rsidRPr="002B4D22">
        <w:rPr>
          <w:sz w:val="26"/>
          <w:szCs w:val="26"/>
        </w:rPr>
        <w:t xml:space="preserve"> </w:t>
      </w:r>
      <w:r w:rsidR="00BA0960" w:rsidRPr="002B4D22">
        <w:rPr>
          <w:sz w:val="26"/>
          <w:szCs w:val="26"/>
        </w:rPr>
        <w:t xml:space="preserve">kapitālsabiedrības pamatkapitālā </w:t>
      </w:r>
      <w:r w:rsidR="005B6991" w:rsidRPr="002B4D22">
        <w:rPr>
          <w:sz w:val="26"/>
          <w:szCs w:val="26"/>
        </w:rPr>
        <w:t>ieguldījum</w:t>
      </w:r>
      <w:r w:rsidR="00BA0960" w:rsidRPr="002B4D22">
        <w:rPr>
          <w:sz w:val="26"/>
          <w:szCs w:val="26"/>
        </w:rPr>
        <w:t>u veicis viens</w:t>
      </w:r>
      <w:r w:rsidR="005B6991" w:rsidRPr="002B4D22">
        <w:rPr>
          <w:sz w:val="26"/>
          <w:szCs w:val="26"/>
        </w:rPr>
        <w:t xml:space="preserve"> TUA pieteicēj</w:t>
      </w:r>
      <w:r w:rsidR="00BA0960" w:rsidRPr="002B4D22">
        <w:rPr>
          <w:sz w:val="26"/>
          <w:szCs w:val="26"/>
        </w:rPr>
        <w:t>s</w:t>
      </w:r>
      <w:r w:rsidR="005B6991" w:rsidRPr="002B4D22">
        <w:rPr>
          <w:sz w:val="26"/>
          <w:szCs w:val="26"/>
        </w:rPr>
        <w:t xml:space="preserve">, </w:t>
      </w:r>
      <w:r w:rsidR="00BA0960" w:rsidRPr="002B4D22">
        <w:rPr>
          <w:sz w:val="26"/>
          <w:szCs w:val="26"/>
        </w:rPr>
        <w:t>19</w:t>
      </w:r>
      <w:r w:rsidR="009F2AD5" w:rsidRPr="002B4D22">
        <w:rPr>
          <w:sz w:val="26"/>
          <w:szCs w:val="26"/>
        </w:rPr>
        <w:t>,4</w:t>
      </w:r>
      <w:r w:rsidR="005B6991" w:rsidRPr="002B4D22">
        <w:rPr>
          <w:sz w:val="26"/>
          <w:szCs w:val="26"/>
        </w:rPr>
        <w:t>% gadījumu –</w:t>
      </w:r>
      <w:r w:rsidR="00BA0960" w:rsidRPr="002B4D22">
        <w:rPr>
          <w:sz w:val="26"/>
          <w:szCs w:val="26"/>
        </w:rPr>
        <w:t xml:space="preserve"> divi TUA pieteicēji</w:t>
      </w:r>
      <w:r w:rsidR="005B6991" w:rsidRPr="002B4D22">
        <w:rPr>
          <w:sz w:val="26"/>
          <w:szCs w:val="26"/>
        </w:rPr>
        <w:t xml:space="preserve">, </w:t>
      </w:r>
      <w:r w:rsidR="009F2AD5" w:rsidRPr="002B4D22">
        <w:rPr>
          <w:sz w:val="26"/>
          <w:szCs w:val="26"/>
        </w:rPr>
        <w:t>7,9</w:t>
      </w:r>
      <w:r w:rsidR="005B6991" w:rsidRPr="002B4D22">
        <w:rPr>
          <w:sz w:val="26"/>
          <w:szCs w:val="26"/>
        </w:rPr>
        <w:t>% gadījumu –</w:t>
      </w:r>
      <w:r w:rsidR="00D142F7">
        <w:rPr>
          <w:sz w:val="26"/>
          <w:szCs w:val="26"/>
        </w:rPr>
        <w:t xml:space="preserve"> </w:t>
      </w:r>
      <w:r w:rsidR="009F2AD5" w:rsidRPr="002B4D22">
        <w:rPr>
          <w:sz w:val="26"/>
          <w:szCs w:val="26"/>
        </w:rPr>
        <w:t>trīs TUA pieteicēji</w:t>
      </w:r>
      <w:r w:rsidR="005B6991" w:rsidRPr="002B4D22">
        <w:rPr>
          <w:sz w:val="26"/>
          <w:szCs w:val="26"/>
        </w:rPr>
        <w:t xml:space="preserve">. Lielāks TUA pieteicēju skaits </w:t>
      </w:r>
      <w:proofErr w:type="gramStart"/>
      <w:r w:rsidR="005B6991" w:rsidRPr="002B4D22">
        <w:rPr>
          <w:sz w:val="26"/>
          <w:szCs w:val="26"/>
        </w:rPr>
        <w:t>(</w:t>
      </w:r>
      <w:proofErr w:type="gramEnd"/>
      <w:r w:rsidR="005B6991" w:rsidRPr="002B4D22">
        <w:rPr>
          <w:sz w:val="26"/>
          <w:szCs w:val="26"/>
        </w:rPr>
        <w:t xml:space="preserve">virs 3) vienā uzņēmumā ir </w:t>
      </w:r>
      <w:r w:rsidR="009F2AD5" w:rsidRPr="002B4D22">
        <w:rPr>
          <w:sz w:val="26"/>
          <w:szCs w:val="26"/>
        </w:rPr>
        <w:t>5</w:t>
      </w:r>
      <w:r w:rsidR="005B6991" w:rsidRPr="002B4D22">
        <w:rPr>
          <w:sz w:val="26"/>
          <w:szCs w:val="26"/>
        </w:rPr>
        <w:t>,</w:t>
      </w:r>
      <w:r w:rsidR="009F2AD5" w:rsidRPr="002B4D22">
        <w:rPr>
          <w:sz w:val="26"/>
          <w:szCs w:val="26"/>
        </w:rPr>
        <w:t>3</w:t>
      </w:r>
      <w:r w:rsidR="005B6991" w:rsidRPr="002B4D22">
        <w:rPr>
          <w:sz w:val="26"/>
          <w:szCs w:val="26"/>
        </w:rPr>
        <w:t>% gadījumu, tai skaitā vienā uzņēmumā ir investējuši 27 TUA pieteicēju, bet divos uzņēmumos – 12 TUA pieteicēji.</w:t>
      </w:r>
    </w:p>
    <w:p w:rsidR="00BA48F5" w:rsidRPr="002B4D22" w:rsidRDefault="00612092" w:rsidP="00D00D3E">
      <w:pPr>
        <w:spacing w:after="0" w:line="240" w:lineRule="auto"/>
        <w:ind w:firstLine="567"/>
        <w:jc w:val="both"/>
        <w:rPr>
          <w:rFonts w:ascii="Times New Roman" w:hAnsi="Times New Roman"/>
          <w:i/>
          <w:sz w:val="26"/>
          <w:szCs w:val="26"/>
        </w:rPr>
      </w:pPr>
      <w:r w:rsidRPr="002B4D22">
        <w:rPr>
          <w:rFonts w:ascii="Times New Roman" w:hAnsi="Times New Roman"/>
          <w:sz w:val="26"/>
          <w:szCs w:val="26"/>
        </w:rPr>
        <w:t xml:space="preserve">Lai arī </w:t>
      </w:r>
      <w:r w:rsidR="00C87B51" w:rsidRPr="002B4D22">
        <w:rPr>
          <w:rFonts w:ascii="Times New Roman" w:hAnsi="Times New Roman"/>
          <w:sz w:val="26"/>
          <w:szCs w:val="26"/>
        </w:rPr>
        <w:t xml:space="preserve">kopējais </w:t>
      </w:r>
      <w:r w:rsidRPr="002B4D22">
        <w:rPr>
          <w:rFonts w:ascii="Times New Roman" w:hAnsi="Times New Roman"/>
          <w:sz w:val="26"/>
          <w:szCs w:val="26"/>
        </w:rPr>
        <w:t>investīciju apjoms, kas tiek ieguldīts uzņēmum</w:t>
      </w:r>
      <w:r w:rsidR="00C87B51" w:rsidRPr="002B4D22">
        <w:rPr>
          <w:rFonts w:ascii="Times New Roman" w:hAnsi="Times New Roman"/>
          <w:sz w:val="26"/>
          <w:szCs w:val="26"/>
        </w:rPr>
        <w:t>u</w:t>
      </w:r>
      <w:r w:rsidRPr="002B4D22">
        <w:rPr>
          <w:rFonts w:ascii="Times New Roman" w:hAnsi="Times New Roman"/>
          <w:sz w:val="26"/>
          <w:szCs w:val="26"/>
        </w:rPr>
        <w:t xml:space="preserve"> pamatkapitālā, </w:t>
      </w:r>
      <w:r w:rsidR="008E10B8" w:rsidRPr="002B4D22">
        <w:rPr>
          <w:rFonts w:ascii="Times New Roman" w:hAnsi="Times New Roman"/>
          <w:sz w:val="26"/>
          <w:szCs w:val="26"/>
        </w:rPr>
        <w:t>sākotnēji</w:t>
      </w:r>
      <w:r w:rsidRPr="002B4D22">
        <w:rPr>
          <w:rFonts w:ascii="Times New Roman" w:hAnsi="Times New Roman"/>
          <w:sz w:val="26"/>
          <w:szCs w:val="26"/>
        </w:rPr>
        <w:t xml:space="preserve"> katru gadu palielinā</w:t>
      </w:r>
      <w:r w:rsidR="008E10B8" w:rsidRPr="002B4D22">
        <w:rPr>
          <w:rFonts w:ascii="Times New Roman" w:hAnsi="Times New Roman"/>
          <w:sz w:val="26"/>
          <w:szCs w:val="26"/>
        </w:rPr>
        <w:t>jā</w:t>
      </w:r>
      <w:r w:rsidRPr="002B4D22">
        <w:rPr>
          <w:rFonts w:ascii="Times New Roman" w:hAnsi="Times New Roman"/>
          <w:sz w:val="26"/>
          <w:szCs w:val="26"/>
        </w:rPr>
        <w:t>s</w:t>
      </w:r>
      <w:r w:rsidR="00C87B51" w:rsidRPr="002B4D22">
        <w:rPr>
          <w:rFonts w:ascii="Times New Roman" w:hAnsi="Times New Roman"/>
          <w:sz w:val="26"/>
          <w:szCs w:val="26"/>
        </w:rPr>
        <w:t xml:space="preserve"> – </w:t>
      </w:r>
      <w:r w:rsidRPr="002B4D22">
        <w:rPr>
          <w:rFonts w:ascii="Times New Roman" w:hAnsi="Times New Roman"/>
          <w:sz w:val="26"/>
          <w:szCs w:val="26"/>
        </w:rPr>
        <w:t>no 3</w:t>
      </w:r>
      <w:r w:rsidR="00BA48F5" w:rsidRPr="002B4D22">
        <w:rPr>
          <w:rFonts w:ascii="Times New Roman" w:hAnsi="Times New Roman"/>
          <w:sz w:val="26"/>
          <w:szCs w:val="26"/>
        </w:rPr>
        <w:t>,</w:t>
      </w:r>
      <w:r w:rsidRPr="002B4D22">
        <w:rPr>
          <w:rFonts w:ascii="Times New Roman" w:hAnsi="Times New Roman"/>
          <w:sz w:val="26"/>
          <w:szCs w:val="26"/>
        </w:rPr>
        <w:t>6</w:t>
      </w:r>
      <w:r w:rsidR="00BA48F5" w:rsidRPr="002B4D22">
        <w:rPr>
          <w:rFonts w:ascii="Times New Roman" w:hAnsi="Times New Roman"/>
          <w:sz w:val="26"/>
          <w:szCs w:val="26"/>
        </w:rPr>
        <w:t xml:space="preserve"> milj</w:t>
      </w:r>
      <w:r w:rsidR="00D142F7">
        <w:rPr>
          <w:rFonts w:ascii="Times New Roman" w:hAnsi="Times New Roman"/>
          <w:sz w:val="26"/>
          <w:szCs w:val="26"/>
        </w:rPr>
        <w:t>.</w:t>
      </w:r>
      <w:r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2011.gadā līdz 29</w:t>
      </w:r>
      <w:r w:rsidR="00BA48F5" w:rsidRPr="002B4D22">
        <w:rPr>
          <w:rFonts w:ascii="Times New Roman" w:hAnsi="Times New Roman"/>
          <w:sz w:val="26"/>
          <w:szCs w:val="26"/>
        </w:rPr>
        <w:t>,</w:t>
      </w:r>
      <w:r w:rsidRPr="002B4D22">
        <w:rPr>
          <w:rFonts w:ascii="Times New Roman" w:hAnsi="Times New Roman"/>
          <w:sz w:val="26"/>
          <w:szCs w:val="26"/>
        </w:rPr>
        <w:t>3</w:t>
      </w:r>
      <w:r w:rsidR="00BA48F5" w:rsidRPr="002B4D22">
        <w:rPr>
          <w:rFonts w:ascii="Times New Roman" w:hAnsi="Times New Roman"/>
          <w:sz w:val="26"/>
          <w:szCs w:val="26"/>
        </w:rPr>
        <w:t xml:space="preserve"> milj</w:t>
      </w:r>
      <w:r w:rsidR="00D142F7">
        <w:rPr>
          <w:rFonts w:ascii="Times New Roman" w:hAnsi="Times New Roman"/>
          <w:sz w:val="26"/>
          <w:szCs w:val="26"/>
        </w:rPr>
        <w:t>.</w:t>
      </w:r>
      <w:r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2013.gadā</w:t>
      </w:r>
      <w:r w:rsidR="00D142F7">
        <w:rPr>
          <w:rFonts w:ascii="Times New Roman" w:hAnsi="Times New Roman"/>
          <w:sz w:val="26"/>
          <w:szCs w:val="26"/>
        </w:rPr>
        <w:t>.</w:t>
      </w:r>
      <w:r w:rsidRPr="002B4D22">
        <w:rPr>
          <w:rFonts w:ascii="Times New Roman" w:hAnsi="Times New Roman"/>
          <w:sz w:val="26"/>
          <w:szCs w:val="26"/>
        </w:rPr>
        <w:t xml:space="preserve"> </w:t>
      </w:r>
      <w:r w:rsidR="00C87B51" w:rsidRPr="002B4D22">
        <w:rPr>
          <w:rFonts w:ascii="Times New Roman" w:hAnsi="Times New Roman"/>
          <w:sz w:val="26"/>
          <w:szCs w:val="26"/>
        </w:rPr>
        <w:t xml:space="preserve">Savukārt, </w:t>
      </w:r>
      <w:r w:rsidR="008E10B8" w:rsidRPr="002B4D22">
        <w:rPr>
          <w:rFonts w:ascii="Times New Roman" w:hAnsi="Times New Roman"/>
          <w:sz w:val="26"/>
          <w:szCs w:val="26"/>
        </w:rPr>
        <w:t>no 2014.gada vērojams ieguldījumu līmeņa samazinājums, ko var izskaidrot ar vairākiem grozījumiem Imigrācijas likumā, kas paredzēja ierobežot investoru skaitu uzņēmumos, kuru bilance un/vai apgrozījums nepārsniedz 10 milj</w:t>
      </w:r>
      <w:r w:rsidR="00C87B51" w:rsidRPr="002B4D22">
        <w:rPr>
          <w:rFonts w:ascii="Times New Roman" w:hAnsi="Times New Roman"/>
          <w:sz w:val="26"/>
          <w:szCs w:val="26"/>
        </w:rPr>
        <w:t>.</w:t>
      </w:r>
      <w:r w:rsidR="008E10B8"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008E10B8" w:rsidRPr="002B4D22">
        <w:rPr>
          <w:rFonts w:ascii="Times New Roman" w:hAnsi="Times New Roman"/>
          <w:i/>
          <w:sz w:val="26"/>
          <w:szCs w:val="26"/>
        </w:rPr>
        <w:t xml:space="preserve"> </w:t>
      </w:r>
      <w:r w:rsidR="008E10B8" w:rsidRPr="002B4D22">
        <w:rPr>
          <w:rFonts w:ascii="Times New Roman" w:hAnsi="Times New Roman"/>
          <w:sz w:val="26"/>
          <w:szCs w:val="26"/>
        </w:rPr>
        <w:t xml:space="preserve">un kuros nodarbināti ne vairāk kā 50 darbinieki, kā arī – noteikt nodokļu samaksas kritēriju, kas </w:t>
      </w:r>
      <w:r w:rsidR="00BA48F5" w:rsidRPr="002B4D22">
        <w:rPr>
          <w:rFonts w:ascii="Times New Roman" w:hAnsi="Times New Roman"/>
          <w:sz w:val="26"/>
          <w:szCs w:val="26"/>
        </w:rPr>
        <w:t xml:space="preserve">nav atkarīgs no veiktās investīcijas summas (iepriekš ieguldījumiem, kas sasniedza vismaz 150 000 </w:t>
      </w:r>
      <w:proofErr w:type="spellStart"/>
      <w:r w:rsidR="00C232F4" w:rsidRPr="002B4D22">
        <w:rPr>
          <w:rFonts w:ascii="Times New Roman" w:hAnsi="Times New Roman"/>
          <w:i/>
          <w:sz w:val="26"/>
          <w:szCs w:val="26"/>
        </w:rPr>
        <w:t>euro</w:t>
      </w:r>
      <w:proofErr w:type="spellEnd"/>
      <w:r w:rsidR="00BA48F5" w:rsidRPr="002B4D22">
        <w:rPr>
          <w:rFonts w:ascii="Times New Roman" w:hAnsi="Times New Roman"/>
          <w:sz w:val="26"/>
          <w:szCs w:val="26"/>
        </w:rPr>
        <w:t xml:space="preserve">, netika noteikts nodokļu samaksas kritērijs). Ievērojot iepriekš minēto, 2014.gadā </w:t>
      </w:r>
      <w:r w:rsidR="00C87B51" w:rsidRPr="002B4D22">
        <w:rPr>
          <w:rFonts w:ascii="Times New Roman" w:hAnsi="Times New Roman"/>
          <w:sz w:val="26"/>
          <w:szCs w:val="26"/>
        </w:rPr>
        <w:t xml:space="preserve">kopējās </w:t>
      </w:r>
      <w:r w:rsidRPr="002B4D22">
        <w:rPr>
          <w:rFonts w:ascii="Times New Roman" w:hAnsi="Times New Roman"/>
          <w:sz w:val="26"/>
          <w:szCs w:val="26"/>
        </w:rPr>
        <w:t>i</w:t>
      </w:r>
      <w:r w:rsidR="00FA1863" w:rsidRPr="002B4D22">
        <w:rPr>
          <w:rFonts w:ascii="Times New Roman" w:hAnsi="Times New Roman"/>
          <w:sz w:val="26"/>
          <w:szCs w:val="26"/>
        </w:rPr>
        <w:t>nvestīcijas uzņēmum</w:t>
      </w:r>
      <w:r w:rsidR="008A05E3" w:rsidRPr="002B4D22">
        <w:rPr>
          <w:rFonts w:ascii="Times New Roman" w:hAnsi="Times New Roman"/>
          <w:sz w:val="26"/>
          <w:szCs w:val="26"/>
        </w:rPr>
        <w:t>u</w:t>
      </w:r>
      <w:r w:rsidR="00FA1863" w:rsidRPr="002B4D22">
        <w:rPr>
          <w:rFonts w:ascii="Times New Roman" w:hAnsi="Times New Roman"/>
          <w:sz w:val="26"/>
          <w:szCs w:val="26"/>
        </w:rPr>
        <w:t xml:space="preserve"> pamatkapitālā </w:t>
      </w:r>
      <w:r w:rsidR="00BA48F5" w:rsidRPr="002B4D22">
        <w:rPr>
          <w:rFonts w:ascii="Times New Roman" w:hAnsi="Times New Roman"/>
          <w:sz w:val="26"/>
          <w:szCs w:val="26"/>
        </w:rPr>
        <w:t>samazinājās līdz 18,8 milj</w:t>
      </w:r>
      <w:r w:rsidR="00C87B51" w:rsidRPr="002B4D22">
        <w:rPr>
          <w:rFonts w:ascii="Times New Roman" w:hAnsi="Times New Roman"/>
          <w:sz w:val="26"/>
          <w:szCs w:val="26"/>
        </w:rPr>
        <w:t>.</w:t>
      </w:r>
      <w:r w:rsidR="00BA48F5"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00BA48F5" w:rsidRPr="002B4D22">
        <w:rPr>
          <w:rFonts w:ascii="Times New Roman" w:hAnsi="Times New Roman"/>
          <w:i/>
          <w:sz w:val="26"/>
          <w:szCs w:val="26"/>
        </w:rPr>
        <w:t xml:space="preserve"> </w:t>
      </w:r>
      <w:r w:rsidR="00BA48F5" w:rsidRPr="002B4D22">
        <w:rPr>
          <w:rFonts w:ascii="Times New Roman" w:hAnsi="Times New Roman"/>
          <w:sz w:val="26"/>
          <w:szCs w:val="26"/>
        </w:rPr>
        <w:t xml:space="preserve">jeb par 35,8%, salīdzinot ar 2013.gadu), bet 2015.gada </w:t>
      </w:r>
      <w:r w:rsidR="00BF455A" w:rsidRPr="002B4D22">
        <w:rPr>
          <w:rFonts w:ascii="Times New Roman" w:hAnsi="Times New Roman"/>
          <w:sz w:val="26"/>
          <w:szCs w:val="26"/>
        </w:rPr>
        <w:t>1.</w:t>
      </w:r>
      <w:r w:rsidR="00BA48F5" w:rsidRPr="002B4D22">
        <w:rPr>
          <w:rFonts w:ascii="Times New Roman" w:hAnsi="Times New Roman"/>
          <w:sz w:val="26"/>
          <w:szCs w:val="26"/>
        </w:rPr>
        <w:t xml:space="preserve">pusgadā – </w:t>
      </w:r>
      <w:r w:rsidR="00BF455A" w:rsidRPr="002B4D22">
        <w:rPr>
          <w:rFonts w:ascii="Times New Roman" w:hAnsi="Times New Roman"/>
          <w:sz w:val="26"/>
          <w:szCs w:val="26"/>
        </w:rPr>
        <w:t xml:space="preserve">samazinājās </w:t>
      </w:r>
      <w:r w:rsidR="00BA48F5" w:rsidRPr="002B4D22">
        <w:rPr>
          <w:rFonts w:ascii="Times New Roman" w:hAnsi="Times New Roman"/>
          <w:sz w:val="26"/>
          <w:szCs w:val="26"/>
        </w:rPr>
        <w:t>līdz 5,4 milj</w:t>
      </w:r>
      <w:r w:rsidR="00BF455A" w:rsidRPr="002B4D22">
        <w:rPr>
          <w:rFonts w:ascii="Times New Roman" w:hAnsi="Times New Roman"/>
          <w:sz w:val="26"/>
          <w:szCs w:val="26"/>
        </w:rPr>
        <w:t>.</w:t>
      </w:r>
      <w:r w:rsidR="00BA48F5"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00BA48F5" w:rsidRPr="002B4D22">
        <w:rPr>
          <w:rFonts w:ascii="Times New Roman" w:hAnsi="Times New Roman"/>
          <w:i/>
          <w:sz w:val="26"/>
          <w:szCs w:val="26"/>
        </w:rPr>
        <w:t>.</w:t>
      </w:r>
    </w:p>
    <w:p w:rsidR="00995C22" w:rsidRPr="002B4D22" w:rsidRDefault="00D142F7" w:rsidP="00D00D3E">
      <w:pPr>
        <w:spacing w:after="0" w:line="240" w:lineRule="auto"/>
        <w:ind w:firstLine="567"/>
        <w:jc w:val="both"/>
        <w:rPr>
          <w:rFonts w:ascii="Times New Roman" w:hAnsi="Times New Roman"/>
          <w:sz w:val="26"/>
          <w:szCs w:val="26"/>
        </w:rPr>
      </w:pPr>
      <w:r>
        <w:rPr>
          <w:rFonts w:ascii="Times New Roman" w:hAnsi="Times New Roman"/>
          <w:sz w:val="26"/>
          <w:szCs w:val="26"/>
        </w:rPr>
        <w:t xml:space="preserve">Saskaņā ar </w:t>
      </w:r>
      <w:r w:rsidR="00B65637">
        <w:rPr>
          <w:rFonts w:ascii="Times New Roman" w:hAnsi="Times New Roman"/>
          <w:sz w:val="26"/>
          <w:szCs w:val="26"/>
        </w:rPr>
        <w:t>LURSOFT</w:t>
      </w:r>
      <w:r w:rsidR="00995C22" w:rsidRPr="002B4D22">
        <w:rPr>
          <w:rFonts w:ascii="Times New Roman" w:hAnsi="Times New Roman"/>
          <w:sz w:val="26"/>
          <w:szCs w:val="26"/>
        </w:rPr>
        <w:t xml:space="preserve"> </w:t>
      </w:r>
      <w:r w:rsidR="00A411C7">
        <w:rPr>
          <w:rFonts w:ascii="Times New Roman" w:hAnsi="Times New Roman"/>
          <w:sz w:val="26"/>
          <w:szCs w:val="26"/>
        </w:rPr>
        <w:t>sniegtajiem datiem</w:t>
      </w:r>
      <w:r w:rsidR="00995C22" w:rsidRPr="002B4D22">
        <w:rPr>
          <w:rFonts w:ascii="Times New Roman" w:hAnsi="Times New Roman"/>
          <w:sz w:val="26"/>
          <w:szCs w:val="26"/>
        </w:rPr>
        <w:t xml:space="preserve"> vidējā naudas summa, ko valsts kopbudžetā iemaksā viens uzņēmums (atskaitot no budžeta atmaksāto vai atmaksājamo nodokļu summu), kurš nodarbina ne vairāk kā 50 darbiniekus un kura gada apgrozījums un gada bilance nepārsniedz 10 milj</w:t>
      </w:r>
      <w:r w:rsidR="002156AD">
        <w:rPr>
          <w:rFonts w:ascii="Times New Roman" w:hAnsi="Times New Roman"/>
          <w:sz w:val="26"/>
          <w:szCs w:val="26"/>
        </w:rPr>
        <w:t>.</w:t>
      </w:r>
      <w:r w:rsidR="00995C22" w:rsidRPr="002B4D22">
        <w:rPr>
          <w:rFonts w:ascii="Times New Roman" w:hAnsi="Times New Roman"/>
          <w:sz w:val="26"/>
          <w:szCs w:val="26"/>
        </w:rPr>
        <w:t xml:space="preserve"> </w:t>
      </w:r>
      <w:proofErr w:type="spellStart"/>
      <w:r w:rsidR="00995C22" w:rsidRPr="002B4D22">
        <w:rPr>
          <w:rFonts w:ascii="Times New Roman" w:hAnsi="Times New Roman"/>
          <w:i/>
          <w:sz w:val="26"/>
          <w:szCs w:val="26"/>
        </w:rPr>
        <w:t>euro</w:t>
      </w:r>
      <w:proofErr w:type="spellEnd"/>
      <w:r w:rsidR="00995C22" w:rsidRPr="002B4D22">
        <w:rPr>
          <w:rFonts w:ascii="Times New Roman" w:hAnsi="Times New Roman"/>
          <w:i/>
          <w:sz w:val="26"/>
          <w:szCs w:val="26"/>
        </w:rPr>
        <w:t xml:space="preserve">, </w:t>
      </w:r>
      <w:r w:rsidR="00995C22" w:rsidRPr="002B4D22">
        <w:rPr>
          <w:rFonts w:ascii="Times New Roman" w:hAnsi="Times New Roman"/>
          <w:sz w:val="26"/>
          <w:szCs w:val="26"/>
        </w:rPr>
        <w:t xml:space="preserve">ir 22,4 tūkst. </w:t>
      </w:r>
      <w:proofErr w:type="spellStart"/>
      <w:r w:rsidR="00995C22" w:rsidRPr="002B4D22">
        <w:rPr>
          <w:rFonts w:ascii="Times New Roman" w:hAnsi="Times New Roman"/>
          <w:i/>
          <w:sz w:val="26"/>
          <w:szCs w:val="26"/>
        </w:rPr>
        <w:t>euro</w:t>
      </w:r>
      <w:proofErr w:type="spellEnd"/>
      <w:r w:rsidR="00995C22" w:rsidRPr="002B4D22">
        <w:rPr>
          <w:rFonts w:ascii="Times New Roman" w:hAnsi="Times New Roman"/>
          <w:i/>
          <w:sz w:val="26"/>
          <w:szCs w:val="26"/>
        </w:rPr>
        <w:t xml:space="preserve">. </w:t>
      </w:r>
      <w:r w:rsidR="00995C22" w:rsidRPr="002B4D22">
        <w:rPr>
          <w:rFonts w:ascii="Times New Roman" w:hAnsi="Times New Roman"/>
          <w:sz w:val="26"/>
          <w:szCs w:val="26"/>
        </w:rPr>
        <w:t xml:space="preserve">Vidējā naudas summa, ko valsts kopbudžetā iemaksā viens uzņēmums (atskaitot no budžeta atmaksāto vai atmaksājamo nodokļu summu), kurš atbilst vismaz vienai no trīs pazīmēm – </w:t>
      </w:r>
      <w:proofErr w:type="gramStart"/>
      <w:r w:rsidR="00995C22" w:rsidRPr="002B4D22">
        <w:rPr>
          <w:rFonts w:ascii="Times New Roman" w:hAnsi="Times New Roman"/>
          <w:sz w:val="26"/>
          <w:szCs w:val="26"/>
        </w:rPr>
        <w:t>nodarbina vairāk kā</w:t>
      </w:r>
      <w:proofErr w:type="gramEnd"/>
      <w:r w:rsidR="00995C22" w:rsidRPr="002B4D22">
        <w:rPr>
          <w:rFonts w:ascii="Times New Roman" w:hAnsi="Times New Roman"/>
          <w:sz w:val="26"/>
          <w:szCs w:val="26"/>
        </w:rPr>
        <w:t xml:space="preserve"> 50 darbinieku, gada apgrozījums un/vai g</w:t>
      </w:r>
      <w:r>
        <w:rPr>
          <w:rFonts w:ascii="Times New Roman" w:hAnsi="Times New Roman"/>
          <w:sz w:val="26"/>
          <w:szCs w:val="26"/>
        </w:rPr>
        <w:t>ada bilance pārsniedz 10 milj.</w:t>
      </w:r>
      <w:r w:rsidR="00995C22" w:rsidRPr="002B4D22">
        <w:rPr>
          <w:rFonts w:ascii="Times New Roman" w:hAnsi="Times New Roman"/>
          <w:sz w:val="26"/>
          <w:szCs w:val="26"/>
        </w:rPr>
        <w:t xml:space="preserve"> </w:t>
      </w:r>
      <w:proofErr w:type="spellStart"/>
      <w:r w:rsidR="00995C22" w:rsidRPr="002B4D22">
        <w:rPr>
          <w:rFonts w:ascii="Times New Roman" w:hAnsi="Times New Roman"/>
          <w:i/>
          <w:sz w:val="26"/>
          <w:szCs w:val="26"/>
        </w:rPr>
        <w:t>euro</w:t>
      </w:r>
      <w:proofErr w:type="spellEnd"/>
      <w:r w:rsidR="00995C22" w:rsidRPr="002B4D22">
        <w:rPr>
          <w:rFonts w:ascii="Times New Roman" w:hAnsi="Times New Roman"/>
          <w:sz w:val="26"/>
          <w:szCs w:val="26"/>
        </w:rPr>
        <w:t xml:space="preserve"> –</w:t>
      </w:r>
      <w:r w:rsidR="00995C22" w:rsidRPr="002B4D22">
        <w:rPr>
          <w:rFonts w:ascii="Times New Roman" w:hAnsi="Times New Roman"/>
          <w:i/>
          <w:sz w:val="26"/>
          <w:szCs w:val="26"/>
        </w:rPr>
        <w:t xml:space="preserve"> </w:t>
      </w:r>
      <w:r w:rsidR="00995C22" w:rsidRPr="002B4D22">
        <w:rPr>
          <w:rFonts w:ascii="Times New Roman" w:hAnsi="Times New Roman"/>
          <w:sz w:val="26"/>
          <w:szCs w:val="26"/>
        </w:rPr>
        <w:t xml:space="preserve">ir 1,3 milj. </w:t>
      </w:r>
      <w:proofErr w:type="spellStart"/>
      <w:r w:rsidR="00995C22" w:rsidRPr="002B4D22">
        <w:rPr>
          <w:rFonts w:ascii="Times New Roman" w:hAnsi="Times New Roman"/>
          <w:i/>
          <w:sz w:val="26"/>
          <w:szCs w:val="26"/>
        </w:rPr>
        <w:t>euro</w:t>
      </w:r>
      <w:proofErr w:type="spellEnd"/>
      <w:r w:rsidR="00995C22" w:rsidRPr="002B4D22">
        <w:rPr>
          <w:rFonts w:ascii="Times New Roman" w:hAnsi="Times New Roman"/>
          <w:i/>
          <w:sz w:val="26"/>
          <w:szCs w:val="26"/>
        </w:rPr>
        <w:t>.</w:t>
      </w:r>
    </w:p>
    <w:p w:rsidR="00FA1863" w:rsidRPr="002B4D22" w:rsidRDefault="001A7A4A" w:rsidP="00D00D3E">
      <w:pPr>
        <w:spacing w:after="0" w:line="240" w:lineRule="auto"/>
        <w:ind w:firstLine="567"/>
        <w:jc w:val="both"/>
        <w:rPr>
          <w:rFonts w:ascii="Times New Roman" w:hAnsi="Times New Roman"/>
          <w:sz w:val="26"/>
          <w:szCs w:val="26"/>
        </w:rPr>
      </w:pPr>
      <w:r w:rsidRPr="002B4D22">
        <w:rPr>
          <w:rFonts w:ascii="Times New Roman" w:hAnsi="Times New Roman"/>
          <w:sz w:val="26"/>
          <w:szCs w:val="26"/>
        </w:rPr>
        <w:t>Jāatzīmē</w:t>
      </w:r>
      <w:r w:rsidR="00FA1863" w:rsidRPr="002B4D22">
        <w:rPr>
          <w:rFonts w:ascii="Times New Roman" w:hAnsi="Times New Roman"/>
          <w:sz w:val="26"/>
          <w:szCs w:val="26"/>
        </w:rPr>
        <w:t>, ka š</w:t>
      </w:r>
      <w:r w:rsidR="00C034CC" w:rsidRPr="002B4D22">
        <w:rPr>
          <w:rFonts w:ascii="Times New Roman" w:hAnsi="Times New Roman"/>
          <w:sz w:val="26"/>
          <w:szCs w:val="26"/>
        </w:rPr>
        <w:t>īs</w:t>
      </w:r>
      <w:r w:rsidR="00FA1863" w:rsidRPr="002B4D22">
        <w:rPr>
          <w:rFonts w:ascii="Times New Roman" w:hAnsi="Times New Roman"/>
          <w:sz w:val="26"/>
          <w:szCs w:val="26"/>
        </w:rPr>
        <w:t xml:space="preserve"> investīcij</w:t>
      </w:r>
      <w:r w:rsidR="00C034CC" w:rsidRPr="002B4D22">
        <w:rPr>
          <w:rFonts w:ascii="Times New Roman" w:hAnsi="Times New Roman"/>
          <w:sz w:val="26"/>
          <w:szCs w:val="26"/>
        </w:rPr>
        <w:t>as</w:t>
      </w:r>
      <w:r w:rsidR="00FA1863" w:rsidRPr="002B4D22">
        <w:rPr>
          <w:rFonts w:ascii="Times New Roman" w:hAnsi="Times New Roman"/>
          <w:sz w:val="26"/>
          <w:szCs w:val="26"/>
        </w:rPr>
        <w:t xml:space="preserve"> ieplūst reālaj</w:t>
      </w:r>
      <w:r w:rsidR="00C879B9" w:rsidRPr="002B4D22">
        <w:rPr>
          <w:rFonts w:ascii="Times New Roman" w:hAnsi="Times New Roman"/>
          <w:sz w:val="26"/>
          <w:szCs w:val="26"/>
        </w:rPr>
        <w:t>ā ekonomikā</w:t>
      </w:r>
      <w:r w:rsidR="005343D2" w:rsidRPr="002B4D22">
        <w:rPr>
          <w:rFonts w:ascii="Times New Roman" w:hAnsi="Times New Roman"/>
          <w:sz w:val="26"/>
          <w:szCs w:val="26"/>
        </w:rPr>
        <w:t>,</w:t>
      </w:r>
      <w:r w:rsidR="00FA1863" w:rsidRPr="002B4D22">
        <w:rPr>
          <w:rFonts w:ascii="Times New Roman" w:hAnsi="Times New Roman"/>
          <w:sz w:val="26"/>
          <w:szCs w:val="26"/>
        </w:rPr>
        <w:t xml:space="preserve"> </w:t>
      </w:r>
      <w:r w:rsidR="00C879B9" w:rsidRPr="002B4D22">
        <w:rPr>
          <w:rFonts w:ascii="Times New Roman" w:hAnsi="Times New Roman"/>
          <w:sz w:val="26"/>
          <w:szCs w:val="26"/>
        </w:rPr>
        <w:t>risinot</w:t>
      </w:r>
      <w:r w:rsidR="00FA1863" w:rsidRPr="002B4D22">
        <w:rPr>
          <w:rFonts w:ascii="Times New Roman" w:hAnsi="Times New Roman"/>
          <w:sz w:val="26"/>
          <w:szCs w:val="26"/>
        </w:rPr>
        <w:t xml:space="preserve"> uzņēmumu pašu finanšu trūkumu, </w:t>
      </w:r>
      <w:r w:rsidR="00C879B9" w:rsidRPr="002B4D22">
        <w:rPr>
          <w:rFonts w:ascii="Times New Roman" w:hAnsi="Times New Roman"/>
          <w:sz w:val="26"/>
          <w:szCs w:val="26"/>
        </w:rPr>
        <w:t xml:space="preserve">veicinot uzņēmumu attīstību, </w:t>
      </w:r>
      <w:r w:rsidR="005343D2" w:rsidRPr="002B4D22">
        <w:rPr>
          <w:rFonts w:ascii="Times New Roman" w:hAnsi="Times New Roman"/>
          <w:sz w:val="26"/>
          <w:szCs w:val="26"/>
        </w:rPr>
        <w:t>inovāciju ieviešanu, tādējādi kāpinot to konkurētspēju</w:t>
      </w:r>
      <w:r w:rsidRPr="002B4D22">
        <w:rPr>
          <w:rFonts w:ascii="Times New Roman" w:hAnsi="Times New Roman"/>
          <w:sz w:val="26"/>
          <w:szCs w:val="26"/>
        </w:rPr>
        <w:t>.</w:t>
      </w:r>
      <w:r w:rsidR="005343D2" w:rsidRPr="002B4D22">
        <w:rPr>
          <w:rFonts w:ascii="Times New Roman" w:hAnsi="Times New Roman"/>
          <w:sz w:val="26"/>
          <w:szCs w:val="26"/>
        </w:rPr>
        <w:t xml:space="preserve"> </w:t>
      </w:r>
    </w:p>
    <w:p w:rsidR="00DA5907" w:rsidRPr="002B4D22" w:rsidRDefault="009B10A4" w:rsidP="00534DFC">
      <w:pPr>
        <w:keepNext/>
        <w:spacing w:after="120" w:line="240" w:lineRule="auto"/>
        <w:jc w:val="right"/>
        <w:rPr>
          <w:rFonts w:ascii="Times New Roman" w:hAnsi="Times New Roman"/>
          <w:sz w:val="26"/>
          <w:szCs w:val="26"/>
        </w:rPr>
      </w:pPr>
      <w:r w:rsidRPr="002B4D22">
        <w:rPr>
          <w:rFonts w:ascii="Times New Roman" w:hAnsi="Times New Roman"/>
          <w:sz w:val="26"/>
          <w:szCs w:val="26"/>
        </w:rPr>
        <w:lastRenderedPageBreak/>
        <w:t>1</w:t>
      </w:r>
      <w:r w:rsidR="00084DA1">
        <w:rPr>
          <w:rFonts w:ascii="Times New Roman" w:hAnsi="Times New Roman"/>
          <w:sz w:val="26"/>
          <w:szCs w:val="26"/>
        </w:rPr>
        <w:t>4</w:t>
      </w:r>
      <w:r w:rsidRPr="002B4D22">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078"/>
      </w:tblGrid>
      <w:tr w:rsidR="00C83CA2" w:rsidRPr="002B4D22" w:rsidTr="00BD42CB">
        <w:tc>
          <w:tcPr>
            <w:tcW w:w="9571" w:type="dxa"/>
            <w:gridSpan w:val="2"/>
          </w:tcPr>
          <w:p w:rsidR="00C83CA2" w:rsidRPr="002B4D22" w:rsidRDefault="009F4C0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TUA iesniedzēju – ieguldītāju</w:t>
            </w:r>
            <w:r w:rsidR="00C83CA2" w:rsidRPr="002B4D22">
              <w:rPr>
                <w:rFonts w:ascii="Times New Roman" w:hAnsi="Times New Roman"/>
                <w:b/>
                <w:sz w:val="24"/>
                <w:szCs w:val="24"/>
              </w:rPr>
              <w:t xml:space="preserve"> </w:t>
            </w:r>
            <w:r w:rsidRPr="002B4D22">
              <w:rPr>
                <w:rFonts w:ascii="Times New Roman" w:hAnsi="Times New Roman"/>
                <w:b/>
                <w:sz w:val="24"/>
                <w:szCs w:val="24"/>
              </w:rPr>
              <w:t>kapitālsabiedrību pamatkapitālā</w:t>
            </w:r>
          </w:p>
        </w:tc>
      </w:tr>
      <w:tr w:rsidR="00DA5907" w:rsidRPr="002B4D22" w:rsidTr="00DA5907">
        <w:tc>
          <w:tcPr>
            <w:tcW w:w="4785" w:type="dxa"/>
          </w:tcPr>
          <w:p w:rsidR="00DA5907" w:rsidRPr="002B4D22" w:rsidRDefault="00C83CA2"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veikto ieguldījumu skaits </w:t>
            </w:r>
            <w:r w:rsidR="00DA5907" w:rsidRPr="002B4D22">
              <w:rPr>
                <w:rFonts w:ascii="Times New Roman" w:hAnsi="Times New Roman"/>
                <w:b/>
                <w:sz w:val="24"/>
                <w:szCs w:val="24"/>
              </w:rPr>
              <w:t>sadalījumā pēc to apjoma (07.2010.-06.201</w:t>
            </w:r>
            <w:r w:rsidR="00C856EF" w:rsidRPr="002B4D22">
              <w:rPr>
                <w:rFonts w:ascii="Times New Roman" w:hAnsi="Times New Roman"/>
                <w:b/>
                <w:sz w:val="24"/>
                <w:szCs w:val="24"/>
              </w:rPr>
              <w:t>5</w:t>
            </w:r>
            <w:r w:rsidR="00DA5907" w:rsidRPr="002B4D22">
              <w:rPr>
                <w:rFonts w:ascii="Times New Roman" w:hAnsi="Times New Roman"/>
                <w:b/>
                <w:sz w:val="24"/>
                <w:szCs w:val="24"/>
              </w:rPr>
              <w:t>.)</w:t>
            </w:r>
          </w:p>
          <w:p w:rsidR="00DA5907" w:rsidRPr="002B4D22" w:rsidRDefault="00BA48F5" w:rsidP="00534DFC">
            <w:pPr>
              <w:keepNext/>
              <w:spacing w:after="120" w:line="240" w:lineRule="auto"/>
              <w:rPr>
                <w:rFonts w:ascii="Times New Roman" w:hAnsi="Times New Roman"/>
                <w:i/>
                <w:sz w:val="26"/>
                <w:szCs w:val="26"/>
              </w:rPr>
            </w:pPr>
            <w:r w:rsidRPr="002B4D22">
              <w:rPr>
                <w:rFonts w:ascii="Times New Roman" w:hAnsi="Times New Roman"/>
                <w:i/>
                <w:noProof/>
                <w:sz w:val="26"/>
                <w:szCs w:val="26"/>
                <w:lang w:eastAsia="lv-LV"/>
              </w:rPr>
              <w:drawing>
                <wp:inline distT="0" distB="0" distL="0" distR="0">
                  <wp:extent cx="2790825" cy="32004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5907" w:rsidRPr="002B4D22" w:rsidRDefault="00DA5907" w:rsidP="00534DFC">
            <w:pPr>
              <w:keepNext/>
              <w:spacing w:after="120" w:line="240" w:lineRule="auto"/>
              <w:rPr>
                <w:rFonts w:ascii="Times New Roman" w:hAnsi="Times New Roman"/>
                <w:sz w:val="22"/>
                <w:szCs w:val="22"/>
              </w:rPr>
            </w:pPr>
            <w:r w:rsidRPr="002B4D22">
              <w:rPr>
                <w:rFonts w:ascii="Times New Roman" w:hAnsi="Times New Roman"/>
                <w:i/>
                <w:sz w:val="22"/>
                <w:szCs w:val="22"/>
              </w:rPr>
              <w:t>Avots: PMLP</w:t>
            </w:r>
          </w:p>
        </w:tc>
        <w:tc>
          <w:tcPr>
            <w:tcW w:w="4786" w:type="dxa"/>
          </w:tcPr>
          <w:p w:rsidR="00DA5907" w:rsidRPr="002B4D22" w:rsidRDefault="00DA5907" w:rsidP="004A5C5D">
            <w:pPr>
              <w:keepNext/>
              <w:spacing w:after="0" w:line="240" w:lineRule="auto"/>
              <w:jc w:val="center"/>
              <w:rPr>
                <w:rFonts w:ascii="Times New Roman" w:hAnsi="Times New Roman"/>
                <w:b/>
                <w:sz w:val="24"/>
                <w:szCs w:val="24"/>
              </w:rPr>
            </w:pPr>
            <w:r w:rsidRPr="002B4D22">
              <w:rPr>
                <w:rFonts w:ascii="Times New Roman" w:hAnsi="Times New Roman"/>
                <w:b/>
                <w:sz w:val="24"/>
                <w:szCs w:val="24"/>
              </w:rPr>
              <w:t xml:space="preserve">sadalījums pēc valstiskās piederības </w:t>
            </w:r>
          </w:p>
          <w:p w:rsidR="00C311E9" w:rsidRPr="002B4D22" w:rsidRDefault="00DA5907"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(07.2010.-06.201</w:t>
            </w:r>
            <w:r w:rsidR="00C856EF" w:rsidRPr="002B4D22">
              <w:rPr>
                <w:rFonts w:ascii="Times New Roman" w:hAnsi="Times New Roman"/>
                <w:b/>
                <w:sz w:val="24"/>
                <w:szCs w:val="24"/>
              </w:rPr>
              <w:t>5</w:t>
            </w:r>
            <w:r w:rsidRPr="002B4D22">
              <w:rPr>
                <w:rFonts w:ascii="Times New Roman" w:hAnsi="Times New Roman"/>
                <w:b/>
                <w:sz w:val="24"/>
                <w:szCs w:val="24"/>
              </w:rPr>
              <w:t>.)</w:t>
            </w:r>
          </w:p>
          <w:p w:rsidR="00DA5907" w:rsidRPr="002B4D22" w:rsidRDefault="00C311E9" w:rsidP="00534DFC">
            <w:pPr>
              <w:keepNext/>
              <w:spacing w:after="120" w:line="240" w:lineRule="auto"/>
              <w:jc w:val="center"/>
              <w:rPr>
                <w:rFonts w:ascii="Times New Roman" w:hAnsi="Times New Roman"/>
                <w:noProof/>
                <w:lang w:eastAsia="lv-LV"/>
              </w:rPr>
            </w:pPr>
            <w:r w:rsidRPr="002B4D22">
              <w:rPr>
                <w:rFonts w:ascii="Times New Roman" w:hAnsi="Times New Roman"/>
                <w:noProof/>
                <w:lang w:eastAsia="lv-LV"/>
              </w:rPr>
              <w:drawing>
                <wp:inline distT="0" distB="0" distL="0" distR="0">
                  <wp:extent cx="3257550" cy="3204796"/>
                  <wp:effectExtent l="0" t="0" r="0" b="1524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A5907" w:rsidRPr="002B4D22" w:rsidRDefault="00DA5907" w:rsidP="004A5C5D">
            <w:pPr>
              <w:keepNext/>
              <w:spacing w:after="120" w:line="240" w:lineRule="auto"/>
              <w:rPr>
                <w:rFonts w:ascii="Times New Roman" w:hAnsi="Times New Roman"/>
                <w:sz w:val="26"/>
                <w:szCs w:val="26"/>
              </w:rPr>
            </w:pPr>
            <w:r w:rsidRPr="002B4D22">
              <w:rPr>
                <w:rFonts w:ascii="Times New Roman" w:hAnsi="Times New Roman"/>
                <w:i/>
                <w:sz w:val="22"/>
                <w:szCs w:val="22"/>
              </w:rPr>
              <w:t>Avots: PMLP</w:t>
            </w:r>
          </w:p>
        </w:tc>
      </w:tr>
    </w:tbl>
    <w:p w:rsidR="000A2105" w:rsidRPr="002B4D22" w:rsidRDefault="00725254" w:rsidP="004A5C5D">
      <w:pPr>
        <w:spacing w:after="120" w:line="240" w:lineRule="auto"/>
        <w:ind w:firstLine="567"/>
        <w:jc w:val="both"/>
        <w:rPr>
          <w:rFonts w:ascii="Times New Roman" w:hAnsi="Times New Roman"/>
          <w:sz w:val="26"/>
          <w:szCs w:val="26"/>
        </w:rPr>
      </w:pPr>
      <w:r w:rsidRPr="002B4D22">
        <w:rPr>
          <w:rFonts w:ascii="Times New Roman" w:hAnsi="Times New Roman"/>
          <w:sz w:val="26"/>
          <w:szCs w:val="26"/>
        </w:rPr>
        <w:t>N</w:t>
      </w:r>
      <w:r w:rsidR="00F43147" w:rsidRPr="002B4D22">
        <w:rPr>
          <w:rFonts w:ascii="Times New Roman" w:hAnsi="Times New Roman"/>
          <w:sz w:val="26"/>
          <w:szCs w:val="26"/>
        </w:rPr>
        <w:t>erezidenti</w:t>
      </w:r>
      <w:r w:rsidR="000A2105" w:rsidRPr="002B4D22">
        <w:rPr>
          <w:rFonts w:ascii="Times New Roman" w:hAnsi="Times New Roman"/>
          <w:sz w:val="26"/>
          <w:szCs w:val="26"/>
        </w:rPr>
        <w:t>em</w:t>
      </w:r>
      <w:r w:rsidR="00F43147" w:rsidRPr="002B4D22">
        <w:rPr>
          <w:rFonts w:ascii="Times New Roman" w:hAnsi="Times New Roman"/>
          <w:sz w:val="26"/>
          <w:szCs w:val="26"/>
        </w:rPr>
        <w:t xml:space="preserve">, </w:t>
      </w:r>
      <w:r w:rsidRPr="002B4D22">
        <w:rPr>
          <w:rFonts w:ascii="Times New Roman" w:hAnsi="Times New Roman"/>
          <w:sz w:val="26"/>
          <w:szCs w:val="26"/>
        </w:rPr>
        <w:t>kuri</w:t>
      </w:r>
      <w:r w:rsidR="00F43147" w:rsidRPr="002B4D22">
        <w:rPr>
          <w:rFonts w:ascii="Times New Roman" w:hAnsi="Times New Roman"/>
          <w:sz w:val="26"/>
          <w:szCs w:val="26"/>
        </w:rPr>
        <w:t xml:space="preserve"> veikuši ieguldījumu kapitālsabied</w:t>
      </w:r>
      <w:r w:rsidR="000A2105" w:rsidRPr="002B4D22">
        <w:rPr>
          <w:rFonts w:ascii="Times New Roman" w:hAnsi="Times New Roman"/>
          <w:sz w:val="26"/>
          <w:szCs w:val="26"/>
        </w:rPr>
        <w:t xml:space="preserve">rībās un pieteikušies TUA, </w:t>
      </w:r>
      <w:r w:rsidR="00F43147" w:rsidRPr="002B4D22">
        <w:rPr>
          <w:rFonts w:ascii="Times New Roman" w:hAnsi="Times New Roman"/>
          <w:sz w:val="26"/>
          <w:szCs w:val="26"/>
        </w:rPr>
        <w:t xml:space="preserve">pieder </w:t>
      </w:r>
      <w:r w:rsidRPr="002B4D22">
        <w:rPr>
          <w:rFonts w:ascii="Times New Roman" w:hAnsi="Times New Roman"/>
          <w:sz w:val="26"/>
          <w:szCs w:val="26"/>
        </w:rPr>
        <w:t>īpašumtiesību</w:t>
      </w:r>
      <w:r w:rsidR="00F43147" w:rsidRPr="002B4D22">
        <w:rPr>
          <w:rFonts w:ascii="Times New Roman" w:hAnsi="Times New Roman"/>
          <w:sz w:val="26"/>
          <w:szCs w:val="26"/>
        </w:rPr>
        <w:t xml:space="preserve"> daļas </w:t>
      </w:r>
      <w:r w:rsidRPr="002B4D22">
        <w:rPr>
          <w:rFonts w:ascii="Times New Roman" w:hAnsi="Times New Roman"/>
          <w:sz w:val="26"/>
          <w:szCs w:val="26"/>
        </w:rPr>
        <w:t>292</w:t>
      </w:r>
      <w:r w:rsidR="00F43147" w:rsidRPr="002B4D22">
        <w:rPr>
          <w:rFonts w:ascii="Times New Roman" w:hAnsi="Times New Roman"/>
          <w:sz w:val="26"/>
          <w:szCs w:val="26"/>
        </w:rPr>
        <w:t xml:space="preserve"> Latvijā </w:t>
      </w:r>
      <w:r w:rsidR="00E52D70" w:rsidRPr="002B4D22">
        <w:rPr>
          <w:rFonts w:ascii="Times New Roman" w:hAnsi="Times New Roman"/>
          <w:sz w:val="26"/>
          <w:szCs w:val="26"/>
        </w:rPr>
        <w:t>reģistrētos uzņēmumos</w:t>
      </w:r>
      <w:r w:rsidR="00B12148" w:rsidRPr="002B4D22">
        <w:rPr>
          <w:rStyle w:val="FootnoteReference"/>
          <w:rFonts w:ascii="Times New Roman" w:hAnsi="Times New Roman"/>
          <w:sz w:val="26"/>
          <w:szCs w:val="26"/>
        </w:rPr>
        <w:footnoteReference w:id="17"/>
      </w:r>
      <w:r w:rsidR="00F43147" w:rsidRPr="002B4D22">
        <w:rPr>
          <w:rFonts w:ascii="Times New Roman" w:hAnsi="Times New Roman"/>
          <w:sz w:val="26"/>
          <w:szCs w:val="26"/>
        </w:rPr>
        <w:t>.</w:t>
      </w:r>
      <w:r w:rsidR="000A2105" w:rsidRPr="002B4D22">
        <w:rPr>
          <w:rFonts w:ascii="Times New Roman" w:hAnsi="Times New Roman"/>
          <w:sz w:val="26"/>
          <w:szCs w:val="26"/>
        </w:rPr>
        <w:t xml:space="preserve"> </w:t>
      </w:r>
      <w:r w:rsidRPr="002B4D22">
        <w:rPr>
          <w:rFonts w:ascii="Times New Roman" w:hAnsi="Times New Roman"/>
          <w:sz w:val="26"/>
          <w:szCs w:val="26"/>
        </w:rPr>
        <w:t xml:space="preserve">No šiem uzņēmumiem, </w:t>
      </w:r>
      <w:r w:rsidR="000A2105" w:rsidRPr="002B4D22">
        <w:rPr>
          <w:rFonts w:ascii="Times New Roman" w:hAnsi="Times New Roman"/>
          <w:sz w:val="26"/>
          <w:szCs w:val="26"/>
        </w:rPr>
        <w:t>8</w:t>
      </w:r>
      <w:r w:rsidRPr="002B4D22">
        <w:rPr>
          <w:rFonts w:ascii="Times New Roman" w:hAnsi="Times New Roman"/>
          <w:sz w:val="26"/>
          <w:szCs w:val="26"/>
        </w:rPr>
        <w:t>9</w:t>
      </w:r>
      <w:r w:rsidR="000A2105" w:rsidRPr="002B4D22">
        <w:rPr>
          <w:rFonts w:ascii="Times New Roman" w:hAnsi="Times New Roman"/>
          <w:sz w:val="26"/>
          <w:szCs w:val="26"/>
        </w:rPr>
        <w:t xml:space="preserve"> </w:t>
      </w:r>
      <w:r w:rsidR="00E52D70" w:rsidRPr="002B4D22">
        <w:rPr>
          <w:rFonts w:ascii="Times New Roman" w:hAnsi="Times New Roman"/>
          <w:sz w:val="26"/>
          <w:szCs w:val="26"/>
        </w:rPr>
        <w:t>uzņēmumi</w:t>
      </w:r>
      <w:r w:rsidR="00B12148" w:rsidRPr="002B4D22">
        <w:rPr>
          <w:rStyle w:val="FootnoteReference"/>
          <w:rFonts w:ascii="Times New Roman" w:hAnsi="Times New Roman"/>
          <w:sz w:val="26"/>
          <w:szCs w:val="26"/>
        </w:rPr>
        <w:footnoteReference w:id="18"/>
      </w:r>
      <w:r w:rsidRPr="002B4D22">
        <w:rPr>
          <w:rFonts w:ascii="Times New Roman" w:hAnsi="Times New Roman"/>
          <w:sz w:val="26"/>
          <w:szCs w:val="26"/>
        </w:rPr>
        <w:t xml:space="preserve"> </w:t>
      </w:r>
      <w:r w:rsidR="000A2105" w:rsidRPr="002B4D22">
        <w:rPr>
          <w:rFonts w:ascii="Times New Roman" w:hAnsi="Times New Roman"/>
          <w:sz w:val="26"/>
          <w:szCs w:val="26"/>
        </w:rPr>
        <w:t>201</w:t>
      </w:r>
      <w:r w:rsidRPr="002B4D22">
        <w:rPr>
          <w:rFonts w:ascii="Times New Roman" w:hAnsi="Times New Roman"/>
          <w:sz w:val="26"/>
          <w:szCs w:val="26"/>
        </w:rPr>
        <w:t>4</w:t>
      </w:r>
      <w:r w:rsidR="000A2105" w:rsidRPr="002B4D22">
        <w:rPr>
          <w:rFonts w:ascii="Times New Roman" w:hAnsi="Times New Roman"/>
          <w:sz w:val="26"/>
          <w:szCs w:val="26"/>
        </w:rPr>
        <w:t xml:space="preserve">.gadu ir </w:t>
      </w:r>
      <w:r w:rsidR="00E52D70" w:rsidRPr="002B4D22">
        <w:rPr>
          <w:rFonts w:ascii="Times New Roman" w:hAnsi="Times New Roman"/>
          <w:sz w:val="26"/>
          <w:szCs w:val="26"/>
        </w:rPr>
        <w:t xml:space="preserve">noslēguši </w:t>
      </w:r>
      <w:r w:rsidR="000A2105" w:rsidRPr="002B4D22">
        <w:rPr>
          <w:rFonts w:ascii="Times New Roman" w:hAnsi="Times New Roman"/>
          <w:sz w:val="26"/>
          <w:szCs w:val="26"/>
        </w:rPr>
        <w:t xml:space="preserve">ar </w:t>
      </w:r>
      <w:r w:rsidR="008B47C3" w:rsidRPr="002B4D22">
        <w:rPr>
          <w:rFonts w:ascii="Times New Roman" w:hAnsi="Times New Roman"/>
          <w:sz w:val="26"/>
          <w:szCs w:val="26"/>
        </w:rPr>
        <w:t>peļņu</w:t>
      </w:r>
      <w:r w:rsidR="000A2105" w:rsidRPr="002B4D22">
        <w:rPr>
          <w:rFonts w:ascii="Times New Roman" w:hAnsi="Times New Roman"/>
          <w:sz w:val="26"/>
          <w:szCs w:val="26"/>
        </w:rPr>
        <w:t xml:space="preserve">, bet </w:t>
      </w:r>
      <w:r w:rsidRPr="002B4D22">
        <w:rPr>
          <w:rFonts w:ascii="Times New Roman" w:hAnsi="Times New Roman"/>
          <w:sz w:val="26"/>
          <w:szCs w:val="26"/>
        </w:rPr>
        <w:t>142</w:t>
      </w:r>
      <w:proofErr w:type="gramStart"/>
      <w:r w:rsidR="000A2105" w:rsidRPr="002B4D22">
        <w:rPr>
          <w:rFonts w:ascii="Times New Roman" w:hAnsi="Times New Roman"/>
          <w:sz w:val="26"/>
          <w:szCs w:val="26"/>
        </w:rPr>
        <w:t xml:space="preserve"> </w:t>
      </w:r>
      <w:r w:rsidR="00E52D70" w:rsidRPr="002B4D22">
        <w:rPr>
          <w:rFonts w:ascii="Times New Roman" w:hAnsi="Times New Roman"/>
          <w:sz w:val="26"/>
          <w:szCs w:val="26"/>
        </w:rPr>
        <w:t xml:space="preserve"> </w:t>
      </w:r>
      <w:proofErr w:type="gramEnd"/>
      <w:r w:rsidR="00C63526" w:rsidRPr="002B4D22">
        <w:rPr>
          <w:rFonts w:ascii="Times New Roman" w:hAnsi="Times New Roman"/>
          <w:sz w:val="26"/>
          <w:szCs w:val="26"/>
        </w:rPr>
        <w:t xml:space="preserve">– </w:t>
      </w:r>
      <w:r w:rsidR="000A2105" w:rsidRPr="002B4D22">
        <w:rPr>
          <w:rFonts w:ascii="Times New Roman" w:hAnsi="Times New Roman"/>
          <w:sz w:val="26"/>
          <w:szCs w:val="26"/>
        </w:rPr>
        <w:t>ar zaudējumiem</w:t>
      </w:r>
      <w:r w:rsidR="00C63526" w:rsidRPr="002B4D22">
        <w:rPr>
          <w:rFonts w:ascii="Times New Roman" w:hAnsi="Times New Roman"/>
          <w:sz w:val="26"/>
          <w:szCs w:val="26"/>
        </w:rPr>
        <w:t>.</w:t>
      </w:r>
      <w:r w:rsidR="000A2105" w:rsidRPr="002B4D22">
        <w:rPr>
          <w:rFonts w:ascii="Times New Roman" w:hAnsi="Times New Roman"/>
          <w:sz w:val="26"/>
          <w:szCs w:val="26"/>
        </w:rPr>
        <w:t xml:space="preserve"> </w:t>
      </w:r>
      <w:r w:rsidR="00C63526" w:rsidRPr="002B4D22">
        <w:rPr>
          <w:rFonts w:ascii="Times New Roman" w:hAnsi="Times New Roman"/>
          <w:sz w:val="26"/>
          <w:szCs w:val="26"/>
        </w:rPr>
        <w:t>K</w:t>
      </w:r>
      <w:r w:rsidR="000A2105" w:rsidRPr="002B4D22">
        <w:rPr>
          <w:rFonts w:ascii="Times New Roman" w:hAnsi="Times New Roman"/>
          <w:sz w:val="26"/>
          <w:szCs w:val="26"/>
        </w:rPr>
        <w:t xml:space="preserve">opējais </w:t>
      </w:r>
      <w:r w:rsidR="00E52D70" w:rsidRPr="002B4D22">
        <w:rPr>
          <w:rFonts w:ascii="Times New Roman" w:hAnsi="Times New Roman"/>
          <w:sz w:val="26"/>
          <w:szCs w:val="26"/>
        </w:rPr>
        <w:t xml:space="preserve">uzņēmumu </w:t>
      </w:r>
      <w:r w:rsidR="000A2105" w:rsidRPr="002B4D22">
        <w:rPr>
          <w:rFonts w:ascii="Times New Roman" w:hAnsi="Times New Roman"/>
          <w:sz w:val="26"/>
          <w:szCs w:val="26"/>
        </w:rPr>
        <w:t>apgrozījums 201</w:t>
      </w:r>
      <w:r w:rsidRPr="002B4D22">
        <w:rPr>
          <w:rFonts w:ascii="Times New Roman" w:hAnsi="Times New Roman"/>
          <w:sz w:val="26"/>
          <w:szCs w:val="26"/>
        </w:rPr>
        <w:t>4</w:t>
      </w:r>
      <w:r w:rsidR="000A2105" w:rsidRPr="002B4D22">
        <w:rPr>
          <w:rFonts w:ascii="Times New Roman" w:hAnsi="Times New Roman"/>
          <w:sz w:val="26"/>
          <w:szCs w:val="26"/>
        </w:rPr>
        <w:t xml:space="preserve">.gadā bija </w:t>
      </w:r>
      <w:r w:rsidRPr="002B4D22">
        <w:rPr>
          <w:rFonts w:ascii="Times New Roman" w:hAnsi="Times New Roman"/>
          <w:sz w:val="26"/>
          <w:szCs w:val="26"/>
        </w:rPr>
        <w:t>141</w:t>
      </w:r>
      <w:r w:rsidR="000A2105" w:rsidRPr="002B4D22">
        <w:rPr>
          <w:rFonts w:ascii="Times New Roman" w:hAnsi="Times New Roman"/>
          <w:sz w:val="26"/>
          <w:szCs w:val="26"/>
        </w:rPr>
        <w:t xml:space="preserve">,6 milj. </w:t>
      </w:r>
      <w:proofErr w:type="spellStart"/>
      <w:r w:rsidR="00C232F4" w:rsidRPr="002B4D22">
        <w:rPr>
          <w:rFonts w:ascii="Times New Roman" w:hAnsi="Times New Roman"/>
          <w:i/>
          <w:iCs/>
          <w:sz w:val="26"/>
          <w:szCs w:val="26"/>
        </w:rPr>
        <w:t>euro</w:t>
      </w:r>
      <w:proofErr w:type="spellEnd"/>
      <w:r w:rsidR="00C63526" w:rsidRPr="002B4D22">
        <w:rPr>
          <w:rFonts w:ascii="Times New Roman" w:hAnsi="Times New Roman"/>
          <w:sz w:val="26"/>
          <w:szCs w:val="26"/>
        </w:rPr>
        <w:t xml:space="preserve"> un kopā nodarbināti tika 1 557 darbinieki.</w:t>
      </w:r>
      <w:r w:rsidR="000A2105" w:rsidRPr="002B4D22">
        <w:rPr>
          <w:rFonts w:ascii="Times New Roman" w:hAnsi="Times New Roman"/>
          <w:sz w:val="26"/>
          <w:szCs w:val="26"/>
        </w:rPr>
        <w:t xml:space="preserve"> </w:t>
      </w:r>
    </w:p>
    <w:p w:rsidR="00CC533C" w:rsidRPr="002B4D22" w:rsidRDefault="002F0CAA" w:rsidP="00534DFC">
      <w:pPr>
        <w:keepNext/>
        <w:spacing w:after="120" w:line="240" w:lineRule="auto"/>
        <w:jc w:val="right"/>
        <w:rPr>
          <w:rFonts w:ascii="Times New Roman" w:hAnsi="Times New Roman"/>
          <w:sz w:val="26"/>
          <w:szCs w:val="26"/>
        </w:rPr>
      </w:pPr>
      <w:r w:rsidRPr="002B4D22">
        <w:rPr>
          <w:rFonts w:ascii="Times New Roman" w:hAnsi="Times New Roman"/>
          <w:sz w:val="26"/>
          <w:szCs w:val="26"/>
        </w:rPr>
        <w:lastRenderedPageBreak/>
        <w:t>1</w:t>
      </w:r>
      <w:r w:rsidR="00084DA1">
        <w:rPr>
          <w:rFonts w:ascii="Times New Roman" w:hAnsi="Times New Roman"/>
          <w:sz w:val="26"/>
          <w:szCs w:val="26"/>
        </w:rPr>
        <w:t>5</w:t>
      </w:r>
      <w:r w:rsidR="00CC533C" w:rsidRPr="002B4D22">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9"/>
        <w:gridCol w:w="4764"/>
      </w:tblGrid>
      <w:tr w:rsidR="002C65AA" w:rsidRPr="002B4D22" w:rsidTr="00873031">
        <w:tc>
          <w:tcPr>
            <w:tcW w:w="9571" w:type="dxa"/>
            <w:gridSpan w:val="2"/>
          </w:tcPr>
          <w:p w:rsidR="00C464B0" w:rsidRPr="002B4D22" w:rsidRDefault="002C65AA"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 TUA iesniedzējiem – ieguldītājiem </w:t>
            </w:r>
            <w:r w:rsidR="00C464B0" w:rsidRPr="002B4D22">
              <w:rPr>
                <w:rFonts w:ascii="Times New Roman" w:hAnsi="Times New Roman"/>
                <w:b/>
                <w:sz w:val="24"/>
                <w:szCs w:val="24"/>
              </w:rPr>
              <w:t>kapitālsabiedrību pamatkapitālā</w:t>
            </w:r>
            <w:r w:rsidR="00C464B0" w:rsidRPr="002B4D22">
              <w:rPr>
                <w:rFonts w:ascii="Times New Roman" w:hAnsi="Times New Roman"/>
                <w:sz w:val="26"/>
                <w:szCs w:val="26"/>
              </w:rPr>
              <w:t xml:space="preserve"> </w:t>
            </w:r>
            <w:r w:rsidRPr="002B4D22">
              <w:rPr>
                <w:rFonts w:ascii="Times New Roman" w:hAnsi="Times New Roman"/>
                <w:b/>
                <w:sz w:val="24"/>
                <w:szCs w:val="24"/>
              </w:rPr>
              <w:t xml:space="preserve">attiecināmo </w:t>
            </w:r>
          </w:p>
          <w:p w:rsidR="002C65AA" w:rsidRPr="002B4D22" w:rsidRDefault="002C65AA"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(pieder </w:t>
            </w:r>
            <w:r w:rsidR="00F12281" w:rsidRPr="002B4D22">
              <w:rPr>
                <w:rFonts w:ascii="Times New Roman" w:hAnsi="Times New Roman"/>
                <w:b/>
                <w:sz w:val="24"/>
                <w:szCs w:val="24"/>
              </w:rPr>
              <w:t xml:space="preserve">īpašumtiesību </w:t>
            </w:r>
            <w:r w:rsidRPr="002B4D22">
              <w:rPr>
                <w:rFonts w:ascii="Times New Roman" w:hAnsi="Times New Roman"/>
                <w:b/>
                <w:sz w:val="24"/>
                <w:szCs w:val="24"/>
              </w:rPr>
              <w:t>daļas)</w:t>
            </w:r>
          </w:p>
        </w:tc>
      </w:tr>
      <w:tr w:rsidR="002C65AA" w:rsidRPr="002B4D22" w:rsidTr="00873031">
        <w:tc>
          <w:tcPr>
            <w:tcW w:w="4785" w:type="dxa"/>
          </w:tcPr>
          <w:p w:rsidR="002C65AA" w:rsidRPr="002B4D22" w:rsidRDefault="00DC124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uzņēmumu </w:t>
            </w:r>
            <w:r w:rsidR="002C65AA" w:rsidRPr="002B4D22">
              <w:rPr>
                <w:rFonts w:ascii="Times New Roman" w:hAnsi="Times New Roman"/>
                <w:b/>
                <w:sz w:val="24"/>
                <w:szCs w:val="24"/>
              </w:rPr>
              <w:t>sadalījums pēc to dibināšanas gada</w:t>
            </w:r>
          </w:p>
          <w:p w:rsidR="002C65AA" w:rsidRPr="002B4D22" w:rsidRDefault="002C65AA" w:rsidP="00534DFC">
            <w:pPr>
              <w:keepNext/>
              <w:spacing w:after="120" w:line="240" w:lineRule="auto"/>
              <w:jc w:val="right"/>
              <w:rPr>
                <w:rFonts w:ascii="Times New Roman" w:hAnsi="Times New Roman"/>
                <w:sz w:val="26"/>
                <w:szCs w:val="26"/>
              </w:rPr>
            </w:pPr>
            <w:r w:rsidRPr="002B4D22">
              <w:rPr>
                <w:rFonts w:ascii="Times New Roman" w:hAnsi="Times New Roman"/>
                <w:noProof/>
                <w:sz w:val="26"/>
                <w:szCs w:val="26"/>
                <w:lang w:eastAsia="lv-LV"/>
              </w:rPr>
              <w:drawing>
                <wp:inline distT="0" distB="0" distL="0" distR="0">
                  <wp:extent cx="2619375" cy="21526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C65AA" w:rsidRPr="002B4D22" w:rsidRDefault="002C65AA" w:rsidP="00534DFC">
            <w:pPr>
              <w:keepNext/>
              <w:spacing w:after="120" w:line="240" w:lineRule="auto"/>
              <w:rPr>
                <w:rFonts w:ascii="Times New Roman" w:hAnsi="Times New Roman"/>
                <w:sz w:val="22"/>
                <w:szCs w:val="22"/>
              </w:rPr>
            </w:pPr>
            <w:r w:rsidRPr="002B4D22">
              <w:rPr>
                <w:rFonts w:ascii="Times New Roman" w:hAnsi="Times New Roman"/>
                <w:i/>
                <w:sz w:val="22"/>
                <w:szCs w:val="22"/>
              </w:rPr>
              <w:t xml:space="preserve">Avots: </w:t>
            </w:r>
            <w:r w:rsidR="00B65637">
              <w:rPr>
                <w:rFonts w:ascii="Times New Roman" w:hAnsi="Times New Roman"/>
                <w:i/>
                <w:sz w:val="22"/>
                <w:szCs w:val="22"/>
              </w:rPr>
              <w:t>LURSOFT</w:t>
            </w:r>
          </w:p>
        </w:tc>
        <w:tc>
          <w:tcPr>
            <w:tcW w:w="4786" w:type="dxa"/>
          </w:tcPr>
          <w:p w:rsidR="002C65AA" w:rsidRPr="002B4D22" w:rsidRDefault="00DC124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uzņēmumu </w:t>
            </w:r>
            <w:r w:rsidR="002C65AA" w:rsidRPr="002B4D22">
              <w:rPr>
                <w:rFonts w:ascii="Times New Roman" w:hAnsi="Times New Roman"/>
                <w:b/>
                <w:sz w:val="24"/>
                <w:szCs w:val="24"/>
              </w:rPr>
              <w:t xml:space="preserve">sadalījums pēc darbības jomas </w:t>
            </w:r>
          </w:p>
          <w:p w:rsidR="002C65AA" w:rsidRPr="002B4D22" w:rsidRDefault="002C65AA" w:rsidP="00534DFC">
            <w:pPr>
              <w:keepNext/>
              <w:spacing w:after="120" w:line="240" w:lineRule="auto"/>
              <w:jc w:val="center"/>
              <w:rPr>
                <w:rFonts w:ascii="Times New Roman" w:hAnsi="Times New Roman"/>
                <w:b/>
                <w:sz w:val="24"/>
                <w:szCs w:val="24"/>
              </w:rPr>
            </w:pPr>
            <w:r w:rsidRPr="002B4D22">
              <w:rPr>
                <w:rFonts w:ascii="Times New Roman" w:hAnsi="Times New Roman"/>
                <w:noProof/>
                <w:sz w:val="26"/>
                <w:szCs w:val="26"/>
                <w:lang w:eastAsia="lv-LV"/>
              </w:rPr>
              <w:drawing>
                <wp:inline distT="0" distB="0" distL="0" distR="0">
                  <wp:extent cx="2819400" cy="2333625"/>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C65AA" w:rsidRPr="002B4D22" w:rsidRDefault="002C65AA" w:rsidP="00534DFC">
            <w:pPr>
              <w:keepNext/>
              <w:spacing w:after="120" w:line="240" w:lineRule="auto"/>
              <w:rPr>
                <w:rFonts w:ascii="Times New Roman" w:hAnsi="Times New Roman"/>
                <w:sz w:val="26"/>
                <w:szCs w:val="26"/>
              </w:rPr>
            </w:pPr>
            <w:r w:rsidRPr="002B4D22">
              <w:rPr>
                <w:rFonts w:ascii="Times New Roman" w:hAnsi="Times New Roman"/>
                <w:i/>
                <w:sz w:val="22"/>
                <w:szCs w:val="22"/>
              </w:rPr>
              <w:t xml:space="preserve">Avots: </w:t>
            </w:r>
            <w:r w:rsidR="00B65637">
              <w:rPr>
                <w:rFonts w:ascii="Times New Roman" w:hAnsi="Times New Roman"/>
                <w:i/>
                <w:sz w:val="22"/>
                <w:szCs w:val="22"/>
              </w:rPr>
              <w:t>LURSOFT</w:t>
            </w:r>
            <w:r w:rsidRPr="002B4D22">
              <w:rPr>
                <w:rFonts w:ascii="Times New Roman" w:hAnsi="Times New Roman"/>
                <w:sz w:val="26"/>
                <w:szCs w:val="26"/>
              </w:rPr>
              <w:t xml:space="preserve"> </w:t>
            </w:r>
          </w:p>
        </w:tc>
      </w:tr>
    </w:tbl>
    <w:p w:rsidR="009B10A4" w:rsidRPr="002B4D22" w:rsidRDefault="009B10A4" w:rsidP="00534DFC">
      <w:pPr>
        <w:spacing w:after="120" w:line="240" w:lineRule="auto"/>
        <w:ind w:firstLine="426"/>
        <w:jc w:val="both"/>
        <w:rPr>
          <w:rFonts w:ascii="Times New Roman" w:hAnsi="Times New Roman"/>
          <w:sz w:val="26"/>
          <w:szCs w:val="26"/>
        </w:rPr>
      </w:pPr>
    </w:p>
    <w:p w:rsidR="009B10A4" w:rsidRPr="002B4D22" w:rsidRDefault="009B10A4" w:rsidP="007B3B04">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No </w:t>
      </w:r>
      <w:r w:rsidR="00DC1241" w:rsidRPr="002B4D22">
        <w:rPr>
          <w:rFonts w:ascii="Times New Roman" w:hAnsi="Times New Roman"/>
          <w:sz w:val="26"/>
          <w:szCs w:val="26"/>
        </w:rPr>
        <w:t>šiem uzņēmumiem, kuros</w:t>
      </w:r>
      <w:r w:rsidR="00C63526" w:rsidRPr="002B4D22">
        <w:rPr>
          <w:rFonts w:ascii="Times New Roman" w:hAnsi="Times New Roman"/>
          <w:sz w:val="26"/>
          <w:szCs w:val="26"/>
        </w:rPr>
        <w:t xml:space="preserve"> TUA saņēmējiem pieder daļas,</w:t>
      </w:r>
      <w:r w:rsidRPr="002B4D22">
        <w:rPr>
          <w:rFonts w:ascii="Times New Roman" w:hAnsi="Times New Roman"/>
          <w:sz w:val="26"/>
          <w:szCs w:val="26"/>
        </w:rPr>
        <w:t xml:space="preserve"> vairums darbojas pakalpojumu sfērā – vairumtirdzniecībā, restorānu biznesā, izmitināšanas pakalpojumos, finanšu starpniecībā, operācijās ar nekustamo īpašumu, </w:t>
      </w:r>
      <w:r w:rsidR="008B47C3" w:rsidRPr="002B4D22">
        <w:rPr>
          <w:rFonts w:ascii="Times New Roman" w:hAnsi="Times New Roman"/>
          <w:sz w:val="26"/>
          <w:szCs w:val="26"/>
        </w:rPr>
        <w:t>profesionālajos un tehniskajos</w:t>
      </w:r>
      <w:r w:rsidRPr="002B4D22">
        <w:rPr>
          <w:rFonts w:ascii="Times New Roman" w:hAnsi="Times New Roman"/>
          <w:sz w:val="26"/>
          <w:szCs w:val="26"/>
        </w:rPr>
        <w:t xml:space="preserve"> pakalpojumos (juridiskie pakalpojumi, grāmatvedība). </w:t>
      </w:r>
    </w:p>
    <w:p w:rsidR="00C63526" w:rsidRPr="002B4D22" w:rsidRDefault="00C63526" w:rsidP="007B3B04">
      <w:pPr>
        <w:spacing w:after="0" w:line="240" w:lineRule="auto"/>
        <w:ind w:firstLine="567"/>
        <w:jc w:val="both"/>
        <w:rPr>
          <w:rFonts w:ascii="Times New Roman" w:hAnsi="Times New Roman"/>
          <w:sz w:val="26"/>
          <w:szCs w:val="26"/>
        </w:rPr>
      </w:pPr>
      <w:r w:rsidRPr="002B4D22">
        <w:rPr>
          <w:rFonts w:ascii="Times New Roman" w:hAnsi="Times New Roman"/>
          <w:sz w:val="26"/>
          <w:szCs w:val="26"/>
        </w:rPr>
        <w:t>Minētie TUA pieteicēji 201</w:t>
      </w:r>
      <w:r w:rsidR="00944886" w:rsidRPr="002B4D22">
        <w:rPr>
          <w:rFonts w:ascii="Times New Roman" w:hAnsi="Times New Roman"/>
          <w:sz w:val="26"/>
          <w:szCs w:val="26"/>
        </w:rPr>
        <w:t>5</w:t>
      </w:r>
      <w:r w:rsidRPr="002B4D22">
        <w:rPr>
          <w:rFonts w:ascii="Times New Roman" w:hAnsi="Times New Roman"/>
          <w:sz w:val="26"/>
          <w:szCs w:val="26"/>
        </w:rPr>
        <w:t>.gadā ieņem arī kādu amatu</w:t>
      </w:r>
      <w:r w:rsidR="00712294" w:rsidRPr="002B4D22">
        <w:rPr>
          <w:rFonts w:ascii="Times New Roman" w:hAnsi="Times New Roman"/>
          <w:sz w:val="26"/>
          <w:szCs w:val="26"/>
        </w:rPr>
        <w:t xml:space="preserve"> </w:t>
      </w:r>
      <w:r w:rsidR="00CD1C26" w:rsidRPr="002B4D22">
        <w:rPr>
          <w:rFonts w:ascii="Times New Roman" w:hAnsi="Times New Roman"/>
          <w:sz w:val="26"/>
          <w:szCs w:val="26"/>
        </w:rPr>
        <w:t>1</w:t>
      </w:r>
      <w:r w:rsidRPr="002B4D22">
        <w:rPr>
          <w:rFonts w:ascii="Times New Roman" w:hAnsi="Times New Roman"/>
          <w:sz w:val="26"/>
          <w:szCs w:val="26"/>
        </w:rPr>
        <w:t xml:space="preserve">37 Latvijā </w:t>
      </w:r>
      <w:r w:rsidR="00DC1241" w:rsidRPr="002B4D22">
        <w:rPr>
          <w:rFonts w:ascii="Times New Roman" w:hAnsi="Times New Roman"/>
          <w:sz w:val="26"/>
          <w:szCs w:val="26"/>
        </w:rPr>
        <w:t>reģistrētos uzņēmumos</w:t>
      </w:r>
      <w:r w:rsidRPr="002B4D22">
        <w:rPr>
          <w:rFonts w:ascii="Times New Roman" w:hAnsi="Times New Roman"/>
          <w:sz w:val="26"/>
          <w:szCs w:val="26"/>
        </w:rPr>
        <w:t>.</w:t>
      </w:r>
      <w:r w:rsidR="006E0A3C">
        <w:rPr>
          <w:rFonts w:ascii="Times New Roman" w:hAnsi="Times New Roman"/>
          <w:sz w:val="26"/>
          <w:szCs w:val="26"/>
        </w:rPr>
        <w:t xml:space="preserve"> Šie uzņēmumi kopumā 2015.</w:t>
      </w:r>
      <w:r w:rsidR="00944886" w:rsidRPr="002B4D22">
        <w:rPr>
          <w:rFonts w:ascii="Times New Roman" w:hAnsi="Times New Roman"/>
          <w:sz w:val="26"/>
          <w:szCs w:val="26"/>
        </w:rPr>
        <w:t xml:space="preserve">gada 1.pusgadā ir nomaksājuši VID administrētos nodokļus 3,4 milj. </w:t>
      </w:r>
      <w:proofErr w:type="spellStart"/>
      <w:r w:rsidR="00944886" w:rsidRPr="002B4D22">
        <w:rPr>
          <w:rFonts w:ascii="Times New Roman" w:hAnsi="Times New Roman"/>
          <w:i/>
          <w:sz w:val="26"/>
          <w:szCs w:val="26"/>
        </w:rPr>
        <w:t>euro</w:t>
      </w:r>
      <w:proofErr w:type="spellEnd"/>
      <w:r w:rsidR="00944886" w:rsidRPr="002B4D22">
        <w:rPr>
          <w:rFonts w:ascii="Times New Roman" w:hAnsi="Times New Roman"/>
          <w:sz w:val="26"/>
          <w:szCs w:val="26"/>
        </w:rPr>
        <w:t xml:space="preserve"> apmērā, kas ir par 12% mazāk nekā 2014.gadā. </w:t>
      </w:r>
    </w:p>
    <w:p w:rsidR="008B07A2" w:rsidRPr="002B4D22" w:rsidRDefault="008B07A2" w:rsidP="007B3B04">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Uzņēmumi, kuros apstiprinātu TUA pieteicējiem pieder īpašumtiesību daļas, 2015.gada 1.pusgadā ir samaksāto un VID administrēto nodokļu kopsumma ir 7,9 milj.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2014.gadā šī summa bija 10,9 milj.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bet 2013.gadā </w:t>
      </w:r>
      <w:r w:rsidR="006E0A3C" w:rsidRPr="002B4D22">
        <w:rPr>
          <w:rFonts w:ascii="Times New Roman" w:hAnsi="Times New Roman"/>
          <w:sz w:val="26"/>
          <w:szCs w:val="26"/>
        </w:rPr>
        <w:t>–</w:t>
      </w:r>
      <w:r w:rsidR="006E0A3C">
        <w:rPr>
          <w:rFonts w:ascii="Times New Roman" w:hAnsi="Times New Roman"/>
          <w:sz w:val="26"/>
          <w:szCs w:val="26"/>
        </w:rPr>
        <w:t xml:space="preserve"> </w:t>
      </w:r>
      <w:r w:rsidRPr="002B4D22">
        <w:rPr>
          <w:rFonts w:ascii="Times New Roman" w:hAnsi="Times New Roman"/>
          <w:sz w:val="26"/>
          <w:szCs w:val="26"/>
        </w:rPr>
        <w:t xml:space="preserve">7,9 milj.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w:t>
      </w:r>
    </w:p>
    <w:p w:rsidR="008B07A2" w:rsidRPr="002B4D22" w:rsidRDefault="008B07A2" w:rsidP="007B3B04">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Ja </w:t>
      </w:r>
      <w:r w:rsidR="005A3D5D">
        <w:rPr>
          <w:rFonts w:ascii="Times New Roman" w:hAnsi="Times New Roman"/>
          <w:sz w:val="26"/>
          <w:szCs w:val="26"/>
        </w:rPr>
        <w:t xml:space="preserve">vērtē tikai </w:t>
      </w:r>
      <w:r w:rsidR="00E06F0D" w:rsidRPr="002B4D22">
        <w:rPr>
          <w:rFonts w:ascii="Times New Roman" w:hAnsi="Times New Roman"/>
          <w:sz w:val="26"/>
          <w:szCs w:val="26"/>
        </w:rPr>
        <w:t>kapitālsabiedrīb</w:t>
      </w:r>
      <w:r w:rsidR="005A3D5D">
        <w:rPr>
          <w:rFonts w:ascii="Times New Roman" w:hAnsi="Times New Roman"/>
          <w:sz w:val="26"/>
          <w:szCs w:val="26"/>
        </w:rPr>
        <w:t>as</w:t>
      </w:r>
      <w:r w:rsidRPr="002B4D22">
        <w:rPr>
          <w:rFonts w:ascii="Times New Roman" w:hAnsi="Times New Roman"/>
          <w:sz w:val="26"/>
          <w:szCs w:val="26"/>
        </w:rPr>
        <w:t xml:space="preserve">, </w:t>
      </w:r>
      <w:r w:rsidR="00E06F0D" w:rsidRPr="002B4D22">
        <w:rPr>
          <w:rFonts w:ascii="Times New Roman" w:hAnsi="Times New Roman"/>
          <w:sz w:val="26"/>
          <w:szCs w:val="26"/>
        </w:rPr>
        <w:t xml:space="preserve">kuru pamatkapitālā </w:t>
      </w:r>
      <w:r w:rsidRPr="002B4D22">
        <w:rPr>
          <w:rFonts w:ascii="Times New Roman" w:hAnsi="Times New Roman"/>
          <w:sz w:val="26"/>
          <w:szCs w:val="26"/>
        </w:rPr>
        <w:t>ārvalstnieki ir ieguldījuši, lai saņemtu TUA</w:t>
      </w:r>
      <w:r w:rsidR="006D05CD" w:rsidRPr="002B4D22">
        <w:rPr>
          <w:rFonts w:ascii="Times New Roman" w:hAnsi="Times New Roman"/>
          <w:sz w:val="26"/>
          <w:szCs w:val="26"/>
        </w:rPr>
        <w:t>, tad j</w:t>
      </w:r>
      <w:r w:rsidR="00E06F0D" w:rsidRPr="002B4D22">
        <w:rPr>
          <w:rFonts w:ascii="Times New Roman" w:hAnsi="Times New Roman"/>
          <w:sz w:val="26"/>
          <w:szCs w:val="26"/>
        </w:rPr>
        <w:t xml:space="preserve">āsecina, ka 2015.gada 1.pusgadā šīs kapitālsabiedrības ir samaksājušas valsts kopbudžetā VID administrētos nodokļus 17,5 milj. </w:t>
      </w:r>
      <w:proofErr w:type="spellStart"/>
      <w:r w:rsidR="00E06F0D" w:rsidRPr="00C05FBB">
        <w:rPr>
          <w:rFonts w:ascii="Times New Roman" w:hAnsi="Times New Roman"/>
          <w:i/>
          <w:sz w:val="26"/>
          <w:szCs w:val="26"/>
        </w:rPr>
        <w:t>euro</w:t>
      </w:r>
      <w:proofErr w:type="spellEnd"/>
      <w:r w:rsidR="00E06F0D" w:rsidRPr="002B4D22">
        <w:rPr>
          <w:rFonts w:ascii="Times New Roman" w:hAnsi="Times New Roman"/>
          <w:sz w:val="26"/>
          <w:szCs w:val="26"/>
        </w:rPr>
        <w:t xml:space="preserve"> apmērā. 2014.gadā šī summa bija 38,4 milj. </w:t>
      </w:r>
      <w:proofErr w:type="spellStart"/>
      <w:r w:rsidR="00E06F0D" w:rsidRPr="002B4D22">
        <w:rPr>
          <w:rFonts w:ascii="Times New Roman" w:hAnsi="Times New Roman"/>
          <w:i/>
          <w:sz w:val="26"/>
          <w:szCs w:val="26"/>
        </w:rPr>
        <w:t>euro</w:t>
      </w:r>
      <w:proofErr w:type="spellEnd"/>
      <w:r w:rsidR="00E06F0D" w:rsidRPr="002B4D22">
        <w:rPr>
          <w:rFonts w:ascii="Times New Roman" w:hAnsi="Times New Roman"/>
          <w:sz w:val="26"/>
          <w:szCs w:val="26"/>
        </w:rPr>
        <w:t xml:space="preserve"> un 2013.gadā </w:t>
      </w:r>
      <w:r w:rsidR="00B96793" w:rsidRPr="002B4D22">
        <w:rPr>
          <w:rFonts w:ascii="Times New Roman" w:hAnsi="Times New Roman"/>
          <w:sz w:val="26"/>
          <w:szCs w:val="26"/>
        </w:rPr>
        <w:t>–</w:t>
      </w:r>
      <w:r w:rsidR="00B96793">
        <w:rPr>
          <w:rFonts w:ascii="Times New Roman" w:hAnsi="Times New Roman"/>
          <w:sz w:val="26"/>
          <w:szCs w:val="26"/>
        </w:rPr>
        <w:t xml:space="preserve"> </w:t>
      </w:r>
      <w:r w:rsidR="00E06F0D" w:rsidRPr="002B4D22">
        <w:rPr>
          <w:rFonts w:ascii="Times New Roman" w:hAnsi="Times New Roman"/>
          <w:sz w:val="26"/>
          <w:szCs w:val="26"/>
        </w:rPr>
        <w:t xml:space="preserve">24,4 milj. </w:t>
      </w:r>
      <w:proofErr w:type="spellStart"/>
      <w:r w:rsidR="00E06F0D" w:rsidRPr="002B4D22">
        <w:rPr>
          <w:rFonts w:ascii="Times New Roman" w:hAnsi="Times New Roman"/>
          <w:i/>
          <w:sz w:val="26"/>
          <w:szCs w:val="26"/>
        </w:rPr>
        <w:t>euro</w:t>
      </w:r>
      <w:proofErr w:type="spellEnd"/>
      <w:r w:rsidR="00E06F0D" w:rsidRPr="002B4D22">
        <w:rPr>
          <w:rFonts w:ascii="Times New Roman" w:hAnsi="Times New Roman"/>
          <w:sz w:val="26"/>
          <w:szCs w:val="26"/>
        </w:rPr>
        <w:t xml:space="preserve"> apmērā. Samaksātais uzņēmuma ienākumu nodoklis šādām kapitālsabiedrībām bija attiecīgi 2013.gadā </w:t>
      </w:r>
      <w:r w:rsidR="00B96793" w:rsidRPr="002B4D22">
        <w:rPr>
          <w:rFonts w:ascii="Times New Roman" w:hAnsi="Times New Roman"/>
          <w:sz w:val="26"/>
          <w:szCs w:val="26"/>
        </w:rPr>
        <w:t>–</w:t>
      </w:r>
      <w:r w:rsidR="00B96793">
        <w:rPr>
          <w:rFonts w:ascii="Times New Roman" w:hAnsi="Times New Roman"/>
          <w:sz w:val="26"/>
          <w:szCs w:val="26"/>
        </w:rPr>
        <w:t xml:space="preserve"> 4,1 </w:t>
      </w:r>
      <w:r w:rsidR="00E06F0D" w:rsidRPr="002B4D22">
        <w:rPr>
          <w:rFonts w:ascii="Times New Roman" w:hAnsi="Times New Roman"/>
          <w:sz w:val="26"/>
          <w:szCs w:val="26"/>
        </w:rPr>
        <w:t xml:space="preserve">milj. </w:t>
      </w:r>
      <w:proofErr w:type="spellStart"/>
      <w:r w:rsidR="00E06F0D" w:rsidRPr="002B4D22">
        <w:rPr>
          <w:rFonts w:ascii="Times New Roman" w:hAnsi="Times New Roman"/>
          <w:i/>
          <w:sz w:val="26"/>
          <w:szCs w:val="26"/>
        </w:rPr>
        <w:t>euro</w:t>
      </w:r>
      <w:proofErr w:type="spellEnd"/>
      <w:r w:rsidR="00E06F0D" w:rsidRPr="002B4D22">
        <w:rPr>
          <w:rFonts w:ascii="Times New Roman" w:hAnsi="Times New Roman"/>
          <w:sz w:val="26"/>
          <w:szCs w:val="26"/>
        </w:rPr>
        <w:t xml:space="preserve">, 2014.gadā </w:t>
      </w:r>
      <w:r w:rsidR="00B96793" w:rsidRPr="002B4D22">
        <w:rPr>
          <w:rFonts w:ascii="Times New Roman" w:hAnsi="Times New Roman"/>
          <w:sz w:val="26"/>
          <w:szCs w:val="26"/>
        </w:rPr>
        <w:t>–</w:t>
      </w:r>
      <w:r w:rsidR="00B96793">
        <w:rPr>
          <w:rFonts w:ascii="Times New Roman" w:hAnsi="Times New Roman"/>
          <w:sz w:val="26"/>
          <w:szCs w:val="26"/>
        </w:rPr>
        <w:t xml:space="preserve"> </w:t>
      </w:r>
      <w:r w:rsidR="00E06F0D" w:rsidRPr="002B4D22">
        <w:rPr>
          <w:rFonts w:ascii="Times New Roman" w:hAnsi="Times New Roman"/>
          <w:sz w:val="26"/>
          <w:szCs w:val="26"/>
        </w:rPr>
        <w:t xml:space="preserve">15 milj. </w:t>
      </w:r>
      <w:proofErr w:type="spellStart"/>
      <w:r w:rsidR="00E06F0D" w:rsidRPr="002B4D22">
        <w:rPr>
          <w:rFonts w:ascii="Times New Roman" w:hAnsi="Times New Roman"/>
          <w:i/>
          <w:sz w:val="26"/>
          <w:szCs w:val="26"/>
        </w:rPr>
        <w:t>euro</w:t>
      </w:r>
      <w:proofErr w:type="spellEnd"/>
      <w:r w:rsidR="00E06F0D" w:rsidRPr="002B4D22">
        <w:rPr>
          <w:rFonts w:ascii="Times New Roman" w:hAnsi="Times New Roman"/>
          <w:sz w:val="26"/>
          <w:szCs w:val="26"/>
        </w:rPr>
        <w:t xml:space="preserve"> gadā (no tiem 13,4 milj.</w:t>
      </w:r>
      <w:r w:rsidR="00B96793" w:rsidRPr="00B96793">
        <w:rPr>
          <w:rFonts w:ascii="Times New Roman" w:hAnsi="Times New Roman"/>
          <w:i/>
          <w:sz w:val="26"/>
          <w:szCs w:val="26"/>
        </w:rPr>
        <w:t xml:space="preserve"> </w:t>
      </w:r>
      <w:proofErr w:type="spellStart"/>
      <w:r w:rsidR="00B96793" w:rsidRPr="002B4D22">
        <w:rPr>
          <w:rFonts w:ascii="Times New Roman" w:hAnsi="Times New Roman"/>
          <w:i/>
          <w:sz w:val="26"/>
          <w:szCs w:val="26"/>
        </w:rPr>
        <w:t>euro</w:t>
      </w:r>
      <w:proofErr w:type="spellEnd"/>
      <w:r w:rsidR="00E06F0D" w:rsidRPr="002B4D22">
        <w:rPr>
          <w:rFonts w:ascii="Times New Roman" w:hAnsi="Times New Roman"/>
          <w:sz w:val="26"/>
          <w:szCs w:val="26"/>
        </w:rPr>
        <w:t xml:space="preserve"> samaksāja AS “</w:t>
      </w:r>
      <w:r w:rsidR="00E06F0D" w:rsidRPr="007B3B04">
        <w:rPr>
          <w:rFonts w:ascii="Times New Roman" w:hAnsi="Times New Roman"/>
          <w:sz w:val="26"/>
          <w:szCs w:val="26"/>
        </w:rPr>
        <w:t xml:space="preserve">Aizkraukles banka”) un 2015.gada 1.pusgadā </w:t>
      </w:r>
      <w:r w:rsidR="00B96793" w:rsidRPr="007B3B04">
        <w:rPr>
          <w:rFonts w:ascii="Times New Roman" w:hAnsi="Times New Roman"/>
          <w:sz w:val="26"/>
          <w:szCs w:val="26"/>
        </w:rPr>
        <w:t xml:space="preserve">– </w:t>
      </w:r>
      <w:r w:rsidR="00E06F0D" w:rsidRPr="007B3B04">
        <w:rPr>
          <w:rFonts w:ascii="Times New Roman" w:hAnsi="Times New Roman"/>
          <w:sz w:val="26"/>
          <w:szCs w:val="26"/>
        </w:rPr>
        <w:t xml:space="preserve">2,8 milj. </w:t>
      </w:r>
      <w:proofErr w:type="spellStart"/>
      <w:r w:rsidR="00E06F0D" w:rsidRPr="007B3B04">
        <w:rPr>
          <w:rFonts w:ascii="Times New Roman" w:hAnsi="Times New Roman"/>
          <w:i/>
          <w:sz w:val="26"/>
          <w:szCs w:val="26"/>
        </w:rPr>
        <w:t>euro</w:t>
      </w:r>
      <w:proofErr w:type="spellEnd"/>
      <w:r w:rsidR="00E06F0D" w:rsidRPr="007B3B04">
        <w:rPr>
          <w:rFonts w:ascii="Times New Roman" w:hAnsi="Times New Roman"/>
          <w:sz w:val="26"/>
          <w:szCs w:val="26"/>
        </w:rPr>
        <w:t xml:space="preserve">. </w:t>
      </w:r>
      <w:r w:rsidR="00933007" w:rsidRPr="007B3B04">
        <w:rPr>
          <w:rFonts w:ascii="Times New Roman" w:hAnsi="Times New Roman"/>
          <w:sz w:val="26"/>
          <w:szCs w:val="26"/>
        </w:rPr>
        <w:t>Vidējais no</w:t>
      </w:r>
      <w:r w:rsidR="00B96793" w:rsidRPr="007B3B04">
        <w:rPr>
          <w:rFonts w:ascii="Times New Roman" w:hAnsi="Times New Roman"/>
          <w:sz w:val="26"/>
          <w:szCs w:val="26"/>
        </w:rPr>
        <w:t>darbināto skaits attiecināmajās kapitālsabiedrībās pieaudzis</w:t>
      </w:r>
      <w:r w:rsidR="00B96793">
        <w:rPr>
          <w:rFonts w:ascii="Times New Roman" w:hAnsi="Times New Roman"/>
          <w:sz w:val="26"/>
          <w:szCs w:val="26"/>
        </w:rPr>
        <w:t xml:space="preserve"> no 2 </w:t>
      </w:r>
      <w:r w:rsidR="00933007" w:rsidRPr="002B4D22">
        <w:rPr>
          <w:rFonts w:ascii="Times New Roman" w:hAnsi="Times New Roman"/>
          <w:sz w:val="26"/>
          <w:szCs w:val="26"/>
        </w:rPr>
        <w:t xml:space="preserve">152 darbiniekiem 2013.gadā līdz 2 588 darbiniekiem 2015.gada 1.pusgadā. </w:t>
      </w:r>
    </w:p>
    <w:p w:rsidR="009B10A4" w:rsidRPr="002B4D22" w:rsidRDefault="009B10A4" w:rsidP="000555CD">
      <w:pPr>
        <w:pStyle w:val="Heading1"/>
        <w:keepNext w:val="0"/>
        <w:spacing w:before="0" w:after="120" w:line="240" w:lineRule="auto"/>
        <w:rPr>
          <w:rFonts w:ascii="Times New Roman" w:hAnsi="Times New Roman"/>
          <w:color w:val="auto"/>
        </w:rPr>
      </w:pPr>
    </w:p>
    <w:p w:rsidR="009B10A4" w:rsidRPr="002B4D22" w:rsidRDefault="009B10A4" w:rsidP="002161AE">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Imigrācijas likuma </w:t>
      </w:r>
      <w:r w:rsidRPr="002B4D22">
        <w:rPr>
          <w:rFonts w:ascii="Times New Roman" w:hAnsi="Times New Roman"/>
          <w:b/>
          <w:sz w:val="26"/>
          <w:szCs w:val="26"/>
          <w:u w:val="single"/>
        </w:rPr>
        <w:t>23.panta pirmās daļas 3.punktā</w:t>
      </w:r>
      <w:r w:rsidRPr="002B4D22">
        <w:rPr>
          <w:rFonts w:ascii="Times New Roman" w:hAnsi="Times New Roman"/>
          <w:sz w:val="26"/>
          <w:szCs w:val="26"/>
        </w:rPr>
        <w:t xml:space="preserve"> noteikts, ka ārzemnieks var pieprasīt termiņuzturēšanās atļauju uz pilnvaru termiņu, bet ne ilgāk kā uz pieciem gadiem, ja viņš ir komercreģistrā reģistrēts valdes vai padomes loceklis, prokūrists, administrators, likvidators vai personālsabiedrības biedrs, kam ir tiesības pārstāvēt personālsabiedrību, vai persona, </w:t>
      </w:r>
      <w:proofErr w:type="gramStart"/>
      <w:r w:rsidRPr="002B4D22">
        <w:rPr>
          <w:rFonts w:ascii="Times New Roman" w:hAnsi="Times New Roman"/>
          <w:sz w:val="26"/>
          <w:szCs w:val="26"/>
        </w:rPr>
        <w:t xml:space="preserve">kura pilnvarota pārstāvēt komersantu (ārvalsts komersantu) darbībās, kas saistītas ar filiāli, ja komercsabiedrība vai ārzemju </w:t>
      </w:r>
      <w:r w:rsidRPr="002B4D22">
        <w:rPr>
          <w:rFonts w:ascii="Times New Roman" w:hAnsi="Times New Roman"/>
          <w:sz w:val="26"/>
          <w:szCs w:val="26"/>
        </w:rPr>
        <w:lastRenderedPageBreak/>
        <w:t>komersanta filiāle ir ierakstīta komercreģistrā ne mazāk kā vienu gadu</w:t>
      </w:r>
      <w:proofErr w:type="gramEnd"/>
      <w:r w:rsidRPr="002B4D22">
        <w:rPr>
          <w:rFonts w:ascii="Times New Roman" w:hAnsi="Times New Roman"/>
          <w:sz w:val="26"/>
          <w:szCs w:val="26"/>
        </w:rPr>
        <w:t xml:space="preserve">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ar ierobežotu atbildību pamatkapitāls ir ne mazāks par 2</w:t>
      </w:r>
      <w:r w:rsidR="00260D14" w:rsidRPr="002B4D22">
        <w:rPr>
          <w:rFonts w:ascii="Times New Roman" w:hAnsi="Times New Roman"/>
          <w:sz w:val="26"/>
          <w:szCs w:val="26"/>
        </w:rPr>
        <w:t> </w:t>
      </w:r>
      <w:r w:rsidR="00C0414F" w:rsidRPr="002B4D22">
        <w:rPr>
          <w:rFonts w:ascii="Times New Roman" w:hAnsi="Times New Roman"/>
          <w:sz w:val="26"/>
          <w:szCs w:val="26"/>
        </w:rPr>
        <w:t>8</w:t>
      </w:r>
      <w:r w:rsidRPr="002B4D22">
        <w:rPr>
          <w:rFonts w:ascii="Times New Roman" w:hAnsi="Times New Roman"/>
          <w:sz w:val="26"/>
          <w:szCs w:val="26"/>
        </w:rPr>
        <w:t xml:space="preserve">00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w:t>
      </w:r>
    </w:p>
    <w:p w:rsidR="00A94D8B" w:rsidRPr="002B4D22" w:rsidRDefault="009B10A4" w:rsidP="002161AE">
      <w:pPr>
        <w:spacing w:after="0" w:line="240" w:lineRule="auto"/>
        <w:ind w:firstLine="567"/>
        <w:jc w:val="both"/>
        <w:rPr>
          <w:rFonts w:ascii="Times New Roman" w:hAnsi="Times New Roman"/>
          <w:color w:val="000000" w:themeColor="text1"/>
          <w:sz w:val="26"/>
          <w:szCs w:val="26"/>
        </w:rPr>
      </w:pPr>
      <w:r w:rsidRPr="002B4D22">
        <w:rPr>
          <w:rFonts w:ascii="Times New Roman" w:hAnsi="Times New Roman"/>
          <w:sz w:val="26"/>
          <w:szCs w:val="26"/>
        </w:rPr>
        <w:t>201</w:t>
      </w:r>
      <w:r w:rsidR="006306E0" w:rsidRPr="002B4D22">
        <w:rPr>
          <w:rFonts w:ascii="Times New Roman" w:hAnsi="Times New Roman"/>
          <w:sz w:val="26"/>
          <w:szCs w:val="26"/>
        </w:rPr>
        <w:t>5</w:t>
      </w:r>
      <w:r w:rsidRPr="002B4D22">
        <w:rPr>
          <w:rFonts w:ascii="Times New Roman" w:hAnsi="Times New Roman"/>
          <w:sz w:val="26"/>
          <w:szCs w:val="26"/>
        </w:rPr>
        <w:t xml:space="preserve">.gada 1.jūlijā Latvijas Republikā uzturējās </w:t>
      </w:r>
      <w:r w:rsidR="006306E0" w:rsidRPr="002B4D22">
        <w:rPr>
          <w:rFonts w:ascii="Times New Roman" w:hAnsi="Times New Roman"/>
          <w:sz w:val="26"/>
          <w:szCs w:val="26"/>
        </w:rPr>
        <w:t>810</w:t>
      </w:r>
      <w:r w:rsidRPr="002B4D22">
        <w:rPr>
          <w:rFonts w:ascii="Times New Roman" w:hAnsi="Times New Roman"/>
          <w:sz w:val="26"/>
          <w:szCs w:val="26"/>
        </w:rPr>
        <w:t xml:space="preserve"> personas ar derīgām TUA, kas izsniegtas personām kā komercreģistrā reģistrētām amatpersonām. </w:t>
      </w:r>
      <w:r w:rsidR="00B96C18" w:rsidRPr="002B4D22">
        <w:rPr>
          <w:rFonts w:ascii="Times New Roman" w:hAnsi="Times New Roman"/>
          <w:sz w:val="26"/>
          <w:szCs w:val="26"/>
        </w:rPr>
        <w:t>Kopumā šīs personas šobrīd ieņem amatus 2</w:t>
      </w:r>
      <w:r w:rsidR="00D16C93" w:rsidRPr="002B4D22">
        <w:rPr>
          <w:rFonts w:ascii="Times New Roman" w:hAnsi="Times New Roman"/>
          <w:sz w:val="26"/>
          <w:szCs w:val="26"/>
        </w:rPr>
        <w:t xml:space="preserve">87 </w:t>
      </w:r>
      <w:r w:rsidR="00B96C18" w:rsidRPr="002B4D22">
        <w:rPr>
          <w:rFonts w:ascii="Times New Roman" w:hAnsi="Times New Roman"/>
          <w:sz w:val="26"/>
          <w:szCs w:val="26"/>
        </w:rPr>
        <w:t xml:space="preserve">Latvijā </w:t>
      </w:r>
      <w:r w:rsidR="00D16C93" w:rsidRPr="002B4D22">
        <w:rPr>
          <w:rFonts w:ascii="Times New Roman" w:hAnsi="Times New Roman"/>
          <w:sz w:val="26"/>
          <w:szCs w:val="26"/>
        </w:rPr>
        <w:t>re</w:t>
      </w:r>
      <w:r w:rsidR="00632183" w:rsidRPr="002B4D22">
        <w:rPr>
          <w:rFonts w:ascii="Times New Roman" w:hAnsi="Times New Roman"/>
          <w:sz w:val="26"/>
          <w:szCs w:val="26"/>
        </w:rPr>
        <w:t>ģistrēt</w:t>
      </w:r>
      <w:r w:rsidR="009D1769" w:rsidRPr="002B4D22">
        <w:rPr>
          <w:rFonts w:ascii="Times New Roman" w:hAnsi="Times New Roman"/>
          <w:sz w:val="26"/>
          <w:szCs w:val="26"/>
        </w:rPr>
        <w:t>os</w:t>
      </w:r>
      <w:r w:rsidR="00632183" w:rsidRPr="002B4D22">
        <w:rPr>
          <w:rFonts w:ascii="Times New Roman" w:hAnsi="Times New Roman"/>
          <w:sz w:val="26"/>
          <w:szCs w:val="26"/>
        </w:rPr>
        <w:t xml:space="preserve"> uzņēmum</w:t>
      </w:r>
      <w:r w:rsidR="009D1769" w:rsidRPr="002B4D22">
        <w:rPr>
          <w:rFonts w:ascii="Times New Roman" w:hAnsi="Times New Roman"/>
          <w:sz w:val="26"/>
          <w:szCs w:val="26"/>
        </w:rPr>
        <w:t>os un biedrībās</w:t>
      </w:r>
      <w:r w:rsidR="003E435B" w:rsidRPr="002B4D22">
        <w:rPr>
          <w:rStyle w:val="FootnoteReference"/>
          <w:rFonts w:ascii="Times New Roman" w:hAnsi="Times New Roman"/>
          <w:sz w:val="26"/>
          <w:szCs w:val="26"/>
        </w:rPr>
        <w:footnoteReference w:id="19"/>
      </w:r>
      <w:r w:rsidR="00560D45" w:rsidRPr="002B4D22">
        <w:rPr>
          <w:rFonts w:ascii="Times New Roman" w:hAnsi="Times New Roman"/>
          <w:sz w:val="26"/>
          <w:szCs w:val="26"/>
        </w:rPr>
        <w:t xml:space="preserve"> (tai skaitā 252 sabiedrībās ar ierobežotu atbildību, 24 akciju sabiedrībās, 10 biedrībās un ir 1 individuālais komersants)</w:t>
      </w:r>
      <w:r w:rsidR="00B96C18" w:rsidRPr="002B4D22">
        <w:rPr>
          <w:rFonts w:ascii="Times New Roman" w:hAnsi="Times New Roman"/>
          <w:sz w:val="26"/>
          <w:szCs w:val="26"/>
        </w:rPr>
        <w:t xml:space="preserve"> un tām pieder kapitāla daļas 1</w:t>
      </w:r>
      <w:r w:rsidR="00D16C93" w:rsidRPr="002B4D22">
        <w:rPr>
          <w:rFonts w:ascii="Times New Roman" w:hAnsi="Times New Roman"/>
          <w:sz w:val="26"/>
          <w:szCs w:val="26"/>
        </w:rPr>
        <w:t>3</w:t>
      </w:r>
      <w:r w:rsidR="00B96C18" w:rsidRPr="002B4D22">
        <w:rPr>
          <w:rFonts w:ascii="Times New Roman" w:hAnsi="Times New Roman"/>
          <w:sz w:val="26"/>
          <w:szCs w:val="26"/>
        </w:rPr>
        <w:t xml:space="preserve">7 Latvijā </w:t>
      </w:r>
      <w:r w:rsidR="00DC1241" w:rsidRPr="002B4D22">
        <w:rPr>
          <w:rFonts w:ascii="Times New Roman" w:hAnsi="Times New Roman"/>
          <w:sz w:val="26"/>
          <w:szCs w:val="26"/>
        </w:rPr>
        <w:t>reģistrētos uzņēmumos</w:t>
      </w:r>
      <w:r w:rsidR="00106A1F" w:rsidRPr="002B4D22">
        <w:rPr>
          <w:rFonts w:ascii="Times New Roman" w:hAnsi="Times New Roman"/>
          <w:sz w:val="26"/>
          <w:szCs w:val="26"/>
        </w:rPr>
        <w:t xml:space="preserve">, no </w:t>
      </w:r>
      <w:r w:rsidR="00DC1241" w:rsidRPr="002B4D22">
        <w:rPr>
          <w:rFonts w:ascii="Times New Roman" w:hAnsi="Times New Roman"/>
          <w:sz w:val="26"/>
          <w:szCs w:val="26"/>
        </w:rPr>
        <w:t>kuriem</w:t>
      </w:r>
      <w:proofErr w:type="gramStart"/>
      <w:r w:rsidR="00DC1241" w:rsidRPr="002B4D22">
        <w:rPr>
          <w:rFonts w:ascii="Times New Roman" w:hAnsi="Times New Roman"/>
          <w:sz w:val="26"/>
          <w:szCs w:val="26"/>
        </w:rPr>
        <w:t xml:space="preserve"> </w:t>
      </w:r>
      <w:r w:rsidR="00DC1241" w:rsidRPr="002B4D22">
        <w:rPr>
          <w:rFonts w:ascii="Times New Roman" w:hAnsi="Times New Roman"/>
          <w:color w:val="FF0000"/>
          <w:sz w:val="26"/>
          <w:szCs w:val="26"/>
        </w:rPr>
        <w:t xml:space="preserve"> </w:t>
      </w:r>
      <w:proofErr w:type="gramEnd"/>
      <w:r w:rsidR="00106A1F" w:rsidRPr="002B4D22">
        <w:rPr>
          <w:rFonts w:ascii="Times New Roman" w:hAnsi="Times New Roman"/>
          <w:color w:val="000000" w:themeColor="text1"/>
          <w:sz w:val="26"/>
          <w:szCs w:val="26"/>
        </w:rPr>
        <w:t>18</w:t>
      </w:r>
      <w:r w:rsidR="002158E9" w:rsidRPr="002B4D22">
        <w:rPr>
          <w:rFonts w:ascii="Times New Roman" w:hAnsi="Times New Roman"/>
          <w:color w:val="000000" w:themeColor="text1"/>
          <w:sz w:val="26"/>
          <w:szCs w:val="26"/>
        </w:rPr>
        <w:t xml:space="preserve">% </w:t>
      </w:r>
      <w:r w:rsidR="00106A1F" w:rsidRPr="002B4D22">
        <w:rPr>
          <w:rFonts w:ascii="Times New Roman" w:hAnsi="Times New Roman"/>
          <w:color w:val="000000" w:themeColor="text1"/>
          <w:sz w:val="26"/>
          <w:szCs w:val="26"/>
        </w:rPr>
        <w:t>nodarbojas ar tirdzniecību un vairumtirdzniecību</w:t>
      </w:r>
      <w:r w:rsidR="002158E9" w:rsidRPr="002B4D22">
        <w:rPr>
          <w:rFonts w:ascii="Times New Roman" w:hAnsi="Times New Roman"/>
          <w:color w:val="000000" w:themeColor="text1"/>
          <w:sz w:val="26"/>
          <w:szCs w:val="26"/>
        </w:rPr>
        <w:t xml:space="preserve">, </w:t>
      </w:r>
      <w:r w:rsidR="00106A1F" w:rsidRPr="002B4D22">
        <w:rPr>
          <w:rFonts w:ascii="Times New Roman" w:hAnsi="Times New Roman"/>
          <w:color w:val="000000" w:themeColor="text1"/>
          <w:sz w:val="26"/>
          <w:szCs w:val="26"/>
        </w:rPr>
        <w:t>12% ar apstrādes rūpniecību un 15%</w:t>
      </w:r>
      <w:r w:rsidR="002158E9" w:rsidRPr="002B4D22">
        <w:rPr>
          <w:rFonts w:ascii="Times New Roman" w:hAnsi="Times New Roman"/>
          <w:color w:val="000000" w:themeColor="text1"/>
          <w:sz w:val="26"/>
          <w:szCs w:val="26"/>
        </w:rPr>
        <w:t xml:space="preserve"> nodarbojas ar nekust</w:t>
      </w:r>
      <w:r w:rsidR="00E93391" w:rsidRPr="002B4D22">
        <w:rPr>
          <w:rFonts w:ascii="Times New Roman" w:hAnsi="Times New Roman"/>
          <w:color w:val="000000" w:themeColor="text1"/>
          <w:sz w:val="26"/>
          <w:szCs w:val="26"/>
        </w:rPr>
        <w:t>a</w:t>
      </w:r>
      <w:r w:rsidR="002158E9" w:rsidRPr="002B4D22">
        <w:rPr>
          <w:rFonts w:ascii="Times New Roman" w:hAnsi="Times New Roman"/>
          <w:color w:val="000000" w:themeColor="text1"/>
          <w:sz w:val="26"/>
          <w:szCs w:val="26"/>
        </w:rPr>
        <w:t xml:space="preserve">mā īpašuma attīstīšanu. </w:t>
      </w:r>
    </w:p>
    <w:p w:rsidR="009D1769" w:rsidRPr="002B4D22" w:rsidRDefault="009D1769" w:rsidP="002161AE">
      <w:pPr>
        <w:spacing w:after="0" w:line="240" w:lineRule="auto"/>
        <w:ind w:firstLine="567"/>
        <w:jc w:val="both"/>
        <w:rPr>
          <w:rFonts w:ascii="Times New Roman" w:hAnsi="Times New Roman"/>
          <w:color w:val="000000" w:themeColor="text1"/>
          <w:sz w:val="26"/>
          <w:szCs w:val="26"/>
        </w:rPr>
      </w:pPr>
      <w:r w:rsidRPr="002B4D22">
        <w:rPr>
          <w:rFonts w:ascii="Times New Roman" w:hAnsi="Times New Roman"/>
          <w:color w:val="000000" w:themeColor="text1"/>
          <w:sz w:val="26"/>
          <w:szCs w:val="26"/>
        </w:rPr>
        <w:t xml:space="preserve">Uzņēmumi, kuros ir amatpersonas vai prokūristi, kas ir ieguvuši TUA pamatojoties uz Imigrācijas likuma 23.panta pirmās daļas trešo punktu, 2015.gada 1.pusgadā ir iemaksājuši valsts kopbudžetā VID administrētos nodokļus 87,4 milj. </w:t>
      </w:r>
      <w:proofErr w:type="spellStart"/>
      <w:r w:rsidRPr="002B4D22">
        <w:rPr>
          <w:rFonts w:ascii="Times New Roman" w:hAnsi="Times New Roman"/>
          <w:i/>
          <w:color w:val="000000" w:themeColor="text1"/>
          <w:sz w:val="26"/>
          <w:szCs w:val="26"/>
        </w:rPr>
        <w:t>euro</w:t>
      </w:r>
      <w:proofErr w:type="spellEnd"/>
      <w:r w:rsidRPr="002B4D22">
        <w:rPr>
          <w:rFonts w:ascii="Times New Roman" w:hAnsi="Times New Roman"/>
          <w:color w:val="000000" w:themeColor="text1"/>
          <w:sz w:val="26"/>
          <w:szCs w:val="26"/>
        </w:rPr>
        <w:t xml:space="preserve"> apmērā, kas ir 49% no 2014.gadā iemaksātās summas. </w:t>
      </w:r>
    </w:p>
    <w:p w:rsidR="00083569" w:rsidRPr="002B4D22" w:rsidRDefault="00083569" w:rsidP="00534DFC">
      <w:pPr>
        <w:spacing w:after="120" w:line="240" w:lineRule="auto"/>
        <w:ind w:firstLine="426"/>
        <w:jc w:val="both"/>
        <w:rPr>
          <w:rFonts w:ascii="Times New Roman" w:hAnsi="Times New Roman"/>
          <w:color w:val="FF0000"/>
          <w:sz w:val="26"/>
          <w:szCs w:val="26"/>
        </w:rPr>
      </w:pPr>
    </w:p>
    <w:p w:rsidR="00083569" w:rsidRPr="002B4D22" w:rsidRDefault="00083569" w:rsidP="00534DFC">
      <w:pPr>
        <w:keepNext/>
        <w:spacing w:after="120" w:line="240" w:lineRule="auto"/>
        <w:jc w:val="right"/>
        <w:rPr>
          <w:rFonts w:ascii="Times New Roman" w:hAnsi="Times New Roman"/>
          <w:sz w:val="26"/>
          <w:szCs w:val="26"/>
        </w:rPr>
      </w:pPr>
      <w:r w:rsidRPr="002B4D22">
        <w:rPr>
          <w:rFonts w:ascii="Times New Roman" w:hAnsi="Times New Roman"/>
          <w:sz w:val="26"/>
          <w:szCs w:val="26"/>
        </w:rPr>
        <w:t>1</w:t>
      </w:r>
      <w:r w:rsidR="00084DA1">
        <w:rPr>
          <w:rFonts w:ascii="Times New Roman" w:hAnsi="Times New Roman"/>
          <w:sz w:val="26"/>
          <w:szCs w:val="26"/>
        </w:rPr>
        <w:t>6</w:t>
      </w:r>
      <w:r w:rsidRPr="002B4D22">
        <w:rPr>
          <w:rFonts w:ascii="Times New Roman" w:hAnsi="Times New Roman"/>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4748"/>
      </w:tblGrid>
      <w:tr w:rsidR="00083569" w:rsidRPr="002B4D22" w:rsidTr="00DC5667">
        <w:tc>
          <w:tcPr>
            <w:tcW w:w="9571" w:type="dxa"/>
            <w:gridSpan w:val="2"/>
          </w:tcPr>
          <w:p w:rsidR="00AD630F" w:rsidRPr="002B4D22" w:rsidRDefault="00083569"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 TUA iesniedzējiem – </w:t>
            </w:r>
            <w:r w:rsidR="00AD630F" w:rsidRPr="002B4D22">
              <w:rPr>
                <w:rFonts w:ascii="Times New Roman" w:hAnsi="Times New Roman"/>
                <w:b/>
                <w:sz w:val="24"/>
                <w:szCs w:val="24"/>
              </w:rPr>
              <w:t xml:space="preserve">valdes vai padomes locekļiem, prokūristiem u.c. attiecināmo </w:t>
            </w:r>
          </w:p>
          <w:p w:rsidR="00083569" w:rsidRPr="002B4D22" w:rsidRDefault="00AD630F"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(pieder</w:t>
            </w:r>
            <w:r w:rsidR="00023229" w:rsidRPr="002B4D22">
              <w:rPr>
                <w:rFonts w:ascii="Times New Roman" w:hAnsi="Times New Roman"/>
                <w:b/>
                <w:sz w:val="24"/>
                <w:szCs w:val="24"/>
              </w:rPr>
              <w:t xml:space="preserve"> īpašumtiesību</w:t>
            </w:r>
            <w:r w:rsidRPr="002B4D22">
              <w:rPr>
                <w:rFonts w:ascii="Times New Roman" w:hAnsi="Times New Roman"/>
                <w:b/>
                <w:sz w:val="24"/>
                <w:szCs w:val="24"/>
              </w:rPr>
              <w:t xml:space="preserve"> daļas)</w:t>
            </w:r>
          </w:p>
        </w:tc>
      </w:tr>
      <w:tr w:rsidR="00083569" w:rsidRPr="002B4D22" w:rsidTr="00DC5667">
        <w:tc>
          <w:tcPr>
            <w:tcW w:w="4785" w:type="dxa"/>
          </w:tcPr>
          <w:p w:rsidR="00083569" w:rsidRPr="002B4D22" w:rsidRDefault="00DC124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uzņēmumu </w:t>
            </w:r>
            <w:r w:rsidR="00083569" w:rsidRPr="002B4D22">
              <w:rPr>
                <w:rFonts w:ascii="Times New Roman" w:hAnsi="Times New Roman"/>
                <w:b/>
                <w:sz w:val="24"/>
                <w:szCs w:val="24"/>
              </w:rPr>
              <w:t>sadalījums pēc to dibināšanas gada</w:t>
            </w:r>
          </w:p>
          <w:p w:rsidR="00083569" w:rsidRPr="002B4D22" w:rsidRDefault="00083569" w:rsidP="00534DFC">
            <w:pPr>
              <w:keepNext/>
              <w:spacing w:after="120" w:line="240" w:lineRule="auto"/>
              <w:jc w:val="right"/>
              <w:rPr>
                <w:rFonts w:ascii="Times New Roman" w:hAnsi="Times New Roman"/>
                <w:sz w:val="26"/>
                <w:szCs w:val="26"/>
              </w:rPr>
            </w:pPr>
            <w:r w:rsidRPr="002B4D22">
              <w:rPr>
                <w:rFonts w:ascii="Times New Roman" w:hAnsi="Times New Roman"/>
                <w:noProof/>
                <w:sz w:val="26"/>
                <w:szCs w:val="26"/>
                <w:lang w:eastAsia="lv-LV"/>
              </w:rPr>
              <w:drawing>
                <wp:inline distT="0" distB="0" distL="0" distR="0">
                  <wp:extent cx="2619375" cy="21526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83569" w:rsidRPr="002B4D22" w:rsidRDefault="00083569" w:rsidP="00534DFC">
            <w:pPr>
              <w:keepNext/>
              <w:spacing w:after="120" w:line="240" w:lineRule="auto"/>
              <w:rPr>
                <w:rFonts w:ascii="Times New Roman" w:hAnsi="Times New Roman"/>
                <w:i/>
                <w:sz w:val="26"/>
                <w:szCs w:val="26"/>
              </w:rPr>
            </w:pPr>
          </w:p>
          <w:p w:rsidR="00083569" w:rsidRPr="002B4D22" w:rsidRDefault="00083569" w:rsidP="00534DFC">
            <w:pPr>
              <w:keepNext/>
              <w:spacing w:after="120" w:line="240" w:lineRule="auto"/>
              <w:rPr>
                <w:rFonts w:ascii="Times New Roman" w:hAnsi="Times New Roman"/>
                <w:sz w:val="22"/>
                <w:szCs w:val="22"/>
              </w:rPr>
            </w:pPr>
            <w:r w:rsidRPr="002B4D22">
              <w:rPr>
                <w:rFonts w:ascii="Times New Roman" w:hAnsi="Times New Roman"/>
                <w:i/>
                <w:sz w:val="22"/>
                <w:szCs w:val="22"/>
              </w:rPr>
              <w:t xml:space="preserve">Avots: </w:t>
            </w:r>
            <w:r w:rsidR="00B65637">
              <w:rPr>
                <w:rFonts w:ascii="Times New Roman" w:hAnsi="Times New Roman"/>
                <w:i/>
                <w:sz w:val="22"/>
                <w:szCs w:val="22"/>
              </w:rPr>
              <w:t>LURSOFT</w:t>
            </w:r>
          </w:p>
        </w:tc>
        <w:tc>
          <w:tcPr>
            <w:tcW w:w="4786" w:type="dxa"/>
          </w:tcPr>
          <w:p w:rsidR="00083569" w:rsidRPr="002B4D22" w:rsidRDefault="00DC1241" w:rsidP="00534DFC">
            <w:pPr>
              <w:keepNext/>
              <w:spacing w:after="120" w:line="240" w:lineRule="auto"/>
              <w:jc w:val="center"/>
              <w:rPr>
                <w:rFonts w:ascii="Times New Roman" w:hAnsi="Times New Roman"/>
                <w:b/>
                <w:sz w:val="24"/>
                <w:szCs w:val="24"/>
              </w:rPr>
            </w:pPr>
            <w:r w:rsidRPr="002B4D22">
              <w:rPr>
                <w:rFonts w:ascii="Times New Roman" w:hAnsi="Times New Roman"/>
                <w:b/>
                <w:sz w:val="24"/>
                <w:szCs w:val="24"/>
              </w:rPr>
              <w:t xml:space="preserve">uzņēmumu </w:t>
            </w:r>
            <w:r w:rsidR="00083569" w:rsidRPr="002B4D22">
              <w:rPr>
                <w:rFonts w:ascii="Times New Roman" w:hAnsi="Times New Roman"/>
                <w:b/>
                <w:sz w:val="24"/>
                <w:szCs w:val="24"/>
              </w:rPr>
              <w:t xml:space="preserve">sadalījums pēc darbības jomas </w:t>
            </w:r>
          </w:p>
          <w:p w:rsidR="00083569" w:rsidRPr="002B4D22" w:rsidRDefault="00083569" w:rsidP="00534DFC">
            <w:pPr>
              <w:keepNext/>
              <w:spacing w:after="120" w:line="240" w:lineRule="auto"/>
              <w:jc w:val="center"/>
              <w:rPr>
                <w:rFonts w:ascii="Times New Roman" w:hAnsi="Times New Roman"/>
                <w:b/>
                <w:sz w:val="24"/>
                <w:szCs w:val="24"/>
              </w:rPr>
            </w:pPr>
            <w:r w:rsidRPr="002B4D22">
              <w:rPr>
                <w:rFonts w:ascii="Times New Roman" w:hAnsi="Times New Roman"/>
                <w:noProof/>
                <w:sz w:val="26"/>
                <w:szCs w:val="26"/>
                <w:lang w:eastAsia="lv-LV"/>
              </w:rPr>
              <w:drawing>
                <wp:inline distT="0" distB="0" distL="0" distR="0">
                  <wp:extent cx="2724150" cy="23241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83569" w:rsidRPr="002B4D22" w:rsidRDefault="00083569" w:rsidP="00534DFC">
            <w:pPr>
              <w:keepNext/>
              <w:spacing w:after="120" w:line="240" w:lineRule="auto"/>
              <w:rPr>
                <w:rFonts w:ascii="Times New Roman" w:hAnsi="Times New Roman"/>
                <w:i/>
                <w:sz w:val="26"/>
                <w:szCs w:val="26"/>
              </w:rPr>
            </w:pPr>
          </w:p>
          <w:p w:rsidR="00083569" w:rsidRPr="002B4D22" w:rsidRDefault="00083569" w:rsidP="00534DFC">
            <w:pPr>
              <w:keepNext/>
              <w:spacing w:after="120" w:line="240" w:lineRule="auto"/>
              <w:rPr>
                <w:rFonts w:ascii="Times New Roman" w:hAnsi="Times New Roman"/>
                <w:sz w:val="26"/>
                <w:szCs w:val="26"/>
              </w:rPr>
            </w:pPr>
            <w:r w:rsidRPr="002B4D22">
              <w:rPr>
                <w:rFonts w:ascii="Times New Roman" w:hAnsi="Times New Roman"/>
                <w:i/>
                <w:sz w:val="22"/>
                <w:szCs w:val="22"/>
              </w:rPr>
              <w:t xml:space="preserve">Avots: </w:t>
            </w:r>
            <w:r w:rsidR="00B65637">
              <w:rPr>
                <w:rFonts w:ascii="Times New Roman" w:hAnsi="Times New Roman"/>
                <w:i/>
                <w:sz w:val="22"/>
                <w:szCs w:val="22"/>
              </w:rPr>
              <w:t>LURSOFT</w:t>
            </w:r>
            <w:r w:rsidRPr="002B4D22">
              <w:rPr>
                <w:rFonts w:ascii="Times New Roman" w:hAnsi="Times New Roman"/>
                <w:sz w:val="26"/>
                <w:szCs w:val="26"/>
              </w:rPr>
              <w:t xml:space="preserve"> </w:t>
            </w:r>
          </w:p>
        </w:tc>
      </w:tr>
    </w:tbl>
    <w:p w:rsidR="005E5C63" w:rsidRPr="002B4D22" w:rsidRDefault="005E5C63" w:rsidP="00534DFC">
      <w:pPr>
        <w:spacing w:after="120" w:line="240" w:lineRule="auto"/>
        <w:ind w:firstLine="425"/>
        <w:jc w:val="both"/>
        <w:rPr>
          <w:rFonts w:ascii="Times New Roman" w:hAnsi="Times New Roman"/>
          <w:color w:val="FF0000"/>
          <w:sz w:val="26"/>
          <w:szCs w:val="26"/>
        </w:rPr>
      </w:pPr>
    </w:p>
    <w:p w:rsidR="005445FD" w:rsidRPr="002B4D22" w:rsidRDefault="009B10A4" w:rsidP="00534DFC">
      <w:pPr>
        <w:pStyle w:val="Heading1"/>
        <w:spacing w:before="0" w:after="120" w:line="240" w:lineRule="auto"/>
        <w:rPr>
          <w:rFonts w:ascii="Times New Roman" w:hAnsi="Times New Roman"/>
          <w:color w:val="auto"/>
        </w:rPr>
      </w:pPr>
      <w:bookmarkStart w:id="26" w:name="_Toc429659167"/>
      <w:r w:rsidRPr="002B4D22">
        <w:rPr>
          <w:rFonts w:ascii="Times New Roman" w:hAnsi="Times New Roman"/>
          <w:color w:val="auto"/>
        </w:rPr>
        <w:t>7. </w:t>
      </w:r>
      <w:r w:rsidR="005445FD" w:rsidRPr="002B4D22">
        <w:rPr>
          <w:rFonts w:ascii="Times New Roman" w:hAnsi="Times New Roman"/>
          <w:color w:val="auto"/>
        </w:rPr>
        <w:t>Ieguldījumi valsts vērtspapīros</w:t>
      </w:r>
      <w:bookmarkEnd w:id="26"/>
    </w:p>
    <w:p w:rsidR="005445FD" w:rsidRPr="002B4D22" w:rsidRDefault="005445FD" w:rsidP="004F6723">
      <w:pPr>
        <w:spacing w:after="0" w:line="240" w:lineRule="auto"/>
        <w:ind w:firstLine="567"/>
        <w:jc w:val="both"/>
        <w:rPr>
          <w:rFonts w:ascii="Times New Roman" w:hAnsi="Times New Roman"/>
          <w:i/>
          <w:sz w:val="26"/>
          <w:szCs w:val="26"/>
        </w:rPr>
      </w:pPr>
      <w:r w:rsidRPr="002B4D22">
        <w:rPr>
          <w:rFonts w:ascii="Times New Roman" w:hAnsi="Times New Roman"/>
          <w:sz w:val="26"/>
          <w:szCs w:val="26"/>
        </w:rPr>
        <w:t xml:space="preserve">No 2015.gada 1.janvāra spēkā stājies Imigrācijas likuma 23.panta </w:t>
      </w:r>
      <w:r w:rsidR="0087769C" w:rsidRPr="002B4D22">
        <w:rPr>
          <w:rFonts w:ascii="Times New Roman" w:hAnsi="Times New Roman"/>
          <w:sz w:val="26"/>
          <w:szCs w:val="26"/>
        </w:rPr>
        <w:t xml:space="preserve">pirmās daļas 31.punkts – iespēja pieprasīt termiņuzturēšanās atļauju uz laiku līdz pieciem gadiem, ja ārzemnieks iegādājas īpašam mērķim noteiktus bezprocentu valsts vērtspapīrus par nominālvērtību 250 000 </w:t>
      </w:r>
      <w:proofErr w:type="spellStart"/>
      <w:r w:rsidR="00C232F4" w:rsidRPr="002B4D22">
        <w:rPr>
          <w:rFonts w:ascii="Times New Roman" w:hAnsi="Times New Roman"/>
          <w:i/>
          <w:sz w:val="26"/>
          <w:szCs w:val="26"/>
        </w:rPr>
        <w:t>euro</w:t>
      </w:r>
      <w:proofErr w:type="spellEnd"/>
      <w:r w:rsidR="0087769C" w:rsidRPr="002B4D22">
        <w:rPr>
          <w:rFonts w:ascii="Times New Roman" w:hAnsi="Times New Roman"/>
          <w:i/>
          <w:sz w:val="26"/>
          <w:szCs w:val="26"/>
        </w:rPr>
        <w:t xml:space="preserve"> </w:t>
      </w:r>
      <w:r w:rsidR="0087769C" w:rsidRPr="002B4D22">
        <w:rPr>
          <w:rFonts w:ascii="Times New Roman" w:hAnsi="Times New Roman"/>
          <w:sz w:val="26"/>
          <w:szCs w:val="26"/>
        </w:rPr>
        <w:t xml:space="preserve">un samaksā valsts budžetā 25 000 </w:t>
      </w:r>
      <w:proofErr w:type="spellStart"/>
      <w:r w:rsidR="00C232F4" w:rsidRPr="002B4D22">
        <w:rPr>
          <w:rFonts w:ascii="Times New Roman" w:hAnsi="Times New Roman"/>
          <w:i/>
          <w:sz w:val="26"/>
          <w:szCs w:val="26"/>
        </w:rPr>
        <w:t>euro</w:t>
      </w:r>
      <w:proofErr w:type="spellEnd"/>
      <w:r w:rsidR="0087769C" w:rsidRPr="002B4D22">
        <w:rPr>
          <w:rFonts w:ascii="Times New Roman" w:hAnsi="Times New Roman"/>
          <w:i/>
          <w:sz w:val="26"/>
          <w:szCs w:val="26"/>
        </w:rPr>
        <w:t xml:space="preserve">. </w:t>
      </w:r>
    </w:p>
    <w:p w:rsidR="003F338F" w:rsidRDefault="0087769C" w:rsidP="004F6723">
      <w:pPr>
        <w:spacing w:after="0" w:line="240" w:lineRule="auto"/>
        <w:ind w:firstLine="567"/>
        <w:jc w:val="both"/>
        <w:rPr>
          <w:rFonts w:ascii="Times New Roman" w:hAnsi="Times New Roman"/>
          <w:sz w:val="26"/>
          <w:szCs w:val="26"/>
        </w:rPr>
      </w:pPr>
      <w:r w:rsidRPr="002B4D22">
        <w:rPr>
          <w:rFonts w:ascii="Times New Roman" w:hAnsi="Times New Roman"/>
          <w:sz w:val="26"/>
          <w:szCs w:val="26"/>
        </w:rPr>
        <w:lastRenderedPageBreak/>
        <w:t>No 2015.gada 1.janvāra līdz 30.jūnijam termiņuzturēšanās</w:t>
      </w:r>
      <w:r w:rsidR="009063DE" w:rsidRPr="002B4D22">
        <w:rPr>
          <w:rFonts w:ascii="Times New Roman" w:hAnsi="Times New Roman"/>
          <w:sz w:val="26"/>
          <w:szCs w:val="26"/>
        </w:rPr>
        <w:t xml:space="preserve"> atļaujas saskaņā ar īpašam mērķim noteiktu bezprocentu valsts vērtspapīru iegādi pieprasījuši 4 investori, tajā skaitā, </w:t>
      </w:r>
      <w:r w:rsidR="0049715D" w:rsidRPr="002B4D22">
        <w:rPr>
          <w:rFonts w:ascii="Times New Roman" w:hAnsi="Times New Roman"/>
          <w:sz w:val="26"/>
          <w:szCs w:val="26"/>
        </w:rPr>
        <w:t xml:space="preserve">3 Krievijas Federācijas un </w:t>
      </w:r>
      <w:r w:rsidR="00FE6343" w:rsidRPr="002B4D22">
        <w:rPr>
          <w:rFonts w:ascii="Times New Roman" w:hAnsi="Times New Roman"/>
          <w:sz w:val="26"/>
          <w:szCs w:val="26"/>
        </w:rPr>
        <w:t>viens</w:t>
      </w:r>
      <w:r w:rsidR="0049715D" w:rsidRPr="002B4D22">
        <w:rPr>
          <w:rFonts w:ascii="Times New Roman" w:hAnsi="Times New Roman"/>
          <w:sz w:val="26"/>
          <w:szCs w:val="26"/>
        </w:rPr>
        <w:t xml:space="preserve"> Ukrainas pilsonis,</w:t>
      </w:r>
      <w:r w:rsidR="00FE6343" w:rsidRPr="002B4D22">
        <w:rPr>
          <w:rFonts w:ascii="Times New Roman" w:hAnsi="Times New Roman"/>
          <w:sz w:val="26"/>
          <w:szCs w:val="26"/>
        </w:rPr>
        <w:t xml:space="preserve"> kā arī</w:t>
      </w:r>
      <w:r w:rsidR="009063DE" w:rsidRPr="002B4D22">
        <w:rPr>
          <w:rFonts w:ascii="Times New Roman" w:hAnsi="Times New Roman"/>
          <w:sz w:val="26"/>
          <w:szCs w:val="26"/>
        </w:rPr>
        <w:t xml:space="preserve"> seši viņu ģimenes locekļi</w:t>
      </w:r>
      <w:r w:rsidR="003F338F">
        <w:rPr>
          <w:rFonts w:ascii="Times New Roman" w:hAnsi="Times New Roman"/>
          <w:sz w:val="26"/>
          <w:szCs w:val="26"/>
        </w:rPr>
        <w:t>.</w:t>
      </w:r>
    </w:p>
    <w:p w:rsidR="0016704B" w:rsidRPr="0016704B" w:rsidRDefault="0016704B" w:rsidP="0016704B">
      <w:pPr>
        <w:pStyle w:val="HTMLPreformatted"/>
        <w:jc w:val="both"/>
        <w:rPr>
          <w:rFonts w:ascii="Times New Roman" w:hAnsi="Times New Roman"/>
          <w:sz w:val="26"/>
          <w:szCs w:val="26"/>
        </w:rPr>
      </w:pPr>
      <w:r>
        <w:rPr>
          <w:rFonts w:ascii="Times New Roman" w:hAnsi="Times New Roman"/>
          <w:sz w:val="26"/>
          <w:szCs w:val="26"/>
        </w:rPr>
        <w:t xml:space="preserve">         P</w:t>
      </w:r>
      <w:r w:rsidRPr="0016704B">
        <w:rPr>
          <w:rFonts w:ascii="Times New Roman" w:hAnsi="Times New Roman"/>
          <w:sz w:val="26"/>
          <w:szCs w:val="26"/>
        </w:rPr>
        <w:t>ārskata periodā (līdz 2015.gada 30.jūnijam) īpašam mērķim noteikto bezprocentu valsts vērtspapīru emisijas rezultātā valsts parāds palielinājies par</w:t>
      </w:r>
      <w:r>
        <w:rPr>
          <w:rFonts w:ascii="Times New Roman" w:hAnsi="Times New Roman"/>
          <w:sz w:val="26"/>
          <w:szCs w:val="26"/>
        </w:rPr>
        <w:t xml:space="preserve"> </w:t>
      </w:r>
      <w:r w:rsidRPr="0016704B">
        <w:rPr>
          <w:rFonts w:ascii="Times New Roman" w:hAnsi="Times New Roman"/>
          <w:sz w:val="26"/>
          <w:szCs w:val="26"/>
        </w:rPr>
        <w:t xml:space="preserve">250 000 </w:t>
      </w:r>
      <w:proofErr w:type="spellStart"/>
      <w:r w:rsidRPr="0016704B">
        <w:rPr>
          <w:rFonts w:ascii="Times New Roman" w:hAnsi="Times New Roman"/>
          <w:i/>
          <w:sz w:val="26"/>
          <w:szCs w:val="26"/>
        </w:rPr>
        <w:t>euro</w:t>
      </w:r>
      <w:proofErr w:type="spellEnd"/>
      <w:r w:rsidRPr="0016704B">
        <w:rPr>
          <w:rFonts w:ascii="Times New Roman" w:hAnsi="Times New Roman"/>
          <w:sz w:val="26"/>
          <w:szCs w:val="26"/>
        </w:rPr>
        <w:t>, līdz ar to var uzskatīt, ka šis investīciju veids nav būtiski ietekmējis valsts parāda palielināšanos.</w:t>
      </w:r>
    </w:p>
    <w:p w:rsidR="0016704B" w:rsidRDefault="0016704B" w:rsidP="00534DFC">
      <w:pPr>
        <w:pStyle w:val="Heading1"/>
        <w:spacing w:before="0" w:after="120" w:line="240" w:lineRule="auto"/>
        <w:rPr>
          <w:rFonts w:ascii="Times New Roman" w:hAnsi="Times New Roman"/>
          <w:color w:val="auto"/>
        </w:rPr>
      </w:pPr>
      <w:bookmarkStart w:id="27" w:name="_Toc429659168"/>
    </w:p>
    <w:p w:rsidR="009B10A4" w:rsidRPr="002B4D22" w:rsidRDefault="005445FD" w:rsidP="00534DFC">
      <w:pPr>
        <w:pStyle w:val="Heading1"/>
        <w:spacing w:before="0" w:after="120" w:line="240" w:lineRule="auto"/>
        <w:rPr>
          <w:rFonts w:ascii="Times New Roman" w:hAnsi="Times New Roman"/>
          <w:color w:val="auto"/>
        </w:rPr>
      </w:pPr>
      <w:r w:rsidRPr="002B4D22">
        <w:rPr>
          <w:rFonts w:ascii="Times New Roman" w:hAnsi="Times New Roman"/>
          <w:color w:val="auto"/>
        </w:rPr>
        <w:t xml:space="preserve">8. </w:t>
      </w:r>
      <w:r w:rsidR="009B10A4" w:rsidRPr="002B4D22">
        <w:rPr>
          <w:rFonts w:ascii="Times New Roman" w:hAnsi="Times New Roman"/>
          <w:color w:val="auto"/>
        </w:rPr>
        <w:t>Ietekme uz tautsaimniecības reālo sektoru</w:t>
      </w:r>
      <w:bookmarkEnd w:id="25"/>
      <w:bookmarkEnd w:id="27"/>
    </w:p>
    <w:p w:rsidR="00712A2D" w:rsidRDefault="00712A2D" w:rsidP="002609C3">
      <w:pPr>
        <w:spacing w:after="0" w:line="240" w:lineRule="auto"/>
        <w:ind w:firstLine="567"/>
        <w:jc w:val="both"/>
        <w:rPr>
          <w:rFonts w:ascii="Times New Roman" w:hAnsi="Times New Roman"/>
          <w:sz w:val="26"/>
          <w:szCs w:val="26"/>
        </w:rPr>
      </w:pPr>
      <w:r>
        <w:rPr>
          <w:rFonts w:ascii="Times New Roman" w:hAnsi="Times New Roman"/>
          <w:sz w:val="26"/>
          <w:szCs w:val="26"/>
        </w:rPr>
        <w:t xml:space="preserve">Investīciju programmas ietvaros saņemtie </w:t>
      </w:r>
      <w:r w:rsidR="009B10A4" w:rsidRPr="002B4D22">
        <w:rPr>
          <w:rFonts w:ascii="Times New Roman" w:hAnsi="Times New Roman"/>
          <w:sz w:val="26"/>
          <w:szCs w:val="26"/>
        </w:rPr>
        <w:t xml:space="preserve">naudas līdzekļi ir veicinājuši ekonomisko aktivitāšu palielināšanos un brīvās naudas līdzekļu daudzumu Latvijā. </w:t>
      </w:r>
      <w:r>
        <w:rPr>
          <w:rFonts w:ascii="Times New Roman" w:hAnsi="Times New Roman"/>
          <w:sz w:val="26"/>
          <w:szCs w:val="26"/>
        </w:rPr>
        <w:t>A</w:t>
      </w:r>
      <w:r w:rsidRPr="002B4D22">
        <w:rPr>
          <w:rFonts w:ascii="Times New Roman" w:hAnsi="Times New Roman"/>
          <w:sz w:val="26"/>
          <w:szCs w:val="26"/>
        </w:rPr>
        <w:t>ttiecīg</w:t>
      </w:r>
      <w:r>
        <w:rPr>
          <w:rFonts w:ascii="Times New Roman" w:hAnsi="Times New Roman"/>
          <w:sz w:val="26"/>
          <w:szCs w:val="26"/>
        </w:rPr>
        <w:t>ās</w:t>
      </w:r>
      <w:r w:rsidRPr="002B4D22">
        <w:rPr>
          <w:rFonts w:ascii="Times New Roman" w:hAnsi="Times New Roman"/>
          <w:sz w:val="26"/>
          <w:szCs w:val="26"/>
        </w:rPr>
        <w:t xml:space="preserve"> Imigrācijas likuma norm</w:t>
      </w:r>
      <w:r>
        <w:rPr>
          <w:rFonts w:ascii="Times New Roman" w:hAnsi="Times New Roman"/>
          <w:sz w:val="26"/>
          <w:szCs w:val="26"/>
        </w:rPr>
        <w:t>as</w:t>
      </w:r>
      <w:r w:rsidRPr="002B4D22">
        <w:rPr>
          <w:rFonts w:ascii="Times New Roman" w:hAnsi="Times New Roman"/>
          <w:sz w:val="26"/>
          <w:szCs w:val="26"/>
        </w:rPr>
        <w:t xml:space="preserve"> ir </w:t>
      </w:r>
      <w:r>
        <w:rPr>
          <w:rFonts w:ascii="Times New Roman" w:hAnsi="Times New Roman"/>
          <w:sz w:val="26"/>
          <w:szCs w:val="26"/>
        </w:rPr>
        <w:t xml:space="preserve">radījušas pozitīvu ietekmi uz </w:t>
      </w:r>
      <w:r w:rsidRPr="002B4D22">
        <w:rPr>
          <w:rFonts w:ascii="Times New Roman" w:hAnsi="Times New Roman"/>
          <w:sz w:val="26"/>
          <w:szCs w:val="26"/>
        </w:rPr>
        <w:t>atsevišķ</w:t>
      </w:r>
      <w:r>
        <w:rPr>
          <w:rFonts w:ascii="Times New Roman" w:hAnsi="Times New Roman"/>
          <w:sz w:val="26"/>
          <w:szCs w:val="26"/>
        </w:rPr>
        <w:t>ām</w:t>
      </w:r>
      <w:r w:rsidRPr="002B4D22">
        <w:rPr>
          <w:rFonts w:ascii="Times New Roman" w:hAnsi="Times New Roman"/>
          <w:sz w:val="26"/>
          <w:szCs w:val="26"/>
        </w:rPr>
        <w:t xml:space="preserve"> nozar</w:t>
      </w:r>
      <w:r>
        <w:rPr>
          <w:rFonts w:ascii="Times New Roman" w:hAnsi="Times New Roman"/>
          <w:sz w:val="26"/>
          <w:szCs w:val="26"/>
        </w:rPr>
        <w:t>ēm</w:t>
      </w:r>
      <w:r w:rsidRPr="002B4D22">
        <w:rPr>
          <w:rFonts w:ascii="Times New Roman" w:hAnsi="Times New Roman"/>
          <w:sz w:val="26"/>
          <w:szCs w:val="26"/>
        </w:rPr>
        <w:t xml:space="preserve"> – galvenokārt, </w:t>
      </w:r>
      <w:r>
        <w:rPr>
          <w:rFonts w:ascii="Times New Roman" w:hAnsi="Times New Roman"/>
          <w:sz w:val="26"/>
          <w:szCs w:val="26"/>
        </w:rPr>
        <w:t xml:space="preserve">uz </w:t>
      </w:r>
      <w:r w:rsidRPr="002B4D22">
        <w:rPr>
          <w:rFonts w:ascii="Times New Roman" w:hAnsi="Times New Roman"/>
          <w:sz w:val="26"/>
          <w:szCs w:val="26"/>
        </w:rPr>
        <w:t>finanšu un nekustamā īpašuma tirgu, kam Latvijā ienākošie finanšu līdzekļi ir ļāvuši mazināt krīzes izraisītās sekas</w:t>
      </w:r>
      <w:r>
        <w:rPr>
          <w:rFonts w:ascii="Times New Roman" w:hAnsi="Times New Roman"/>
          <w:sz w:val="26"/>
          <w:szCs w:val="26"/>
        </w:rPr>
        <w:t>.</w:t>
      </w:r>
    </w:p>
    <w:p w:rsidR="009B10A4" w:rsidRPr="002B4D22" w:rsidRDefault="009B10A4" w:rsidP="002609C3">
      <w:pPr>
        <w:spacing w:after="0" w:line="240" w:lineRule="auto"/>
        <w:ind w:firstLine="567"/>
        <w:jc w:val="both"/>
        <w:rPr>
          <w:rFonts w:ascii="Times New Roman" w:hAnsi="Times New Roman"/>
          <w:sz w:val="26"/>
          <w:szCs w:val="26"/>
        </w:rPr>
      </w:pPr>
      <w:r w:rsidRPr="002B4D22">
        <w:rPr>
          <w:rFonts w:ascii="Times New Roman" w:hAnsi="Times New Roman"/>
          <w:sz w:val="26"/>
          <w:szCs w:val="26"/>
        </w:rPr>
        <w:t>Tiešo ieguvumu no investoriem izjūt arī tā</w:t>
      </w:r>
      <w:r w:rsidR="00E31B6F" w:rsidRPr="002B4D22">
        <w:rPr>
          <w:rFonts w:ascii="Times New Roman" w:hAnsi="Times New Roman"/>
          <w:sz w:val="26"/>
          <w:szCs w:val="26"/>
        </w:rPr>
        <w:t>das nozares kā tūrisms, izmitināšanas pakalpojumi</w:t>
      </w:r>
      <w:r w:rsidRPr="002B4D22">
        <w:rPr>
          <w:rFonts w:ascii="Times New Roman" w:hAnsi="Times New Roman"/>
          <w:sz w:val="26"/>
          <w:szCs w:val="26"/>
        </w:rPr>
        <w:t>, juridiskie pakalpojumi, apdrošināšana, namu apsaimniekošana, interjera un dizaina pakalpojumu sniedzēji un ražotāji, pārtika un ēdināšana, veselības aprūpe</w:t>
      </w:r>
      <w:r w:rsidR="00510275" w:rsidRPr="002B4D22">
        <w:rPr>
          <w:rStyle w:val="FootnoteReference"/>
          <w:rFonts w:ascii="Times New Roman" w:hAnsi="Times New Roman"/>
          <w:sz w:val="26"/>
          <w:szCs w:val="26"/>
        </w:rPr>
        <w:footnoteReference w:id="20"/>
      </w:r>
      <w:r w:rsidRPr="002B4D22">
        <w:rPr>
          <w:rFonts w:ascii="Times New Roman" w:hAnsi="Times New Roman"/>
          <w:sz w:val="26"/>
          <w:szCs w:val="26"/>
        </w:rPr>
        <w:t>.</w:t>
      </w:r>
    </w:p>
    <w:p w:rsidR="009B10A4" w:rsidRPr="002B4D22" w:rsidRDefault="009B10A4" w:rsidP="002609C3">
      <w:pPr>
        <w:spacing w:after="0" w:line="240" w:lineRule="auto"/>
        <w:ind w:firstLine="567"/>
        <w:jc w:val="both"/>
        <w:rPr>
          <w:rFonts w:ascii="Times New Roman" w:hAnsi="Times New Roman"/>
          <w:sz w:val="26"/>
          <w:szCs w:val="26"/>
        </w:rPr>
      </w:pPr>
      <w:r w:rsidRPr="002B4D22">
        <w:rPr>
          <w:rFonts w:ascii="Times New Roman" w:hAnsi="Times New Roman"/>
          <w:sz w:val="26"/>
          <w:szCs w:val="26"/>
        </w:rPr>
        <w:t>Nerezidentu saimnieciskās darbības paplašināšanos īsumā var aprakstīt sekojoši – lielākā daļa nerezidentu, kurus piesaista iespēja saņemt TUA, atver savus kontus Latvijas komercbankās vai arī iegādājas nekustamo īpašumu. Ņemot vērā, ka likumā noteiktie ieguldījumu ir pietiekami augsti, to</w:t>
      </w:r>
      <w:r w:rsidR="009F07A5" w:rsidRPr="002B4D22">
        <w:rPr>
          <w:rFonts w:ascii="Times New Roman" w:hAnsi="Times New Roman"/>
          <w:sz w:val="26"/>
          <w:szCs w:val="26"/>
        </w:rPr>
        <w:t xml:space="preserve"> var atļauties turīgas personas</w:t>
      </w:r>
      <w:r w:rsidRPr="002B4D22">
        <w:rPr>
          <w:rFonts w:ascii="Times New Roman" w:hAnsi="Times New Roman"/>
          <w:sz w:val="26"/>
          <w:szCs w:val="26"/>
        </w:rPr>
        <w:t>.</w:t>
      </w:r>
    </w:p>
    <w:p w:rsidR="009E5320" w:rsidRPr="002B4D22" w:rsidRDefault="007C5242" w:rsidP="00ED738E">
      <w:pPr>
        <w:spacing w:after="0" w:line="240" w:lineRule="auto"/>
        <w:ind w:firstLine="567"/>
        <w:jc w:val="both"/>
        <w:rPr>
          <w:rFonts w:ascii="Times New Roman" w:hAnsi="Times New Roman"/>
          <w:sz w:val="26"/>
          <w:szCs w:val="26"/>
        </w:rPr>
      </w:pPr>
      <w:r w:rsidRPr="002B4D22">
        <w:rPr>
          <w:rFonts w:ascii="Times New Roman" w:hAnsi="Times New Roman"/>
          <w:sz w:val="26"/>
          <w:szCs w:val="26"/>
        </w:rPr>
        <w:t>No nekustamo īpašumu kompāniju (</w:t>
      </w:r>
      <w:r w:rsidR="0046313C">
        <w:rPr>
          <w:rFonts w:ascii="Times New Roman" w:hAnsi="Times New Roman"/>
          <w:sz w:val="26"/>
          <w:szCs w:val="26"/>
        </w:rPr>
        <w:t>SIA “Latio”, SIA “</w:t>
      </w:r>
      <w:proofErr w:type="spellStart"/>
      <w:r w:rsidRPr="002B4D22">
        <w:rPr>
          <w:rFonts w:ascii="Times New Roman" w:hAnsi="Times New Roman"/>
          <w:sz w:val="26"/>
          <w:szCs w:val="26"/>
        </w:rPr>
        <w:t>Ober-haus”,</w:t>
      </w:r>
      <w:proofErr w:type="spellEnd"/>
      <w:r w:rsidRPr="002B4D22">
        <w:rPr>
          <w:rFonts w:ascii="Times New Roman" w:hAnsi="Times New Roman"/>
          <w:sz w:val="26"/>
          <w:szCs w:val="26"/>
        </w:rPr>
        <w:t xml:space="preserve"> </w:t>
      </w:r>
      <w:r w:rsidR="0046313C">
        <w:rPr>
          <w:rFonts w:ascii="Times New Roman" w:hAnsi="Times New Roman"/>
          <w:sz w:val="26"/>
          <w:szCs w:val="26"/>
        </w:rPr>
        <w:t>SIA “</w:t>
      </w:r>
      <w:r w:rsidRPr="002B4D22">
        <w:rPr>
          <w:rFonts w:ascii="Times New Roman" w:hAnsi="Times New Roman"/>
          <w:sz w:val="26"/>
          <w:szCs w:val="26"/>
        </w:rPr>
        <w:t>BALSTS”) tirgus pārskatiem par 2015.gada 1. un 2.ceturksni secināms, ka 2014.gada 1.septembrī spēkā stājušies grozījumi Imigrācijas likumā ir atstājuši pozitīvu ietekmi mājokļu (privātmāju, dzīvokļu jaunajos projektos un dzīvokļu Rīgas centrā segmentos) pieejamī</w:t>
      </w:r>
      <w:r w:rsidR="003C218E">
        <w:rPr>
          <w:rFonts w:ascii="Times New Roman" w:hAnsi="Times New Roman"/>
          <w:sz w:val="26"/>
          <w:szCs w:val="26"/>
        </w:rPr>
        <w:t>bu vietējam pircējam Rīgā. SIA “</w:t>
      </w:r>
      <w:r w:rsidRPr="002B4D22">
        <w:rPr>
          <w:rFonts w:ascii="Times New Roman" w:hAnsi="Times New Roman"/>
          <w:sz w:val="26"/>
          <w:szCs w:val="26"/>
        </w:rPr>
        <w:t xml:space="preserve">Latio” mājokļu tirgus pārskatā atzīmēts, ka 2015.gada 1.ceturksnī apmēram puse dzīvokļu jaunajos projektos Rīgā pārdoti pirmreizējā tirgū un tas savukārt liecinot, ka vietējiem pircējiem projektu attīstītāju piedāvājums ir kļuvis pieejamāks un atbilstošāks (2014.gadā tādu darījumu īpatsvars bija 37%). 67% jaunajos projektos pārdoto dzīvokļu darījumu summa bija līdz 100 000 </w:t>
      </w:r>
      <w:proofErr w:type="spellStart"/>
      <w:r w:rsidRPr="002B4D22">
        <w:rPr>
          <w:rFonts w:ascii="Times New Roman" w:hAnsi="Times New Roman"/>
          <w:i/>
          <w:sz w:val="26"/>
          <w:szCs w:val="26"/>
        </w:rPr>
        <w:t>euro</w:t>
      </w:r>
      <w:proofErr w:type="spellEnd"/>
      <w:r w:rsidRPr="002B4D22">
        <w:rPr>
          <w:rFonts w:ascii="Times New Roman" w:hAnsi="Times New Roman"/>
          <w:i/>
          <w:sz w:val="26"/>
          <w:szCs w:val="26"/>
        </w:rPr>
        <w:t xml:space="preserve">, </w:t>
      </w:r>
      <w:r w:rsidRPr="002B4D22">
        <w:rPr>
          <w:rFonts w:ascii="Times New Roman" w:hAnsi="Times New Roman"/>
          <w:sz w:val="26"/>
          <w:szCs w:val="26"/>
        </w:rPr>
        <w:t>2014.gadā šādu darījumu skaits bija apmēram 53%</w:t>
      </w:r>
      <w:r w:rsidRPr="002B4D22">
        <w:rPr>
          <w:rStyle w:val="FootnoteReference"/>
          <w:rFonts w:ascii="Times New Roman" w:hAnsi="Times New Roman"/>
          <w:sz w:val="26"/>
          <w:szCs w:val="26"/>
        </w:rPr>
        <w:footnoteReference w:id="21"/>
      </w:r>
      <w:r w:rsidRPr="002B4D22">
        <w:rPr>
          <w:rFonts w:ascii="Times New Roman" w:hAnsi="Times New Roman"/>
          <w:sz w:val="26"/>
          <w:szCs w:val="26"/>
        </w:rPr>
        <w:t xml:space="preserve">. </w:t>
      </w:r>
      <w:r w:rsidR="003C218E">
        <w:rPr>
          <w:rFonts w:ascii="Times New Roman" w:hAnsi="Times New Roman"/>
          <w:sz w:val="26"/>
          <w:szCs w:val="26"/>
        </w:rPr>
        <w:t>SIA “</w:t>
      </w:r>
      <w:proofErr w:type="spellStart"/>
      <w:r w:rsidRPr="002B4D22">
        <w:rPr>
          <w:rFonts w:ascii="Times New Roman" w:hAnsi="Times New Roman"/>
          <w:sz w:val="26"/>
          <w:szCs w:val="26"/>
        </w:rPr>
        <w:t>Ober-haus”</w:t>
      </w:r>
      <w:proofErr w:type="spellEnd"/>
      <w:r w:rsidRPr="002B4D22">
        <w:rPr>
          <w:rFonts w:ascii="Times New Roman" w:hAnsi="Times New Roman"/>
          <w:sz w:val="26"/>
          <w:szCs w:val="26"/>
        </w:rPr>
        <w:t xml:space="preserve"> tirgus pārskatā par 2015.gadu norādīts, ka, ņemot vērā izmaiņas Imigrācijas likumā un zemo pieprasījumu pēc dzīvokļiem virs 120 000 </w:t>
      </w:r>
      <w:proofErr w:type="spellStart"/>
      <w:r w:rsidRPr="002B4D22">
        <w:rPr>
          <w:rFonts w:ascii="Times New Roman" w:hAnsi="Times New Roman"/>
          <w:i/>
          <w:sz w:val="26"/>
          <w:szCs w:val="26"/>
        </w:rPr>
        <w:t>euro</w:t>
      </w:r>
      <w:proofErr w:type="spellEnd"/>
      <w:r w:rsidRPr="002B4D22">
        <w:rPr>
          <w:rFonts w:ascii="Times New Roman" w:hAnsi="Times New Roman"/>
          <w:i/>
          <w:sz w:val="26"/>
          <w:szCs w:val="26"/>
        </w:rPr>
        <w:t xml:space="preserve">, </w:t>
      </w:r>
      <w:r w:rsidRPr="002B4D22">
        <w:rPr>
          <w:rFonts w:ascii="Times New Roman" w:hAnsi="Times New Roman"/>
          <w:sz w:val="26"/>
          <w:szCs w:val="26"/>
        </w:rPr>
        <w:t xml:space="preserve">tādi jauno projektu attīstītāji kā </w:t>
      </w:r>
      <w:r w:rsidR="003C218E">
        <w:rPr>
          <w:rFonts w:ascii="Times New Roman" w:hAnsi="Times New Roman"/>
          <w:sz w:val="26"/>
          <w:szCs w:val="26"/>
        </w:rPr>
        <w:t>SIA “</w:t>
      </w:r>
      <w:proofErr w:type="spellStart"/>
      <w:r w:rsidRPr="002B4D22">
        <w:rPr>
          <w:rFonts w:ascii="Times New Roman" w:hAnsi="Times New Roman"/>
          <w:sz w:val="26"/>
          <w:szCs w:val="26"/>
        </w:rPr>
        <w:t>Hanner</w:t>
      </w:r>
      <w:proofErr w:type="spellEnd"/>
      <w:r w:rsidRPr="002B4D22">
        <w:rPr>
          <w:rFonts w:ascii="Times New Roman" w:hAnsi="Times New Roman"/>
          <w:sz w:val="26"/>
          <w:szCs w:val="26"/>
        </w:rPr>
        <w:t xml:space="preserve">”, </w:t>
      </w:r>
      <w:r w:rsidR="003C218E">
        <w:rPr>
          <w:rFonts w:ascii="Times New Roman" w:hAnsi="Times New Roman"/>
          <w:sz w:val="26"/>
          <w:szCs w:val="26"/>
        </w:rPr>
        <w:t>SIA “</w:t>
      </w:r>
      <w:r w:rsidRPr="002B4D22">
        <w:rPr>
          <w:rFonts w:ascii="Times New Roman" w:hAnsi="Times New Roman"/>
          <w:sz w:val="26"/>
          <w:szCs w:val="26"/>
        </w:rPr>
        <w:t xml:space="preserve">YIT” un </w:t>
      </w:r>
      <w:r w:rsidR="003C218E">
        <w:rPr>
          <w:rFonts w:ascii="Times New Roman" w:hAnsi="Times New Roman"/>
          <w:sz w:val="26"/>
          <w:szCs w:val="26"/>
        </w:rPr>
        <w:t>SIA “</w:t>
      </w:r>
      <w:r w:rsidRPr="002B4D22">
        <w:rPr>
          <w:rFonts w:ascii="Times New Roman" w:hAnsi="Times New Roman"/>
          <w:sz w:val="26"/>
          <w:szCs w:val="26"/>
        </w:rPr>
        <w:t>NCC Mājas” fokusējas uz vietējiem pircējiem un to jaunajos projektos piedāvās mazākus un lētākus dzīvokļus.</w:t>
      </w:r>
      <w:r w:rsidRPr="002B4D22">
        <w:rPr>
          <w:rStyle w:val="FootnoteReference"/>
          <w:rFonts w:ascii="Times New Roman" w:hAnsi="Times New Roman"/>
          <w:sz w:val="26"/>
          <w:szCs w:val="26"/>
        </w:rPr>
        <w:footnoteReference w:id="22"/>
      </w:r>
      <w:r w:rsidRPr="002B4D22">
        <w:rPr>
          <w:rFonts w:ascii="Times New Roman" w:hAnsi="Times New Roman"/>
          <w:sz w:val="26"/>
          <w:szCs w:val="26"/>
        </w:rPr>
        <w:t xml:space="preserve"> Nekustamo īpašumu kompānija </w:t>
      </w:r>
      <w:r w:rsidR="00EF5DAC">
        <w:rPr>
          <w:rFonts w:ascii="Times New Roman" w:hAnsi="Times New Roman"/>
          <w:sz w:val="26"/>
          <w:szCs w:val="26"/>
        </w:rPr>
        <w:t>SIA “</w:t>
      </w:r>
      <w:r w:rsidRPr="002B4D22">
        <w:rPr>
          <w:rFonts w:ascii="Times New Roman" w:hAnsi="Times New Roman"/>
          <w:sz w:val="26"/>
          <w:szCs w:val="26"/>
        </w:rPr>
        <w:t xml:space="preserve">BALSTS” tirgus apskatā par 2015.gada jūniju norāda, ka nekustamo īpašumu tirgus ir pielāgojies esošajai situācijai, pamazām sākot atkopties pēc darījumu skaita krituma 2014.gada otrajā pusgadā, un no septembra kļūs dinamiskāks un </w:t>
      </w:r>
      <w:r w:rsidRPr="002B4D22">
        <w:rPr>
          <w:rFonts w:ascii="Times New Roman" w:hAnsi="Times New Roman"/>
          <w:sz w:val="26"/>
          <w:szCs w:val="26"/>
        </w:rPr>
        <w:lastRenderedPageBreak/>
        <w:t>prognozējamāks</w:t>
      </w:r>
      <w:r w:rsidRPr="002B4D22">
        <w:rPr>
          <w:rStyle w:val="FootnoteReference"/>
          <w:rFonts w:ascii="Times New Roman" w:hAnsi="Times New Roman"/>
          <w:sz w:val="26"/>
          <w:szCs w:val="26"/>
        </w:rPr>
        <w:footnoteReference w:id="23"/>
      </w:r>
      <w:r w:rsidR="005A4828">
        <w:rPr>
          <w:rFonts w:ascii="Times New Roman" w:hAnsi="Times New Roman"/>
          <w:sz w:val="26"/>
          <w:szCs w:val="26"/>
        </w:rPr>
        <w:t>. SIA “</w:t>
      </w:r>
      <w:r w:rsidRPr="002B4D22">
        <w:rPr>
          <w:rFonts w:ascii="Times New Roman" w:hAnsi="Times New Roman"/>
          <w:sz w:val="26"/>
          <w:szCs w:val="26"/>
        </w:rPr>
        <w:t xml:space="preserve">Latio” mājokļu tirgus pārskatā par 2015.gada 1.ceturksni norāda, ka privātmāju segmentā vietējie pircēji Rīgā un galvaspilsētas tuvumā galvenokārt interesējas par savrupmājām ar cenu līdz 150 000 </w:t>
      </w:r>
      <w:proofErr w:type="spellStart"/>
      <w:r w:rsidRPr="002B4D22">
        <w:rPr>
          <w:rFonts w:ascii="Times New Roman" w:hAnsi="Times New Roman"/>
          <w:i/>
          <w:sz w:val="26"/>
          <w:szCs w:val="26"/>
        </w:rPr>
        <w:t>euro</w:t>
      </w:r>
      <w:proofErr w:type="spellEnd"/>
      <w:r w:rsidRPr="002B4D22">
        <w:rPr>
          <w:rStyle w:val="FootnoteReference"/>
          <w:rFonts w:ascii="Times New Roman" w:hAnsi="Times New Roman"/>
          <w:i/>
          <w:sz w:val="26"/>
          <w:szCs w:val="26"/>
        </w:rPr>
        <w:footnoteReference w:id="24"/>
      </w:r>
      <w:r w:rsidRPr="002B4D22">
        <w:rPr>
          <w:rFonts w:ascii="Times New Roman" w:hAnsi="Times New Roman"/>
          <w:sz w:val="26"/>
          <w:szCs w:val="26"/>
        </w:rPr>
        <w:t xml:space="preserve">. Tādu grozījumu ieviešana, kas ļautu termiņuzturēšanās atļaujas iegūšanas nolūkos iegādāties nekustamos īpašumus vērtībā sākot no 125 000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var izraisīt attiecīgā segmenta mājokļu cenu kāpumu un kļūt nepieejamas vietējam pircējam.</w:t>
      </w:r>
    </w:p>
    <w:p w:rsidR="00D71A81" w:rsidRPr="002B4D22" w:rsidRDefault="009E5320" w:rsidP="00ED738E">
      <w:pPr>
        <w:spacing w:after="0" w:line="240" w:lineRule="auto"/>
        <w:ind w:firstLine="567"/>
        <w:jc w:val="both"/>
        <w:rPr>
          <w:rFonts w:ascii="Times New Roman" w:hAnsi="Times New Roman"/>
          <w:sz w:val="26"/>
          <w:szCs w:val="26"/>
        </w:rPr>
      </w:pPr>
      <w:r w:rsidRPr="002B4D22">
        <w:rPr>
          <w:rFonts w:ascii="Times New Roman" w:hAnsi="Times New Roman"/>
          <w:color w:val="000000"/>
          <w:sz w:val="26"/>
          <w:szCs w:val="26"/>
          <w:shd w:val="clear" w:color="auto" w:fill="FFFFFF"/>
        </w:rPr>
        <w:t xml:space="preserve">Saskaņā ar CSP apkopoto informāciju, </w:t>
      </w:r>
      <w:r w:rsidR="00F2094C">
        <w:rPr>
          <w:rFonts w:ascii="Times New Roman" w:hAnsi="Times New Roman"/>
          <w:color w:val="000000"/>
          <w:sz w:val="26"/>
          <w:szCs w:val="26"/>
          <w:shd w:val="clear" w:color="auto" w:fill="FFFFFF"/>
        </w:rPr>
        <w:t>2015.</w:t>
      </w:r>
      <w:r w:rsidR="00D71A81" w:rsidRPr="002B4D22">
        <w:rPr>
          <w:rFonts w:ascii="Times New Roman" w:hAnsi="Times New Roman"/>
          <w:color w:val="000000"/>
          <w:sz w:val="26"/>
          <w:szCs w:val="26"/>
          <w:shd w:val="clear" w:color="auto" w:fill="FFFFFF"/>
        </w:rPr>
        <w:t>gada 2.ceturksnī, salīdzinot ar</w:t>
      </w:r>
      <w:r w:rsidR="00F2094C">
        <w:rPr>
          <w:rFonts w:ascii="Times New Roman" w:hAnsi="Times New Roman"/>
          <w:color w:val="000000"/>
          <w:sz w:val="26"/>
          <w:szCs w:val="26"/>
          <w:shd w:val="clear" w:color="auto" w:fill="FFFFFF"/>
        </w:rPr>
        <w:t xml:space="preserve"> 2014.gada 2.</w:t>
      </w:r>
      <w:r w:rsidR="00D71A81" w:rsidRPr="002B4D22">
        <w:rPr>
          <w:rFonts w:ascii="Times New Roman" w:hAnsi="Times New Roman"/>
          <w:color w:val="000000"/>
          <w:sz w:val="26"/>
          <w:szCs w:val="26"/>
          <w:shd w:val="clear" w:color="auto" w:fill="FFFFFF"/>
        </w:rPr>
        <w:t>ceturksni, ēku būvniecības apjoms</w:t>
      </w:r>
      <w:r w:rsidRPr="002B4D22">
        <w:rPr>
          <w:rFonts w:ascii="Times New Roman" w:hAnsi="Times New Roman"/>
          <w:color w:val="000000"/>
          <w:sz w:val="26"/>
          <w:szCs w:val="26"/>
          <w:shd w:val="clear" w:color="auto" w:fill="FFFFFF"/>
        </w:rPr>
        <w:t xml:space="preserve"> Latvijā</w:t>
      </w:r>
      <w:r w:rsidR="00D71A81" w:rsidRPr="002B4D22">
        <w:rPr>
          <w:rFonts w:ascii="Times New Roman" w:hAnsi="Times New Roman"/>
          <w:color w:val="000000"/>
          <w:sz w:val="26"/>
          <w:szCs w:val="26"/>
          <w:shd w:val="clear" w:color="auto" w:fill="FFFFFF"/>
        </w:rPr>
        <w:t xml:space="preserve"> saruka par 11,9%, ko veidoja būvniecības produkcijas apjoma samazinājums dzīvojamo māju būvniecībā par 16,7% un nedzīvojamo ēku būvniecībā par – 10,2%</w:t>
      </w:r>
      <w:r w:rsidRPr="002B4D22">
        <w:rPr>
          <w:rStyle w:val="FootnoteReference"/>
          <w:rFonts w:ascii="Times New Roman" w:hAnsi="Times New Roman"/>
          <w:color w:val="000000"/>
          <w:sz w:val="26"/>
          <w:szCs w:val="26"/>
          <w:shd w:val="clear" w:color="auto" w:fill="FFFFFF"/>
        </w:rPr>
        <w:footnoteReference w:id="25"/>
      </w:r>
      <w:r w:rsidR="00D71A81" w:rsidRPr="002B4D22">
        <w:rPr>
          <w:rFonts w:ascii="Times New Roman" w:hAnsi="Times New Roman"/>
          <w:color w:val="000000"/>
          <w:sz w:val="26"/>
          <w:szCs w:val="26"/>
          <w:shd w:val="clear" w:color="auto" w:fill="FFFFFF"/>
        </w:rPr>
        <w:t>.</w:t>
      </w:r>
      <w:r w:rsidR="00D71A81" w:rsidRPr="002B4D22">
        <w:rPr>
          <w:rStyle w:val="apple-converted-space"/>
          <w:rFonts w:ascii="Times New Roman" w:eastAsia="SimSun" w:hAnsi="Times New Roman"/>
          <w:color w:val="000000"/>
          <w:sz w:val="26"/>
          <w:szCs w:val="26"/>
          <w:shd w:val="clear" w:color="auto" w:fill="FFFFFF"/>
        </w:rPr>
        <w:t> </w:t>
      </w:r>
    </w:p>
    <w:p w:rsidR="009B10A4" w:rsidRPr="002B4D22" w:rsidRDefault="009B10A4" w:rsidP="00534DFC">
      <w:pPr>
        <w:spacing w:after="120" w:line="240" w:lineRule="auto"/>
        <w:jc w:val="right"/>
        <w:rPr>
          <w:rFonts w:ascii="Times New Roman" w:hAnsi="Times New Roman"/>
          <w:sz w:val="26"/>
          <w:szCs w:val="26"/>
        </w:rPr>
      </w:pPr>
    </w:p>
    <w:p w:rsidR="009B10A4" w:rsidRPr="002B4D22" w:rsidRDefault="009B10A4" w:rsidP="00534DFC">
      <w:pPr>
        <w:keepNext/>
        <w:spacing w:after="120" w:line="240" w:lineRule="auto"/>
        <w:jc w:val="right"/>
        <w:rPr>
          <w:rFonts w:ascii="Times New Roman" w:hAnsi="Times New Roman"/>
          <w:sz w:val="26"/>
          <w:szCs w:val="26"/>
        </w:rPr>
      </w:pPr>
      <w:r w:rsidRPr="002B4D22">
        <w:rPr>
          <w:rFonts w:ascii="Times New Roman" w:hAnsi="Times New Roman"/>
          <w:sz w:val="26"/>
          <w:szCs w:val="26"/>
        </w:rPr>
        <w:t>1</w:t>
      </w:r>
      <w:r w:rsidR="00084DA1">
        <w:rPr>
          <w:rFonts w:ascii="Times New Roman" w:hAnsi="Times New Roman"/>
          <w:sz w:val="26"/>
          <w:szCs w:val="26"/>
        </w:rPr>
        <w:t>7</w:t>
      </w:r>
      <w:r w:rsidRPr="002B4D22">
        <w:rPr>
          <w:rFonts w:ascii="Times New Roman" w:hAnsi="Times New Roman"/>
          <w:sz w:val="26"/>
          <w:szCs w:val="26"/>
        </w:rPr>
        <w:t>.attēls</w:t>
      </w:r>
    </w:p>
    <w:p w:rsidR="009B10A4" w:rsidRPr="002B4D22" w:rsidRDefault="009B10A4" w:rsidP="00534DFC">
      <w:pPr>
        <w:keepNext/>
        <w:spacing w:after="120" w:line="240" w:lineRule="auto"/>
        <w:jc w:val="center"/>
        <w:rPr>
          <w:rFonts w:ascii="Times New Roman" w:hAnsi="Times New Roman"/>
          <w:b/>
          <w:sz w:val="24"/>
          <w:szCs w:val="26"/>
        </w:rPr>
      </w:pPr>
      <w:r w:rsidRPr="002B4D22">
        <w:rPr>
          <w:rFonts w:ascii="Times New Roman" w:hAnsi="Times New Roman"/>
          <w:b/>
          <w:sz w:val="24"/>
          <w:szCs w:val="26"/>
        </w:rPr>
        <w:t>Ārvalstu nerezidentu saimnieciskās darbības paplašināšanās</w:t>
      </w:r>
    </w:p>
    <w:p w:rsidR="009B10A4" w:rsidRPr="002B4D22" w:rsidRDefault="009B10A4" w:rsidP="00534DFC">
      <w:pPr>
        <w:keepNext/>
        <w:spacing w:after="120" w:line="240" w:lineRule="auto"/>
        <w:jc w:val="center"/>
        <w:rPr>
          <w:rFonts w:ascii="Times New Roman" w:hAnsi="Times New Roman"/>
          <w:sz w:val="8"/>
          <w:szCs w:val="8"/>
        </w:rPr>
      </w:pPr>
    </w:p>
    <w:p w:rsidR="009B10A4" w:rsidRPr="002B4D22" w:rsidRDefault="00106E98" w:rsidP="00534DFC">
      <w:pPr>
        <w:keepNext/>
        <w:spacing w:after="120" w:line="240" w:lineRule="auto"/>
        <w:jc w:val="both"/>
        <w:rPr>
          <w:rFonts w:ascii="Times New Roman" w:hAnsi="Times New Roman"/>
          <w:sz w:val="26"/>
          <w:szCs w:val="26"/>
        </w:rPr>
      </w:pPr>
      <w:r w:rsidRPr="00106E98">
        <w:rPr>
          <w:rFonts w:ascii="Times New Roman" w:hAnsi="Times New Roman"/>
          <w:noProof/>
          <w:lang w:eastAsia="lv-LV"/>
        </w:rPr>
      </w:r>
      <w:r w:rsidRPr="00106E98">
        <w:rPr>
          <w:rFonts w:ascii="Times New Roman" w:hAnsi="Times New Roman"/>
          <w:noProof/>
          <w:lang w:eastAsia="lv-LV"/>
        </w:rPr>
        <w:pict>
          <v:group id="Group 3" o:spid="_x0000_s1026" style="width:444.25pt;height:165.5pt;mso-position-horizontal-relative:char;mso-position-vertical-relative:line" coordsize="56419,22574">
            <v:shapetype id="_x0000_t32" coordsize="21600,21600" o:spt="32" o:oned="t" path="m,l21600,21600e" filled="f">
              <v:path arrowok="t" fillok="f" o:connecttype="none"/>
              <o:lock v:ext="edit" shapetype="t"/>
            </v:shapetype>
            <v:shape id="Straight Arrow Connector 7" o:spid="_x0000_s1027" type="#_x0000_t32" style="position:absolute;top:20097;width:564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d38IAAADaAAAADwAAAGRycy9kb3ducmV2LnhtbESPTYvCQAyG7wv+hyELe1unehCpjuIq&#10;guBh8QPPsRM7xU6mdMZa//3msOAxvHmf5Jkve1+rjtpYBTYwGmagiItgKy4NnE/b7ymomJAt1oHJ&#10;wIsiLBeDjznmNjz5QN0xlUogHHM04FJqcq1j4chjHIaGWLJbaD0mGdtS2xafAve1HmfZRHusWC44&#10;bGjtqLgfH14o198ibS6Pbn2P+jC9/exfI7c35uuzX81AJerTe/m/vbMG5FdREQ3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Nd38IAAADaAAAADwAAAAAAAAAAAAAA&#10;AAChAgAAZHJzL2Rvd25yZXYueG1sUEsFBgAAAAAEAAQA+QAAAJADAAAAAA==&#10;" strokecolor="#4579b8" strokeweight="3pt">
              <v:stroke endarrow="open"/>
            </v:shape>
            <v:line id="Straight Connector 10" o:spid="_x0000_s1028" style="position:absolute;visibility:visible" from="13335,18859" to="13335,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dXsMAAADbAAAADwAAAGRycy9kb3ducmV2LnhtbESPQYvCQAyF78L+hyEL3nSqiLrVUZYF&#10;RRYRdMVz7MS22MmUzqjdf28OgreE9/Lel/mydZW6UxNKzwYG/QQUceZtybmB49+qNwUVIrLFyjMZ&#10;+KcAy8VHZ46p9Q/e0/0QcyUhHFI0UMRYp1qHrCCHoe9rYtEuvnEYZW1ybRt8SLir9DBJxtphydJQ&#10;YE0/BWXXw80ZONduf11//W6PdjAZTXaj7WlcZcZ0P9vvGahIbXybX9cbK/hCL7/IAHr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k3V7DAAAA2wAAAA8AAAAAAAAAAAAA&#10;AAAAoQIAAGRycy9kb3ducmV2LnhtbFBLBQYAAAAABAAEAPkAAACRAwAAAAA=&#10;" strokecolor="#4579b8" strokeweight="3pt"/>
            <v:line id="Straight Connector 12" o:spid="_x0000_s1029" style="position:absolute;visibility:visible" from="28575,18859" to="28575,2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DKcMAAADbAAAADwAAAGRycy9kb3ducmV2LnhtbERPTWvCQBC9F/wPywi9NRvboDXNKkVQ&#10;ikhBG3oes9MkJDsbsqtJ/71bKHibx/ucbD2aVlypd7VlBbMoBkFcWF1zqSD/2j69gnAeWWNrmRT8&#10;koP1avKQYartwEe6nnwpQgi7FBVU3neplK6oyKCLbEccuB/bG/QB9qXUPQ4h3LTyOY7n0mDNoaHC&#10;jjYVFc3pYhScO3Nsdsv9IdezRbL4TA7f87ZQ6nE6vr+B8DT6u/jf/aHD/Bf4+yUc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2QynDAAAA2wAAAA8AAAAAAAAAAAAA&#10;AAAAoQIAAGRycy9kb3ducmV2LnhtbFBLBQYAAAAABAAEAPkAAACRAwAAAAA=&#10;" strokecolor="#4579b8" strokeweight="3pt"/>
            <v:line id="Straight Connector 17" o:spid="_x0000_s1030" style="position:absolute;visibility:visible" from="43815,19050" to="43815,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XcIAAADbAAAADwAAAGRycy9kb3ducmV2LnhtbERPTWvCQBC9F/wPywi9NRtLMG3qRkSo&#10;lCJCUvE8ZqdJSHY2ZFdN/323IPQ2j/c5q/VkenGl0bWWFSyiGARxZXXLtYLj1/vTCwjnkTX2lknB&#10;DzlY57OHFWba3riga+lrEULYZaig8X7IpHRVQwZdZAfiwH3b0aAPcKylHvEWwk0vn+N4KQ22HBoa&#10;HGjbUNWVF6PgPJii271+7o96kSbpIdmfln2l1ON82ryB8DT5f/Hd/aHD/AT+fg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bXcIAAADbAAAADwAAAAAAAAAAAAAA&#10;AAChAgAAZHJzL2Rvd25yZXYueG1sUEsFBgAAAAAEAAQA+QAAAJADAAAAAA==&#10;" strokecolor="#4579b8" strokeweight="3pt"/>
            <v:shapetype id="_x0000_t202" coordsize="21600,21600" o:spt="202" path="m,l,21600r21600,l21600,xe">
              <v:stroke joinstyle="miter"/>
              <v:path gradientshapeok="t" o:connecttype="rect"/>
            </v:shapetype>
            <v:shape id="Text Box 18" o:spid="_x0000_s1031" type="#_x0000_t202" style="position:absolute;width:10795;height:179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Iq8EA&#10;AADbAAAADwAAAGRycy9kb3ducmV2LnhtbERPTYvCMBC9C/sfwix4EZsqKFKNsrsgiiBod9Hr0My2&#10;xWZSmqjVX28Ewds83ufMFq2pxIUaV1pWMIhiEMSZ1SXnCv5+l/0JCOeRNVaWScGNHCzmH50ZJtpe&#10;eU+X1OcihLBLUEHhfZ1I6bKCDLrI1sSB+7eNQR9gk0vd4DWEm0oO43gsDZYcGgqs6aeg7JSejYKN&#10;zavtnXbp6nt9GIyOp5J7u1Sp7mf7NQXhqfVv8cu91mH+C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6iKvBAAAA2wAAAA8AAAAAAAAAAAAAAAAAmAIAAGRycy9kb3du&#10;cmV2LnhtbFBLBQYAAAAABAAEAPUAAACGAwAAAAA=&#10;" fillcolor="#c6d9f1" strokeweight=".5pt">
              <v:shadow on="t" color="black" opacity="26213f" origin="-.5,-.5" offset=".74836mm,.74836mm"/>
              <v:textbox>
                <w:txbxContent>
                  <w:p w:rsidR="001A4442" w:rsidRDefault="001A4442" w:rsidP="00AC58BD">
                    <w:pPr>
                      <w:spacing w:after="0" w:line="240" w:lineRule="auto"/>
                      <w:jc w:val="center"/>
                      <w:rPr>
                        <w:rFonts w:ascii="Times New Roman" w:hAnsi="Times New Roman"/>
                      </w:rPr>
                    </w:pPr>
                    <w:r>
                      <w:rPr>
                        <w:rFonts w:ascii="Times New Roman" w:hAnsi="Times New Roman"/>
                      </w:rPr>
                      <w:t>Privātpersonu piesaiste</w:t>
                    </w:r>
                  </w:p>
                  <w:p w:rsidR="001A4442" w:rsidRDefault="001A4442" w:rsidP="00AC58BD">
                    <w:pPr>
                      <w:spacing w:after="0" w:line="240" w:lineRule="auto"/>
                      <w:jc w:val="center"/>
                      <w:rPr>
                        <w:rFonts w:ascii="Times New Roman" w:hAnsi="Times New Roman"/>
                      </w:rPr>
                    </w:pPr>
                  </w:p>
                  <w:p w:rsidR="001A4442" w:rsidRPr="00AC58BD" w:rsidRDefault="001A4442" w:rsidP="00AC58BD">
                    <w:pPr>
                      <w:spacing w:after="0" w:line="240" w:lineRule="auto"/>
                      <w:jc w:val="center"/>
                      <w:rPr>
                        <w:rFonts w:ascii="Times New Roman" w:hAnsi="Times New Roman"/>
                      </w:rPr>
                    </w:pPr>
                    <w:r w:rsidRPr="00AC58BD">
                      <w:rPr>
                        <w:rFonts w:ascii="Times New Roman" w:hAnsi="Times New Roman"/>
                      </w:rPr>
                      <w:t>(banku sektors)</w:t>
                    </w:r>
                  </w:p>
                </w:txbxContent>
              </v:textbox>
            </v:shape>
            <v:shape id="Text Box 20" o:spid="_x0000_s1032" type="#_x0000_t202" style="position:absolute;left:15525;top:1809;width:10795;height:161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zR8EA&#10;AADbAAAADwAAAGRycy9kb3ducmV2LnhtbERPTYvCMBC9L/gfwgheZE0V1KUaRQVRhAWty3odmrEt&#10;NpPSRK3+erMg7G0e73Om88aU4ka1Kywr6PciEMSp1QVnCn6O688vEM4jaywtk4IHOZjPWh9TjLW9&#10;84Fuic9ECGEXo4Lc+yqW0qU5GXQ9WxEH7mxrgz7AOpO6xnsIN6UcRNFIGiw4NORY0Sqn9JJcjYKd&#10;zcrvJ+2TzXL72x+eLgV394lSnXazmIDw1Ph/8du91WH+GP5+C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s0fBAAAA2wAAAA8AAAAAAAAAAAAAAAAAmAIAAGRycy9kb3du&#10;cmV2LnhtbFBLBQYAAAAABAAEAPUAAACGAwAAAAA=&#10;" fillcolor="#c6d9f1" strokeweight=".5pt">
              <v:shadow on="t" color="black" opacity="26213f" origin="-.5,-.5" offset=".74836mm,.74836mm"/>
              <v:textbox>
                <w:txbxContent>
                  <w:p w:rsidR="001A4442" w:rsidRDefault="001A4442" w:rsidP="00AC58BD">
                    <w:pPr>
                      <w:spacing w:after="0" w:line="240" w:lineRule="auto"/>
                      <w:jc w:val="center"/>
                      <w:rPr>
                        <w:rFonts w:ascii="Times New Roman" w:hAnsi="Times New Roman"/>
                      </w:rPr>
                    </w:pPr>
                    <w:r w:rsidRPr="00AC58BD">
                      <w:rPr>
                        <w:rFonts w:ascii="Times New Roman" w:hAnsi="Times New Roman"/>
                      </w:rPr>
                      <w:t>Privātā biznesa administrēšana</w:t>
                    </w:r>
                  </w:p>
                  <w:p w:rsidR="001A4442" w:rsidRPr="00AC58BD" w:rsidRDefault="001A4442" w:rsidP="00AC58BD">
                    <w:pPr>
                      <w:spacing w:after="0" w:line="240" w:lineRule="auto"/>
                      <w:jc w:val="center"/>
                      <w:rPr>
                        <w:rFonts w:ascii="Times New Roman" w:hAnsi="Times New Roman"/>
                      </w:rPr>
                    </w:pPr>
                    <w:r w:rsidRPr="00AC58BD">
                      <w:rPr>
                        <w:rFonts w:ascii="Times New Roman" w:hAnsi="Times New Roman"/>
                      </w:rPr>
                      <w:t xml:space="preserve">(izmantojot </w:t>
                    </w:r>
                    <w:proofErr w:type="spellStart"/>
                    <w:r w:rsidRPr="00AC58BD">
                      <w:rPr>
                        <w:rFonts w:ascii="Times New Roman" w:hAnsi="Times New Roman"/>
                      </w:rPr>
                      <w:t>ār-pakalpojumus</w:t>
                    </w:r>
                    <w:proofErr w:type="spellEnd"/>
                    <w:r w:rsidRPr="00AC58BD">
                      <w:rPr>
                        <w:rFonts w:ascii="Times New Roman" w:hAnsi="Times New Roman"/>
                      </w:rPr>
                      <w:t xml:space="preserve"> –</w:t>
                    </w:r>
                    <w:proofErr w:type="gramStart"/>
                    <w:r w:rsidRPr="00AC58BD">
                      <w:rPr>
                        <w:rFonts w:ascii="Times New Roman" w:hAnsi="Times New Roman"/>
                      </w:rPr>
                      <w:t xml:space="preserve">  </w:t>
                    </w:r>
                    <w:proofErr w:type="gramEnd"/>
                    <w:r w:rsidRPr="00AC58BD">
                      <w:rPr>
                        <w:rFonts w:ascii="Times New Roman" w:hAnsi="Times New Roman"/>
                      </w:rPr>
                      <w:t>juridiskie pakalpojumi, grāmatvedība u.c.)</w:t>
                    </w:r>
                  </w:p>
                </w:txbxContent>
              </v:textbox>
            </v:shape>
            <v:shape id="Text Box 24" o:spid="_x0000_s1033" type="#_x0000_t202" style="position:absolute;left:30670;top:3714;width:10795;height:143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nNcQA&#10;AADbAAAADwAAAGRycy9kb3ducmV2LnhtbESPQWvCQBCF74L/YRnBi+hGQSmpq6hQFKFg02KvQ3ZM&#10;gtnZkN1q7K/vHAreZnhv3vtmue5crW7UhsqzgekkAUWce1txYeDr8238AipEZIu1ZzLwoADrVb+3&#10;xNT6O3/QLYuFkhAOKRooY2xSrUNeksMw8Q2xaBffOoyytoW2Ld4l3NV6liQL7bBiaSixoV1J+TX7&#10;cQaOvqjff+mU7beH83T+fa14dMqMGQ66zSuoSF18mv+vD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7JzXEAAAA2wAAAA8AAAAAAAAAAAAAAAAAmAIAAGRycy9k&#10;b3ducmV2LnhtbFBLBQYAAAAABAAEAPUAAACJAwAAAAA=&#10;" fillcolor="#c6d9f1" strokeweight=".5pt">
              <v:shadow on="t" color="black" opacity="26213f" origin="-.5,-.5" offset=".74836mm,.74836mm"/>
              <v:textbox>
                <w:txbxContent>
                  <w:p w:rsidR="001A4442" w:rsidRDefault="001A4442" w:rsidP="00AC58BD">
                    <w:pPr>
                      <w:spacing w:after="0" w:line="240" w:lineRule="auto"/>
                      <w:jc w:val="center"/>
                      <w:rPr>
                        <w:rFonts w:ascii="Times New Roman" w:hAnsi="Times New Roman"/>
                      </w:rPr>
                    </w:pPr>
                    <w:r>
                      <w:rPr>
                        <w:rFonts w:ascii="Times New Roman" w:hAnsi="Times New Roman"/>
                      </w:rPr>
                      <w:t>Pakalpojumu sniegšana</w:t>
                    </w:r>
                  </w:p>
                  <w:p w:rsidR="001A4442" w:rsidRPr="00AC58BD" w:rsidRDefault="001A4442" w:rsidP="00AC58BD">
                    <w:pPr>
                      <w:spacing w:after="0" w:line="240" w:lineRule="auto"/>
                      <w:jc w:val="center"/>
                      <w:rPr>
                        <w:rFonts w:ascii="Times New Roman" w:hAnsi="Times New Roman"/>
                      </w:rPr>
                    </w:pPr>
                    <w:r w:rsidRPr="00AC58BD">
                      <w:rPr>
                        <w:rFonts w:ascii="Times New Roman" w:hAnsi="Times New Roman"/>
                      </w:rPr>
                      <w:t xml:space="preserve">(tirdzniecība, </w:t>
                    </w:r>
                    <w:r>
                      <w:rPr>
                        <w:rFonts w:ascii="Times New Roman" w:hAnsi="Times New Roman"/>
                      </w:rPr>
                      <w:t xml:space="preserve">loģistika, </w:t>
                    </w:r>
                    <w:r w:rsidRPr="00AC58BD">
                      <w:rPr>
                        <w:rFonts w:ascii="Times New Roman" w:hAnsi="Times New Roman"/>
                      </w:rPr>
                      <w:t>…)</w:t>
                    </w:r>
                  </w:p>
                </w:txbxContent>
              </v:textbox>
            </v:shape>
            <v:shape id="Text Box 25" o:spid="_x0000_s1034" type="#_x0000_t202" style="position:absolute;left:45624;top:5429;width:10795;height:125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CrsEA&#10;AADbAAAADwAAAGRycy9kb3ducmV2LnhtbERPTYvCMBC9L/gfwgheZE0VFLcaRQVRhAWty3odmrEt&#10;NpPSRK3+erMg7G0e73Om88aU4ka1Kywr6PciEMSp1QVnCn6O688xCOeRNZaWScGDHMxnrY8pxtre&#10;+UC3xGcihLCLUUHufRVL6dKcDLqerYgDd7a1QR9gnUld4z2Em1IOomgkDRYcGnKsaJVTekmuRsHO&#10;ZuX3k/bJZrn97Q9Pl4K7+0SpTrtZTEB4avy/+O3e6jD/C/5+C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3gq7BAAAA2wAAAA8AAAAAAAAAAAAAAAAAmAIAAGRycy9kb3du&#10;cmV2LnhtbFBLBQYAAAAABAAEAPUAAACGAwAAAAA=&#10;" fillcolor="#c6d9f1" strokeweight=".5pt">
              <v:shadow on="t" color="black" opacity="26213f" origin="-.5,-.5" offset=".74836mm,.74836mm"/>
              <v:textbox>
                <w:txbxContent>
                  <w:p w:rsidR="001A4442" w:rsidRPr="00AC58BD" w:rsidRDefault="001A4442" w:rsidP="00AC58BD">
                    <w:pPr>
                      <w:spacing w:after="0" w:line="240" w:lineRule="auto"/>
                      <w:jc w:val="center"/>
                      <w:rPr>
                        <w:rFonts w:ascii="Times New Roman" w:hAnsi="Times New Roman"/>
                      </w:rPr>
                    </w:pPr>
                    <w:r w:rsidRPr="00AC58BD">
                      <w:rPr>
                        <w:rFonts w:ascii="Times New Roman" w:hAnsi="Times New Roman"/>
                      </w:rPr>
                      <w:t>Ražošana</w:t>
                    </w:r>
                  </w:p>
                </w:txbxContent>
              </v:textbox>
            </v:shape>
            <v:group id="Group 26" o:spid="_x0000_s1035" style="position:absolute;left:12192;top:9525;width:32766;height:3238" coordsize="32766,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6" type="#_x0000_t13" style="position:absolute;width:247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l4cUA&#10;AADbAAAADwAAAGRycy9kb3ducmV2LnhtbESPT2vCQBTE74V+h+UVvNVNgxRJXSUNtOihoFZoj4/s&#10;M5s/+zZkV02/fVcQPA4z8xtmsRptJ840+NqxgpdpAoK4dLrmSsHh++N5DsIHZI2dY1LwRx5Wy8eH&#10;BWbaXXhH532oRISwz1CBCaHPpPSlIYt+6nri6B3dYDFEOVRSD3iJcNvJNElepcWa44LBngpDZbs/&#10;WQXNe9ttjf/duGb7c9Sfh/VXkc+UmjyN+RuIQGO4h2/ttVaQpn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2XhxQAAANsAAAAPAAAAAAAAAAAAAAAAAJgCAABkcnMv&#10;ZG93bnJldi54bWxQSwUGAAAAAAQABAD1AAAAigMAAAAA&#10;" adj="10800" fillcolor="#b8cce4" strokecolor="#243f60" strokeweight=".5pt"/>
              <v:shape id="Right Arrow 28" o:spid="_x0000_s1037" type="#_x0000_t13" style="position:absolute;left:15240;width:247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AesQA&#10;AADbAAAADwAAAGRycy9kb3ducmV2LnhtbESPT4vCMBTE74LfITzB25qqyyLVKCoo7kHwH+jx0Tyb&#10;avNSmqx2v71ZWPA4zMxvmMmssaV4UO0Lxwr6vQQEceZ0wbmC03H1MQLhA7LG0jEp+CUPs2m7NcFU&#10;uyfv6XEIuYgQ9ikqMCFUqZQ+M2TR91xFHL2rqy2GKOtc6hqfEW5LOUiSL2mx4LhgsKKloex++LEK&#10;bot7uTP+8u1uu/NVr0+b7XL+qVS308zHIAI14R3+b2+0gsEQ/r7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7wHrEAAAA2wAAAA8AAAAAAAAAAAAAAAAAmAIAAGRycy9k&#10;b3ducmV2LnhtbFBLBQYAAAAABAAEAPUAAACJAwAAAAA=&#10;" adj="10800" fillcolor="#b8cce4" strokecolor="#243f60" strokeweight=".5pt"/>
              <v:shape id="Right Arrow 29" o:spid="_x0000_s1038" type="#_x0000_t13" style="position:absolute;left:30289;width:2477;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9lcQA&#10;AADbAAAADwAAAGRycy9kb3ducmV2LnhtbESPT4vCMBTE74LfITzB25oq7iLVKCoo7kHwH+jx0Tyb&#10;avNSmqx2v71ZWPA4zMxvmMmssaV4UO0Lxwr6vQQEceZ0wbmC03H1MQLhA7LG0jEp+CUPs2m7NcFU&#10;uyfv6XEIuYgQ9ikqMCFUqZQ+M2TR91xFHL2rqy2GKOtc6hqfEW5LOUiSL2mx4LhgsKKloex++LEK&#10;bot7uTP+8u1uu/NVr0+b7XI+VKrbaeZjEIGa8A7/tzdaweAT/r7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ZXEAAAA2wAAAA8AAAAAAAAAAAAAAAAAmAIAAGRycy9k&#10;b3ducmV2LnhtbFBLBQYAAAAABAAEAPUAAACJAwAAAAA=&#10;" adj="10800" fillcolor="#b8cce4" strokecolor="#243f60" strokeweight=".5pt"/>
            </v:group>
            <v:shape id="Text Box 30" o:spid="_x0000_s1039" type="#_x0000_t202" style="position:absolute;top:20097;width:10795;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f58UA&#10;AADbAAAADwAAAGRycy9kb3ducmV2LnhtbESPwWrDMBBE74X+g9hCLqWRG0JS3MihBAI++JI0BHpb&#10;rK1lbK1cSXGcv48KhR6HmXnDbLaT7cVIPrSOFbzOMxDEtdMtNwpOn/uXNxAhImvsHZOCGwXYFo8P&#10;G8y1u/KBxmNsRIJwyFGBiXHIpQy1IYth7gbi5H07bzEm6RupPV4T3PZykWUrabHltGBwoJ2hujte&#10;rILxXC71YTTRP++qMiu76mf9VSk1e5o+3kFEmuJ/+K9dagWLFfx+S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xQAAANsAAAAPAAAAAAAAAAAAAAAAAJgCAABkcnMv&#10;ZG93bnJldi54bWxQSwUGAAAAAAQABAD1AAAAigMAAAAA&#10;" filled="f" stroked="f" strokeweight=".5pt">
              <v:textbox>
                <w:txbxContent>
                  <w:p w:rsidR="001A4442" w:rsidRPr="00612134" w:rsidRDefault="001A4442" w:rsidP="00906871">
                    <w:pPr>
                      <w:rPr>
                        <w:rFonts w:ascii="Times New Roman" w:hAnsi="Times New Roman"/>
                        <w:i/>
                      </w:rPr>
                    </w:pPr>
                    <w:r w:rsidRPr="00612134">
                      <w:rPr>
                        <w:rFonts w:ascii="Times New Roman" w:hAnsi="Times New Roman"/>
                        <w:i/>
                      </w:rPr>
                      <w:t>laiks</w:t>
                    </w:r>
                  </w:p>
                </w:txbxContent>
              </v:textbox>
            </v:shape>
            <w10:wrap type="none"/>
            <w10:anchorlock/>
          </v:group>
        </w:pict>
      </w:r>
    </w:p>
    <w:p w:rsidR="009B10A4" w:rsidRPr="002B4D22" w:rsidRDefault="009B10A4" w:rsidP="00534DFC">
      <w:pPr>
        <w:keepNext/>
        <w:spacing w:after="120" w:line="240" w:lineRule="auto"/>
        <w:jc w:val="both"/>
        <w:rPr>
          <w:rFonts w:ascii="Times New Roman" w:hAnsi="Times New Roman"/>
          <w:sz w:val="16"/>
          <w:szCs w:val="26"/>
        </w:rPr>
      </w:pPr>
    </w:p>
    <w:p w:rsidR="009B10A4" w:rsidRPr="002B4D22" w:rsidRDefault="009B10A4" w:rsidP="006F6671">
      <w:pPr>
        <w:spacing w:after="120" w:line="240" w:lineRule="auto"/>
        <w:ind w:firstLine="567"/>
        <w:jc w:val="both"/>
        <w:rPr>
          <w:rFonts w:ascii="Times New Roman" w:hAnsi="Times New Roman"/>
          <w:sz w:val="26"/>
          <w:szCs w:val="26"/>
        </w:rPr>
      </w:pPr>
      <w:r w:rsidRPr="002B4D22">
        <w:rPr>
          <w:rFonts w:ascii="Times New Roman" w:hAnsi="Times New Roman"/>
          <w:sz w:val="26"/>
          <w:szCs w:val="26"/>
        </w:rPr>
        <w:t>Ar laiku pastāv iespēja, ka investors var izvēlēties pārvaldīt savu biznesu ārzemēs, izmantojot jau Latvijā sniegtos pakalpojumus, piemēram, juridiskos, grāmatvedības, apdrošināšanas u.c. pakalpojumus. Nākamie soļi ir reālās uzņēmējdarbības uzsākšana</w:t>
      </w:r>
      <w:r w:rsidR="00510275" w:rsidRPr="002B4D22">
        <w:rPr>
          <w:rFonts w:ascii="Times New Roman" w:hAnsi="Times New Roman"/>
          <w:sz w:val="26"/>
          <w:szCs w:val="26"/>
        </w:rPr>
        <w:t>.</w:t>
      </w:r>
      <w:r w:rsidRPr="002B4D22">
        <w:rPr>
          <w:rFonts w:ascii="Times New Roman" w:hAnsi="Times New Roman"/>
          <w:sz w:val="26"/>
          <w:szCs w:val="26"/>
        </w:rPr>
        <w:t xml:space="preserve"> Šādai shēmai no investora viedokļa ir svarīgi priekšnosacījumi – skaidrs tiesiskais regulējums, droša un uzņēmējdarbībai draudzīga vide u.c. faktori.</w:t>
      </w:r>
    </w:p>
    <w:p w:rsidR="009B10A4" w:rsidRPr="002B4D22" w:rsidRDefault="009B10A4" w:rsidP="00534DFC">
      <w:pPr>
        <w:spacing w:after="120" w:line="240" w:lineRule="auto"/>
        <w:ind w:firstLine="426"/>
        <w:jc w:val="both"/>
        <w:rPr>
          <w:rFonts w:ascii="Times New Roman" w:hAnsi="Times New Roman"/>
        </w:rPr>
      </w:pPr>
    </w:p>
    <w:p w:rsidR="009B10A4" w:rsidRPr="002B4D22" w:rsidRDefault="00B62520" w:rsidP="00534DFC">
      <w:pPr>
        <w:pStyle w:val="Heading1"/>
        <w:spacing w:before="0" w:after="120" w:line="240" w:lineRule="auto"/>
        <w:rPr>
          <w:rFonts w:ascii="Times New Roman" w:hAnsi="Times New Roman"/>
          <w:color w:val="auto"/>
        </w:rPr>
      </w:pPr>
      <w:bookmarkStart w:id="28" w:name="_Toc429659169"/>
      <w:r w:rsidRPr="002B4D22">
        <w:rPr>
          <w:rFonts w:ascii="Times New Roman" w:hAnsi="Times New Roman"/>
          <w:color w:val="auto"/>
        </w:rPr>
        <w:t>9</w:t>
      </w:r>
      <w:r w:rsidR="009B10A4" w:rsidRPr="002B4D22">
        <w:rPr>
          <w:rFonts w:ascii="Times New Roman" w:hAnsi="Times New Roman"/>
          <w:color w:val="auto"/>
        </w:rPr>
        <w:t>. Ietekme uz finanšu sektoru</w:t>
      </w:r>
      <w:bookmarkEnd w:id="28"/>
    </w:p>
    <w:p w:rsidR="009B10A4" w:rsidRPr="002B4D22" w:rsidRDefault="009B10A4" w:rsidP="002609C3">
      <w:pPr>
        <w:spacing w:after="0" w:line="240" w:lineRule="auto"/>
        <w:ind w:firstLine="567"/>
        <w:jc w:val="both"/>
        <w:rPr>
          <w:rFonts w:ascii="Times New Roman" w:hAnsi="Times New Roman"/>
          <w:sz w:val="26"/>
          <w:szCs w:val="26"/>
        </w:rPr>
      </w:pPr>
      <w:r w:rsidRPr="002B4D22">
        <w:rPr>
          <w:rFonts w:ascii="Times New Roman" w:hAnsi="Times New Roman"/>
          <w:sz w:val="26"/>
          <w:szCs w:val="26"/>
        </w:rPr>
        <w:t>Vērtējot finanšu sektora ieguvumus no attiecīgajām Imigrācijas likuma normām, jāmin, ka kredītiestād</w:t>
      </w:r>
      <w:r w:rsidR="00AD27D1">
        <w:rPr>
          <w:rFonts w:ascii="Times New Roman" w:hAnsi="Times New Roman"/>
          <w:sz w:val="26"/>
          <w:szCs w:val="26"/>
        </w:rPr>
        <w:t>e</w:t>
      </w:r>
      <w:r w:rsidRPr="002B4D22">
        <w:rPr>
          <w:rFonts w:ascii="Times New Roman" w:hAnsi="Times New Roman"/>
          <w:sz w:val="26"/>
          <w:szCs w:val="26"/>
        </w:rPr>
        <w:t xml:space="preserve">s kā obligātie starpnieki TUA saņemšanas procesā (gan </w:t>
      </w:r>
      <w:r w:rsidR="00F90BBB" w:rsidRPr="002B4D22">
        <w:rPr>
          <w:rFonts w:ascii="Times New Roman" w:hAnsi="Times New Roman"/>
          <w:sz w:val="26"/>
          <w:szCs w:val="26"/>
        </w:rPr>
        <w:t>slēdzot līgumus par pakārtotajām saistībām</w:t>
      </w:r>
      <w:r w:rsidRPr="002B4D22">
        <w:rPr>
          <w:rFonts w:ascii="Times New Roman" w:hAnsi="Times New Roman"/>
          <w:sz w:val="26"/>
          <w:szCs w:val="26"/>
        </w:rPr>
        <w:t xml:space="preserve">, gan apkalpojot nekustamā īpašuma darījuma kontu) iegūst gan jaunus klientus, gan vērā ņemamu aktīvu pieplūdumu. </w:t>
      </w:r>
    </w:p>
    <w:p w:rsidR="003C6A73" w:rsidRPr="002B4D22" w:rsidRDefault="003C6A73" w:rsidP="002609C3">
      <w:pPr>
        <w:spacing w:after="0" w:line="240" w:lineRule="auto"/>
        <w:ind w:firstLine="567"/>
        <w:jc w:val="both"/>
        <w:rPr>
          <w:rFonts w:ascii="Times New Roman" w:hAnsi="Times New Roman"/>
          <w:sz w:val="26"/>
          <w:szCs w:val="26"/>
        </w:rPr>
      </w:pPr>
      <w:r w:rsidRPr="002B4D22">
        <w:rPr>
          <w:rFonts w:ascii="Times New Roman" w:hAnsi="Times New Roman"/>
          <w:sz w:val="26"/>
          <w:szCs w:val="26"/>
        </w:rPr>
        <w:t>Latvijas imigrācijas programma laika posmā no 2010.gada līdz 2015.gada 30.jūnijam ir piesaistījusi investīcijas 1</w:t>
      </w:r>
      <w:r w:rsidR="00B425F0" w:rsidRPr="002B4D22">
        <w:rPr>
          <w:rFonts w:ascii="Times New Roman" w:hAnsi="Times New Roman"/>
          <w:sz w:val="26"/>
          <w:szCs w:val="26"/>
        </w:rPr>
        <w:t> </w:t>
      </w:r>
      <w:r w:rsidR="006F6671">
        <w:rPr>
          <w:rFonts w:ascii="Times New Roman" w:hAnsi="Times New Roman"/>
          <w:sz w:val="26"/>
          <w:szCs w:val="26"/>
        </w:rPr>
        <w:t>313</w:t>
      </w:r>
      <w:r w:rsidR="00B425F0" w:rsidRPr="002B4D22">
        <w:rPr>
          <w:rFonts w:ascii="Times New Roman" w:hAnsi="Times New Roman"/>
          <w:sz w:val="26"/>
          <w:szCs w:val="26"/>
        </w:rPr>
        <w:t xml:space="preserve">,3 milj.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apmērā, no kurām uzņēmumu </w:t>
      </w:r>
      <w:r w:rsidRPr="002B4D22">
        <w:rPr>
          <w:rFonts w:ascii="Times New Roman" w:hAnsi="Times New Roman"/>
          <w:sz w:val="26"/>
          <w:szCs w:val="26"/>
        </w:rPr>
        <w:lastRenderedPageBreak/>
        <w:t xml:space="preserve">pamatkapitālā ir investēti tikai </w:t>
      </w:r>
      <w:r w:rsidR="00B425F0" w:rsidRPr="002B4D22">
        <w:rPr>
          <w:rFonts w:ascii="Times New Roman" w:hAnsi="Times New Roman"/>
          <w:sz w:val="26"/>
          <w:szCs w:val="26"/>
        </w:rPr>
        <w:t>70,8 milj.</w:t>
      </w:r>
      <w:r w:rsidRPr="002B4D22">
        <w:rPr>
          <w:rFonts w:ascii="Times New Roman" w:hAnsi="Times New Roman"/>
          <w:sz w:val="26"/>
          <w:szCs w:val="26"/>
        </w:rPr>
        <w:t xml:space="preserve">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(5,</w:t>
      </w:r>
      <w:r w:rsidR="00B425F0" w:rsidRPr="002B4D22">
        <w:rPr>
          <w:rFonts w:ascii="Times New Roman" w:hAnsi="Times New Roman"/>
          <w:sz w:val="26"/>
          <w:szCs w:val="26"/>
        </w:rPr>
        <w:t>39</w:t>
      </w:r>
      <w:r w:rsidRPr="002B4D22">
        <w:rPr>
          <w:rFonts w:ascii="Times New Roman" w:hAnsi="Times New Roman"/>
          <w:sz w:val="26"/>
          <w:szCs w:val="26"/>
        </w:rPr>
        <w:t xml:space="preserve">% no kopējā investīciju apjoma) un banku subordinētajos aizdevumos </w:t>
      </w:r>
      <w:r w:rsidR="00B425F0" w:rsidRPr="002B4D22">
        <w:rPr>
          <w:rFonts w:ascii="Times New Roman" w:hAnsi="Times New Roman"/>
          <w:sz w:val="26"/>
          <w:szCs w:val="26"/>
        </w:rPr>
        <w:t>148 milj.</w:t>
      </w:r>
      <w:r w:rsidRPr="002B4D22">
        <w:rPr>
          <w:rFonts w:ascii="Times New Roman" w:hAnsi="Times New Roman"/>
          <w:sz w:val="26"/>
          <w:szCs w:val="26"/>
        </w:rPr>
        <w:t xml:space="preserve"> </w:t>
      </w:r>
      <w:proofErr w:type="spellStart"/>
      <w:r w:rsidRPr="002B4D22">
        <w:rPr>
          <w:rFonts w:ascii="Times New Roman" w:hAnsi="Times New Roman"/>
          <w:i/>
          <w:sz w:val="26"/>
          <w:szCs w:val="26"/>
        </w:rPr>
        <w:t>euro</w:t>
      </w:r>
      <w:proofErr w:type="spellEnd"/>
      <w:r w:rsidRPr="002B4D22">
        <w:rPr>
          <w:rFonts w:ascii="Times New Roman" w:hAnsi="Times New Roman"/>
          <w:sz w:val="26"/>
          <w:szCs w:val="26"/>
        </w:rPr>
        <w:t xml:space="preserve"> (11,2</w:t>
      </w:r>
      <w:r w:rsidR="00B425F0" w:rsidRPr="002B4D22">
        <w:rPr>
          <w:rFonts w:ascii="Times New Roman" w:hAnsi="Times New Roman"/>
          <w:sz w:val="26"/>
          <w:szCs w:val="26"/>
        </w:rPr>
        <w:t>7</w:t>
      </w:r>
      <w:r w:rsidRPr="002B4D22">
        <w:rPr>
          <w:rFonts w:ascii="Times New Roman" w:hAnsi="Times New Roman"/>
          <w:sz w:val="26"/>
          <w:szCs w:val="26"/>
        </w:rPr>
        <w:t>% no kopējā investīciju apjoma).</w:t>
      </w:r>
    </w:p>
    <w:p w:rsidR="009B10A4" w:rsidRPr="002B4D22" w:rsidRDefault="0001130B" w:rsidP="002609C3">
      <w:pPr>
        <w:spacing w:after="0" w:line="240" w:lineRule="auto"/>
        <w:ind w:firstLine="567"/>
        <w:jc w:val="both"/>
        <w:rPr>
          <w:rFonts w:ascii="Times New Roman" w:hAnsi="Times New Roman"/>
          <w:sz w:val="26"/>
          <w:szCs w:val="26"/>
        </w:rPr>
      </w:pPr>
      <w:r>
        <w:rPr>
          <w:rFonts w:ascii="Times New Roman" w:hAnsi="Times New Roman"/>
          <w:sz w:val="26"/>
          <w:szCs w:val="26"/>
        </w:rPr>
        <w:t>Imigrācijas likuma 23.panta pirmās daļas 30.punkts</w:t>
      </w:r>
      <w:r w:rsidR="00D3787B" w:rsidRPr="002B4D22">
        <w:rPr>
          <w:rFonts w:ascii="Times New Roman" w:hAnsi="Times New Roman"/>
          <w:sz w:val="26"/>
          <w:szCs w:val="26"/>
        </w:rPr>
        <w:t>, kas stājās spēkā 2010.gada 1.jūlij</w:t>
      </w:r>
      <w:r>
        <w:rPr>
          <w:rFonts w:ascii="Times New Roman" w:hAnsi="Times New Roman"/>
          <w:sz w:val="26"/>
          <w:szCs w:val="26"/>
        </w:rPr>
        <w:t xml:space="preserve">ā, </w:t>
      </w:r>
      <w:r w:rsidR="009B10A4" w:rsidRPr="002B4D22">
        <w:rPr>
          <w:rFonts w:ascii="Times New Roman" w:hAnsi="Times New Roman"/>
          <w:sz w:val="26"/>
          <w:szCs w:val="26"/>
        </w:rPr>
        <w:t xml:space="preserve">deva iespēju attīstīt un tirgū aktīvi piedāvāt iepriekš maz pieprasīto pakalpojumu – </w:t>
      </w:r>
      <w:r w:rsidR="00F90BBB" w:rsidRPr="002B4D22">
        <w:rPr>
          <w:rFonts w:ascii="Times New Roman" w:hAnsi="Times New Roman"/>
          <w:sz w:val="26"/>
          <w:szCs w:val="26"/>
        </w:rPr>
        <w:t>līgumu par pakārtotajām saistībām</w:t>
      </w:r>
      <w:r w:rsidR="009B10A4" w:rsidRPr="002B4D22">
        <w:rPr>
          <w:rFonts w:ascii="Times New Roman" w:hAnsi="Times New Roman"/>
          <w:sz w:val="26"/>
          <w:szCs w:val="26"/>
        </w:rPr>
        <w:t xml:space="preserve">, kā rezultātā, </w:t>
      </w:r>
      <w:proofErr w:type="gramStart"/>
      <w:r w:rsidR="009B10A4" w:rsidRPr="002B4D22">
        <w:rPr>
          <w:rFonts w:ascii="Times New Roman" w:hAnsi="Times New Roman"/>
          <w:sz w:val="26"/>
          <w:szCs w:val="26"/>
        </w:rPr>
        <w:t>kredītiestādēm sniedzot iespēju</w:t>
      </w:r>
      <w:proofErr w:type="gramEnd"/>
      <w:r w:rsidR="009B10A4" w:rsidRPr="002B4D22">
        <w:rPr>
          <w:rFonts w:ascii="Times New Roman" w:hAnsi="Times New Roman"/>
          <w:sz w:val="26"/>
          <w:szCs w:val="26"/>
        </w:rPr>
        <w:t xml:space="preserve"> paplašināt potenciālo klientu loku</w:t>
      </w:r>
      <w:r w:rsidR="003C6A73" w:rsidRPr="002B4D22">
        <w:rPr>
          <w:rFonts w:ascii="Times New Roman" w:hAnsi="Times New Roman"/>
          <w:sz w:val="26"/>
          <w:szCs w:val="26"/>
        </w:rPr>
        <w:t xml:space="preserve"> un palielināt depozītu skaitu.</w:t>
      </w:r>
      <w:r w:rsidR="007A5932" w:rsidRPr="002B4D22">
        <w:rPr>
          <w:rFonts w:ascii="Times New Roman" w:hAnsi="Times New Roman"/>
          <w:sz w:val="26"/>
          <w:szCs w:val="26"/>
        </w:rPr>
        <w:t xml:space="preserve"> </w:t>
      </w:r>
      <w:r w:rsidR="009B10A4" w:rsidRPr="002B4D22">
        <w:rPr>
          <w:rFonts w:ascii="Times New Roman" w:hAnsi="Times New Roman"/>
          <w:sz w:val="26"/>
          <w:szCs w:val="26"/>
        </w:rPr>
        <w:t xml:space="preserve">Piesaistītos līdzekļus kredītiestādes atgriež apgrozījumā, izsniedzot kredītus, </w:t>
      </w:r>
      <w:proofErr w:type="gramStart"/>
      <w:r w:rsidR="009B10A4" w:rsidRPr="002B4D22">
        <w:rPr>
          <w:rFonts w:ascii="Times New Roman" w:hAnsi="Times New Roman"/>
          <w:sz w:val="26"/>
          <w:szCs w:val="26"/>
        </w:rPr>
        <w:t>t.i.</w:t>
      </w:r>
      <w:proofErr w:type="gramEnd"/>
      <w:r w:rsidR="009B10A4" w:rsidRPr="002B4D22">
        <w:rPr>
          <w:rFonts w:ascii="Times New Roman" w:hAnsi="Times New Roman"/>
          <w:sz w:val="26"/>
          <w:szCs w:val="26"/>
        </w:rPr>
        <w:t xml:space="preserve"> attīsta kreditēšanas sfēru un ļauj naudai strādāt tautsaimniecības interesēs.</w:t>
      </w:r>
      <w:r w:rsidR="007A5932" w:rsidRPr="002B4D22">
        <w:rPr>
          <w:rFonts w:ascii="Times New Roman" w:hAnsi="Times New Roman"/>
          <w:sz w:val="26"/>
          <w:szCs w:val="26"/>
        </w:rPr>
        <w:t xml:space="preserve"> </w:t>
      </w:r>
      <w:r w:rsidR="009B10A4" w:rsidRPr="002B4D22">
        <w:rPr>
          <w:rFonts w:ascii="Times New Roman" w:hAnsi="Times New Roman"/>
          <w:sz w:val="26"/>
          <w:szCs w:val="26"/>
        </w:rPr>
        <w:t>Palielinoties piesaistītajam kapitālam, parādās iespēja refinansēt daļu no sliktajiem un kavētajiem kredītiem – tas nozīmē, ka to īpatsvaram parādās tendence samazināties, kā arī uzlabojas kredītiestāžu kapitāla pietiekamības rādītāji.</w:t>
      </w:r>
    </w:p>
    <w:p w:rsidR="009B10A4" w:rsidRPr="002B4D22" w:rsidRDefault="00F90BBB" w:rsidP="002609C3">
      <w:pPr>
        <w:spacing w:after="0" w:line="240" w:lineRule="auto"/>
        <w:ind w:firstLine="567"/>
        <w:jc w:val="both"/>
        <w:rPr>
          <w:rFonts w:ascii="Times New Roman" w:hAnsi="Times New Roman"/>
          <w:sz w:val="26"/>
          <w:szCs w:val="26"/>
        </w:rPr>
      </w:pPr>
      <w:r w:rsidRPr="002B4D22">
        <w:rPr>
          <w:rFonts w:ascii="Times New Roman" w:hAnsi="Times New Roman"/>
          <w:sz w:val="26"/>
          <w:szCs w:val="26"/>
        </w:rPr>
        <w:t>Pakārtotās saistības</w:t>
      </w:r>
      <w:r w:rsidR="009B10A4" w:rsidRPr="002B4D22">
        <w:rPr>
          <w:rFonts w:ascii="Times New Roman" w:hAnsi="Times New Roman"/>
          <w:sz w:val="26"/>
          <w:szCs w:val="26"/>
        </w:rPr>
        <w:t xml:space="preserve"> tiek izmantotas tikai otrā līmeņa kapitālā (</w:t>
      </w:r>
      <w:proofErr w:type="spellStart"/>
      <w:r w:rsidR="009B10A4" w:rsidRPr="002B4D22">
        <w:rPr>
          <w:rFonts w:ascii="Times New Roman" w:hAnsi="Times New Roman"/>
          <w:i/>
          <w:sz w:val="26"/>
          <w:szCs w:val="26"/>
        </w:rPr>
        <w:t>Tier</w:t>
      </w:r>
      <w:proofErr w:type="spellEnd"/>
      <w:r w:rsidR="009B10A4" w:rsidRPr="002B4D22">
        <w:rPr>
          <w:rFonts w:ascii="Times New Roman" w:hAnsi="Times New Roman"/>
          <w:i/>
          <w:sz w:val="26"/>
          <w:szCs w:val="26"/>
        </w:rPr>
        <w:t xml:space="preserve"> 2 </w:t>
      </w:r>
      <w:proofErr w:type="spellStart"/>
      <w:r w:rsidR="009B10A4" w:rsidRPr="002B4D22">
        <w:rPr>
          <w:rFonts w:ascii="Times New Roman" w:hAnsi="Times New Roman"/>
          <w:i/>
          <w:sz w:val="26"/>
          <w:szCs w:val="26"/>
        </w:rPr>
        <w:t>Capital</w:t>
      </w:r>
      <w:proofErr w:type="spellEnd"/>
      <w:r w:rsidR="009B10A4" w:rsidRPr="002B4D22">
        <w:rPr>
          <w:rFonts w:ascii="Times New Roman" w:hAnsi="Times New Roman"/>
          <w:sz w:val="26"/>
          <w:szCs w:val="26"/>
        </w:rPr>
        <w:t xml:space="preserve">) un tiek ņemts vērā kredītiestādes kapitāla pietiekamības aprēķinā. Tādējādi tas tiek izmantots attiecīgās bankas un visas banku sistēmas risku mazināšanai (pieaug kapitāla pietiekamība) un attiecīgi palielinās iespēja bankām izsniegt kredītus. </w:t>
      </w:r>
    </w:p>
    <w:p w:rsidR="009B10A4" w:rsidRPr="002B4D22" w:rsidRDefault="009B10A4" w:rsidP="002609C3">
      <w:pPr>
        <w:spacing w:after="0" w:line="240" w:lineRule="auto"/>
        <w:ind w:firstLine="567"/>
        <w:jc w:val="both"/>
        <w:rPr>
          <w:rFonts w:ascii="Times New Roman" w:hAnsi="Times New Roman"/>
          <w:color w:val="FF0000"/>
          <w:sz w:val="26"/>
          <w:szCs w:val="26"/>
        </w:rPr>
      </w:pPr>
      <w:r w:rsidRPr="002B4D22">
        <w:rPr>
          <w:rFonts w:ascii="Times New Roman" w:hAnsi="Times New Roman"/>
          <w:sz w:val="26"/>
          <w:szCs w:val="26"/>
        </w:rPr>
        <w:t>Imigrācijas likuma normas ir pozitīvi ietekmējušas kredītiestāžu kapitāla bāzi, sevišķi, tās palīdzējušas piesaistīt kapitālu apstākļos, kad kapitāls praktiski nav pieejams tiešo investīciju veidā. Atsevišķām kredītiestādēm piesaistīto pakārtoto saistību apjoms pieaudzis līdz pat 70%</w:t>
      </w:r>
      <w:r w:rsidRPr="002B4D22">
        <w:rPr>
          <w:rStyle w:val="FootnoteReference"/>
          <w:rFonts w:ascii="Times New Roman" w:hAnsi="Times New Roman"/>
          <w:sz w:val="26"/>
          <w:szCs w:val="26"/>
        </w:rPr>
        <w:footnoteReference w:id="26"/>
      </w:r>
      <w:r w:rsidRPr="002B4D22">
        <w:rPr>
          <w:rFonts w:ascii="Times New Roman" w:hAnsi="Times New Roman"/>
          <w:sz w:val="26"/>
          <w:szCs w:val="26"/>
        </w:rPr>
        <w:t>.</w:t>
      </w:r>
    </w:p>
    <w:p w:rsidR="005436B6" w:rsidRPr="002B4D22" w:rsidRDefault="005436B6" w:rsidP="00534DFC">
      <w:pPr>
        <w:spacing w:after="120" w:line="240" w:lineRule="auto"/>
        <w:jc w:val="right"/>
        <w:rPr>
          <w:rFonts w:ascii="Times New Roman" w:hAnsi="Times New Roman"/>
          <w:sz w:val="26"/>
          <w:szCs w:val="26"/>
        </w:rPr>
      </w:pPr>
    </w:p>
    <w:p w:rsidR="00327CF1" w:rsidRPr="002B4D22" w:rsidRDefault="009B10A4" w:rsidP="00534DFC">
      <w:pPr>
        <w:spacing w:after="120" w:line="240" w:lineRule="auto"/>
        <w:jc w:val="right"/>
        <w:rPr>
          <w:rFonts w:ascii="Times New Roman" w:hAnsi="Times New Roman"/>
          <w:sz w:val="26"/>
          <w:szCs w:val="26"/>
        </w:rPr>
      </w:pPr>
      <w:r w:rsidRPr="002B4D22">
        <w:rPr>
          <w:rFonts w:ascii="Times New Roman" w:hAnsi="Times New Roman"/>
          <w:sz w:val="26"/>
          <w:szCs w:val="26"/>
        </w:rPr>
        <w:t>1</w:t>
      </w:r>
      <w:r w:rsidR="00084DA1">
        <w:rPr>
          <w:rFonts w:ascii="Times New Roman" w:hAnsi="Times New Roman"/>
          <w:sz w:val="26"/>
          <w:szCs w:val="26"/>
        </w:rPr>
        <w:t>8</w:t>
      </w:r>
      <w:r w:rsidRPr="002B4D22">
        <w:rPr>
          <w:rFonts w:ascii="Times New Roman" w:hAnsi="Times New Roman"/>
          <w:sz w:val="26"/>
          <w:szCs w:val="26"/>
        </w:rPr>
        <w:t>.attēls</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9"/>
        <w:gridCol w:w="5655"/>
      </w:tblGrid>
      <w:tr w:rsidR="00754554" w:rsidRPr="002B4D22" w:rsidTr="00375832">
        <w:tc>
          <w:tcPr>
            <w:tcW w:w="5490" w:type="dxa"/>
          </w:tcPr>
          <w:tbl>
            <w:tblPr>
              <w:tblW w:w="5000" w:type="pct"/>
              <w:tblLook w:val="00A0"/>
            </w:tblPr>
            <w:tblGrid>
              <w:gridCol w:w="4203"/>
            </w:tblGrid>
            <w:tr w:rsidR="00EE2508" w:rsidRPr="002B4D22" w:rsidTr="00754554">
              <w:tc>
                <w:tcPr>
                  <w:tcW w:w="5000" w:type="pct"/>
                </w:tcPr>
                <w:p w:rsidR="00EE2508" w:rsidRPr="002B4D22" w:rsidRDefault="00EE2508" w:rsidP="00534DFC">
                  <w:pPr>
                    <w:spacing w:after="120" w:line="240" w:lineRule="auto"/>
                    <w:ind w:left="142" w:right="202"/>
                    <w:jc w:val="center"/>
                    <w:rPr>
                      <w:rFonts w:ascii="Times New Roman" w:hAnsi="Times New Roman"/>
                      <w:b/>
                      <w:color w:val="4F81BD" w:themeColor="accent1"/>
                      <w:szCs w:val="26"/>
                    </w:rPr>
                  </w:pPr>
                  <w:r w:rsidRPr="002B4D22">
                    <w:rPr>
                      <w:rFonts w:ascii="Times New Roman" w:hAnsi="Times New Roman"/>
                      <w:b/>
                      <w:szCs w:val="26"/>
                    </w:rPr>
                    <w:t>Kredītu maksājumu kavējumi (&gt;180 dienām), tūkst. eiro</w:t>
                  </w:r>
                </w:p>
              </w:tc>
            </w:tr>
            <w:tr w:rsidR="00EE2508" w:rsidRPr="002B4D22" w:rsidTr="00754554">
              <w:tc>
                <w:tcPr>
                  <w:tcW w:w="5000" w:type="pct"/>
                </w:tcPr>
                <w:p w:rsidR="00EE2508" w:rsidRPr="002B4D22" w:rsidRDefault="00EE2508" w:rsidP="00534DFC">
                  <w:pPr>
                    <w:spacing w:after="120" w:line="240" w:lineRule="auto"/>
                    <w:jc w:val="both"/>
                    <w:rPr>
                      <w:rFonts w:ascii="Times New Roman" w:hAnsi="Times New Roman"/>
                      <w:color w:val="4F81BD" w:themeColor="accent1"/>
                      <w:sz w:val="26"/>
                      <w:szCs w:val="26"/>
                    </w:rPr>
                  </w:pPr>
                  <w:r w:rsidRPr="002B4D22">
                    <w:rPr>
                      <w:rFonts w:ascii="Times New Roman" w:hAnsi="Times New Roman"/>
                      <w:noProof/>
                      <w:color w:val="4F81BD" w:themeColor="accent1"/>
                      <w:sz w:val="26"/>
                      <w:szCs w:val="26"/>
                      <w:lang w:eastAsia="lv-LV"/>
                    </w:rPr>
                    <w:drawing>
                      <wp:inline distT="0" distB="0" distL="0" distR="0">
                        <wp:extent cx="2581275" cy="1857375"/>
                        <wp:effectExtent l="0" t="0" r="0" b="0"/>
                        <wp:docPr id="27" name="Obj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754554" w:rsidRPr="002B4D22" w:rsidRDefault="00754554" w:rsidP="00534DFC">
            <w:pPr>
              <w:spacing w:after="120" w:line="240" w:lineRule="auto"/>
              <w:rPr>
                <w:rFonts w:ascii="Times New Roman" w:hAnsi="Times New Roman"/>
                <w:color w:val="000000" w:themeColor="text1"/>
                <w:sz w:val="22"/>
                <w:szCs w:val="22"/>
              </w:rPr>
            </w:pPr>
            <w:r w:rsidRPr="002B4D22">
              <w:rPr>
                <w:rFonts w:ascii="Times New Roman" w:hAnsi="Times New Roman"/>
                <w:i/>
                <w:color w:val="000000" w:themeColor="text1"/>
                <w:szCs w:val="22"/>
              </w:rPr>
              <w:t>Avots: FKTK</w:t>
            </w:r>
          </w:p>
        </w:tc>
        <w:tc>
          <w:tcPr>
            <w:tcW w:w="4682" w:type="dxa"/>
          </w:tcPr>
          <w:tbl>
            <w:tblPr>
              <w:tblW w:w="5535" w:type="dxa"/>
              <w:tblLook w:val="00A0"/>
            </w:tblPr>
            <w:tblGrid>
              <w:gridCol w:w="111"/>
              <w:gridCol w:w="4246"/>
              <w:gridCol w:w="1082"/>
            </w:tblGrid>
            <w:tr w:rsidR="00EE2508" w:rsidRPr="002B4D22" w:rsidTr="00EE2508">
              <w:tc>
                <w:tcPr>
                  <w:tcW w:w="5000" w:type="pct"/>
                  <w:gridSpan w:val="3"/>
                </w:tcPr>
                <w:p w:rsidR="00EE2508" w:rsidRPr="002B4D22" w:rsidRDefault="00EE2508" w:rsidP="000555CD">
                  <w:pPr>
                    <w:spacing w:after="120" w:line="240" w:lineRule="auto"/>
                    <w:ind w:left="142" w:right="202"/>
                    <w:jc w:val="center"/>
                    <w:rPr>
                      <w:rFonts w:ascii="Times New Roman" w:hAnsi="Times New Roman"/>
                      <w:b/>
                      <w:szCs w:val="26"/>
                    </w:rPr>
                  </w:pPr>
                  <w:r w:rsidRPr="002B4D22">
                    <w:rPr>
                      <w:rFonts w:ascii="Times New Roman" w:hAnsi="Times New Roman"/>
                      <w:b/>
                      <w:szCs w:val="26"/>
                    </w:rPr>
                    <w:t>Banku likviditātes rādītājs</w:t>
                  </w:r>
                </w:p>
                <w:p w:rsidR="004449B2" w:rsidRPr="002B4D22" w:rsidRDefault="004449B2" w:rsidP="000555CD">
                  <w:pPr>
                    <w:spacing w:after="120" w:line="240" w:lineRule="auto"/>
                    <w:ind w:left="142" w:right="202"/>
                    <w:jc w:val="center"/>
                    <w:rPr>
                      <w:rFonts w:ascii="Times New Roman" w:hAnsi="Times New Roman"/>
                      <w:b/>
                      <w:color w:val="4F81BD" w:themeColor="accent1"/>
                      <w:szCs w:val="26"/>
                    </w:rPr>
                  </w:pPr>
                </w:p>
              </w:tc>
            </w:tr>
            <w:tr w:rsidR="00EE2508" w:rsidRPr="002B4D22" w:rsidTr="00EE2508">
              <w:tc>
                <w:tcPr>
                  <w:tcW w:w="5000" w:type="pct"/>
                  <w:gridSpan w:val="3"/>
                </w:tcPr>
                <w:p w:rsidR="00EE2508" w:rsidRPr="002B4D22" w:rsidRDefault="00EE2508" w:rsidP="00534DFC">
                  <w:pPr>
                    <w:spacing w:after="120" w:line="240" w:lineRule="auto"/>
                    <w:jc w:val="both"/>
                    <w:rPr>
                      <w:rFonts w:ascii="Times New Roman" w:hAnsi="Times New Roman"/>
                      <w:color w:val="4F81BD" w:themeColor="accent1"/>
                      <w:sz w:val="26"/>
                      <w:szCs w:val="26"/>
                    </w:rPr>
                  </w:pPr>
                  <w:r w:rsidRPr="002B4D22">
                    <w:rPr>
                      <w:rFonts w:ascii="Times New Roman" w:hAnsi="Times New Roman"/>
                      <w:noProof/>
                      <w:color w:val="4F81BD" w:themeColor="accent1"/>
                      <w:sz w:val="26"/>
                      <w:szCs w:val="26"/>
                      <w:lang w:eastAsia="lv-LV"/>
                    </w:rPr>
                    <w:drawing>
                      <wp:inline distT="0" distB="0" distL="0" distR="0">
                        <wp:extent cx="3377821" cy="1753737"/>
                        <wp:effectExtent l="0" t="0" r="0" b="0"/>
                        <wp:docPr id="28" name="Objec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754554" w:rsidRPr="002B4D22" w:rsidTr="00EE2508">
              <w:trPr>
                <w:gridBefore w:val="1"/>
                <w:gridAfter w:val="1"/>
                <w:wBefore w:w="98" w:type="pct"/>
                <w:wAfter w:w="997" w:type="pct"/>
              </w:trPr>
              <w:tc>
                <w:tcPr>
                  <w:tcW w:w="3905" w:type="pct"/>
                </w:tcPr>
                <w:p w:rsidR="00754554" w:rsidRPr="002B4D22" w:rsidRDefault="00EE2508" w:rsidP="00534DFC">
                  <w:pPr>
                    <w:tabs>
                      <w:tab w:val="left" w:pos="690"/>
                      <w:tab w:val="center" w:pos="2023"/>
                    </w:tabs>
                    <w:spacing w:after="120" w:line="240" w:lineRule="auto"/>
                    <w:ind w:left="142" w:right="202"/>
                    <w:rPr>
                      <w:rFonts w:ascii="Times New Roman" w:hAnsi="Times New Roman"/>
                      <w:b/>
                      <w:color w:val="000000" w:themeColor="text1"/>
                      <w:szCs w:val="26"/>
                    </w:rPr>
                  </w:pPr>
                  <w:r w:rsidRPr="002B4D22">
                    <w:rPr>
                      <w:rFonts w:ascii="Times New Roman" w:hAnsi="Times New Roman"/>
                      <w:i/>
                      <w:color w:val="000000" w:themeColor="text1"/>
                      <w:szCs w:val="26"/>
                    </w:rPr>
                    <w:t>Avots: FKTK</w:t>
                  </w:r>
                </w:p>
              </w:tc>
            </w:tr>
            <w:tr w:rsidR="00754554" w:rsidRPr="002B4D22" w:rsidTr="00EE2508">
              <w:trPr>
                <w:gridBefore w:val="1"/>
                <w:gridAfter w:val="1"/>
                <w:wBefore w:w="98" w:type="pct"/>
                <w:wAfter w:w="997" w:type="pct"/>
              </w:trPr>
              <w:tc>
                <w:tcPr>
                  <w:tcW w:w="3905" w:type="pct"/>
                </w:tcPr>
                <w:p w:rsidR="00754554" w:rsidRPr="002B4D22" w:rsidRDefault="00754554" w:rsidP="00534DFC">
                  <w:pPr>
                    <w:spacing w:after="120" w:line="240" w:lineRule="auto"/>
                    <w:jc w:val="both"/>
                    <w:rPr>
                      <w:rFonts w:ascii="Times New Roman" w:hAnsi="Times New Roman"/>
                      <w:color w:val="000000" w:themeColor="text1"/>
                      <w:sz w:val="26"/>
                      <w:szCs w:val="26"/>
                    </w:rPr>
                  </w:pPr>
                </w:p>
              </w:tc>
            </w:tr>
          </w:tbl>
          <w:p w:rsidR="00754554" w:rsidRPr="002B4D22" w:rsidRDefault="00754554" w:rsidP="00534DFC">
            <w:pPr>
              <w:spacing w:after="120" w:line="240" w:lineRule="auto"/>
              <w:rPr>
                <w:rFonts w:ascii="Times New Roman" w:hAnsi="Times New Roman"/>
                <w:color w:val="000000" w:themeColor="text1"/>
                <w:sz w:val="26"/>
                <w:szCs w:val="26"/>
              </w:rPr>
            </w:pPr>
          </w:p>
        </w:tc>
      </w:tr>
    </w:tbl>
    <w:p w:rsidR="008C0ACA" w:rsidRPr="002B4D22" w:rsidRDefault="009B10A4" w:rsidP="00F075B0">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Attiecībā uz kredītiestāžu izsniegto hipotekāro kredītu amortizāciju (samazinājumu), jānorāda, ka attiecīgās Imigrācijas likuma normas būtiski ietekmē gan kredītu plānotās (pielīgtās) atmaksas, gan atmaksas ar tiesvedības procesu starpniecību. Šajā kontekstā ir </w:t>
      </w:r>
      <w:r w:rsidR="008C0ACA" w:rsidRPr="002B4D22">
        <w:rPr>
          <w:rFonts w:ascii="Times New Roman" w:hAnsi="Times New Roman"/>
          <w:sz w:val="26"/>
          <w:szCs w:val="26"/>
        </w:rPr>
        <w:t xml:space="preserve">grūti </w:t>
      </w:r>
      <w:r w:rsidRPr="002B4D22">
        <w:rPr>
          <w:rFonts w:ascii="Times New Roman" w:hAnsi="Times New Roman"/>
          <w:sz w:val="26"/>
          <w:szCs w:val="26"/>
        </w:rPr>
        <w:t>precīzi noteikt ārvalstniekiem, kā arī tieši attiecīgo Imigrācijas likuma normu ietvaros pārdoto īpašumu proporciju, tomēr šo likumu normu ietekme ir nenoliedzama, jo atsevišķām kredītiestādēm laikā no 2010.-2013.gadam rezidentiem izsniegtie hipotekārie kredīti ir samazinājušies par 25%</w:t>
      </w:r>
      <w:r w:rsidRPr="002B4D22">
        <w:rPr>
          <w:rStyle w:val="FootnoteReference"/>
          <w:rFonts w:ascii="Times New Roman" w:hAnsi="Times New Roman"/>
          <w:sz w:val="26"/>
          <w:szCs w:val="26"/>
        </w:rPr>
        <w:footnoteReference w:id="27"/>
      </w:r>
      <w:r w:rsidRPr="002B4D22">
        <w:rPr>
          <w:rFonts w:ascii="Times New Roman" w:hAnsi="Times New Roman"/>
          <w:sz w:val="26"/>
          <w:szCs w:val="26"/>
        </w:rPr>
        <w:t xml:space="preserve">. </w:t>
      </w:r>
    </w:p>
    <w:p w:rsidR="009B10A4" w:rsidRPr="002B4D22" w:rsidRDefault="009B10A4" w:rsidP="00F075B0">
      <w:pPr>
        <w:spacing w:after="0" w:line="240" w:lineRule="auto"/>
        <w:ind w:firstLine="567"/>
        <w:jc w:val="both"/>
        <w:rPr>
          <w:rFonts w:ascii="Times New Roman" w:hAnsi="Times New Roman"/>
          <w:sz w:val="26"/>
          <w:szCs w:val="26"/>
        </w:rPr>
      </w:pPr>
      <w:r w:rsidRPr="002B4D22">
        <w:rPr>
          <w:rFonts w:ascii="Times New Roman" w:hAnsi="Times New Roman"/>
          <w:sz w:val="26"/>
          <w:szCs w:val="26"/>
        </w:rPr>
        <w:lastRenderedPageBreak/>
        <w:t>Kopumā vērtējot, šobrīd kapitāla finansējums bankām ir pieejams ierobežotā apjomā, kas saistīts ar kapitāla atdeves samazināšanos no ieguldījumiem finanšu sektorā</w:t>
      </w:r>
      <w:r w:rsidRPr="002B4D22">
        <w:rPr>
          <w:rStyle w:val="FootnoteReference"/>
          <w:rFonts w:ascii="Times New Roman" w:hAnsi="Times New Roman"/>
          <w:sz w:val="26"/>
          <w:szCs w:val="26"/>
        </w:rPr>
        <w:footnoteReference w:id="28"/>
      </w:r>
      <w:r w:rsidRPr="002B4D22">
        <w:rPr>
          <w:rFonts w:ascii="Times New Roman" w:hAnsi="Times New Roman"/>
          <w:sz w:val="26"/>
          <w:szCs w:val="26"/>
        </w:rPr>
        <w:t>.</w:t>
      </w:r>
    </w:p>
    <w:p w:rsidR="0010475F" w:rsidRPr="002B4D22" w:rsidRDefault="0010475F" w:rsidP="00F075B0">
      <w:pPr>
        <w:spacing w:after="0" w:line="240" w:lineRule="auto"/>
        <w:ind w:firstLine="567"/>
        <w:jc w:val="both"/>
        <w:rPr>
          <w:rFonts w:ascii="Times New Roman" w:hAnsi="Times New Roman"/>
          <w:sz w:val="26"/>
          <w:szCs w:val="26"/>
        </w:rPr>
      </w:pPr>
      <w:r w:rsidRPr="002B4D22">
        <w:rPr>
          <w:rFonts w:ascii="Times New Roman" w:hAnsi="Times New Roman"/>
          <w:sz w:val="26"/>
          <w:szCs w:val="26"/>
        </w:rPr>
        <w:t>Kopš Imigrācijas likuma grozījumiem, kas stājās spēkā 2014.gada 1.septembrī, ieguldījumi banku pakārtotajās saistībās un kapitālsabiedrību pamatkapitālos ir ievērojami samazinājuš</w:t>
      </w:r>
      <w:r w:rsidR="00AD27D1">
        <w:rPr>
          <w:rFonts w:ascii="Times New Roman" w:hAnsi="Times New Roman"/>
          <w:sz w:val="26"/>
          <w:szCs w:val="26"/>
        </w:rPr>
        <w:t>ie</w:t>
      </w:r>
      <w:r w:rsidRPr="002B4D22">
        <w:rPr>
          <w:rFonts w:ascii="Times New Roman" w:hAnsi="Times New Roman"/>
          <w:sz w:val="26"/>
          <w:szCs w:val="26"/>
        </w:rPr>
        <w:t>s, tād</w:t>
      </w:r>
      <w:r w:rsidR="00AD27D1">
        <w:rPr>
          <w:rFonts w:ascii="Times New Roman" w:hAnsi="Times New Roman"/>
          <w:sz w:val="26"/>
          <w:szCs w:val="26"/>
        </w:rPr>
        <w:t>ē</w:t>
      </w:r>
      <w:r w:rsidRPr="002B4D22">
        <w:rPr>
          <w:rFonts w:ascii="Times New Roman" w:hAnsi="Times New Roman"/>
          <w:sz w:val="26"/>
          <w:szCs w:val="26"/>
        </w:rPr>
        <w:t xml:space="preserve">jādi samazinot banku un kapitālsabiedrību piesaistītā kapitāla apjomu. </w:t>
      </w:r>
    </w:p>
    <w:p w:rsidR="0010475F" w:rsidRPr="002B4D22" w:rsidRDefault="0010475F" w:rsidP="00F075B0">
      <w:pPr>
        <w:spacing w:after="0" w:line="240" w:lineRule="auto"/>
        <w:ind w:firstLine="567"/>
        <w:jc w:val="both"/>
        <w:rPr>
          <w:rFonts w:ascii="Times New Roman" w:hAnsi="Times New Roman"/>
          <w:sz w:val="26"/>
          <w:szCs w:val="26"/>
        </w:rPr>
      </w:pPr>
      <w:r w:rsidRPr="002B4D22">
        <w:rPr>
          <w:rFonts w:ascii="Times New Roman" w:hAnsi="Times New Roman"/>
          <w:sz w:val="26"/>
          <w:szCs w:val="26"/>
        </w:rPr>
        <w:t>Saskaņā ar Nacionālās industriālās politikas pamatnostādnēm 2014</w:t>
      </w:r>
      <w:r w:rsidR="006F5F2C">
        <w:rPr>
          <w:rFonts w:ascii="Times New Roman" w:hAnsi="Times New Roman"/>
          <w:sz w:val="26"/>
          <w:szCs w:val="26"/>
        </w:rPr>
        <w:t>.</w:t>
      </w:r>
      <w:r w:rsidRPr="002B4D22">
        <w:rPr>
          <w:rFonts w:ascii="Times New Roman" w:hAnsi="Times New Roman"/>
          <w:sz w:val="26"/>
          <w:szCs w:val="26"/>
        </w:rPr>
        <w:t>-2020</w:t>
      </w:r>
      <w:r w:rsidR="006F5F2C">
        <w:rPr>
          <w:rFonts w:ascii="Times New Roman" w:hAnsi="Times New Roman"/>
          <w:sz w:val="26"/>
          <w:szCs w:val="26"/>
        </w:rPr>
        <w:t>.gadam</w:t>
      </w:r>
      <w:r w:rsidRPr="002B4D22">
        <w:rPr>
          <w:rFonts w:ascii="Times New Roman" w:hAnsi="Times New Roman"/>
          <w:sz w:val="26"/>
          <w:szCs w:val="26"/>
        </w:rPr>
        <w:t xml:space="preserve"> pieeja apgrozāmajiem un investīciju kapitāla finansējumam ir nozīmīgs faktors gan mazo un vidējo komersantu uzņēmējdarbības aktivitātes un konkurētspējas palielināšanai, uzņēmējdarbības uzsācējiem un inovatīviem, strauji augošiem uzņēmumiem, gan lieliem uzņēmumiem. </w:t>
      </w:r>
    </w:p>
    <w:p w:rsidR="0010475F" w:rsidRPr="00005CF6" w:rsidRDefault="00005CF6" w:rsidP="00F075B0">
      <w:pPr>
        <w:spacing w:after="0" w:line="240" w:lineRule="auto"/>
        <w:ind w:firstLine="567"/>
        <w:jc w:val="both"/>
        <w:rPr>
          <w:rFonts w:ascii="Times New Roman" w:hAnsi="Times New Roman"/>
          <w:sz w:val="24"/>
          <w:szCs w:val="24"/>
          <w:lang w:eastAsia="lv-LV"/>
        </w:rPr>
      </w:pPr>
      <w:r w:rsidRPr="00005CF6">
        <w:rPr>
          <w:rFonts w:ascii="Times New Roman" w:hAnsi="Times New Roman"/>
          <w:sz w:val="26"/>
          <w:szCs w:val="26"/>
          <w:lang w:eastAsia="lv-LV"/>
        </w:rPr>
        <w:t>Latvijas Komercbanku asociācija</w:t>
      </w:r>
      <w:r w:rsidR="00BB583E" w:rsidRPr="00005CF6">
        <w:rPr>
          <w:rFonts w:ascii="Times New Roman" w:hAnsi="Times New Roman"/>
          <w:sz w:val="26"/>
          <w:szCs w:val="26"/>
        </w:rPr>
        <w:t xml:space="preserve"> </w:t>
      </w:r>
      <w:r w:rsidR="0010475F" w:rsidRPr="00005CF6">
        <w:rPr>
          <w:rFonts w:ascii="Times New Roman" w:hAnsi="Times New Roman"/>
          <w:sz w:val="26"/>
          <w:szCs w:val="26"/>
        </w:rPr>
        <w:t>2013.gadā ir definējusi “Tipiskos priekšnosacījumus”, kuri uzņēmumiem ir jāizpilda, lai saņemtu aizdevumu. Galvenās prasības attiecas uz uzņēmumu spēju esošās saistības segt ar esošo naudas plūsmu. Vērtējot esošo uzņēmumu spēju uzsākt jaunu projektu, būtiskākais kritērijs ir “</w:t>
      </w:r>
      <w:r w:rsidR="00290209" w:rsidRPr="00005CF6">
        <w:rPr>
          <w:rFonts w:ascii="Times New Roman" w:hAnsi="Times New Roman"/>
          <w:sz w:val="26"/>
          <w:szCs w:val="26"/>
        </w:rPr>
        <w:t>p</w:t>
      </w:r>
      <w:r w:rsidR="0010475F" w:rsidRPr="00005CF6">
        <w:rPr>
          <w:rFonts w:ascii="Times New Roman" w:hAnsi="Times New Roman"/>
          <w:sz w:val="26"/>
          <w:szCs w:val="26"/>
        </w:rPr>
        <w:t>ašu kapitāls</w:t>
      </w:r>
      <w:r w:rsidR="00290209" w:rsidRPr="00005CF6">
        <w:rPr>
          <w:rFonts w:ascii="Times New Roman" w:hAnsi="Times New Roman"/>
          <w:sz w:val="26"/>
          <w:szCs w:val="26"/>
        </w:rPr>
        <w:t>”</w:t>
      </w:r>
      <w:r w:rsidR="0010475F" w:rsidRPr="00005CF6">
        <w:rPr>
          <w:rFonts w:ascii="Times New Roman" w:hAnsi="Times New Roman"/>
          <w:sz w:val="26"/>
          <w:szCs w:val="26"/>
        </w:rPr>
        <w:t xml:space="preserve"> (nevis </w:t>
      </w:r>
      <w:r w:rsidR="00290209" w:rsidRPr="00005CF6">
        <w:rPr>
          <w:rFonts w:ascii="Times New Roman" w:hAnsi="Times New Roman"/>
          <w:sz w:val="26"/>
          <w:szCs w:val="26"/>
        </w:rPr>
        <w:t>“</w:t>
      </w:r>
      <w:r w:rsidR="0010475F" w:rsidRPr="00005CF6">
        <w:rPr>
          <w:rFonts w:ascii="Times New Roman" w:hAnsi="Times New Roman"/>
          <w:sz w:val="26"/>
          <w:szCs w:val="26"/>
        </w:rPr>
        <w:t>pašu ieguldījums</w:t>
      </w:r>
      <w:r w:rsidR="00290209" w:rsidRPr="00005CF6">
        <w:rPr>
          <w:rFonts w:ascii="Times New Roman" w:hAnsi="Times New Roman"/>
          <w:sz w:val="26"/>
          <w:szCs w:val="26"/>
        </w:rPr>
        <w:t>”</w:t>
      </w:r>
      <w:r w:rsidR="0010475F" w:rsidRPr="00005CF6">
        <w:rPr>
          <w:rFonts w:ascii="Times New Roman" w:hAnsi="Times New Roman"/>
          <w:sz w:val="26"/>
          <w:szCs w:val="26"/>
        </w:rPr>
        <w:t>) ~30% apjomā. Pēc LKA</w:t>
      </w:r>
      <w:r w:rsidR="0010475F" w:rsidRPr="002B4D22">
        <w:rPr>
          <w:rFonts w:ascii="Times New Roman" w:hAnsi="Times New Roman"/>
          <w:sz w:val="26"/>
          <w:szCs w:val="26"/>
        </w:rPr>
        <w:t xml:space="preserve"> ekspertu novērtējuma, pašu kapitāla kritēriju izpilda mazāk par 50% no visiem uzņēmumiem, kas būtu vēr</w:t>
      </w:r>
      <w:r w:rsidR="00551473">
        <w:rPr>
          <w:rFonts w:ascii="Times New Roman" w:hAnsi="Times New Roman"/>
          <w:sz w:val="26"/>
          <w:szCs w:val="26"/>
        </w:rPr>
        <w:t>tējami kā “veselīgi uzņēmumi”</w:t>
      </w:r>
      <w:r w:rsidR="00AD111B" w:rsidRPr="002B4D22">
        <w:rPr>
          <w:rStyle w:val="FootnoteReference"/>
          <w:rFonts w:ascii="Times New Roman" w:hAnsi="Times New Roman"/>
          <w:sz w:val="26"/>
          <w:szCs w:val="26"/>
        </w:rPr>
        <w:footnoteReference w:id="29"/>
      </w:r>
      <w:r w:rsidR="0010475F" w:rsidRPr="002B4D22">
        <w:rPr>
          <w:rFonts w:ascii="Times New Roman" w:hAnsi="Times New Roman"/>
          <w:sz w:val="26"/>
          <w:szCs w:val="26"/>
        </w:rPr>
        <w:t xml:space="preserve">. </w:t>
      </w:r>
    </w:p>
    <w:p w:rsidR="00C232F4" w:rsidRPr="002B4D22" w:rsidRDefault="00C232F4" w:rsidP="00F075B0">
      <w:pPr>
        <w:spacing w:after="0" w:line="240" w:lineRule="auto"/>
        <w:ind w:firstLine="567"/>
        <w:jc w:val="both"/>
        <w:rPr>
          <w:rFonts w:ascii="Times New Roman" w:hAnsi="Times New Roman"/>
          <w:sz w:val="26"/>
          <w:szCs w:val="26"/>
        </w:rPr>
      </w:pPr>
      <w:r w:rsidRPr="002B4D22">
        <w:rPr>
          <w:rFonts w:ascii="Times New Roman" w:hAnsi="Times New Roman"/>
          <w:sz w:val="26"/>
          <w:szCs w:val="26"/>
        </w:rPr>
        <w:t>FKTK norāda, ka tās skatījumā kritērijs – TUA saņemšana – ir tikai viens no faktoriem, ko klienti izvērtē, pieņemot lēmumu izvietot līdzekļus kredītiestādēs subordinēto noguldījumu veidā</w:t>
      </w:r>
      <w:r w:rsidRPr="002B4D22">
        <w:rPr>
          <w:rStyle w:val="FootnoteReference"/>
          <w:rFonts w:ascii="Times New Roman" w:hAnsi="Times New Roman"/>
          <w:sz w:val="26"/>
          <w:szCs w:val="26"/>
        </w:rPr>
        <w:footnoteReference w:id="30"/>
      </w:r>
      <w:r w:rsidRPr="002B4D22">
        <w:rPr>
          <w:rFonts w:ascii="Times New Roman" w:hAnsi="Times New Roman"/>
          <w:sz w:val="26"/>
          <w:szCs w:val="26"/>
        </w:rPr>
        <w:t xml:space="preserve">. </w:t>
      </w:r>
    </w:p>
    <w:p w:rsidR="009B10A4" w:rsidRPr="002B4D22" w:rsidRDefault="009B10A4" w:rsidP="00534DFC">
      <w:pPr>
        <w:spacing w:after="120" w:line="240" w:lineRule="auto"/>
        <w:rPr>
          <w:rFonts w:ascii="Times New Roman" w:hAnsi="Times New Roman"/>
          <w:szCs w:val="24"/>
        </w:rPr>
      </w:pPr>
    </w:p>
    <w:p w:rsidR="009B10A4" w:rsidRPr="002B4D22" w:rsidRDefault="00B62520" w:rsidP="00534DFC">
      <w:pPr>
        <w:pStyle w:val="Heading1"/>
        <w:spacing w:before="0" w:after="120" w:line="240" w:lineRule="auto"/>
        <w:rPr>
          <w:rFonts w:ascii="Times New Roman" w:hAnsi="Times New Roman"/>
          <w:color w:val="auto"/>
        </w:rPr>
      </w:pPr>
      <w:bookmarkStart w:id="29" w:name="_Toc429659170"/>
      <w:r w:rsidRPr="002B4D22">
        <w:rPr>
          <w:rFonts w:ascii="Times New Roman" w:hAnsi="Times New Roman"/>
          <w:color w:val="auto"/>
        </w:rPr>
        <w:t>10</w:t>
      </w:r>
      <w:r w:rsidR="009B10A4" w:rsidRPr="002B4D22">
        <w:rPr>
          <w:rFonts w:ascii="Times New Roman" w:hAnsi="Times New Roman"/>
          <w:color w:val="auto"/>
        </w:rPr>
        <w:t>. Ietekme uz valsts un pašvaldību budžetiem</w:t>
      </w:r>
      <w:bookmarkEnd w:id="29"/>
    </w:p>
    <w:p w:rsidR="009B10A4" w:rsidRPr="002B4D22" w:rsidRDefault="009B10A4" w:rsidP="003452FB">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Arī uz valsts budžetu ir vērtējama gan tiešā, gan pakārtotā ietekme. Tiešā ietekme ir saistīta ar visiem maksājumiem valsts budžetā, kas ir saistīta ar TUA saņemšanu. </w:t>
      </w:r>
    </w:p>
    <w:p w:rsidR="00893736" w:rsidRPr="002B4D22" w:rsidRDefault="009B10A4" w:rsidP="003452FB">
      <w:pPr>
        <w:spacing w:after="0" w:line="240" w:lineRule="auto"/>
        <w:ind w:firstLine="567"/>
        <w:jc w:val="both"/>
        <w:rPr>
          <w:rFonts w:ascii="Times New Roman" w:hAnsi="Times New Roman"/>
          <w:sz w:val="26"/>
          <w:szCs w:val="26"/>
        </w:rPr>
      </w:pPr>
      <w:r w:rsidRPr="002B4D22">
        <w:rPr>
          <w:rFonts w:ascii="Times New Roman" w:hAnsi="Times New Roman"/>
          <w:sz w:val="26"/>
          <w:szCs w:val="26"/>
        </w:rPr>
        <w:t xml:space="preserve">Iegādājoties nekustamo īpašumu no Latvijā reģistrētām juridiskām personām, kas nodarbojas ar jaunu nekustamo īpašumu attīstīšanu, </w:t>
      </w:r>
      <w:r w:rsidR="00DC1241" w:rsidRPr="002B4D22">
        <w:rPr>
          <w:rFonts w:ascii="Times New Roman" w:hAnsi="Times New Roman"/>
          <w:sz w:val="26"/>
          <w:szCs w:val="26"/>
        </w:rPr>
        <w:t>pārdodot</w:t>
      </w:r>
      <w:r w:rsidR="009C06CA" w:rsidRPr="002B4D22">
        <w:rPr>
          <w:rFonts w:ascii="Times New Roman" w:hAnsi="Times New Roman"/>
          <w:sz w:val="26"/>
          <w:szCs w:val="26"/>
        </w:rPr>
        <w:t xml:space="preserve"> </w:t>
      </w:r>
      <w:r w:rsidR="00DC1241" w:rsidRPr="002B4D22">
        <w:rPr>
          <w:rFonts w:ascii="Times New Roman" w:hAnsi="Times New Roman"/>
          <w:sz w:val="26"/>
          <w:szCs w:val="26"/>
        </w:rPr>
        <w:t xml:space="preserve">nelietotu nekustamo īpašumu vai apbūves zemi </w:t>
      </w:r>
      <w:r w:rsidRPr="002B4D22">
        <w:rPr>
          <w:rFonts w:ascii="Times New Roman" w:hAnsi="Times New Roman"/>
          <w:sz w:val="26"/>
          <w:szCs w:val="26"/>
        </w:rPr>
        <w:t xml:space="preserve">tiek </w:t>
      </w:r>
      <w:r w:rsidR="00931EB4" w:rsidRPr="002B4D22">
        <w:rPr>
          <w:rFonts w:ascii="Times New Roman" w:hAnsi="Times New Roman"/>
          <w:sz w:val="26"/>
          <w:szCs w:val="26"/>
        </w:rPr>
        <w:t>attiecināts</w:t>
      </w:r>
      <w:r w:rsidR="00DF61DA" w:rsidRPr="002B4D22">
        <w:rPr>
          <w:rFonts w:ascii="Times New Roman" w:hAnsi="Times New Roman"/>
          <w:sz w:val="26"/>
          <w:szCs w:val="26"/>
        </w:rPr>
        <w:t xml:space="preserve"> pievienotās vērtības nodoklis.</w:t>
      </w:r>
      <w:r w:rsidR="00932428" w:rsidRPr="002B4D22">
        <w:rPr>
          <w:rFonts w:ascii="Times New Roman" w:hAnsi="Times New Roman"/>
          <w:sz w:val="26"/>
          <w:szCs w:val="26"/>
        </w:rPr>
        <w:t xml:space="preserve"> </w:t>
      </w:r>
      <w:r w:rsidR="00245F10" w:rsidRPr="002B4D22">
        <w:rPr>
          <w:rFonts w:ascii="Times New Roman" w:hAnsi="Times New Roman"/>
          <w:sz w:val="26"/>
          <w:szCs w:val="26"/>
        </w:rPr>
        <w:t xml:space="preserve">Diemžēl dati par nomaksāto pievienotās vērtības nodokli nav pieejami. </w:t>
      </w:r>
      <w:r w:rsidR="00464920" w:rsidRPr="002B4D22">
        <w:rPr>
          <w:rFonts w:ascii="Times New Roman" w:hAnsi="Times New Roman"/>
          <w:sz w:val="26"/>
          <w:szCs w:val="26"/>
        </w:rPr>
        <w:t xml:space="preserve">Kopš 2014.gada 1.septembra līdz 2015.gada 30.jūnijam saistībā ar TUA no juridiskajām personām ir iegādāti nekustamie īpašumi 92,3 milj. </w:t>
      </w:r>
      <w:proofErr w:type="spellStart"/>
      <w:r w:rsidR="00464920" w:rsidRPr="002B4D22">
        <w:rPr>
          <w:rFonts w:ascii="Times New Roman" w:hAnsi="Times New Roman"/>
          <w:i/>
          <w:sz w:val="26"/>
          <w:szCs w:val="26"/>
        </w:rPr>
        <w:t>euro</w:t>
      </w:r>
      <w:proofErr w:type="spellEnd"/>
      <w:r w:rsidR="00464920" w:rsidRPr="002B4D22">
        <w:rPr>
          <w:rFonts w:ascii="Times New Roman" w:hAnsi="Times New Roman"/>
          <w:sz w:val="26"/>
          <w:szCs w:val="26"/>
        </w:rPr>
        <w:t xml:space="preserve"> apmērā</w:t>
      </w:r>
      <w:r w:rsidR="009C06CA" w:rsidRPr="002B4D22">
        <w:rPr>
          <w:rFonts w:ascii="Times New Roman" w:hAnsi="Times New Roman"/>
          <w:sz w:val="26"/>
          <w:szCs w:val="26"/>
        </w:rPr>
        <w:t>.</w:t>
      </w:r>
      <w:r w:rsidR="00464920" w:rsidRPr="002B4D22">
        <w:rPr>
          <w:rFonts w:ascii="Times New Roman" w:hAnsi="Times New Roman"/>
          <w:sz w:val="26"/>
          <w:szCs w:val="26"/>
        </w:rPr>
        <w:t xml:space="preserve"> </w:t>
      </w:r>
      <w:r w:rsidR="009C06CA" w:rsidRPr="002B4D22">
        <w:rPr>
          <w:rFonts w:ascii="Times New Roman" w:hAnsi="Times New Roman"/>
          <w:sz w:val="26"/>
          <w:szCs w:val="26"/>
        </w:rPr>
        <w:t xml:space="preserve">2015.gadā no juridiskajām personām iegādātie nekustamie īpašumi attiecīgi sastāda 21,4 milj. </w:t>
      </w:r>
      <w:proofErr w:type="spellStart"/>
      <w:r w:rsidR="009C06CA" w:rsidRPr="002B4D22">
        <w:rPr>
          <w:rFonts w:ascii="Times New Roman" w:hAnsi="Times New Roman"/>
          <w:i/>
          <w:sz w:val="26"/>
          <w:szCs w:val="26"/>
        </w:rPr>
        <w:t>euro</w:t>
      </w:r>
      <w:proofErr w:type="spellEnd"/>
      <w:r w:rsidR="00245F10" w:rsidRPr="002B4D22">
        <w:rPr>
          <w:rFonts w:ascii="Times New Roman" w:hAnsi="Times New Roman"/>
          <w:sz w:val="26"/>
          <w:szCs w:val="26"/>
        </w:rPr>
        <w:t>,</w:t>
      </w:r>
      <w:r w:rsidR="009C06CA" w:rsidRPr="002B4D22">
        <w:rPr>
          <w:rFonts w:ascii="Times New Roman" w:hAnsi="Times New Roman"/>
          <w:sz w:val="26"/>
          <w:szCs w:val="26"/>
        </w:rPr>
        <w:t xml:space="preserve"> kas ir par 79,3% mazāk nekā par tādu pašu laika periodu 2014.gadā.</w:t>
      </w:r>
    </w:p>
    <w:p w:rsidR="009B10A4" w:rsidRPr="002B4D22" w:rsidRDefault="00A618DD" w:rsidP="003452FB">
      <w:pPr>
        <w:spacing w:after="0" w:line="240" w:lineRule="auto"/>
        <w:ind w:firstLine="567"/>
        <w:jc w:val="both"/>
        <w:rPr>
          <w:rFonts w:ascii="Times New Roman" w:hAnsi="Times New Roman"/>
          <w:sz w:val="26"/>
          <w:szCs w:val="26"/>
        </w:rPr>
      </w:pPr>
      <w:r>
        <w:rPr>
          <w:rFonts w:ascii="Times New Roman" w:hAnsi="Times New Roman"/>
          <w:sz w:val="26"/>
          <w:szCs w:val="26"/>
        </w:rPr>
        <w:t>Nodevas “</w:t>
      </w:r>
      <w:r w:rsidR="000B7DF2" w:rsidRPr="002B4D22">
        <w:rPr>
          <w:rFonts w:ascii="Times New Roman" w:hAnsi="Times New Roman"/>
          <w:sz w:val="26"/>
          <w:szCs w:val="26"/>
        </w:rPr>
        <w:t xml:space="preserve">Par vīzas un uzturēšanās atļaujas pieprasīšanai nepieciešamo dokumentu izskatīšanai un ar to saistītajiem pakalpojumiem” </w:t>
      </w:r>
      <w:r w:rsidR="00AD27D1">
        <w:rPr>
          <w:rFonts w:ascii="Times New Roman" w:hAnsi="Times New Roman"/>
          <w:sz w:val="26"/>
          <w:szCs w:val="26"/>
        </w:rPr>
        <w:t xml:space="preserve">no 2010.gada 1.jūlija līdz 2015.gada 30.jūnijam </w:t>
      </w:r>
      <w:r w:rsidR="000B7DF2" w:rsidRPr="002B4D22">
        <w:rPr>
          <w:rFonts w:ascii="Times New Roman" w:hAnsi="Times New Roman"/>
          <w:sz w:val="26"/>
          <w:szCs w:val="26"/>
        </w:rPr>
        <w:t xml:space="preserve">iekasētas </w:t>
      </w:r>
      <w:r w:rsidR="00235BA8" w:rsidRPr="002B4D22">
        <w:rPr>
          <w:rFonts w:ascii="Times New Roman" w:hAnsi="Times New Roman"/>
          <w:sz w:val="26"/>
          <w:szCs w:val="26"/>
        </w:rPr>
        <w:t>4,6</w:t>
      </w:r>
      <w:r w:rsidR="00BE5948" w:rsidRPr="002B4D22">
        <w:rPr>
          <w:rFonts w:ascii="Times New Roman" w:hAnsi="Times New Roman"/>
          <w:sz w:val="26"/>
          <w:szCs w:val="26"/>
        </w:rPr>
        <w:t> </w:t>
      </w:r>
      <w:r w:rsidR="000B7DF2" w:rsidRPr="002B4D22">
        <w:rPr>
          <w:rFonts w:ascii="Times New Roman" w:hAnsi="Times New Roman"/>
          <w:sz w:val="26"/>
          <w:szCs w:val="26"/>
        </w:rPr>
        <w:t>milj.</w:t>
      </w:r>
      <w:r w:rsidR="00BE5948" w:rsidRPr="002B4D22">
        <w:rPr>
          <w:rFonts w:ascii="Times New Roman" w:hAnsi="Times New Roman"/>
          <w:sz w:val="26"/>
          <w:szCs w:val="26"/>
        </w:rPr>
        <w:t> </w:t>
      </w:r>
      <w:proofErr w:type="spellStart"/>
      <w:r w:rsidR="00C232F4" w:rsidRPr="002B4D22">
        <w:rPr>
          <w:rFonts w:ascii="Times New Roman" w:hAnsi="Times New Roman"/>
          <w:i/>
          <w:sz w:val="26"/>
          <w:szCs w:val="26"/>
        </w:rPr>
        <w:t>euro</w:t>
      </w:r>
      <w:proofErr w:type="spellEnd"/>
      <w:r w:rsidR="000B7DF2" w:rsidRPr="002B4D22">
        <w:rPr>
          <w:rFonts w:ascii="Times New Roman" w:hAnsi="Times New Roman"/>
          <w:sz w:val="26"/>
          <w:szCs w:val="26"/>
        </w:rPr>
        <w:t xml:space="preserve"> apmērā</w:t>
      </w:r>
      <w:r w:rsidR="00893736" w:rsidRPr="002B4D22">
        <w:rPr>
          <w:rFonts w:ascii="Times New Roman" w:hAnsi="Times New Roman"/>
          <w:sz w:val="26"/>
          <w:szCs w:val="26"/>
        </w:rPr>
        <w:t xml:space="preserve">, savukārt nodevas </w:t>
      </w:r>
      <w:r w:rsidR="009C06CA" w:rsidRPr="002B4D22">
        <w:rPr>
          <w:rFonts w:ascii="Times New Roman" w:hAnsi="Times New Roman"/>
          <w:sz w:val="26"/>
          <w:szCs w:val="26"/>
        </w:rPr>
        <w:t>“</w:t>
      </w:r>
      <w:r w:rsidR="00893736" w:rsidRPr="002B4D22">
        <w:rPr>
          <w:rFonts w:ascii="Times New Roman" w:hAnsi="Times New Roman"/>
          <w:sz w:val="26"/>
          <w:szCs w:val="26"/>
        </w:rPr>
        <w:t xml:space="preserve">Par īpašuma tiesību nostiprināšanu zemesgrāmatā” iekasētas </w:t>
      </w:r>
      <w:r w:rsidR="005445FD" w:rsidRPr="002B4D22">
        <w:rPr>
          <w:rFonts w:ascii="Times New Roman" w:hAnsi="Times New Roman"/>
          <w:sz w:val="26"/>
          <w:szCs w:val="26"/>
        </w:rPr>
        <w:t>21</w:t>
      </w:r>
      <w:r w:rsidR="00893736" w:rsidRPr="002B4D22">
        <w:rPr>
          <w:rFonts w:ascii="Times New Roman" w:hAnsi="Times New Roman"/>
          <w:sz w:val="26"/>
          <w:szCs w:val="26"/>
        </w:rPr>
        <w:t>,</w:t>
      </w:r>
      <w:r w:rsidR="005445FD" w:rsidRPr="002B4D22">
        <w:rPr>
          <w:rFonts w:ascii="Times New Roman" w:hAnsi="Times New Roman"/>
          <w:sz w:val="26"/>
          <w:szCs w:val="26"/>
        </w:rPr>
        <w:t>9</w:t>
      </w:r>
      <w:r w:rsidR="009C06CA" w:rsidRPr="002B4D22">
        <w:rPr>
          <w:rFonts w:ascii="Times New Roman" w:hAnsi="Times New Roman"/>
          <w:sz w:val="26"/>
          <w:szCs w:val="26"/>
        </w:rPr>
        <w:t> </w:t>
      </w:r>
      <w:r w:rsidR="00893736" w:rsidRPr="002B4D22">
        <w:rPr>
          <w:rFonts w:ascii="Times New Roman" w:hAnsi="Times New Roman"/>
          <w:sz w:val="26"/>
          <w:szCs w:val="26"/>
        </w:rPr>
        <w:t>milj.</w:t>
      </w:r>
      <w:r w:rsidR="00BE5948" w:rsidRPr="002B4D22">
        <w:rPr>
          <w:rFonts w:ascii="Times New Roman" w:hAnsi="Times New Roman"/>
          <w:sz w:val="26"/>
          <w:szCs w:val="26"/>
        </w:rPr>
        <w:t> </w:t>
      </w:r>
      <w:proofErr w:type="spellStart"/>
      <w:r w:rsidR="00C232F4" w:rsidRPr="002B4D22">
        <w:rPr>
          <w:rFonts w:ascii="Times New Roman" w:hAnsi="Times New Roman"/>
          <w:i/>
          <w:sz w:val="26"/>
          <w:szCs w:val="26"/>
        </w:rPr>
        <w:t>euro</w:t>
      </w:r>
      <w:proofErr w:type="spellEnd"/>
      <w:r w:rsidR="00893736" w:rsidRPr="002B4D22">
        <w:rPr>
          <w:rFonts w:ascii="Times New Roman" w:hAnsi="Times New Roman"/>
          <w:i/>
          <w:sz w:val="26"/>
          <w:szCs w:val="26"/>
        </w:rPr>
        <w:t xml:space="preserve"> </w:t>
      </w:r>
      <w:r w:rsidR="00893736" w:rsidRPr="002B4D22">
        <w:rPr>
          <w:rFonts w:ascii="Times New Roman" w:hAnsi="Times New Roman"/>
          <w:sz w:val="26"/>
          <w:szCs w:val="26"/>
        </w:rPr>
        <w:t>apmērā</w:t>
      </w:r>
      <w:r w:rsidR="00893736" w:rsidRPr="002B4D22">
        <w:rPr>
          <w:rStyle w:val="FootnoteReference"/>
          <w:rFonts w:ascii="Times New Roman" w:hAnsi="Times New Roman"/>
          <w:sz w:val="26"/>
          <w:szCs w:val="26"/>
        </w:rPr>
        <w:footnoteReference w:id="31"/>
      </w:r>
      <w:r w:rsidR="00822168" w:rsidRPr="002B4D22">
        <w:rPr>
          <w:rFonts w:ascii="Times New Roman" w:hAnsi="Times New Roman"/>
          <w:sz w:val="26"/>
          <w:szCs w:val="26"/>
        </w:rPr>
        <w:t>.</w:t>
      </w:r>
      <w:r w:rsidR="000B7DF2" w:rsidRPr="002B4D22">
        <w:rPr>
          <w:rFonts w:ascii="Times New Roman" w:hAnsi="Times New Roman"/>
          <w:sz w:val="26"/>
          <w:szCs w:val="26"/>
        </w:rPr>
        <w:t xml:space="preserve"> </w:t>
      </w:r>
    </w:p>
    <w:p w:rsidR="00DC207E" w:rsidRPr="002B4D22" w:rsidRDefault="009D6EB8" w:rsidP="003452FB">
      <w:pPr>
        <w:spacing w:after="0" w:line="240" w:lineRule="auto"/>
        <w:ind w:firstLine="567"/>
        <w:jc w:val="both"/>
        <w:rPr>
          <w:rFonts w:ascii="Times New Roman" w:hAnsi="Times New Roman"/>
          <w:sz w:val="26"/>
          <w:szCs w:val="26"/>
        </w:rPr>
      </w:pPr>
      <w:r w:rsidRPr="002B4D22">
        <w:rPr>
          <w:rFonts w:ascii="Times New Roman" w:hAnsi="Times New Roman"/>
          <w:sz w:val="26"/>
          <w:szCs w:val="26"/>
        </w:rPr>
        <w:t>No 2014.gada 1.septembra ārzemnieki, kas saņem uzturēšanās atļaujas saskaņā ar Imigrācijas likuma 23.panta pirmās daļas 29., 30. un 31.punktu, veic iemaksu valsts</w:t>
      </w:r>
      <w:r w:rsidR="005D2301" w:rsidRPr="002B4D22">
        <w:rPr>
          <w:rFonts w:ascii="Times New Roman" w:hAnsi="Times New Roman"/>
          <w:sz w:val="26"/>
          <w:szCs w:val="26"/>
        </w:rPr>
        <w:t xml:space="preserve"> budžetā, un tā tiek ieskaitīta </w:t>
      </w:r>
      <w:r w:rsidR="00170E8E" w:rsidRPr="002B4D22">
        <w:rPr>
          <w:rFonts w:ascii="Times New Roman" w:hAnsi="Times New Roman"/>
          <w:sz w:val="26"/>
          <w:szCs w:val="26"/>
        </w:rPr>
        <w:t>valsts pamatbudžeta programmai “</w:t>
      </w:r>
      <w:r w:rsidR="005D2301" w:rsidRPr="002B4D22">
        <w:rPr>
          <w:rFonts w:ascii="Times New Roman" w:hAnsi="Times New Roman"/>
          <w:sz w:val="26"/>
          <w:szCs w:val="26"/>
        </w:rPr>
        <w:t>Ekonomikas attīstības programma</w:t>
      </w:r>
      <w:r w:rsidR="00170E8E" w:rsidRPr="002B4D22">
        <w:rPr>
          <w:rFonts w:ascii="Times New Roman" w:hAnsi="Times New Roman"/>
          <w:sz w:val="26"/>
          <w:szCs w:val="26"/>
        </w:rPr>
        <w:t>”</w:t>
      </w:r>
      <w:r w:rsidR="005D2301" w:rsidRPr="002B4D22">
        <w:rPr>
          <w:rFonts w:ascii="Times New Roman" w:hAnsi="Times New Roman"/>
          <w:sz w:val="26"/>
          <w:szCs w:val="26"/>
        </w:rPr>
        <w:t xml:space="preserve"> atvērtajā valsts pamatbudžeta izdevumu kontā Valsts kasē. No 2014.gada </w:t>
      </w:r>
      <w:r w:rsidR="005D2301" w:rsidRPr="002B4D22">
        <w:rPr>
          <w:rFonts w:ascii="Times New Roman" w:hAnsi="Times New Roman"/>
          <w:sz w:val="26"/>
          <w:szCs w:val="26"/>
        </w:rPr>
        <w:lastRenderedPageBreak/>
        <w:t xml:space="preserve">1.septembra </w:t>
      </w:r>
      <w:r w:rsidR="0081758B" w:rsidRPr="002B4D22">
        <w:rPr>
          <w:rFonts w:ascii="Times New Roman" w:hAnsi="Times New Roman"/>
          <w:sz w:val="26"/>
          <w:szCs w:val="26"/>
        </w:rPr>
        <w:t xml:space="preserve">līdz 2014.gada 31.decembra dienas beigām valsts pamatbudžeta programmā </w:t>
      </w:r>
      <w:r w:rsidR="009C06CA" w:rsidRPr="002B4D22">
        <w:rPr>
          <w:rFonts w:ascii="Times New Roman" w:hAnsi="Times New Roman"/>
          <w:sz w:val="26"/>
          <w:szCs w:val="26"/>
        </w:rPr>
        <w:t>“</w:t>
      </w:r>
      <w:r w:rsidR="0081758B" w:rsidRPr="002B4D22">
        <w:rPr>
          <w:rFonts w:ascii="Times New Roman" w:hAnsi="Times New Roman"/>
          <w:sz w:val="26"/>
          <w:szCs w:val="26"/>
        </w:rPr>
        <w:t>Ekonomikas attīstības programma” 45 personas kopā bija iemaksājušas 830 400,05</w:t>
      </w:r>
      <w:r w:rsidR="009C06CA" w:rsidRPr="002B4D22">
        <w:rPr>
          <w:rFonts w:ascii="Times New Roman" w:hAnsi="Times New Roman"/>
          <w:sz w:val="26"/>
          <w:szCs w:val="26"/>
        </w:rPr>
        <w:t> </w:t>
      </w:r>
      <w:proofErr w:type="spellStart"/>
      <w:r w:rsidR="00C232F4" w:rsidRPr="002B4D22">
        <w:rPr>
          <w:rFonts w:ascii="Times New Roman" w:hAnsi="Times New Roman"/>
          <w:i/>
          <w:sz w:val="26"/>
          <w:szCs w:val="26"/>
        </w:rPr>
        <w:t>euro</w:t>
      </w:r>
      <w:proofErr w:type="spellEnd"/>
      <w:r w:rsidR="0081758B" w:rsidRPr="002B4D22">
        <w:rPr>
          <w:rFonts w:ascii="Times New Roman" w:hAnsi="Times New Roman"/>
          <w:sz w:val="26"/>
          <w:szCs w:val="26"/>
        </w:rPr>
        <w:t>, no kuriem Ministru kabinets ar 2015.gada 2.februāra rīkojumu Nr.54 635 295 </w:t>
      </w:r>
      <w:proofErr w:type="spellStart"/>
      <w:r w:rsidR="00C232F4" w:rsidRPr="002B4D22">
        <w:rPr>
          <w:rFonts w:ascii="Times New Roman" w:hAnsi="Times New Roman"/>
          <w:i/>
          <w:sz w:val="26"/>
          <w:szCs w:val="26"/>
        </w:rPr>
        <w:t>euro</w:t>
      </w:r>
      <w:proofErr w:type="spellEnd"/>
      <w:r w:rsidR="0081758B" w:rsidRPr="002B4D22">
        <w:rPr>
          <w:rFonts w:ascii="Times New Roman" w:hAnsi="Times New Roman"/>
          <w:sz w:val="26"/>
          <w:szCs w:val="26"/>
        </w:rPr>
        <w:t xml:space="preserve"> </w:t>
      </w:r>
      <w:r w:rsidR="009C06CA" w:rsidRPr="002B4D22">
        <w:rPr>
          <w:rFonts w:ascii="Times New Roman" w:hAnsi="Times New Roman"/>
          <w:sz w:val="26"/>
          <w:szCs w:val="26"/>
        </w:rPr>
        <w:t xml:space="preserve">novirzīja </w:t>
      </w:r>
      <w:r w:rsidR="0081758B" w:rsidRPr="002B4D22">
        <w:rPr>
          <w:rFonts w:ascii="Times New Roman" w:hAnsi="Times New Roman"/>
          <w:sz w:val="26"/>
          <w:szCs w:val="26"/>
        </w:rPr>
        <w:t>Pirmā mājokļa programmas finansēšanai un 169 855 </w:t>
      </w:r>
      <w:proofErr w:type="spellStart"/>
      <w:r w:rsidR="00C232F4" w:rsidRPr="002B4D22">
        <w:rPr>
          <w:rFonts w:ascii="Times New Roman" w:hAnsi="Times New Roman"/>
          <w:i/>
          <w:sz w:val="26"/>
          <w:szCs w:val="26"/>
        </w:rPr>
        <w:t>euro</w:t>
      </w:r>
      <w:proofErr w:type="spellEnd"/>
      <w:r w:rsidR="0081758B" w:rsidRPr="002B4D22">
        <w:rPr>
          <w:rFonts w:ascii="Times New Roman" w:hAnsi="Times New Roman"/>
          <w:sz w:val="26"/>
          <w:szCs w:val="26"/>
        </w:rPr>
        <w:t xml:space="preserve"> </w:t>
      </w:r>
      <w:r w:rsidR="009C06CA" w:rsidRPr="002B4D22">
        <w:rPr>
          <w:rFonts w:ascii="Times New Roman" w:hAnsi="Times New Roman"/>
          <w:sz w:val="26"/>
          <w:szCs w:val="26"/>
        </w:rPr>
        <w:t xml:space="preserve">– </w:t>
      </w:r>
      <w:r w:rsidR="0081758B" w:rsidRPr="002B4D22">
        <w:rPr>
          <w:rFonts w:ascii="Times New Roman" w:hAnsi="Times New Roman"/>
          <w:sz w:val="26"/>
          <w:szCs w:val="26"/>
        </w:rPr>
        <w:t>Imigrācijas likuma 23.panta pirmās daļas 28.-31.punktā paredzēto nosacījumu ieviešanai nepieciešamo pasākumu īstenošanai.</w:t>
      </w:r>
      <w:r w:rsidR="00276F60" w:rsidRPr="002B4D22">
        <w:rPr>
          <w:rFonts w:ascii="Times New Roman" w:hAnsi="Times New Roman"/>
          <w:sz w:val="26"/>
          <w:szCs w:val="26"/>
        </w:rPr>
        <w:t xml:space="preserve"> No 2015.gada 1.janvāra līdz 2015.gada 10.augusta dienas beigām valsts pamatbudžeta programmā </w:t>
      </w:r>
      <w:r w:rsidR="009C06CA" w:rsidRPr="002B4D22">
        <w:rPr>
          <w:rFonts w:ascii="Times New Roman" w:hAnsi="Times New Roman"/>
          <w:sz w:val="26"/>
          <w:szCs w:val="26"/>
        </w:rPr>
        <w:t>“</w:t>
      </w:r>
      <w:r w:rsidR="00276F60" w:rsidRPr="002B4D22">
        <w:rPr>
          <w:rFonts w:ascii="Times New Roman" w:hAnsi="Times New Roman"/>
          <w:sz w:val="26"/>
          <w:szCs w:val="26"/>
        </w:rPr>
        <w:t xml:space="preserve">Ekonomikas attīstības programma” </w:t>
      </w:r>
      <w:proofErr w:type="gramStart"/>
      <w:r w:rsidR="00DC207E" w:rsidRPr="002B4D22">
        <w:rPr>
          <w:rFonts w:ascii="Times New Roman" w:hAnsi="Times New Roman"/>
          <w:sz w:val="26"/>
          <w:szCs w:val="26"/>
        </w:rPr>
        <w:t>113 personas kopā ir iemaksājušas</w:t>
      </w:r>
      <w:proofErr w:type="gramEnd"/>
      <w:r w:rsidR="00DC207E" w:rsidRPr="002B4D22">
        <w:rPr>
          <w:rFonts w:ascii="Times New Roman" w:hAnsi="Times New Roman"/>
          <w:sz w:val="26"/>
          <w:szCs w:val="26"/>
        </w:rPr>
        <w:t xml:space="preserve"> 1 992 959,57 </w:t>
      </w:r>
      <w:proofErr w:type="spellStart"/>
      <w:r w:rsidR="00C232F4" w:rsidRPr="002B4D22">
        <w:rPr>
          <w:rFonts w:ascii="Times New Roman" w:hAnsi="Times New Roman"/>
          <w:i/>
          <w:sz w:val="26"/>
          <w:szCs w:val="26"/>
        </w:rPr>
        <w:t>euro</w:t>
      </w:r>
      <w:proofErr w:type="spellEnd"/>
      <w:r w:rsidR="00DC207E" w:rsidRPr="002B4D22">
        <w:rPr>
          <w:rFonts w:ascii="Times New Roman" w:hAnsi="Times New Roman"/>
          <w:i/>
          <w:sz w:val="26"/>
          <w:szCs w:val="26"/>
        </w:rPr>
        <w:t xml:space="preserve">. </w:t>
      </w:r>
      <w:r w:rsidR="00DC207E" w:rsidRPr="002B4D22">
        <w:rPr>
          <w:rFonts w:ascii="Times New Roman" w:hAnsi="Times New Roman"/>
          <w:sz w:val="26"/>
          <w:szCs w:val="26"/>
          <w:lang w:eastAsia="lv-LV"/>
        </w:rPr>
        <w:t xml:space="preserve">Saskaņā ar likuma </w:t>
      </w:r>
      <w:r w:rsidR="009C06CA" w:rsidRPr="002B4D22">
        <w:rPr>
          <w:rFonts w:ascii="Times New Roman" w:hAnsi="Times New Roman"/>
          <w:sz w:val="26"/>
          <w:szCs w:val="26"/>
          <w:lang w:eastAsia="lv-LV"/>
        </w:rPr>
        <w:t>“</w:t>
      </w:r>
      <w:r w:rsidR="00DC207E" w:rsidRPr="002B4D22">
        <w:rPr>
          <w:rFonts w:ascii="Times New Roman" w:hAnsi="Times New Roman"/>
          <w:sz w:val="26"/>
          <w:szCs w:val="26"/>
          <w:lang w:eastAsia="lv-LV"/>
        </w:rPr>
        <w:t xml:space="preserve">Par valsts budžetu 2015.gadam” 46.pantā noteikto Ekonomikas ministrija virza apstiprināšanai valdībā Ministru kabineta rīkojuma projektu par </w:t>
      </w:r>
      <w:r w:rsidR="00DC207E" w:rsidRPr="002B4D22">
        <w:rPr>
          <w:rFonts w:ascii="Times New Roman" w:hAnsi="Times New Roman"/>
          <w:sz w:val="26"/>
          <w:szCs w:val="26"/>
        </w:rPr>
        <w:t>1 000 000</w:t>
      </w:r>
      <w:r w:rsidR="00DC207E" w:rsidRPr="002B4D22">
        <w:rPr>
          <w:rFonts w:ascii="Times New Roman" w:hAnsi="Times New Roman"/>
          <w:sz w:val="26"/>
          <w:szCs w:val="26"/>
          <w:lang w:eastAsia="lv-LV"/>
        </w:rPr>
        <w:t> </w:t>
      </w:r>
      <w:proofErr w:type="spellStart"/>
      <w:r w:rsidR="00C232F4" w:rsidRPr="002B4D22">
        <w:rPr>
          <w:rFonts w:ascii="Times New Roman" w:hAnsi="Times New Roman"/>
          <w:i/>
          <w:sz w:val="26"/>
          <w:szCs w:val="26"/>
          <w:lang w:eastAsia="lv-LV"/>
        </w:rPr>
        <w:t>euro</w:t>
      </w:r>
      <w:proofErr w:type="spellEnd"/>
      <w:r w:rsidR="00DC207E" w:rsidRPr="002B4D22">
        <w:rPr>
          <w:rFonts w:ascii="Times New Roman" w:hAnsi="Times New Roman"/>
          <w:i/>
          <w:sz w:val="26"/>
          <w:szCs w:val="26"/>
          <w:lang w:eastAsia="lv-LV"/>
        </w:rPr>
        <w:t xml:space="preserve"> </w:t>
      </w:r>
      <w:r w:rsidR="00DC207E" w:rsidRPr="002B4D22">
        <w:rPr>
          <w:rFonts w:ascii="Times New Roman" w:hAnsi="Times New Roman"/>
          <w:sz w:val="26"/>
          <w:szCs w:val="26"/>
        </w:rPr>
        <w:t>novirzīšanu Pirmā mājokļa programmas finansēšanai, jo iepriekš piešķirtie finanšu līdzekļi galvojumu sniegšanai pēc provizoriskiem aprēķiniem tiks apgūti 2015.gada septembra sākumā.</w:t>
      </w:r>
    </w:p>
    <w:p w:rsidR="009B10A4" w:rsidRPr="002B4D22" w:rsidRDefault="009B10A4" w:rsidP="003452FB">
      <w:pPr>
        <w:spacing w:after="0" w:line="240" w:lineRule="auto"/>
        <w:ind w:firstLine="567"/>
        <w:jc w:val="both"/>
        <w:rPr>
          <w:rFonts w:ascii="Times New Roman" w:hAnsi="Times New Roman"/>
          <w:sz w:val="26"/>
          <w:szCs w:val="26"/>
        </w:rPr>
      </w:pPr>
      <w:bookmarkStart w:id="30" w:name="_Toc340050961"/>
      <w:r w:rsidRPr="002B4D22">
        <w:rPr>
          <w:rFonts w:ascii="Times New Roman" w:hAnsi="Times New Roman"/>
          <w:sz w:val="26"/>
          <w:szCs w:val="26"/>
        </w:rPr>
        <w:t>Saskaņā ar pašvaldību sniegto informāciju</w:t>
      </w:r>
      <w:r w:rsidR="006108D8" w:rsidRPr="002B4D22">
        <w:rPr>
          <w:rFonts w:ascii="Times New Roman" w:hAnsi="Times New Roman"/>
          <w:sz w:val="26"/>
          <w:szCs w:val="26"/>
        </w:rPr>
        <w:t xml:space="preserve"> Ekonomikas ministrijai</w:t>
      </w:r>
      <w:r w:rsidR="00541B7E" w:rsidRPr="002B4D22">
        <w:rPr>
          <w:rFonts w:ascii="Times New Roman" w:hAnsi="Times New Roman"/>
          <w:sz w:val="26"/>
          <w:szCs w:val="26"/>
        </w:rPr>
        <w:t xml:space="preserve"> (1</w:t>
      </w:r>
      <w:r w:rsidR="002D4241" w:rsidRPr="002B4D22">
        <w:rPr>
          <w:rFonts w:ascii="Times New Roman" w:hAnsi="Times New Roman"/>
          <w:sz w:val="26"/>
          <w:szCs w:val="26"/>
        </w:rPr>
        <w:t>1</w:t>
      </w:r>
      <w:r w:rsidR="00541B7E" w:rsidRPr="002B4D22">
        <w:rPr>
          <w:rFonts w:ascii="Times New Roman" w:hAnsi="Times New Roman"/>
          <w:sz w:val="26"/>
          <w:szCs w:val="26"/>
        </w:rPr>
        <w:t xml:space="preserve"> pašvaldības ar lielāko TUA pieteicēju darījumu skaitu</w:t>
      </w:r>
      <w:r w:rsidR="00935DF3" w:rsidRPr="002B4D22">
        <w:rPr>
          <w:rFonts w:ascii="Times New Roman" w:hAnsi="Times New Roman"/>
          <w:sz w:val="26"/>
          <w:szCs w:val="26"/>
        </w:rPr>
        <w:t xml:space="preserve"> saistībā ar nekustamā īpašuma iegādi</w:t>
      </w:r>
      <w:r w:rsidR="00541B7E" w:rsidRPr="002B4D22">
        <w:rPr>
          <w:rFonts w:ascii="Times New Roman" w:hAnsi="Times New Roman"/>
          <w:sz w:val="26"/>
          <w:szCs w:val="26"/>
        </w:rPr>
        <w:t>)</w:t>
      </w:r>
      <w:r w:rsidRPr="002B4D22">
        <w:rPr>
          <w:rFonts w:ascii="Times New Roman" w:hAnsi="Times New Roman"/>
          <w:sz w:val="26"/>
          <w:szCs w:val="26"/>
        </w:rPr>
        <w:t xml:space="preserve">, izriet, ka nerezidenti – TUA pieteicēji nekustamā īpašuma nodokļa veidā </w:t>
      </w:r>
      <w:r w:rsidR="00CF37B9" w:rsidRPr="002B4D22">
        <w:rPr>
          <w:rFonts w:ascii="Times New Roman" w:hAnsi="Times New Roman"/>
          <w:sz w:val="26"/>
          <w:szCs w:val="26"/>
        </w:rPr>
        <w:t>201</w:t>
      </w:r>
      <w:r w:rsidR="00952EBD" w:rsidRPr="002B4D22">
        <w:rPr>
          <w:rFonts w:ascii="Times New Roman" w:hAnsi="Times New Roman"/>
          <w:sz w:val="26"/>
          <w:szCs w:val="26"/>
        </w:rPr>
        <w:t>4</w:t>
      </w:r>
      <w:r w:rsidR="00CF37B9" w:rsidRPr="002B4D22">
        <w:rPr>
          <w:rFonts w:ascii="Times New Roman" w:hAnsi="Times New Roman"/>
          <w:sz w:val="26"/>
          <w:szCs w:val="26"/>
        </w:rPr>
        <w:t xml:space="preserve">.gadā </w:t>
      </w:r>
      <w:r w:rsidRPr="002B4D22">
        <w:rPr>
          <w:rFonts w:ascii="Times New Roman" w:hAnsi="Times New Roman"/>
          <w:sz w:val="26"/>
          <w:szCs w:val="26"/>
        </w:rPr>
        <w:t>pašvaldību budžetos iemaksā</w:t>
      </w:r>
      <w:r w:rsidR="00CF37B9" w:rsidRPr="002B4D22">
        <w:rPr>
          <w:rFonts w:ascii="Times New Roman" w:hAnsi="Times New Roman"/>
          <w:sz w:val="26"/>
          <w:szCs w:val="26"/>
        </w:rPr>
        <w:t>ja</w:t>
      </w:r>
      <w:r w:rsidRPr="002B4D22">
        <w:rPr>
          <w:rFonts w:ascii="Times New Roman" w:hAnsi="Times New Roman"/>
          <w:sz w:val="26"/>
          <w:szCs w:val="26"/>
        </w:rPr>
        <w:t xml:space="preserve"> </w:t>
      </w:r>
      <w:r w:rsidR="00952EBD" w:rsidRPr="002B4D22">
        <w:rPr>
          <w:rFonts w:ascii="Times New Roman" w:hAnsi="Times New Roman"/>
          <w:sz w:val="26"/>
          <w:szCs w:val="26"/>
        </w:rPr>
        <w:t>1,2 milj</w:t>
      </w:r>
      <w:r w:rsidR="00822168"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00822168" w:rsidRPr="002B4D22">
        <w:rPr>
          <w:rFonts w:ascii="Times New Roman" w:hAnsi="Times New Roman"/>
          <w:sz w:val="26"/>
          <w:szCs w:val="26"/>
        </w:rPr>
        <w:t>.</w:t>
      </w:r>
    </w:p>
    <w:p w:rsidR="0016704B" w:rsidRDefault="002D4DF8" w:rsidP="0016704B">
      <w:pPr>
        <w:spacing w:after="0" w:line="240" w:lineRule="auto"/>
        <w:ind w:firstLine="567"/>
        <w:jc w:val="both"/>
        <w:rPr>
          <w:rFonts w:ascii="Times New Roman" w:hAnsi="Times New Roman"/>
          <w:sz w:val="26"/>
          <w:szCs w:val="26"/>
        </w:rPr>
      </w:pPr>
      <w:r w:rsidRPr="002B4D22">
        <w:rPr>
          <w:rFonts w:ascii="Times New Roman" w:hAnsi="Times New Roman"/>
          <w:sz w:val="26"/>
          <w:szCs w:val="26"/>
        </w:rPr>
        <w:t>VID</w:t>
      </w:r>
      <w:r w:rsidR="009B10A4" w:rsidRPr="002B4D22">
        <w:rPr>
          <w:rFonts w:ascii="Times New Roman" w:hAnsi="Times New Roman"/>
          <w:sz w:val="26"/>
          <w:szCs w:val="26"/>
        </w:rPr>
        <w:t xml:space="preserve"> dati par ar TUA pieteicējiem saistīto </w:t>
      </w:r>
      <w:r w:rsidR="00DC1241" w:rsidRPr="002B4D22">
        <w:rPr>
          <w:rFonts w:ascii="Times New Roman" w:hAnsi="Times New Roman"/>
          <w:sz w:val="26"/>
          <w:szCs w:val="26"/>
        </w:rPr>
        <w:t>uzņēmumu</w:t>
      </w:r>
      <w:r w:rsidRPr="002B4D22">
        <w:rPr>
          <w:rFonts w:ascii="Times New Roman" w:hAnsi="Times New Roman"/>
          <w:sz w:val="26"/>
          <w:szCs w:val="26"/>
        </w:rPr>
        <w:t xml:space="preserve">, kuros apstiprinātā TUA pieteikuma iesniedzējs </w:t>
      </w:r>
      <w:r w:rsidR="009B10A4" w:rsidRPr="002B4D22">
        <w:rPr>
          <w:rFonts w:ascii="Times New Roman" w:hAnsi="Times New Roman"/>
          <w:sz w:val="26"/>
          <w:szCs w:val="26"/>
        </w:rPr>
        <w:t>ieņem amatu vai ir kapitāla daļu turētājs, nomaksātajiem nodokļiem saistībā ar veikto</w:t>
      </w:r>
      <w:r w:rsidR="00104DC0" w:rsidRPr="002B4D22">
        <w:rPr>
          <w:rFonts w:ascii="Times New Roman" w:hAnsi="Times New Roman"/>
          <w:sz w:val="26"/>
          <w:szCs w:val="26"/>
        </w:rPr>
        <w:t xml:space="preserve"> saimniecisko darbību apkopoti </w:t>
      </w:r>
      <w:r w:rsidR="00D252E6">
        <w:rPr>
          <w:rFonts w:ascii="Times New Roman" w:hAnsi="Times New Roman"/>
          <w:sz w:val="26"/>
          <w:szCs w:val="26"/>
        </w:rPr>
        <w:t>3</w:t>
      </w:r>
      <w:r w:rsidR="009B10A4" w:rsidRPr="002B4D22">
        <w:rPr>
          <w:rFonts w:ascii="Times New Roman" w:hAnsi="Times New Roman"/>
          <w:sz w:val="26"/>
          <w:szCs w:val="26"/>
        </w:rPr>
        <w:t xml:space="preserve">.tabulā. Redzams, ka </w:t>
      </w:r>
      <w:r w:rsidR="00DC1241" w:rsidRPr="002B4D22">
        <w:rPr>
          <w:rFonts w:ascii="Times New Roman" w:hAnsi="Times New Roman"/>
          <w:sz w:val="26"/>
          <w:szCs w:val="26"/>
        </w:rPr>
        <w:t>šajos uzņēmumos</w:t>
      </w:r>
      <w:r w:rsidR="00FC55C8" w:rsidRPr="002B4D22">
        <w:rPr>
          <w:rFonts w:ascii="Times New Roman" w:hAnsi="Times New Roman"/>
          <w:sz w:val="26"/>
          <w:szCs w:val="26"/>
        </w:rPr>
        <w:t xml:space="preserve"> 2013.gadā</w:t>
      </w:r>
      <w:r w:rsidR="009B10A4" w:rsidRPr="002B4D22">
        <w:rPr>
          <w:rFonts w:ascii="Times New Roman" w:hAnsi="Times New Roman"/>
          <w:sz w:val="26"/>
          <w:szCs w:val="26"/>
        </w:rPr>
        <w:t xml:space="preserve"> tika nomaksāts iedzīvotāju ienākuma nodoklis </w:t>
      </w:r>
      <w:r w:rsidR="00FC55C8" w:rsidRPr="002B4D22">
        <w:rPr>
          <w:rFonts w:ascii="Times New Roman" w:hAnsi="Times New Roman"/>
          <w:sz w:val="26"/>
          <w:szCs w:val="26"/>
        </w:rPr>
        <w:t>gandrīz 35</w:t>
      </w:r>
      <w:r w:rsidR="009B10A4"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9B10A4" w:rsidRPr="002B4D22">
        <w:rPr>
          <w:rFonts w:ascii="Times New Roman" w:hAnsi="Times New Roman"/>
          <w:sz w:val="26"/>
          <w:szCs w:val="26"/>
        </w:rPr>
        <w:t xml:space="preserve"> apmērā un vei</w:t>
      </w:r>
      <w:r w:rsidR="00C752FF" w:rsidRPr="002B4D22">
        <w:rPr>
          <w:rFonts w:ascii="Times New Roman" w:hAnsi="Times New Roman"/>
          <w:sz w:val="26"/>
          <w:szCs w:val="26"/>
        </w:rPr>
        <w:t>ktas</w:t>
      </w:r>
      <w:r w:rsidR="009B10A4" w:rsidRPr="002B4D22">
        <w:rPr>
          <w:rFonts w:ascii="Times New Roman" w:hAnsi="Times New Roman"/>
          <w:sz w:val="26"/>
          <w:szCs w:val="26"/>
        </w:rPr>
        <w:t xml:space="preserve"> sociālās apdrošināšanas iemaksas </w:t>
      </w:r>
      <w:r w:rsidR="00FC55C8" w:rsidRPr="002B4D22">
        <w:rPr>
          <w:rFonts w:ascii="Times New Roman" w:hAnsi="Times New Roman"/>
          <w:sz w:val="26"/>
          <w:szCs w:val="26"/>
        </w:rPr>
        <w:t>57</w:t>
      </w:r>
      <w:r w:rsidR="009B10A4"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9B10A4" w:rsidRPr="002B4D22">
        <w:rPr>
          <w:rFonts w:ascii="Times New Roman" w:hAnsi="Times New Roman"/>
          <w:sz w:val="26"/>
          <w:szCs w:val="26"/>
        </w:rPr>
        <w:t xml:space="preserve"> apmērā, kas veidoja caurmērā </w:t>
      </w:r>
      <w:r w:rsidR="00FC55C8" w:rsidRPr="002B4D22">
        <w:rPr>
          <w:rFonts w:ascii="Times New Roman" w:hAnsi="Times New Roman"/>
          <w:sz w:val="26"/>
          <w:szCs w:val="26"/>
        </w:rPr>
        <w:t>2,6% no kopējā attiecīgā</w:t>
      </w:r>
      <w:r w:rsidR="002E55D0" w:rsidRPr="002B4D22">
        <w:rPr>
          <w:rFonts w:ascii="Times New Roman" w:hAnsi="Times New Roman"/>
          <w:sz w:val="26"/>
          <w:szCs w:val="26"/>
        </w:rPr>
        <w:t xml:space="preserve"> nodokļa ieņēmumiem </w:t>
      </w:r>
      <w:r w:rsidR="009B10A4" w:rsidRPr="002B4D22">
        <w:rPr>
          <w:rFonts w:ascii="Times New Roman" w:hAnsi="Times New Roman"/>
          <w:sz w:val="26"/>
          <w:szCs w:val="26"/>
        </w:rPr>
        <w:t xml:space="preserve">valstī. </w:t>
      </w: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16704B" w:rsidRDefault="0016704B" w:rsidP="0016704B">
      <w:pPr>
        <w:spacing w:after="0" w:line="240" w:lineRule="auto"/>
        <w:ind w:firstLine="567"/>
        <w:jc w:val="both"/>
        <w:rPr>
          <w:rFonts w:ascii="Times New Roman" w:hAnsi="Times New Roman"/>
          <w:sz w:val="26"/>
          <w:szCs w:val="26"/>
        </w:rPr>
      </w:pPr>
    </w:p>
    <w:p w:rsidR="009B10A4" w:rsidRDefault="00B40419" w:rsidP="0016704B">
      <w:pPr>
        <w:spacing w:after="0" w:line="240" w:lineRule="auto"/>
        <w:ind w:firstLine="567"/>
        <w:jc w:val="right"/>
        <w:rPr>
          <w:rFonts w:ascii="Times New Roman" w:hAnsi="Times New Roman"/>
          <w:sz w:val="26"/>
          <w:szCs w:val="26"/>
        </w:rPr>
      </w:pPr>
      <w:r>
        <w:rPr>
          <w:rFonts w:ascii="Times New Roman" w:hAnsi="Times New Roman"/>
          <w:sz w:val="26"/>
          <w:szCs w:val="26"/>
        </w:rPr>
        <w:lastRenderedPageBreak/>
        <w:t>3</w:t>
      </w:r>
      <w:r w:rsidR="009B10A4" w:rsidRPr="002B4D22">
        <w:rPr>
          <w:rFonts w:ascii="Times New Roman" w:hAnsi="Times New Roman"/>
          <w:sz w:val="26"/>
          <w:szCs w:val="26"/>
        </w:rPr>
        <w:t>.tabula</w:t>
      </w:r>
    </w:p>
    <w:p w:rsidR="0016704B" w:rsidRPr="002B4D22" w:rsidRDefault="0016704B" w:rsidP="0016704B">
      <w:pPr>
        <w:spacing w:after="0" w:line="240" w:lineRule="auto"/>
        <w:ind w:firstLine="567"/>
        <w:jc w:val="right"/>
        <w:rPr>
          <w:rFonts w:ascii="Times New Roman" w:hAnsi="Times New Roman"/>
          <w:sz w:val="26"/>
          <w:szCs w:val="26"/>
        </w:rPr>
      </w:pPr>
    </w:p>
    <w:p w:rsidR="009B10A4" w:rsidRPr="002B4D22" w:rsidRDefault="009B10A4" w:rsidP="00534DFC">
      <w:pPr>
        <w:keepNext/>
        <w:spacing w:after="120" w:line="240" w:lineRule="auto"/>
        <w:jc w:val="center"/>
        <w:rPr>
          <w:rFonts w:ascii="Times New Roman" w:hAnsi="Times New Roman"/>
          <w:b/>
          <w:sz w:val="26"/>
          <w:szCs w:val="26"/>
        </w:rPr>
      </w:pPr>
      <w:r w:rsidRPr="002B4D22">
        <w:rPr>
          <w:rFonts w:ascii="Times New Roman" w:hAnsi="Times New Roman"/>
          <w:b/>
          <w:sz w:val="24"/>
          <w:szCs w:val="24"/>
        </w:rPr>
        <w:t xml:space="preserve">Ar TUA pieteicējiem saistīto </w:t>
      </w:r>
      <w:r w:rsidR="00DC1241" w:rsidRPr="002B4D22">
        <w:rPr>
          <w:rFonts w:ascii="Times New Roman" w:hAnsi="Times New Roman"/>
          <w:b/>
          <w:sz w:val="24"/>
          <w:szCs w:val="24"/>
        </w:rPr>
        <w:t>uzņēmumu</w:t>
      </w:r>
      <w:r w:rsidR="005E157A" w:rsidRPr="002B4D22">
        <w:rPr>
          <w:rFonts w:ascii="Times New Roman" w:hAnsi="Times New Roman"/>
          <w:b/>
          <w:sz w:val="24"/>
          <w:szCs w:val="24"/>
        </w:rPr>
        <w:t xml:space="preserve"> (pieder īpašumtiesību daļas)</w:t>
      </w:r>
      <w:r w:rsidR="00DC1241" w:rsidRPr="002B4D22">
        <w:rPr>
          <w:rFonts w:ascii="Times New Roman" w:hAnsi="Times New Roman"/>
          <w:b/>
          <w:sz w:val="24"/>
          <w:szCs w:val="24"/>
        </w:rPr>
        <w:t xml:space="preserve"> </w:t>
      </w:r>
      <w:r w:rsidRPr="002B4D22">
        <w:rPr>
          <w:rFonts w:ascii="Times New Roman" w:hAnsi="Times New Roman"/>
          <w:b/>
          <w:sz w:val="24"/>
          <w:szCs w:val="24"/>
        </w:rPr>
        <w:t>nomaksātie</w:t>
      </w:r>
      <w:r w:rsidRPr="002B4D22">
        <w:rPr>
          <w:rFonts w:ascii="Times New Roman" w:hAnsi="Times New Roman"/>
          <w:b/>
          <w:sz w:val="26"/>
          <w:szCs w:val="26"/>
        </w:rPr>
        <w:t xml:space="preserve"> </w:t>
      </w:r>
      <w:r w:rsidRPr="002B4D22">
        <w:rPr>
          <w:rFonts w:ascii="Times New Roman" w:hAnsi="Times New Roman"/>
          <w:b/>
          <w:sz w:val="24"/>
          <w:szCs w:val="24"/>
        </w:rPr>
        <w:t>nodokļi</w:t>
      </w:r>
    </w:p>
    <w:tbl>
      <w:tblPr>
        <w:tblW w:w="9571" w:type="dxa"/>
        <w:tblLayout w:type="fixed"/>
        <w:tblLook w:val="00A0"/>
      </w:tblPr>
      <w:tblGrid>
        <w:gridCol w:w="2660"/>
        <w:gridCol w:w="1134"/>
        <w:gridCol w:w="1172"/>
        <w:gridCol w:w="1210"/>
        <w:gridCol w:w="1303"/>
        <w:gridCol w:w="885"/>
        <w:gridCol w:w="1207"/>
      </w:tblGrid>
      <w:tr w:rsidR="00CA1C25" w:rsidRPr="002B4D22" w:rsidTr="00CA1C25">
        <w:trPr>
          <w:trHeight w:val="315"/>
        </w:trPr>
        <w:tc>
          <w:tcPr>
            <w:tcW w:w="2660" w:type="dxa"/>
            <w:tcBorders>
              <w:top w:val="single" w:sz="8" w:space="0" w:color="auto"/>
              <w:bottom w:val="single" w:sz="4" w:space="0" w:color="auto"/>
            </w:tcBorders>
            <w:shd w:val="clear" w:color="auto" w:fill="auto"/>
            <w:noWrap/>
            <w:vAlign w:val="center"/>
          </w:tcPr>
          <w:p w:rsidR="00CA1C25" w:rsidRPr="002B4D22" w:rsidRDefault="00CA1C25" w:rsidP="00534DFC">
            <w:pPr>
              <w:keepNext/>
              <w:spacing w:after="120" w:line="240" w:lineRule="auto"/>
              <w:jc w:val="center"/>
              <w:rPr>
                <w:rFonts w:ascii="Times New Roman" w:hAnsi="Times New Roman"/>
                <w:b/>
                <w:bCs/>
                <w:lang w:eastAsia="zh-CN"/>
              </w:rPr>
            </w:pPr>
          </w:p>
        </w:tc>
        <w:tc>
          <w:tcPr>
            <w:tcW w:w="3516" w:type="dxa"/>
            <w:gridSpan w:val="3"/>
            <w:tcBorders>
              <w:top w:val="single" w:sz="8" w:space="0" w:color="auto"/>
              <w:bottom w:val="single" w:sz="4" w:space="0" w:color="auto"/>
            </w:tcBorders>
            <w:shd w:val="clear" w:color="auto" w:fill="auto"/>
            <w:noWrap/>
            <w:vAlign w:val="center"/>
          </w:tcPr>
          <w:p w:rsidR="00CA1C25" w:rsidRPr="002B4D22" w:rsidRDefault="00DC1241" w:rsidP="00534DFC">
            <w:pPr>
              <w:keepNext/>
              <w:spacing w:after="120" w:line="240" w:lineRule="auto"/>
              <w:jc w:val="center"/>
              <w:rPr>
                <w:rFonts w:ascii="Times New Roman" w:hAnsi="Times New Roman"/>
                <w:b/>
                <w:bCs/>
                <w:lang w:eastAsia="zh-CN"/>
              </w:rPr>
            </w:pPr>
            <w:r w:rsidRPr="002B4D22">
              <w:rPr>
                <w:rFonts w:ascii="Times New Roman" w:hAnsi="Times New Roman"/>
                <w:b/>
                <w:szCs w:val="26"/>
                <w:lang w:eastAsia="zh-CN"/>
              </w:rPr>
              <w:t>Uzņēmumu</w:t>
            </w:r>
            <w:r w:rsidRPr="002B4D22">
              <w:rPr>
                <w:rFonts w:ascii="Times New Roman" w:hAnsi="Times New Roman"/>
                <w:b/>
                <w:bCs/>
                <w:lang w:eastAsia="zh-CN"/>
              </w:rPr>
              <w:t xml:space="preserve"> </w:t>
            </w:r>
            <w:r w:rsidR="00CA1C25" w:rsidRPr="002B4D22">
              <w:rPr>
                <w:rFonts w:ascii="Times New Roman" w:hAnsi="Times New Roman"/>
                <w:b/>
                <w:lang w:eastAsia="zh-CN"/>
              </w:rPr>
              <w:t xml:space="preserve">nomaksātie nodokļi, tūkst. </w:t>
            </w:r>
            <w:proofErr w:type="spellStart"/>
            <w:r w:rsidR="00C232F4" w:rsidRPr="002B4D22">
              <w:rPr>
                <w:rFonts w:ascii="Times New Roman" w:hAnsi="Times New Roman"/>
                <w:b/>
                <w:i/>
                <w:lang w:eastAsia="zh-CN"/>
              </w:rPr>
              <w:t>euro</w:t>
            </w:r>
            <w:proofErr w:type="spellEnd"/>
          </w:p>
        </w:tc>
        <w:tc>
          <w:tcPr>
            <w:tcW w:w="3395" w:type="dxa"/>
            <w:gridSpan w:val="3"/>
            <w:tcBorders>
              <w:top w:val="single" w:sz="8" w:space="0" w:color="auto"/>
              <w:bottom w:val="single" w:sz="4" w:space="0" w:color="auto"/>
            </w:tcBorders>
            <w:shd w:val="clear" w:color="auto" w:fill="auto"/>
            <w:noWrap/>
            <w:vAlign w:val="center"/>
          </w:tcPr>
          <w:p w:rsidR="00CA1C25" w:rsidRPr="002B4D22" w:rsidRDefault="00CA1C25" w:rsidP="00534DFC">
            <w:pPr>
              <w:keepNext/>
              <w:spacing w:after="120" w:line="240" w:lineRule="auto"/>
              <w:jc w:val="center"/>
              <w:rPr>
                <w:rFonts w:ascii="Times New Roman" w:hAnsi="Times New Roman"/>
                <w:b/>
                <w:bCs/>
                <w:lang w:eastAsia="zh-CN"/>
              </w:rPr>
            </w:pPr>
            <w:r w:rsidRPr="002B4D22">
              <w:rPr>
                <w:rFonts w:ascii="Times New Roman" w:hAnsi="Times New Roman"/>
                <w:b/>
                <w:lang w:eastAsia="zh-CN"/>
              </w:rPr>
              <w:t>% no kopējiem attiecīgā nodokļa ieņēmumiem valsts kopbudžetā</w:t>
            </w:r>
          </w:p>
        </w:tc>
      </w:tr>
      <w:tr w:rsidR="005E157A" w:rsidRPr="002B4D22" w:rsidTr="000855F8">
        <w:trPr>
          <w:trHeight w:val="315"/>
        </w:trPr>
        <w:tc>
          <w:tcPr>
            <w:tcW w:w="2660" w:type="dxa"/>
            <w:tcBorders>
              <w:top w:val="single" w:sz="4" w:space="0" w:color="auto"/>
              <w:left w:val="nil"/>
              <w:bottom w:val="single" w:sz="4" w:space="0" w:color="auto"/>
              <w:right w:val="nil"/>
            </w:tcBorders>
            <w:shd w:val="clear" w:color="000000" w:fill="D9D9D9"/>
            <w:noWrap/>
            <w:vAlign w:val="center"/>
          </w:tcPr>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 </w:t>
            </w:r>
          </w:p>
        </w:tc>
        <w:tc>
          <w:tcPr>
            <w:tcW w:w="1134" w:type="dxa"/>
            <w:tcBorders>
              <w:top w:val="single" w:sz="4" w:space="0" w:color="auto"/>
              <w:left w:val="nil"/>
              <w:bottom w:val="single" w:sz="4" w:space="0" w:color="auto"/>
              <w:right w:val="nil"/>
            </w:tcBorders>
            <w:shd w:val="clear" w:color="000000" w:fill="D9D9D9"/>
            <w:noWrap/>
            <w:vAlign w:val="center"/>
          </w:tcPr>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2013</w:t>
            </w:r>
          </w:p>
        </w:tc>
        <w:tc>
          <w:tcPr>
            <w:tcW w:w="1172" w:type="dxa"/>
            <w:tcBorders>
              <w:top w:val="single" w:sz="4" w:space="0" w:color="auto"/>
              <w:left w:val="nil"/>
              <w:bottom w:val="single" w:sz="4" w:space="0" w:color="auto"/>
              <w:right w:val="nil"/>
            </w:tcBorders>
            <w:shd w:val="clear" w:color="000000" w:fill="D9D9D9"/>
            <w:noWrap/>
            <w:vAlign w:val="center"/>
          </w:tcPr>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2014</w:t>
            </w:r>
          </w:p>
        </w:tc>
        <w:tc>
          <w:tcPr>
            <w:tcW w:w="1210" w:type="dxa"/>
            <w:tcBorders>
              <w:top w:val="single" w:sz="4" w:space="0" w:color="auto"/>
              <w:left w:val="nil"/>
              <w:bottom w:val="single" w:sz="4" w:space="0" w:color="auto"/>
              <w:right w:val="nil"/>
            </w:tcBorders>
            <w:shd w:val="clear" w:color="000000" w:fill="D9D9D9"/>
            <w:vAlign w:val="center"/>
          </w:tcPr>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 xml:space="preserve">2015 </w:t>
            </w:r>
          </w:p>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1.pusgads</w:t>
            </w:r>
          </w:p>
        </w:tc>
        <w:tc>
          <w:tcPr>
            <w:tcW w:w="1303" w:type="dxa"/>
            <w:tcBorders>
              <w:top w:val="single" w:sz="4" w:space="0" w:color="auto"/>
              <w:left w:val="nil"/>
              <w:bottom w:val="single" w:sz="4" w:space="0" w:color="auto"/>
              <w:right w:val="nil"/>
            </w:tcBorders>
            <w:shd w:val="clear" w:color="000000" w:fill="D9D9D9"/>
            <w:noWrap/>
            <w:vAlign w:val="center"/>
          </w:tcPr>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2013</w:t>
            </w:r>
          </w:p>
        </w:tc>
        <w:tc>
          <w:tcPr>
            <w:tcW w:w="885" w:type="dxa"/>
            <w:tcBorders>
              <w:top w:val="single" w:sz="4" w:space="0" w:color="auto"/>
              <w:left w:val="nil"/>
              <w:bottom w:val="single" w:sz="4" w:space="0" w:color="auto"/>
              <w:right w:val="nil"/>
            </w:tcBorders>
            <w:shd w:val="clear" w:color="000000" w:fill="D9D9D9"/>
            <w:noWrap/>
            <w:vAlign w:val="center"/>
          </w:tcPr>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2014</w:t>
            </w:r>
          </w:p>
        </w:tc>
        <w:tc>
          <w:tcPr>
            <w:tcW w:w="1207" w:type="dxa"/>
            <w:tcBorders>
              <w:top w:val="single" w:sz="4" w:space="0" w:color="auto"/>
              <w:left w:val="nil"/>
              <w:bottom w:val="single" w:sz="4" w:space="0" w:color="auto"/>
              <w:right w:val="nil"/>
            </w:tcBorders>
            <w:shd w:val="clear" w:color="000000" w:fill="D9D9D9"/>
            <w:vAlign w:val="center"/>
          </w:tcPr>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 xml:space="preserve">2015 </w:t>
            </w:r>
          </w:p>
          <w:p w:rsidR="005E157A" w:rsidRPr="002B4D22" w:rsidRDefault="005E157A" w:rsidP="005E157A">
            <w:pPr>
              <w:keepNext/>
              <w:spacing w:after="120" w:line="240" w:lineRule="auto"/>
              <w:jc w:val="center"/>
              <w:rPr>
                <w:rFonts w:ascii="Times New Roman" w:hAnsi="Times New Roman"/>
                <w:b/>
                <w:bCs/>
                <w:lang w:eastAsia="zh-CN"/>
              </w:rPr>
            </w:pPr>
            <w:r w:rsidRPr="002B4D22">
              <w:rPr>
                <w:rFonts w:ascii="Times New Roman" w:hAnsi="Times New Roman"/>
                <w:b/>
                <w:bCs/>
                <w:lang w:eastAsia="zh-CN"/>
              </w:rPr>
              <w:t>1.pusgads</w:t>
            </w:r>
          </w:p>
        </w:tc>
      </w:tr>
      <w:tr w:rsidR="00C7329C" w:rsidRPr="002B4D22" w:rsidTr="000855F8">
        <w:trPr>
          <w:trHeight w:val="492"/>
        </w:trPr>
        <w:tc>
          <w:tcPr>
            <w:tcW w:w="2660" w:type="dxa"/>
            <w:tcBorders>
              <w:top w:val="single" w:sz="4" w:space="0" w:color="auto"/>
              <w:left w:val="nil"/>
              <w:bottom w:val="nil"/>
            </w:tcBorders>
            <w:shd w:val="clear" w:color="000000" w:fill="FFFFFF"/>
            <w:noWrap/>
            <w:vAlign w:val="center"/>
          </w:tcPr>
          <w:p w:rsidR="00C7329C" w:rsidRPr="002B4D22" w:rsidRDefault="00C7329C" w:rsidP="00C7329C">
            <w:pPr>
              <w:keepNext/>
              <w:spacing w:after="120" w:line="240" w:lineRule="auto"/>
              <w:rPr>
                <w:rFonts w:ascii="Times New Roman" w:hAnsi="Times New Roman"/>
                <w:lang w:eastAsia="zh-CN"/>
              </w:rPr>
            </w:pPr>
            <w:r w:rsidRPr="002B4D22">
              <w:rPr>
                <w:rFonts w:ascii="Times New Roman" w:hAnsi="Times New Roman"/>
                <w:lang w:eastAsia="zh-CN"/>
              </w:rPr>
              <w:t>Uzņēmumu ienākuma nodoklis</w:t>
            </w:r>
          </w:p>
        </w:tc>
        <w:tc>
          <w:tcPr>
            <w:tcW w:w="1134" w:type="dxa"/>
            <w:tcBorders>
              <w:top w:val="single" w:sz="4" w:space="0" w:color="auto"/>
            </w:tcBorders>
            <w:shd w:val="clear" w:color="000000" w:fill="FFFFFF"/>
            <w:noWrap/>
            <w:vAlign w:val="bottom"/>
          </w:tcPr>
          <w:p w:rsidR="00C7329C" w:rsidRPr="002B4D22" w:rsidRDefault="00C7329C" w:rsidP="00C7329C">
            <w:pPr>
              <w:keepNext/>
              <w:spacing w:after="120" w:line="240" w:lineRule="auto"/>
              <w:jc w:val="right"/>
              <w:rPr>
                <w:rFonts w:ascii="Times New Roman" w:hAnsi="Times New Roman"/>
              </w:rPr>
            </w:pPr>
            <w:r w:rsidRPr="002B4D22">
              <w:rPr>
                <w:rFonts w:ascii="Times New Roman" w:hAnsi="Times New Roman"/>
                <w:color w:val="000000"/>
              </w:rPr>
              <w:t>3 137,2</w:t>
            </w:r>
          </w:p>
        </w:tc>
        <w:tc>
          <w:tcPr>
            <w:tcW w:w="1172" w:type="dxa"/>
            <w:tcBorders>
              <w:top w:val="single" w:sz="4" w:space="0" w:color="auto"/>
            </w:tcBorders>
            <w:shd w:val="clear" w:color="000000" w:fill="FFFFFF"/>
            <w:noWrap/>
            <w:vAlign w:val="bottom"/>
          </w:tcPr>
          <w:p w:rsidR="00C7329C" w:rsidRPr="002B4D22" w:rsidRDefault="00C7329C" w:rsidP="00C7329C">
            <w:pPr>
              <w:keepNext/>
              <w:spacing w:after="120" w:line="240" w:lineRule="auto"/>
              <w:jc w:val="right"/>
              <w:rPr>
                <w:rFonts w:ascii="Times New Roman" w:hAnsi="Times New Roman"/>
              </w:rPr>
            </w:pPr>
            <w:r w:rsidRPr="002B4D22">
              <w:rPr>
                <w:rFonts w:ascii="Times New Roman" w:hAnsi="Times New Roman"/>
                <w:color w:val="000000"/>
              </w:rPr>
              <w:t>4 354,2</w:t>
            </w:r>
          </w:p>
        </w:tc>
        <w:tc>
          <w:tcPr>
            <w:tcW w:w="1210" w:type="dxa"/>
            <w:tcBorders>
              <w:top w:val="single" w:sz="4" w:space="0" w:color="auto"/>
            </w:tcBorders>
            <w:shd w:val="clear" w:color="000000" w:fill="FFFFFF"/>
            <w:noWrap/>
            <w:vAlign w:val="bottom"/>
          </w:tcPr>
          <w:p w:rsidR="00C7329C" w:rsidRPr="002B4D22" w:rsidRDefault="00C7329C" w:rsidP="00C7329C">
            <w:pPr>
              <w:keepNext/>
              <w:spacing w:after="120" w:line="240" w:lineRule="auto"/>
              <w:jc w:val="right"/>
              <w:rPr>
                <w:rFonts w:ascii="Times New Roman" w:hAnsi="Times New Roman"/>
              </w:rPr>
            </w:pPr>
            <w:r w:rsidRPr="002B4D22">
              <w:rPr>
                <w:rFonts w:ascii="Times New Roman" w:hAnsi="Times New Roman"/>
                <w:color w:val="000000"/>
              </w:rPr>
              <w:t>1 754,5</w:t>
            </w:r>
          </w:p>
        </w:tc>
        <w:tc>
          <w:tcPr>
            <w:tcW w:w="1303" w:type="dxa"/>
            <w:tcBorders>
              <w:top w:val="single" w:sz="4" w:space="0" w:color="auto"/>
            </w:tcBorders>
            <w:noWrap/>
            <w:vAlign w:val="center"/>
          </w:tcPr>
          <w:p w:rsidR="00C7329C" w:rsidRPr="002B4D22" w:rsidRDefault="00C7329C" w:rsidP="00C7329C">
            <w:pPr>
              <w:keepNext/>
              <w:spacing w:after="120" w:line="240" w:lineRule="auto"/>
              <w:jc w:val="center"/>
              <w:rPr>
                <w:rFonts w:ascii="Times New Roman" w:hAnsi="Times New Roman"/>
              </w:rPr>
            </w:pPr>
          </w:p>
          <w:p w:rsidR="00C7329C" w:rsidRPr="002B4D22" w:rsidRDefault="00C7329C" w:rsidP="00C7329C">
            <w:pPr>
              <w:keepNext/>
              <w:spacing w:after="120" w:line="240" w:lineRule="auto"/>
              <w:jc w:val="center"/>
              <w:rPr>
                <w:rFonts w:ascii="Times New Roman" w:hAnsi="Times New Roman"/>
              </w:rPr>
            </w:pPr>
            <w:r w:rsidRPr="002B4D22">
              <w:rPr>
                <w:rFonts w:ascii="Times New Roman" w:hAnsi="Times New Roman"/>
              </w:rPr>
              <w:t>1,2</w:t>
            </w:r>
          </w:p>
        </w:tc>
        <w:tc>
          <w:tcPr>
            <w:tcW w:w="885" w:type="dxa"/>
            <w:tcBorders>
              <w:top w:val="single" w:sz="4" w:space="0" w:color="auto"/>
            </w:tcBorders>
            <w:noWrap/>
            <w:vAlign w:val="center"/>
          </w:tcPr>
          <w:p w:rsidR="00C7329C" w:rsidRPr="002B4D22" w:rsidRDefault="00C7329C" w:rsidP="00C7329C">
            <w:pPr>
              <w:keepNext/>
              <w:spacing w:after="120" w:line="240" w:lineRule="auto"/>
              <w:jc w:val="center"/>
              <w:rPr>
                <w:rFonts w:ascii="Times New Roman" w:hAnsi="Times New Roman"/>
                <w:color w:val="000000"/>
              </w:rPr>
            </w:pPr>
          </w:p>
          <w:p w:rsidR="00C7329C" w:rsidRPr="002B4D22" w:rsidRDefault="00C7329C" w:rsidP="00C7329C">
            <w:pPr>
              <w:keepNext/>
              <w:spacing w:after="120" w:line="240" w:lineRule="auto"/>
              <w:jc w:val="center"/>
              <w:rPr>
                <w:rFonts w:ascii="Times New Roman" w:hAnsi="Times New Roman"/>
                <w:color w:val="000000"/>
              </w:rPr>
            </w:pPr>
            <w:r w:rsidRPr="002B4D22">
              <w:rPr>
                <w:rFonts w:ascii="Times New Roman" w:hAnsi="Times New Roman"/>
                <w:color w:val="000000"/>
              </w:rPr>
              <w:t>1,2</w:t>
            </w:r>
          </w:p>
        </w:tc>
        <w:tc>
          <w:tcPr>
            <w:tcW w:w="1207" w:type="dxa"/>
            <w:tcBorders>
              <w:top w:val="single" w:sz="4" w:space="0" w:color="auto"/>
            </w:tcBorders>
            <w:vAlign w:val="center"/>
          </w:tcPr>
          <w:p w:rsidR="00C7329C" w:rsidRPr="002B4D22" w:rsidRDefault="00C7329C" w:rsidP="00C7329C">
            <w:pPr>
              <w:keepNext/>
              <w:spacing w:after="120" w:line="240" w:lineRule="auto"/>
              <w:jc w:val="center"/>
              <w:rPr>
                <w:rFonts w:ascii="Times New Roman" w:hAnsi="Times New Roman"/>
                <w:color w:val="000000"/>
              </w:rPr>
            </w:pPr>
          </w:p>
          <w:p w:rsidR="00C7329C" w:rsidRPr="002B4D22" w:rsidRDefault="00C7329C" w:rsidP="00C7329C">
            <w:pPr>
              <w:keepNext/>
              <w:spacing w:after="120" w:line="240" w:lineRule="auto"/>
              <w:jc w:val="center"/>
              <w:rPr>
                <w:rFonts w:ascii="Times New Roman" w:hAnsi="Times New Roman"/>
                <w:color w:val="000000"/>
              </w:rPr>
            </w:pPr>
            <w:r w:rsidRPr="002B4D22">
              <w:rPr>
                <w:rFonts w:ascii="Times New Roman" w:hAnsi="Times New Roman"/>
                <w:color w:val="000000"/>
              </w:rPr>
              <w:t>0,9</w:t>
            </w:r>
          </w:p>
        </w:tc>
      </w:tr>
      <w:tr w:rsidR="005E157A" w:rsidRPr="002B4D22" w:rsidTr="000855F8">
        <w:trPr>
          <w:trHeight w:val="300"/>
        </w:trPr>
        <w:tc>
          <w:tcPr>
            <w:tcW w:w="2660" w:type="dxa"/>
            <w:tcBorders>
              <w:top w:val="nil"/>
              <w:left w:val="nil"/>
              <w:bottom w:val="nil"/>
            </w:tcBorders>
            <w:shd w:val="clear" w:color="000000" w:fill="FFFFFF"/>
            <w:noWrap/>
            <w:vAlign w:val="center"/>
          </w:tcPr>
          <w:p w:rsidR="005E157A" w:rsidRPr="002B4D22" w:rsidRDefault="005E157A" w:rsidP="005E157A">
            <w:pPr>
              <w:keepNext/>
              <w:spacing w:after="120" w:line="240" w:lineRule="auto"/>
              <w:rPr>
                <w:rFonts w:ascii="Times New Roman" w:hAnsi="Times New Roman"/>
                <w:lang w:eastAsia="zh-CN"/>
              </w:rPr>
            </w:pPr>
            <w:r w:rsidRPr="002B4D22">
              <w:rPr>
                <w:rFonts w:ascii="Times New Roman" w:hAnsi="Times New Roman"/>
                <w:lang w:eastAsia="zh-CN"/>
              </w:rPr>
              <w:t>Iedzīvotāju ienākuma nodoklis</w:t>
            </w:r>
          </w:p>
        </w:tc>
        <w:tc>
          <w:tcPr>
            <w:tcW w:w="1134"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8 208,8</w:t>
            </w:r>
          </w:p>
        </w:tc>
        <w:tc>
          <w:tcPr>
            <w:tcW w:w="1172"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10 391,6</w:t>
            </w:r>
          </w:p>
        </w:tc>
        <w:tc>
          <w:tcPr>
            <w:tcW w:w="1210"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6 057,5</w:t>
            </w:r>
          </w:p>
        </w:tc>
        <w:tc>
          <w:tcPr>
            <w:tcW w:w="1303" w:type="dxa"/>
            <w:noWrap/>
            <w:vAlign w:val="center"/>
          </w:tcPr>
          <w:p w:rsidR="005E157A" w:rsidRPr="002B4D22" w:rsidRDefault="00C7329C" w:rsidP="005E157A">
            <w:pPr>
              <w:keepNext/>
              <w:spacing w:after="120" w:line="240" w:lineRule="auto"/>
              <w:jc w:val="center"/>
              <w:rPr>
                <w:rFonts w:ascii="Times New Roman" w:hAnsi="Times New Roman"/>
              </w:rPr>
            </w:pPr>
            <w:r w:rsidRPr="002B4D22">
              <w:rPr>
                <w:rFonts w:ascii="Times New Roman" w:hAnsi="Times New Roman"/>
              </w:rPr>
              <w:t>0,88</w:t>
            </w:r>
          </w:p>
        </w:tc>
        <w:tc>
          <w:tcPr>
            <w:tcW w:w="885" w:type="dxa"/>
            <w:noWrap/>
            <w:vAlign w:val="center"/>
          </w:tcPr>
          <w:p w:rsidR="005E157A" w:rsidRPr="002B4D22" w:rsidRDefault="00C7329C" w:rsidP="005E157A">
            <w:pPr>
              <w:keepNext/>
              <w:spacing w:after="120" w:line="240" w:lineRule="auto"/>
              <w:jc w:val="center"/>
              <w:rPr>
                <w:rFonts w:ascii="Times New Roman" w:hAnsi="Times New Roman"/>
                <w:color w:val="000000"/>
              </w:rPr>
            </w:pPr>
            <w:r w:rsidRPr="002B4D22">
              <w:rPr>
                <w:rFonts w:ascii="Times New Roman" w:hAnsi="Times New Roman"/>
                <w:color w:val="000000"/>
              </w:rPr>
              <w:t>0,8</w:t>
            </w:r>
          </w:p>
        </w:tc>
        <w:tc>
          <w:tcPr>
            <w:tcW w:w="1207" w:type="dxa"/>
            <w:vAlign w:val="center"/>
          </w:tcPr>
          <w:p w:rsidR="005E157A" w:rsidRPr="002B4D22" w:rsidRDefault="00C7329C" w:rsidP="005E157A">
            <w:pPr>
              <w:keepNext/>
              <w:spacing w:after="120" w:line="240" w:lineRule="auto"/>
              <w:jc w:val="center"/>
              <w:rPr>
                <w:rFonts w:ascii="Times New Roman" w:hAnsi="Times New Roman"/>
                <w:color w:val="000000"/>
              </w:rPr>
            </w:pPr>
            <w:r w:rsidRPr="002B4D22">
              <w:rPr>
                <w:rFonts w:ascii="Times New Roman" w:hAnsi="Times New Roman"/>
                <w:color w:val="000000"/>
              </w:rPr>
              <w:t>0,87</w:t>
            </w:r>
          </w:p>
        </w:tc>
      </w:tr>
      <w:tr w:rsidR="005E157A" w:rsidRPr="002B4D22" w:rsidTr="000855F8">
        <w:trPr>
          <w:trHeight w:val="300"/>
        </w:trPr>
        <w:tc>
          <w:tcPr>
            <w:tcW w:w="2660" w:type="dxa"/>
            <w:tcBorders>
              <w:top w:val="nil"/>
              <w:left w:val="nil"/>
              <w:bottom w:val="nil"/>
            </w:tcBorders>
            <w:shd w:val="clear" w:color="000000" w:fill="FFFFFF"/>
            <w:noWrap/>
            <w:vAlign w:val="center"/>
          </w:tcPr>
          <w:p w:rsidR="005E157A" w:rsidRPr="002B4D22" w:rsidRDefault="005E157A" w:rsidP="005E157A">
            <w:pPr>
              <w:keepNext/>
              <w:spacing w:after="120" w:line="240" w:lineRule="auto"/>
              <w:rPr>
                <w:rFonts w:ascii="Times New Roman" w:hAnsi="Times New Roman"/>
                <w:lang w:eastAsia="zh-CN"/>
              </w:rPr>
            </w:pPr>
            <w:r w:rsidRPr="002B4D22">
              <w:rPr>
                <w:rFonts w:ascii="Times New Roman" w:hAnsi="Times New Roman"/>
                <w:lang w:eastAsia="zh-CN"/>
              </w:rPr>
              <w:t>Sociālās apdrošināšanas iemaksas</w:t>
            </w:r>
          </w:p>
        </w:tc>
        <w:tc>
          <w:tcPr>
            <w:tcW w:w="1134"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13 455,2</w:t>
            </w:r>
          </w:p>
        </w:tc>
        <w:tc>
          <w:tcPr>
            <w:tcW w:w="1172"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15 033,8</w:t>
            </w:r>
          </w:p>
        </w:tc>
        <w:tc>
          <w:tcPr>
            <w:tcW w:w="1210"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8 383,9</w:t>
            </w:r>
          </w:p>
        </w:tc>
        <w:tc>
          <w:tcPr>
            <w:tcW w:w="1303" w:type="dxa"/>
            <w:noWrap/>
            <w:vAlign w:val="center"/>
          </w:tcPr>
          <w:p w:rsidR="005E157A" w:rsidRPr="002B4D22" w:rsidRDefault="0096704F" w:rsidP="005E157A">
            <w:pPr>
              <w:keepNext/>
              <w:spacing w:after="120" w:line="240" w:lineRule="auto"/>
              <w:jc w:val="center"/>
              <w:rPr>
                <w:rFonts w:ascii="Times New Roman" w:hAnsi="Times New Roman"/>
              </w:rPr>
            </w:pPr>
            <w:r w:rsidRPr="002B4D22">
              <w:rPr>
                <w:rFonts w:ascii="Times New Roman" w:hAnsi="Times New Roman"/>
              </w:rPr>
              <w:t>0,88</w:t>
            </w:r>
          </w:p>
        </w:tc>
        <w:tc>
          <w:tcPr>
            <w:tcW w:w="885" w:type="dxa"/>
            <w:noWrap/>
            <w:vAlign w:val="center"/>
          </w:tcPr>
          <w:p w:rsidR="005E157A" w:rsidRPr="002B4D22" w:rsidRDefault="0096704F" w:rsidP="005E157A">
            <w:pPr>
              <w:keepNext/>
              <w:spacing w:after="120" w:line="240" w:lineRule="auto"/>
              <w:jc w:val="center"/>
              <w:rPr>
                <w:rFonts w:ascii="Times New Roman" w:hAnsi="Times New Roman"/>
                <w:color w:val="000000"/>
              </w:rPr>
            </w:pPr>
            <w:r w:rsidRPr="002B4D22">
              <w:rPr>
                <w:rFonts w:ascii="Times New Roman" w:hAnsi="Times New Roman"/>
                <w:color w:val="000000"/>
              </w:rPr>
              <w:t>0,7</w:t>
            </w:r>
          </w:p>
        </w:tc>
        <w:tc>
          <w:tcPr>
            <w:tcW w:w="1207" w:type="dxa"/>
            <w:vAlign w:val="center"/>
          </w:tcPr>
          <w:p w:rsidR="005E157A" w:rsidRPr="002B4D22" w:rsidRDefault="0096704F" w:rsidP="005E157A">
            <w:pPr>
              <w:keepNext/>
              <w:spacing w:after="120" w:line="240" w:lineRule="auto"/>
              <w:jc w:val="center"/>
              <w:rPr>
                <w:rFonts w:ascii="Times New Roman" w:hAnsi="Times New Roman"/>
                <w:color w:val="000000"/>
              </w:rPr>
            </w:pPr>
            <w:r w:rsidRPr="002B4D22">
              <w:rPr>
                <w:rFonts w:ascii="Times New Roman" w:hAnsi="Times New Roman"/>
                <w:color w:val="000000"/>
              </w:rPr>
              <w:t>0,74</w:t>
            </w:r>
          </w:p>
        </w:tc>
      </w:tr>
      <w:tr w:rsidR="005E157A" w:rsidRPr="002B4D22" w:rsidTr="000855F8">
        <w:trPr>
          <w:trHeight w:val="300"/>
        </w:trPr>
        <w:tc>
          <w:tcPr>
            <w:tcW w:w="2660" w:type="dxa"/>
            <w:tcBorders>
              <w:top w:val="nil"/>
              <w:left w:val="nil"/>
              <w:bottom w:val="nil"/>
            </w:tcBorders>
            <w:shd w:val="clear" w:color="000000" w:fill="FFFFFF"/>
            <w:noWrap/>
            <w:vAlign w:val="center"/>
          </w:tcPr>
          <w:p w:rsidR="005E157A" w:rsidRPr="002B4D22" w:rsidRDefault="005E157A" w:rsidP="005E157A">
            <w:pPr>
              <w:keepNext/>
              <w:spacing w:after="120" w:line="240" w:lineRule="auto"/>
              <w:rPr>
                <w:rFonts w:ascii="Times New Roman" w:hAnsi="Times New Roman"/>
                <w:lang w:eastAsia="zh-CN"/>
              </w:rPr>
            </w:pPr>
            <w:r w:rsidRPr="002B4D22">
              <w:rPr>
                <w:rFonts w:ascii="Times New Roman" w:hAnsi="Times New Roman"/>
                <w:lang w:eastAsia="zh-CN"/>
              </w:rPr>
              <w:t>Pievienotās vērtības nodoklis</w:t>
            </w:r>
          </w:p>
        </w:tc>
        <w:tc>
          <w:tcPr>
            <w:tcW w:w="1134"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-1 971,8</w:t>
            </w:r>
          </w:p>
        </w:tc>
        <w:tc>
          <w:tcPr>
            <w:tcW w:w="1172"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118,5</w:t>
            </w:r>
          </w:p>
        </w:tc>
        <w:tc>
          <w:tcPr>
            <w:tcW w:w="1210"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341,4</w:t>
            </w:r>
          </w:p>
        </w:tc>
        <w:tc>
          <w:tcPr>
            <w:tcW w:w="1303" w:type="dxa"/>
            <w:noWrap/>
            <w:vAlign w:val="center"/>
          </w:tcPr>
          <w:p w:rsidR="005E157A" w:rsidRPr="002B4D22" w:rsidRDefault="0096704F" w:rsidP="005E157A">
            <w:pPr>
              <w:keepNext/>
              <w:spacing w:after="120" w:line="240" w:lineRule="auto"/>
              <w:jc w:val="center"/>
              <w:rPr>
                <w:rFonts w:ascii="Times New Roman" w:hAnsi="Times New Roman"/>
              </w:rPr>
            </w:pPr>
            <w:r w:rsidRPr="002B4D22">
              <w:rPr>
                <w:rFonts w:ascii="Times New Roman" w:hAnsi="Times New Roman"/>
              </w:rPr>
              <w:t>0</w:t>
            </w:r>
          </w:p>
        </w:tc>
        <w:tc>
          <w:tcPr>
            <w:tcW w:w="885" w:type="dxa"/>
            <w:noWrap/>
            <w:vAlign w:val="center"/>
          </w:tcPr>
          <w:p w:rsidR="005E157A" w:rsidRPr="002B4D22" w:rsidRDefault="0096704F" w:rsidP="0096704F">
            <w:pPr>
              <w:keepNext/>
              <w:spacing w:after="120" w:line="240" w:lineRule="auto"/>
              <w:jc w:val="center"/>
              <w:rPr>
                <w:rFonts w:ascii="Times New Roman" w:hAnsi="Times New Roman"/>
                <w:color w:val="000000"/>
              </w:rPr>
            </w:pPr>
            <w:r w:rsidRPr="002B4D22">
              <w:rPr>
                <w:rFonts w:ascii="Times New Roman" w:hAnsi="Times New Roman"/>
                <w:color w:val="000000"/>
              </w:rPr>
              <w:t>0,007</w:t>
            </w:r>
          </w:p>
        </w:tc>
        <w:tc>
          <w:tcPr>
            <w:tcW w:w="1207" w:type="dxa"/>
            <w:vAlign w:val="center"/>
          </w:tcPr>
          <w:p w:rsidR="005E157A" w:rsidRPr="002B4D22" w:rsidRDefault="0096704F" w:rsidP="005E157A">
            <w:pPr>
              <w:keepNext/>
              <w:spacing w:after="120" w:line="240" w:lineRule="auto"/>
              <w:jc w:val="center"/>
              <w:rPr>
                <w:rFonts w:ascii="Times New Roman" w:hAnsi="Times New Roman"/>
                <w:color w:val="000000"/>
              </w:rPr>
            </w:pPr>
            <w:r w:rsidRPr="002B4D22">
              <w:rPr>
                <w:rFonts w:ascii="Times New Roman" w:hAnsi="Times New Roman"/>
                <w:color w:val="000000"/>
              </w:rPr>
              <w:t>0,04</w:t>
            </w:r>
          </w:p>
        </w:tc>
      </w:tr>
      <w:tr w:rsidR="005E157A" w:rsidRPr="002B4D22" w:rsidTr="000855F8">
        <w:trPr>
          <w:trHeight w:val="300"/>
        </w:trPr>
        <w:tc>
          <w:tcPr>
            <w:tcW w:w="2660" w:type="dxa"/>
            <w:tcBorders>
              <w:top w:val="nil"/>
              <w:left w:val="nil"/>
              <w:bottom w:val="nil"/>
            </w:tcBorders>
            <w:shd w:val="clear" w:color="000000" w:fill="FFFFFF"/>
            <w:noWrap/>
            <w:vAlign w:val="center"/>
          </w:tcPr>
          <w:p w:rsidR="005E157A" w:rsidRPr="002B4D22" w:rsidRDefault="005E157A" w:rsidP="005E157A">
            <w:pPr>
              <w:keepNext/>
              <w:spacing w:after="120" w:line="240" w:lineRule="auto"/>
              <w:rPr>
                <w:rFonts w:ascii="Times New Roman" w:hAnsi="Times New Roman"/>
                <w:lang w:eastAsia="zh-CN"/>
              </w:rPr>
            </w:pPr>
            <w:r w:rsidRPr="002B4D22">
              <w:rPr>
                <w:rFonts w:ascii="Times New Roman" w:hAnsi="Times New Roman"/>
                <w:lang w:eastAsia="zh-CN"/>
              </w:rPr>
              <w:t>Akcīzes nodoklis</w:t>
            </w:r>
          </w:p>
        </w:tc>
        <w:tc>
          <w:tcPr>
            <w:tcW w:w="1134"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37,5</w:t>
            </w:r>
          </w:p>
        </w:tc>
        <w:tc>
          <w:tcPr>
            <w:tcW w:w="1172"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154,2</w:t>
            </w:r>
          </w:p>
        </w:tc>
        <w:tc>
          <w:tcPr>
            <w:tcW w:w="1210"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31,2</w:t>
            </w:r>
          </w:p>
        </w:tc>
        <w:tc>
          <w:tcPr>
            <w:tcW w:w="1303" w:type="dxa"/>
            <w:noWrap/>
            <w:vAlign w:val="center"/>
          </w:tcPr>
          <w:p w:rsidR="005E157A" w:rsidRPr="002B4D22" w:rsidRDefault="004600D8" w:rsidP="004600D8">
            <w:pPr>
              <w:keepNext/>
              <w:spacing w:after="120" w:line="240" w:lineRule="auto"/>
              <w:jc w:val="center"/>
              <w:rPr>
                <w:rFonts w:ascii="Times New Roman" w:hAnsi="Times New Roman"/>
              </w:rPr>
            </w:pPr>
            <w:r w:rsidRPr="002B4D22">
              <w:rPr>
                <w:rFonts w:ascii="Times New Roman" w:hAnsi="Times New Roman"/>
              </w:rPr>
              <w:t>0,007</w:t>
            </w:r>
          </w:p>
        </w:tc>
        <w:tc>
          <w:tcPr>
            <w:tcW w:w="885" w:type="dxa"/>
            <w:noWrap/>
            <w:vAlign w:val="center"/>
          </w:tcPr>
          <w:p w:rsidR="005E157A" w:rsidRPr="002B4D22" w:rsidRDefault="004600D8" w:rsidP="004600D8">
            <w:pPr>
              <w:keepNext/>
              <w:spacing w:after="120" w:line="240" w:lineRule="auto"/>
              <w:jc w:val="center"/>
              <w:rPr>
                <w:rFonts w:ascii="Times New Roman" w:hAnsi="Times New Roman"/>
                <w:color w:val="000000"/>
              </w:rPr>
            </w:pPr>
            <w:r w:rsidRPr="002B4D22">
              <w:rPr>
                <w:rFonts w:ascii="Times New Roman" w:hAnsi="Times New Roman"/>
                <w:color w:val="000000"/>
              </w:rPr>
              <w:t>0,02</w:t>
            </w:r>
          </w:p>
        </w:tc>
        <w:tc>
          <w:tcPr>
            <w:tcW w:w="1207" w:type="dxa"/>
            <w:vAlign w:val="center"/>
          </w:tcPr>
          <w:p w:rsidR="005E157A" w:rsidRPr="002B4D22" w:rsidRDefault="004600D8" w:rsidP="005E157A">
            <w:pPr>
              <w:keepNext/>
              <w:spacing w:after="120" w:line="240" w:lineRule="auto"/>
              <w:jc w:val="center"/>
              <w:rPr>
                <w:rFonts w:ascii="Times New Roman" w:hAnsi="Times New Roman"/>
                <w:color w:val="000000"/>
              </w:rPr>
            </w:pPr>
            <w:r w:rsidRPr="002B4D22">
              <w:rPr>
                <w:rFonts w:ascii="Times New Roman" w:hAnsi="Times New Roman"/>
                <w:color w:val="000000"/>
              </w:rPr>
              <w:t>0,008</w:t>
            </w:r>
          </w:p>
        </w:tc>
      </w:tr>
      <w:tr w:rsidR="005E157A" w:rsidRPr="002B4D22" w:rsidTr="000855F8">
        <w:trPr>
          <w:trHeight w:val="300"/>
        </w:trPr>
        <w:tc>
          <w:tcPr>
            <w:tcW w:w="2660" w:type="dxa"/>
            <w:tcBorders>
              <w:top w:val="nil"/>
              <w:left w:val="nil"/>
              <w:bottom w:val="nil"/>
            </w:tcBorders>
            <w:shd w:val="clear" w:color="000000" w:fill="FFFFFF"/>
            <w:noWrap/>
            <w:vAlign w:val="center"/>
          </w:tcPr>
          <w:p w:rsidR="005E157A" w:rsidRPr="002B4D22" w:rsidRDefault="005E157A" w:rsidP="005E157A">
            <w:pPr>
              <w:keepNext/>
              <w:spacing w:after="120" w:line="240" w:lineRule="auto"/>
              <w:rPr>
                <w:rFonts w:ascii="Times New Roman" w:hAnsi="Times New Roman"/>
                <w:lang w:eastAsia="zh-CN"/>
              </w:rPr>
            </w:pPr>
            <w:r w:rsidRPr="002B4D22">
              <w:rPr>
                <w:rFonts w:ascii="Times New Roman" w:hAnsi="Times New Roman"/>
                <w:lang w:eastAsia="zh-CN"/>
              </w:rPr>
              <w:t>Dabas resursu nodoklis</w:t>
            </w:r>
          </w:p>
        </w:tc>
        <w:tc>
          <w:tcPr>
            <w:tcW w:w="1134"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11,0</w:t>
            </w:r>
          </w:p>
        </w:tc>
        <w:tc>
          <w:tcPr>
            <w:tcW w:w="1172"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26,8</w:t>
            </w:r>
          </w:p>
        </w:tc>
        <w:tc>
          <w:tcPr>
            <w:tcW w:w="1210"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41,7</w:t>
            </w:r>
          </w:p>
        </w:tc>
        <w:tc>
          <w:tcPr>
            <w:tcW w:w="1303" w:type="dxa"/>
            <w:noWrap/>
            <w:vAlign w:val="center"/>
          </w:tcPr>
          <w:p w:rsidR="005E157A" w:rsidRPr="002B4D22" w:rsidRDefault="004600D8" w:rsidP="005E157A">
            <w:pPr>
              <w:keepNext/>
              <w:spacing w:after="120" w:line="240" w:lineRule="auto"/>
              <w:jc w:val="center"/>
              <w:rPr>
                <w:rFonts w:ascii="Times New Roman" w:hAnsi="Times New Roman"/>
              </w:rPr>
            </w:pPr>
            <w:r w:rsidRPr="002B4D22">
              <w:rPr>
                <w:rFonts w:ascii="Times New Roman" w:hAnsi="Times New Roman"/>
              </w:rPr>
              <w:t>0,08</w:t>
            </w:r>
          </w:p>
        </w:tc>
        <w:tc>
          <w:tcPr>
            <w:tcW w:w="885" w:type="dxa"/>
            <w:noWrap/>
            <w:vAlign w:val="center"/>
          </w:tcPr>
          <w:p w:rsidR="005E157A" w:rsidRPr="002B4D22" w:rsidRDefault="004600D8" w:rsidP="005E157A">
            <w:pPr>
              <w:keepNext/>
              <w:spacing w:after="120" w:line="240" w:lineRule="auto"/>
              <w:jc w:val="center"/>
              <w:rPr>
                <w:rFonts w:ascii="Times New Roman" w:hAnsi="Times New Roman"/>
                <w:color w:val="000000"/>
              </w:rPr>
            </w:pPr>
            <w:r w:rsidRPr="002B4D22">
              <w:rPr>
                <w:rFonts w:ascii="Times New Roman" w:hAnsi="Times New Roman"/>
                <w:color w:val="000000"/>
              </w:rPr>
              <w:t>0,13</w:t>
            </w:r>
          </w:p>
        </w:tc>
        <w:tc>
          <w:tcPr>
            <w:tcW w:w="1207" w:type="dxa"/>
            <w:vAlign w:val="center"/>
          </w:tcPr>
          <w:p w:rsidR="005E157A" w:rsidRPr="002B4D22" w:rsidRDefault="004600D8" w:rsidP="005E157A">
            <w:pPr>
              <w:keepNext/>
              <w:spacing w:after="120" w:line="240" w:lineRule="auto"/>
              <w:jc w:val="center"/>
              <w:rPr>
                <w:rFonts w:ascii="Times New Roman" w:hAnsi="Times New Roman"/>
                <w:color w:val="000000"/>
              </w:rPr>
            </w:pPr>
            <w:r w:rsidRPr="002B4D22">
              <w:rPr>
                <w:rFonts w:ascii="Times New Roman" w:hAnsi="Times New Roman"/>
                <w:color w:val="000000"/>
              </w:rPr>
              <w:t>0,4</w:t>
            </w:r>
          </w:p>
        </w:tc>
      </w:tr>
      <w:tr w:rsidR="005E157A" w:rsidRPr="002B4D22" w:rsidTr="000855F8">
        <w:trPr>
          <w:trHeight w:val="300"/>
        </w:trPr>
        <w:tc>
          <w:tcPr>
            <w:tcW w:w="2660" w:type="dxa"/>
            <w:tcBorders>
              <w:top w:val="nil"/>
              <w:left w:val="nil"/>
            </w:tcBorders>
            <w:shd w:val="clear" w:color="000000" w:fill="FFFFFF"/>
            <w:noWrap/>
            <w:vAlign w:val="center"/>
          </w:tcPr>
          <w:p w:rsidR="005E157A" w:rsidRPr="002B4D22" w:rsidRDefault="005E157A" w:rsidP="005E157A">
            <w:pPr>
              <w:keepNext/>
              <w:spacing w:after="120" w:line="240" w:lineRule="auto"/>
              <w:rPr>
                <w:rFonts w:ascii="Times New Roman" w:hAnsi="Times New Roman"/>
                <w:lang w:eastAsia="zh-CN"/>
              </w:rPr>
            </w:pPr>
            <w:r w:rsidRPr="002B4D22">
              <w:rPr>
                <w:rFonts w:ascii="Times New Roman" w:hAnsi="Times New Roman"/>
                <w:lang w:eastAsia="zh-CN"/>
              </w:rPr>
              <w:t>Muitas nodoklis</w:t>
            </w:r>
          </w:p>
        </w:tc>
        <w:tc>
          <w:tcPr>
            <w:tcW w:w="1134"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166,0</w:t>
            </w:r>
          </w:p>
        </w:tc>
        <w:tc>
          <w:tcPr>
            <w:tcW w:w="1172"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540,9</w:t>
            </w:r>
          </w:p>
        </w:tc>
        <w:tc>
          <w:tcPr>
            <w:tcW w:w="1210" w:type="dxa"/>
            <w:shd w:val="clear" w:color="000000" w:fill="FFFFFF"/>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254,4</w:t>
            </w:r>
          </w:p>
        </w:tc>
        <w:tc>
          <w:tcPr>
            <w:tcW w:w="1303" w:type="dxa"/>
            <w:noWrap/>
            <w:vAlign w:val="center"/>
          </w:tcPr>
          <w:p w:rsidR="005E157A" w:rsidRPr="002B4D22" w:rsidRDefault="003C7D40" w:rsidP="005E157A">
            <w:pPr>
              <w:keepNext/>
              <w:spacing w:after="120" w:line="240" w:lineRule="auto"/>
              <w:jc w:val="center"/>
              <w:rPr>
                <w:rFonts w:ascii="Times New Roman" w:hAnsi="Times New Roman"/>
              </w:rPr>
            </w:pPr>
            <w:r w:rsidRPr="002B4D22">
              <w:rPr>
                <w:rFonts w:ascii="Times New Roman" w:hAnsi="Times New Roman"/>
              </w:rPr>
              <w:t>0,9</w:t>
            </w:r>
          </w:p>
        </w:tc>
        <w:tc>
          <w:tcPr>
            <w:tcW w:w="885" w:type="dxa"/>
            <w:noWrap/>
            <w:vAlign w:val="center"/>
          </w:tcPr>
          <w:p w:rsidR="005E157A" w:rsidRPr="002B4D22" w:rsidRDefault="003C7D40" w:rsidP="005E157A">
            <w:pPr>
              <w:keepNext/>
              <w:spacing w:after="120" w:line="240" w:lineRule="auto"/>
              <w:jc w:val="center"/>
              <w:rPr>
                <w:rFonts w:ascii="Times New Roman" w:hAnsi="Times New Roman"/>
                <w:color w:val="000000"/>
              </w:rPr>
            </w:pPr>
            <w:r w:rsidRPr="002B4D22">
              <w:rPr>
                <w:rFonts w:ascii="Times New Roman" w:hAnsi="Times New Roman"/>
                <w:color w:val="000000"/>
              </w:rPr>
              <w:t>1,5</w:t>
            </w:r>
          </w:p>
        </w:tc>
        <w:tc>
          <w:tcPr>
            <w:tcW w:w="1207" w:type="dxa"/>
            <w:vAlign w:val="center"/>
          </w:tcPr>
          <w:p w:rsidR="005E157A" w:rsidRPr="002B4D22" w:rsidRDefault="003C7D40" w:rsidP="005E157A">
            <w:pPr>
              <w:keepNext/>
              <w:spacing w:after="120" w:line="240" w:lineRule="auto"/>
              <w:jc w:val="center"/>
              <w:rPr>
                <w:rFonts w:ascii="Times New Roman" w:hAnsi="Times New Roman"/>
                <w:color w:val="000000"/>
              </w:rPr>
            </w:pPr>
            <w:r w:rsidRPr="002B4D22">
              <w:rPr>
                <w:rFonts w:ascii="Times New Roman" w:hAnsi="Times New Roman"/>
                <w:color w:val="000000"/>
              </w:rPr>
              <w:t>0,7</w:t>
            </w:r>
          </w:p>
        </w:tc>
      </w:tr>
      <w:tr w:rsidR="005E157A" w:rsidRPr="002B4D22" w:rsidTr="000855F8">
        <w:trPr>
          <w:trHeight w:val="315"/>
        </w:trPr>
        <w:tc>
          <w:tcPr>
            <w:tcW w:w="2660" w:type="dxa"/>
            <w:tcBorders>
              <w:top w:val="nil"/>
              <w:left w:val="nil"/>
              <w:bottom w:val="single" w:sz="4" w:space="0" w:color="auto"/>
            </w:tcBorders>
            <w:noWrap/>
            <w:vAlign w:val="center"/>
          </w:tcPr>
          <w:p w:rsidR="005E157A" w:rsidRPr="002B4D22" w:rsidRDefault="005E157A" w:rsidP="005E157A">
            <w:pPr>
              <w:keepNext/>
              <w:spacing w:after="120" w:line="240" w:lineRule="auto"/>
              <w:rPr>
                <w:rFonts w:ascii="Times New Roman" w:hAnsi="Times New Roman"/>
                <w:lang w:eastAsia="zh-CN"/>
              </w:rPr>
            </w:pPr>
            <w:r w:rsidRPr="002B4D22">
              <w:rPr>
                <w:rFonts w:ascii="Times New Roman" w:hAnsi="Times New Roman"/>
                <w:lang w:eastAsia="zh-CN"/>
              </w:rPr>
              <w:t>Mikrouzņēmumu nodoklis</w:t>
            </w:r>
          </w:p>
        </w:tc>
        <w:tc>
          <w:tcPr>
            <w:tcW w:w="1134" w:type="dxa"/>
            <w:tcBorders>
              <w:bottom w:val="single" w:sz="4" w:space="0" w:color="auto"/>
            </w:tcBorders>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21,5</w:t>
            </w:r>
          </w:p>
        </w:tc>
        <w:tc>
          <w:tcPr>
            <w:tcW w:w="1172" w:type="dxa"/>
            <w:tcBorders>
              <w:bottom w:val="single" w:sz="4" w:space="0" w:color="auto"/>
            </w:tcBorders>
            <w:noWrap/>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61,9</w:t>
            </w:r>
          </w:p>
        </w:tc>
        <w:tc>
          <w:tcPr>
            <w:tcW w:w="1210" w:type="dxa"/>
            <w:tcBorders>
              <w:bottom w:val="single" w:sz="4" w:space="0" w:color="auto"/>
            </w:tcBorders>
            <w:vAlign w:val="center"/>
          </w:tcPr>
          <w:p w:rsidR="005E157A" w:rsidRPr="002B4D22" w:rsidRDefault="005E157A" w:rsidP="005E157A">
            <w:pPr>
              <w:keepNext/>
              <w:spacing w:after="120" w:line="240" w:lineRule="auto"/>
              <w:jc w:val="right"/>
              <w:rPr>
                <w:rFonts w:ascii="Times New Roman" w:hAnsi="Times New Roman"/>
              </w:rPr>
            </w:pPr>
            <w:r w:rsidRPr="002B4D22">
              <w:rPr>
                <w:rFonts w:ascii="Times New Roman" w:hAnsi="Times New Roman"/>
              </w:rPr>
              <w:t>39,6</w:t>
            </w:r>
          </w:p>
        </w:tc>
        <w:tc>
          <w:tcPr>
            <w:tcW w:w="1303" w:type="dxa"/>
            <w:tcBorders>
              <w:bottom w:val="single" w:sz="4" w:space="0" w:color="auto"/>
            </w:tcBorders>
            <w:noWrap/>
            <w:vAlign w:val="center"/>
          </w:tcPr>
          <w:p w:rsidR="005E157A" w:rsidRPr="002B4D22" w:rsidRDefault="005E157A" w:rsidP="005E157A">
            <w:pPr>
              <w:keepNext/>
              <w:spacing w:after="120" w:line="240" w:lineRule="auto"/>
              <w:jc w:val="center"/>
              <w:rPr>
                <w:rFonts w:ascii="Times New Roman" w:hAnsi="Times New Roman"/>
              </w:rPr>
            </w:pPr>
            <w:r w:rsidRPr="002B4D22">
              <w:rPr>
                <w:rFonts w:ascii="Times New Roman" w:hAnsi="Times New Roman"/>
              </w:rPr>
              <w:t>0,0</w:t>
            </w:r>
            <w:r w:rsidR="003C7D40" w:rsidRPr="002B4D22">
              <w:rPr>
                <w:rFonts w:ascii="Times New Roman" w:hAnsi="Times New Roman"/>
              </w:rPr>
              <w:t>8</w:t>
            </w:r>
          </w:p>
        </w:tc>
        <w:tc>
          <w:tcPr>
            <w:tcW w:w="885" w:type="dxa"/>
            <w:tcBorders>
              <w:bottom w:val="single" w:sz="4" w:space="0" w:color="auto"/>
            </w:tcBorders>
            <w:noWrap/>
            <w:vAlign w:val="center"/>
          </w:tcPr>
          <w:p w:rsidR="005E157A" w:rsidRPr="002B4D22" w:rsidRDefault="003C7D40" w:rsidP="005E157A">
            <w:pPr>
              <w:keepNext/>
              <w:spacing w:after="120" w:line="240" w:lineRule="auto"/>
              <w:jc w:val="center"/>
              <w:rPr>
                <w:rFonts w:ascii="Times New Roman" w:hAnsi="Times New Roman"/>
                <w:color w:val="000000"/>
              </w:rPr>
            </w:pPr>
            <w:r w:rsidRPr="002B4D22">
              <w:rPr>
                <w:rFonts w:ascii="Times New Roman" w:hAnsi="Times New Roman"/>
                <w:color w:val="000000"/>
              </w:rPr>
              <w:t>0,12</w:t>
            </w:r>
          </w:p>
        </w:tc>
        <w:tc>
          <w:tcPr>
            <w:tcW w:w="1207" w:type="dxa"/>
            <w:tcBorders>
              <w:bottom w:val="single" w:sz="4" w:space="0" w:color="auto"/>
            </w:tcBorders>
            <w:vAlign w:val="center"/>
          </w:tcPr>
          <w:p w:rsidR="005E157A" w:rsidRPr="002B4D22" w:rsidRDefault="003C7D40" w:rsidP="005E157A">
            <w:pPr>
              <w:keepNext/>
              <w:spacing w:after="120" w:line="240" w:lineRule="auto"/>
              <w:jc w:val="center"/>
              <w:rPr>
                <w:rFonts w:ascii="Times New Roman" w:hAnsi="Times New Roman"/>
                <w:color w:val="000000"/>
              </w:rPr>
            </w:pPr>
            <w:r w:rsidRPr="002B4D22">
              <w:rPr>
                <w:rFonts w:ascii="Times New Roman" w:hAnsi="Times New Roman"/>
                <w:color w:val="000000"/>
              </w:rPr>
              <w:t>0,14</w:t>
            </w:r>
          </w:p>
        </w:tc>
      </w:tr>
      <w:tr w:rsidR="002433AF" w:rsidRPr="002B4D22" w:rsidTr="000855F8">
        <w:trPr>
          <w:trHeight w:val="315"/>
        </w:trPr>
        <w:tc>
          <w:tcPr>
            <w:tcW w:w="2660" w:type="dxa"/>
            <w:tcBorders>
              <w:top w:val="nil"/>
              <w:left w:val="nil"/>
              <w:bottom w:val="single" w:sz="4" w:space="0" w:color="auto"/>
            </w:tcBorders>
            <w:noWrap/>
            <w:vAlign w:val="center"/>
          </w:tcPr>
          <w:p w:rsidR="002433AF" w:rsidRPr="002433AF" w:rsidRDefault="002433AF" w:rsidP="005E157A">
            <w:pPr>
              <w:keepNext/>
              <w:spacing w:after="120" w:line="240" w:lineRule="auto"/>
              <w:rPr>
                <w:rFonts w:ascii="Times New Roman" w:hAnsi="Times New Roman"/>
                <w:b/>
                <w:lang w:eastAsia="zh-CN"/>
              </w:rPr>
            </w:pPr>
            <w:r w:rsidRPr="002433AF">
              <w:rPr>
                <w:rFonts w:ascii="Times New Roman" w:hAnsi="Times New Roman"/>
                <w:b/>
                <w:lang w:eastAsia="zh-CN"/>
              </w:rPr>
              <w:t>Kopā</w:t>
            </w:r>
          </w:p>
        </w:tc>
        <w:tc>
          <w:tcPr>
            <w:tcW w:w="1134" w:type="dxa"/>
            <w:tcBorders>
              <w:bottom w:val="single" w:sz="4" w:space="0" w:color="auto"/>
            </w:tcBorders>
            <w:noWrap/>
            <w:vAlign w:val="center"/>
          </w:tcPr>
          <w:p w:rsidR="002433AF" w:rsidRPr="002433AF" w:rsidRDefault="002433AF" w:rsidP="005E157A">
            <w:pPr>
              <w:keepNext/>
              <w:spacing w:after="120" w:line="240" w:lineRule="auto"/>
              <w:jc w:val="right"/>
              <w:rPr>
                <w:rFonts w:ascii="Times New Roman" w:hAnsi="Times New Roman"/>
                <w:b/>
              </w:rPr>
            </w:pPr>
            <w:r w:rsidRPr="002433AF">
              <w:rPr>
                <w:rFonts w:ascii="Times New Roman" w:hAnsi="Times New Roman"/>
                <w:b/>
              </w:rPr>
              <w:t>23 065,4</w:t>
            </w:r>
          </w:p>
        </w:tc>
        <w:tc>
          <w:tcPr>
            <w:tcW w:w="1172" w:type="dxa"/>
            <w:tcBorders>
              <w:bottom w:val="single" w:sz="4" w:space="0" w:color="auto"/>
            </w:tcBorders>
            <w:noWrap/>
            <w:vAlign w:val="center"/>
          </w:tcPr>
          <w:p w:rsidR="002433AF" w:rsidRPr="002433AF" w:rsidRDefault="002433AF" w:rsidP="005E157A">
            <w:pPr>
              <w:keepNext/>
              <w:spacing w:after="120" w:line="240" w:lineRule="auto"/>
              <w:jc w:val="right"/>
              <w:rPr>
                <w:rFonts w:ascii="Times New Roman" w:hAnsi="Times New Roman"/>
                <w:b/>
              </w:rPr>
            </w:pPr>
            <w:r w:rsidRPr="002433AF">
              <w:rPr>
                <w:rFonts w:ascii="Times New Roman" w:hAnsi="Times New Roman"/>
                <w:b/>
              </w:rPr>
              <w:t>30 681,9</w:t>
            </w:r>
          </w:p>
        </w:tc>
        <w:tc>
          <w:tcPr>
            <w:tcW w:w="1210" w:type="dxa"/>
            <w:tcBorders>
              <w:bottom w:val="single" w:sz="4" w:space="0" w:color="auto"/>
            </w:tcBorders>
            <w:vAlign w:val="center"/>
          </w:tcPr>
          <w:p w:rsidR="002433AF" w:rsidRPr="002433AF" w:rsidRDefault="002433AF" w:rsidP="005E157A">
            <w:pPr>
              <w:keepNext/>
              <w:spacing w:after="120" w:line="240" w:lineRule="auto"/>
              <w:jc w:val="right"/>
              <w:rPr>
                <w:rFonts w:ascii="Times New Roman" w:hAnsi="Times New Roman"/>
                <w:b/>
              </w:rPr>
            </w:pPr>
            <w:r w:rsidRPr="002433AF">
              <w:rPr>
                <w:rFonts w:ascii="Times New Roman" w:hAnsi="Times New Roman"/>
                <w:b/>
              </w:rPr>
              <w:t>16 904,2</w:t>
            </w:r>
          </w:p>
        </w:tc>
        <w:tc>
          <w:tcPr>
            <w:tcW w:w="1303" w:type="dxa"/>
            <w:tcBorders>
              <w:bottom w:val="single" w:sz="4" w:space="0" w:color="auto"/>
            </w:tcBorders>
            <w:noWrap/>
            <w:vAlign w:val="center"/>
          </w:tcPr>
          <w:p w:rsidR="002433AF" w:rsidRPr="002B4D22" w:rsidRDefault="002433AF" w:rsidP="005E157A">
            <w:pPr>
              <w:keepNext/>
              <w:spacing w:after="120" w:line="240" w:lineRule="auto"/>
              <w:jc w:val="center"/>
              <w:rPr>
                <w:rFonts w:ascii="Times New Roman" w:hAnsi="Times New Roman"/>
              </w:rPr>
            </w:pPr>
          </w:p>
        </w:tc>
        <w:tc>
          <w:tcPr>
            <w:tcW w:w="885" w:type="dxa"/>
            <w:tcBorders>
              <w:bottom w:val="single" w:sz="4" w:space="0" w:color="auto"/>
            </w:tcBorders>
            <w:noWrap/>
            <w:vAlign w:val="center"/>
          </w:tcPr>
          <w:p w:rsidR="002433AF" w:rsidRPr="002B4D22" w:rsidRDefault="002433AF" w:rsidP="005E157A">
            <w:pPr>
              <w:keepNext/>
              <w:spacing w:after="120" w:line="240" w:lineRule="auto"/>
              <w:jc w:val="center"/>
              <w:rPr>
                <w:rFonts w:ascii="Times New Roman" w:hAnsi="Times New Roman"/>
                <w:color w:val="000000"/>
              </w:rPr>
            </w:pPr>
          </w:p>
        </w:tc>
        <w:tc>
          <w:tcPr>
            <w:tcW w:w="1207" w:type="dxa"/>
            <w:tcBorders>
              <w:bottom w:val="single" w:sz="4" w:space="0" w:color="auto"/>
            </w:tcBorders>
            <w:vAlign w:val="center"/>
          </w:tcPr>
          <w:p w:rsidR="002433AF" w:rsidRPr="002B4D22" w:rsidRDefault="002433AF" w:rsidP="005E157A">
            <w:pPr>
              <w:keepNext/>
              <w:spacing w:after="120" w:line="240" w:lineRule="auto"/>
              <w:jc w:val="center"/>
              <w:rPr>
                <w:rFonts w:ascii="Times New Roman" w:hAnsi="Times New Roman"/>
                <w:color w:val="000000"/>
              </w:rPr>
            </w:pPr>
          </w:p>
        </w:tc>
      </w:tr>
    </w:tbl>
    <w:p w:rsidR="00CA1C25" w:rsidRPr="002B4D22" w:rsidRDefault="00E20875" w:rsidP="001A5AE4">
      <w:pPr>
        <w:keepNext/>
        <w:spacing w:before="40" w:after="120" w:line="240" w:lineRule="auto"/>
        <w:ind w:firstLine="425"/>
        <w:jc w:val="both"/>
        <w:rPr>
          <w:rFonts w:ascii="Times New Roman" w:hAnsi="Times New Roman"/>
          <w:i/>
        </w:rPr>
      </w:pPr>
      <w:r w:rsidRPr="002B4D22">
        <w:rPr>
          <w:rFonts w:ascii="Times New Roman" w:hAnsi="Times New Roman"/>
          <w:i/>
        </w:rPr>
        <w:t>Avots: Lu</w:t>
      </w:r>
      <w:r w:rsidR="007E4756">
        <w:rPr>
          <w:rFonts w:ascii="Times New Roman" w:hAnsi="Times New Roman"/>
          <w:i/>
        </w:rPr>
        <w:t>r</w:t>
      </w:r>
      <w:r w:rsidRPr="002B4D22">
        <w:rPr>
          <w:rFonts w:ascii="Times New Roman" w:hAnsi="Times New Roman"/>
          <w:i/>
        </w:rPr>
        <w:t>soft, VID</w:t>
      </w:r>
    </w:p>
    <w:p w:rsidR="009B10A4" w:rsidRPr="002B4D22" w:rsidRDefault="00873437" w:rsidP="00736ECB">
      <w:pPr>
        <w:spacing w:after="120" w:line="240" w:lineRule="auto"/>
        <w:ind w:firstLine="567"/>
        <w:jc w:val="both"/>
        <w:rPr>
          <w:rFonts w:ascii="Times New Roman" w:hAnsi="Times New Roman"/>
          <w:sz w:val="26"/>
          <w:szCs w:val="26"/>
        </w:rPr>
      </w:pPr>
      <w:r w:rsidRPr="002B4D22">
        <w:rPr>
          <w:rFonts w:ascii="Times New Roman" w:hAnsi="Times New Roman"/>
          <w:sz w:val="26"/>
          <w:szCs w:val="26"/>
        </w:rPr>
        <w:t>Saskaņā ar PMLP 2013.gadā veikto aptauju</w:t>
      </w:r>
      <w:r w:rsidR="009B10A4" w:rsidRPr="002B4D22">
        <w:rPr>
          <w:rFonts w:ascii="Times New Roman" w:hAnsi="Times New Roman"/>
          <w:sz w:val="26"/>
          <w:szCs w:val="26"/>
        </w:rPr>
        <w:t xml:space="preserve"> investors un viņa ģimenes locekļi uzturas Latvijā vidēji 2-4 mēnešus gadā un vidēji mēnesī uz katru ģ</w:t>
      </w:r>
      <w:r w:rsidR="00FA2365" w:rsidRPr="002B4D22">
        <w:rPr>
          <w:rFonts w:ascii="Times New Roman" w:hAnsi="Times New Roman"/>
          <w:sz w:val="26"/>
          <w:szCs w:val="26"/>
        </w:rPr>
        <w:t>imenes locekli tērē</w:t>
      </w:r>
      <w:r w:rsidR="00AA13FA" w:rsidRPr="002B4D22">
        <w:rPr>
          <w:rFonts w:ascii="Times New Roman" w:hAnsi="Times New Roman"/>
          <w:sz w:val="26"/>
          <w:szCs w:val="26"/>
        </w:rPr>
        <w:t>, 8</w:t>
      </w:r>
      <w:r w:rsidR="009B10A4" w:rsidRPr="002B4D22">
        <w:rPr>
          <w:rFonts w:ascii="Times New Roman" w:hAnsi="Times New Roman"/>
          <w:sz w:val="26"/>
          <w:szCs w:val="26"/>
        </w:rPr>
        <w:t xml:space="preserve">00 </w:t>
      </w:r>
      <w:proofErr w:type="spellStart"/>
      <w:r w:rsidR="00C232F4" w:rsidRPr="002B4D22">
        <w:rPr>
          <w:rFonts w:ascii="Times New Roman" w:hAnsi="Times New Roman"/>
          <w:i/>
          <w:sz w:val="26"/>
          <w:szCs w:val="26"/>
        </w:rPr>
        <w:t>euro</w:t>
      </w:r>
      <w:proofErr w:type="spellEnd"/>
      <w:r w:rsidR="009B10A4" w:rsidRPr="002B4D22">
        <w:rPr>
          <w:rFonts w:ascii="Times New Roman" w:hAnsi="Times New Roman"/>
          <w:sz w:val="26"/>
          <w:szCs w:val="26"/>
        </w:rPr>
        <w:t xml:space="preserve"> (pārtikai</w:t>
      </w:r>
      <w:r w:rsidRPr="002B4D22">
        <w:rPr>
          <w:rFonts w:ascii="Times New Roman" w:hAnsi="Times New Roman"/>
          <w:sz w:val="26"/>
          <w:szCs w:val="26"/>
        </w:rPr>
        <w:t>, izklaides pasākumiem u.c.), tā</w:t>
      </w:r>
      <w:r w:rsidR="009B10A4" w:rsidRPr="002B4D22">
        <w:rPr>
          <w:rFonts w:ascii="Times New Roman" w:hAnsi="Times New Roman"/>
          <w:sz w:val="26"/>
          <w:szCs w:val="26"/>
        </w:rPr>
        <w:t>d</w:t>
      </w:r>
      <w:r w:rsidRPr="002B4D22">
        <w:rPr>
          <w:rFonts w:ascii="Times New Roman" w:hAnsi="Times New Roman"/>
          <w:sz w:val="26"/>
          <w:szCs w:val="26"/>
        </w:rPr>
        <w:t>ējādi</w:t>
      </w:r>
      <w:r w:rsidR="009B10A4" w:rsidRPr="002B4D22">
        <w:rPr>
          <w:rFonts w:ascii="Times New Roman" w:hAnsi="Times New Roman"/>
          <w:sz w:val="26"/>
          <w:szCs w:val="26"/>
        </w:rPr>
        <w:t xml:space="preserve"> kopējie tēriņi gadā var </w:t>
      </w:r>
      <w:r w:rsidR="00AA13FA" w:rsidRPr="002B4D22">
        <w:rPr>
          <w:rFonts w:ascii="Times New Roman" w:hAnsi="Times New Roman"/>
          <w:sz w:val="26"/>
          <w:szCs w:val="26"/>
        </w:rPr>
        <w:t>sasniegt 30</w:t>
      </w:r>
      <w:r w:rsidR="009B10A4"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9B10A4" w:rsidRPr="002B4D22">
        <w:rPr>
          <w:rFonts w:ascii="Times New Roman" w:hAnsi="Times New Roman"/>
          <w:sz w:val="26"/>
          <w:szCs w:val="26"/>
        </w:rPr>
        <w:t>, savukārt, ienākumi valsts budžetā patēriņa nodok</w:t>
      </w:r>
      <w:r w:rsidR="00AA13FA" w:rsidRPr="002B4D22">
        <w:rPr>
          <w:rFonts w:ascii="Times New Roman" w:hAnsi="Times New Roman"/>
          <w:sz w:val="26"/>
          <w:szCs w:val="26"/>
        </w:rPr>
        <w:t>ļu veidā var sasniegt papildus 6</w:t>
      </w:r>
      <w:r w:rsidR="009B10A4" w:rsidRPr="002B4D22">
        <w:rPr>
          <w:rFonts w:ascii="Times New Roman" w:hAnsi="Times New Roman"/>
          <w:sz w:val="26"/>
          <w:szCs w:val="26"/>
        </w:rPr>
        <w:t xml:space="preserve"> milj. </w:t>
      </w:r>
      <w:proofErr w:type="spellStart"/>
      <w:r w:rsidR="00C232F4" w:rsidRPr="002B4D22">
        <w:rPr>
          <w:rFonts w:ascii="Times New Roman" w:hAnsi="Times New Roman"/>
          <w:i/>
          <w:sz w:val="26"/>
          <w:szCs w:val="26"/>
        </w:rPr>
        <w:t>euro</w:t>
      </w:r>
      <w:proofErr w:type="spellEnd"/>
      <w:r w:rsidR="009B10A4" w:rsidRPr="002B4D22">
        <w:rPr>
          <w:rFonts w:ascii="Times New Roman" w:hAnsi="Times New Roman"/>
          <w:sz w:val="26"/>
          <w:szCs w:val="26"/>
        </w:rPr>
        <w:t>.</w:t>
      </w:r>
      <w:proofErr w:type="gramStart"/>
      <w:r w:rsidR="009B10A4" w:rsidRPr="002B4D22">
        <w:rPr>
          <w:rFonts w:ascii="Times New Roman" w:hAnsi="Times New Roman"/>
          <w:sz w:val="26"/>
          <w:szCs w:val="26"/>
        </w:rPr>
        <w:t xml:space="preserve">  </w:t>
      </w:r>
      <w:proofErr w:type="gramEnd"/>
    </w:p>
    <w:p w:rsidR="002B224D" w:rsidRPr="002B4D22" w:rsidRDefault="002B224D" w:rsidP="00534DFC">
      <w:pPr>
        <w:spacing w:after="120" w:line="240" w:lineRule="auto"/>
        <w:ind w:firstLine="426"/>
        <w:jc w:val="both"/>
        <w:rPr>
          <w:rFonts w:ascii="Times New Roman" w:hAnsi="Times New Roman"/>
          <w:sz w:val="26"/>
          <w:szCs w:val="26"/>
        </w:rPr>
      </w:pPr>
    </w:p>
    <w:p w:rsidR="002B224D" w:rsidRPr="002B4D22" w:rsidRDefault="00BE5948" w:rsidP="00534DFC">
      <w:pPr>
        <w:pStyle w:val="Heading1"/>
        <w:spacing w:before="0" w:after="120" w:line="240" w:lineRule="auto"/>
        <w:rPr>
          <w:rFonts w:ascii="Times New Roman" w:hAnsi="Times New Roman"/>
          <w:color w:val="auto"/>
        </w:rPr>
      </w:pPr>
      <w:bookmarkStart w:id="31" w:name="_Toc365460268"/>
      <w:bookmarkStart w:id="32" w:name="_Toc429659171"/>
      <w:r w:rsidRPr="002B4D22">
        <w:rPr>
          <w:rFonts w:ascii="Times New Roman" w:hAnsi="Times New Roman"/>
          <w:color w:val="auto"/>
        </w:rPr>
        <w:t>11</w:t>
      </w:r>
      <w:r w:rsidR="002B224D" w:rsidRPr="002B4D22">
        <w:rPr>
          <w:rFonts w:ascii="Times New Roman" w:hAnsi="Times New Roman"/>
          <w:color w:val="auto"/>
        </w:rPr>
        <w:t>. Ietekme uz sabiedrību</w:t>
      </w:r>
      <w:bookmarkEnd w:id="31"/>
      <w:bookmarkEnd w:id="32"/>
    </w:p>
    <w:p w:rsidR="00E93824" w:rsidRPr="00E93824" w:rsidRDefault="00E93824" w:rsidP="00E93824">
      <w:pPr>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 xml:space="preserve">Lai precīzāk noteiktu mērķa grupas ietekmi uz sabiedrības attīstību, </w:t>
      </w:r>
      <w:r>
        <w:rPr>
          <w:rFonts w:ascii="Times New Roman" w:eastAsia="Calibri" w:hAnsi="Times New Roman"/>
          <w:sz w:val="26"/>
          <w:szCs w:val="26"/>
          <w:lang w:eastAsia="lv-LV"/>
        </w:rPr>
        <w:t xml:space="preserve">Kultūras </w:t>
      </w:r>
      <w:r w:rsidRPr="00E93824">
        <w:rPr>
          <w:rFonts w:ascii="Times New Roman" w:eastAsia="Calibri" w:hAnsi="Times New Roman"/>
          <w:sz w:val="26"/>
          <w:szCs w:val="26"/>
          <w:lang w:eastAsia="lv-LV"/>
        </w:rPr>
        <w:t>ministrija sagatavoja</w:t>
      </w:r>
      <w:r w:rsidR="00497AE2">
        <w:rPr>
          <w:rFonts w:ascii="Times New Roman" w:eastAsia="Calibri" w:hAnsi="Times New Roman"/>
          <w:sz w:val="26"/>
          <w:szCs w:val="26"/>
          <w:lang w:eastAsia="lv-LV"/>
        </w:rPr>
        <w:t>,</w:t>
      </w:r>
      <w:r w:rsidRPr="00E93824">
        <w:rPr>
          <w:rFonts w:ascii="Times New Roman" w:eastAsia="Calibri" w:hAnsi="Times New Roman"/>
          <w:sz w:val="26"/>
          <w:szCs w:val="26"/>
          <w:lang w:eastAsia="lv-LV"/>
        </w:rPr>
        <w:t xml:space="preserve"> un 2014.gada 9.jūnijā Ministru kabinets apstiprināja noteikumus Nr.292 „Noteikumi par Eiropas Trešo valstu valstspiederīgo integrācijas fonda 2013.gada programmas aktivitāšu īstenošanu”, kuru IX nodaļas 82.punktā iekļauti šādi uzraudzības rādītāji:</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82.1. apzinātas dažādas trešo valstu pilsoņu grupas, tajā skaitā apzināta mērķa grupa, kas Latvijā ieceļo, pamatojoties uz Imigrācijas likuma 23. panta pirmās daļas 3., 28., 29. un 30. punktā noteikto;</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82.2. pētījums veikts, ievērojot pēctecību ar iepriekš veiktiem pētījumiem, izvērtējot integrācijas galveno rādītāju attīstību dinamikā, apzinot tādas integrācijas jomas kā nodarbinātība, izglītība, veselības aprūpe, sociālā iekļaušanās, pilsoniskā līdzdalība, diskriminācijas mazināšana;</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82.3. veikta valodas un integrācijas kursu pieejamības un kvalitātes analīze dažādām trešo valstu pilsoņu grupām;</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lastRenderedPageBreak/>
        <w:t>82.4. sniegta pieejamo pētījumu un datu analīze un identificētas to pieejamības nepilnības;</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82.5. ar pētījuma rezultātiem iepazīstināti attiecīgās jomas speciālisti, nevalstisko organizāciju pārstāvji un trešo valstu pilsoņi.</w:t>
      </w:r>
    </w:p>
    <w:p w:rsidR="00E93824" w:rsidRPr="00E93824" w:rsidRDefault="00E93824" w:rsidP="00E93824">
      <w:pPr>
        <w:pStyle w:val="NormalWeb"/>
        <w:shd w:val="clear" w:color="auto" w:fill="FFFFFF"/>
        <w:spacing w:before="0" w:beforeAutospacing="0" w:after="0" w:afterAutospacing="0"/>
        <w:ind w:firstLine="709"/>
        <w:jc w:val="both"/>
        <w:rPr>
          <w:sz w:val="26"/>
          <w:szCs w:val="26"/>
        </w:rPr>
      </w:pPr>
      <w:r w:rsidRPr="00E93824">
        <w:rPr>
          <w:sz w:val="26"/>
          <w:szCs w:val="26"/>
        </w:rPr>
        <w:t xml:space="preserve">Saskaņā ar </w:t>
      </w:r>
      <w:r>
        <w:rPr>
          <w:sz w:val="26"/>
          <w:szCs w:val="26"/>
        </w:rPr>
        <w:t xml:space="preserve">iepriekš minētajiem </w:t>
      </w:r>
      <w:r w:rsidRPr="00E93824">
        <w:rPr>
          <w:sz w:val="26"/>
          <w:szCs w:val="26"/>
        </w:rPr>
        <w:t xml:space="preserve">Ministru kabineta noteikumiem, </w:t>
      </w:r>
      <w:r>
        <w:rPr>
          <w:sz w:val="26"/>
          <w:szCs w:val="26"/>
        </w:rPr>
        <w:t xml:space="preserve">Kultūras </w:t>
      </w:r>
      <w:r w:rsidRPr="00E93824">
        <w:rPr>
          <w:sz w:val="26"/>
          <w:szCs w:val="26"/>
        </w:rPr>
        <w:t>ministrija organizēja ierobežotu projektu atlasi un apstiprināja Sabiedrības integrācijas fonda projektu „Trešo valstu pilsoņu portrets Latvijā”</w:t>
      </w:r>
      <w:r>
        <w:rPr>
          <w:sz w:val="26"/>
          <w:szCs w:val="26"/>
        </w:rPr>
        <w:t>, kura</w:t>
      </w:r>
      <w:r w:rsidRPr="00E93824">
        <w:rPr>
          <w:sz w:val="26"/>
          <w:szCs w:val="26"/>
        </w:rPr>
        <w:t xml:space="preserve"> ietvaros tika veikts pētījums, iegū</w:t>
      </w:r>
      <w:r>
        <w:rPr>
          <w:sz w:val="26"/>
          <w:szCs w:val="26"/>
        </w:rPr>
        <w:t>stot</w:t>
      </w:r>
      <w:r w:rsidRPr="00E93824">
        <w:rPr>
          <w:sz w:val="26"/>
          <w:szCs w:val="26"/>
        </w:rPr>
        <w:t xml:space="preserve"> kvalitatīv</w:t>
      </w:r>
      <w:r>
        <w:rPr>
          <w:sz w:val="26"/>
          <w:szCs w:val="26"/>
        </w:rPr>
        <w:t>us</w:t>
      </w:r>
      <w:r w:rsidRPr="00E93824">
        <w:rPr>
          <w:sz w:val="26"/>
          <w:szCs w:val="26"/>
        </w:rPr>
        <w:t xml:space="preserve"> un kvantitatīv</w:t>
      </w:r>
      <w:r>
        <w:rPr>
          <w:sz w:val="26"/>
          <w:szCs w:val="26"/>
        </w:rPr>
        <w:t>us</w:t>
      </w:r>
      <w:r w:rsidRPr="00E93824">
        <w:rPr>
          <w:sz w:val="26"/>
          <w:szCs w:val="26"/>
        </w:rPr>
        <w:t xml:space="preserve"> dat</w:t>
      </w:r>
      <w:r>
        <w:rPr>
          <w:sz w:val="26"/>
          <w:szCs w:val="26"/>
        </w:rPr>
        <w:t>us</w:t>
      </w:r>
      <w:r w:rsidRPr="00E93824">
        <w:rPr>
          <w:sz w:val="26"/>
          <w:szCs w:val="26"/>
        </w:rPr>
        <w:t xml:space="preserve"> par trešo valstu pilsoņu integrācijas iespējām. </w:t>
      </w:r>
    </w:p>
    <w:p w:rsidR="00C27AEB" w:rsidRPr="00C27AEB" w:rsidRDefault="00E93824" w:rsidP="00C27AEB">
      <w:pPr>
        <w:spacing w:after="0" w:line="240" w:lineRule="auto"/>
        <w:ind w:firstLine="567"/>
        <w:jc w:val="both"/>
        <w:rPr>
          <w:rFonts w:ascii="Times New Roman" w:eastAsia="Calibri" w:hAnsi="Times New Roman"/>
          <w:sz w:val="26"/>
          <w:szCs w:val="26"/>
          <w:lang w:eastAsia="lv-LV"/>
        </w:rPr>
      </w:pPr>
      <w:r w:rsidRPr="00C27AEB">
        <w:rPr>
          <w:rFonts w:ascii="Times New Roman" w:eastAsia="Calibri" w:hAnsi="Times New Roman"/>
          <w:sz w:val="26"/>
          <w:szCs w:val="26"/>
          <w:lang w:eastAsia="lv-LV"/>
        </w:rPr>
        <w:t>Pētījumā analizēts tiesisko, ekonomisko, sociālo apstākļu kopums, kas parāda trešo valstu pilsoņu situāciju Latvijā, t.i. apzinātas dažādas trešo valstu pilsoņu grupas, tajā skaitā mērķa grupa, kas Latvijā ieceļo, pamatojoties uz Imigrācijas likuma 23. panta pirmās daļas 3., 28., 29. un 30. punktā noteikto (turpmāk – imigranti investori).</w:t>
      </w:r>
      <w:r w:rsidR="00C27AEB" w:rsidRPr="00C27AEB">
        <w:rPr>
          <w:rFonts w:ascii="Times New Roman" w:eastAsia="Calibri" w:hAnsi="Times New Roman"/>
          <w:sz w:val="26"/>
          <w:szCs w:val="26"/>
          <w:lang w:eastAsia="lv-LV"/>
        </w:rPr>
        <w:t xml:space="preserve"> </w:t>
      </w:r>
    </w:p>
    <w:p w:rsidR="00C27AEB" w:rsidRPr="002B4D22" w:rsidRDefault="00C27AEB" w:rsidP="00C27AEB">
      <w:pPr>
        <w:spacing w:after="0" w:line="240" w:lineRule="auto"/>
        <w:ind w:firstLine="567"/>
        <w:jc w:val="both"/>
        <w:rPr>
          <w:rFonts w:ascii="Times New Roman" w:hAnsi="Times New Roman"/>
          <w:sz w:val="26"/>
          <w:szCs w:val="26"/>
        </w:rPr>
      </w:pPr>
      <w:r w:rsidRPr="002B4D22">
        <w:rPr>
          <w:rFonts w:ascii="Times New Roman" w:hAnsi="Times New Roman"/>
          <w:sz w:val="26"/>
          <w:szCs w:val="26"/>
        </w:rPr>
        <w:t>Pētījums parāda, ka arvien pieaug to trešo valsts pilsoņu skaits, kuri plāno palikt Latvijā pavisam</w:t>
      </w:r>
      <w:r>
        <w:rPr>
          <w:rFonts w:ascii="Times New Roman" w:hAnsi="Times New Roman"/>
          <w:sz w:val="26"/>
          <w:szCs w:val="26"/>
        </w:rPr>
        <w:t xml:space="preserve"> - n</w:t>
      </w:r>
      <w:r w:rsidRPr="002B4D22">
        <w:rPr>
          <w:rFonts w:ascii="Times New Roman" w:hAnsi="Times New Roman"/>
          <w:sz w:val="26"/>
          <w:szCs w:val="26"/>
        </w:rPr>
        <w:t xml:space="preserve">o aptaujātajiem TUA saņēmējiem 52,3% </w:t>
      </w:r>
      <w:r>
        <w:rPr>
          <w:rFonts w:ascii="Times New Roman" w:hAnsi="Times New Roman"/>
          <w:sz w:val="26"/>
          <w:szCs w:val="26"/>
        </w:rPr>
        <w:t xml:space="preserve">norādījuši, ka </w:t>
      </w:r>
      <w:r w:rsidRPr="002B4D22">
        <w:rPr>
          <w:rFonts w:ascii="Times New Roman" w:hAnsi="Times New Roman"/>
          <w:sz w:val="26"/>
          <w:szCs w:val="26"/>
        </w:rPr>
        <w:t>Latvijā vēlas palikt pavisam. Šie rādītāji liecina par arvien pieaugošu nepieciešamību ne tikai izvirzīt prasības un nosacījumus cilvēkiem, kas iebrauc Latvijā uz īsāku vai ilgāku laiku, bet arī nodrošināt šai mērķa grupai integrācijas iespējas dažādās sabiedrības dzīves jomās. Pētījuma autori pauž nostāju, ka lielākais risks un problēma, kas šobrīd Latvijā saistīta ar trešo valstu pilsoņu integrācijas pasākumu īstenošanu, ir to pēctecības un nepārtrauktības trūkums</w:t>
      </w:r>
      <w:r w:rsidRPr="002B4D22">
        <w:rPr>
          <w:rStyle w:val="FootnoteReference"/>
          <w:rFonts w:ascii="Times New Roman" w:hAnsi="Times New Roman"/>
          <w:sz w:val="26"/>
          <w:szCs w:val="26"/>
        </w:rPr>
        <w:footnoteReference w:id="32"/>
      </w:r>
      <w:r w:rsidRPr="002B4D22">
        <w:rPr>
          <w:rFonts w:ascii="Times New Roman" w:hAnsi="Times New Roman"/>
          <w:sz w:val="26"/>
          <w:szCs w:val="26"/>
        </w:rPr>
        <w:t xml:space="preserve">. </w:t>
      </w:r>
    </w:p>
    <w:p w:rsidR="00C27AEB" w:rsidRDefault="00C27AEB" w:rsidP="00C27AEB">
      <w:pPr>
        <w:spacing w:after="0" w:line="240" w:lineRule="auto"/>
        <w:ind w:firstLine="567"/>
        <w:jc w:val="both"/>
        <w:rPr>
          <w:rFonts w:ascii="Times New Roman" w:hAnsi="Times New Roman"/>
          <w:sz w:val="26"/>
          <w:szCs w:val="26"/>
        </w:rPr>
      </w:pPr>
      <w:r w:rsidRPr="002B4D22">
        <w:rPr>
          <w:rFonts w:ascii="Times New Roman" w:hAnsi="Times New Roman"/>
          <w:sz w:val="26"/>
          <w:szCs w:val="26"/>
        </w:rPr>
        <w:t>Imigranti investori, kas nolēmuši savu turpmāko dzīvi pavadīt Latvijā, uzskata, ka nozīmīgākais nosacījums</w:t>
      </w:r>
      <w:r>
        <w:rPr>
          <w:rFonts w:ascii="Times New Roman" w:hAnsi="Times New Roman"/>
          <w:sz w:val="26"/>
          <w:szCs w:val="26"/>
        </w:rPr>
        <w:t>,</w:t>
      </w:r>
      <w:r w:rsidRPr="002B4D22">
        <w:rPr>
          <w:rFonts w:ascii="Times New Roman" w:hAnsi="Times New Roman"/>
          <w:sz w:val="26"/>
          <w:szCs w:val="26"/>
        </w:rPr>
        <w:t xml:space="preserve"> iekļaujoties vietējā sabiedrībā</w:t>
      </w:r>
      <w:r>
        <w:rPr>
          <w:rFonts w:ascii="Times New Roman" w:hAnsi="Times New Roman"/>
          <w:sz w:val="26"/>
          <w:szCs w:val="26"/>
        </w:rPr>
        <w:t>,</w:t>
      </w:r>
      <w:r w:rsidRPr="002B4D22">
        <w:rPr>
          <w:rFonts w:ascii="Times New Roman" w:hAnsi="Times New Roman"/>
          <w:sz w:val="26"/>
          <w:szCs w:val="26"/>
        </w:rPr>
        <w:t xml:space="preserve"> ir latviešu valodas apguve. Pētījumā intervētie imigranti-investori apmeklē Eiropas Trešo valstu </w:t>
      </w:r>
      <w:proofErr w:type="spellStart"/>
      <w:r w:rsidRPr="002B4D22">
        <w:rPr>
          <w:rFonts w:ascii="Times New Roman" w:hAnsi="Times New Roman"/>
          <w:sz w:val="26"/>
          <w:szCs w:val="26"/>
        </w:rPr>
        <w:t>valstpiederīgo</w:t>
      </w:r>
      <w:proofErr w:type="spellEnd"/>
      <w:r w:rsidRPr="002B4D22">
        <w:rPr>
          <w:rFonts w:ascii="Times New Roman" w:hAnsi="Times New Roman"/>
          <w:sz w:val="26"/>
          <w:szCs w:val="26"/>
        </w:rPr>
        <w:t xml:space="preserve"> fonda atbalstītos bezmaksas latviešu valodas kursus. Jāuzsver, ka visi investori norāda uz problēmām šo praksi īstenot dzīvē, kas ir arī saistīts ar vietējās sabiedrības paradumu pāriet uz krievu vai angļu valodu</w:t>
      </w:r>
      <w:r w:rsidRPr="002B4D22">
        <w:rPr>
          <w:rStyle w:val="FootnoteReference"/>
          <w:rFonts w:ascii="Times New Roman" w:hAnsi="Times New Roman"/>
          <w:sz w:val="26"/>
          <w:szCs w:val="26"/>
        </w:rPr>
        <w:footnoteReference w:id="33"/>
      </w:r>
      <w:r w:rsidRPr="002B4D22">
        <w:rPr>
          <w:rFonts w:ascii="Times New Roman" w:hAnsi="Times New Roman"/>
          <w:sz w:val="26"/>
          <w:szCs w:val="26"/>
        </w:rPr>
        <w:t xml:space="preserve">. </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 xml:space="preserve">Pētījumā tika veiktas imigrantu investoru padziļinātas intervijas. Iegūtā informācija liecina, ka pirms ierašanās Latvijā imigranti investori ir guvuši ieskatu gan no paziņām, gan mērķtiecīgi vākuši informāciju par Latviju, izmantojot internetu, kā arī vairākkārtīgi apmeklējuši Latviju. Pateicoties šai iepriekšējai izpētei, investori un viņu ģimenes parasti ir apmierinātas ar izdarīto izvēli. </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i/>
          <w:sz w:val="26"/>
          <w:szCs w:val="26"/>
          <w:lang w:eastAsia="lv-LV"/>
        </w:rPr>
      </w:pPr>
      <w:r w:rsidRPr="00E93824">
        <w:rPr>
          <w:rFonts w:ascii="Times New Roman" w:eastAsia="Calibri" w:hAnsi="Times New Roman"/>
          <w:i/>
          <w:sz w:val="26"/>
          <w:szCs w:val="26"/>
          <w:lang w:eastAsia="lv-LV"/>
        </w:rPr>
        <w:t>Motivācija.</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Motivācija pārcelties uz dzīvi Latvijā parasti ir saistīta ar kādiem negatīviem apstākļiem savā izcelsmes valstī, kas radījusi neapmierinātību un vēlmi emigrēt, ko var saukt par „izstumjošajiem” apstākļiem. Vēlmi emigrēt no Krievijas cilvēki skaidro ar neapmierinātību ar politisko režīmu valstī, ar politiskās elites agresīvo nostāju, ar spriedzi sabiedrībā. Citā gadījumā vēlmi atstāt savu valsti motivē neapmierinātība ar piesārņoto vidi vai valsts izglītības sistēmu. Novērojami ir arī gadījumi, kad spēcīgāk par „izstumjošajiem” apstākļiem darbojas „pievelkošie” faktori, piemēram, iespējas brīvi pārvietoties, ko sniedz Latvija kā Eiropas Savienības dalībvalsts, vai arī biznesa attīstības iespējas, atverot starptautisku uzņēmumu filiāli Latvijā.</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i/>
          <w:sz w:val="26"/>
          <w:szCs w:val="26"/>
          <w:lang w:eastAsia="lv-LV"/>
        </w:rPr>
        <w:t>Valoda un izglītība</w:t>
      </w:r>
      <w:r w:rsidRPr="00E93824">
        <w:rPr>
          <w:rFonts w:ascii="Times New Roman" w:eastAsia="Calibri" w:hAnsi="Times New Roman"/>
          <w:sz w:val="26"/>
          <w:szCs w:val="26"/>
          <w:lang w:eastAsia="lv-LV"/>
        </w:rPr>
        <w:t>.</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 xml:space="preserve">Imigranti investori, kas nolēmuši savu turpmāko dzīvi pavadīt Latvijā, uzskata, ka nozīmīgākais nosacījums iekļauties vietējā sabiedrībā ir latviešu valodas apguve. </w:t>
      </w:r>
      <w:r w:rsidRPr="00E93824">
        <w:rPr>
          <w:rFonts w:ascii="Times New Roman" w:eastAsia="Calibri" w:hAnsi="Times New Roman"/>
          <w:sz w:val="26"/>
          <w:szCs w:val="26"/>
          <w:lang w:eastAsia="lv-LV"/>
        </w:rPr>
        <w:lastRenderedPageBreak/>
        <w:t>Pētījumā intervētie imigranti investori apmeklē Eiropas Trešo valstu valstspiederīgo integrācijas fonda atbalstītos bezmaksas latviešu valodas kursus, cenšas savas latviešu valodas prasmes nostiprināt saskarsmē ar latviešiem. Imigranti investori norādījuši uz problēmām šo praksi īstenot dzīvē, kas lielā mērā saistīts ar vietējās sabiedrības paradumu pāriet uz krievu vai angļu valodu. Par šādām valodas lietošanas situācijām investori runā ar neizpratni un nožēlu, jo tas liedz viņiem praktizēties un apgūt latviešu</w:t>
      </w:r>
      <w:proofErr w:type="gramStart"/>
      <w:r w:rsidR="00C27AEB">
        <w:rPr>
          <w:rFonts w:ascii="Times New Roman" w:eastAsia="Calibri" w:hAnsi="Times New Roman"/>
          <w:sz w:val="26"/>
          <w:szCs w:val="26"/>
          <w:lang w:eastAsia="lv-LV"/>
        </w:rPr>
        <w:t xml:space="preserve"> </w:t>
      </w:r>
      <w:r w:rsidRPr="00E93824">
        <w:rPr>
          <w:rFonts w:ascii="Times New Roman" w:eastAsia="Calibri" w:hAnsi="Times New Roman"/>
          <w:sz w:val="26"/>
          <w:szCs w:val="26"/>
          <w:lang w:eastAsia="lv-LV"/>
        </w:rPr>
        <w:t xml:space="preserve"> </w:t>
      </w:r>
      <w:proofErr w:type="gramEnd"/>
      <w:r w:rsidRPr="00E93824">
        <w:rPr>
          <w:rFonts w:ascii="Times New Roman" w:eastAsia="Calibri" w:hAnsi="Times New Roman"/>
          <w:sz w:val="26"/>
          <w:szCs w:val="26"/>
          <w:lang w:eastAsia="lv-LV"/>
        </w:rPr>
        <w:t>valodu.</w:t>
      </w:r>
    </w:p>
    <w:p w:rsidR="00E93824" w:rsidRPr="00E93824" w:rsidRDefault="00E93824" w:rsidP="00E93824">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Iekļauties sabiedrības dzīvē un saņemt nepieciešamos pakalpojumus sarežģītāk ir cilvēkiem, kuriem nav krievu valodas prasmju. Nereti ārsti vai valsts iestāžu darbinieki nespēj komunicēt angliski, tas rada pārpratumus un sarežģījumus jautājumu risināšanā.</w:t>
      </w:r>
    </w:p>
    <w:p w:rsidR="00E93824" w:rsidRPr="00E93824" w:rsidRDefault="00E93824" w:rsidP="00C27AEB">
      <w:pPr>
        <w:autoSpaceDE w:val="0"/>
        <w:autoSpaceDN w:val="0"/>
        <w:adjustRightInd w:val="0"/>
        <w:spacing w:after="0" w:line="240" w:lineRule="auto"/>
        <w:ind w:firstLine="709"/>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Mērķa grupas pārstāvjiem parasti nav bijušas grūtības iekārtot bērnus pirmsskolas vai vispārējās izglītības iestādēs, vecāki ir apmierināti, ka izglītības iestādes ir viņu mājokļa tuvumā. Parasti šie bērni mācās mazākumtautību skolās</w:t>
      </w:r>
      <w:r w:rsidR="00C27AEB">
        <w:rPr>
          <w:rFonts w:ascii="Times New Roman" w:eastAsia="Calibri" w:hAnsi="Times New Roman"/>
          <w:sz w:val="26"/>
          <w:szCs w:val="26"/>
          <w:lang w:eastAsia="lv-LV"/>
        </w:rPr>
        <w:t>,</w:t>
      </w:r>
      <w:r w:rsidRPr="00E93824">
        <w:rPr>
          <w:rFonts w:ascii="Times New Roman" w:eastAsia="Calibri" w:hAnsi="Times New Roman"/>
          <w:sz w:val="26"/>
          <w:szCs w:val="26"/>
          <w:lang w:eastAsia="lv-LV"/>
        </w:rPr>
        <w:t xml:space="preserve"> un</w:t>
      </w:r>
      <w:r w:rsidR="00C27AEB">
        <w:rPr>
          <w:rFonts w:ascii="Times New Roman" w:eastAsia="Calibri" w:hAnsi="Times New Roman"/>
          <w:sz w:val="26"/>
          <w:szCs w:val="26"/>
          <w:lang w:eastAsia="lv-LV"/>
        </w:rPr>
        <w:t xml:space="preserve"> </w:t>
      </w:r>
      <w:r w:rsidRPr="00E93824">
        <w:rPr>
          <w:rFonts w:ascii="Times New Roman" w:eastAsia="Calibri" w:hAnsi="Times New Roman"/>
          <w:sz w:val="26"/>
          <w:szCs w:val="26"/>
          <w:lang w:eastAsia="lv-LV"/>
        </w:rPr>
        <w:t>izglītības iestāžu apmeklēšana nodrošina bērniem latviešu valodas apguvi ātrāk un sekmīgāk nekā viņu vecākiem.</w:t>
      </w:r>
    </w:p>
    <w:p w:rsidR="00E93824" w:rsidRPr="00C27AEB" w:rsidRDefault="00E93824" w:rsidP="00E93824">
      <w:pPr>
        <w:autoSpaceDE w:val="0"/>
        <w:autoSpaceDN w:val="0"/>
        <w:adjustRightInd w:val="0"/>
        <w:spacing w:after="0" w:line="240" w:lineRule="auto"/>
        <w:ind w:firstLine="720"/>
        <w:jc w:val="both"/>
        <w:rPr>
          <w:rFonts w:ascii="Times New Roman" w:eastAsia="Calibri" w:hAnsi="Times New Roman"/>
          <w:i/>
          <w:sz w:val="26"/>
          <w:szCs w:val="26"/>
          <w:lang w:eastAsia="lv-LV"/>
        </w:rPr>
      </w:pPr>
      <w:r w:rsidRPr="00C27AEB">
        <w:rPr>
          <w:rFonts w:ascii="Times New Roman" w:eastAsia="Calibri" w:hAnsi="Times New Roman"/>
          <w:i/>
          <w:sz w:val="26"/>
          <w:szCs w:val="26"/>
          <w:lang w:eastAsia="lv-LV"/>
        </w:rPr>
        <w:t>Iekļaušanās darba dzīvē.</w:t>
      </w:r>
    </w:p>
    <w:p w:rsidR="00E93824" w:rsidRPr="00E93824" w:rsidRDefault="00E93824" w:rsidP="00E93824">
      <w:pPr>
        <w:autoSpaceDE w:val="0"/>
        <w:autoSpaceDN w:val="0"/>
        <w:adjustRightInd w:val="0"/>
        <w:spacing w:after="0" w:line="240" w:lineRule="auto"/>
        <w:ind w:firstLine="720"/>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Iekļaušanās darba dzīvē noris dažādi: (1) tas var būt savs bizness, kas „pārcelts” uz Latviju; (2) cilvēki ar plašām citu valodu (ķīniešu, korejiešu, angļu) zināšanām iztiku pelna, mācot svešvalodas, (3) dzīve Latvijā tiek apvienota ar attālināto darbu savā izcelsmes valstī, (4) sākotnēji, būdami algota darba veicēji, investori nereti plāno uzsākt savu biznesu Latvijā, (5) iebraucēji cenšas apgūt latviešu valodas prasmes, lai varētu pretendēt uz kvalificētu darbu šeit Latvijā.</w:t>
      </w:r>
    </w:p>
    <w:p w:rsidR="00E93824" w:rsidRPr="00C27AEB" w:rsidRDefault="00E93824" w:rsidP="00E93824">
      <w:pPr>
        <w:autoSpaceDE w:val="0"/>
        <w:autoSpaceDN w:val="0"/>
        <w:adjustRightInd w:val="0"/>
        <w:spacing w:after="0" w:line="240" w:lineRule="auto"/>
        <w:ind w:firstLine="720"/>
        <w:jc w:val="both"/>
        <w:rPr>
          <w:rFonts w:ascii="Times New Roman" w:eastAsia="Calibri" w:hAnsi="Times New Roman"/>
          <w:i/>
          <w:sz w:val="26"/>
          <w:szCs w:val="26"/>
          <w:lang w:eastAsia="lv-LV"/>
        </w:rPr>
      </w:pPr>
      <w:r w:rsidRPr="00C27AEB">
        <w:rPr>
          <w:rFonts w:ascii="Times New Roman" w:eastAsia="Calibri" w:hAnsi="Times New Roman"/>
          <w:i/>
          <w:sz w:val="26"/>
          <w:szCs w:val="26"/>
          <w:lang w:eastAsia="lv-LV"/>
        </w:rPr>
        <w:t>Līdzdalība.</w:t>
      </w:r>
    </w:p>
    <w:p w:rsidR="00E93824" w:rsidRPr="00E93824" w:rsidRDefault="00E93824" w:rsidP="00E93824">
      <w:pPr>
        <w:autoSpaceDE w:val="0"/>
        <w:autoSpaceDN w:val="0"/>
        <w:adjustRightInd w:val="0"/>
        <w:spacing w:after="0" w:line="240" w:lineRule="auto"/>
        <w:ind w:firstLine="720"/>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Iekļaušanos vietējā sabiedrībā un līdzdalību ietekmē gan Latvijā pavadītā laika posms, gan latviešu valodas prasmes līmenis. Visbiežāk saskarsme ar vietējo sabiedrību notiek kaimiņu, darba kolēģu, integrācijas kursu norises vietā, t.sk. ar citiem trešo valstu pilsoņiem. Īpaši pozitīvi tiek vērtēti tie valodas kursi, paralēli kuriem tiek organizēti pasākumi un ekskursijas, kas palīdz iebraucējiem iepazīt Latvijas vēsturi un kultūru. Runājot par kultūru atšķirībām, salīdzinot dzīvi Latvijā un savā zemē, investori parasti uzsver sadzīves kultūru atšķirības, norādot, ka Latvijā ir eiropeiska kultūra, atvērta sabiedrība, cilvēks var justies brīvs, te ir droša vide gan ģimenēm ar bērniem, gan pensijas vecuma cilvēkiem.</w:t>
      </w:r>
    </w:p>
    <w:p w:rsidR="00E93824" w:rsidRPr="00E93824" w:rsidRDefault="00E93824" w:rsidP="00E93824">
      <w:pPr>
        <w:autoSpaceDE w:val="0"/>
        <w:autoSpaceDN w:val="0"/>
        <w:adjustRightInd w:val="0"/>
        <w:spacing w:after="0" w:line="240" w:lineRule="auto"/>
        <w:ind w:firstLine="720"/>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Tai pašā laikā respondenti uzsvēra latviešu atšķirīgo raksturu, kas pamatā izpaužas kā noslēgtība un kas lielā mērā ietekmē socializēšanās procesu. Kopumā intervētie imigranti investori uzsver, ka vietējie iedzīvotāji ir draudzīgi un izpalīdzīgi, arī paši saskarsmē ar vietējiem cenšas būt atvērti, tāpēc draudzīgu un pretimnākošu attieksmi uzskata par saprotamu.</w:t>
      </w:r>
    </w:p>
    <w:p w:rsidR="00E93824" w:rsidRPr="00E93824" w:rsidRDefault="00E93824" w:rsidP="00E93824">
      <w:pPr>
        <w:autoSpaceDE w:val="0"/>
        <w:autoSpaceDN w:val="0"/>
        <w:adjustRightInd w:val="0"/>
        <w:spacing w:after="0" w:line="240" w:lineRule="auto"/>
        <w:ind w:firstLine="720"/>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Respondenti no Krievijas īpaši akcentēja vietējās sabiedrības līdzsvarotību un mieru, kas viņiem pietrūcis savā valstī. Iebraucēji no tālākām Austrumu zemēm, piemēram, Ķīnas, kā ieguvumu min nelielo iedzīvotāju blīvumu Latvijā, pretstatot to pārapdzīvotībai, kas raksturīga viņu zemei, pilsētām. Problēmas, pārpratumi, sarežģījumi, komunikācijas ierobežojumi visbiežāk rodas valodu prasmju trūkuma dēļ. Netolerantu attieksmi pret sevi, galvenokārt verbālā formā, izjutuši tie respondenti, kuri ir vizuāli atšķirīgi no vietējās sabiedrības.</w:t>
      </w:r>
    </w:p>
    <w:p w:rsidR="00E93824" w:rsidRPr="00E93824" w:rsidRDefault="00E93824" w:rsidP="00E93824">
      <w:pPr>
        <w:spacing w:after="0" w:line="240" w:lineRule="auto"/>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ab/>
        <w:t>Kopumā var secināt, ka imigranti investori ir motivēti iekļauties Latvijas sabiedrībā un ciena tās kultūru, valodu, tradīcijas.</w:t>
      </w:r>
    </w:p>
    <w:p w:rsidR="00E93824" w:rsidRPr="00E93824" w:rsidRDefault="00E93824" w:rsidP="00E93824">
      <w:pPr>
        <w:spacing w:after="0" w:line="240" w:lineRule="auto"/>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ab/>
        <w:t>Galvenie ieteikumi turpmākai rīcībai:</w:t>
      </w:r>
    </w:p>
    <w:p w:rsidR="00E93824" w:rsidRPr="00E93824" w:rsidRDefault="00E93824" w:rsidP="00E93824">
      <w:pPr>
        <w:pStyle w:val="ListParagraph"/>
        <w:numPr>
          <w:ilvl w:val="0"/>
          <w:numId w:val="11"/>
        </w:numPr>
        <w:spacing w:after="0" w:line="240" w:lineRule="auto"/>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lastRenderedPageBreak/>
        <w:t>Latviešu valoda.</w:t>
      </w:r>
    </w:p>
    <w:p w:rsidR="00E93824" w:rsidRPr="00E93824" w:rsidRDefault="00E93824" w:rsidP="00E93824">
      <w:pPr>
        <w:autoSpaceDE w:val="0"/>
        <w:autoSpaceDN w:val="0"/>
        <w:adjustRightInd w:val="0"/>
        <w:spacing w:after="0" w:line="240" w:lineRule="auto"/>
        <w:ind w:firstLine="720"/>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 xml:space="preserve">Konkrētie ieteikumi latviešu valodas apguves jomā tiešā veidā izriet no valodas kursu dalībnieku minētajiem nepieciešamajiem uzlabojumiem: turpināt nodrošināt bezmaksas latviešu valodas kursus vai kursus ar </w:t>
      </w:r>
      <w:proofErr w:type="spellStart"/>
      <w:r w:rsidRPr="00E93824">
        <w:rPr>
          <w:rFonts w:ascii="Times New Roman" w:eastAsia="Calibri" w:hAnsi="Times New Roman"/>
          <w:sz w:val="26"/>
          <w:szCs w:val="26"/>
          <w:lang w:eastAsia="lv-LV"/>
        </w:rPr>
        <w:t>līdzmaksājumu</w:t>
      </w:r>
      <w:proofErr w:type="spellEnd"/>
      <w:r w:rsidRPr="00E93824">
        <w:rPr>
          <w:rFonts w:ascii="Times New Roman" w:eastAsia="Calibri" w:hAnsi="Times New Roman"/>
          <w:sz w:val="26"/>
          <w:szCs w:val="26"/>
          <w:lang w:eastAsia="lv-LV"/>
        </w:rPr>
        <w:t>; nodrošināt plašākas valodas prakses iespējas - valodas apmācībā iekļaut dažādu kultūras un sabiedrisko pasākumu apmeklēšanu, interešu grupu un tematisko sarunu klubu organizēšanu; pilnveidot valodas kursu organizatorisko pusi – valodas kursu norises laiks, vieta (tuvāk dzīves vietai, t.sk. reģionos), kursu norises nepārtrauktība, nodrošinot valodas apguves līmeņu pēctecību; pilnveidot latviešu valodas mācību līdzekļus.</w:t>
      </w:r>
    </w:p>
    <w:p w:rsidR="00E93824" w:rsidRPr="00E93824" w:rsidRDefault="00E93824" w:rsidP="00E93824">
      <w:pPr>
        <w:pStyle w:val="ListParagraph"/>
        <w:numPr>
          <w:ilvl w:val="0"/>
          <w:numId w:val="11"/>
        </w:numPr>
        <w:autoSpaceDE w:val="0"/>
        <w:autoSpaceDN w:val="0"/>
        <w:adjustRightInd w:val="0"/>
        <w:spacing w:after="0" w:line="240" w:lineRule="auto"/>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Piederības sajūta.</w:t>
      </w:r>
    </w:p>
    <w:p w:rsidR="00E93824" w:rsidRPr="00E93824" w:rsidRDefault="00E93824" w:rsidP="00E93824">
      <w:pPr>
        <w:autoSpaceDE w:val="0"/>
        <w:autoSpaceDN w:val="0"/>
        <w:adjustRightInd w:val="0"/>
        <w:spacing w:after="0" w:line="240" w:lineRule="auto"/>
        <w:ind w:firstLine="720"/>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 xml:space="preserve">Nodrošināt integrācijas kursu (kursu par Latvijas valsts vēsturi, kultūru, iestādēm u.c. aspektiem) pieejamību. Integrācijas kursus var organizēt gan valsts pārvaldes institūcijas, kuras veic sabiedrības integrācijas funkciju, gan NVO, kurām ir pieredze šādu pakalpojumu sniegšanā. Svarīgi nodrošināt šādu kursu sistemātiskumu (pieejamību ar zināmu regularitāti). Vēlams, lai integrācijas kursi to dalībniekiem būtu pieejami bez maksas vai ar nelielu </w:t>
      </w:r>
      <w:proofErr w:type="spellStart"/>
      <w:r w:rsidRPr="00E93824">
        <w:rPr>
          <w:rFonts w:ascii="Times New Roman" w:eastAsia="Calibri" w:hAnsi="Times New Roman"/>
          <w:sz w:val="26"/>
          <w:szCs w:val="26"/>
          <w:lang w:eastAsia="lv-LV"/>
        </w:rPr>
        <w:t>līdzmaksājumu</w:t>
      </w:r>
      <w:proofErr w:type="spellEnd"/>
      <w:r w:rsidRPr="00E93824">
        <w:rPr>
          <w:rFonts w:ascii="Times New Roman" w:eastAsia="Calibri" w:hAnsi="Times New Roman"/>
          <w:sz w:val="26"/>
          <w:szCs w:val="26"/>
          <w:lang w:eastAsia="lv-LV"/>
        </w:rPr>
        <w:t>. Ieteicams izstrādāt integrācijas kursu minimālo programmu (obligāto saturu), kuru iespējams papildināt ar dažādiem pasākumiem atbilstoši kursu dalībnieku vajadzībām un interesēm.</w:t>
      </w:r>
    </w:p>
    <w:p w:rsidR="00E93824" w:rsidRPr="00E93824" w:rsidRDefault="00E93824" w:rsidP="00E93824">
      <w:pPr>
        <w:pStyle w:val="ListParagraph"/>
        <w:numPr>
          <w:ilvl w:val="0"/>
          <w:numId w:val="11"/>
        </w:numPr>
        <w:spacing w:after="0" w:line="240" w:lineRule="auto"/>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Saskarsme ar Latvijas iedzīvotājiem.</w:t>
      </w:r>
    </w:p>
    <w:p w:rsidR="00E93824" w:rsidRPr="00E93824" w:rsidRDefault="00E93824" w:rsidP="00E93824">
      <w:pPr>
        <w:autoSpaceDE w:val="0"/>
        <w:autoSpaceDN w:val="0"/>
        <w:adjustRightInd w:val="0"/>
        <w:spacing w:after="0" w:line="240" w:lineRule="auto"/>
        <w:ind w:firstLine="720"/>
        <w:jc w:val="both"/>
        <w:rPr>
          <w:rFonts w:ascii="Times New Roman" w:eastAsia="Calibri" w:hAnsi="Times New Roman"/>
          <w:sz w:val="26"/>
          <w:szCs w:val="26"/>
          <w:lang w:eastAsia="lv-LV"/>
        </w:rPr>
      </w:pPr>
      <w:r w:rsidRPr="00E93824">
        <w:rPr>
          <w:rFonts w:ascii="Times New Roman" w:eastAsia="Calibri" w:hAnsi="Times New Roman"/>
          <w:sz w:val="26"/>
          <w:szCs w:val="26"/>
          <w:lang w:eastAsia="lv-LV"/>
        </w:rPr>
        <w:t xml:space="preserve">Lai veicinātu trešo valstu pilsoņu saskarsmi ar vietējiem iedzīvotājiem, nepieciešams ne tikai nodrošināt valsts valodas apguves pasākumus, bet arī popularizēt sabiedrībā aicinājumu runāt ar citu </w:t>
      </w:r>
      <w:proofErr w:type="spellStart"/>
      <w:r w:rsidRPr="00E93824">
        <w:rPr>
          <w:rFonts w:ascii="Times New Roman" w:eastAsia="Calibri" w:hAnsi="Times New Roman"/>
          <w:sz w:val="26"/>
          <w:szCs w:val="26"/>
          <w:lang w:eastAsia="lv-LV"/>
        </w:rPr>
        <w:t>etnolingvistisko</w:t>
      </w:r>
      <w:proofErr w:type="spellEnd"/>
      <w:r w:rsidRPr="00E93824">
        <w:rPr>
          <w:rFonts w:ascii="Times New Roman" w:eastAsia="Calibri" w:hAnsi="Times New Roman"/>
          <w:sz w:val="26"/>
          <w:szCs w:val="26"/>
          <w:lang w:eastAsia="lv-LV"/>
        </w:rPr>
        <w:t xml:space="preserve"> grupu pārstāvjiem latviešu valodā tā vietā, lai pārietu uz ērtāko kopējās saziņas valodu – krievu vai angļu. Pētījumā tika identificēta labā prakse šādos gadījumos lietot īsu frāzi – “es mācos latviešu valodu”, kuru ieteicams atbalstīt, piemēram, izplatot to cilvēku vidū, kas mācās latviešu valodu un vēlas tajā runāt, nozīmītes ar šādu uzrakstu. Tāpat ieteicams izvērtēt iespēju rīkot plašas sabiedrības informatīvās kampaņas, kas draudzīgā formā aicina vietējo sabiedrību un cilvēkus, kas nesen pārcēlušies uz dzīvi Latvijā, savstarpējā komunikācijā lietot latviešu valodu.</w:t>
      </w:r>
    </w:p>
    <w:p w:rsidR="00D0393D" w:rsidRPr="002B4D22" w:rsidRDefault="00590680" w:rsidP="00F75DA8">
      <w:pPr>
        <w:autoSpaceDE w:val="0"/>
        <w:autoSpaceDN w:val="0"/>
        <w:adjustRightInd w:val="0"/>
        <w:spacing w:after="0" w:line="240" w:lineRule="auto"/>
        <w:ind w:firstLine="567"/>
        <w:jc w:val="both"/>
        <w:rPr>
          <w:rFonts w:ascii="Times New Roman" w:hAnsi="Times New Roman"/>
          <w:sz w:val="26"/>
          <w:szCs w:val="26"/>
        </w:rPr>
      </w:pPr>
      <w:r w:rsidRPr="002B4D22">
        <w:rPr>
          <w:rFonts w:ascii="Times New Roman" w:eastAsia="Calibri" w:hAnsi="Times New Roman"/>
          <w:sz w:val="26"/>
          <w:szCs w:val="26"/>
          <w:lang w:eastAsia="lv-LV"/>
        </w:rPr>
        <w:t>Pētījuma autori secina, ka nepieciešams i</w:t>
      </w:r>
      <w:r w:rsidR="00D0393D" w:rsidRPr="002B4D22">
        <w:rPr>
          <w:rFonts w:ascii="Times New Roman" w:eastAsia="Calibri" w:hAnsi="Times New Roman"/>
          <w:sz w:val="26"/>
          <w:szCs w:val="26"/>
          <w:lang w:eastAsia="lv-LV"/>
        </w:rPr>
        <w:t>nformēt sabiedrību par trešo valstu pilsoņu – imigrantu</w:t>
      </w:r>
      <w:r w:rsidRPr="002B4D22">
        <w:rPr>
          <w:rFonts w:ascii="Times New Roman" w:eastAsia="Calibri" w:hAnsi="Times New Roman"/>
          <w:sz w:val="26"/>
          <w:szCs w:val="26"/>
          <w:lang w:eastAsia="lv-LV"/>
        </w:rPr>
        <w:t>-</w:t>
      </w:r>
      <w:r w:rsidR="00D0393D" w:rsidRPr="002B4D22">
        <w:rPr>
          <w:rFonts w:ascii="Times New Roman" w:eastAsia="Calibri" w:hAnsi="Times New Roman"/>
          <w:sz w:val="26"/>
          <w:szCs w:val="26"/>
          <w:lang w:eastAsia="lv-LV"/>
        </w:rPr>
        <w:t>investoru – grupas daudzveidīgumu,</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tās motivāciju dzīvot un strādāt Latvijā, attieksmi pret Latvijas valsti, ikdienas dzīvi, ieguldījumu mazās un vidējās uzņēmējdarbības attīstībā. Tas nepieciešams, lai veidotu sabiedrībā plašāku izpratni par šiem cilvēkiem</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Izpratne un iespēja iepazīt cilvēkus, kas iebrauc un apmetas uz dzīvi Latvijā, sekmētu</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tolerantākas attieksmes veidošanos un nostiprināšanos vietējā sabiedrībā, mazinot arī diskriminācijas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izpausmes.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Aptaujas rezultāti liecina, ka no mērķa grupas uztveres viedokļa uzlabojas situācija diskriminācijas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 xml:space="preserve">mazināšanas jomā – ir samazinājies to trešo valstu pilsoņu īpatsvars, kas ir </w:t>
      </w:r>
      <w:r w:rsidR="008B47C3" w:rsidRPr="002B4D22">
        <w:rPr>
          <w:rFonts w:ascii="Times New Roman" w:eastAsia="Calibri" w:hAnsi="Times New Roman"/>
          <w:sz w:val="26"/>
          <w:szCs w:val="26"/>
          <w:lang w:eastAsia="lv-LV"/>
        </w:rPr>
        <w:t>saskārušies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ar netaisnīgu vai aizvainojošu attieksmi savas valstiskās piederības, etniskās vai reliģiskās piederības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dēļ. Uzlabojušies ir arī rādītāji, kas raksturo trešo valstu pilsoņu pieredzi</w:t>
      </w:r>
      <w:r w:rsidR="00C27AEB">
        <w:rPr>
          <w:rFonts w:ascii="Times New Roman" w:eastAsia="Calibri" w:hAnsi="Times New Roman"/>
          <w:sz w:val="26"/>
          <w:szCs w:val="26"/>
          <w:lang w:eastAsia="lv-LV"/>
        </w:rPr>
        <w:t>,</w:t>
      </w:r>
      <w:r w:rsidR="00D0393D" w:rsidRPr="002B4D22">
        <w:rPr>
          <w:rFonts w:ascii="Times New Roman" w:eastAsia="Calibri" w:hAnsi="Times New Roman"/>
          <w:sz w:val="26"/>
          <w:szCs w:val="26"/>
          <w:lang w:eastAsia="lv-LV"/>
        </w:rPr>
        <w:t xml:space="preserve"> kontaktējoties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ar valsts un pašvaldību iestāžu darbiniekiem. Vienlaikus saglabājas rasu diskriminācijas pazīmes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vizuāli atšķirīgo trešo valstu pilsoņu grupās.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Starpinstitucionālās sadarbības ziņā ir notikuši zināmi uzlabojumi – PMLP un NVA sadarbības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 xml:space="preserve">rezultātā ir ieviests </w:t>
      </w:r>
      <w:r w:rsidR="00D0393D" w:rsidRPr="002B4D22">
        <w:rPr>
          <w:rFonts w:ascii="Times New Roman" w:eastAsia="Calibri" w:hAnsi="Times New Roman"/>
          <w:sz w:val="26"/>
          <w:szCs w:val="26"/>
          <w:lang w:eastAsia="lv-LV"/>
        </w:rPr>
        <w:lastRenderedPageBreak/>
        <w:t>vienas pieturas aģentūras princips darba atļaujas un uzturēšanās atļaujas</w:t>
      </w:r>
      <w:r w:rsidRPr="002B4D22">
        <w:rPr>
          <w:rFonts w:ascii="Times New Roman" w:eastAsia="Calibri" w:hAnsi="Times New Roman"/>
          <w:sz w:val="26"/>
          <w:szCs w:val="26"/>
          <w:lang w:eastAsia="lv-LV"/>
        </w:rPr>
        <w:t xml:space="preserve"> </w:t>
      </w:r>
      <w:r w:rsidR="00D0393D" w:rsidRPr="002B4D22">
        <w:rPr>
          <w:rFonts w:ascii="Times New Roman" w:eastAsia="Calibri" w:hAnsi="Times New Roman"/>
          <w:sz w:val="26"/>
          <w:szCs w:val="26"/>
          <w:lang w:eastAsia="lv-LV"/>
        </w:rPr>
        <w:t>kārtošanā trešo valstu pilsoņiem</w:t>
      </w:r>
      <w:r w:rsidRPr="002B4D22">
        <w:rPr>
          <w:rStyle w:val="FootnoteReference"/>
          <w:rFonts w:ascii="Times New Roman" w:eastAsia="Calibri" w:hAnsi="Times New Roman"/>
          <w:sz w:val="26"/>
          <w:szCs w:val="26"/>
          <w:lang w:eastAsia="lv-LV"/>
        </w:rPr>
        <w:footnoteReference w:id="34"/>
      </w:r>
      <w:r w:rsidR="00D0393D" w:rsidRPr="002B4D22">
        <w:rPr>
          <w:rFonts w:ascii="Times New Roman" w:eastAsia="Calibri" w:hAnsi="Times New Roman"/>
          <w:sz w:val="26"/>
          <w:szCs w:val="26"/>
          <w:lang w:eastAsia="lv-LV"/>
        </w:rPr>
        <w:t>.</w:t>
      </w:r>
    </w:p>
    <w:p w:rsidR="002B224D" w:rsidRDefault="00CF5838" w:rsidP="00F75DA8">
      <w:pPr>
        <w:spacing w:after="0" w:line="240" w:lineRule="auto"/>
        <w:ind w:firstLine="567"/>
        <w:jc w:val="both"/>
        <w:rPr>
          <w:rFonts w:ascii="Times New Roman" w:hAnsi="Times New Roman"/>
          <w:sz w:val="26"/>
          <w:szCs w:val="26"/>
        </w:rPr>
      </w:pPr>
      <w:r>
        <w:rPr>
          <w:rFonts w:ascii="Times New Roman" w:hAnsi="Times New Roman"/>
          <w:sz w:val="26"/>
          <w:szCs w:val="26"/>
        </w:rPr>
        <w:t>Drošības policija</w:t>
      </w:r>
      <w:r w:rsidR="00C27AEB">
        <w:rPr>
          <w:rFonts w:ascii="Times New Roman" w:hAnsi="Times New Roman"/>
          <w:sz w:val="26"/>
          <w:szCs w:val="26"/>
        </w:rPr>
        <w:t xml:space="preserve">, </w:t>
      </w:r>
      <w:r w:rsidR="00B84B81">
        <w:rPr>
          <w:rFonts w:ascii="Times New Roman" w:hAnsi="Times New Roman"/>
          <w:sz w:val="26"/>
          <w:szCs w:val="26"/>
        </w:rPr>
        <w:t>identificējot riska faktorus, kas ilgtermiņā var radīt negatīvu ietekmi uz sabiedrības attīstību un uzņēmējdarbības vidi kopumā, kā arī radīt apdraudējumu valsts drošībai, norāda, ka, lai gan pārskata periodā ir būtiski samazinājies TUA pieteikumu un saņēmēju skaits, joprojām saglabājas tendence, ka TUA galvenokārt pieprasa</w:t>
      </w:r>
      <w:r w:rsidR="00CD3FFF">
        <w:rPr>
          <w:rFonts w:ascii="Times New Roman" w:hAnsi="Times New Roman"/>
          <w:sz w:val="26"/>
          <w:szCs w:val="26"/>
        </w:rPr>
        <w:t xml:space="preserve"> personas no Krievijas Federācijas, kuras nav motivētas apgūt latviešu valodu, un tādējādi Latvijā turpina nostiprināties divkopienu valsts modelis. Šāda situācija ir pretrunā vienai no Nacionālās drošības koncepcijā izvirzītajām prioritātēm – pilsoniskās sabiedrības vienotības apdraudējuma novēršanai. </w:t>
      </w:r>
    </w:p>
    <w:p w:rsidR="00CD3FFF" w:rsidRDefault="00CD3FFF" w:rsidP="00F75DA8">
      <w:pPr>
        <w:spacing w:after="0" w:line="240" w:lineRule="auto"/>
        <w:ind w:firstLine="567"/>
        <w:jc w:val="both"/>
        <w:rPr>
          <w:rFonts w:ascii="Times New Roman" w:hAnsi="Times New Roman"/>
          <w:sz w:val="26"/>
          <w:szCs w:val="26"/>
        </w:rPr>
      </w:pPr>
      <w:r>
        <w:rPr>
          <w:rFonts w:ascii="Times New Roman" w:hAnsi="Times New Roman"/>
          <w:sz w:val="26"/>
          <w:szCs w:val="26"/>
        </w:rPr>
        <w:t>Konstatēts arī, ka TUA saņemšanai piesakās un, iespējams, atsevišķos gadījumos tās arī saņem</w:t>
      </w:r>
      <w:r w:rsidR="008468F4">
        <w:rPr>
          <w:rFonts w:ascii="Times New Roman" w:hAnsi="Times New Roman"/>
          <w:sz w:val="26"/>
          <w:szCs w:val="26"/>
        </w:rPr>
        <w:t xml:space="preserve"> </w:t>
      </w:r>
      <w:r>
        <w:rPr>
          <w:rFonts w:ascii="Times New Roman" w:hAnsi="Times New Roman"/>
          <w:sz w:val="26"/>
          <w:szCs w:val="26"/>
        </w:rPr>
        <w:t>esošie vai bijušie Krievijas Federācijas un citu NVS valstu drošības un izlūkošanas dienestu, tiesību aizsardzības iestāžu un bruņoto spēku amatpersonas, kuru uzturēšanās Latvijas Republikas teritorijā ilgtermiņā var radīt riskus valsts drošībai.</w:t>
      </w:r>
    </w:p>
    <w:p w:rsidR="008468F4" w:rsidRDefault="008468F4" w:rsidP="00F75DA8">
      <w:pPr>
        <w:spacing w:after="0" w:line="240" w:lineRule="auto"/>
        <w:ind w:firstLine="567"/>
        <w:jc w:val="both"/>
        <w:rPr>
          <w:rFonts w:ascii="Times New Roman" w:hAnsi="Times New Roman"/>
          <w:sz w:val="26"/>
          <w:szCs w:val="26"/>
        </w:rPr>
      </w:pPr>
      <w:r>
        <w:rPr>
          <w:rFonts w:ascii="Times New Roman" w:hAnsi="Times New Roman"/>
          <w:sz w:val="26"/>
          <w:szCs w:val="26"/>
        </w:rPr>
        <w:t xml:space="preserve">Kā viens no šķēršļiem, kas apgrūtina pieprasījumu pārbaudi, jāmin ierobežotā iespēja pārbaudīt TUA pieprasītāju un turētāju finanšu līdzekļu izcelsmes legalitāti, jo trešo valstu institūcijas (t.sk., Krievijas Federācija) nesniedz informāciju par saviem pilsoņiem. </w:t>
      </w:r>
    </w:p>
    <w:p w:rsidR="003C6A73" w:rsidRDefault="00DD462A" w:rsidP="00DD462A">
      <w:pPr>
        <w:autoSpaceDE w:val="0"/>
        <w:autoSpaceDN w:val="0"/>
        <w:adjustRightInd w:val="0"/>
        <w:spacing w:after="0" w:line="240" w:lineRule="auto"/>
        <w:ind w:firstLine="567"/>
        <w:jc w:val="both"/>
        <w:rPr>
          <w:rFonts w:ascii="Times New Roman" w:hAnsi="Times New Roman"/>
          <w:sz w:val="26"/>
          <w:szCs w:val="26"/>
        </w:rPr>
      </w:pPr>
      <w:r w:rsidRPr="00DD462A">
        <w:rPr>
          <w:rFonts w:ascii="Times New Roman" w:hAnsi="Times New Roman"/>
          <w:sz w:val="26"/>
          <w:szCs w:val="26"/>
        </w:rPr>
        <w:t>Viens no pretpasākumiem d</w:t>
      </w:r>
      <w:r w:rsidR="008B47C3" w:rsidRPr="00DD462A">
        <w:rPr>
          <w:rFonts w:ascii="Times New Roman" w:hAnsi="Times New Roman"/>
          <w:sz w:val="26"/>
          <w:szCs w:val="26"/>
        </w:rPr>
        <w:t xml:space="preserve">rošības risku </w:t>
      </w:r>
      <w:r w:rsidR="003C6A73" w:rsidRPr="00DD462A">
        <w:rPr>
          <w:rFonts w:ascii="Times New Roman" w:hAnsi="Times New Roman"/>
          <w:sz w:val="26"/>
          <w:szCs w:val="26"/>
        </w:rPr>
        <w:t>mazināšanai</w:t>
      </w:r>
      <w:r w:rsidRPr="00DD462A">
        <w:rPr>
          <w:rFonts w:ascii="Times New Roman" w:hAnsi="Times New Roman"/>
          <w:sz w:val="26"/>
          <w:szCs w:val="26"/>
        </w:rPr>
        <w:t xml:space="preserve"> varētu būt papildu finansējuma piešķiršana</w:t>
      </w:r>
      <w:r w:rsidR="003C6A73" w:rsidRPr="00DD462A">
        <w:rPr>
          <w:rFonts w:ascii="Times New Roman" w:hAnsi="Times New Roman"/>
          <w:sz w:val="26"/>
          <w:szCs w:val="26"/>
        </w:rPr>
        <w:t xml:space="preserve"> PMLP un Latvijas drošības iestāžu tehniskās un profesionālās kapacitātes celšanai, lai spētu identificēt un novērst iespējamo apdraudējumu</w:t>
      </w:r>
      <w:r>
        <w:rPr>
          <w:rFonts w:ascii="Times New Roman" w:hAnsi="Times New Roman"/>
          <w:sz w:val="26"/>
          <w:szCs w:val="26"/>
        </w:rPr>
        <w:t>.</w:t>
      </w:r>
    </w:p>
    <w:p w:rsidR="00490FA8" w:rsidRDefault="00490FA8" w:rsidP="00A00413">
      <w:pPr>
        <w:pStyle w:val="Heading1"/>
        <w:spacing w:before="0" w:after="60" w:line="240" w:lineRule="auto"/>
        <w:rPr>
          <w:rFonts w:ascii="Times New Roman" w:hAnsi="Times New Roman"/>
          <w:color w:val="auto"/>
        </w:rPr>
      </w:pPr>
    </w:p>
    <w:p w:rsidR="009B10A4" w:rsidRPr="002B4D22" w:rsidRDefault="009B10A4" w:rsidP="00A00413">
      <w:pPr>
        <w:pStyle w:val="Heading1"/>
        <w:spacing w:before="0" w:after="60" w:line="240" w:lineRule="auto"/>
        <w:rPr>
          <w:rFonts w:ascii="Times New Roman" w:hAnsi="Times New Roman"/>
          <w:color w:val="auto"/>
        </w:rPr>
      </w:pPr>
      <w:bookmarkStart w:id="33" w:name="_Toc429659172"/>
      <w:r w:rsidRPr="002B4D22">
        <w:rPr>
          <w:rFonts w:ascii="Times New Roman" w:hAnsi="Times New Roman"/>
          <w:color w:val="auto"/>
        </w:rPr>
        <w:t>Secinājumi</w:t>
      </w:r>
      <w:bookmarkEnd w:id="30"/>
      <w:bookmarkEnd w:id="33"/>
    </w:p>
    <w:p w:rsidR="008A4B96" w:rsidRPr="002B4D22" w:rsidRDefault="00EF6AE2"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2B4D22">
        <w:rPr>
          <w:rFonts w:ascii="Times New Roman" w:hAnsi="Times New Roman"/>
          <w:sz w:val="26"/>
          <w:szCs w:val="26"/>
        </w:rPr>
        <w:t>No 2010.gada 1.jūlija līdz 2015.gada 30.jūnijam investīciju programmas ietvaros PMLP ir saņēmusi 16 295 personu, tajā skaitā 6 871 investoru un 9 424 viņu ģimenes locekļu, iesniegumus TUA pieprasīšanai. Šajā laika posmā izsniegtas 15 820 TUA. No visiem pieņemtajiem lēmumiem 98,3% ir bijuši pozitīvi lēmumi.</w:t>
      </w:r>
      <w:r w:rsidR="008A4B96" w:rsidRPr="002B4D22">
        <w:rPr>
          <w:rFonts w:ascii="Times New Roman" w:hAnsi="Times New Roman"/>
          <w:sz w:val="26"/>
          <w:szCs w:val="26"/>
        </w:rPr>
        <w:t xml:space="preserve"> No 2010.gada 1.jūlija anulēta</w:t>
      </w:r>
      <w:r w:rsidRPr="002B4D22">
        <w:rPr>
          <w:rFonts w:ascii="Times New Roman" w:hAnsi="Times New Roman"/>
          <w:sz w:val="26"/>
          <w:szCs w:val="26"/>
        </w:rPr>
        <w:t>s</w:t>
      </w:r>
      <w:r w:rsidR="008A4B96" w:rsidRPr="002B4D22">
        <w:rPr>
          <w:rFonts w:ascii="Times New Roman" w:hAnsi="Times New Roman"/>
          <w:sz w:val="26"/>
          <w:szCs w:val="26"/>
        </w:rPr>
        <w:t xml:space="preserve"> </w:t>
      </w:r>
      <w:r w:rsidRPr="002B4D22">
        <w:rPr>
          <w:rFonts w:ascii="Times New Roman" w:hAnsi="Times New Roman"/>
          <w:sz w:val="26"/>
          <w:szCs w:val="26"/>
        </w:rPr>
        <w:t>1 380</w:t>
      </w:r>
      <w:r w:rsidR="008A4B96" w:rsidRPr="002B4D22">
        <w:rPr>
          <w:rFonts w:ascii="Times New Roman" w:hAnsi="Times New Roman"/>
          <w:sz w:val="26"/>
          <w:szCs w:val="26"/>
        </w:rPr>
        <w:t xml:space="preserve"> TUA.</w:t>
      </w:r>
    </w:p>
    <w:p w:rsidR="008A4B96" w:rsidRPr="002B4D22" w:rsidRDefault="009B10A4"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2B4D22">
        <w:rPr>
          <w:rFonts w:ascii="Times New Roman" w:hAnsi="Times New Roman"/>
          <w:sz w:val="26"/>
          <w:szCs w:val="26"/>
        </w:rPr>
        <w:t>Nerezidentu ieguldījumi, kas saistīti ar TUA saņemšanu, no 2010.gada 1.jūlija līdz 201</w:t>
      </w:r>
      <w:r w:rsidR="00EF6AE2" w:rsidRPr="002B4D22">
        <w:rPr>
          <w:rFonts w:ascii="Times New Roman" w:hAnsi="Times New Roman"/>
          <w:sz w:val="26"/>
          <w:szCs w:val="26"/>
        </w:rPr>
        <w:t>5</w:t>
      </w:r>
      <w:r w:rsidRPr="002B4D22">
        <w:rPr>
          <w:rFonts w:ascii="Times New Roman" w:hAnsi="Times New Roman"/>
          <w:sz w:val="26"/>
          <w:szCs w:val="26"/>
        </w:rPr>
        <w:t xml:space="preserve">.gada </w:t>
      </w:r>
      <w:r w:rsidR="00EF6AE2" w:rsidRPr="002B4D22">
        <w:rPr>
          <w:rFonts w:ascii="Times New Roman" w:hAnsi="Times New Roman"/>
          <w:sz w:val="26"/>
          <w:szCs w:val="26"/>
        </w:rPr>
        <w:t>30</w:t>
      </w:r>
      <w:r w:rsidRPr="002B4D22">
        <w:rPr>
          <w:rFonts w:ascii="Times New Roman" w:hAnsi="Times New Roman"/>
          <w:sz w:val="26"/>
          <w:szCs w:val="26"/>
        </w:rPr>
        <w:t>.jū</w:t>
      </w:r>
      <w:r w:rsidR="00EF6AE2" w:rsidRPr="002B4D22">
        <w:rPr>
          <w:rFonts w:ascii="Times New Roman" w:hAnsi="Times New Roman"/>
          <w:sz w:val="26"/>
          <w:szCs w:val="26"/>
        </w:rPr>
        <w:t>n</w:t>
      </w:r>
      <w:r w:rsidRPr="002B4D22">
        <w:rPr>
          <w:rFonts w:ascii="Times New Roman" w:hAnsi="Times New Roman"/>
          <w:sz w:val="26"/>
          <w:szCs w:val="26"/>
        </w:rPr>
        <w:t xml:space="preserve">ijam bija </w:t>
      </w:r>
      <w:r w:rsidR="008A4B96" w:rsidRPr="002B4D22">
        <w:rPr>
          <w:rFonts w:ascii="Times New Roman" w:hAnsi="Times New Roman"/>
          <w:sz w:val="26"/>
          <w:szCs w:val="26"/>
        </w:rPr>
        <w:t>1</w:t>
      </w:r>
      <w:r w:rsidR="00EF6AE2" w:rsidRPr="002B4D22">
        <w:rPr>
          <w:rFonts w:ascii="Times New Roman" w:hAnsi="Times New Roman"/>
          <w:sz w:val="26"/>
          <w:szCs w:val="26"/>
        </w:rPr>
        <w:t>,313</w:t>
      </w:r>
      <w:r w:rsidRPr="002B4D22">
        <w:rPr>
          <w:rFonts w:ascii="Times New Roman" w:hAnsi="Times New Roman"/>
          <w:sz w:val="26"/>
          <w:szCs w:val="26"/>
        </w:rPr>
        <w:t> </w:t>
      </w:r>
      <w:r w:rsidR="004F1256">
        <w:rPr>
          <w:rFonts w:ascii="Times New Roman" w:hAnsi="Times New Roman"/>
          <w:sz w:val="26"/>
          <w:szCs w:val="26"/>
        </w:rPr>
        <w:t>mljrd</w:t>
      </w:r>
      <w:r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w:t>
      </w:r>
    </w:p>
    <w:p w:rsidR="00EF6AE2" w:rsidRDefault="00EF6AE2"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2B4D22">
        <w:rPr>
          <w:rFonts w:ascii="Times New Roman" w:hAnsi="Times New Roman"/>
          <w:sz w:val="26"/>
          <w:szCs w:val="26"/>
        </w:rPr>
        <w:t xml:space="preserve">No kopumā investīciju programmas ietvaros ieguldītajiem līdzekļiem no 2010.gada 1.jūlija līdz 2015.gada 30.jūnijam 83,26% jeb 1, 093 </w:t>
      </w:r>
      <w:r w:rsidR="004F1256">
        <w:rPr>
          <w:rFonts w:ascii="Times New Roman" w:hAnsi="Times New Roman"/>
          <w:sz w:val="26"/>
          <w:szCs w:val="26"/>
        </w:rPr>
        <w:t>mljrd</w:t>
      </w:r>
      <w:r w:rsidRPr="002B4D22">
        <w:rPr>
          <w:rFonts w:ascii="Times New Roman" w:hAnsi="Times New Roman"/>
          <w:sz w:val="26"/>
          <w:szCs w:val="26"/>
        </w:rPr>
        <w:t xml:space="preserve">.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(11,27% jeb 148,0 milj. </w:t>
      </w:r>
      <w:proofErr w:type="spellStart"/>
      <w:r w:rsidR="00C232F4" w:rsidRPr="002B4D22">
        <w:rPr>
          <w:rFonts w:ascii="Times New Roman" w:hAnsi="Times New Roman"/>
          <w:i/>
          <w:sz w:val="26"/>
          <w:szCs w:val="26"/>
        </w:rPr>
        <w:t>euro</w:t>
      </w:r>
      <w:proofErr w:type="spellEnd"/>
      <w:r w:rsidRPr="002B4D22">
        <w:rPr>
          <w:rFonts w:ascii="Times New Roman" w:hAnsi="Times New Roman"/>
          <w:i/>
          <w:sz w:val="26"/>
          <w:szCs w:val="26"/>
        </w:rPr>
        <w:t xml:space="preserve"> </w:t>
      </w:r>
      <w:r w:rsidRPr="002B4D22">
        <w:rPr>
          <w:rFonts w:ascii="Times New Roman" w:hAnsi="Times New Roman"/>
          <w:sz w:val="26"/>
          <w:szCs w:val="26"/>
        </w:rPr>
        <w:t>no visiem ieguldījumiem), savukārt attiecinātie ieguldījumi kapitālsabiedrību p</w:t>
      </w:r>
      <w:r w:rsidR="00595C5C">
        <w:rPr>
          <w:rFonts w:ascii="Times New Roman" w:hAnsi="Times New Roman"/>
          <w:sz w:val="26"/>
          <w:szCs w:val="26"/>
        </w:rPr>
        <w:t xml:space="preserve">amatkapitālā veido tikai 5,39% </w:t>
      </w:r>
      <w:r w:rsidRPr="002B4D22">
        <w:rPr>
          <w:rFonts w:ascii="Times New Roman" w:hAnsi="Times New Roman"/>
          <w:sz w:val="26"/>
          <w:szCs w:val="26"/>
        </w:rPr>
        <w:t xml:space="preserve">jeb 70,8 milj.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no kopējām veiktajām investīcijām attiecīgajā periodā. Īpašam mērķim noteiktu bezprocentu valsts vērtspapīru iegādē no 2015.gada 1.janvāra ieguldīts 1 milj. </w:t>
      </w:r>
      <w:proofErr w:type="spellStart"/>
      <w:r w:rsidR="00C232F4" w:rsidRPr="002B4D22">
        <w:rPr>
          <w:rFonts w:ascii="Times New Roman" w:hAnsi="Times New Roman"/>
          <w:i/>
          <w:sz w:val="26"/>
          <w:szCs w:val="26"/>
        </w:rPr>
        <w:t>euro</w:t>
      </w:r>
      <w:proofErr w:type="spellEnd"/>
      <w:r w:rsidRPr="002B4D22">
        <w:rPr>
          <w:rFonts w:ascii="Times New Roman" w:hAnsi="Times New Roman"/>
          <w:sz w:val="26"/>
          <w:szCs w:val="26"/>
        </w:rPr>
        <w:t xml:space="preserve"> jeb 0,08% no kopējā investīciju apjoma. </w:t>
      </w:r>
    </w:p>
    <w:p w:rsidR="002D08D3" w:rsidRPr="0016704B" w:rsidRDefault="002D08D3" w:rsidP="002D08D3">
      <w:pPr>
        <w:pStyle w:val="HTMLPreformatted"/>
        <w:numPr>
          <w:ilvl w:val="0"/>
          <w:numId w:val="3"/>
        </w:numPr>
        <w:jc w:val="both"/>
        <w:rPr>
          <w:rFonts w:ascii="Times New Roman" w:hAnsi="Times New Roman"/>
          <w:sz w:val="26"/>
          <w:szCs w:val="26"/>
        </w:rPr>
      </w:pPr>
      <w:r>
        <w:rPr>
          <w:rFonts w:ascii="Times New Roman" w:hAnsi="Times New Roman"/>
          <w:sz w:val="26"/>
          <w:szCs w:val="26"/>
        </w:rPr>
        <w:t>P</w:t>
      </w:r>
      <w:r w:rsidRPr="0016704B">
        <w:rPr>
          <w:rFonts w:ascii="Times New Roman" w:hAnsi="Times New Roman"/>
          <w:sz w:val="26"/>
          <w:szCs w:val="26"/>
        </w:rPr>
        <w:t>ārskata periodā (līdz 2015.gada 30.jūnijam) īpašam mērķim noteikto bezprocentu valsts vērtspapīru emisijas rezultātā valsts parāds palielinājies par</w:t>
      </w:r>
      <w:r>
        <w:rPr>
          <w:rFonts w:ascii="Times New Roman" w:hAnsi="Times New Roman"/>
          <w:sz w:val="26"/>
          <w:szCs w:val="26"/>
        </w:rPr>
        <w:t xml:space="preserve"> </w:t>
      </w:r>
      <w:r w:rsidRPr="0016704B">
        <w:rPr>
          <w:rFonts w:ascii="Times New Roman" w:hAnsi="Times New Roman"/>
          <w:sz w:val="26"/>
          <w:szCs w:val="26"/>
        </w:rPr>
        <w:t xml:space="preserve">250 000 </w:t>
      </w:r>
      <w:proofErr w:type="spellStart"/>
      <w:r w:rsidRPr="0016704B">
        <w:rPr>
          <w:rFonts w:ascii="Times New Roman" w:hAnsi="Times New Roman"/>
          <w:i/>
          <w:sz w:val="26"/>
          <w:szCs w:val="26"/>
        </w:rPr>
        <w:t>euro</w:t>
      </w:r>
      <w:proofErr w:type="spellEnd"/>
      <w:r w:rsidRPr="0016704B">
        <w:rPr>
          <w:rFonts w:ascii="Times New Roman" w:hAnsi="Times New Roman"/>
          <w:sz w:val="26"/>
          <w:szCs w:val="26"/>
        </w:rPr>
        <w:t>, līdz ar to var uzskatīt, ka šis investīciju veids nav būtiski ietekmējis valsts parāda palielināšanos.</w:t>
      </w:r>
    </w:p>
    <w:p w:rsidR="002D08D3" w:rsidRPr="002B4D22" w:rsidRDefault="002D08D3" w:rsidP="002D08D3">
      <w:pPr>
        <w:pStyle w:val="ListParagraph"/>
        <w:spacing w:after="60" w:line="240" w:lineRule="auto"/>
        <w:ind w:left="284"/>
        <w:contextualSpacing w:val="0"/>
        <w:jc w:val="both"/>
        <w:rPr>
          <w:rFonts w:ascii="Times New Roman" w:hAnsi="Times New Roman"/>
          <w:sz w:val="26"/>
          <w:szCs w:val="26"/>
        </w:rPr>
      </w:pPr>
    </w:p>
    <w:p w:rsidR="00EF6AE2" w:rsidRDefault="00EF6AE2"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2B4D22">
        <w:rPr>
          <w:rFonts w:ascii="Times New Roman" w:hAnsi="Times New Roman"/>
          <w:sz w:val="26"/>
          <w:szCs w:val="26"/>
        </w:rPr>
        <w:t>Sakarā ar investīc</w:t>
      </w:r>
      <w:r w:rsidR="00595C5C">
        <w:rPr>
          <w:rFonts w:ascii="Times New Roman" w:hAnsi="Times New Roman"/>
          <w:sz w:val="26"/>
          <w:szCs w:val="26"/>
        </w:rPr>
        <w:t>iju programmas nosacījumu maiņu,</w:t>
      </w:r>
      <w:r w:rsidRPr="002B4D22">
        <w:rPr>
          <w:rFonts w:ascii="Times New Roman" w:hAnsi="Times New Roman"/>
          <w:sz w:val="26"/>
          <w:szCs w:val="26"/>
        </w:rPr>
        <w:t xml:space="preserve"> tiem kļūstot stingrākiem no 2014.gada 1.septembra, būtiski samazinājies programmas ietvaros saņemtais pieteikumu skaits</w:t>
      </w:r>
      <w:r w:rsidR="00595C5C">
        <w:rPr>
          <w:rFonts w:ascii="Times New Roman" w:hAnsi="Times New Roman"/>
          <w:sz w:val="26"/>
          <w:szCs w:val="26"/>
        </w:rPr>
        <w:t>.</w:t>
      </w:r>
      <w:r w:rsidR="00A14FE7" w:rsidRPr="002B4D22">
        <w:rPr>
          <w:rFonts w:ascii="Times New Roman" w:hAnsi="Times New Roman"/>
          <w:sz w:val="26"/>
          <w:szCs w:val="26"/>
        </w:rPr>
        <w:t xml:space="preserve"> </w:t>
      </w:r>
      <w:r w:rsidR="00595C5C">
        <w:rPr>
          <w:rFonts w:ascii="Times New Roman" w:hAnsi="Times New Roman"/>
          <w:sz w:val="26"/>
          <w:szCs w:val="26"/>
        </w:rPr>
        <w:t>J</w:t>
      </w:r>
      <w:r w:rsidR="00A14FE7" w:rsidRPr="002B4D22">
        <w:rPr>
          <w:rFonts w:ascii="Times New Roman" w:hAnsi="Times New Roman"/>
          <w:sz w:val="26"/>
          <w:szCs w:val="26"/>
        </w:rPr>
        <w:t>a 2014.gadā investīciju programmas ietvaros izsniegto TUA skaits veidoja 53% no visām izsniegtajām TUA, tad 2015.gada pirmajā pusgadā – tikai 26%.</w:t>
      </w:r>
      <w:r w:rsidR="00F77AF2">
        <w:rPr>
          <w:rFonts w:ascii="Times New Roman" w:hAnsi="Times New Roman"/>
          <w:sz w:val="26"/>
          <w:szCs w:val="26"/>
        </w:rPr>
        <w:t xml:space="preserve"> Līdz ar to samazinājies arī ar investīciju programmu saistīto ieguldījumu apmērs.</w:t>
      </w:r>
      <w:r w:rsidR="00F77AF2" w:rsidRPr="00F77AF2">
        <w:rPr>
          <w:rFonts w:ascii="Times New Roman" w:hAnsi="Times New Roman"/>
          <w:sz w:val="26"/>
          <w:szCs w:val="26"/>
          <w:lang w:eastAsia="lv-LV"/>
        </w:rPr>
        <w:t xml:space="preserve"> </w:t>
      </w:r>
      <w:r w:rsidR="00F77AF2">
        <w:rPr>
          <w:rFonts w:ascii="Times New Roman" w:hAnsi="Times New Roman"/>
          <w:sz w:val="26"/>
          <w:szCs w:val="26"/>
          <w:lang w:eastAsia="lv-LV"/>
        </w:rPr>
        <w:t>Sas</w:t>
      </w:r>
      <w:r w:rsidR="00595C5C">
        <w:rPr>
          <w:rFonts w:ascii="Times New Roman" w:hAnsi="Times New Roman"/>
          <w:sz w:val="26"/>
          <w:szCs w:val="26"/>
          <w:lang w:eastAsia="lv-LV"/>
        </w:rPr>
        <w:t>kaņā ar PMLP sniegtajiem datiem</w:t>
      </w:r>
      <w:r w:rsidR="00F77AF2">
        <w:rPr>
          <w:rFonts w:ascii="Times New Roman" w:hAnsi="Times New Roman"/>
          <w:sz w:val="26"/>
          <w:szCs w:val="26"/>
          <w:lang w:eastAsia="lv-LV"/>
        </w:rPr>
        <w:t xml:space="preserve"> 2014.gada 1.pusgadā ar pirmreizējo TUA izsniegšanu saistīto investīciju kopapjoms bija 198,9 milj. </w:t>
      </w:r>
      <w:proofErr w:type="spellStart"/>
      <w:r w:rsidR="00F77AF2" w:rsidRPr="005E6269">
        <w:rPr>
          <w:rFonts w:ascii="Times New Roman" w:hAnsi="Times New Roman"/>
          <w:i/>
          <w:sz w:val="26"/>
          <w:szCs w:val="26"/>
          <w:lang w:eastAsia="lv-LV"/>
        </w:rPr>
        <w:t>euro</w:t>
      </w:r>
      <w:proofErr w:type="spellEnd"/>
      <w:r w:rsidR="00F77AF2">
        <w:rPr>
          <w:rFonts w:ascii="Times New Roman" w:hAnsi="Times New Roman"/>
          <w:sz w:val="26"/>
          <w:szCs w:val="26"/>
          <w:lang w:eastAsia="lv-LV"/>
        </w:rPr>
        <w:t xml:space="preserve">, taču 2015.gada 1.pusgadā </w:t>
      </w:r>
      <w:r w:rsidR="00EA75E2">
        <w:rPr>
          <w:rFonts w:ascii="Times New Roman" w:hAnsi="Times New Roman"/>
          <w:sz w:val="26"/>
          <w:szCs w:val="26"/>
          <w:lang w:eastAsia="lv-LV"/>
        </w:rPr>
        <w:t xml:space="preserve">– </w:t>
      </w:r>
      <w:r w:rsidR="00F77AF2">
        <w:rPr>
          <w:rFonts w:ascii="Times New Roman" w:hAnsi="Times New Roman"/>
          <w:sz w:val="26"/>
          <w:szCs w:val="26"/>
          <w:lang w:eastAsia="lv-LV"/>
        </w:rPr>
        <w:t xml:space="preserve">34,3 milj. </w:t>
      </w:r>
      <w:proofErr w:type="spellStart"/>
      <w:r w:rsidR="00F77AF2" w:rsidRPr="005E6269">
        <w:rPr>
          <w:rFonts w:ascii="Times New Roman" w:hAnsi="Times New Roman"/>
          <w:i/>
          <w:sz w:val="26"/>
          <w:szCs w:val="26"/>
          <w:lang w:eastAsia="lv-LV"/>
        </w:rPr>
        <w:t>euro</w:t>
      </w:r>
      <w:proofErr w:type="spellEnd"/>
      <w:r w:rsidR="00F77AF2">
        <w:rPr>
          <w:rFonts w:ascii="Times New Roman" w:hAnsi="Times New Roman"/>
          <w:sz w:val="26"/>
          <w:szCs w:val="26"/>
          <w:lang w:eastAsia="lv-LV"/>
        </w:rPr>
        <w:t xml:space="preserve">. Jāņem vērā, ka lielāko daļu no šiem ieguldījumiem veidoja ieguldījumi nekustamajā īpašumā (2014.gada 1.pusgadā </w:t>
      </w:r>
      <w:r w:rsidR="00EA75E2">
        <w:rPr>
          <w:rFonts w:ascii="Times New Roman" w:hAnsi="Times New Roman"/>
          <w:sz w:val="26"/>
          <w:szCs w:val="26"/>
          <w:lang w:eastAsia="lv-LV"/>
        </w:rPr>
        <w:t xml:space="preserve">– </w:t>
      </w:r>
      <w:r w:rsidR="00F77AF2">
        <w:rPr>
          <w:rFonts w:ascii="Times New Roman" w:hAnsi="Times New Roman"/>
          <w:sz w:val="26"/>
          <w:szCs w:val="26"/>
          <w:lang w:eastAsia="lv-LV"/>
        </w:rPr>
        <w:t xml:space="preserve">88,7% un 2015.gada 1.pusgadā </w:t>
      </w:r>
      <w:r w:rsidR="00EA75E2">
        <w:rPr>
          <w:rFonts w:ascii="Times New Roman" w:hAnsi="Times New Roman"/>
          <w:sz w:val="26"/>
          <w:szCs w:val="26"/>
          <w:lang w:eastAsia="lv-LV"/>
        </w:rPr>
        <w:t>–</w:t>
      </w:r>
      <w:r w:rsidR="00F77AF2">
        <w:rPr>
          <w:rFonts w:ascii="Times New Roman" w:hAnsi="Times New Roman"/>
          <w:sz w:val="26"/>
          <w:szCs w:val="26"/>
          <w:lang w:eastAsia="lv-LV"/>
        </w:rPr>
        <w:t xml:space="preserve"> 72,87%), ko nevar uzskatīt par tiešām investīcijām uzņēmumos. Darījumu skaits ir būtiski krities, t</w:t>
      </w:r>
      <w:r w:rsidR="00F9706F">
        <w:rPr>
          <w:rFonts w:ascii="Times New Roman" w:hAnsi="Times New Roman"/>
          <w:sz w:val="26"/>
          <w:szCs w:val="26"/>
          <w:lang w:eastAsia="lv-LV"/>
        </w:rPr>
        <w:t>ādēļ</w:t>
      </w:r>
      <w:r w:rsidR="00F77AF2">
        <w:rPr>
          <w:rFonts w:ascii="Times New Roman" w:hAnsi="Times New Roman"/>
          <w:sz w:val="26"/>
          <w:szCs w:val="26"/>
          <w:lang w:eastAsia="lv-LV"/>
        </w:rPr>
        <w:t xml:space="preserve"> nepieciešams turpināt attīstīt tos investīciju piesaistes veidus, kas tieši saistīti ar kapitālsabiedrību piekļuvi brīviem naudas līdzekļiem un to saimnieciskās darbības izaugsmi. </w:t>
      </w:r>
    </w:p>
    <w:p w:rsidR="00084DA1" w:rsidRDefault="00084DA1"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Pr>
          <w:rFonts w:ascii="Times New Roman" w:hAnsi="Times New Roman"/>
          <w:sz w:val="26"/>
          <w:szCs w:val="26"/>
          <w:lang w:eastAsia="lv-LV"/>
        </w:rPr>
        <w:t xml:space="preserve">Šobrīd saistībā ar ieguldījumu vienas kapitālsabiedrības pamatkapitālā TUA nevar saņemt vairāk par 3 TUA pieteicējiem, tas savukārt samazina mazo un vidējo kapitālsabiedrību iespējas piesaistīt to izaugsmei nepieciešamos ieguldījumus vajadzīgajā apmērā, ņemot vērā to, ka vispopulārākais ieguldījumu apmērs kapitālsabiedrības pamatkapitālā atbilst vai ir tuvu likumā noteiktajai minimālajai </w:t>
      </w:r>
      <w:r w:rsidR="006003EB">
        <w:rPr>
          <w:rFonts w:ascii="Times New Roman" w:hAnsi="Times New Roman"/>
          <w:sz w:val="26"/>
          <w:szCs w:val="26"/>
          <w:lang w:eastAsia="lv-LV"/>
        </w:rPr>
        <w:t xml:space="preserve">ieguldījuma </w:t>
      </w:r>
      <w:r>
        <w:rPr>
          <w:rFonts w:ascii="Times New Roman" w:hAnsi="Times New Roman"/>
          <w:sz w:val="26"/>
          <w:szCs w:val="26"/>
          <w:lang w:eastAsia="lv-LV"/>
        </w:rPr>
        <w:t>summai.</w:t>
      </w:r>
      <w:r w:rsidR="009643D6">
        <w:rPr>
          <w:rFonts w:ascii="Times New Roman" w:hAnsi="Times New Roman"/>
          <w:sz w:val="26"/>
          <w:szCs w:val="26"/>
          <w:lang w:eastAsia="lv-LV"/>
        </w:rPr>
        <w:t xml:space="preserve"> Ieguldījumu virs 150 000 </w:t>
      </w:r>
      <w:proofErr w:type="spellStart"/>
      <w:r w:rsidR="009643D6" w:rsidRPr="00FE6396">
        <w:rPr>
          <w:rFonts w:ascii="Times New Roman" w:hAnsi="Times New Roman"/>
          <w:i/>
          <w:sz w:val="26"/>
          <w:szCs w:val="26"/>
          <w:lang w:eastAsia="lv-LV"/>
        </w:rPr>
        <w:t>euro</w:t>
      </w:r>
      <w:proofErr w:type="spellEnd"/>
      <w:r w:rsidR="009643D6">
        <w:rPr>
          <w:rFonts w:ascii="Times New Roman" w:hAnsi="Times New Roman"/>
          <w:sz w:val="26"/>
          <w:szCs w:val="26"/>
          <w:lang w:eastAsia="lv-LV"/>
        </w:rPr>
        <w:t xml:space="preserve"> īpatsvars ir ļoti neliels, kas neveicina investīciju piesaisti lielajām kapitālsabiedrībām un liecina par nepieciešamību pārskatīt likumā noteiktā minimālā ieguldījuma summu lielajās kapitālsabiedrībās. </w:t>
      </w:r>
    </w:p>
    <w:p w:rsidR="005E7853" w:rsidRDefault="00FE6396"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Pr>
          <w:rFonts w:ascii="Times New Roman" w:hAnsi="Times New Roman"/>
          <w:sz w:val="26"/>
          <w:szCs w:val="26"/>
        </w:rPr>
        <w:t xml:space="preserve">Ņemot vērā </w:t>
      </w:r>
      <w:r w:rsidR="00B52542">
        <w:rPr>
          <w:rFonts w:ascii="Times New Roman" w:hAnsi="Times New Roman"/>
          <w:sz w:val="26"/>
          <w:szCs w:val="26"/>
        </w:rPr>
        <w:t xml:space="preserve">ārvalstu tiešo </w:t>
      </w:r>
      <w:r>
        <w:rPr>
          <w:rFonts w:ascii="Times New Roman" w:hAnsi="Times New Roman"/>
          <w:sz w:val="26"/>
          <w:szCs w:val="26"/>
        </w:rPr>
        <w:t>investīciju kopapjoma samazināšanos</w:t>
      </w:r>
      <w:r w:rsidR="00B52542">
        <w:rPr>
          <w:rFonts w:ascii="Times New Roman" w:hAnsi="Times New Roman"/>
          <w:sz w:val="26"/>
          <w:szCs w:val="26"/>
        </w:rPr>
        <w:t>,</w:t>
      </w:r>
      <w:r>
        <w:rPr>
          <w:rFonts w:ascii="Times New Roman" w:hAnsi="Times New Roman"/>
          <w:sz w:val="26"/>
          <w:szCs w:val="26"/>
        </w:rPr>
        <w:t xml:space="preserve"> ir jāmeklē veidi, kā padarīt investīciju programmu pievilcīgāku potenciālajiem ārvalstu investoriem, tostarp, padarot investīciju programmas nosacījumus attiecībā uz ieguldījumu kapitālsabiedrību pamatkapitāl</w:t>
      </w:r>
      <w:r w:rsidR="00B52542">
        <w:rPr>
          <w:rFonts w:ascii="Times New Roman" w:hAnsi="Times New Roman"/>
          <w:sz w:val="26"/>
          <w:szCs w:val="26"/>
        </w:rPr>
        <w:t>ā</w:t>
      </w:r>
      <w:r>
        <w:rPr>
          <w:rFonts w:ascii="Times New Roman" w:hAnsi="Times New Roman"/>
          <w:sz w:val="26"/>
          <w:szCs w:val="26"/>
        </w:rPr>
        <w:t xml:space="preserve"> atbilstošākus faktiskajai uzņēmējdarbības formai, kad kapitālsabiedrības savu darbību diferencē, dibinot meitas sabiedrības. Šobrīd meitas sabiedrīb</w:t>
      </w:r>
      <w:r w:rsidR="002D08D3">
        <w:rPr>
          <w:rFonts w:ascii="Times New Roman" w:hAnsi="Times New Roman"/>
          <w:sz w:val="26"/>
          <w:szCs w:val="26"/>
        </w:rPr>
        <w:t>u samaksātie nodokļi netiek ņemti vērā</w:t>
      </w:r>
      <w:r>
        <w:rPr>
          <w:rFonts w:ascii="Times New Roman" w:hAnsi="Times New Roman"/>
          <w:sz w:val="26"/>
          <w:szCs w:val="26"/>
        </w:rPr>
        <w:t xml:space="preserve">, veicot kapitālsabiedrību, kurās ir veiktas ar TUA saistītas investīcijas, </w:t>
      </w:r>
      <w:r w:rsidR="00B52542">
        <w:rPr>
          <w:rFonts w:ascii="Times New Roman" w:hAnsi="Times New Roman"/>
          <w:sz w:val="26"/>
          <w:szCs w:val="26"/>
        </w:rPr>
        <w:t>gada laikā samaksāto</w:t>
      </w:r>
      <w:r>
        <w:rPr>
          <w:rFonts w:ascii="Times New Roman" w:hAnsi="Times New Roman"/>
          <w:sz w:val="26"/>
          <w:szCs w:val="26"/>
        </w:rPr>
        <w:t xml:space="preserve"> nodokļu </w:t>
      </w:r>
      <w:r w:rsidR="002D08D3">
        <w:rPr>
          <w:rFonts w:ascii="Times New Roman" w:hAnsi="Times New Roman"/>
          <w:sz w:val="26"/>
          <w:szCs w:val="26"/>
        </w:rPr>
        <w:t>pārbaudi</w:t>
      </w:r>
      <w:r>
        <w:rPr>
          <w:rFonts w:ascii="Times New Roman" w:hAnsi="Times New Roman"/>
          <w:sz w:val="26"/>
          <w:szCs w:val="26"/>
        </w:rPr>
        <w:t>.</w:t>
      </w:r>
    </w:p>
    <w:p w:rsidR="007E0CC9" w:rsidRPr="007E0CC9" w:rsidRDefault="009B10A4" w:rsidP="007E0CC9">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5E7853">
        <w:rPr>
          <w:rFonts w:ascii="Times New Roman" w:hAnsi="Times New Roman"/>
          <w:sz w:val="26"/>
          <w:szCs w:val="26"/>
        </w:rPr>
        <w:t xml:space="preserve">Saistībā ar attiecīgajām Imigrācijas likuma normām valsts budžets tiešā veidā no nodevām </w:t>
      </w:r>
      <w:r w:rsidR="001A5E7E" w:rsidRPr="005E7853">
        <w:rPr>
          <w:rFonts w:ascii="Times New Roman" w:hAnsi="Times New Roman"/>
          <w:sz w:val="26"/>
          <w:szCs w:val="26"/>
        </w:rPr>
        <w:t>ir ieguvis 26,5</w:t>
      </w:r>
      <w:r w:rsidRPr="005E7853">
        <w:rPr>
          <w:rFonts w:ascii="Times New Roman" w:hAnsi="Times New Roman"/>
          <w:sz w:val="26"/>
          <w:szCs w:val="26"/>
        </w:rPr>
        <w:t xml:space="preserve"> milj. </w:t>
      </w:r>
      <w:proofErr w:type="spellStart"/>
      <w:r w:rsidR="00C232F4" w:rsidRPr="005E7853">
        <w:rPr>
          <w:rFonts w:ascii="Times New Roman" w:hAnsi="Times New Roman"/>
          <w:i/>
          <w:sz w:val="26"/>
          <w:szCs w:val="26"/>
        </w:rPr>
        <w:t>euro</w:t>
      </w:r>
      <w:proofErr w:type="spellEnd"/>
      <w:r w:rsidRPr="005E7853">
        <w:rPr>
          <w:rFonts w:ascii="Times New Roman" w:hAnsi="Times New Roman"/>
          <w:sz w:val="26"/>
          <w:szCs w:val="26"/>
        </w:rPr>
        <w:t xml:space="preserve">. Nekustamā īpašuma nodokļa veidā TUA pieteicēji </w:t>
      </w:r>
      <w:r w:rsidR="00CF37B9" w:rsidRPr="005E7853">
        <w:rPr>
          <w:rFonts w:ascii="Times New Roman" w:hAnsi="Times New Roman"/>
          <w:sz w:val="26"/>
          <w:szCs w:val="26"/>
        </w:rPr>
        <w:t>201</w:t>
      </w:r>
      <w:r w:rsidR="00236A00" w:rsidRPr="005E7853">
        <w:rPr>
          <w:rFonts w:ascii="Times New Roman" w:hAnsi="Times New Roman"/>
          <w:sz w:val="26"/>
          <w:szCs w:val="26"/>
        </w:rPr>
        <w:t>4</w:t>
      </w:r>
      <w:r w:rsidR="00CF37B9" w:rsidRPr="005E7853">
        <w:rPr>
          <w:rFonts w:ascii="Times New Roman" w:hAnsi="Times New Roman"/>
          <w:sz w:val="26"/>
          <w:szCs w:val="26"/>
        </w:rPr>
        <w:t xml:space="preserve">.gadā </w:t>
      </w:r>
      <w:r w:rsidRPr="005E7853">
        <w:rPr>
          <w:rFonts w:ascii="Times New Roman" w:hAnsi="Times New Roman"/>
          <w:sz w:val="26"/>
          <w:szCs w:val="26"/>
        </w:rPr>
        <w:t>pašvaldību budžet</w:t>
      </w:r>
      <w:r w:rsidR="00FA2365" w:rsidRPr="005E7853">
        <w:rPr>
          <w:rFonts w:ascii="Times New Roman" w:hAnsi="Times New Roman"/>
          <w:sz w:val="26"/>
          <w:szCs w:val="26"/>
        </w:rPr>
        <w:t>os</w:t>
      </w:r>
      <w:r w:rsidR="00873437" w:rsidRPr="005E7853">
        <w:rPr>
          <w:rFonts w:ascii="Times New Roman" w:hAnsi="Times New Roman"/>
          <w:sz w:val="26"/>
          <w:szCs w:val="26"/>
        </w:rPr>
        <w:t xml:space="preserve"> (1</w:t>
      </w:r>
      <w:r w:rsidR="00236A00" w:rsidRPr="005E7853">
        <w:rPr>
          <w:rFonts w:ascii="Times New Roman" w:hAnsi="Times New Roman"/>
          <w:sz w:val="26"/>
          <w:szCs w:val="26"/>
        </w:rPr>
        <w:t>1</w:t>
      </w:r>
      <w:r w:rsidR="00873437" w:rsidRPr="005E7853">
        <w:rPr>
          <w:rFonts w:ascii="Times New Roman" w:hAnsi="Times New Roman"/>
          <w:sz w:val="26"/>
          <w:szCs w:val="26"/>
        </w:rPr>
        <w:t xml:space="preserve"> pašvaldībās ar lielāko TUA pieteicēju darījumu skaitu)</w:t>
      </w:r>
      <w:r w:rsidR="00CF37B9" w:rsidRPr="005E7853">
        <w:rPr>
          <w:rFonts w:ascii="Times New Roman" w:hAnsi="Times New Roman"/>
          <w:sz w:val="26"/>
          <w:szCs w:val="26"/>
        </w:rPr>
        <w:t xml:space="preserve"> iemaksāja</w:t>
      </w:r>
      <w:r w:rsidR="002B7570" w:rsidRPr="005E7853">
        <w:rPr>
          <w:rFonts w:ascii="Times New Roman" w:hAnsi="Times New Roman"/>
          <w:sz w:val="26"/>
          <w:szCs w:val="26"/>
        </w:rPr>
        <w:t xml:space="preserve"> </w:t>
      </w:r>
      <w:r w:rsidR="00236A00" w:rsidRPr="005E7853">
        <w:rPr>
          <w:rFonts w:ascii="Times New Roman" w:hAnsi="Times New Roman"/>
          <w:sz w:val="26"/>
          <w:szCs w:val="26"/>
        </w:rPr>
        <w:t xml:space="preserve">1,2 milj. </w:t>
      </w:r>
      <w:proofErr w:type="spellStart"/>
      <w:r w:rsidR="00C232F4" w:rsidRPr="005E7853">
        <w:rPr>
          <w:rFonts w:ascii="Times New Roman" w:hAnsi="Times New Roman"/>
          <w:i/>
          <w:sz w:val="26"/>
          <w:szCs w:val="26"/>
        </w:rPr>
        <w:t>euro</w:t>
      </w:r>
      <w:proofErr w:type="spellEnd"/>
      <w:proofErr w:type="gramStart"/>
      <w:r w:rsidRPr="005E7853">
        <w:rPr>
          <w:rFonts w:ascii="Times New Roman" w:hAnsi="Times New Roman"/>
          <w:sz w:val="26"/>
          <w:szCs w:val="26"/>
        </w:rPr>
        <w:t xml:space="preserve"> </w:t>
      </w:r>
      <w:r w:rsidR="00236A00" w:rsidRPr="005E7853">
        <w:rPr>
          <w:rFonts w:ascii="Times New Roman" w:hAnsi="Times New Roman"/>
          <w:sz w:val="26"/>
          <w:szCs w:val="26"/>
        </w:rPr>
        <w:t xml:space="preserve"> </w:t>
      </w:r>
      <w:proofErr w:type="gramEnd"/>
      <w:r w:rsidRPr="005E7853">
        <w:rPr>
          <w:rFonts w:ascii="Times New Roman" w:hAnsi="Times New Roman"/>
          <w:sz w:val="26"/>
          <w:szCs w:val="26"/>
        </w:rPr>
        <w:t xml:space="preserve">jeb </w:t>
      </w:r>
      <w:r w:rsidR="002B7570" w:rsidRPr="005E7853">
        <w:rPr>
          <w:rFonts w:ascii="Times New Roman" w:hAnsi="Times New Roman"/>
          <w:sz w:val="26"/>
          <w:szCs w:val="26"/>
        </w:rPr>
        <w:t>0,4</w:t>
      </w:r>
      <w:r w:rsidRPr="005E7853">
        <w:rPr>
          <w:rFonts w:ascii="Times New Roman" w:hAnsi="Times New Roman"/>
          <w:sz w:val="26"/>
          <w:szCs w:val="26"/>
        </w:rPr>
        <w:t>% no kopumā valstī ieka</w:t>
      </w:r>
      <w:r w:rsidR="0006683A" w:rsidRPr="005E7853">
        <w:rPr>
          <w:rFonts w:ascii="Times New Roman" w:hAnsi="Times New Roman"/>
          <w:sz w:val="26"/>
          <w:szCs w:val="26"/>
        </w:rPr>
        <w:t>sētā nekustamā īpašuma nodokļa</w:t>
      </w:r>
      <w:r w:rsidR="002B7570" w:rsidRPr="005E7853">
        <w:rPr>
          <w:rFonts w:ascii="Times New Roman" w:hAnsi="Times New Roman"/>
          <w:sz w:val="26"/>
          <w:szCs w:val="26"/>
        </w:rPr>
        <w:t xml:space="preserve">. </w:t>
      </w:r>
      <w:r w:rsidRPr="005E7853">
        <w:rPr>
          <w:rFonts w:ascii="Times New Roman" w:hAnsi="Times New Roman"/>
          <w:sz w:val="26"/>
          <w:szCs w:val="26"/>
        </w:rPr>
        <w:t>Savukārt kapitālsabiedrības, kuru darbība ir saistīta ar nerezidentu vai viņa ģimenes locekļiem, kas saņēmuši TUA</w:t>
      </w:r>
      <w:r w:rsidR="002D08D3">
        <w:rPr>
          <w:rFonts w:ascii="Times New Roman" w:hAnsi="Times New Roman"/>
          <w:sz w:val="26"/>
          <w:szCs w:val="26"/>
        </w:rPr>
        <w:t>,</w:t>
      </w:r>
      <w:r w:rsidRPr="005E7853">
        <w:rPr>
          <w:rFonts w:ascii="Times New Roman" w:hAnsi="Times New Roman"/>
          <w:sz w:val="26"/>
          <w:szCs w:val="26"/>
        </w:rPr>
        <w:t xml:space="preserve"> gada laikā n</w:t>
      </w:r>
      <w:r w:rsidR="0006683A" w:rsidRPr="005E7853">
        <w:rPr>
          <w:rFonts w:ascii="Times New Roman" w:hAnsi="Times New Roman"/>
          <w:sz w:val="26"/>
          <w:szCs w:val="26"/>
        </w:rPr>
        <w:t>odokļu veidā valsts budžetā 201</w:t>
      </w:r>
      <w:r w:rsidR="00236A00" w:rsidRPr="005E7853">
        <w:rPr>
          <w:rFonts w:ascii="Times New Roman" w:hAnsi="Times New Roman"/>
          <w:sz w:val="26"/>
          <w:szCs w:val="26"/>
        </w:rPr>
        <w:t>4</w:t>
      </w:r>
      <w:r w:rsidR="00537145" w:rsidRPr="005E7853">
        <w:rPr>
          <w:rFonts w:ascii="Times New Roman" w:hAnsi="Times New Roman"/>
          <w:sz w:val="26"/>
          <w:szCs w:val="26"/>
        </w:rPr>
        <w:t>.gadā iemaksāja vairāk nekā 157</w:t>
      </w:r>
      <w:r w:rsidRPr="005E7853">
        <w:rPr>
          <w:rFonts w:ascii="Times New Roman" w:hAnsi="Times New Roman"/>
          <w:sz w:val="26"/>
          <w:szCs w:val="26"/>
        </w:rPr>
        <w:t xml:space="preserve"> milj. </w:t>
      </w:r>
      <w:proofErr w:type="spellStart"/>
      <w:r w:rsidR="00C232F4" w:rsidRPr="005E7853">
        <w:rPr>
          <w:rFonts w:ascii="Times New Roman" w:hAnsi="Times New Roman"/>
          <w:i/>
          <w:sz w:val="26"/>
          <w:szCs w:val="26"/>
        </w:rPr>
        <w:t>euro</w:t>
      </w:r>
      <w:proofErr w:type="spellEnd"/>
      <w:r w:rsidRPr="005E7853">
        <w:rPr>
          <w:rFonts w:ascii="Times New Roman" w:hAnsi="Times New Roman"/>
          <w:sz w:val="26"/>
          <w:szCs w:val="26"/>
        </w:rPr>
        <w:t>.</w:t>
      </w:r>
      <w:r w:rsidR="002B7570" w:rsidRPr="005E7853">
        <w:rPr>
          <w:rFonts w:ascii="Times New Roman" w:hAnsi="Times New Roman"/>
          <w:sz w:val="26"/>
          <w:szCs w:val="26"/>
        </w:rPr>
        <w:t xml:space="preserve"> </w:t>
      </w:r>
    </w:p>
    <w:p w:rsidR="00830847" w:rsidRPr="003B5CE6" w:rsidRDefault="00830847"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Pr>
          <w:rFonts w:ascii="Times New Roman" w:hAnsi="Times New Roman"/>
          <w:sz w:val="26"/>
          <w:szCs w:val="26"/>
          <w:lang w:eastAsia="lv-LV"/>
        </w:rPr>
        <w:t xml:space="preserve">2014.gada 2.pusgadā un 2015.gada 1.pusgadā pirmreizējo TUA pieteikumu skaits un investīciju apjoms ir samazinājies visos TUA ieguves veidos. Līdz ar to var secināt, ka 2014.gada 1.septembrī spēkā stājušies grozījumi Imigrācijas likuma 23.pantā nav vienīgais iemesls vispārējam investīciju apjoma kritumam. Kā vienu no būtiskākajiem iemesliem var minēt ekonomiskās situācijas pasliktināšanos Krievijas Federācijā. Šo tendenci var pamanīt arī aplūkojot TUA pieteicēju izcelsmes valstis. Ja 2012.gadā </w:t>
      </w:r>
      <w:r w:rsidRPr="003B5CE6">
        <w:rPr>
          <w:rFonts w:ascii="Times New Roman" w:hAnsi="Times New Roman"/>
          <w:sz w:val="26"/>
          <w:szCs w:val="26"/>
          <w:lang w:eastAsia="lv-LV"/>
        </w:rPr>
        <w:t xml:space="preserve">Krievijas Federācijas pilsoņu īpatsvars starp TUA pieteicējiem bija 72%, tad 2013.gadā </w:t>
      </w:r>
      <w:r w:rsidR="00993ABE" w:rsidRPr="003B5CE6">
        <w:rPr>
          <w:rFonts w:ascii="Times New Roman" w:hAnsi="Times New Roman"/>
          <w:sz w:val="26"/>
          <w:szCs w:val="26"/>
          <w:lang w:eastAsia="lv-LV"/>
        </w:rPr>
        <w:t xml:space="preserve">– </w:t>
      </w:r>
      <w:r w:rsidRPr="003B5CE6">
        <w:rPr>
          <w:rFonts w:ascii="Times New Roman" w:hAnsi="Times New Roman"/>
          <w:sz w:val="26"/>
          <w:szCs w:val="26"/>
          <w:lang w:eastAsia="lv-LV"/>
        </w:rPr>
        <w:t xml:space="preserve">68,9%, 2014.gadā </w:t>
      </w:r>
      <w:r w:rsidR="00993ABE" w:rsidRPr="003B5CE6">
        <w:rPr>
          <w:rFonts w:ascii="Times New Roman" w:hAnsi="Times New Roman"/>
          <w:sz w:val="26"/>
          <w:szCs w:val="26"/>
          <w:lang w:eastAsia="lv-LV"/>
        </w:rPr>
        <w:t xml:space="preserve">– </w:t>
      </w:r>
      <w:r w:rsidRPr="003B5CE6">
        <w:rPr>
          <w:rFonts w:ascii="Times New Roman" w:hAnsi="Times New Roman"/>
          <w:sz w:val="26"/>
          <w:szCs w:val="26"/>
          <w:lang w:eastAsia="lv-LV"/>
        </w:rPr>
        <w:t xml:space="preserve">66,9% un 2015.gadā </w:t>
      </w:r>
      <w:r w:rsidR="00993ABE" w:rsidRPr="003B5CE6">
        <w:rPr>
          <w:rFonts w:ascii="Times New Roman" w:hAnsi="Times New Roman"/>
          <w:sz w:val="26"/>
          <w:szCs w:val="26"/>
          <w:lang w:eastAsia="lv-LV"/>
        </w:rPr>
        <w:t xml:space="preserve">– </w:t>
      </w:r>
      <w:r w:rsidR="00215185" w:rsidRPr="003B5CE6">
        <w:rPr>
          <w:rFonts w:ascii="Times New Roman" w:hAnsi="Times New Roman"/>
          <w:sz w:val="26"/>
          <w:szCs w:val="26"/>
          <w:lang w:eastAsia="lv-LV"/>
        </w:rPr>
        <w:t>vairs</w:t>
      </w:r>
      <w:r w:rsidRPr="003B5CE6">
        <w:rPr>
          <w:rFonts w:ascii="Times New Roman" w:hAnsi="Times New Roman"/>
          <w:sz w:val="26"/>
          <w:szCs w:val="26"/>
          <w:lang w:eastAsia="lv-LV"/>
        </w:rPr>
        <w:t xml:space="preserve"> 55%.</w:t>
      </w:r>
    </w:p>
    <w:p w:rsidR="00B52542" w:rsidRPr="003B5CE6" w:rsidRDefault="001646E1" w:rsidP="008F7CA1">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3B5CE6">
        <w:rPr>
          <w:rFonts w:ascii="Times New Roman" w:hAnsi="Times New Roman"/>
          <w:sz w:val="26"/>
          <w:szCs w:val="26"/>
        </w:rPr>
        <w:lastRenderedPageBreak/>
        <w:t>Nosacījumu maiņa TUA saņemšanā, ja ārvalstnieks ir iegādājies nekustamo īpašumu, ir samazinājusi darījumu skaitu ārpus Rīgas un Pierīgas (Jūrmala un Babītes, Mārupes, Olaines, Ķekavas, Baldones, Salaspils, Ikšķiles, Stopiņu, Ropažu, Garkalnes, Ādažu, Carnikavas un Saulkrastu novadi). 2015.gadā apstiprināti vien 17 TUA pieteikumi (16,4%), kur nekustamais īpašums iegādāts ārpus Rīgas un Pierīgas.</w:t>
      </w:r>
    </w:p>
    <w:p w:rsidR="00833986" w:rsidRDefault="00B84FEA" w:rsidP="008F7CA1">
      <w:pPr>
        <w:pStyle w:val="ListParagraph"/>
        <w:numPr>
          <w:ilvl w:val="0"/>
          <w:numId w:val="3"/>
        </w:numPr>
        <w:tabs>
          <w:tab w:val="left" w:pos="426"/>
        </w:tabs>
        <w:spacing w:after="60" w:line="240" w:lineRule="auto"/>
        <w:ind w:left="284" w:hanging="284"/>
        <w:contextualSpacing w:val="0"/>
        <w:jc w:val="both"/>
        <w:rPr>
          <w:rFonts w:ascii="Times New Roman" w:hAnsi="Times New Roman"/>
          <w:sz w:val="26"/>
          <w:szCs w:val="26"/>
        </w:rPr>
      </w:pPr>
      <w:r w:rsidRPr="00B52542">
        <w:rPr>
          <w:rFonts w:ascii="Times New Roman" w:hAnsi="Times New Roman"/>
          <w:sz w:val="26"/>
          <w:szCs w:val="26"/>
        </w:rPr>
        <w:t>No nekustamo īpašumu kompāniju tirgus pārskatiem par 2014.gadu un 2015.gada 1.pusgadu secināms, ka pēc grozījumiem Imigrācijas likumā, kas stājās spēkā 2014.gada 1.septembrī, vietējiem pircējiem jauno daudzdzīvokļu mājokļu projektu attīstītāju piedāvājums ir kļuvis pieejamāks un atbilstošāks.</w:t>
      </w:r>
    </w:p>
    <w:p w:rsidR="00A6515A" w:rsidRPr="00B52542" w:rsidRDefault="00A6515A" w:rsidP="008F7CA1">
      <w:pPr>
        <w:pStyle w:val="ListParagraph"/>
        <w:numPr>
          <w:ilvl w:val="0"/>
          <w:numId w:val="3"/>
        </w:numPr>
        <w:tabs>
          <w:tab w:val="left" w:pos="426"/>
        </w:tabs>
        <w:spacing w:after="60" w:line="240" w:lineRule="auto"/>
        <w:ind w:left="284" w:hanging="284"/>
        <w:contextualSpacing w:val="0"/>
        <w:jc w:val="both"/>
        <w:rPr>
          <w:rFonts w:ascii="Times New Roman" w:hAnsi="Times New Roman"/>
          <w:sz w:val="26"/>
          <w:szCs w:val="26"/>
        </w:rPr>
      </w:pPr>
      <w:r>
        <w:rPr>
          <w:rFonts w:ascii="Times New Roman" w:hAnsi="Times New Roman"/>
          <w:sz w:val="26"/>
          <w:szCs w:val="26"/>
        </w:rPr>
        <w:t xml:space="preserve">Izvērtējot turpmāko investīciju programmas pilnveidošanu, jāņem vērā tas, kā iespējamā investoru skaita palielināšanās ietekmēs valsts drošības situāciju. </w:t>
      </w:r>
    </w:p>
    <w:p w:rsidR="00FE6396" w:rsidRDefault="00FE6396" w:rsidP="00F75DA8">
      <w:pPr>
        <w:pStyle w:val="ListParagraph"/>
        <w:spacing w:after="0" w:line="240" w:lineRule="auto"/>
        <w:ind w:left="284"/>
        <w:contextualSpacing w:val="0"/>
        <w:jc w:val="both"/>
        <w:rPr>
          <w:rFonts w:ascii="Times New Roman" w:hAnsi="Times New Roman"/>
          <w:sz w:val="26"/>
          <w:szCs w:val="26"/>
        </w:rPr>
      </w:pPr>
      <w:r>
        <w:rPr>
          <w:rFonts w:ascii="Times New Roman" w:hAnsi="Times New Roman"/>
          <w:sz w:val="26"/>
          <w:szCs w:val="26"/>
        </w:rPr>
        <w:t xml:space="preserve">  </w:t>
      </w:r>
    </w:p>
    <w:p w:rsidR="00C63DC8" w:rsidRPr="002B4D22" w:rsidRDefault="00C63DC8" w:rsidP="00534DFC">
      <w:pPr>
        <w:tabs>
          <w:tab w:val="left" w:pos="5123"/>
          <w:tab w:val="left" w:pos="6431"/>
        </w:tabs>
        <w:spacing w:after="120" w:line="240" w:lineRule="auto"/>
        <w:rPr>
          <w:rFonts w:ascii="Times New Roman" w:hAnsi="Times New Roman"/>
          <w:sz w:val="26"/>
          <w:szCs w:val="26"/>
        </w:rPr>
      </w:pPr>
    </w:p>
    <w:p w:rsidR="009B10A4" w:rsidRPr="002B4D22" w:rsidRDefault="009B10A4" w:rsidP="00534DFC">
      <w:pPr>
        <w:tabs>
          <w:tab w:val="left" w:pos="5123"/>
          <w:tab w:val="left" w:pos="6431"/>
        </w:tabs>
        <w:spacing w:after="120" w:line="240" w:lineRule="auto"/>
        <w:rPr>
          <w:rFonts w:ascii="Times New Roman" w:hAnsi="Times New Roman"/>
          <w:sz w:val="26"/>
          <w:szCs w:val="26"/>
        </w:rPr>
      </w:pPr>
      <w:r w:rsidRPr="002B4D22">
        <w:rPr>
          <w:rFonts w:ascii="Times New Roman" w:hAnsi="Times New Roman"/>
          <w:sz w:val="26"/>
          <w:szCs w:val="26"/>
        </w:rPr>
        <w:t>Ministru prezident</w:t>
      </w:r>
      <w:r w:rsidR="000438CA" w:rsidRPr="002B4D22">
        <w:rPr>
          <w:rFonts w:ascii="Times New Roman" w:hAnsi="Times New Roman"/>
          <w:sz w:val="26"/>
          <w:szCs w:val="26"/>
        </w:rPr>
        <w:t>e</w:t>
      </w:r>
      <w:r w:rsidRPr="002B4D22">
        <w:rPr>
          <w:rFonts w:ascii="Times New Roman" w:hAnsi="Times New Roman"/>
          <w:sz w:val="26"/>
          <w:szCs w:val="26"/>
        </w:rPr>
        <w:tab/>
      </w:r>
      <w:r w:rsidRPr="002B4D22">
        <w:rPr>
          <w:rFonts w:ascii="Times New Roman" w:hAnsi="Times New Roman"/>
          <w:sz w:val="26"/>
          <w:szCs w:val="26"/>
        </w:rPr>
        <w:tab/>
      </w:r>
      <w:r w:rsidR="000438CA" w:rsidRPr="002B4D22">
        <w:rPr>
          <w:rFonts w:ascii="Times New Roman" w:hAnsi="Times New Roman"/>
          <w:sz w:val="26"/>
          <w:szCs w:val="26"/>
        </w:rPr>
        <w:t>L. Straujuma</w:t>
      </w:r>
    </w:p>
    <w:p w:rsidR="009B10A4" w:rsidRPr="002B4D22" w:rsidRDefault="009B10A4" w:rsidP="00534DFC">
      <w:pPr>
        <w:tabs>
          <w:tab w:val="left" w:pos="6758"/>
        </w:tabs>
        <w:spacing w:after="120" w:line="240" w:lineRule="auto"/>
        <w:rPr>
          <w:rFonts w:ascii="Times New Roman" w:hAnsi="Times New Roman"/>
          <w:sz w:val="26"/>
          <w:szCs w:val="26"/>
        </w:rPr>
      </w:pPr>
    </w:p>
    <w:p w:rsidR="009B10A4" w:rsidRPr="002B4D22" w:rsidRDefault="009B10A4" w:rsidP="00534DFC">
      <w:pPr>
        <w:tabs>
          <w:tab w:val="left" w:pos="6758"/>
        </w:tabs>
        <w:spacing w:after="120" w:line="240" w:lineRule="auto"/>
        <w:rPr>
          <w:rFonts w:ascii="Times New Roman" w:hAnsi="Times New Roman"/>
          <w:sz w:val="26"/>
          <w:szCs w:val="26"/>
        </w:rPr>
      </w:pPr>
      <w:r w:rsidRPr="002B4D22">
        <w:rPr>
          <w:rFonts w:ascii="Times New Roman" w:hAnsi="Times New Roman"/>
          <w:sz w:val="26"/>
          <w:szCs w:val="26"/>
        </w:rPr>
        <w:t>Iesniedzējs:</w:t>
      </w:r>
    </w:p>
    <w:p w:rsidR="009B10A4" w:rsidRPr="002B4D22" w:rsidRDefault="009B10A4" w:rsidP="00534DFC">
      <w:pPr>
        <w:tabs>
          <w:tab w:val="left" w:pos="6431"/>
          <w:tab w:val="left" w:pos="6758"/>
        </w:tabs>
        <w:spacing w:after="120" w:line="240" w:lineRule="auto"/>
        <w:rPr>
          <w:rFonts w:ascii="Times New Roman" w:hAnsi="Times New Roman"/>
          <w:sz w:val="26"/>
          <w:szCs w:val="26"/>
        </w:rPr>
      </w:pPr>
      <w:r w:rsidRPr="002B4D22">
        <w:rPr>
          <w:rFonts w:ascii="Times New Roman" w:hAnsi="Times New Roman"/>
          <w:sz w:val="26"/>
          <w:szCs w:val="26"/>
        </w:rPr>
        <w:t xml:space="preserve">Iekšlietu ministrs </w:t>
      </w:r>
      <w:r w:rsidRPr="002B4D22">
        <w:rPr>
          <w:rFonts w:ascii="Times New Roman" w:hAnsi="Times New Roman"/>
          <w:sz w:val="26"/>
          <w:szCs w:val="26"/>
        </w:rPr>
        <w:tab/>
        <w:t>R. Kozlovskis</w:t>
      </w:r>
    </w:p>
    <w:p w:rsidR="009B10A4" w:rsidRPr="002B4D22" w:rsidRDefault="009B10A4" w:rsidP="00534DFC">
      <w:pPr>
        <w:spacing w:after="120" w:line="240" w:lineRule="auto"/>
        <w:ind w:left="720" w:hanging="720"/>
        <w:rPr>
          <w:rFonts w:ascii="Times New Roman" w:hAnsi="Times New Roman"/>
          <w:sz w:val="26"/>
          <w:szCs w:val="26"/>
        </w:rPr>
      </w:pPr>
    </w:p>
    <w:p w:rsidR="009B10A4" w:rsidRPr="002B4D22" w:rsidRDefault="009B10A4" w:rsidP="00534DFC">
      <w:pPr>
        <w:spacing w:after="120" w:line="240" w:lineRule="auto"/>
        <w:ind w:left="720" w:hanging="720"/>
        <w:rPr>
          <w:rFonts w:ascii="Times New Roman" w:hAnsi="Times New Roman"/>
          <w:sz w:val="26"/>
          <w:szCs w:val="26"/>
        </w:rPr>
      </w:pPr>
      <w:r w:rsidRPr="002B4D22">
        <w:rPr>
          <w:rFonts w:ascii="Times New Roman" w:hAnsi="Times New Roman"/>
          <w:sz w:val="26"/>
          <w:szCs w:val="26"/>
        </w:rPr>
        <w:t>Vīza:</w:t>
      </w:r>
    </w:p>
    <w:p w:rsidR="009B10A4" w:rsidRPr="002B4D22" w:rsidRDefault="009B10A4" w:rsidP="00534DFC">
      <w:pPr>
        <w:tabs>
          <w:tab w:val="left" w:pos="6431"/>
        </w:tabs>
        <w:spacing w:after="120" w:line="240" w:lineRule="auto"/>
        <w:ind w:left="720" w:hanging="720"/>
        <w:rPr>
          <w:rFonts w:ascii="Times New Roman" w:hAnsi="Times New Roman"/>
          <w:sz w:val="26"/>
          <w:szCs w:val="26"/>
        </w:rPr>
      </w:pPr>
      <w:r w:rsidRPr="002B4D22">
        <w:rPr>
          <w:rFonts w:ascii="Times New Roman" w:hAnsi="Times New Roman"/>
          <w:sz w:val="26"/>
          <w:szCs w:val="26"/>
        </w:rPr>
        <w:t xml:space="preserve">Valsts </w:t>
      </w:r>
      <w:r w:rsidR="00B415A1" w:rsidRPr="002B4D22">
        <w:rPr>
          <w:rFonts w:ascii="Times New Roman" w:hAnsi="Times New Roman"/>
          <w:sz w:val="26"/>
          <w:szCs w:val="26"/>
        </w:rPr>
        <w:t>sekretāre</w:t>
      </w:r>
      <w:r w:rsidRPr="002B4D22">
        <w:rPr>
          <w:rFonts w:ascii="Times New Roman" w:hAnsi="Times New Roman"/>
          <w:sz w:val="26"/>
          <w:szCs w:val="26"/>
        </w:rPr>
        <w:tab/>
      </w:r>
      <w:r w:rsidRPr="002B4D22">
        <w:rPr>
          <w:rFonts w:ascii="Times New Roman" w:hAnsi="Times New Roman"/>
          <w:sz w:val="26"/>
          <w:szCs w:val="26"/>
        </w:rPr>
        <w:tab/>
        <w:t>I.</w:t>
      </w:r>
      <w:r w:rsidR="00B415A1" w:rsidRPr="002B4D22">
        <w:rPr>
          <w:rFonts w:ascii="Times New Roman" w:hAnsi="Times New Roman"/>
          <w:sz w:val="26"/>
          <w:szCs w:val="26"/>
        </w:rPr>
        <w:t xml:space="preserve"> Pētersone-Godmane</w:t>
      </w:r>
    </w:p>
    <w:p w:rsidR="009B10A4" w:rsidRPr="002B4D22" w:rsidRDefault="009B10A4" w:rsidP="00534DFC">
      <w:pPr>
        <w:spacing w:after="120" w:line="240" w:lineRule="auto"/>
        <w:ind w:right="-329"/>
        <w:jc w:val="both"/>
        <w:rPr>
          <w:rFonts w:ascii="Times New Roman" w:hAnsi="Times New Roman"/>
          <w:sz w:val="26"/>
          <w:szCs w:val="26"/>
        </w:rPr>
      </w:pPr>
    </w:p>
    <w:p w:rsidR="002F0DC4" w:rsidRPr="0022398A" w:rsidRDefault="008B47C3" w:rsidP="0022398A">
      <w:pPr>
        <w:spacing w:after="0" w:line="240" w:lineRule="auto"/>
        <w:ind w:right="-329"/>
        <w:jc w:val="both"/>
        <w:rPr>
          <w:rFonts w:ascii="Times New Roman" w:hAnsi="Times New Roman"/>
          <w:sz w:val="20"/>
          <w:szCs w:val="20"/>
        </w:rPr>
      </w:pPr>
      <w:r>
        <w:rPr>
          <w:rFonts w:ascii="Times New Roman" w:hAnsi="Times New Roman"/>
          <w:sz w:val="20"/>
          <w:szCs w:val="20"/>
        </w:rPr>
        <w:t>1</w:t>
      </w:r>
      <w:r w:rsidR="003F338F">
        <w:rPr>
          <w:rFonts w:ascii="Times New Roman" w:hAnsi="Times New Roman"/>
          <w:sz w:val="20"/>
          <w:szCs w:val="20"/>
        </w:rPr>
        <w:t>3</w:t>
      </w:r>
      <w:r w:rsidR="009B10A4" w:rsidRPr="0022398A">
        <w:rPr>
          <w:rFonts w:ascii="Times New Roman" w:hAnsi="Times New Roman"/>
          <w:sz w:val="20"/>
          <w:szCs w:val="20"/>
        </w:rPr>
        <w:t>.</w:t>
      </w:r>
      <w:r w:rsidR="004A4736" w:rsidRPr="0022398A">
        <w:rPr>
          <w:rFonts w:ascii="Times New Roman" w:hAnsi="Times New Roman"/>
          <w:sz w:val="20"/>
          <w:szCs w:val="20"/>
        </w:rPr>
        <w:t>0</w:t>
      </w:r>
      <w:r w:rsidR="007106C6">
        <w:rPr>
          <w:rFonts w:ascii="Times New Roman" w:hAnsi="Times New Roman"/>
          <w:sz w:val="20"/>
          <w:szCs w:val="20"/>
        </w:rPr>
        <w:t>9</w:t>
      </w:r>
      <w:r w:rsidR="006F234D" w:rsidRPr="0022398A">
        <w:rPr>
          <w:rFonts w:ascii="Times New Roman" w:hAnsi="Times New Roman"/>
          <w:sz w:val="20"/>
          <w:szCs w:val="20"/>
        </w:rPr>
        <w:t>.201</w:t>
      </w:r>
      <w:r w:rsidR="00EF6AE2" w:rsidRPr="0022398A">
        <w:rPr>
          <w:rFonts w:ascii="Times New Roman" w:hAnsi="Times New Roman"/>
          <w:sz w:val="20"/>
          <w:szCs w:val="20"/>
        </w:rPr>
        <w:t>5</w:t>
      </w:r>
      <w:r w:rsidR="004A4736" w:rsidRPr="0022398A">
        <w:rPr>
          <w:rFonts w:ascii="Times New Roman" w:hAnsi="Times New Roman"/>
          <w:sz w:val="20"/>
          <w:szCs w:val="20"/>
        </w:rPr>
        <w:t>.</w:t>
      </w:r>
      <w:r w:rsidR="009B10A4" w:rsidRPr="0022398A">
        <w:rPr>
          <w:rFonts w:ascii="Times New Roman" w:hAnsi="Times New Roman"/>
          <w:sz w:val="20"/>
          <w:szCs w:val="20"/>
        </w:rPr>
        <w:t xml:space="preserve"> </w:t>
      </w:r>
      <w:r w:rsidR="002D08D3">
        <w:rPr>
          <w:rFonts w:ascii="Times New Roman" w:hAnsi="Times New Roman"/>
          <w:sz w:val="20"/>
          <w:szCs w:val="20"/>
        </w:rPr>
        <w:t>11:08</w:t>
      </w:r>
    </w:p>
    <w:p w:rsidR="009B10A4" w:rsidRPr="0022398A" w:rsidRDefault="00D40945" w:rsidP="0022398A">
      <w:pPr>
        <w:spacing w:after="0" w:line="240" w:lineRule="auto"/>
        <w:ind w:right="-329"/>
        <w:jc w:val="both"/>
        <w:rPr>
          <w:rFonts w:ascii="Times New Roman" w:hAnsi="Times New Roman"/>
          <w:sz w:val="20"/>
          <w:szCs w:val="20"/>
        </w:rPr>
      </w:pPr>
      <w:r>
        <w:rPr>
          <w:rFonts w:ascii="Times New Roman" w:hAnsi="Times New Roman"/>
          <w:sz w:val="20"/>
          <w:szCs w:val="20"/>
        </w:rPr>
        <w:t>10</w:t>
      </w:r>
      <w:r w:rsidR="003F338F">
        <w:rPr>
          <w:rFonts w:ascii="Times New Roman" w:hAnsi="Times New Roman"/>
          <w:sz w:val="20"/>
          <w:szCs w:val="20"/>
        </w:rPr>
        <w:t>1</w:t>
      </w:r>
      <w:r w:rsidR="002D08D3">
        <w:rPr>
          <w:rFonts w:ascii="Times New Roman" w:hAnsi="Times New Roman"/>
          <w:sz w:val="20"/>
          <w:szCs w:val="20"/>
        </w:rPr>
        <w:t>46</w:t>
      </w:r>
    </w:p>
    <w:p w:rsidR="009B10A4" w:rsidRPr="0022398A" w:rsidRDefault="009B10A4" w:rsidP="0022398A">
      <w:pPr>
        <w:spacing w:after="0" w:line="240" w:lineRule="auto"/>
        <w:ind w:right="-329"/>
        <w:rPr>
          <w:rFonts w:ascii="Times New Roman" w:hAnsi="Times New Roman"/>
          <w:sz w:val="20"/>
          <w:szCs w:val="20"/>
        </w:rPr>
      </w:pPr>
      <w:r w:rsidRPr="0022398A">
        <w:rPr>
          <w:rFonts w:ascii="Times New Roman" w:hAnsi="Times New Roman"/>
          <w:sz w:val="20"/>
          <w:szCs w:val="20"/>
        </w:rPr>
        <w:t xml:space="preserve">I. </w:t>
      </w:r>
      <w:proofErr w:type="spellStart"/>
      <w:r w:rsidRPr="0022398A">
        <w:rPr>
          <w:rFonts w:ascii="Times New Roman" w:hAnsi="Times New Roman"/>
          <w:sz w:val="20"/>
          <w:szCs w:val="20"/>
        </w:rPr>
        <w:t>Briede</w:t>
      </w:r>
      <w:proofErr w:type="spellEnd"/>
      <w:r w:rsidRPr="0022398A">
        <w:rPr>
          <w:rFonts w:ascii="Times New Roman" w:hAnsi="Times New Roman"/>
          <w:sz w:val="20"/>
          <w:szCs w:val="20"/>
        </w:rPr>
        <w:t>, 67219546</w:t>
      </w:r>
    </w:p>
    <w:p w:rsidR="00003174" w:rsidRPr="002B4D22" w:rsidRDefault="00106E98" w:rsidP="0022398A">
      <w:pPr>
        <w:spacing w:after="0" w:line="240" w:lineRule="auto"/>
        <w:ind w:right="-329"/>
        <w:rPr>
          <w:rFonts w:ascii="Times New Roman" w:hAnsi="Times New Roman"/>
        </w:rPr>
      </w:pPr>
      <w:hyperlink r:id="rId37" w:history="1">
        <w:r w:rsidR="009B10A4" w:rsidRPr="0022398A">
          <w:rPr>
            <w:rFonts w:ascii="Times New Roman" w:hAnsi="Times New Roman"/>
            <w:sz w:val="20"/>
            <w:szCs w:val="20"/>
          </w:rPr>
          <w:t>ilze.briede@pmlp.gov.lv</w:t>
        </w:r>
      </w:hyperlink>
      <w:r w:rsidR="00A14738" w:rsidRPr="0022398A">
        <w:rPr>
          <w:rFonts w:ascii="Times New Roman" w:hAnsi="Times New Roman"/>
          <w:sz w:val="20"/>
          <w:szCs w:val="20"/>
        </w:rPr>
        <w:t xml:space="preserve"> </w:t>
      </w:r>
    </w:p>
    <w:p w:rsidR="00003174" w:rsidRPr="002B4D22" w:rsidRDefault="00003174" w:rsidP="00251885">
      <w:pPr>
        <w:spacing w:after="120" w:line="240" w:lineRule="auto"/>
        <w:ind w:right="-329"/>
        <w:rPr>
          <w:rFonts w:ascii="Times New Roman" w:hAnsi="Times New Roman"/>
          <w:color w:val="000000"/>
          <w:sz w:val="24"/>
          <w:szCs w:val="24"/>
        </w:rPr>
      </w:pPr>
    </w:p>
    <w:sectPr w:rsidR="00003174" w:rsidRPr="002B4D22" w:rsidSect="00E2783C">
      <w:headerReference w:type="even" r:id="rId38"/>
      <w:headerReference w:type="default" r:id="rId39"/>
      <w:footerReference w:type="default" r:id="rId40"/>
      <w:footerReference w:type="first" r:id="rId41"/>
      <w:pgSz w:w="11906" w:h="16838"/>
      <w:pgMar w:top="1440" w:right="849" w:bottom="1276" w:left="1800" w:header="709" w:footer="36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8D1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94C" w:rsidRDefault="007C794C" w:rsidP="006F61F5">
      <w:pPr>
        <w:spacing w:after="0" w:line="240" w:lineRule="auto"/>
      </w:pPr>
      <w:r>
        <w:separator/>
      </w:r>
    </w:p>
  </w:endnote>
  <w:endnote w:type="continuationSeparator" w:id="0">
    <w:p w:rsidR="007C794C" w:rsidRDefault="007C794C" w:rsidP="006F6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2" w:rsidRPr="00801226" w:rsidRDefault="001A4442" w:rsidP="00801226">
    <w:pPr>
      <w:spacing w:after="0" w:line="240" w:lineRule="auto"/>
      <w:jc w:val="both"/>
      <w:rPr>
        <w:rFonts w:ascii="Times New Roman" w:hAnsi="Times New Roman"/>
        <w:sz w:val="20"/>
        <w:szCs w:val="20"/>
      </w:rPr>
    </w:pPr>
    <w:r>
      <w:rPr>
        <w:rFonts w:ascii="Times New Roman" w:hAnsi="Times New Roman"/>
        <w:sz w:val="20"/>
        <w:szCs w:val="20"/>
      </w:rPr>
      <w:t>IEMZino_1</w:t>
    </w:r>
    <w:r w:rsidR="003F338F">
      <w:rPr>
        <w:rFonts w:ascii="Times New Roman" w:hAnsi="Times New Roman"/>
        <w:sz w:val="20"/>
        <w:szCs w:val="20"/>
      </w:rPr>
      <w:t>3</w:t>
    </w:r>
    <w:r>
      <w:rPr>
        <w:rFonts w:ascii="Times New Roman" w:hAnsi="Times New Roman"/>
        <w:sz w:val="20"/>
        <w:szCs w:val="20"/>
      </w:rPr>
      <w:t xml:space="preserve">0915;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2" w:rsidRPr="00801226" w:rsidRDefault="001A4442" w:rsidP="006D51E5">
    <w:pPr>
      <w:spacing w:after="0" w:line="240" w:lineRule="auto"/>
      <w:jc w:val="both"/>
      <w:rPr>
        <w:rFonts w:ascii="Times New Roman" w:hAnsi="Times New Roman"/>
        <w:sz w:val="20"/>
        <w:szCs w:val="20"/>
      </w:rPr>
    </w:pPr>
    <w:r>
      <w:rPr>
        <w:rFonts w:ascii="Times New Roman" w:hAnsi="Times New Roman"/>
        <w:sz w:val="20"/>
        <w:szCs w:val="20"/>
      </w:rPr>
      <w:t>IEMZino_1</w:t>
    </w:r>
    <w:r w:rsidR="003F338F">
      <w:rPr>
        <w:rFonts w:ascii="Times New Roman" w:hAnsi="Times New Roman"/>
        <w:sz w:val="20"/>
        <w:szCs w:val="20"/>
      </w:rPr>
      <w:t>3</w:t>
    </w:r>
    <w:r>
      <w:rPr>
        <w:rFonts w:ascii="Times New Roman" w:hAnsi="Times New Roman"/>
        <w:sz w:val="20"/>
        <w:szCs w:val="20"/>
      </w:rPr>
      <w:t xml:space="preserve">0915;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p w:rsidR="001A4442" w:rsidRPr="006D51E5" w:rsidRDefault="001A4442" w:rsidP="006D5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94C" w:rsidRDefault="007C794C" w:rsidP="006F61F5">
      <w:pPr>
        <w:spacing w:after="0" w:line="240" w:lineRule="auto"/>
      </w:pPr>
      <w:r>
        <w:separator/>
      </w:r>
    </w:p>
  </w:footnote>
  <w:footnote w:type="continuationSeparator" w:id="0">
    <w:p w:rsidR="007C794C" w:rsidRDefault="007C794C" w:rsidP="006F61F5">
      <w:pPr>
        <w:spacing w:after="0" w:line="240" w:lineRule="auto"/>
      </w:pPr>
      <w:r>
        <w:continuationSeparator/>
      </w:r>
    </w:p>
  </w:footnote>
  <w:footnote w:id="1">
    <w:p w:rsidR="001A4442" w:rsidRPr="00066EE5" w:rsidRDefault="001A4442">
      <w:pPr>
        <w:pStyle w:val="FootnoteText"/>
        <w:rPr>
          <w:rFonts w:ascii="Times New Roman" w:hAnsi="Times New Roman"/>
        </w:rPr>
      </w:pPr>
      <w:r w:rsidRPr="00066EE5">
        <w:rPr>
          <w:rStyle w:val="FootnoteReference"/>
          <w:rFonts w:ascii="Times New Roman" w:hAnsi="Times New Roman"/>
        </w:rPr>
        <w:footnoteRef/>
      </w:r>
      <w:r w:rsidRPr="00066EE5">
        <w:rPr>
          <w:rFonts w:ascii="Times New Roman" w:hAnsi="Times New Roman"/>
        </w:rPr>
        <w:t xml:space="preserve"> Avots: Latvijas Banka</w:t>
      </w:r>
    </w:p>
  </w:footnote>
  <w:footnote w:id="2">
    <w:p w:rsidR="001A4442" w:rsidRPr="003D3DA1" w:rsidRDefault="001A4442" w:rsidP="003D3DA1">
      <w:pPr>
        <w:spacing w:after="0" w:line="240" w:lineRule="auto"/>
        <w:jc w:val="both"/>
        <w:rPr>
          <w:sz w:val="20"/>
          <w:szCs w:val="20"/>
        </w:rPr>
      </w:pPr>
      <w:r w:rsidRPr="003D3DA1">
        <w:rPr>
          <w:rStyle w:val="FootnoteReference"/>
          <w:rFonts w:ascii="Times New Roman" w:hAnsi="Times New Roman"/>
          <w:sz w:val="20"/>
          <w:szCs w:val="20"/>
        </w:rPr>
        <w:footnoteRef/>
      </w:r>
      <w:r w:rsidRPr="003D3DA1">
        <w:rPr>
          <w:rFonts w:ascii="Times New Roman" w:hAnsi="Times New Roman"/>
          <w:sz w:val="20"/>
          <w:szCs w:val="20"/>
        </w:rPr>
        <w:t xml:space="preserve"> Kanādas investīciju un biznesa konsultāciju uzņēmuma „</w:t>
      </w:r>
      <w:proofErr w:type="spellStart"/>
      <w:r w:rsidRPr="003D3DA1">
        <w:rPr>
          <w:rFonts w:ascii="Times New Roman" w:hAnsi="Times New Roman"/>
          <w:sz w:val="20"/>
          <w:szCs w:val="20"/>
        </w:rPr>
        <w:t>Ra</w:t>
      </w:r>
      <w:r>
        <w:rPr>
          <w:rFonts w:ascii="Times New Roman" w:hAnsi="Times New Roman"/>
          <w:sz w:val="20"/>
          <w:szCs w:val="20"/>
        </w:rPr>
        <w:t>ymond</w:t>
      </w:r>
      <w:proofErr w:type="spellEnd"/>
      <w:r>
        <w:rPr>
          <w:rFonts w:ascii="Times New Roman" w:hAnsi="Times New Roman"/>
          <w:sz w:val="20"/>
          <w:szCs w:val="20"/>
        </w:rPr>
        <w:t xml:space="preserve"> </w:t>
      </w:r>
      <w:proofErr w:type="spellStart"/>
      <w:r>
        <w:rPr>
          <w:rFonts w:ascii="Times New Roman" w:hAnsi="Times New Roman"/>
          <w:sz w:val="20"/>
          <w:szCs w:val="20"/>
        </w:rPr>
        <w:t>Chabot</w:t>
      </w:r>
      <w:proofErr w:type="spellEnd"/>
      <w:r>
        <w:rPr>
          <w:rFonts w:ascii="Times New Roman" w:hAnsi="Times New Roman"/>
          <w:sz w:val="20"/>
          <w:szCs w:val="20"/>
        </w:rPr>
        <w:t xml:space="preserve"> </w:t>
      </w:r>
      <w:proofErr w:type="spellStart"/>
      <w:r>
        <w:rPr>
          <w:rFonts w:ascii="Times New Roman" w:hAnsi="Times New Roman"/>
          <w:sz w:val="20"/>
          <w:szCs w:val="20"/>
        </w:rPr>
        <w:t>Grant</w:t>
      </w:r>
      <w:proofErr w:type="spellEnd"/>
      <w:r>
        <w:rPr>
          <w:rFonts w:ascii="Times New Roman" w:hAnsi="Times New Roman"/>
          <w:sz w:val="20"/>
          <w:szCs w:val="20"/>
        </w:rPr>
        <w:t xml:space="preserve"> </w:t>
      </w:r>
      <w:proofErr w:type="spellStart"/>
      <w:r>
        <w:rPr>
          <w:rFonts w:ascii="Times New Roman" w:hAnsi="Times New Roman"/>
          <w:sz w:val="20"/>
          <w:szCs w:val="20"/>
        </w:rPr>
        <w:t>Thornton</w:t>
      </w:r>
      <w:proofErr w:type="spellEnd"/>
      <w:r>
        <w:rPr>
          <w:rFonts w:ascii="Times New Roman" w:hAnsi="Times New Roman"/>
          <w:sz w:val="20"/>
          <w:szCs w:val="20"/>
        </w:rPr>
        <w:t xml:space="preserve"> LLP</w:t>
      </w:r>
      <w:r w:rsidRPr="003D3DA1">
        <w:rPr>
          <w:rFonts w:ascii="Times New Roman" w:hAnsi="Times New Roman"/>
          <w:sz w:val="20"/>
          <w:szCs w:val="20"/>
        </w:rPr>
        <w:t>” pētījums par uzturēšanās atļauju programmu darbību Latvijā un citur pasaulē, 2013.gads</w:t>
      </w:r>
    </w:p>
  </w:footnote>
  <w:footnote w:id="3">
    <w:p w:rsidR="001A4442" w:rsidRPr="002A69E3" w:rsidRDefault="001A4442">
      <w:pPr>
        <w:pStyle w:val="FootnoteText"/>
        <w:rPr>
          <w:rFonts w:ascii="Times New Roman" w:hAnsi="Times New Roman"/>
        </w:rPr>
      </w:pPr>
      <w:r w:rsidRPr="002A69E3">
        <w:rPr>
          <w:rStyle w:val="FootnoteReference"/>
          <w:rFonts w:ascii="Times New Roman" w:hAnsi="Times New Roman"/>
        </w:rPr>
        <w:footnoteRef/>
      </w:r>
      <w:r w:rsidRPr="002A69E3">
        <w:rPr>
          <w:rFonts w:ascii="Times New Roman" w:hAnsi="Times New Roman"/>
        </w:rPr>
        <w:t xml:space="preserve"> Ministru kabineta 2010.gada 21.jūnija noteikumi Nr.554 „Noteikumi par valstīm, kuru pilsoņiem, izsniedzot vīzu vai uzturēšanās atļauju, veic papildu pārbaudi”</w:t>
      </w:r>
    </w:p>
  </w:footnote>
  <w:footnote w:id="4">
    <w:p w:rsidR="001A4442" w:rsidRPr="000555CD" w:rsidRDefault="001A4442" w:rsidP="003064F6">
      <w:pPr>
        <w:pStyle w:val="FootnoteText"/>
        <w:rPr>
          <w:rFonts w:ascii="Times New Roman" w:hAnsi="Times New Roman"/>
        </w:rPr>
      </w:pPr>
      <w:r w:rsidRPr="000555CD">
        <w:rPr>
          <w:rStyle w:val="FootnoteReference"/>
          <w:rFonts w:ascii="Times New Roman" w:hAnsi="Times New Roman"/>
        </w:rPr>
        <w:footnoteRef/>
      </w:r>
      <w:r w:rsidRPr="000555CD">
        <w:rPr>
          <w:rFonts w:ascii="Times New Roman" w:hAnsi="Times New Roman"/>
        </w:rPr>
        <w:t xml:space="preserve"> Avots: </w:t>
      </w:r>
      <w:r w:rsidRPr="00C65DE7">
        <w:rPr>
          <w:rFonts w:ascii="Times New Roman" w:hAnsi="Times New Roman"/>
        </w:rPr>
        <w:t>http://emn.ie/files/p_201505060226492015_emn_synthesis_admitting_tcns_for_business_purposes_04may2015.pdf</w:t>
      </w:r>
      <w:proofErr w:type="gramStart"/>
      <w:r w:rsidRPr="00C65DE7" w:rsidDel="00C65DE7">
        <w:rPr>
          <w:rFonts w:ascii="Times New Roman" w:hAnsi="Times New Roman"/>
        </w:rPr>
        <w:t xml:space="preserve"> </w:t>
      </w:r>
      <w:r>
        <w:rPr>
          <w:rFonts w:ascii="Times New Roman" w:hAnsi="Times New Roman"/>
        </w:rPr>
        <w:t xml:space="preserve"> </w:t>
      </w:r>
      <w:proofErr w:type="gramEnd"/>
    </w:p>
  </w:footnote>
  <w:footnote w:id="5">
    <w:p w:rsidR="001A4442" w:rsidRPr="000C6DF8" w:rsidRDefault="001A4442">
      <w:pPr>
        <w:pStyle w:val="FootnoteText"/>
        <w:rPr>
          <w:rFonts w:ascii="Times New Roman" w:hAnsi="Times New Roman"/>
        </w:rPr>
      </w:pPr>
      <w:r w:rsidRPr="000C6DF8">
        <w:rPr>
          <w:rStyle w:val="FootnoteReference"/>
          <w:rFonts w:ascii="Times New Roman" w:hAnsi="Times New Roman"/>
        </w:rPr>
        <w:footnoteRef/>
      </w:r>
      <w:r w:rsidRPr="000C6DF8">
        <w:rPr>
          <w:rFonts w:ascii="Times New Roman" w:hAnsi="Times New Roman"/>
        </w:rPr>
        <w:t xml:space="preserve"> Avots: </w:t>
      </w:r>
      <w:r w:rsidRPr="00AB5457">
        <w:rPr>
          <w:rFonts w:ascii="Times New Roman" w:hAnsi="Times New Roman"/>
        </w:rPr>
        <w:t>LANĪDA</w:t>
      </w:r>
    </w:p>
  </w:footnote>
  <w:footnote w:id="6">
    <w:p w:rsidR="001A4442" w:rsidRPr="000555CD" w:rsidRDefault="001A4442" w:rsidP="000555CD">
      <w:pPr>
        <w:pStyle w:val="FootnoteText"/>
        <w:jc w:val="both"/>
        <w:rPr>
          <w:rFonts w:ascii="Times New Roman" w:hAnsi="Times New Roman"/>
        </w:rPr>
      </w:pPr>
      <w:r w:rsidRPr="000555CD">
        <w:rPr>
          <w:rStyle w:val="FootnoteReference"/>
          <w:rFonts w:ascii="Times New Roman" w:hAnsi="Times New Roman"/>
        </w:rPr>
        <w:footnoteRef/>
      </w:r>
      <w:r w:rsidRPr="000555CD">
        <w:rPr>
          <w:rFonts w:ascii="Times New Roman" w:hAnsi="Times New Roman"/>
        </w:rPr>
        <w:t xml:space="preserve"> Latio Mājokļu tirgus pārskats, 2014.gads: http://latio.lv/lv/pakalpojumi/tirgus-analize/majoklu-tirgus/131/latio-majoklu-tirgus-parskats-2014.pdf</w:t>
      </w:r>
    </w:p>
  </w:footnote>
  <w:footnote w:id="7">
    <w:p w:rsidR="001A4442" w:rsidRDefault="001A4442" w:rsidP="000555CD">
      <w:pPr>
        <w:pStyle w:val="FootnoteText"/>
        <w:jc w:val="both"/>
      </w:pPr>
      <w:r w:rsidRPr="000555CD">
        <w:rPr>
          <w:rStyle w:val="FootnoteReference"/>
          <w:rFonts w:ascii="Times New Roman" w:hAnsi="Times New Roman"/>
        </w:rPr>
        <w:footnoteRef/>
      </w:r>
      <w:r w:rsidRPr="000555CD">
        <w:rPr>
          <w:rFonts w:ascii="Times New Roman" w:hAnsi="Times New Roman"/>
        </w:rPr>
        <w:t xml:space="preserve"> Latio Mājokļu tirgus pārskats, 2015.gada </w:t>
      </w:r>
      <w:r>
        <w:rPr>
          <w:rFonts w:ascii="Times New Roman" w:hAnsi="Times New Roman"/>
        </w:rPr>
        <w:t>1</w:t>
      </w:r>
      <w:r w:rsidRPr="000555CD">
        <w:rPr>
          <w:rFonts w:ascii="Times New Roman" w:hAnsi="Times New Roman"/>
        </w:rPr>
        <w:t>.ceturksnis: http://latio.lv/lv/pakalpojumi/tirgus-analize/majoklu-tirgus/133/latio-majoklu-tirgus-parskats-2015-q1-final.pdf</w:t>
      </w:r>
    </w:p>
  </w:footnote>
  <w:footnote w:id="8">
    <w:p w:rsidR="001A4442" w:rsidRDefault="001A4442">
      <w:pPr>
        <w:pStyle w:val="FootnoteText"/>
      </w:pPr>
      <w:r w:rsidRPr="00ED1D1B">
        <w:rPr>
          <w:rStyle w:val="FootnoteReference"/>
          <w:rFonts w:ascii="Times New Roman" w:hAnsi="Times New Roman"/>
        </w:rPr>
        <w:footnoteRef/>
      </w:r>
      <w:r>
        <w:t xml:space="preserve"> </w:t>
      </w:r>
      <w:r w:rsidRPr="000555CD">
        <w:rPr>
          <w:rFonts w:ascii="Times New Roman" w:hAnsi="Times New Roman"/>
        </w:rPr>
        <w:t>Latio Mājokļu tirgus pārskats, 2014.gads: http://latio.lv/lv/pakalpojumi/tirgus-analize/majoklu-tirgus/131/latio-majoklu-tirgus-parskats-2014.pdf</w:t>
      </w:r>
    </w:p>
  </w:footnote>
  <w:footnote w:id="9">
    <w:p w:rsidR="001A4442" w:rsidRDefault="001A4442">
      <w:pPr>
        <w:pStyle w:val="FootnoteText"/>
      </w:pPr>
      <w:r w:rsidRPr="00ED1D1B">
        <w:rPr>
          <w:rStyle w:val="FootnoteReference"/>
          <w:rFonts w:ascii="Times New Roman" w:hAnsi="Times New Roman"/>
        </w:rPr>
        <w:footnoteRef/>
      </w:r>
      <w:r w:rsidRPr="00ED1D1B">
        <w:rPr>
          <w:rFonts w:ascii="Times New Roman" w:hAnsi="Times New Roman"/>
        </w:rPr>
        <w:t xml:space="preserve"> </w:t>
      </w:r>
      <w:r w:rsidRPr="000555CD">
        <w:rPr>
          <w:rFonts w:ascii="Times New Roman" w:hAnsi="Times New Roman"/>
        </w:rPr>
        <w:t xml:space="preserve">Latio Mājokļu tirgus pārskats, 2015.gada </w:t>
      </w:r>
      <w:r>
        <w:rPr>
          <w:rFonts w:ascii="Times New Roman" w:hAnsi="Times New Roman"/>
        </w:rPr>
        <w:t>1</w:t>
      </w:r>
      <w:r w:rsidRPr="000555CD">
        <w:rPr>
          <w:rFonts w:ascii="Times New Roman" w:hAnsi="Times New Roman"/>
        </w:rPr>
        <w:t>.ceturksnis: http://latio.lv/lv/pakalpojumi/tirgus-analize/majoklu-tirgus/133/latio-majoklu-tirgus-parskats-2015-q1-final.pdf</w:t>
      </w:r>
    </w:p>
  </w:footnote>
  <w:footnote w:id="10">
    <w:p w:rsidR="001A4442" w:rsidRDefault="001A4442">
      <w:pPr>
        <w:pStyle w:val="FootnoteText"/>
      </w:pPr>
      <w:r w:rsidRPr="00ED1D1B">
        <w:rPr>
          <w:rFonts w:ascii="Times New Roman" w:hAnsi="Times New Roman"/>
          <w:vertAlign w:val="superscript"/>
        </w:rPr>
        <w:footnoteRef/>
      </w:r>
      <w:r w:rsidRPr="000555CD">
        <w:rPr>
          <w:rFonts w:ascii="Times New Roman" w:hAnsi="Times New Roman"/>
          <w:vertAlign w:val="superscript"/>
        </w:rPr>
        <w:t xml:space="preserve"> </w:t>
      </w:r>
      <w:r w:rsidRPr="000555CD">
        <w:rPr>
          <w:rFonts w:ascii="Times New Roman" w:hAnsi="Times New Roman"/>
        </w:rPr>
        <w:t xml:space="preserve">Jūrmalas pilsētas domes </w:t>
      </w:r>
      <w:r>
        <w:rPr>
          <w:rFonts w:ascii="Times New Roman" w:hAnsi="Times New Roman"/>
        </w:rPr>
        <w:t xml:space="preserve">sniegtā informācija </w:t>
      </w:r>
    </w:p>
  </w:footnote>
  <w:footnote w:id="11">
    <w:p w:rsidR="001A4442" w:rsidRPr="00ED1D1B" w:rsidRDefault="001A44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LANĪDA vērtējums</w:t>
      </w:r>
    </w:p>
  </w:footnote>
  <w:footnote w:id="12">
    <w:p w:rsidR="001A4442" w:rsidRPr="00ED1D1B" w:rsidRDefault="001A4442" w:rsidP="000555CD">
      <w:pPr>
        <w:pStyle w:val="Style1"/>
      </w:pPr>
      <w:r w:rsidRPr="00ED1D1B">
        <w:rPr>
          <w:rStyle w:val="FootnoteReference"/>
        </w:rPr>
        <w:footnoteRef/>
      </w:r>
      <w:r w:rsidRPr="00ED1D1B">
        <w:t xml:space="preserve"> Latio Mājokļu tirgus pārskats, 2015.gada 1.ceturksnis: http://latio.lv/lv/pakalpojumi/tirgus-analize/majoklu-tirgus/133/latio-majoklu-tirgus-parskats-2015-q1-final.pdf</w:t>
      </w:r>
    </w:p>
  </w:footnote>
  <w:footnote w:id="13">
    <w:p w:rsidR="001A4442" w:rsidRPr="00ED1D1B" w:rsidRDefault="001A4442" w:rsidP="0009111B">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Valsts zemes dienesta, Latio, LANĪDA vērtējums</w:t>
      </w:r>
    </w:p>
  </w:footnote>
  <w:footnote w:id="14">
    <w:p w:rsidR="001A4442" w:rsidRPr="00ED1D1B" w:rsidRDefault="001A44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Avots: SIA “LURSOFT”</w:t>
      </w:r>
    </w:p>
  </w:footnote>
  <w:footnote w:id="15">
    <w:p w:rsidR="001A4442" w:rsidRPr="001B0886" w:rsidRDefault="001A4442">
      <w:pPr>
        <w:pStyle w:val="FootnoteText"/>
        <w:rPr>
          <w:rFonts w:ascii="Times New Roman" w:hAnsi="Times New Roman"/>
        </w:rPr>
      </w:pPr>
      <w:r w:rsidRPr="001B0886">
        <w:rPr>
          <w:rStyle w:val="FootnoteReference"/>
          <w:rFonts w:ascii="Times New Roman" w:hAnsi="Times New Roman"/>
        </w:rPr>
        <w:footnoteRef/>
      </w:r>
      <w:r w:rsidRPr="001B0886">
        <w:rPr>
          <w:rFonts w:ascii="Times New Roman" w:hAnsi="Times New Roman"/>
        </w:rPr>
        <w:t xml:space="preserve"> PMLP dati</w:t>
      </w:r>
    </w:p>
  </w:footnote>
  <w:footnote w:id="16">
    <w:p w:rsidR="001A4442" w:rsidRPr="001B0886" w:rsidRDefault="001A4442" w:rsidP="00FB052F">
      <w:pPr>
        <w:pStyle w:val="FootnoteText"/>
        <w:rPr>
          <w:rFonts w:ascii="Times New Roman" w:hAnsi="Times New Roman"/>
        </w:rPr>
      </w:pPr>
      <w:r w:rsidRPr="001B0886">
        <w:rPr>
          <w:rStyle w:val="FootnoteReference"/>
          <w:rFonts w:ascii="Times New Roman" w:hAnsi="Times New Roman"/>
        </w:rPr>
        <w:footnoteRef/>
      </w:r>
      <w:r w:rsidRPr="001B0886">
        <w:rPr>
          <w:rFonts w:ascii="Times New Roman" w:hAnsi="Times New Roman"/>
        </w:rPr>
        <w:t xml:space="preserve"> Avots: </w:t>
      </w:r>
      <w:r>
        <w:rPr>
          <w:rFonts w:ascii="Times New Roman" w:hAnsi="Times New Roman"/>
        </w:rPr>
        <w:t>LURSOFT</w:t>
      </w:r>
    </w:p>
  </w:footnote>
  <w:footnote w:id="17">
    <w:p w:rsidR="001A4442" w:rsidRPr="000555CD" w:rsidRDefault="001A4442">
      <w:pPr>
        <w:pStyle w:val="FootnoteText"/>
        <w:rPr>
          <w:rFonts w:ascii="Times New Roman" w:hAnsi="Times New Roman"/>
        </w:rPr>
      </w:pPr>
      <w:r w:rsidRPr="000555CD">
        <w:rPr>
          <w:rStyle w:val="FootnoteReference"/>
          <w:rFonts w:ascii="Times New Roman" w:hAnsi="Times New Roman"/>
        </w:rPr>
        <w:footnoteRef/>
      </w:r>
      <w:r w:rsidRPr="000555CD">
        <w:rPr>
          <w:rFonts w:ascii="Times New Roman" w:hAnsi="Times New Roman"/>
        </w:rPr>
        <w:t xml:space="preserve"> </w:t>
      </w:r>
      <w:r>
        <w:rPr>
          <w:rFonts w:ascii="Times New Roman" w:hAnsi="Times New Roman"/>
        </w:rPr>
        <w:t>Avots: LURSOFT</w:t>
      </w:r>
    </w:p>
  </w:footnote>
  <w:footnote w:id="18">
    <w:p w:rsidR="001A4442" w:rsidRDefault="001A4442">
      <w:pPr>
        <w:pStyle w:val="FootnoteText"/>
      </w:pPr>
      <w:r w:rsidRPr="000555CD">
        <w:rPr>
          <w:rStyle w:val="FootnoteReference"/>
          <w:rFonts w:ascii="Times New Roman" w:hAnsi="Times New Roman"/>
        </w:rPr>
        <w:footnoteRef/>
      </w:r>
      <w:r w:rsidRPr="000555CD">
        <w:rPr>
          <w:rFonts w:ascii="Times New Roman" w:hAnsi="Times New Roman"/>
        </w:rPr>
        <w:t xml:space="preserve"> </w:t>
      </w:r>
      <w:r w:rsidRPr="00B12148">
        <w:rPr>
          <w:rFonts w:ascii="Times New Roman" w:hAnsi="Times New Roman"/>
        </w:rPr>
        <w:t>Avots</w:t>
      </w:r>
      <w:r>
        <w:rPr>
          <w:rFonts w:ascii="Times New Roman" w:hAnsi="Times New Roman"/>
        </w:rPr>
        <w:t>: LURSOFT</w:t>
      </w:r>
    </w:p>
  </w:footnote>
  <w:footnote w:id="19">
    <w:p w:rsidR="001A4442" w:rsidRPr="000555CD" w:rsidRDefault="001A4442">
      <w:pPr>
        <w:pStyle w:val="FootnoteText"/>
        <w:rPr>
          <w:rFonts w:ascii="Times New Roman" w:hAnsi="Times New Roman"/>
        </w:rPr>
      </w:pPr>
      <w:r w:rsidRPr="000555CD">
        <w:rPr>
          <w:rStyle w:val="FootnoteReference"/>
          <w:rFonts w:ascii="Times New Roman" w:hAnsi="Times New Roman"/>
        </w:rPr>
        <w:footnoteRef/>
      </w:r>
      <w:r>
        <w:rPr>
          <w:rFonts w:ascii="Times New Roman" w:hAnsi="Times New Roman"/>
        </w:rPr>
        <w:t xml:space="preserve"> Avots: LURSOFT</w:t>
      </w:r>
    </w:p>
  </w:footnote>
  <w:footnote w:id="20">
    <w:p w:rsidR="001A4442" w:rsidRPr="00ED1D1B" w:rsidRDefault="001A44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PMLP 2013.gadā veiktā TUA pieteicēju aptauja</w:t>
      </w:r>
    </w:p>
  </w:footnote>
  <w:footnote w:id="21">
    <w:p w:rsidR="001A4442" w:rsidRPr="00ED1D1B" w:rsidRDefault="001A4442" w:rsidP="007C52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Latio Mājokļu tirgus pārskats, 2015.gada 1.ceturksnis: http://latio.lv/lv/pakalpojumi/tirgus-analize/majoklu-tirgus/133/latio-majoklu-tirgus-parskats-2015-q1-final.pdf</w:t>
      </w:r>
    </w:p>
  </w:footnote>
  <w:footnote w:id="22">
    <w:p w:rsidR="001A4442" w:rsidRPr="00ED1D1B" w:rsidRDefault="001A4442" w:rsidP="007C52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w:t>
      </w:r>
      <w:proofErr w:type="spellStart"/>
      <w:r w:rsidRPr="00ED1D1B">
        <w:rPr>
          <w:rFonts w:ascii="Times New Roman" w:hAnsi="Times New Roman"/>
        </w:rPr>
        <w:t>Ober-Haus</w:t>
      </w:r>
      <w:proofErr w:type="spellEnd"/>
      <w:r w:rsidRPr="00ED1D1B">
        <w:rPr>
          <w:rFonts w:ascii="Times New Roman" w:hAnsi="Times New Roman"/>
        </w:rPr>
        <w:t xml:space="preserve"> </w:t>
      </w:r>
      <w:proofErr w:type="spellStart"/>
      <w:r w:rsidRPr="00ED1D1B">
        <w:rPr>
          <w:rFonts w:ascii="Times New Roman" w:hAnsi="Times New Roman"/>
        </w:rPr>
        <w:t>Real</w:t>
      </w:r>
      <w:proofErr w:type="spellEnd"/>
      <w:r w:rsidRPr="00ED1D1B">
        <w:rPr>
          <w:rFonts w:ascii="Times New Roman" w:hAnsi="Times New Roman"/>
        </w:rPr>
        <w:t xml:space="preserve"> </w:t>
      </w:r>
      <w:proofErr w:type="spellStart"/>
      <w:r w:rsidRPr="00ED1D1B">
        <w:rPr>
          <w:rFonts w:ascii="Times New Roman" w:hAnsi="Times New Roman"/>
        </w:rPr>
        <w:t>Estate</w:t>
      </w:r>
      <w:proofErr w:type="spellEnd"/>
      <w:r w:rsidRPr="00ED1D1B">
        <w:rPr>
          <w:rFonts w:ascii="Times New Roman" w:hAnsi="Times New Roman"/>
        </w:rPr>
        <w:t xml:space="preserve"> </w:t>
      </w:r>
      <w:proofErr w:type="spellStart"/>
      <w:r w:rsidRPr="00ED1D1B">
        <w:rPr>
          <w:rFonts w:ascii="Times New Roman" w:hAnsi="Times New Roman"/>
        </w:rPr>
        <w:t>Market</w:t>
      </w:r>
      <w:proofErr w:type="spellEnd"/>
      <w:r w:rsidRPr="00ED1D1B">
        <w:rPr>
          <w:rFonts w:ascii="Times New Roman" w:hAnsi="Times New Roman"/>
        </w:rPr>
        <w:t xml:space="preserve"> </w:t>
      </w:r>
      <w:proofErr w:type="spellStart"/>
      <w:r w:rsidRPr="00ED1D1B">
        <w:rPr>
          <w:rFonts w:ascii="Times New Roman" w:hAnsi="Times New Roman"/>
        </w:rPr>
        <w:t>Report</w:t>
      </w:r>
      <w:proofErr w:type="spellEnd"/>
      <w:r w:rsidRPr="00ED1D1B">
        <w:rPr>
          <w:rFonts w:ascii="Times New Roman" w:hAnsi="Times New Roman"/>
        </w:rPr>
        <w:t xml:space="preserve"> 2015: http://www.ober-haus.lv/wp-content/uploads/2015/03/Ober-Haus-Market-Report-Baltic-States-2015.pdf</w:t>
      </w:r>
    </w:p>
  </w:footnote>
  <w:footnote w:id="23">
    <w:p w:rsidR="001A4442" w:rsidRPr="00ED1D1B" w:rsidRDefault="001A4442" w:rsidP="007C52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http://www.lanida.lv/index.php?option=com_k2&amp;view=item&amp;id=6669:balts-tirgus-apskats-par-2015-gada-juniju-darijumu-skaits-pieaudzis-par-5&amp;Itemid=306&amp;lang=lv</w:t>
      </w:r>
    </w:p>
  </w:footnote>
  <w:footnote w:id="24">
    <w:p w:rsidR="001A4442" w:rsidRPr="00ED1D1B" w:rsidRDefault="001A4442" w:rsidP="007C52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Latio Mājokļu tirgus pārskats, 2015.gada </w:t>
      </w:r>
      <w:proofErr w:type="spellStart"/>
      <w:r w:rsidRPr="00ED1D1B">
        <w:rPr>
          <w:rFonts w:ascii="Times New Roman" w:hAnsi="Times New Roman"/>
        </w:rPr>
        <w:t>I.ceturksnis</w:t>
      </w:r>
      <w:proofErr w:type="spellEnd"/>
      <w:r w:rsidRPr="00ED1D1B">
        <w:rPr>
          <w:rFonts w:ascii="Times New Roman" w:hAnsi="Times New Roman"/>
        </w:rPr>
        <w:t>: http://latio.lv/lv/pakalpojumi/tirgus-analize/majoklu-tirgus/133/latio-majoklu-tirgus-parskats-2015-q1-final.pdf</w:t>
      </w:r>
    </w:p>
  </w:footnote>
  <w:footnote w:id="25">
    <w:p w:rsidR="001A4442" w:rsidRPr="00ED1D1B" w:rsidRDefault="001A44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http://www.csb.gov.lv/notikumi/2015-gada-1-ceturksni-neliels-kritums-buvniecibas-produkcijai-41769.html</w:t>
      </w:r>
    </w:p>
  </w:footnote>
  <w:footnote w:id="26">
    <w:p w:rsidR="001A4442" w:rsidRPr="00005CF6" w:rsidRDefault="001A4442" w:rsidP="00005CF6">
      <w:pPr>
        <w:spacing w:after="120" w:line="240" w:lineRule="auto"/>
        <w:rPr>
          <w:rFonts w:ascii="Times New Roman" w:hAnsi="Times New Roman"/>
          <w:sz w:val="24"/>
          <w:szCs w:val="24"/>
          <w:lang w:eastAsia="lv-LV"/>
        </w:rPr>
      </w:pPr>
      <w:r w:rsidRPr="005263FF">
        <w:rPr>
          <w:rStyle w:val="FootnoteReference"/>
          <w:rFonts w:ascii="Times New Roman" w:hAnsi="Times New Roman"/>
        </w:rPr>
        <w:footnoteRef/>
      </w:r>
      <w:r w:rsidRPr="005263FF">
        <w:rPr>
          <w:rFonts w:ascii="Times New Roman" w:hAnsi="Times New Roman"/>
        </w:rPr>
        <w:t xml:space="preserve"> </w:t>
      </w:r>
      <w:r w:rsidRPr="00005CF6">
        <w:rPr>
          <w:rFonts w:ascii="Times New Roman" w:hAnsi="Times New Roman"/>
          <w:sz w:val="20"/>
          <w:szCs w:val="20"/>
          <w:lang w:eastAsia="lv-LV"/>
        </w:rPr>
        <w:t>Latvijas Komercbanku asociācijas</w:t>
      </w:r>
      <w:r>
        <w:rPr>
          <w:rFonts w:ascii="Times New Roman" w:hAnsi="Times New Roman"/>
          <w:sz w:val="24"/>
          <w:szCs w:val="24"/>
          <w:lang w:eastAsia="lv-LV"/>
        </w:rPr>
        <w:t xml:space="preserve"> </w:t>
      </w:r>
      <w:r w:rsidRPr="005263FF">
        <w:rPr>
          <w:rFonts w:ascii="Times New Roman" w:hAnsi="Times New Roman"/>
        </w:rPr>
        <w:t>vērtējums</w:t>
      </w:r>
    </w:p>
  </w:footnote>
  <w:footnote w:id="27">
    <w:p w:rsidR="001A4442" w:rsidRDefault="001A4442" w:rsidP="00AA64DE">
      <w:pPr>
        <w:pStyle w:val="FootnoteText"/>
      </w:pPr>
      <w:r w:rsidRPr="00AA64DE">
        <w:rPr>
          <w:rStyle w:val="FootnoteReference"/>
          <w:rFonts w:ascii="Times New Roman" w:hAnsi="Times New Roman"/>
        </w:rPr>
        <w:footnoteRef/>
      </w:r>
      <w:r w:rsidRPr="00AA64DE">
        <w:rPr>
          <w:rFonts w:ascii="Times New Roman" w:hAnsi="Times New Roman"/>
        </w:rPr>
        <w:t xml:space="preserve"> Latvijas Komercbanku asociācijas vērtējums</w:t>
      </w:r>
    </w:p>
  </w:footnote>
  <w:footnote w:id="28">
    <w:p w:rsidR="001A4442" w:rsidRPr="00AD111B" w:rsidRDefault="001A4442" w:rsidP="00AA64DE">
      <w:pPr>
        <w:pStyle w:val="FootnoteText"/>
        <w:rPr>
          <w:rFonts w:ascii="Times New Roman" w:hAnsi="Times New Roman"/>
        </w:rPr>
      </w:pPr>
      <w:r w:rsidRPr="00AD111B">
        <w:rPr>
          <w:rStyle w:val="FootnoteReference"/>
          <w:rFonts w:ascii="Times New Roman" w:hAnsi="Times New Roman"/>
        </w:rPr>
        <w:footnoteRef/>
      </w:r>
      <w:r w:rsidRPr="00AD111B">
        <w:rPr>
          <w:rFonts w:ascii="Times New Roman" w:hAnsi="Times New Roman"/>
        </w:rPr>
        <w:t xml:space="preserve"> turpat</w:t>
      </w:r>
    </w:p>
  </w:footnote>
  <w:footnote w:id="29">
    <w:p w:rsidR="001A4442" w:rsidRPr="00AD111B" w:rsidRDefault="001A4442">
      <w:pPr>
        <w:pStyle w:val="FootnoteText"/>
        <w:rPr>
          <w:rFonts w:ascii="Times New Roman" w:hAnsi="Times New Roman"/>
        </w:rPr>
      </w:pPr>
      <w:r w:rsidRPr="00AD111B">
        <w:rPr>
          <w:rStyle w:val="FootnoteReference"/>
          <w:rFonts w:ascii="Times New Roman" w:hAnsi="Times New Roman"/>
        </w:rPr>
        <w:footnoteRef/>
      </w:r>
      <w:r w:rsidRPr="00AD111B">
        <w:rPr>
          <w:rFonts w:ascii="Times New Roman" w:hAnsi="Times New Roman"/>
        </w:rPr>
        <w:t xml:space="preserve"> turpat</w:t>
      </w:r>
    </w:p>
  </w:footnote>
  <w:footnote w:id="30">
    <w:p w:rsidR="001A4442" w:rsidRPr="00C232F4" w:rsidRDefault="001A4442">
      <w:pPr>
        <w:pStyle w:val="FootnoteText"/>
        <w:rPr>
          <w:rFonts w:ascii="Times New Roman" w:hAnsi="Times New Roman"/>
        </w:rPr>
      </w:pPr>
      <w:r w:rsidRPr="00C232F4">
        <w:rPr>
          <w:rStyle w:val="FootnoteReference"/>
          <w:rFonts w:ascii="Times New Roman" w:hAnsi="Times New Roman"/>
        </w:rPr>
        <w:footnoteRef/>
      </w:r>
      <w:r w:rsidRPr="00C232F4">
        <w:rPr>
          <w:rFonts w:ascii="Times New Roman" w:hAnsi="Times New Roman"/>
        </w:rPr>
        <w:t xml:space="preserve"> FKTK vērtējums</w:t>
      </w:r>
    </w:p>
  </w:footnote>
  <w:footnote w:id="31">
    <w:p w:rsidR="001A4442" w:rsidRPr="00ED1D1B" w:rsidRDefault="001A44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PMLP dati </w:t>
      </w:r>
    </w:p>
  </w:footnote>
  <w:footnote w:id="32">
    <w:p w:rsidR="001A4442" w:rsidRDefault="001A4442" w:rsidP="00C27AEB">
      <w:pPr>
        <w:pStyle w:val="FootnoteText"/>
      </w:pPr>
      <w:r w:rsidRPr="007F0448">
        <w:rPr>
          <w:rStyle w:val="FootnoteReference"/>
          <w:rFonts w:ascii="Times New Roman" w:hAnsi="Times New Roman"/>
        </w:rPr>
        <w:footnoteRef/>
      </w:r>
      <w:r>
        <w:t xml:space="preserve"> </w:t>
      </w:r>
      <w:r w:rsidRPr="00B921B9">
        <w:rPr>
          <w:rFonts w:ascii="Times New Roman" w:hAnsi="Times New Roman"/>
        </w:rPr>
        <w:t xml:space="preserve">Trešo valstu pilsoņu portrets Latvijā. </w:t>
      </w:r>
      <w:proofErr w:type="spellStart"/>
      <w:r w:rsidRPr="00B921B9">
        <w:rPr>
          <w:rFonts w:ascii="Times New Roman" w:hAnsi="Times New Roman"/>
        </w:rPr>
        <w:t>Kļave</w:t>
      </w:r>
      <w:proofErr w:type="spellEnd"/>
      <w:r w:rsidRPr="00B921B9">
        <w:rPr>
          <w:rFonts w:ascii="Times New Roman" w:hAnsi="Times New Roman"/>
        </w:rPr>
        <w:t xml:space="preserve"> E., </w:t>
      </w:r>
      <w:proofErr w:type="spellStart"/>
      <w:r w:rsidRPr="00B921B9">
        <w:rPr>
          <w:rFonts w:ascii="Times New Roman" w:hAnsi="Times New Roman"/>
        </w:rPr>
        <w:t>Šūpule</w:t>
      </w:r>
      <w:proofErr w:type="spellEnd"/>
      <w:r w:rsidRPr="00B921B9">
        <w:rPr>
          <w:rFonts w:ascii="Times New Roman" w:hAnsi="Times New Roman"/>
        </w:rPr>
        <w:t xml:space="preserve"> I., </w:t>
      </w:r>
      <w:proofErr w:type="spellStart"/>
      <w:r w:rsidRPr="00B921B9">
        <w:rPr>
          <w:rFonts w:ascii="Times New Roman" w:hAnsi="Times New Roman"/>
        </w:rPr>
        <w:t>Zepa</w:t>
      </w:r>
      <w:proofErr w:type="spellEnd"/>
      <w:r w:rsidRPr="00B921B9">
        <w:rPr>
          <w:rFonts w:ascii="Times New Roman" w:hAnsi="Times New Roman"/>
        </w:rPr>
        <w:t xml:space="preserve"> B. – Sabiedrības integrācijas fonds, 2015., 108 lpp.</w:t>
      </w:r>
    </w:p>
  </w:footnote>
  <w:footnote w:id="33">
    <w:p w:rsidR="001A4442" w:rsidRPr="00853880" w:rsidRDefault="001A4442" w:rsidP="00C27AEB">
      <w:pPr>
        <w:pStyle w:val="FootnoteText"/>
        <w:rPr>
          <w:rFonts w:ascii="Times New Roman" w:hAnsi="Times New Roman"/>
        </w:rPr>
      </w:pPr>
      <w:r w:rsidRPr="007F0448">
        <w:rPr>
          <w:rStyle w:val="FootnoteReference"/>
          <w:rFonts w:ascii="Times New Roman" w:hAnsi="Times New Roman"/>
        </w:rPr>
        <w:footnoteRef/>
      </w:r>
      <w:r w:rsidRPr="007F0448">
        <w:rPr>
          <w:rFonts w:ascii="Times New Roman" w:hAnsi="Times New Roman"/>
        </w:rPr>
        <w:t xml:space="preserve"> </w:t>
      </w:r>
      <w:r w:rsidRPr="00853880">
        <w:rPr>
          <w:rFonts w:ascii="Times New Roman" w:hAnsi="Times New Roman"/>
        </w:rPr>
        <w:t>turpat</w:t>
      </w:r>
    </w:p>
  </w:footnote>
  <w:footnote w:id="34">
    <w:p w:rsidR="001A4442" w:rsidRPr="00ED1D1B" w:rsidRDefault="001A4442">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Trešo valstu pilsoņu portrets Latvijā. </w:t>
      </w:r>
      <w:proofErr w:type="spellStart"/>
      <w:r w:rsidRPr="00ED1D1B">
        <w:rPr>
          <w:rFonts w:ascii="Times New Roman" w:hAnsi="Times New Roman"/>
        </w:rPr>
        <w:t>Kļave</w:t>
      </w:r>
      <w:proofErr w:type="spellEnd"/>
      <w:r w:rsidRPr="00ED1D1B">
        <w:rPr>
          <w:rFonts w:ascii="Times New Roman" w:hAnsi="Times New Roman"/>
        </w:rPr>
        <w:t xml:space="preserve"> E., </w:t>
      </w:r>
      <w:proofErr w:type="spellStart"/>
      <w:r w:rsidRPr="00ED1D1B">
        <w:rPr>
          <w:rFonts w:ascii="Times New Roman" w:hAnsi="Times New Roman"/>
        </w:rPr>
        <w:t>Šūpule</w:t>
      </w:r>
      <w:proofErr w:type="spellEnd"/>
      <w:r w:rsidRPr="00ED1D1B">
        <w:rPr>
          <w:rFonts w:ascii="Times New Roman" w:hAnsi="Times New Roman"/>
        </w:rPr>
        <w:t xml:space="preserve"> I., </w:t>
      </w:r>
      <w:proofErr w:type="spellStart"/>
      <w:r w:rsidRPr="00ED1D1B">
        <w:rPr>
          <w:rFonts w:ascii="Times New Roman" w:hAnsi="Times New Roman"/>
        </w:rPr>
        <w:t>Zepa</w:t>
      </w:r>
      <w:proofErr w:type="spellEnd"/>
      <w:r w:rsidRPr="00ED1D1B">
        <w:rPr>
          <w:rFonts w:ascii="Times New Roman" w:hAnsi="Times New Roman"/>
        </w:rPr>
        <w:t xml:space="preserve"> B. – Sabiedrības integrācijas fonds, 2015., 108 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42" w:rsidRDefault="001A4442" w:rsidP="00875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4442" w:rsidRDefault="001A4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25053"/>
      <w:docPartObj>
        <w:docPartGallery w:val="Page Numbers (Top of Page)"/>
        <w:docPartUnique/>
      </w:docPartObj>
    </w:sdtPr>
    <w:sdtEndPr>
      <w:rPr>
        <w:rFonts w:ascii="Times New Roman" w:eastAsia="PMingLiU-ExtB" w:hAnsi="Times New Roman"/>
        <w:noProof/>
        <w:sz w:val="24"/>
      </w:rPr>
    </w:sdtEndPr>
    <w:sdtContent>
      <w:p w:rsidR="001A4442" w:rsidRPr="002C5E69" w:rsidRDefault="001A4442">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2D08D3">
          <w:rPr>
            <w:rFonts w:ascii="Times New Roman" w:eastAsia="PMingLiU-ExtB" w:hAnsi="Times New Roman"/>
            <w:noProof/>
            <w:sz w:val="24"/>
          </w:rPr>
          <w:t>39</w:t>
        </w:r>
        <w:r w:rsidRPr="002C5E69">
          <w:rPr>
            <w:rFonts w:ascii="Times New Roman" w:eastAsia="PMingLiU-ExtB" w:hAnsi="Times New Roman"/>
            <w:noProof/>
            <w:sz w:val="24"/>
          </w:rPr>
          <w:fldChar w:fldCharType="end"/>
        </w:r>
      </w:p>
    </w:sdtContent>
  </w:sdt>
  <w:p w:rsidR="001A4442" w:rsidRDefault="001A4442" w:rsidP="002C5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D9064A"/>
    <w:multiLevelType w:val="hybridMultilevel"/>
    <w:tmpl w:val="C57CAABE"/>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
    <w:nsid w:val="16DB7D64"/>
    <w:multiLevelType w:val="hybridMultilevel"/>
    <w:tmpl w:val="4FD4DDF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2FF468BF"/>
    <w:multiLevelType w:val="hybridMultilevel"/>
    <w:tmpl w:val="50509C5E"/>
    <w:lvl w:ilvl="0" w:tplc="8FAA116E">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A1E28"/>
    <w:multiLevelType w:val="hybridMultilevel"/>
    <w:tmpl w:val="3310757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F314C80"/>
    <w:multiLevelType w:val="hybridMultilevel"/>
    <w:tmpl w:val="1DD48E06"/>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F9C5002"/>
    <w:multiLevelType w:val="hybridMultilevel"/>
    <w:tmpl w:val="4A087AA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368331A"/>
    <w:multiLevelType w:val="hybridMultilevel"/>
    <w:tmpl w:val="30B028D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04518A"/>
    <w:multiLevelType w:val="hybridMultilevel"/>
    <w:tmpl w:val="265C2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5"/>
  </w:num>
  <w:num w:numId="6">
    <w:abstractNumId w:val="2"/>
  </w:num>
  <w:num w:numId="7">
    <w:abstractNumId w:val="6"/>
  </w:num>
  <w:num w:numId="8">
    <w:abstractNumId w:val="9"/>
  </w:num>
  <w:num w:numId="9">
    <w:abstractNumId w:val="3"/>
  </w:num>
  <w:num w:numId="10">
    <w:abstractNumId w:val="10"/>
  </w:num>
  <w:num w:numId="11">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a Krūze">
    <w15:presenceInfo w15:providerId="AD" w15:userId="S-1-5-21-734147818-1251574435-2103723179-15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930F2"/>
    <w:rsid w:val="00002387"/>
    <w:rsid w:val="00003174"/>
    <w:rsid w:val="000043AC"/>
    <w:rsid w:val="00005622"/>
    <w:rsid w:val="000057C9"/>
    <w:rsid w:val="00005CF6"/>
    <w:rsid w:val="00010486"/>
    <w:rsid w:val="00010B65"/>
    <w:rsid w:val="0001130B"/>
    <w:rsid w:val="0001682D"/>
    <w:rsid w:val="00016BCD"/>
    <w:rsid w:val="000176AE"/>
    <w:rsid w:val="0002039E"/>
    <w:rsid w:val="000215AD"/>
    <w:rsid w:val="00021AC3"/>
    <w:rsid w:val="00022C4C"/>
    <w:rsid w:val="00023229"/>
    <w:rsid w:val="00025418"/>
    <w:rsid w:val="00026279"/>
    <w:rsid w:val="000322BB"/>
    <w:rsid w:val="00032F75"/>
    <w:rsid w:val="00034EBC"/>
    <w:rsid w:val="00037578"/>
    <w:rsid w:val="00037B97"/>
    <w:rsid w:val="00040ADE"/>
    <w:rsid w:val="00040F6D"/>
    <w:rsid w:val="00042EAD"/>
    <w:rsid w:val="000438CA"/>
    <w:rsid w:val="00043CFD"/>
    <w:rsid w:val="0004402A"/>
    <w:rsid w:val="00045F6D"/>
    <w:rsid w:val="00046EA3"/>
    <w:rsid w:val="00046FFB"/>
    <w:rsid w:val="0004717D"/>
    <w:rsid w:val="00047D0D"/>
    <w:rsid w:val="000507AA"/>
    <w:rsid w:val="000536BF"/>
    <w:rsid w:val="00053869"/>
    <w:rsid w:val="000555CD"/>
    <w:rsid w:val="000557D8"/>
    <w:rsid w:val="00055B73"/>
    <w:rsid w:val="00061B22"/>
    <w:rsid w:val="00061C01"/>
    <w:rsid w:val="00061EC9"/>
    <w:rsid w:val="0006249E"/>
    <w:rsid w:val="0006339E"/>
    <w:rsid w:val="000639BC"/>
    <w:rsid w:val="00064451"/>
    <w:rsid w:val="000658D5"/>
    <w:rsid w:val="0006683A"/>
    <w:rsid w:val="00066EE5"/>
    <w:rsid w:val="00067EB8"/>
    <w:rsid w:val="00067FCA"/>
    <w:rsid w:val="00070243"/>
    <w:rsid w:val="0007206A"/>
    <w:rsid w:val="000751FD"/>
    <w:rsid w:val="00075B75"/>
    <w:rsid w:val="000779DD"/>
    <w:rsid w:val="00081271"/>
    <w:rsid w:val="00081C89"/>
    <w:rsid w:val="00083569"/>
    <w:rsid w:val="00084DA1"/>
    <w:rsid w:val="000855F8"/>
    <w:rsid w:val="00087B1A"/>
    <w:rsid w:val="000907E4"/>
    <w:rsid w:val="0009111B"/>
    <w:rsid w:val="00092F34"/>
    <w:rsid w:val="00092FB9"/>
    <w:rsid w:val="00094378"/>
    <w:rsid w:val="00094A40"/>
    <w:rsid w:val="0009525D"/>
    <w:rsid w:val="00097C34"/>
    <w:rsid w:val="000A2105"/>
    <w:rsid w:val="000A21BC"/>
    <w:rsid w:val="000A2295"/>
    <w:rsid w:val="000A22EE"/>
    <w:rsid w:val="000A64FF"/>
    <w:rsid w:val="000B39A7"/>
    <w:rsid w:val="000B4756"/>
    <w:rsid w:val="000B5187"/>
    <w:rsid w:val="000B5F1D"/>
    <w:rsid w:val="000B6533"/>
    <w:rsid w:val="000B6A25"/>
    <w:rsid w:val="000B7A63"/>
    <w:rsid w:val="000B7DF2"/>
    <w:rsid w:val="000C2A4F"/>
    <w:rsid w:val="000C3627"/>
    <w:rsid w:val="000C6175"/>
    <w:rsid w:val="000C65C5"/>
    <w:rsid w:val="000C67A3"/>
    <w:rsid w:val="000C6CE5"/>
    <w:rsid w:val="000C6DF8"/>
    <w:rsid w:val="000C7631"/>
    <w:rsid w:val="000C7FE2"/>
    <w:rsid w:val="000D0903"/>
    <w:rsid w:val="000D47B0"/>
    <w:rsid w:val="000D6924"/>
    <w:rsid w:val="000E050B"/>
    <w:rsid w:val="000E25DB"/>
    <w:rsid w:val="000E2E64"/>
    <w:rsid w:val="000E3867"/>
    <w:rsid w:val="000E3AB7"/>
    <w:rsid w:val="000E5618"/>
    <w:rsid w:val="000F0C1E"/>
    <w:rsid w:val="000F38A9"/>
    <w:rsid w:val="000F6040"/>
    <w:rsid w:val="000F61C2"/>
    <w:rsid w:val="000F63A2"/>
    <w:rsid w:val="000F7A6B"/>
    <w:rsid w:val="00103122"/>
    <w:rsid w:val="00103F08"/>
    <w:rsid w:val="0010475F"/>
    <w:rsid w:val="00104DC0"/>
    <w:rsid w:val="0010537E"/>
    <w:rsid w:val="00105D88"/>
    <w:rsid w:val="0010657D"/>
    <w:rsid w:val="00106A1F"/>
    <w:rsid w:val="00106E98"/>
    <w:rsid w:val="0010742B"/>
    <w:rsid w:val="00111341"/>
    <w:rsid w:val="00111B8B"/>
    <w:rsid w:val="001156CD"/>
    <w:rsid w:val="0011630A"/>
    <w:rsid w:val="001229A9"/>
    <w:rsid w:val="00123D5E"/>
    <w:rsid w:val="00125522"/>
    <w:rsid w:val="00126CCC"/>
    <w:rsid w:val="001277D6"/>
    <w:rsid w:val="001279BF"/>
    <w:rsid w:val="00127F35"/>
    <w:rsid w:val="00132614"/>
    <w:rsid w:val="00132739"/>
    <w:rsid w:val="00132A86"/>
    <w:rsid w:val="001368D1"/>
    <w:rsid w:val="00140144"/>
    <w:rsid w:val="0014255E"/>
    <w:rsid w:val="0014314D"/>
    <w:rsid w:val="00143D38"/>
    <w:rsid w:val="00143F35"/>
    <w:rsid w:val="00144D18"/>
    <w:rsid w:val="00145C57"/>
    <w:rsid w:val="001509DD"/>
    <w:rsid w:val="00150F7D"/>
    <w:rsid w:val="0015127C"/>
    <w:rsid w:val="001523EF"/>
    <w:rsid w:val="00152AC4"/>
    <w:rsid w:val="00152DA6"/>
    <w:rsid w:val="00154F1A"/>
    <w:rsid w:val="00156194"/>
    <w:rsid w:val="00156BC2"/>
    <w:rsid w:val="001573E8"/>
    <w:rsid w:val="00160BA2"/>
    <w:rsid w:val="00160DDB"/>
    <w:rsid w:val="0016277F"/>
    <w:rsid w:val="00164178"/>
    <w:rsid w:val="001646E1"/>
    <w:rsid w:val="00164DB5"/>
    <w:rsid w:val="00164F28"/>
    <w:rsid w:val="00165D5F"/>
    <w:rsid w:val="0016601E"/>
    <w:rsid w:val="0016622D"/>
    <w:rsid w:val="00166E78"/>
    <w:rsid w:val="0016704B"/>
    <w:rsid w:val="001670DD"/>
    <w:rsid w:val="00167262"/>
    <w:rsid w:val="0016775F"/>
    <w:rsid w:val="001701A5"/>
    <w:rsid w:val="00170C4C"/>
    <w:rsid w:val="00170E8E"/>
    <w:rsid w:val="00173DFF"/>
    <w:rsid w:val="00174F1D"/>
    <w:rsid w:val="001755DB"/>
    <w:rsid w:val="00177B4E"/>
    <w:rsid w:val="001825DC"/>
    <w:rsid w:val="00182965"/>
    <w:rsid w:val="00183420"/>
    <w:rsid w:val="00185D50"/>
    <w:rsid w:val="001865A6"/>
    <w:rsid w:val="00190374"/>
    <w:rsid w:val="00190820"/>
    <w:rsid w:val="00190A3C"/>
    <w:rsid w:val="00191005"/>
    <w:rsid w:val="0019210D"/>
    <w:rsid w:val="001943B5"/>
    <w:rsid w:val="001948C3"/>
    <w:rsid w:val="001A2EEF"/>
    <w:rsid w:val="001A30DC"/>
    <w:rsid w:val="001A36A6"/>
    <w:rsid w:val="001A4442"/>
    <w:rsid w:val="001A5AE4"/>
    <w:rsid w:val="001A5E7E"/>
    <w:rsid w:val="001A6832"/>
    <w:rsid w:val="001A7A4A"/>
    <w:rsid w:val="001B0886"/>
    <w:rsid w:val="001B2188"/>
    <w:rsid w:val="001B272C"/>
    <w:rsid w:val="001B2C24"/>
    <w:rsid w:val="001B5096"/>
    <w:rsid w:val="001B699C"/>
    <w:rsid w:val="001C074B"/>
    <w:rsid w:val="001C1C38"/>
    <w:rsid w:val="001C3956"/>
    <w:rsid w:val="001C5389"/>
    <w:rsid w:val="001C57F3"/>
    <w:rsid w:val="001D13FC"/>
    <w:rsid w:val="001D26F1"/>
    <w:rsid w:val="001D5BF5"/>
    <w:rsid w:val="001D5F65"/>
    <w:rsid w:val="001D6BA7"/>
    <w:rsid w:val="001E091D"/>
    <w:rsid w:val="001E24AB"/>
    <w:rsid w:val="001E26CB"/>
    <w:rsid w:val="001E35C7"/>
    <w:rsid w:val="001E3970"/>
    <w:rsid w:val="001E4859"/>
    <w:rsid w:val="001E711D"/>
    <w:rsid w:val="001E7338"/>
    <w:rsid w:val="001E76DB"/>
    <w:rsid w:val="001F0336"/>
    <w:rsid w:val="001F05BE"/>
    <w:rsid w:val="001F40CF"/>
    <w:rsid w:val="001F5D1A"/>
    <w:rsid w:val="001F64EC"/>
    <w:rsid w:val="002000A3"/>
    <w:rsid w:val="00201367"/>
    <w:rsid w:val="00204F06"/>
    <w:rsid w:val="00205DC5"/>
    <w:rsid w:val="002069CB"/>
    <w:rsid w:val="00207A55"/>
    <w:rsid w:val="002109DC"/>
    <w:rsid w:val="002121E5"/>
    <w:rsid w:val="00212C08"/>
    <w:rsid w:val="00213E1F"/>
    <w:rsid w:val="00214350"/>
    <w:rsid w:val="00215185"/>
    <w:rsid w:val="002156AD"/>
    <w:rsid w:val="002158E9"/>
    <w:rsid w:val="002161AE"/>
    <w:rsid w:val="002167E8"/>
    <w:rsid w:val="002214D4"/>
    <w:rsid w:val="002234F9"/>
    <w:rsid w:val="0022398A"/>
    <w:rsid w:val="0022438D"/>
    <w:rsid w:val="00225B92"/>
    <w:rsid w:val="00226104"/>
    <w:rsid w:val="00227F6D"/>
    <w:rsid w:val="00231210"/>
    <w:rsid w:val="00231A6F"/>
    <w:rsid w:val="00235BA8"/>
    <w:rsid w:val="00236A00"/>
    <w:rsid w:val="00240718"/>
    <w:rsid w:val="0024254B"/>
    <w:rsid w:val="00242B7C"/>
    <w:rsid w:val="002433AF"/>
    <w:rsid w:val="002433EB"/>
    <w:rsid w:val="00244D18"/>
    <w:rsid w:val="0024540F"/>
    <w:rsid w:val="00245E1C"/>
    <w:rsid w:val="00245F10"/>
    <w:rsid w:val="002461A0"/>
    <w:rsid w:val="00251885"/>
    <w:rsid w:val="00251F64"/>
    <w:rsid w:val="00253029"/>
    <w:rsid w:val="00254452"/>
    <w:rsid w:val="002551D2"/>
    <w:rsid w:val="0025598A"/>
    <w:rsid w:val="002609C3"/>
    <w:rsid w:val="00260D14"/>
    <w:rsid w:val="002643BF"/>
    <w:rsid w:val="00265C99"/>
    <w:rsid w:val="00267B03"/>
    <w:rsid w:val="00267B4E"/>
    <w:rsid w:val="0027159C"/>
    <w:rsid w:val="002728DF"/>
    <w:rsid w:val="00276F60"/>
    <w:rsid w:val="002808E5"/>
    <w:rsid w:val="00280E53"/>
    <w:rsid w:val="00282BC6"/>
    <w:rsid w:val="002855B2"/>
    <w:rsid w:val="002859E4"/>
    <w:rsid w:val="002868F7"/>
    <w:rsid w:val="00287D48"/>
    <w:rsid w:val="00290209"/>
    <w:rsid w:val="00290873"/>
    <w:rsid w:val="002912DF"/>
    <w:rsid w:val="002925AF"/>
    <w:rsid w:val="00294394"/>
    <w:rsid w:val="00297CC0"/>
    <w:rsid w:val="002A0B6B"/>
    <w:rsid w:val="002A69E3"/>
    <w:rsid w:val="002A6BFA"/>
    <w:rsid w:val="002A7570"/>
    <w:rsid w:val="002B02E9"/>
    <w:rsid w:val="002B224D"/>
    <w:rsid w:val="002B4D22"/>
    <w:rsid w:val="002B5630"/>
    <w:rsid w:val="002B7570"/>
    <w:rsid w:val="002C1C1E"/>
    <w:rsid w:val="002C26C7"/>
    <w:rsid w:val="002C4A2E"/>
    <w:rsid w:val="002C5929"/>
    <w:rsid w:val="002C5E69"/>
    <w:rsid w:val="002C617B"/>
    <w:rsid w:val="002C65AA"/>
    <w:rsid w:val="002D08D3"/>
    <w:rsid w:val="002D34F4"/>
    <w:rsid w:val="002D4241"/>
    <w:rsid w:val="002D4DF8"/>
    <w:rsid w:val="002D5EE0"/>
    <w:rsid w:val="002D7C13"/>
    <w:rsid w:val="002D7CE6"/>
    <w:rsid w:val="002E0B50"/>
    <w:rsid w:val="002E255E"/>
    <w:rsid w:val="002E3B53"/>
    <w:rsid w:val="002E4200"/>
    <w:rsid w:val="002E55D0"/>
    <w:rsid w:val="002E5654"/>
    <w:rsid w:val="002E5A13"/>
    <w:rsid w:val="002F0AE3"/>
    <w:rsid w:val="002F0CAA"/>
    <w:rsid w:val="002F0DC4"/>
    <w:rsid w:val="002F4452"/>
    <w:rsid w:val="002F4636"/>
    <w:rsid w:val="002F7A6F"/>
    <w:rsid w:val="00302B0F"/>
    <w:rsid w:val="003045D4"/>
    <w:rsid w:val="00304CF1"/>
    <w:rsid w:val="00304E31"/>
    <w:rsid w:val="003058FB"/>
    <w:rsid w:val="003064F6"/>
    <w:rsid w:val="003073CA"/>
    <w:rsid w:val="00313DFC"/>
    <w:rsid w:val="003163A4"/>
    <w:rsid w:val="00325263"/>
    <w:rsid w:val="003257E0"/>
    <w:rsid w:val="003279F5"/>
    <w:rsid w:val="00327CF1"/>
    <w:rsid w:val="003319C2"/>
    <w:rsid w:val="00333018"/>
    <w:rsid w:val="00334359"/>
    <w:rsid w:val="0033469E"/>
    <w:rsid w:val="00334A0A"/>
    <w:rsid w:val="00335F88"/>
    <w:rsid w:val="00336B6D"/>
    <w:rsid w:val="0033719A"/>
    <w:rsid w:val="00341965"/>
    <w:rsid w:val="00341B03"/>
    <w:rsid w:val="00342716"/>
    <w:rsid w:val="00342EAA"/>
    <w:rsid w:val="0034404C"/>
    <w:rsid w:val="003452FB"/>
    <w:rsid w:val="003465EF"/>
    <w:rsid w:val="003472BA"/>
    <w:rsid w:val="00347B59"/>
    <w:rsid w:val="00350F35"/>
    <w:rsid w:val="0035183B"/>
    <w:rsid w:val="00352B37"/>
    <w:rsid w:val="00353B30"/>
    <w:rsid w:val="00353DBB"/>
    <w:rsid w:val="00355093"/>
    <w:rsid w:val="0035699B"/>
    <w:rsid w:val="00356F76"/>
    <w:rsid w:val="003570FE"/>
    <w:rsid w:val="00360700"/>
    <w:rsid w:val="00360CEF"/>
    <w:rsid w:val="003632AF"/>
    <w:rsid w:val="00363AB6"/>
    <w:rsid w:val="0036493D"/>
    <w:rsid w:val="00370620"/>
    <w:rsid w:val="00371988"/>
    <w:rsid w:val="00371DFA"/>
    <w:rsid w:val="00371FC0"/>
    <w:rsid w:val="003726F1"/>
    <w:rsid w:val="00373074"/>
    <w:rsid w:val="00374963"/>
    <w:rsid w:val="00374E9D"/>
    <w:rsid w:val="00375539"/>
    <w:rsid w:val="0037556B"/>
    <w:rsid w:val="00375832"/>
    <w:rsid w:val="003766E4"/>
    <w:rsid w:val="003769C2"/>
    <w:rsid w:val="003773CB"/>
    <w:rsid w:val="00380F71"/>
    <w:rsid w:val="003814C8"/>
    <w:rsid w:val="00383758"/>
    <w:rsid w:val="00384C5A"/>
    <w:rsid w:val="003871A9"/>
    <w:rsid w:val="003903A2"/>
    <w:rsid w:val="00393FDE"/>
    <w:rsid w:val="00394CBA"/>
    <w:rsid w:val="00395305"/>
    <w:rsid w:val="00397852"/>
    <w:rsid w:val="003A17E3"/>
    <w:rsid w:val="003A2054"/>
    <w:rsid w:val="003A38E9"/>
    <w:rsid w:val="003A492F"/>
    <w:rsid w:val="003B0B29"/>
    <w:rsid w:val="003B548D"/>
    <w:rsid w:val="003B5CE6"/>
    <w:rsid w:val="003B5E94"/>
    <w:rsid w:val="003B6B6D"/>
    <w:rsid w:val="003B799C"/>
    <w:rsid w:val="003C065A"/>
    <w:rsid w:val="003C0D8D"/>
    <w:rsid w:val="003C1626"/>
    <w:rsid w:val="003C218E"/>
    <w:rsid w:val="003C63B4"/>
    <w:rsid w:val="003C6A73"/>
    <w:rsid w:val="003C7D40"/>
    <w:rsid w:val="003D08DB"/>
    <w:rsid w:val="003D0902"/>
    <w:rsid w:val="003D0F75"/>
    <w:rsid w:val="003D125C"/>
    <w:rsid w:val="003D3DA1"/>
    <w:rsid w:val="003D3F2D"/>
    <w:rsid w:val="003D552B"/>
    <w:rsid w:val="003D6945"/>
    <w:rsid w:val="003D72EE"/>
    <w:rsid w:val="003D76C5"/>
    <w:rsid w:val="003E06A7"/>
    <w:rsid w:val="003E2003"/>
    <w:rsid w:val="003E34F5"/>
    <w:rsid w:val="003E435B"/>
    <w:rsid w:val="003E7BF3"/>
    <w:rsid w:val="003E7CDB"/>
    <w:rsid w:val="003F1F18"/>
    <w:rsid w:val="003F2DC4"/>
    <w:rsid w:val="003F338F"/>
    <w:rsid w:val="003F3F53"/>
    <w:rsid w:val="003F5AEC"/>
    <w:rsid w:val="00401F10"/>
    <w:rsid w:val="00404FBE"/>
    <w:rsid w:val="00405298"/>
    <w:rsid w:val="00407A16"/>
    <w:rsid w:val="00407B4A"/>
    <w:rsid w:val="00407C19"/>
    <w:rsid w:val="00410EFB"/>
    <w:rsid w:val="00411519"/>
    <w:rsid w:val="00414D88"/>
    <w:rsid w:val="00415693"/>
    <w:rsid w:val="00415C11"/>
    <w:rsid w:val="00426B3A"/>
    <w:rsid w:val="00426E0A"/>
    <w:rsid w:val="00426FF6"/>
    <w:rsid w:val="004273C3"/>
    <w:rsid w:val="00430453"/>
    <w:rsid w:val="004309B1"/>
    <w:rsid w:val="004313EA"/>
    <w:rsid w:val="00431B7C"/>
    <w:rsid w:val="004321A4"/>
    <w:rsid w:val="004322BE"/>
    <w:rsid w:val="0043250F"/>
    <w:rsid w:val="004356DB"/>
    <w:rsid w:val="004358C6"/>
    <w:rsid w:val="0043710C"/>
    <w:rsid w:val="0043739D"/>
    <w:rsid w:val="004405FA"/>
    <w:rsid w:val="0044399A"/>
    <w:rsid w:val="004449B2"/>
    <w:rsid w:val="00444EEC"/>
    <w:rsid w:val="004470FD"/>
    <w:rsid w:val="00447204"/>
    <w:rsid w:val="0044776D"/>
    <w:rsid w:val="00450522"/>
    <w:rsid w:val="004548C1"/>
    <w:rsid w:val="004559A3"/>
    <w:rsid w:val="00455A51"/>
    <w:rsid w:val="00457DBB"/>
    <w:rsid w:val="004600D8"/>
    <w:rsid w:val="0046313C"/>
    <w:rsid w:val="0046344D"/>
    <w:rsid w:val="004635DA"/>
    <w:rsid w:val="00464386"/>
    <w:rsid w:val="004648C7"/>
    <w:rsid w:val="00464920"/>
    <w:rsid w:val="00464DF0"/>
    <w:rsid w:val="00465C02"/>
    <w:rsid w:val="004678B3"/>
    <w:rsid w:val="00467B8D"/>
    <w:rsid w:val="00471199"/>
    <w:rsid w:val="0047124B"/>
    <w:rsid w:val="00471536"/>
    <w:rsid w:val="0047227B"/>
    <w:rsid w:val="0047363D"/>
    <w:rsid w:val="00473837"/>
    <w:rsid w:val="0047401D"/>
    <w:rsid w:val="0047427A"/>
    <w:rsid w:val="0047512C"/>
    <w:rsid w:val="00476F2D"/>
    <w:rsid w:val="004801A0"/>
    <w:rsid w:val="00481DA6"/>
    <w:rsid w:val="00482688"/>
    <w:rsid w:val="00486810"/>
    <w:rsid w:val="0049015F"/>
    <w:rsid w:val="00490376"/>
    <w:rsid w:val="00490FA8"/>
    <w:rsid w:val="0049336E"/>
    <w:rsid w:val="00493788"/>
    <w:rsid w:val="004943BC"/>
    <w:rsid w:val="0049467B"/>
    <w:rsid w:val="004955ED"/>
    <w:rsid w:val="00495A7E"/>
    <w:rsid w:val="00495B3B"/>
    <w:rsid w:val="0049715D"/>
    <w:rsid w:val="00497AE2"/>
    <w:rsid w:val="00497FF0"/>
    <w:rsid w:val="004A35F1"/>
    <w:rsid w:val="004A4736"/>
    <w:rsid w:val="004A4EFD"/>
    <w:rsid w:val="004A523D"/>
    <w:rsid w:val="004A5C5D"/>
    <w:rsid w:val="004B414D"/>
    <w:rsid w:val="004B459A"/>
    <w:rsid w:val="004B5A9B"/>
    <w:rsid w:val="004B6014"/>
    <w:rsid w:val="004B7376"/>
    <w:rsid w:val="004C170B"/>
    <w:rsid w:val="004C1A45"/>
    <w:rsid w:val="004C1FF1"/>
    <w:rsid w:val="004C2D65"/>
    <w:rsid w:val="004D187E"/>
    <w:rsid w:val="004D499B"/>
    <w:rsid w:val="004D4D6F"/>
    <w:rsid w:val="004D6416"/>
    <w:rsid w:val="004D72E4"/>
    <w:rsid w:val="004E0433"/>
    <w:rsid w:val="004E1B14"/>
    <w:rsid w:val="004E2A07"/>
    <w:rsid w:val="004E559B"/>
    <w:rsid w:val="004F00F1"/>
    <w:rsid w:val="004F1256"/>
    <w:rsid w:val="004F27E1"/>
    <w:rsid w:val="004F6723"/>
    <w:rsid w:val="004F710F"/>
    <w:rsid w:val="00501479"/>
    <w:rsid w:val="00502EE9"/>
    <w:rsid w:val="005039E7"/>
    <w:rsid w:val="00503CBA"/>
    <w:rsid w:val="00504FD7"/>
    <w:rsid w:val="00505830"/>
    <w:rsid w:val="00505E9C"/>
    <w:rsid w:val="00506C49"/>
    <w:rsid w:val="00506E7B"/>
    <w:rsid w:val="00510145"/>
    <w:rsid w:val="00510275"/>
    <w:rsid w:val="00515448"/>
    <w:rsid w:val="00515B75"/>
    <w:rsid w:val="0051645C"/>
    <w:rsid w:val="005167F3"/>
    <w:rsid w:val="00516C0B"/>
    <w:rsid w:val="00520880"/>
    <w:rsid w:val="0052100E"/>
    <w:rsid w:val="0052162E"/>
    <w:rsid w:val="00521D0D"/>
    <w:rsid w:val="005223B7"/>
    <w:rsid w:val="0052634C"/>
    <w:rsid w:val="005263FF"/>
    <w:rsid w:val="0052678B"/>
    <w:rsid w:val="00527891"/>
    <w:rsid w:val="0052794E"/>
    <w:rsid w:val="00527B78"/>
    <w:rsid w:val="0053192B"/>
    <w:rsid w:val="00531F01"/>
    <w:rsid w:val="005324F5"/>
    <w:rsid w:val="00532544"/>
    <w:rsid w:val="0053325B"/>
    <w:rsid w:val="005343D2"/>
    <w:rsid w:val="00534DFC"/>
    <w:rsid w:val="0053544D"/>
    <w:rsid w:val="00536DDD"/>
    <w:rsid w:val="00537145"/>
    <w:rsid w:val="0054015A"/>
    <w:rsid w:val="00541B7E"/>
    <w:rsid w:val="0054293E"/>
    <w:rsid w:val="0054310E"/>
    <w:rsid w:val="005432DE"/>
    <w:rsid w:val="005436B6"/>
    <w:rsid w:val="00544584"/>
    <w:rsid w:val="005445FD"/>
    <w:rsid w:val="00544E84"/>
    <w:rsid w:val="00546117"/>
    <w:rsid w:val="005467DF"/>
    <w:rsid w:val="005477F7"/>
    <w:rsid w:val="00547B7A"/>
    <w:rsid w:val="00551473"/>
    <w:rsid w:val="005518D4"/>
    <w:rsid w:val="00554929"/>
    <w:rsid w:val="00555ABD"/>
    <w:rsid w:val="00555CEB"/>
    <w:rsid w:val="00555FA3"/>
    <w:rsid w:val="00556C1A"/>
    <w:rsid w:val="00556C21"/>
    <w:rsid w:val="00560D45"/>
    <w:rsid w:val="005617D1"/>
    <w:rsid w:val="00561943"/>
    <w:rsid w:val="00562A11"/>
    <w:rsid w:val="00563671"/>
    <w:rsid w:val="0056396C"/>
    <w:rsid w:val="0056406D"/>
    <w:rsid w:val="00566F2E"/>
    <w:rsid w:val="00570770"/>
    <w:rsid w:val="00571E96"/>
    <w:rsid w:val="00573D96"/>
    <w:rsid w:val="005746F2"/>
    <w:rsid w:val="00574EA4"/>
    <w:rsid w:val="00575DEB"/>
    <w:rsid w:val="00577AF1"/>
    <w:rsid w:val="0058000D"/>
    <w:rsid w:val="00584AB7"/>
    <w:rsid w:val="0058509A"/>
    <w:rsid w:val="005875E1"/>
    <w:rsid w:val="00590680"/>
    <w:rsid w:val="00590DB8"/>
    <w:rsid w:val="005913E2"/>
    <w:rsid w:val="00592C2D"/>
    <w:rsid w:val="00593E47"/>
    <w:rsid w:val="00594BAA"/>
    <w:rsid w:val="005958E0"/>
    <w:rsid w:val="00595C5C"/>
    <w:rsid w:val="00596DA2"/>
    <w:rsid w:val="00597F55"/>
    <w:rsid w:val="005A24E0"/>
    <w:rsid w:val="005A3D5D"/>
    <w:rsid w:val="005A4033"/>
    <w:rsid w:val="005A4828"/>
    <w:rsid w:val="005A6EA9"/>
    <w:rsid w:val="005A7117"/>
    <w:rsid w:val="005A7B5A"/>
    <w:rsid w:val="005B1594"/>
    <w:rsid w:val="005B26F2"/>
    <w:rsid w:val="005B6991"/>
    <w:rsid w:val="005B79DC"/>
    <w:rsid w:val="005C044F"/>
    <w:rsid w:val="005C2FC5"/>
    <w:rsid w:val="005C4289"/>
    <w:rsid w:val="005C6985"/>
    <w:rsid w:val="005C7155"/>
    <w:rsid w:val="005D2301"/>
    <w:rsid w:val="005D2E9C"/>
    <w:rsid w:val="005D3379"/>
    <w:rsid w:val="005D39EA"/>
    <w:rsid w:val="005D4FB7"/>
    <w:rsid w:val="005D7266"/>
    <w:rsid w:val="005D77F1"/>
    <w:rsid w:val="005D7B39"/>
    <w:rsid w:val="005E0663"/>
    <w:rsid w:val="005E0E9F"/>
    <w:rsid w:val="005E157A"/>
    <w:rsid w:val="005E5103"/>
    <w:rsid w:val="005E5C63"/>
    <w:rsid w:val="005E5D5A"/>
    <w:rsid w:val="005E60B0"/>
    <w:rsid w:val="005E6269"/>
    <w:rsid w:val="005E72C1"/>
    <w:rsid w:val="005E7345"/>
    <w:rsid w:val="005E7853"/>
    <w:rsid w:val="005F0433"/>
    <w:rsid w:val="005F177C"/>
    <w:rsid w:val="005F265A"/>
    <w:rsid w:val="005F4F1E"/>
    <w:rsid w:val="005F6DB0"/>
    <w:rsid w:val="006003EB"/>
    <w:rsid w:val="006023C0"/>
    <w:rsid w:val="0060393B"/>
    <w:rsid w:val="0060546D"/>
    <w:rsid w:val="00605BCA"/>
    <w:rsid w:val="00607B4E"/>
    <w:rsid w:val="006108D8"/>
    <w:rsid w:val="00611371"/>
    <w:rsid w:val="0061183C"/>
    <w:rsid w:val="00612092"/>
    <w:rsid w:val="00612134"/>
    <w:rsid w:val="00616D53"/>
    <w:rsid w:val="00617A3F"/>
    <w:rsid w:val="006200AC"/>
    <w:rsid w:val="006206ED"/>
    <w:rsid w:val="006233B2"/>
    <w:rsid w:val="00626285"/>
    <w:rsid w:val="00626448"/>
    <w:rsid w:val="00626B99"/>
    <w:rsid w:val="006306E0"/>
    <w:rsid w:val="00632183"/>
    <w:rsid w:val="00632C01"/>
    <w:rsid w:val="00633178"/>
    <w:rsid w:val="006336A6"/>
    <w:rsid w:val="00633B2C"/>
    <w:rsid w:val="00633BAF"/>
    <w:rsid w:val="0063437C"/>
    <w:rsid w:val="00635E63"/>
    <w:rsid w:val="00636824"/>
    <w:rsid w:val="00636F64"/>
    <w:rsid w:val="00637318"/>
    <w:rsid w:val="00637891"/>
    <w:rsid w:val="00637BA8"/>
    <w:rsid w:val="00637F4C"/>
    <w:rsid w:val="00640149"/>
    <w:rsid w:val="00641A38"/>
    <w:rsid w:val="00644C96"/>
    <w:rsid w:val="00645311"/>
    <w:rsid w:val="0065037C"/>
    <w:rsid w:val="006520DF"/>
    <w:rsid w:val="00652890"/>
    <w:rsid w:val="00653252"/>
    <w:rsid w:val="006535D4"/>
    <w:rsid w:val="00654CFB"/>
    <w:rsid w:val="006574A6"/>
    <w:rsid w:val="00660830"/>
    <w:rsid w:val="00661329"/>
    <w:rsid w:val="0066381F"/>
    <w:rsid w:val="00663E3C"/>
    <w:rsid w:val="0066490C"/>
    <w:rsid w:val="00671E03"/>
    <w:rsid w:val="006723DC"/>
    <w:rsid w:val="00672DC2"/>
    <w:rsid w:val="00674EA8"/>
    <w:rsid w:val="00675976"/>
    <w:rsid w:val="0067703E"/>
    <w:rsid w:val="0067720D"/>
    <w:rsid w:val="00677C7E"/>
    <w:rsid w:val="00680B6F"/>
    <w:rsid w:val="0068555D"/>
    <w:rsid w:val="006863C8"/>
    <w:rsid w:val="006868D3"/>
    <w:rsid w:val="00687EBD"/>
    <w:rsid w:val="0069064B"/>
    <w:rsid w:val="0069397C"/>
    <w:rsid w:val="00693DFC"/>
    <w:rsid w:val="0069543A"/>
    <w:rsid w:val="006A16C9"/>
    <w:rsid w:val="006A1A7D"/>
    <w:rsid w:val="006A1B76"/>
    <w:rsid w:val="006A1D3B"/>
    <w:rsid w:val="006A237E"/>
    <w:rsid w:val="006A3699"/>
    <w:rsid w:val="006A3802"/>
    <w:rsid w:val="006A404C"/>
    <w:rsid w:val="006A4556"/>
    <w:rsid w:val="006A67A3"/>
    <w:rsid w:val="006B26C1"/>
    <w:rsid w:val="006B3E24"/>
    <w:rsid w:val="006B5DFF"/>
    <w:rsid w:val="006B6031"/>
    <w:rsid w:val="006B6A8E"/>
    <w:rsid w:val="006C1135"/>
    <w:rsid w:val="006C19BD"/>
    <w:rsid w:val="006C2112"/>
    <w:rsid w:val="006C3362"/>
    <w:rsid w:val="006C36AA"/>
    <w:rsid w:val="006C39DA"/>
    <w:rsid w:val="006C3DE4"/>
    <w:rsid w:val="006C4ED0"/>
    <w:rsid w:val="006C542E"/>
    <w:rsid w:val="006C67C2"/>
    <w:rsid w:val="006D0371"/>
    <w:rsid w:val="006D05CD"/>
    <w:rsid w:val="006D06BF"/>
    <w:rsid w:val="006D1997"/>
    <w:rsid w:val="006D3319"/>
    <w:rsid w:val="006D4980"/>
    <w:rsid w:val="006D4BDE"/>
    <w:rsid w:val="006D51E5"/>
    <w:rsid w:val="006D57C1"/>
    <w:rsid w:val="006D5ABC"/>
    <w:rsid w:val="006D77D7"/>
    <w:rsid w:val="006D79A4"/>
    <w:rsid w:val="006D7E1C"/>
    <w:rsid w:val="006E059E"/>
    <w:rsid w:val="006E0A3C"/>
    <w:rsid w:val="006E0F42"/>
    <w:rsid w:val="006E46C5"/>
    <w:rsid w:val="006E6846"/>
    <w:rsid w:val="006F0A1C"/>
    <w:rsid w:val="006F0EF4"/>
    <w:rsid w:val="006F1BF9"/>
    <w:rsid w:val="006F234D"/>
    <w:rsid w:val="006F274B"/>
    <w:rsid w:val="006F5034"/>
    <w:rsid w:val="006F5F2C"/>
    <w:rsid w:val="006F61F5"/>
    <w:rsid w:val="006F6671"/>
    <w:rsid w:val="00704B2A"/>
    <w:rsid w:val="007065F9"/>
    <w:rsid w:val="007106C6"/>
    <w:rsid w:val="00711BDE"/>
    <w:rsid w:val="00712294"/>
    <w:rsid w:val="00712452"/>
    <w:rsid w:val="00712A2D"/>
    <w:rsid w:val="00714070"/>
    <w:rsid w:val="007168AA"/>
    <w:rsid w:val="00717B89"/>
    <w:rsid w:val="00720AE9"/>
    <w:rsid w:val="00721BD1"/>
    <w:rsid w:val="00722B8C"/>
    <w:rsid w:val="00723005"/>
    <w:rsid w:val="00725254"/>
    <w:rsid w:val="0073227B"/>
    <w:rsid w:val="00735C40"/>
    <w:rsid w:val="00736ECB"/>
    <w:rsid w:val="007400D8"/>
    <w:rsid w:val="00740ACF"/>
    <w:rsid w:val="00746EEA"/>
    <w:rsid w:val="00753BC3"/>
    <w:rsid w:val="00754554"/>
    <w:rsid w:val="00754B9F"/>
    <w:rsid w:val="00756AFA"/>
    <w:rsid w:val="00757025"/>
    <w:rsid w:val="007619B5"/>
    <w:rsid w:val="00761AC0"/>
    <w:rsid w:val="00761BE2"/>
    <w:rsid w:val="00761D99"/>
    <w:rsid w:val="007623FF"/>
    <w:rsid w:val="0076243A"/>
    <w:rsid w:val="00762BD8"/>
    <w:rsid w:val="007630A4"/>
    <w:rsid w:val="00763557"/>
    <w:rsid w:val="00763636"/>
    <w:rsid w:val="007644D1"/>
    <w:rsid w:val="0077232F"/>
    <w:rsid w:val="00773002"/>
    <w:rsid w:val="00781D76"/>
    <w:rsid w:val="007833C9"/>
    <w:rsid w:val="00785B37"/>
    <w:rsid w:val="00786CC8"/>
    <w:rsid w:val="007917D8"/>
    <w:rsid w:val="00794A72"/>
    <w:rsid w:val="00794BCF"/>
    <w:rsid w:val="0079559C"/>
    <w:rsid w:val="0079664F"/>
    <w:rsid w:val="00796F7B"/>
    <w:rsid w:val="00797095"/>
    <w:rsid w:val="00797372"/>
    <w:rsid w:val="00797442"/>
    <w:rsid w:val="007974C0"/>
    <w:rsid w:val="007A20C9"/>
    <w:rsid w:val="007A2844"/>
    <w:rsid w:val="007A4C41"/>
    <w:rsid w:val="007A5932"/>
    <w:rsid w:val="007B27E5"/>
    <w:rsid w:val="007B3651"/>
    <w:rsid w:val="007B3B04"/>
    <w:rsid w:val="007B40E0"/>
    <w:rsid w:val="007B4F15"/>
    <w:rsid w:val="007B545F"/>
    <w:rsid w:val="007B61EF"/>
    <w:rsid w:val="007B6529"/>
    <w:rsid w:val="007C20CA"/>
    <w:rsid w:val="007C2DA7"/>
    <w:rsid w:val="007C3734"/>
    <w:rsid w:val="007C5242"/>
    <w:rsid w:val="007C6446"/>
    <w:rsid w:val="007C6D50"/>
    <w:rsid w:val="007C7278"/>
    <w:rsid w:val="007C794C"/>
    <w:rsid w:val="007D3321"/>
    <w:rsid w:val="007D3635"/>
    <w:rsid w:val="007D423B"/>
    <w:rsid w:val="007D4E39"/>
    <w:rsid w:val="007D4E47"/>
    <w:rsid w:val="007D58E3"/>
    <w:rsid w:val="007D6DDF"/>
    <w:rsid w:val="007E0CC9"/>
    <w:rsid w:val="007E4756"/>
    <w:rsid w:val="007E51FA"/>
    <w:rsid w:val="007E6F03"/>
    <w:rsid w:val="007F0448"/>
    <w:rsid w:val="007F0649"/>
    <w:rsid w:val="007F287A"/>
    <w:rsid w:val="007F4165"/>
    <w:rsid w:val="007F55E0"/>
    <w:rsid w:val="007F61A7"/>
    <w:rsid w:val="007F6468"/>
    <w:rsid w:val="007F6611"/>
    <w:rsid w:val="00800988"/>
    <w:rsid w:val="00801226"/>
    <w:rsid w:val="00805BF4"/>
    <w:rsid w:val="008065DA"/>
    <w:rsid w:val="008074C9"/>
    <w:rsid w:val="00810A85"/>
    <w:rsid w:val="00812314"/>
    <w:rsid w:val="00814B1E"/>
    <w:rsid w:val="0081758B"/>
    <w:rsid w:val="008210D2"/>
    <w:rsid w:val="00822168"/>
    <w:rsid w:val="00822D87"/>
    <w:rsid w:val="0082306F"/>
    <w:rsid w:val="00824696"/>
    <w:rsid w:val="00824749"/>
    <w:rsid w:val="00826174"/>
    <w:rsid w:val="00830847"/>
    <w:rsid w:val="0083107C"/>
    <w:rsid w:val="00831601"/>
    <w:rsid w:val="00832DB0"/>
    <w:rsid w:val="00833283"/>
    <w:rsid w:val="00833986"/>
    <w:rsid w:val="0083545E"/>
    <w:rsid w:val="008369F4"/>
    <w:rsid w:val="00836F59"/>
    <w:rsid w:val="008370A1"/>
    <w:rsid w:val="00840A99"/>
    <w:rsid w:val="00841169"/>
    <w:rsid w:val="00841596"/>
    <w:rsid w:val="0084269C"/>
    <w:rsid w:val="008438C2"/>
    <w:rsid w:val="0084486F"/>
    <w:rsid w:val="008468F4"/>
    <w:rsid w:val="00846D5E"/>
    <w:rsid w:val="00852E19"/>
    <w:rsid w:val="00853880"/>
    <w:rsid w:val="00855C71"/>
    <w:rsid w:val="00855D26"/>
    <w:rsid w:val="008560DC"/>
    <w:rsid w:val="00857D67"/>
    <w:rsid w:val="0086121F"/>
    <w:rsid w:val="00861ABE"/>
    <w:rsid w:val="008624D3"/>
    <w:rsid w:val="00862894"/>
    <w:rsid w:val="0086329B"/>
    <w:rsid w:val="00865BB6"/>
    <w:rsid w:val="0086727D"/>
    <w:rsid w:val="00867FAF"/>
    <w:rsid w:val="00872150"/>
    <w:rsid w:val="008726D2"/>
    <w:rsid w:val="00873031"/>
    <w:rsid w:val="00873437"/>
    <w:rsid w:val="00874066"/>
    <w:rsid w:val="00874DED"/>
    <w:rsid w:val="008757FB"/>
    <w:rsid w:val="00875A2C"/>
    <w:rsid w:val="00876D81"/>
    <w:rsid w:val="0087769C"/>
    <w:rsid w:val="00881D14"/>
    <w:rsid w:val="008826E3"/>
    <w:rsid w:val="00884B34"/>
    <w:rsid w:val="008857C3"/>
    <w:rsid w:val="00885959"/>
    <w:rsid w:val="00885A80"/>
    <w:rsid w:val="00886C27"/>
    <w:rsid w:val="00887219"/>
    <w:rsid w:val="008877A2"/>
    <w:rsid w:val="00890FB5"/>
    <w:rsid w:val="00892FC2"/>
    <w:rsid w:val="00893736"/>
    <w:rsid w:val="008944C3"/>
    <w:rsid w:val="0089775D"/>
    <w:rsid w:val="008977E1"/>
    <w:rsid w:val="00897E68"/>
    <w:rsid w:val="008A05E3"/>
    <w:rsid w:val="008A2CBD"/>
    <w:rsid w:val="008A3A97"/>
    <w:rsid w:val="008A43D7"/>
    <w:rsid w:val="008A4B96"/>
    <w:rsid w:val="008A4F3E"/>
    <w:rsid w:val="008A563B"/>
    <w:rsid w:val="008A6FA5"/>
    <w:rsid w:val="008B07A2"/>
    <w:rsid w:val="008B1302"/>
    <w:rsid w:val="008B40C9"/>
    <w:rsid w:val="008B41D7"/>
    <w:rsid w:val="008B47C3"/>
    <w:rsid w:val="008B5698"/>
    <w:rsid w:val="008B750D"/>
    <w:rsid w:val="008B7705"/>
    <w:rsid w:val="008B78AB"/>
    <w:rsid w:val="008B7CB8"/>
    <w:rsid w:val="008C0ACA"/>
    <w:rsid w:val="008C5545"/>
    <w:rsid w:val="008C5790"/>
    <w:rsid w:val="008C5AFC"/>
    <w:rsid w:val="008C7B88"/>
    <w:rsid w:val="008C7CCE"/>
    <w:rsid w:val="008D0948"/>
    <w:rsid w:val="008D0A06"/>
    <w:rsid w:val="008D2C07"/>
    <w:rsid w:val="008D2F21"/>
    <w:rsid w:val="008D3080"/>
    <w:rsid w:val="008D324F"/>
    <w:rsid w:val="008D5F0E"/>
    <w:rsid w:val="008D6909"/>
    <w:rsid w:val="008D7297"/>
    <w:rsid w:val="008D7C34"/>
    <w:rsid w:val="008E0DC2"/>
    <w:rsid w:val="008E10B8"/>
    <w:rsid w:val="008E155E"/>
    <w:rsid w:val="008E2032"/>
    <w:rsid w:val="008E6545"/>
    <w:rsid w:val="008E6967"/>
    <w:rsid w:val="008F0AF8"/>
    <w:rsid w:val="008F13C1"/>
    <w:rsid w:val="008F15A3"/>
    <w:rsid w:val="008F16B0"/>
    <w:rsid w:val="008F1A4F"/>
    <w:rsid w:val="008F1B1E"/>
    <w:rsid w:val="008F2F54"/>
    <w:rsid w:val="008F3C30"/>
    <w:rsid w:val="008F4FE4"/>
    <w:rsid w:val="008F6423"/>
    <w:rsid w:val="008F7CA1"/>
    <w:rsid w:val="009000AE"/>
    <w:rsid w:val="00900627"/>
    <w:rsid w:val="00901F02"/>
    <w:rsid w:val="00903D52"/>
    <w:rsid w:val="00903F7D"/>
    <w:rsid w:val="00904D33"/>
    <w:rsid w:val="00905215"/>
    <w:rsid w:val="009063DE"/>
    <w:rsid w:val="00906871"/>
    <w:rsid w:val="009116B6"/>
    <w:rsid w:val="00913A00"/>
    <w:rsid w:val="00914388"/>
    <w:rsid w:val="009157D0"/>
    <w:rsid w:val="009201BC"/>
    <w:rsid w:val="00922843"/>
    <w:rsid w:val="00923D72"/>
    <w:rsid w:val="00924AA5"/>
    <w:rsid w:val="00925AEF"/>
    <w:rsid w:val="00925FC4"/>
    <w:rsid w:val="00927719"/>
    <w:rsid w:val="0093149F"/>
    <w:rsid w:val="00931EB4"/>
    <w:rsid w:val="00932428"/>
    <w:rsid w:val="00933007"/>
    <w:rsid w:val="00935DF3"/>
    <w:rsid w:val="009365FD"/>
    <w:rsid w:val="00940293"/>
    <w:rsid w:val="00940A0B"/>
    <w:rsid w:val="009412CC"/>
    <w:rsid w:val="00941EAC"/>
    <w:rsid w:val="00942504"/>
    <w:rsid w:val="0094269F"/>
    <w:rsid w:val="0094292B"/>
    <w:rsid w:val="00942B81"/>
    <w:rsid w:val="00944282"/>
    <w:rsid w:val="00944886"/>
    <w:rsid w:val="00944F2C"/>
    <w:rsid w:val="0095025F"/>
    <w:rsid w:val="00951473"/>
    <w:rsid w:val="00951721"/>
    <w:rsid w:val="00952EBD"/>
    <w:rsid w:val="00952EFD"/>
    <w:rsid w:val="009533E2"/>
    <w:rsid w:val="00953572"/>
    <w:rsid w:val="00954049"/>
    <w:rsid w:val="00955563"/>
    <w:rsid w:val="00955DA8"/>
    <w:rsid w:val="00955E2C"/>
    <w:rsid w:val="00955EF5"/>
    <w:rsid w:val="00957399"/>
    <w:rsid w:val="00957951"/>
    <w:rsid w:val="0096019D"/>
    <w:rsid w:val="00962663"/>
    <w:rsid w:val="009643D6"/>
    <w:rsid w:val="0096550D"/>
    <w:rsid w:val="00966406"/>
    <w:rsid w:val="00966703"/>
    <w:rsid w:val="0096704F"/>
    <w:rsid w:val="00970896"/>
    <w:rsid w:val="00973862"/>
    <w:rsid w:val="00974418"/>
    <w:rsid w:val="009751A7"/>
    <w:rsid w:val="00976247"/>
    <w:rsid w:val="00980051"/>
    <w:rsid w:val="009807D3"/>
    <w:rsid w:val="00981AA8"/>
    <w:rsid w:val="00981BEB"/>
    <w:rsid w:val="00981D31"/>
    <w:rsid w:val="0098465F"/>
    <w:rsid w:val="00990183"/>
    <w:rsid w:val="0099042C"/>
    <w:rsid w:val="00990B1B"/>
    <w:rsid w:val="009921F8"/>
    <w:rsid w:val="0099328F"/>
    <w:rsid w:val="00993ABE"/>
    <w:rsid w:val="00995C22"/>
    <w:rsid w:val="0099638C"/>
    <w:rsid w:val="009970BE"/>
    <w:rsid w:val="009974B7"/>
    <w:rsid w:val="00997F23"/>
    <w:rsid w:val="009A0ADA"/>
    <w:rsid w:val="009A1A6F"/>
    <w:rsid w:val="009A3A8A"/>
    <w:rsid w:val="009A4531"/>
    <w:rsid w:val="009A4F54"/>
    <w:rsid w:val="009A5401"/>
    <w:rsid w:val="009A73D8"/>
    <w:rsid w:val="009B0428"/>
    <w:rsid w:val="009B1072"/>
    <w:rsid w:val="009B10A4"/>
    <w:rsid w:val="009B3ED9"/>
    <w:rsid w:val="009B68B7"/>
    <w:rsid w:val="009C030B"/>
    <w:rsid w:val="009C06CA"/>
    <w:rsid w:val="009C2853"/>
    <w:rsid w:val="009C2888"/>
    <w:rsid w:val="009C2A27"/>
    <w:rsid w:val="009C2D0C"/>
    <w:rsid w:val="009C6019"/>
    <w:rsid w:val="009C698A"/>
    <w:rsid w:val="009C7476"/>
    <w:rsid w:val="009D0104"/>
    <w:rsid w:val="009D1769"/>
    <w:rsid w:val="009D1D88"/>
    <w:rsid w:val="009D29E6"/>
    <w:rsid w:val="009D37DC"/>
    <w:rsid w:val="009D66D0"/>
    <w:rsid w:val="009D6EB8"/>
    <w:rsid w:val="009D7922"/>
    <w:rsid w:val="009E1064"/>
    <w:rsid w:val="009E16EB"/>
    <w:rsid w:val="009E2B27"/>
    <w:rsid w:val="009E35F2"/>
    <w:rsid w:val="009E4415"/>
    <w:rsid w:val="009E5320"/>
    <w:rsid w:val="009E7EBF"/>
    <w:rsid w:val="009E7EF9"/>
    <w:rsid w:val="009F07A5"/>
    <w:rsid w:val="009F2697"/>
    <w:rsid w:val="009F2AD5"/>
    <w:rsid w:val="009F2DE1"/>
    <w:rsid w:val="009F4C01"/>
    <w:rsid w:val="009F69C8"/>
    <w:rsid w:val="009F6E47"/>
    <w:rsid w:val="009F7D3B"/>
    <w:rsid w:val="00A003DB"/>
    <w:rsid w:val="00A00413"/>
    <w:rsid w:val="00A048FF"/>
    <w:rsid w:val="00A04D3E"/>
    <w:rsid w:val="00A05141"/>
    <w:rsid w:val="00A1081F"/>
    <w:rsid w:val="00A11451"/>
    <w:rsid w:val="00A1282E"/>
    <w:rsid w:val="00A132D6"/>
    <w:rsid w:val="00A13FCE"/>
    <w:rsid w:val="00A14738"/>
    <w:rsid w:val="00A14DF8"/>
    <w:rsid w:val="00A14FE7"/>
    <w:rsid w:val="00A15623"/>
    <w:rsid w:val="00A16774"/>
    <w:rsid w:val="00A174E2"/>
    <w:rsid w:val="00A179B0"/>
    <w:rsid w:val="00A201BB"/>
    <w:rsid w:val="00A2080E"/>
    <w:rsid w:val="00A21DCD"/>
    <w:rsid w:val="00A22190"/>
    <w:rsid w:val="00A23337"/>
    <w:rsid w:val="00A26929"/>
    <w:rsid w:val="00A27F81"/>
    <w:rsid w:val="00A34044"/>
    <w:rsid w:val="00A340BC"/>
    <w:rsid w:val="00A34265"/>
    <w:rsid w:val="00A346C8"/>
    <w:rsid w:val="00A34C0A"/>
    <w:rsid w:val="00A3526A"/>
    <w:rsid w:val="00A37216"/>
    <w:rsid w:val="00A40375"/>
    <w:rsid w:val="00A4072D"/>
    <w:rsid w:val="00A411C7"/>
    <w:rsid w:val="00A414CC"/>
    <w:rsid w:val="00A41935"/>
    <w:rsid w:val="00A419D2"/>
    <w:rsid w:val="00A41DEC"/>
    <w:rsid w:val="00A41FA5"/>
    <w:rsid w:val="00A425F7"/>
    <w:rsid w:val="00A42AEB"/>
    <w:rsid w:val="00A43091"/>
    <w:rsid w:val="00A4425A"/>
    <w:rsid w:val="00A47846"/>
    <w:rsid w:val="00A5045A"/>
    <w:rsid w:val="00A51E8B"/>
    <w:rsid w:val="00A52ABB"/>
    <w:rsid w:val="00A535AF"/>
    <w:rsid w:val="00A57400"/>
    <w:rsid w:val="00A60168"/>
    <w:rsid w:val="00A618DD"/>
    <w:rsid w:val="00A61AC1"/>
    <w:rsid w:val="00A63448"/>
    <w:rsid w:val="00A64CA0"/>
    <w:rsid w:val="00A64E91"/>
    <w:rsid w:val="00A6515A"/>
    <w:rsid w:val="00A66730"/>
    <w:rsid w:val="00A67154"/>
    <w:rsid w:val="00A672D3"/>
    <w:rsid w:val="00A71448"/>
    <w:rsid w:val="00A72ADD"/>
    <w:rsid w:val="00A72F29"/>
    <w:rsid w:val="00A72FD9"/>
    <w:rsid w:val="00A74145"/>
    <w:rsid w:val="00A750EC"/>
    <w:rsid w:val="00A76E0C"/>
    <w:rsid w:val="00A81CF4"/>
    <w:rsid w:val="00A82772"/>
    <w:rsid w:val="00A835C0"/>
    <w:rsid w:val="00A8433E"/>
    <w:rsid w:val="00A87939"/>
    <w:rsid w:val="00A90929"/>
    <w:rsid w:val="00A91A72"/>
    <w:rsid w:val="00A94D8B"/>
    <w:rsid w:val="00A97EC7"/>
    <w:rsid w:val="00AA13FA"/>
    <w:rsid w:val="00AA1A3E"/>
    <w:rsid w:val="00AA1C9F"/>
    <w:rsid w:val="00AA2134"/>
    <w:rsid w:val="00AA2F7D"/>
    <w:rsid w:val="00AA34E5"/>
    <w:rsid w:val="00AA3BA2"/>
    <w:rsid w:val="00AA4813"/>
    <w:rsid w:val="00AA4947"/>
    <w:rsid w:val="00AA508F"/>
    <w:rsid w:val="00AA5A01"/>
    <w:rsid w:val="00AA5B6B"/>
    <w:rsid w:val="00AA64DE"/>
    <w:rsid w:val="00AA6D9A"/>
    <w:rsid w:val="00AA72B9"/>
    <w:rsid w:val="00AA7FA4"/>
    <w:rsid w:val="00AB15B2"/>
    <w:rsid w:val="00AB15FB"/>
    <w:rsid w:val="00AB1658"/>
    <w:rsid w:val="00AB19C8"/>
    <w:rsid w:val="00AB1CC3"/>
    <w:rsid w:val="00AB3B49"/>
    <w:rsid w:val="00AB5457"/>
    <w:rsid w:val="00AB610F"/>
    <w:rsid w:val="00AB768D"/>
    <w:rsid w:val="00AB7FE4"/>
    <w:rsid w:val="00AC1CD9"/>
    <w:rsid w:val="00AC240B"/>
    <w:rsid w:val="00AC38FD"/>
    <w:rsid w:val="00AC4307"/>
    <w:rsid w:val="00AC494B"/>
    <w:rsid w:val="00AC58BD"/>
    <w:rsid w:val="00AC5F7C"/>
    <w:rsid w:val="00AC75EC"/>
    <w:rsid w:val="00AC796D"/>
    <w:rsid w:val="00AC7B6F"/>
    <w:rsid w:val="00AD0DD0"/>
    <w:rsid w:val="00AD111B"/>
    <w:rsid w:val="00AD27D1"/>
    <w:rsid w:val="00AD3D9A"/>
    <w:rsid w:val="00AD500A"/>
    <w:rsid w:val="00AD630F"/>
    <w:rsid w:val="00AD705E"/>
    <w:rsid w:val="00AD7870"/>
    <w:rsid w:val="00AD7C0F"/>
    <w:rsid w:val="00AE1358"/>
    <w:rsid w:val="00AE1EC1"/>
    <w:rsid w:val="00AE2ECC"/>
    <w:rsid w:val="00AE3B5E"/>
    <w:rsid w:val="00AE54BD"/>
    <w:rsid w:val="00AE6190"/>
    <w:rsid w:val="00AF007D"/>
    <w:rsid w:val="00AF1BAE"/>
    <w:rsid w:val="00AF2187"/>
    <w:rsid w:val="00AF2C2F"/>
    <w:rsid w:val="00AF44FA"/>
    <w:rsid w:val="00AF619C"/>
    <w:rsid w:val="00AF633A"/>
    <w:rsid w:val="00B00D18"/>
    <w:rsid w:val="00B01584"/>
    <w:rsid w:val="00B026AA"/>
    <w:rsid w:val="00B03A2F"/>
    <w:rsid w:val="00B056A8"/>
    <w:rsid w:val="00B07381"/>
    <w:rsid w:val="00B10DFB"/>
    <w:rsid w:val="00B11385"/>
    <w:rsid w:val="00B12148"/>
    <w:rsid w:val="00B13CEE"/>
    <w:rsid w:val="00B13F53"/>
    <w:rsid w:val="00B158F7"/>
    <w:rsid w:val="00B15C05"/>
    <w:rsid w:val="00B172B1"/>
    <w:rsid w:val="00B178E7"/>
    <w:rsid w:val="00B17DD8"/>
    <w:rsid w:val="00B2026D"/>
    <w:rsid w:val="00B20957"/>
    <w:rsid w:val="00B24667"/>
    <w:rsid w:val="00B273B1"/>
    <w:rsid w:val="00B27ABB"/>
    <w:rsid w:val="00B30425"/>
    <w:rsid w:val="00B30A7B"/>
    <w:rsid w:val="00B310C1"/>
    <w:rsid w:val="00B31BE8"/>
    <w:rsid w:val="00B32576"/>
    <w:rsid w:val="00B32DBD"/>
    <w:rsid w:val="00B35908"/>
    <w:rsid w:val="00B36E9B"/>
    <w:rsid w:val="00B4005A"/>
    <w:rsid w:val="00B40419"/>
    <w:rsid w:val="00B415A1"/>
    <w:rsid w:val="00B425F0"/>
    <w:rsid w:val="00B43B2D"/>
    <w:rsid w:val="00B464B5"/>
    <w:rsid w:val="00B472EF"/>
    <w:rsid w:val="00B47F1D"/>
    <w:rsid w:val="00B503A6"/>
    <w:rsid w:val="00B52542"/>
    <w:rsid w:val="00B52E10"/>
    <w:rsid w:val="00B52E7E"/>
    <w:rsid w:val="00B54C01"/>
    <w:rsid w:val="00B55013"/>
    <w:rsid w:val="00B55CA2"/>
    <w:rsid w:val="00B56904"/>
    <w:rsid w:val="00B60961"/>
    <w:rsid w:val="00B60BEF"/>
    <w:rsid w:val="00B610A5"/>
    <w:rsid w:val="00B611F7"/>
    <w:rsid w:val="00B61E44"/>
    <w:rsid w:val="00B62520"/>
    <w:rsid w:val="00B63404"/>
    <w:rsid w:val="00B63741"/>
    <w:rsid w:val="00B642EB"/>
    <w:rsid w:val="00B65637"/>
    <w:rsid w:val="00B6641A"/>
    <w:rsid w:val="00B666A5"/>
    <w:rsid w:val="00B67552"/>
    <w:rsid w:val="00B676EF"/>
    <w:rsid w:val="00B72A1A"/>
    <w:rsid w:val="00B72C29"/>
    <w:rsid w:val="00B7425E"/>
    <w:rsid w:val="00B80442"/>
    <w:rsid w:val="00B81779"/>
    <w:rsid w:val="00B82ACB"/>
    <w:rsid w:val="00B832F1"/>
    <w:rsid w:val="00B8367F"/>
    <w:rsid w:val="00B841C5"/>
    <w:rsid w:val="00B84B81"/>
    <w:rsid w:val="00B84DF5"/>
    <w:rsid w:val="00B84FEA"/>
    <w:rsid w:val="00B86086"/>
    <w:rsid w:val="00B879BD"/>
    <w:rsid w:val="00B87D1F"/>
    <w:rsid w:val="00B921B9"/>
    <w:rsid w:val="00B9506A"/>
    <w:rsid w:val="00B95FF1"/>
    <w:rsid w:val="00B96793"/>
    <w:rsid w:val="00B96874"/>
    <w:rsid w:val="00B96C18"/>
    <w:rsid w:val="00B97212"/>
    <w:rsid w:val="00BA0960"/>
    <w:rsid w:val="00BA1211"/>
    <w:rsid w:val="00BA1311"/>
    <w:rsid w:val="00BA1CDF"/>
    <w:rsid w:val="00BA336E"/>
    <w:rsid w:val="00BA42BE"/>
    <w:rsid w:val="00BA48F5"/>
    <w:rsid w:val="00BA48FE"/>
    <w:rsid w:val="00BA4A9B"/>
    <w:rsid w:val="00BA6166"/>
    <w:rsid w:val="00BA6267"/>
    <w:rsid w:val="00BB0B7D"/>
    <w:rsid w:val="00BB398C"/>
    <w:rsid w:val="00BB42CD"/>
    <w:rsid w:val="00BB4FA1"/>
    <w:rsid w:val="00BB583E"/>
    <w:rsid w:val="00BC149E"/>
    <w:rsid w:val="00BC2821"/>
    <w:rsid w:val="00BC4261"/>
    <w:rsid w:val="00BC6E31"/>
    <w:rsid w:val="00BD01D5"/>
    <w:rsid w:val="00BD185E"/>
    <w:rsid w:val="00BD1C85"/>
    <w:rsid w:val="00BD2D4B"/>
    <w:rsid w:val="00BD31D5"/>
    <w:rsid w:val="00BD42CB"/>
    <w:rsid w:val="00BD6955"/>
    <w:rsid w:val="00BD6F33"/>
    <w:rsid w:val="00BD7DC8"/>
    <w:rsid w:val="00BE05DC"/>
    <w:rsid w:val="00BE23D1"/>
    <w:rsid w:val="00BE3043"/>
    <w:rsid w:val="00BE3FE5"/>
    <w:rsid w:val="00BE43A4"/>
    <w:rsid w:val="00BE4FE6"/>
    <w:rsid w:val="00BE566D"/>
    <w:rsid w:val="00BE5948"/>
    <w:rsid w:val="00BE68AA"/>
    <w:rsid w:val="00BE7C30"/>
    <w:rsid w:val="00BF1B2D"/>
    <w:rsid w:val="00BF1FB7"/>
    <w:rsid w:val="00BF36A5"/>
    <w:rsid w:val="00BF455A"/>
    <w:rsid w:val="00C02616"/>
    <w:rsid w:val="00C034CC"/>
    <w:rsid w:val="00C03B2F"/>
    <w:rsid w:val="00C03D39"/>
    <w:rsid w:val="00C0414F"/>
    <w:rsid w:val="00C05FBB"/>
    <w:rsid w:val="00C06F2C"/>
    <w:rsid w:val="00C07783"/>
    <w:rsid w:val="00C07818"/>
    <w:rsid w:val="00C1046E"/>
    <w:rsid w:val="00C11B29"/>
    <w:rsid w:val="00C130FF"/>
    <w:rsid w:val="00C13FED"/>
    <w:rsid w:val="00C14A03"/>
    <w:rsid w:val="00C16720"/>
    <w:rsid w:val="00C17734"/>
    <w:rsid w:val="00C21A7D"/>
    <w:rsid w:val="00C232F4"/>
    <w:rsid w:val="00C235E0"/>
    <w:rsid w:val="00C24118"/>
    <w:rsid w:val="00C26742"/>
    <w:rsid w:val="00C27A34"/>
    <w:rsid w:val="00C27AEB"/>
    <w:rsid w:val="00C30D5F"/>
    <w:rsid w:val="00C311E9"/>
    <w:rsid w:val="00C31D1C"/>
    <w:rsid w:val="00C34187"/>
    <w:rsid w:val="00C36C12"/>
    <w:rsid w:val="00C4202E"/>
    <w:rsid w:val="00C43021"/>
    <w:rsid w:val="00C4352B"/>
    <w:rsid w:val="00C439C6"/>
    <w:rsid w:val="00C44A56"/>
    <w:rsid w:val="00C4589C"/>
    <w:rsid w:val="00C45F38"/>
    <w:rsid w:val="00C464B0"/>
    <w:rsid w:val="00C4676E"/>
    <w:rsid w:val="00C4748F"/>
    <w:rsid w:val="00C47BDF"/>
    <w:rsid w:val="00C51735"/>
    <w:rsid w:val="00C52C63"/>
    <w:rsid w:val="00C535B6"/>
    <w:rsid w:val="00C54A7A"/>
    <w:rsid w:val="00C55F58"/>
    <w:rsid w:val="00C571A4"/>
    <w:rsid w:val="00C61413"/>
    <w:rsid w:val="00C63526"/>
    <w:rsid w:val="00C63DC8"/>
    <w:rsid w:val="00C63F34"/>
    <w:rsid w:val="00C64396"/>
    <w:rsid w:val="00C64780"/>
    <w:rsid w:val="00C65DE7"/>
    <w:rsid w:val="00C66AC2"/>
    <w:rsid w:val="00C6746F"/>
    <w:rsid w:val="00C7329C"/>
    <w:rsid w:val="00C73C0A"/>
    <w:rsid w:val="00C73E53"/>
    <w:rsid w:val="00C752FF"/>
    <w:rsid w:val="00C75FB8"/>
    <w:rsid w:val="00C76115"/>
    <w:rsid w:val="00C77007"/>
    <w:rsid w:val="00C83C13"/>
    <w:rsid w:val="00C83CA2"/>
    <w:rsid w:val="00C84BF1"/>
    <w:rsid w:val="00C84CA0"/>
    <w:rsid w:val="00C856EF"/>
    <w:rsid w:val="00C87558"/>
    <w:rsid w:val="00C879B9"/>
    <w:rsid w:val="00C87B51"/>
    <w:rsid w:val="00C930F2"/>
    <w:rsid w:val="00C93291"/>
    <w:rsid w:val="00C9363E"/>
    <w:rsid w:val="00C9565B"/>
    <w:rsid w:val="00C95C93"/>
    <w:rsid w:val="00C95D05"/>
    <w:rsid w:val="00C9615A"/>
    <w:rsid w:val="00C96C17"/>
    <w:rsid w:val="00CA0EB2"/>
    <w:rsid w:val="00CA0FDF"/>
    <w:rsid w:val="00CA1C25"/>
    <w:rsid w:val="00CA638D"/>
    <w:rsid w:val="00CA6460"/>
    <w:rsid w:val="00CA7264"/>
    <w:rsid w:val="00CB13D5"/>
    <w:rsid w:val="00CB1D35"/>
    <w:rsid w:val="00CB27B4"/>
    <w:rsid w:val="00CB3ADA"/>
    <w:rsid w:val="00CB651C"/>
    <w:rsid w:val="00CB73CB"/>
    <w:rsid w:val="00CC340E"/>
    <w:rsid w:val="00CC533C"/>
    <w:rsid w:val="00CC586B"/>
    <w:rsid w:val="00CD1447"/>
    <w:rsid w:val="00CD1C26"/>
    <w:rsid w:val="00CD1DC4"/>
    <w:rsid w:val="00CD2727"/>
    <w:rsid w:val="00CD3FFF"/>
    <w:rsid w:val="00CD584B"/>
    <w:rsid w:val="00CD6C08"/>
    <w:rsid w:val="00CD7040"/>
    <w:rsid w:val="00CE0762"/>
    <w:rsid w:val="00CE387A"/>
    <w:rsid w:val="00CE3F40"/>
    <w:rsid w:val="00CE4038"/>
    <w:rsid w:val="00CE422A"/>
    <w:rsid w:val="00CE47F1"/>
    <w:rsid w:val="00CE4BF1"/>
    <w:rsid w:val="00CE7AB8"/>
    <w:rsid w:val="00CE7E86"/>
    <w:rsid w:val="00CF04EB"/>
    <w:rsid w:val="00CF305B"/>
    <w:rsid w:val="00CF37B9"/>
    <w:rsid w:val="00CF3CED"/>
    <w:rsid w:val="00CF4A4E"/>
    <w:rsid w:val="00CF5838"/>
    <w:rsid w:val="00CF7E96"/>
    <w:rsid w:val="00D00940"/>
    <w:rsid w:val="00D00D3E"/>
    <w:rsid w:val="00D01EAE"/>
    <w:rsid w:val="00D02744"/>
    <w:rsid w:val="00D036CD"/>
    <w:rsid w:val="00D0393D"/>
    <w:rsid w:val="00D04183"/>
    <w:rsid w:val="00D04A5B"/>
    <w:rsid w:val="00D04A6B"/>
    <w:rsid w:val="00D04C29"/>
    <w:rsid w:val="00D051D7"/>
    <w:rsid w:val="00D0664B"/>
    <w:rsid w:val="00D06892"/>
    <w:rsid w:val="00D07357"/>
    <w:rsid w:val="00D104F1"/>
    <w:rsid w:val="00D10E02"/>
    <w:rsid w:val="00D10FAD"/>
    <w:rsid w:val="00D1367A"/>
    <w:rsid w:val="00D142F7"/>
    <w:rsid w:val="00D1667A"/>
    <w:rsid w:val="00D16C93"/>
    <w:rsid w:val="00D176D9"/>
    <w:rsid w:val="00D207EB"/>
    <w:rsid w:val="00D20BE8"/>
    <w:rsid w:val="00D213EC"/>
    <w:rsid w:val="00D221D0"/>
    <w:rsid w:val="00D239A3"/>
    <w:rsid w:val="00D252E6"/>
    <w:rsid w:val="00D2561B"/>
    <w:rsid w:val="00D2565F"/>
    <w:rsid w:val="00D3207D"/>
    <w:rsid w:val="00D32CA6"/>
    <w:rsid w:val="00D33358"/>
    <w:rsid w:val="00D333F2"/>
    <w:rsid w:val="00D33630"/>
    <w:rsid w:val="00D340D9"/>
    <w:rsid w:val="00D3551F"/>
    <w:rsid w:val="00D35880"/>
    <w:rsid w:val="00D359B5"/>
    <w:rsid w:val="00D36975"/>
    <w:rsid w:val="00D3787B"/>
    <w:rsid w:val="00D40102"/>
    <w:rsid w:val="00D40945"/>
    <w:rsid w:val="00D416F5"/>
    <w:rsid w:val="00D42D97"/>
    <w:rsid w:val="00D47C5A"/>
    <w:rsid w:val="00D50EA1"/>
    <w:rsid w:val="00D50F8F"/>
    <w:rsid w:val="00D5130C"/>
    <w:rsid w:val="00D5342A"/>
    <w:rsid w:val="00D55BF5"/>
    <w:rsid w:val="00D56709"/>
    <w:rsid w:val="00D576C1"/>
    <w:rsid w:val="00D6271F"/>
    <w:rsid w:val="00D64C3A"/>
    <w:rsid w:val="00D65689"/>
    <w:rsid w:val="00D65F81"/>
    <w:rsid w:val="00D65FEB"/>
    <w:rsid w:val="00D71367"/>
    <w:rsid w:val="00D71831"/>
    <w:rsid w:val="00D71A81"/>
    <w:rsid w:val="00D735D1"/>
    <w:rsid w:val="00D73C9B"/>
    <w:rsid w:val="00D74174"/>
    <w:rsid w:val="00D74C0C"/>
    <w:rsid w:val="00D74C91"/>
    <w:rsid w:val="00D768F0"/>
    <w:rsid w:val="00D7722B"/>
    <w:rsid w:val="00D775F3"/>
    <w:rsid w:val="00D80BB6"/>
    <w:rsid w:val="00D80C77"/>
    <w:rsid w:val="00D81291"/>
    <w:rsid w:val="00D82946"/>
    <w:rsid w:val="00D8347A"/>
    <w:rsid w:val="00D83770"/>
    <w:rsid w:val="00D84FCA"/>
    <w:rsid w:val="00D859A4"/>
    <w:rsid w:val="00D85B57"/>
    <w:rsid w:val="00D85B80"/>
    <w:rsid w:val="00D860AB"/>
    <w:rsid w:val="00D86764"/>
    <w:rsid w:val="00D908E4"/>
    <w:rsid w:val="00D9172E"/>
    <w:rsid w:val="00D91D1B"/>
    <w:rsid w:val="00D92FF3"/>
    <w:rsid w:val="00D93225"/>
    <w:rsid w:val="00D93FB8"/>
    <w:rsid w:val="00D94495"/>
    <w:rsid w:val="00D94F1F"/>
    <w:rsid w:val="00D9501E"/>
    <w:rsid w:val="00D95D82"/>
    <w:rsid w:val="00D976AE"/>
    <w:rsid w:val="00DA090B"/>
    <w:rsid w:val="00DA1E4A"/>
    <w:rsid w:val="00DA1EEC"/>
    <w:rsid w:val="00DA3D09"/>
    <w:rsid w:val="00DA5907"/>
    <w:rsid w:val="00DA7A72"/>
    <w:rsid w:val="00DB10F4"/>
    <w:rsid w:val="00DB1439"/>
    <w:rsid w:val="00DB26A3"/>
    <w:rsid w:val="00DB2869"/>
    <w:rsid w:val="00DB2CCE"/>
    <w:rsid w:val="00DB36BC"/>
    <w:rsid w:val="00DB4113"/>
    <w:rsid w:val="00DB43C0"/>
    <w:rsid w:val="00DB6E68"/>
    <w:rsid w:val="00DB7F2F"/>
    <w:rsid w:val="00DC1241"/>
    <w:rsid w:val="00DC1D77"/>
    <w:rsid w:val="00DC207E"/>
    <w:rsid w:val="00DC32F4"/>
    <w:rsid w:val="00DC3ABD"/>
    <w:rsid w:val="00DC43DD"/>
    <w:rsid w:val="00DC5306"/>
    <w:rsid w:val="00DC5667"/>
    <w:rsid w:val="00DC62AB"/>
    <w:rsid w:val="00DD462A"/>
    <w:rsid w:val="00DD57CC"/>
    <w:rsid w:val="00DD5A3D"/>
    <w:rsid w:val="00DD658B"/>
    <w:rsid w:val="00DD6D9C"/>
    <w:rsid w:val="00DD79F9"/>
    <w:rsid w:val="00DE0797"/>
    <w:rsid w:val="00DE1CF8"/>
    <w:rsid w:val="00DE243C"/>
    <w:rsid w:val="00DE29CA"/>
    <w:rsid w:val="00DE3ED6"/>
    <w:rsid w:val="00DE6867"/>
    <w:rsid w:val="00DE744A"/>
    <w:rsid w:val="00DF1581"/>
    <w:rsid w:val="00DF53A6"/>
    <w:rsid w:val="00DF6172"/>
    <w:rsid w:val="00DF61DA"/>
    <w:rsid w:val="00DF7151"/>
    <w:rsid w:val="00DF7C20"/>
    <w:rsid w:val="00E00A37"/>
    <w:rsid w:val="00E036FA"/>
    <w:rsid w:val="00E03D2F"/>
    <w:rsid w:val="00E05460"/>
    <w:rsid w:val="00E055B5"/>
    <w:rsid w:val="00E06F0D"/>
    <w:rsid w:val="00E10E45"/>
    <w:rsid w:val="00E12086"/>
    <w:rsid w:val="00E1482E"/>
    <w:rsid w:val="00E148C3"/>
    <w:rsid w:val="00E1666A"/>
    <w:rsid w:val="00E1720C"/>
    <w:rsid w:val="00E17F29"/>
    <w:rsid w:val="00E200D4"/>
    <w:rsid w:val="00E20127"/>
    <w:rsid w:val="00E20875"/>
    <w:rsid w:val="00E22DF6"/>
    <w:rsid w:val="00E23105"/>
    <w:rsid w:val="00E23F4C"/>
    <w:rsid w:val="00E25D38"/>
    <w:rsid w:val="00E25E7D"/>
    <w:rsid w:val="00E25E84"/>
    <w:rsid w:val="00E261A6"/>
    <w:rsid w:val="00E27280"/>
    <w:rsid w:val="00E27329"/>
    <w:rsid w:val="00E2783C"/>
    <w:rsid w:val="00E31AE1"/>
    <w:rsid w:val="00E31B6F"/>
    <w:rsid w:val="00E32651"/>
    <w:rsid w:val="00E3277E"/>
    <w:rsid w:val="00E343F6"/>
    <w:rsid w:val="00E3449A"/>
    <w:rsid w:val="00E360CE"/>
    <w:rsid w:val="00E36D19"/>
    <w:rsid w:val="00E371A8"/>
    <w:rsid w:val="00E40B1C"/>
    <w:rsid w:val="00E42542"/>
    <w:rsid w:val="00E42B2D"/>
    <w:rsid w:val="00E43E31"/>
    <w:rsid w:val="00E441A3"/>
    <w:rsid w:val="00E45D58"/>
    <w:rsid w:val="00E45FC7"/>
    <w:rsid w:val="00E45FEB"/>
    <w:rsid w:val="00E461D7"/>
    <w:rsid w:val="00E47DCF"/>
    <w:rsid w:val="00E50C87"/>
    <w:rsid w:val="00E5150C"/>
    <w:rsid w:val="00E51806"/>
    <w:rsid w:val="00E52D70"/>
    <w:rsid w:val="00E54331"/>
    <w:rsid w:val="00E552CF"/>
    <w:rsid w:val="00E6276E"/>
    <w:rsid w:val="00E632DE"/>
    <w:rsid w:val="00E64AA4"/>
    <w:rsid w:val="00E67AE8"/>
    <w:rsid w:val="00E70F36"/>
    <w:rsid w:val="00E71E8C"/>
    <w:rsid w:val="00E72486"/>
    <w:rsid w:val="00E73624"/>
    <w:rsid w:val="00E73CEE"/>
    <w:rsid w:val="00E7477E"/>
    <w:rsid w:val="00E76245"/>
    <w:rsid w:val="00E769A6"/>
    <w:rsid w:val="00E77253"/>
    <w:rsid w:val="00E77F56"/>
    <w:rsid w:val="00E80E82"/>
    <w:rsid w:val="00E823B6"/>
    <w:rsid w:val="00E82BD7"/>
    <w:rsid w:val="00E909AF"/>
    <w:rsid w:val="00E91250"/>
    <w:rsid w:val="00E914C6"/>
    <w:rsid w:val="00E91727"/>
    <w:rsid w:val="00E924B8"/>
    <w:rsid w:val="00E92EB1"/>
    <w:rsid w:val="00E93391"/>
    <w:rsid w:val="00E93824"/>
    <w:rsid w:val="00EA1580"/>
    <w:rsid w:val="00EA21FF"/>
    <w:rsid w:val="00EA29EC"/>
    <w:rsid w:val="00EA468D"/>
    <w:rsid w:val="00EA49D6"/>
    <w:rsid w:val="00EA6C42"/>
    <w:rsid w:val="00EA6C75"/>
    <w:rsid w:val="00EA746B"/>
    <w:rsid w:val="00EA75E2"/>
    <w:rsid w:val="00EB3317"/>
    <w:rsid w:val="00EB41F1"/>
    <w:rsid w:val="00EB4721"/>
    <w:rsid w:val="00EB4ED4"/>
    <w:rsid w:val="00EB5F85"/>
    <w:rsid w:val="00EB673E"/>
    <w:rsid w:val="00EC0705"/>
    <w:rsid w:val="00EC2D3F"/>
    <w:rsid w:val="00EC2FD7"/>
    <w:rsid w:val="00EC41D2"/>
    <w:rsid w:val="00EC4C1D"/>
    <w:rsid w:val="00ED06D9"/>
    <w:rsid w:val="00ED0CFD"/>
    <w:rsid w:val="00ED1D1B"/>
    <w:rsid w:val="00ED2338"/>
    <w:rsid w:val="00ED3FFD"/>
    <w:rsid w:val="00ED4AD9"/>
    <w:rsid w:val="00ED5400"/>
    <w:rsid w:val="00ED738E"/>
    <w:rsid w:val="00ED7C18"/>
    <w:rsid w:val="00EE1C7C"/>
    <w:rsid w:val="00EE2508"/>
    <w:rsid w:val="00EE3399"/>
    <w:rsid w:val="00EE3E85"/>
    <w:rsid w:val="00EE6498"/>
    <w:rsid w:val="00EF074B"/>
    <w:rsid w:val="00EF113C"/>
    <w:rsid w:val="00EF28B4"/>
    <w:rsid w:val="00EF5785"/>
    <w:rsid w:val="00EF5DAC"/>
    <w:rsid w:val="00EF5E94"/>
    <w:rsid w:val="00EF6AE2"/>
    <w:rsid w:val="00F003ED"/>
    <w:rsid w:val="00F022C4"/>
    <w:rsid w:val="00F02D60"/>
    <w:rsid w:val="00F0571F"/>
    <w:rsid w:val="00F07561"/>
    <w:rsid w:val="00F075B0"/>
    <w:rsid w:val="00F07940"/>
    <w:rsid w:val="00F10387"/>
    <w:rsid w:val="00F12281"/>
    <w:rsid w:val="00F122B1"/>
    <w:rsid w:val="00F1318C"/>
    <w:rsid w:val="00F15494"/>
    <w:rsid w:val="00F15F90"/>
    <w:rsid w:val="00F16660"/>
    <w:rsid w:val="00F1684F"/>
    <w:rsid w:val="00F16FC3"/>
    <w:rsid w:val="00F1779F"/>
    <w:rsid w:val="00F2094C"/>
    <w:rsid w:val="00F21E70"/>
    <w:rsid w:val="00F2225C"/>
    <w:rsid w:val="00F2380D"/>
    <w:rsid w:val="00F23CEE"/>
    <w:rsid w:val="00F266AD"/>
    <w:rsid w:val="00F3407D"/>
    <w:rsid w:val="00F35C04"/>
    <w:rsid w:val="00F35D20"/>
    <w:rsid w:val="00F373AA"/>
    <w:rsid w:val="00F4138E"/>
    <w:rsid w:val="00F41F8C"/>
    <w:rsid w:val="00F43147"/>
    <w:rsid w:val="00F43319"/>
    <w:rsid w:val="00F443DB"/>
    <w:rsid w:val="00F44A2C"/>
    <w:rsid w:val="00F45E49"/>
    <w:rsid w:val="00F46321"/>
    <w:rsid w:val="00F46F80"/>
    <w:rsid w:val="00F479D2"/>
    <w:rsid w:val="00F50B43"/>
    <w:rsid w:val="00F50EFE"/>
    <w:rsid w:val="00F51217"/>
    <w:rsid w:val="00F512AA"/>
    <w:rsid w:val="00F52AD3"/>
    <w:rsid w:val="00F55215"/>
    <w:rsid w:val="00F5653E"/>
    <w:rsid w:val="00F6282E"/>
    <w:rsid w:val="00F6340C"/>
    <w:rsid w:val="00F64947"/>
    <w:rsid w:val="00F6498D"/>
    <w:rsid w:val="00F65278"/>
    <w:rsid w:val="00F65283"/>
    <w:rsid w:val="00F66A3F"/>
    <w:rsid w:val="00F676A0"/>
    <w:rsid w:val="00F70039"/>
    <w:rsid w:val="00F70409"/>
    <w:rsid w:val="00F742A7"/>
    <w:rsid w:val="00F75099"/>
    <w:rsid w:val="00F75631"/>
    <w:rsid w:val="00F758FC"/>
    <w:rsid w:val="00F75DA8"/>
    <w:rsid w:val="00F76119"/>
    <w:rsid w:val="00F77AF2"/>
    <w:rsid w:val="00F81014"/>
    <w:rsid w:val="00F81097"/>
    <w:rsid w:val="00F82C24"/>
    <w:rsid w:val="00F849F8"/>
    <w:rsid w:val="00F864BA"/>
    <w:rsid w:val="00F86DFD"/>
    <w:rsid w:val="00F90940"/>
    <w:rsid w:val="00F90BBB"/>
    <w:rsid w:val="00F90F91"/>
    <w:rsid w:val="00F91E37"/>
    <w:rsid w:val="00F95062"/>
    <w:rsid w:val="00F95B44"/>
    <w:rsid w:val="00F9706F"/>
    <w:rsid w:val="00F973B0"/>
    <w:rsid w:val="00FA1028"/>
    <w:rsid w:val="00FA1863"/>
    <w:rsid w:val="00FA1AB3"/>
    <w:rsid w:val="00FA2365"/>
    <w:rsid w:val="00FA38DC"/>
    <w:rsid w:val="00FA3A70"/>
    <w:rsid w:val="00FA59CF"/>
    <w:rsid w:val="00FA5E70"/>
    <w:rsid w:val="00FA698D"/>
    <w:rsid w:val="00FA74FC"/>
    <w:rsid w:val="00FB052F"/>
    <w:rsid w:val="00FB0A81"/>
    <w:rsid w:val="00FB46B2"/>
    <w:rsid w:val="00FC0AEF"/>
    <w:rsid w:val="00FC55C8"/>
    <w:rsid w:val="00FC692C"/>
    <w:rsid w:val="00FD08D8"/>
    <w:rsid w:val="00FD260E"/>
    <w:rsid w:val="00FD6553"/>
    <w:rsid w:val="00FD7683"/>
    <w:rsid w:val="00FE0699"/>
    <w:rsid w:val="00FE0C1E"/>
    <w:rsid w:val="00FE0C83"/>
    <w:rsid w:val="00FE1CB5"/>
    <w:rsid w:val="00FE3C59"/>
    <w:rsid w:val="00FE535D"/>
    <w:rsid w:val="00FE5E10"/>
    <w:rsid w:val="00FE6343"/>
    <w:rsid w:val="00FE6396"/>
    <w:rsid w:val="00FF0871"/>
    <w:rsid w:val="00FF195E"/>
    <w:rsid w:val="00FF2C21"/>
    <w:rsid w:val="00FF3FC0"/>
    <w:rsid w:val="00FF6039"/>
    <w:rsid w:val="00FF6626"/>
    <w:rsid w:val="00FF6D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8194"/>
    <o:shapelayout v:ext="edit">
      <o:idmap v:ext="edit" data="1"/>
      <o:rules v:ext="edit">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Classic 4"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1"/>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after="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line="240" w:lineRule="auto"/>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line="240" w:lineRule="auto"/>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pPr>
      <w:spacing w:after="0" w:line="240" w:lineRule="auto"/>
    </w:pPr>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line="240" w:lineRule="auto"/>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spacing w:after="0" w:line="240" w:lineRule="auto"/>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99"/>
    <w:rsid w:val="0047124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basedOn w:val="Normal"/>
    <w:link w:val="FootnoteTextChar"/>
    <w:uiPriority w:val="99"/>
    <w:semiHidden/>
    <w:rsid w:val="00563671"/>
    <w:pPr>
      <w:spacing w:after="0" w:line="240" w:lineRule="auto"/>
    </w:pPr>
    <w:rPr>
      <w:rFonts w:eastAsia="Calibri"/>
      <w:sz w:val="20"/>
      <w:szCs w:val="20"/>
      <w:lang w:eastAsia="lv-LV"/>
    </w:rPr>
  </w:style>
  <w:style w:type="character" w:customStyle="1" w:styleId="FootnoteTextChar">
    <w:name w:val="Footnote Text Char"/>
    <w:basedOn w:val="DefaultParagraphFont"/>
    <w:link w:val="FootnoteText"/>
    <w:uiPriority w:val="99"/>
    <w:semiHidden/>
    <w:locked/>
    <w:rsid w:val="00563671"/>
    <w:rPr>
      <w:rFonts w:cs="Times New Roman"/>
      <w:sz w:val="20"/>
    </w:rPr>
  </w:style>
  <w:style w:type="character" w:styleId="FootnoteReference">
    <w:name w:val="footnote reference"/>
    <w:basedOn w:val="DefaultParagraphFont"/>
    <w:uiPriority w:val="99"/>
    <w:semiHidden/>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line="240" w:lineRule="auto"/>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pPr>
      <w:spacing w:line="240" w:lineRule="auto"/>
    </w:pPr>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99"/>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after="0" w:line="240" w:lineRule="auto"/>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438261542">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199011532">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14445652">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yperlink" Target="mailto:ilze.briede@pmlp.gov.lv"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Worksheet25.xlsx"/><Relationship Id="rId1" Type="http://schemas.openxmlformats.org/officeDocument/2006/relationships/themeOverride" Target="../theme/themeOverride2.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Office_Excel_Worksheet26.xlsx"/><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lzebr\Documents\Investori_zinojums\2015\Grafiki.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stacked"/>
        <c:ser>
          <c:idx val="3"/>
          <c:order val="3"/>
          <c:tx>
            <c:strRef>
              <c:f>Sheet1!$E$1</c:f>
              <c:strCache>
                <c:ptCount val="1"/>
                <c:pt idx="0">
                  <c:v>Kopējās investīcijas</c:v>
                </c:pt>
              </c:strCache>
            </c:strRef>
          </c:tx>
          <c:spPr>
            <a:solidFill>
              <a:schemeClr val="accent4"/>
            </a:solidFill>
            <a:ln>
              <a:noFill/>
            </a:ln>
            <a:effectLst/>
          </c:spPr>
          <c:cat>
            <c:strRef>
              <c:f>Sheet1!$A$2:$A$19</c:f>
              <c:strCache>
                <c:ptCount val="18"/>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strCache>
            </c:strRef>
          </c:cat>
          <c:val>
            <c:numRef>
              <c:f>Sheet1!$E$2:$E$19</c:f>
              <c:numCache>
                <c:formatCode>#,##0</c:formatCode>
                <c:ptCount val="18"/>
                <c:pt idx="0">
                  <c:v>41429</c:v>
                </c:pt>
                <c:pt idx="1">
                  <c:v>26265</c:v>
                </c:pt>
                <c:pt idx="2">
                  <c:v>30032</c:v>
                </c:pt>
                <c:pt idx="3">
                  <c:v>40935</c:v>
                </c:pt>
                <c:pt idx="4">
                  <c:v>33874</c:v>
                </c:pt>
                <c:pt idx="5">
                  <c:v>26338</c:v>
                </c:pt>
                <c:pt idx="6">
                  <c:v>47252</c:v>
                </c:pt>
                <c:pt idx="7">
                  <c:v>62425</c:v>
                </c:pt>
                <c:pt idx="8">
                  <c:v>41482</c:v>
                </c:pt>
                <c:pt idx="9">
                  <c:v>34183</c:v>
                </c:pt>
                <c:pt idx="10">
                  <c:v>25592</c:v>
                </c:pt>
                <c:pt idx="11">
                  <c:v>27761</c:v>
                </c:pt>
                <c:pt idx="12">
                  <c:v>8315</c:v>
                </c:pt>
                <c:pt idx="13">
                  <c:v>7431</c:v>
                </c:pt>
                <c:pt idx="14">
                  <c:v>6550</c:v>
                </c:pt>
                <c:pt idx="15">
                  <c:v>4924</c:v>
                </c:pt>
                <c:pt idx="16">
                  <c:v>5452</c:v>
                </c:pt>
                <c:pt idx="17">
                  <c:v>1610</c:v>
                </c:pt>
              </c:numCache>
            </c:numRef>
          </c:val>
        </c:ser>
        <c:overlap val="100"/>
        <c:axId val="161887360"/>
        <c:axId val="161828224"/>
      </c:barChart>
      <c:lineChart>
        <c:grouping val="standard"/>
        <c:ser>
          <c:idx val="0"/>
          <c:order val="0"/>
          <c:tx>
            <c:strRef>
              <c:f>Sheet1!$B$1</c:f>
              <c:strCache>
                <c:ptCount val="1"/>
                <c:pt idx="0">
                  <c:v>NĪ</c:v>
                </c:pt>
              </c:strCache>
            </c:strRef>
          </c:tx>
          <c:spPr>
            <a:ln w="28575" cap="rnd">
              <a:solidFill>
                <a:schemeClr val="accent1"/>
              </a:solidFill>
              <a:round/>
            </a:ln>
            <a:effectLst/>
          </c:spPr>
          <c:marker>
            <c:symbol val="none"/>
          </c:marker>
          <c:cat>
            <c:strRef>
              <c:f>Sheet1!$A$2:$A$19</c:f>
              <c:strCache>
                <c:ptCount val="18"/>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strCache>
            </c:strRef>
          </c:cat>
          <c:val>
            <c:numRef>
              <c:f>Sheet1!$B$2:$B$19</c:f>
              <c:numCache>
                <c:formatCode>General</c:formatCode>
                <c:ptCount val="18"/>
                <c:pt idx="0">
                  <c:v>204</c:v>
                </c:pt>
                <c:pt idx="1">
                  <c:v>138</c:v>
                </c:pt>
                <c:pt idx="2">
                  <c:v>163</c:v>
                </c:pt>
                <c:pt idx="3">
                  <c:v>193</c:v>
                </c:pt>
                <c:pt idx="4">
                  <c:v>153</c:v>
                </c:pt>
                <c:pt idx="5">
                  <c:v>137</c:v>
                </c:pt>
                <c:pt idx="6">
                  <c:v>248</c:v>
                </c:pt>
                <c:pt idx="7">
                  <c:v>332</c:v>
                </c:pt>
                <c:pt idx="8">
                  <c:v>237</c:v>
                </c:pt>
                <c:pt idx="9">
                  <c:v>197</c:v>
                </c:pt>
                <c:pt idx="10">
                  <c:v>119</c:v>
                </c:pt>
                <c:pt idx="11">
                  <c:v>84</c:v>
                </c:pt>
                <c:pt idx="12">
                  <c:v>42</c:v>
                </c:pt>
                <c:pt idx="13">
                  <c:v>25</c:v>
                </c:pt>
                <c:pt idx="14">
                  <c:v>15</c:v>
                </c:pt>
                <c:pt idx="15">
                  <c:v>13</c:v>
                </c:pt>
                <c:pt idx="16">
                  <c:v>4</c:v>
                </c:pt>
                <c:pt idx="17">
                  <c:v>5</c:v>
                </c:pt>
              </c:numCache>
            </c:numRef>
          </c:val>
        </c:ser>
        <c:ser>
          <c:idx val="1"/>
          <c:order val="1"/>
          <c:tx>
            <c:strRef>
              <c:f>Sheet1!$C$1</c:f>
              <c:strCache>
                <c:ptCount val="1"/>
                <c:pt idx="0">
                  <c:v>Ieguldījumi pamatkapitālā</c:v>
                </c:pt>
              </c:strCache>
            </c:strRef>
          </c:tx>
          <c:spPr>
            <a:ln w="28575" cap="rnd">
              <a:solidFill>
                <a:schemeClr val="accent2"/>
              </a:solidFill>
              <a:round/>
            </a:ln>
            <a:effectLst/>
          </c:spPr>
          <c:marker>
            <c:symbol val="none"/>
          </c:marker>
          <c:cat>
            <c:strRef>
              <c:f>Sheet1!$A$2:$A$19</c:f>
              <c:strCache>
                <c:ptCount val="18"/>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strCache>
            </c:strRef>
          </c:cat>
          <c:val>
            <c:numRef>
              <c:f>Sheet1!$C$2:$C$19</c:f>
              <c:numCache>
                <c:formatCode>General</c:formatCode>
                <c:ptCount val="18"/>
                <c:pt idx="0">
                  <c:v>19</c:v>
                </c:pt>
                <c:pt idx="1">
                  <c:v>10</c:v>
                </c:pt>
                <c:pt idx="2">
                  <c:v>11</c:v>
                </c:pt>
                <c:pt idx="3">
                  <c:v>20</c:v>
                </c:pt>
                <c:pt idx="4">
                  <c:v>16</c:v>
                </c:pt>
                <c:pt idx="5">
                  <c:v>8</c:v>
                </c:pt>
                <c:pt idx="6">
                  <c:v>11</c:v>
                </c:pt>
                <c:pt idx="7">
                  <c:v>13</c:v>
                </c:pt>
                <c:pt idx="8">
                  <c:v>10</c:v>
                </c:pt>
                <c:pt idx="9">
                  <c:v>21</c:v>
                </c:pt>
                <c:pt idx="10">
                  <c:v>13</c:v>
                </c:pt>
                <c:pt idx="11">
                  <c:v>10</c:v>
                </c:pt>
                <c:pt idx="12">
                  <c:v>6</c:v>
                </c:pt>
                <c:pt idx="13">
                  <c:v>6</c:v>
                </c:pt>
                <c:pt idx="14">
                  <c:v>4</c:v>
                </c:pt>
                <c:pt idx="15">
                  <c:v>8</c:v>
                </c:pt>
                <c:pt idx="16">
                  <c:v>5</c:v>
                </c:pt>
                <c:pt idx="17">
                  <c:v>4</c:v>
                </c:pt>
              </c:numCache>
            </c:numRef>
          </c:val>
        </c:ser>
        <c:ser>
          <c:idx val="2"/>
          <c:order val="2"/>
          <c:tx>
            <c:strRef>
              <c:f>Sheet1!$D$1</c:f>
              <c:strCache>
                <c:ptCount val="1"/>
                <c:pt idx="0">
                  <c:v>Banku pakārtotās saistības</c:v>
                </c:pt>
              </c:strCache>
            </c:strRef>
          </c:tx>
          <c:spPr>
            <a:ln w="28575" cap="rnd">
              <a:solidFill>
                <a:schemeClr val="accent3"/>
              </a:solidFill>
              <a:round/>
            </a:ln>
            <a:effectLst/>
          </c:spPr>
          <c:marker>
            <c:symbol val="none"/>
          </c:marker>
          <c:cat>
            <c:strRef>
              <c:f>Sheet1!$A$2:$A$19</c:f>
              <c:strCache>
                <c:ptCount val="18"/>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strCache>
            </c:strRef>
          </c:cat>
          <c:val>
            <c:numRef>
              <c:f>Sheet1!$D$2:$D$19</c:f>
              <c:numCache>
                <c:formatCode>General</c:formatCode>
                <c:ptCount val="18"/>
                <c:pt idx="0">
                  <c:v>7</c:v>
                </c:pt>
                <c:pt idx="1">
                  <c:v>5</c:v>
                </c:pt>
                <c:pt idx="2">
                  <c:v>3</c:v>
                </c:pt>
                <c:pt idx="3">
                  <c:v>15</c:v>
                </c:pt>
                <c:pt idx="4">
                  <c:v>16</c:v>
                </c:pt>
                <c:pt idx="5">
                  <c:v>10</c:v>
                </c:pt>
                <c:pt idx="6">
                  <c:v>16</c:v>
                </c:pt>
                <c:pt idx="7">
                  <c:v>23</c:v>
                </c:pt>
                <c:pt idx="8">
                  <c:v>5</c:v>
                </c:pt>
                <c:pt idx="9">
                  <c:v>1</c:v>
                </c:pt>
                <c:pt idx="10">
                  <c:v>2</c:v>
                </c:pt>
                <c:pt idx="11">
                  <c:v>0</c:v>
                </c:pt>
                <c:pt idx="12">
                  <c:v>2</c:v>
                </c:pt>
                <c:pt idx="13">
                  <c:v>1</c:v>
                </c:pt>
                <c:pt idx="14">
                  <c:v>5</c:v>
                </c:pt>
                <c:pt idx="15">
                  <c:v>4</c:v>
                </c:pt>
                <c:pt idx="16">
                  <c:v>3</c:v>
                </c:pt>
                <c:pt idx="17">
                  <c:v>0</c:v>
                </c:pt>
              </c:numCache>
            </c:numRef>
          </c:val>
        </c:ser>
        <c:marker val="1"/>
        <c:axId val="159476736"/>
        <c:axId val="159575424"/>
      </c:lineChart>
      <c:catAx>
        <c:axId val="159476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9575424"/>
        <c:crosses val="autoZero"/>
        <c:auto val="1"/>
        <c:lblAlgn val="ctr"/>
        <c:lblOffset val="100"/>
      </c:catAx>
      <c:valAx>
        <c:axId val="159575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9476736"/>
        <c:crosses val="autoZero"/>
        <c:crossBetween val="between"/>
      </c:valAx>
      <c:valAx>
        <c:axId val="161828224"/>
        <c:scaling>
          <c:orientation val="minMax"/>
        </c:scaling>
        <c:axPos val="r"/>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1887360"/>
        <c:crosses val="max"/>
        <c:crossBetween val="between"/>
      </c:valAx>
      <c:catAx>
        <c:axId val="161887360"/>
        <c:scaling>
          <c:orientation val="minMax"/>
        </c:scaling>
        <c:delete val="1"/>
        <c:axPos val="b"/>
        <c:numFmt formatCode="General" sourceLinked="1"/>
        <c:tickLblPos val="none"/>
        <c:crossAx val="16182822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tk-1 mln</c:v>
                </c:pt>
                <c:pt idx="3">
                  <c:v>250-500 tk</c:v>
                </c:pt>
                <c:pt idx="4">
                  <c:v>200-250 tk</c:v>
                </c:pt>
                <c:pt idx="5">
                  <c:v>150-200 tk</c:v>
                </c:pt>
                <c:pt idx="6">
                  <c:v>125-150 tk</c:v>
                </c:pt>
                <c:pt idx="7">
                  <c:v>100-125 tk</c:v>
                </c:pt>
                <c:pt idx="8">
                  <c:v>50-100 tk</c:v>
                </c:pt>
                <c:pt idx="9">
                  <c:v>25-50 tk</c:v>
                </c:pt>
                <c:pt idx="10">
                  <c:v>&gt;25 tk</c:v>
                </c:pt>
              </c:strCache>
            </c:strRef>
          </c:cat>
          <c:val>
            <c:numRef>
              <c:f>Sheet1!$B$2:$B$12</c:f>
              <c:numCache>
                <c:formatCode>General</c:formatCode>
                <c:ptCount val="11"/>
                <c:pt idx="0">
                  <c:v>2</c:v>
                </c:pt>
                <c:pt idx="1">
                  <c:v>19</c:v>
                </c:pt>
                <c:pt idx="2">
                  <c:v>68</c:v>
                </c:pt>
                <c:pt idx="3">
                  <c:v>435</c:v>
                </c:pt>
                <c:pt idx="4">
                  <c:v>342</c:v>
                </c:pt>
                <c:pt idx="5">
                  <c:v>1011</c:v>
                </c:pt>
                <c:pt idx="6">
                  <c:v>1094</c:v>
                </c:pt>
                <c:pt idx="7">
                  <c:v>32</c:v>
                </c:pt>
                <c:pt idx="8">
                  <c:v>313</c:v>
                </c:pt>
                <c:pt idx="9">
                  <c:v>1</c:v>
                </c:pt>
                <c:pt idx="10">
                  <c:v>1</c:v>
                </c:pt>
              </c:numCache>
            </c:numRef>
          </c:val>
        </c:ser>
        <c:axId val="171927424"/>
        <c:axId val="171928960"/>
      </c:barChart>
      <c:catAx>
        <c:axId val="171927424"/>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171928960"/>
        <c:crosses val="autoZero"/>
        <c:auto val="1"/>
        <c:lblAlgn val="ctr"/>
        <c:lblOffset val="100"/>
      </c:catAx>
      <c:valAx>
        <c:axId val="171928960"/>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17192742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tk-1 mln</c:v>
                </c:pt>
                <c:pt idx="3">
                  <c:v>250-500 tk</c:v>
                </c:pt>
                <c:pt idx="4">
                  <c:v>200-250 tk</c:v>
                </c:pt>
                <c:pt idx="5">
                  <c:v>150-200 tk</c:v>
                </c:pt>
                <c:pt idx="6">
                  <c:v>125-150 tk</c:v>
                </c:pt>
                <c:pt idx="7">
                  <c:v>100-125 tk</c:v>
                </c:pt>
                <c:pt idx="8">
                  <c:v>50-100 tk</c:v>
                </c:pt>
                <c:pt idx="9">
                  <c:v>25-50 tk</c:v>
                </c:pt>
                <c:pt idx="10">
                  <c:v>&gt;25 tk</c:v>
                </c:pt>
              </c:strCache>
            </c:strRef>
          </c:cat>
          <c:val>
            <c:numRef>
              <c:f>Sheet1!$B$2:$B$12</c:f>
              <c:numCache>
                <c:formatCode>General</c:formatCode>
                <c:ptCount val="11"/>
                <c:pt idx="0">
                  <c:v>0</c:v>
                </c:pt>
                <c:pt idx="1">
                  <c:v>4</c:v>
                </c:pt>
                <c:pt idx="2">
                  <c:v>4</c:v>
                </c:pt>
                <c:pt idx="3">
                  <c:v>67</c:v>
                </c:pt>
                <c:pt idx="4">
                  <c:v>20</c:v>
                </c:pt>
                <c:pt idx="5">
                  <c:v>16</c:v>
                </c:pt>
                <c:pt idx="6">
                  <c:v>12</c:v>
                </c:pt>
                <c:pt idx="7">
                  <c:v>3</c:v>
                </c:pt>
                <c:pt idx="8">
                  <c:v>24</c:v>
                </c:pt>
                <c:pt idx="9">
                  <c:v>0</c:v>
                </c:pt>
                <c:pt idx="10">
                  <c:v>0</c:v>
                </c:pt>
              </c:numCache>
            </c:numRef>
          </c:val>
        </c:ser>
        <c:axId val="174939136"/>
        <c:axId val="174945024"/>
      </c:barChart>
      <c:catAx>
        <c:axId val="174939136"/>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174945024"/>
        <c:crosses val="autoZero"/>
        <c:auto val="1"/>
        <c:lblAlgn val="ctr"/>
        <c:lblOffset val="100"/>
      </c:catAx>
      <c:valAx>
        <c:axId val="174945024"/>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17493913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tk-1 mln</c:v>
                </c:pt>
                <c:pt idx="3">
                  <c:v>250-500 tk</c:v>
                </c:pt>
                <c:pt idx="4">
                  <c:v>200-250 tk</c:v>
                </c:pt>
                <c:pt idx="5">
                  <c:v>150-200 tk</c:v>
                </c:pt>
                <c:pt idx="6">
                  <c:v>125-150 tk</c:v>
                </c:pt>
                <c:pt idx="7">
                  <c:v>100-125 tk</c:v>
                </c:pt>
                <c:pt idx="8">
                  <c:v>50-100 tk</c:v>
                </c:pt>
                <c:pt idx="9">
                  <c:v>25-50 tk</c:v>
                </c:pt>
                <c:pt idx="10">
                  <c:v>&gt;25 tk</c:v>
                </c:pt>
              </c:strCache>
            </c:strRef>
          </c:cat>
          <c:val>
            <c:numRef>
              <c:f>Sheet1!$B$2:$B$12</c:f>
              <c:numCache>
                <c:formatCode>General</c:formatCode>
                <c:ptCount val="11"/>
                <c:pt idx="0">
                  <c:v>1</c:v>
                </c:pt>
                <c:pt idx="1">
                  <c:v>2</c:v>
                </c:pt>
                <c:pt idx="2">
                  <c:v>34</c:v>
                </c:pt>
                <c:pt idx="3">
                  <c:v>245</c:v>
                </c:pt>
                <c:pt idx="4">
                  <c:v>169</c:v>
                </c:pt>
                <c:pt idx="5">
                  <c:v>729</c:v>
                </c:pt>
                <c:pt idx="6">
                  <c:v>686</c:v>
                </c:pt>
                <c:pt idx="7">
                  <c:v>25</c:v>
                </c:pt>
                <c:pt idx="8">
                  <c:v>359</c:v>
                </c:pt>
                <c:pt idx="9">
                  <c:v>0</c:v>
                </c:pt>
                <c:pt idx="10">
                  <c:v>0</c:v>
                </c:pt>
              </c:numCache>
            </c:numRef>
          </c:val>
        </c:ser>
        <c:axId val="171995520"/>
        <c:axId val="171997056"/>
      </c:barChart>
      <c:catAx>
        <c:axId val="171995520"/>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171997056"/>
        <c:crosses val="autoZero"/>
        <c:auto val="1"/>
        <c:lblAlgn val="ctr"/>
        <c:lblOffset val="100"/>
      </c:catAx>
      <c:valAx>
        <c:axId val="171997056"/>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17199552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3.7244274260238019E-2"/>
                  <c:y val="1.2293527206862772E-2"/>
                </c:manualLayout>
              </c:layout>
              <c:showVal val="1"/>
              <c:showCatName val="1"/>
              <c:separator>
</c:separator>
              <c:extLst>
                <c:ext xmlns:c15="http://schemas.microsoft.com/office/drawing/2012/chart" uri="{CE6537A1-D6FC-4f65-9D91-7224C49458BB}">
                  <c15:layout/>
                </c:ext>
              </c:extLst>
            </c:dLbl>
            <c:dLbl>
              <c:idx val="1"/>
              <c:layout>
                <c:manualLayout>
                  <c:x val="1.36986301369863E-4"/>
                  <c:y val="4.9639673635044824E-2"/>
                </c:manualLayout>
              </c:layout>
              <c:showVal val="1"/>
              <c:showCatName val="1"/>
              <c:separator>
</c:separator>
              <c:extLst>
                <c:ext xmlns:c15="http://schemas.microsoft.com/office/drawing/2012/chart" uri="{CE6537A1-D6FC-4f65-9D91-7224C49458BB}">
                  <c15:layout/>
                </c:ext>
              </c:extLst>
            </c:dLbl>
            <c:dLbl>
              <c:idx val="2"/>
              <c:layout>
                <c:manualLayout>
                  <c:x val="1.8036529680365389E-3"/>
                  <c:y val="7.2592890744887034E-2"/>
                </c:manualLayout>
              </c:layout>
              <c:showVal val="1"/>
              <c:showCatName val="1"/>
              <c:separator>
</c:separator>
              <c:extLst>
                <c:ext xmlns:c15="http://schemas.microsoft.com/office/drawing/2012/chart" uri="{CE6537A1-D6FC-4f65-9D91-7224C49458BB}">
                  <c15:layout/>
                </c:ext>
              </c:extLst>
            </c:dLbl>
            <c:dLbl>
              <c:idx val="3"/>
              <c:layout>
                <c:manualLayout>
                  <c:x val="1.7674558356973165E-7"/>
                  <c:y val="9.1670979290133028E-2"/>
                </c:manualLayout>
              </c:layout>
              <c:showVal val="1"/>
              <c:showCatName val="1"/>
              <c:separator>
</c:separator>
              <c:extLst>
                <c:ext xmlns:c15="http://schemas.microsoft.com/office/drawing/2012/chart" uri="{CE6537A1-D6FC-4f65-9D91-7224C49458BB}">
                  <c15:layout>
                    <c:manualLayout>
                      <c:w val="0.33904109589041098"/>
                      <c:h val="0.15974440894568692"/>
                    </c:manualLayout>
                  </c15:layout>
                </c:ext>
              </c:extLst>
            </c:dLbl>
            <c:dLbl>
              <c:idx val="4"/>
              <c:layout>
                <c:manualLayout>
                  <c:x val="3.2699700416235996E-3"/>
                  <c:y val="2.7015015349229888E-2"/>
                </c:manualLayout>
              </c:layout>
              <c:showVal val="1"/>
              <c:showCatName val="1"/>
              <c:separator>
</c:separator>
              <c:extLst>
                <c:ext xmlns:c15="http://schemas.microsoft.com/office/drawing/2012/chart" uri="{CE6537A1-D6FC-4f65-9D91-7224C49458BB}">
                  <c15:layout>
                    <c:manualLayout>
                      <c:w val="0.36596339598964267"/>
                      <c:h val="0.14373593760143941"/>
                    </c:manualLayout>
                  </c15:layout>
                </c:ext>
              </c:extLst>
            </c:dLbl>
            <c:dLbl>
              <c:idx val="5"/>
              <c:layout>
                <c:manualLayout>
                  <c:x val="0.18264840182648487"/>
                  <c:y val="-2.2363881831065038E-2"/>
                </c:manualLayout>
              </c:layout>
              <c:showVal val="1"/>
              <c:showCatName val="1"/>
              <c:separator>
</c:separator>
              <c:extLst>
                <c:ext xmlns:c15="http://schemas.microsoft.com/office/drawing/2012/chart" uri="{CE6537A1-D6FC-4f65-9D91-7224C49458BB}">
                  <c15:layout>
                    <c:manualLayout>
                      <c:w val="0.30821917808219179"/>
                      <c:h val="0.12673056443024494"/>
                    </c:manualLayout>
                  </c15:layout>
                </c:ext>
              </c:extLst>
            </c:dLbl>
            <c:dLbl>
              <c:idx val="6"/>
              <c:layout>
                <c:manualLayout>
                  <c:x val="0.39212490561967728"/>
                  <c:y val="-5.8261008108810818E-2"/>
                </c:manualLayout>
              </c:layout>
              <c:showVal val="1"/>
              <c:showCatName val="1"/>
              <c:separator>
</c:separator>
              <c:extLst>
                <c:ext xmlns:c15="http://schemas.microsoft.com/office/drawing/2012/chart" uri="{CE6537A1-D6FC-4f65-9D91-7224C49458BB}">
                  <c15:layout>
                    <c:manualLayout>
                      <c:w val="0.3160730593607306"/>
                      <c:h val="0.12992545260915869"/>
                    </c:manualLayout>
                  </c15:layout>
                </c:ext>
              </c:extLst>
            </c:dLbl>
            <c:dLbl>
              <c:idx val="7"/>
              <c:layout>
                <c:manualLayout>
                  <c:x val="4.7029266889584011E-2"/>
                  <c:y val="5.1761548975707096E-2"/>
                </c:manualLayout>
              </c:layout>
              <c:showVal val="1"/>
              <c:showCatName val="1"/>
              <c:separator>
</c:separator>
              <c:extLst>
                <c:ext xmlns:c15="http://schemas.microsoft.com/office/drawing/2012/chart" uri="{CE6537A1-D6FC-4f65-9D91-7224C49458BB}">
                  <c15:layout>
                    <c:manualLayout>
                      <c:w val="0.15529680365296802"/>
                      <c:h val="0.11075612353567625"/>
                    </c:manualLayout>
                  </c15:layout>
                </c:ext>
              </c:extLst>
            </c:dLbl>
            <c:spPr>
              <a:noFill/>
              <a:ln>
                <a:noFill/>
              </a:ln>
              <a:effectLst/>
            </c:spPr>
            <c:txPr>
              <a:bodyPr/>
              <a:lstStyle/>
              <a:p>
                <a:pPr>
                  <a:defRPr sz="1000">
                    <a:latin typeface="Times New Roman" pitchFamily="18" charset="0"/>
                    <a:cs typeface="Times New Roman" pitchFamily="18" charset="0"/>
                  </a:defRPr>
                </a:pPr>
                <a:endParaRPr lang="lv-LV"/>
              </a:p>
            </c:txPr>
            <c:showVal val="1"/>
            <c:showCatName val="1"/>
            <c:separator>
</c:separator>
            <c:showLeaderLines val="1"/>
            <c:extLst>
              <c:ext xmlns:c15="http://schemas.microsoft.com/office/drawing/2012/chart" uri="{CE6537A1-D6FC-4f65-9D91-7224C49458BB}"/>
            </c:extLst>
          </c:dLbls>
          <c:cat>
            <c:strRef>
              <c:f>Sheet1!$A$2:$A$9</c:f>
              <c:strCache>
                <c:ptCount val="8"/>
                <c:pt idx="0">
                  <c:v>Krievija</c:v>
                </c:pt>
                <c:pt idx="1">
                  <c:v>Ķīna</c:v>
                </c:pt>
                <c:pt idx="2">
                  <c:v>Ukraina</c:v>
                </c:pt>
                <c:pt idx="3">
                  <c:v>Kazahstāna</c:v>
                </c:pt>
                <c:pt idx="4">
                  <c:v>Uzbekistāna</c:v>
                </c:pt>
                <c:pt idx="5">
                  <c:v>Azerbaidžāna</c:v>
                </c:pt>
                <c:pt idx="6">
                  <c:v>Baltkrievija</c:v>
                </c:pt>
                <c:pt idx="7">
                  <c:v>Citi</c:v>
                </c:pt>
              </c:strCache>
            </c:strRef>
          </c:cat>
          <c:val>
            <c:numRef>
              <c:f>Sheet1!$B$2:$B$9</c:f>
              <c:numCache>
                <c:formatCode>General</c:formatCode>
                <c:ptCount val="8"/>
                <c:pt idx="0">
                  <c:v>4102</c:v>
                </c:pt>
                <c:pt idx="1">
                  <c:v>540</c:v>
                </c:pt>
                <c:pt idx="2">
                  <c:v>340</c:v>
                </c:pt>
                <c:pt idx="3">
                  <c:v>171</c:v>
                </c:pt>
                <c:pt idx="4">
                  <c:v>161</c:v>
                </c:pt>
                <c:pt idx="5">
                  <c:v>91</c:v>
                </c:pt>
                <c:pt idx="6">
                  <c:v>87</c:v>
                </c:pt>
                <c:pt idx="7">
                  <c:v>226</c:v>
                </c:pt>
              </c:numCache>
            </c:numRef>
          </c:val>
        </c:ser>
        <c:firstSliceAng val="0"/>
      </c:pieChart>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9.7354822834645707E-2"/>
          <c:y val="5.4187037037040857E-2"/>
          <c:w val="0.8789631193571017"/>
          <c:h val="0.85253828370790818"/>
        </c:manualLayout>
      </c:layout>
      <c:barChart>
        <c:barDir val="col"/>
        <c:grouping val="clustered"/>
        <c:ser>
          <c:idx val="9"/>
          <c:order val="0"/>
          <c:tx>
            <c:strRef>
              <c:f>Sheet1!$A$2</c:f>
              <c:strCache>
                <c:ptCount val="1"/>
                <c:pt idx="0">
                  <c:v>TUA pieteikumu skaits</c:v>
                </c:pt>
              </c:strCache>
            </c:strRef>
          </c:tx>
          <c:spPr>
            <a:solidFill>
              <a:srgbClr val="C00000"/>
            </a:solidFill>
            <a:ln w="2983">
              <a:noFill/>
              <a:prstDash val="solid"/>
            </a:ln>
          </c:spPr>
          <c:cat>
            <c:strRef>
              <c:f>Sheet1!$B$1:$G$1</c:f>
              <c:strCache>
                <c:ptCount val="6"/>
                <c:pt idx="0">
                  <c:v>2010</c:v>
                </c:pt>
                <c:pt idx="1">
                  <c:v>2011</c:v>
                </c:pt>
                <c:pt idx="2">
                  <c:v>2012</c:v>
                </c:pt>
                <c:pt idx="3">
                  <c:v>2013</c:v>
                </c:pt>
                <c:pt idx="4">
                  <c:v>2014</c:v>
                </c:pt>
                <c:pt idx="5">
                  <c:v>2015*</c:v>
                </c:pt>
              </c:strCache>
            </c:strRef>
          </c:cat>
          <c:val>
            <c:numRef>
              <c:f>Sheet1!$B$2:$G$2</c:f>
              <c:numCache>
                <c:formatCode>0.0</c:formatCode>
                <c:ptCount val="6"/>
                <c:pt idx="0">
                  <c:v>7.9000000000000195E-2</c:v>
                </c:pt>
                <c:pt idx="1">
                  <c:v>0.66900000000000204</c:v>
                </c:pt>
                <c:pt idx="2">
                  <c:v>1.014</c:v>
                </c:pt>
                <c:pt idx="3">
                  <c:v>1.556</c:v>
                </c:pt>
                <c:pt idx="4">
                  <c:v>2.25</c:v>
                </c:pt>
                <c:pt idx="5">
                  <c:v>0.15100000000000038</c:v>
                </c:pt>
              </c:numCache>
            </c:numRef>
          </c:val>
        </c:ser>
        <c:ser>
          <c:idx val="1"/>
          <c:order val="2"/>
          <c:tx>
            <c:strRef>
              <c:f>Sheet1!$A$4</c:f>
              <c:strCache>
                <c:ptCount val="1"/>
                <c:pt idx="0">
                  <c:v>Visu Zemesgrāmatā reģistrēto pirkuma līgumu skaits</c:v>
                </c:pt>
              </c:strCache>
            </c:strRef>
          </c:tx>
          <c:spPr>
            <a:solidFill>
              <a:srgbClr val="4F81BD"/>
            </a:solidFill>
            <a:ln>
              <a:noFill/>
            </a:ln>
          </c:spPr>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Sheet1!$B$1:$G$1</c:f>
              <c:strCache>
                <c:ptCount val="6"/>
                <c:pt idx="0">
                  <c:v>2010</c:v>
                </c:pt>
                <c:pt idx="1">
                  <c:v>2011</c:v>
                </c:pt>
                <c:pt idx="2">
                  <c:v>2012</c:v>
                </c:pt>
                <c:pt idx="3">
                  <c:v>2013</c:v>
                </c:pt>
                <c:pt idx="4">
                  <c:v>2014</c:v>
                </c:pt>
                <c:pt idx="5">
                  <c:v>2015*</c:v>
                </c:pt>
              </c:strCache>
            </c:strRef>
          </c:cat>
          <c:val>
            <c:numRef>
              <c:f>Sheet1!$B$4:$G$4</c:f>
              <c:numCache>
                <c:formatCode>0.0</c:formatCode>
                <c:ptCount val="6"/>
                <c:pt idx="0">
                  <c:v>35.535000000000011</c:v>
                </c:pt>
                <c:pt idx="1">
                  <c:v>40.472000000000001</c:v>
                </c:pt>
                <c:pt idx="2">
                  <c:v>42.7620000000001</c:v>
                </c:pt>
                <c:pt idx="3">
                  <c:v>47.77</c:v>
                </c:pt>
                <c:pt idx="4">
                  <c:v>48.293000000000013</c:v>
                </c:pt>
                <c:pt idx="5" formatCode="0">
                  <c:v>28.404</c:v>
                </c:pt>
              </c:numCache>
            </c:numRef>
          </c:val>
        </c:ser>
        <c:gapWidth val="40"/>
        <c:overlap val="-4"/>
        <c:axId val="175136128"/>
        <c:axId val="175150208"/>
      </c:barChart>
      <c:lineChart>
        <c:grouping val="standard"/>
        <c:ser>
          <c:idx val="0"/>
          <c:order val="1"/>
          <c:tx>
            <c:strRef>
              <c:f>Sheet1!$A$3</c:f>
              <c:strCache>
                <c:ptCount val="1"/>
                <c:pt idx="0">
                  <c:v>TUA investīciju summa</c:v>
                </c:pt>
              </c:strCache>
            </c:strRef>
          </c:tx>
          <c:marker>
            <c:symbol val="none"/>
          </c:marker>
          <c:cat>
            <c:strRef>
              <c:f>Sheet1!$B$1:$G$1</c:f>
              <c:strCache>
                <c:ptCount val="6"/>
                <c:pt idx="0">
                  <c:v>2010</c:v>
                </c:pt>
                <c:pt idx="1">
                  <c:v>2011</c:v>
                </c:pt>
                <c:pt idx="2">
                  <c:v>2012</c:v>
                </c:pt>
                <c:pt idx="3">
                  <c:v>2013</c:v>
                </c:pt>
                <c:pt idx="4">
                  <c:v>2014</c:v>
                </c:pt>
                <c:pt idx="5">
                  <c:v>2015*</c:v>
                </c:pt>
              </c:strCache>
            </c:strRef>
          </c:cat>
          <c:val>
            <c:numRef>
              <c:f>Sheet1!$B$3:$G$3</c:f>
              <c:numCache>
                <c:formatCode>0.0</c:formatCode>
                <c:ptCount val="6"/>
                <c:pt idx="0">
                  <c:v>15.843266</c:v>
                </c:pt>
                <c:pt idx="1">
                  <c:v>138.60153099999999</c:v>
                </c:pt>
                <c:pt idx="2">
                  <c:v>208.04118600000001</c:v>
                </c:pt>
                <c:pt idx="3">
                  <c:v>296.96611299999847</c:v>
                </c:pt>
                <c:pt idx="4">
                  <c:v>397</c:v>
                </c:pt>
                <c:pt idx="5" formatCode="0">
                  <c:v>47</c:v>
                </c:pt>
              </c:numCache>
            </c:numRef>
          </c:val>
        </c:ser>
        <c:ser>
          <c:idx val="2"/>
          <c:order val="3"/>
          <c:tx>
            <c:strRef>
              <c:f>Sheet1!$A$5</c:f>
              <c:strCache>
                <c:ptCount val="1"/>
                <c:pt idx="0">
                  <c:v>Visu Latvijā veikto darījumu summa</c:v>
                </c:pt>
              </c:strCache>
            </c:strRef>
          </c:tx>
          <c:spPr>
            <a:ln>
              <a:solidFill>
                <a:srgbClr val="9BBB59">
                  <a:lumMod val="50000"/>
                </a:srgbClr>
              </a:solidFill>
            </a:ln>
          </c:spPr>
          <c:marker>
            <c:symbol val="none"/>
          </c:marker>
          <c:dLbls>
            <c:dLbl>
              <c:idx val="3"/>
              <c:layout>
                <c:manualLayout>
                  <c:x val="-6.9867841409691933E-2"/>
                  <c:y val="9.1611479028697526E-2"/>
                </c:manualLayout>
              </c:layout>
              <c:dLblPos val="r"/>
              <c:showVal val="1"/>
              <c:extLst>
                <c:ext xmlns:c15="http://schemas.microsoft.com/office/drawing/2012/chart" uri="{CE6537A1-D6FC-4f65-9D91-7224C49458BB}">
                  <c15:layout/>
                </c:ext>
              </c:extLst>
            </c:dLbl>
            <c:dLbl>
              <c:idx val="4"/>
              <c:layout>
                <c:manualLayout>
                  <c:x val="-8.2261380323054328E-2"/>
                  <c:y val="5.6291390728476817E-2"/>
                </c:manualLayout>
              </c:layout>
              <c:dLblPos val="r"/>
              <c:showVal val="1"/>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b"/>
            <c:showVal val="1"/>
            <c:extLst>
              <c:ext xmlns:c15="http://schemas.microsoft.com/office/drawing/2012/chart" uri="{CE6537A1-D6FC-4f65-9D91-7224C49458BB}">
                <c15:layout/>
                <c15:showLeaderLines val="0"/>
              </c:ext>
            </c:extLst>
          </c:dLbls>
          <c:cat>
            <c:strRef>
              <c:f>Sheet1!$B$1:$G$1</c:f>
              <c:strCache>
                <c:ptCount val="6"/>
                <c:pt idx="0">
                  <c:v>2010</c:v>
                </c:pt>
                <c:pt idx="1">
                  <c:v>2011</c:v>
                </c:pt>
                <c:pt idx="2">
                  <c:v>2012</c:v>
                </c:pt>
                <c:pt idx="3">
                  <c:v>2013</c:v>
                </c:pt>
                <c:pt idx="4">
                  <c:v>2014</c:v>
                </c:pt>
                <c:pt idx="5">
                  <c:v>2015*</c:v>
                </c:pt>
              </c:strCache>
            </c:strRef>
          </c:cat>
          <c:val>
            <c:numRef>
              <c:f>Sheet1!$B$5:$G$5</c:f>
              <c:numCache>
                <c:formatCode>0.0</c:formatCode>
                <c:ptCount val="6"/>
                <c:pt idx="0">
                  <c:v>732.90053813011889</c:v>
                </c:pt>
                <c:pt idx="1">
                  <c:v>1024.9143320185958</c:v>
                </c:pt>
                <c:pt idx="2">
                  <c:v>1160.2558563980861</c:v>
                </c:pt>
                <c:pt idx="3">
                  <c:v>1495.0809670975123</c:v>
                </c:pt>
                <c:pt idx="4">
                  <c:v>1651.1299999999999</c:v>
                </c:pt>
                <c:pt idx="5" formatCode="0">
                  <c:v>586.35999999999831</c:v>
                </c:pt>
              </c:numCache>
            </c:numRef>
          </c:val>
        </c:ser>
        <c:marker val="1"/>
        <c:axId val="175151744"/>
        <c:axId val="175153536"/>
      </c:lineChart>
      <c:catAx>
        <c:axId val="175136128"/>
        <c:scaling>
          <c:orientation val="minMax"/>
        </c:scaling>
        <c:axPos val="b"/>
        <c:numFmt formatCode="General" sourceLinked="1"/>
        <c:tickLblPos val="low"/>
        <c:spPr>
          <a:ln w="2983">
            <a:solidFill>
              <a:sysClr val="window" lastClr="FFFFFF">
                <a:lumMod val="50000"/>
              </a:sysClr>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lv-LV"/>
          </a:p>
        </c:txPr>
        <c:crossAx val="175150208"/>
        <c:crosses val="autoZero"/>
        <c:lblAlgn val="ctr"/>
        <c:lblOffset val="100"/>
      </c:catAx>
      <c:valAx>
        <c:axId val="175150208"/>
        <c:scaling>
          <c:orientation val="minMax"/>
          <c:max val="60"/>
          <c:min val="0"/>
        </c:scaling>
        <c:axPos val="l"/>
        <c:numFmt formatCode="0" sourceLinked="0"/>
        <c:tickLblPos val="nextTo"/>
        <c:spPr>
          <a:ln w="2983">
            <a:solidFill>
              <a:sysClr val="window" lastClr="FFFFFF">
                <a:lumMod val="50000"/>
              </a:sysClr>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lv-LV"/>
          </a:p>
        </c:txPr>
        <c:crossAx val="175136128"/>
        <c:crosses val="autoZero"/>
        <c:crossBetween val="between"/>
        <c:majorUnit val="15"/>
      </c:valAx>
      <c:catAx>
        <c:axId val="175151744"/>
        <c:scaling>
          <c:orientation val="minMax"/>
        </c:scaling>
        <c:delete val="1"/>
        <c:axPos val="b"/>
        <c:numFmt formatCode="General" sourceLinked="1"/>
        <c:tickLblPos val="none"/>
        <c:crossAx val="175153536"/>
        <c:crosses val="autoZero"/>
        <c:auto val="1"/>
        <c:lblAlgn val="ctr"/>
        <c:lblOffset val="100"/>
      </c:catAx>
      <c:valAx>
        <c:axId val="175153536"/>
        <c:scaling>
          <c:orientation val="minMax"/>
          <c:max val="2000"/>
          <c:min val="0"/>
        </c:scaling>
        <c:axPos val="r"/>
        <c:numFmt formatCode="0"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175151744"/>
        <c:crosses val="max"/>
        <c:crossBetween val="between"/>
        <c:majorUnit val="500"/>
      </c:valAx>
      <c:spPr>
        <a:noFill/>
        <a:ln w="23861">
          <a:noFill/>
        </a:ln>
      </c:spPr>
    </c:plotArea>
    <c:legend>
      <c:legendPos val="t"/>
      <c:layout>
        <c:manualLayout>
          <c:xMode val="edge"/>
          <c:yMode val="edge"/>
          <c:x val="5.6032027410186508E-2"/>
          <c:y val="7.7926088115991125E-4"/>
          <c:w val="0.57781735398258471"/>
          <c:h val="0.2505519041524768"/>
        </c:manualLayout>
      </c:layout>
      <c:overlay val="1"/>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chart>
  <c:spPr>
    <a:noFill/>
    <a:ln>
      <a:noFill/>
    </a:ln>
  </c:spPr>
  <c:txPr>
    <a:bodyPr/>
    <a:lstStyle/>
    <a:p>
      <a:pPr>
        <a:defRPr sz="1000" b="0" i="0" u="none" strike="noStrike" baseline="0">
          <a:solidFill>
            <a:srgbClr val="000000"/>
          </a:solidFill>
          <a:latin typeface="Arial" panose="020B0604020202020204" pitchFamily="34" charset="0"/>
          <a:ea typeface="Arial"/>
          <a:cs typeface="Arial" panose="020B0604020202020204" pitchFamily="34" charset="0"/>
        </a:defRPr>
      </a:pPr>
      <a:endParaRPr lang="lv-LV"/>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1.2560728566647493E-2"/>
                  <c:y val="4.4523776164990064E-2"/>
                </c:manualLayout>
              </c:layout>
              <c:showVal val="1"/>
              <c:showCatName val="1"/>
              <c:separator>
</c:separator>
              <c:extLst>
                <c:ext xmlns:c15="http://schemas.microsoft.com/office/drawing/2012/chart" uri="{CE6537A1-D6FC-4f65-9D91-7224C49458BB}">
                  <c15:layout/>
                </c:ext>
              </c:extLst>
            </c:dLbl>
            <c:dLbl>
              <c:idx val="1"/>
              <c:layout>
                <c:manualLayout>
                  <c:x val="-1.2097298246641099E-2"/>
                  <c:y val="5.6144751817527334E-3"/>
                </c:manualLayout>
              </c:layout>
              <c:spPr>
                <a:noFill/>
                <a:ln>
                  <a:noFill/>
                </a:ln>
                <a:effectLst/>
              </c:spPr>
              <c:txPr>
                <a:bodyPr vertOverflow="overflow" horzOverflow="overflow">
                  <a:noAutofit/>
                </a:bodyPr>
                <a:lstStyle/>
                <a:p>
                  <a:pPr>
                    <a:defRPr b="1">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12606060606060607"/>
                      <c:h val="0.13231552162849872"/>
                    </c:manualLayout>
                  </c15:layout>
                </c:ext>
              </c:extLst>
            </c:dLbl>
            <c:dLbl>
              <c:idx val="2"/>
              <c:layout>
                <c:manualLayout>
                  <c:x val="1.5782390837508903E-2"/>
                  <c:y val="-1.1812626475125911E-2"/>
                </c:manualLayout>
              </c:layout>
              <c:showVal val="1"/>
              <c:showCatName val="1"/>
              <c:separator>
</c:separator>
              <c:extLst>
                <c:ext xmlns:c15="http://schemas.microsoft.com/office/drawing/2012/chart" uri="{CE6537A1-D6FC-4f65-9D91-7224C49458BB}">
                  <c15:layout/>
                </c:ext>
              </c:extLst>
            </c:dLbl>
            <c:dLbl>
              <c:idx val="3"/>
              <c:layout>
                <c:manualLayout>
                  <c:x val="1.5515151515151581E-3"/>
                  <c:y val="3.2222956863216551E-2"/>
                </c:manualLayout>
              </c:layout>
              <c:showVal val="1"/>
              <c:showCatName val="1"/>
              <c:separator>
</c:separator>
              <c:extLst>
                <c:ext xmlns:c15="http://schemas.microsoft.com/office/drawing/2012/chart" uri="{CE6537A1-D6FC-4f65-9D91-7224C49458BB}">
                  <c15:layout/>
                </c:ext>
              </c:extLst>
            </c:dLbl>
            <c:dLbl>
              <c:idx val="4"/>
              <c:layout>
                <c:manualLayout>
                  <c:x val="-1.5328083989501315E-2"/>
                  <c:y val="7.318787441646131E-2"/>
                </c:manualLayout>
              </c:layout>
              <c:showVal val="1"/>
              <c:showCatName val="1"/>
              <c:separator>
</c:separator>
              <c:extLst>
                <c:ext xmlns:c15="http://schemas.microsoft.com/office/drawing/2012/chart" uri="{CE6537A1-D6FC-4f65-9D91-7224C49458BB}">
                  <c15:layout/>
                </c:ext>
              </c:extLst>
            </c:dLbl>
            <c:dLbl>
              <c:idx val="5"/>
              <c:layout>
                <c:manualLayout>
                  <c:x val="-6.3421938029558384E-3"/>
                  <c:y val="1.106359925649868E-2"/>
                </c:manualLayout>
              </c:layout>
              <c:showVal val="1"/>
              <c:showCatName val="1"/>
              <c:separator>
</c:separator>
              <c:extLst>
                <c:ext xmlns:c15="http://schemas.microsoft.com/office/drawing/2012/chart" uri="{CE6537A1-D6FC-4f65-9D91-7224C49458BB}">
                  <c15:layout/>
                </c:ext>
              </c:extLst>
            </c:dLbl>
            <c:dLbl>
              <c:idx val="6"/>
              <c:layout>
                <c:manualLayout>
                  <c:x val="0.2056141556130987"/>
                  <c:y val="3.7361877807827129E-7"/>
                </c:manualLayout>
              </c:layout>
              <c:showVal val="1"/>
              <c:showCatName val="1"/>
              <c:separator>
</c:separator>
              <c:extLst>
                <c:ext xmlns:c15="http://schemas.microsoft.com/office/drawing/2012/chart" uri="{CE6537A1-D6FC-4f65-9D91-7224C49458BB}">
                  <c15:layout>
                    <c:manualLayout>
                      <c:w val="0.36827317726223813"/>
                      <c:h val="0.17986942023706112"/>
                    </c:manualLayout>
                  </c15:layout>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Val val="1"/>
            <c:showCatName val="1"/>
            <c:separator>
</c:separator>
            <c:showLeaderLines val="1"/>
            <c:extLst>
              <c:ext xmlns:c15="http://schemas.microsoft.com/office/drawing/2012/chart" uri="{CE6537A1-D6FC-4f65-9D91-7224C49458BB}"/>
            </c:extLst>
          </c:dLbls>
          <c:cat>
            <c:strRef>
              <c:f>Sheet1!$A$2:$A$8</c:f>
              <c:strCache>
                <c:ptCount val="7"/>
                <c:pt idx="0">
                  <c:v>2015</c:v>
                </c:pt>
                <c:pt idx="1">
                  <c:v>2014</c:v>
                </c:pt>
                <c:pt idx="2">
                  <c:v>2013</c:v>
                </c:pt>
                <c:pt idx="3">
                  <c:v>2012</c:v>
                </c:pt>
                <c:pt idx="4">
                  <c:v>2011</c:v>
                </c:pt>
                <c:pt idx="5">
                  <c:v>2010</c:v>
                </c:pt>
                <c:pt idx="6">
                  <c:v>vecāki par 2010</c:v>
                </c:pt>
              </c:strCache>
            </c:strRef>
          </c:cat>
          <c:val>
            <c:numRef>
              <c:f>Sheet1!$B$2:$B$8</c:f>
              <c:numCache>
                <c:formatCode>General</c:formatCode>
                <c:ptCount val="7"/>
                <c:pt idx="0">
                  <c:v>54</c:v>
                </c:pt>
                <c:pt idx="1">
                  <c:v>104</c:v>
                </c:pt>
                <c:pt idx="2">
                  <c:v>83</c:v>
                </c:pt>
                <c:pt idx="3">
                  <c:v>52</c:v>
                </c:pt>
                <c:pt idx="4">
                  <c:v>23</c:v>
                </c:pt>
                <c:pt idx="5">
                  <c:v>7</c:v>
                </c:pt>
                <c:pt idx="6">
                  <c:v>25</c:v>
                </c:pt>
              </c:numCache>
            </c:numRef>
          </c:val>
        </c:ser>
        <c:firstSliceAng val="0"/>
      </c:pieChart>
    </c:plotArea>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skaits</c:v>
                </c:pt>
              </c:strCache>
            </c:strRef>
          </c:tx>
          <c:dLbls>
            <c:dLbl>
              <c:idx val="0"/>
              <c:layout>
                <c:manualLayout>
                  <c:x val="-9.0467156951915609E-2"/>
                  <c:y val="0"/>
                </c:manualLayout>
              </c:layout>
              <c:dLblPos val="bestFit"/>
              <c:showCatName val="1"/>
              <c:showPercent val="1"/>
              <c:extLst>
                <c:ext xmlns:c15="http://schemas.microsoft.com/office/drawing/2012/chart" uri="{CE6537A1-D6FC-4f65-9D91-7224C49458BB}">
                  <c15:layout>
                    <c:manualLayout>
                      <c:w val="0.55261498352974336"/>
                      <c:h val="0.15236465684004036"/>
                    </c:manualLayout>
                  </c15:layout>
                </c:ext>
              </c:extLst>
            </c:dLbl>
            <c:dLbl>
              <c:idx val="1"/>
              <c:layout>
                <c:manualLayout>
                  <c:x val="-1.3410947393952821E-3"/>
                  <c:y val="7.1904385654215364E-2"/>
                </c:manualLayout>
              </c:layout>
              <c:dLblPos val="bestFit"/>
              <c:showCatName val="1"/>
              <c:showPercent val="1"/>
              <c:extLst>
                <c:ext xmlns:c15="http://schemas.microsoft.com/office/drawing/2012/chart" uri="{CE6537A1-D6FC-4f65-9D91-7224C49458BB}">
                  <c15:layout>
                    <c:manualLayout>
                      <c:w val="0.3360362169493914"/>
                      <c:h val="0.18276834772816028"/>
                    </c:manualLayout>
                  </c15:layout>
                </c:ext>
              </c:extLst>
            </c:dLbl>
            <c:dLbl>
              <c:idx val="2"/>
              <c:layout>
                <c:manualLayout>
                  <c:x val="-4.8214270245922433E-4"/>
                  <c:y val="6.3207548883379067E-2"/>
                </c:manualLayout>
              </c:layout>
              <c:dLblPos val="bestFit"/>
              <c:showCatName val="1"/>
              <c:showPercent val="1"/>
              <c:extLst>
                <c:ext xmlns:c15="http://schemas.microsoft.com/office/drawing/2012/chart" uri="{CE6537A1-D6FC-4f65-9D91-7224C49458BB}">
                  <c15:layout>
                    <c:manualLayout>
                      <c:w val="0.35906031548036688"/>
                      <c:h val="0.20184544405997693"/>
                    </c:manualLayout>
                  </c15:layout>
                </c:ext>
              </c:extLst>
            </c:dLbl>
            <c:dLbl>
              <c:idx val="3"/>
              <c:layout>
                <c:manualLayout>
                  <c:x val="-4.8196945678827919E-4"/>
                  <c:y val="8.7093516424633699E-2"/>
                </c:manualLayout>
              </c:layout>
              <c:dLblPos val="bestFit"/>
              <c:showCatName val="1"/>
              <c:showPercent val="1"/>
              <c:extLst>
                <c:ext xmlns:c15="http://schemas.microsoft.com/office/drawing/2012/chart" uri="{CE6537A1-D6FC-4f65-9D91-7224C49458BB}">
                  <c15:layout>
                    <c:manualLayout>
                      <c:w val="0.29642058165548096"/>
                      <c:h val="0.3402537485582468"/>
                    </c:manualLayout>
                  </c15:layout>
                </c:ext>
              </c:extLst>
            </c:dLbl>
            <c:dLbl>
              <c:idx val="4"/>
              <c:layout>
                <c:manualLayout>
                  <c:x val="-2.1195568375735208E-2"/>
                  <c:y val="2.5291302255038041E-2"/>
                </c:manualLayout>
              </c:layout>
              <c:dLblPos val="bestFit"/>
              <c:showCatName val="1"/>
              <c:showPercent val="1"/>
              <c:extLst>
                <c:ext xmlns:c15="http://schemas.microsoft.com/office/drawing/2012/chart" uri="{CE6537A1-D6FC-4f65-9D91-7224C49458BB}">
                  <c15:layout>
                    <c:manualLayout>
                      <c:w val="0.3652102379819972"/>
                      <c:h val="0.15517278333287923"/>
                    </c:manualLayout>
                  </c15:layout>
                </c:ext>
              </c:extLst>
            </c:dLbl>
            <c:spPr>
              <a:noFill/>
              <a:ln>
                <a:noFill/>
              </a:ln>
            </c:spPr>
            <c:txPr>
              <a:bodyPr/>
              <a:lstStyle/>
              <a:p>
                <a:pPr>
                  <a:defRPr b="1">
                    <a:latin typeface="Times New Roman" panose="02020603050405020304" pitchFamily="18" charset="0"/>
                    <a:cs typeface="Times New Roman" panose="02020603050405020304" pitchFamily="18" charset="0"/>
                  </a:defRPr>
                </a:pPr>
                <a:endParaRPr lang="lv-LV"/>
              </a:p>
            </c:txPr>
            <c:dLblPos val="bestFit"/>
            <c:showCatName val="1"/>
            <c:showPercent val="1"/>
            <c:extLst>
              <c:ext xmlns:c15="http://schemas.microsoft.com/office/drawing/2012/chart" uri="{CE6537A1-D6FC-4f65-9D91-7224C49458BB}">
                <c15:spPr xmlns:c15="http://schemas.microsoft.com/office/drawing/2012/chart">
                  <a:prstGeom prst="rect">
                    <a:avLst/>
                  </a:prstGeom>
                </c15:spPr>
                <c15:layout/>
              </c:ext>
            </c:extLst>
          </c:dLbls>
          <c:cat>
            <c:strRef>
              <c:f>Sheet1!$A$2:$A$7</c:f>
              <c:strCache>
                <c:ptCount val="6"/>
                <c:pt idx="0">
                  <c:v>Izmitināšana/ēdināšana</c:v>
                </c:pt>
                <c:pt idx="1">
                  <c:v>Operācijas ar NĪ</c:v>
                </c:pt>
                <c:pt idx="2">
                  <c:v>Tirdzniecība</c:v>
                </c:pt>
                <c:pt idx="3">
                  <c:v>Prof., zinātniskie un tehniskie pakalp.</c:v>
                </c:pt>
                <c:pt idx="4">
                  <c:v>Citas nozares</c:v>
                </c:pt>
                <c:pt idx="5">
                  <c:v>Bez koda</c:v>
                </c:pt>
              </c:strCache>
            </c:strRef>
          </c:cat>
          <c:val>
            <c:numRef>
              <c:f>Sheet1!$B$2:$B$7</c:f>
              <c:numCache>
                <c:formatCode>General</c:formatCode>
                <c:ptCount val="6"/>
                <c:pt idx="0">
                  <c:v>22</c:v>
                </c:pt>
                <c:pt idx="1">
                  <c:v>36</c:v>
                </c:pt>
                <c:pt idx="2">
                  <c:v>33</c:v>
                </c:pt>
                <c:pt idx="3">
                  <c:v>14</c:v>
                </c:pt>
                <c:pt idx="4">
                  <c:v>50</c:v>
                </c:pt>
                <c:pt idx="5">
                  <c:v>193</c:v>
                </c:pt>
              </c:numCache>
            </c:numRef>
          </c:val>
        </c:ser>
        <c:firstSliceAng val="0"/>
      </c:pieChart>
      <c:spPr>
        <a:ln>
          <a:noFill/>
        </a:ln>
      </c:spPr>
    </c:plotArea>
    <c:plotVisOnly val="1"/>
    <c:dispBlanksAs val="zero"/>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Column1</c:v>
                </c:pt>
              </c:strCache>
            </c:strRef>
          </c:tx>
          <c:dLbls>
            <c:dLbl>
              <c:idx val="2"/>
              <c:layout>
                <c:manualLayout>
                  <c:x val="0.30153778146152777"/>
                  <c:y val="0"/>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2760233918128655"/>
                      <c:h val="0.14335664335664336"/>
                    </c:manualLayout>
                  </c15:layout>
                </c:ext>
              </c:extLst>
            </c:dLbl>
            <c:dLbl>
              <c:idx val="3"/>
              <c:layout>
                <c:manualLayout>
                  <c:x val="5.146198830409357E-2"/>
                  <c:y val="5.0906154213240913E-2"/>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40116959064327484"/>
                      <c:h val="0.12937062937062938"/>
                    </c:manualLayout>
                  </c15:layout>
                </c:ext>
              </c:extLst>
            </c:dLbl>
            <c:dLbl>
              <c:idx val="4"/>
              <c:layout>
                <c:manualLayout>
                  <c:x val="0"/>
                  <c:y val="-2.8617917515555386E-2"/>
                </c:manualLayout>
              </c:layout>
              <c:showVal val="1"/>
              <c:showCatName val="1"/>
              <c:separator>
</c:separator>
              <c:extLst>
                <c:ext xmlns:c15="http://schemas.microsoft.com/office/drawing/2012/chart" uri="{CE6537A1-D6FC-4f65-9D91-7224C49458BB}">
                  <c15:layout>
                    <c:manualLayout>
                      <c:w val="0.29356725146198831"/>
                      <c:h val="0.1713286713286713"/>
                    </c:manualLayout>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showLeaderLines val="1"/>
            <c:extLst>
              <c:ext xmlns:c15="http://schemas.microsoft.com/office/drawing/2012/chart" uri="{CE6537A1-D6FC-4f65-9D91-7224C49458BB}">
                <c15:layout/>
              </c:ext>
            </c:extLst>
          </c:dLbls>
          <c:cat>
            <c:strRef>
              <c:f>Sheet1!$A$2:$A$7</c:f>
              <c:strCache>
                <c:ptCount val="6"/>
                <c:pt idx="0">
                  <c:v>Krievija</c:v>
                </c:pt>
                <c:pt idx="1">
                  <c:v>Ukraina</c:v>
                </c:pt>
                <c:pt idx="2">
                  <c:v>Kazahstāna</c:v>
                </c:pt>
                <c:pt idx="3">
                  <c:v>Uzbekistāna</c:v>
                </c:pt>
                <c:pt idx="4">
                  <c:v>Baltkrievija</c:v>
                </c:pt>
                <c:pt idx="5">
                  <c:v>Citi </c:v>
                </c:pt>
              </c:strCache>
            </c:strRef>
          </c:cat>
          <c:val>
            <c:numRef>
              <c:f>Sheet1!$B$2:$B$7</c:f>
              <c:numCache>
                <c:formatCode>General</c:formatCode>
                <c:ptCount val="6"/>
                <c:pt idx="0">
                  <c:v>270</c:v>
                </c:pt>
                <c:pt idx="1">
                  <c:v>91</c:v>
                </c:pt>
                <c:pt idx="2">
                  <c:v>36</c:v>
                </c:pt>
                <c:pt idx="3">
                  <c:v>28</c:v>
                </c:pt>
                <c:pt idx="4">
                  <c:v>16</c:v>
                </c:pt>
                <c:pt idx="5">
                  <c:v>241</c:v>
                </c:pt>
              </c:numCache>
            </c:numRef>
          </c:val>
        </c:ser>
        <c:firstSliceAng val="0"/>
      </c:pieChart>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20301125910663084"/>
          <c:y val="0.13194444444444525"/>
          <c:w val="0.69366562824506761"/>
          <c:h val="0.77314814814815014"/>
        </c:manualLayout>
      </c:layout>
      <c:pieChart>
        <c:varyColors val="1"/>
        <c:ser>
          <c:idx val="0"/>
          <c:order val="0"/>
          <c:tx>
            <c:strRef>
              <c:f>Sheet1!$B$1</c:f>
              <c:strCache>
                <c:ptCount val="1"/>
                <c:pt idx="0">
                  <c:v>Sales</c:v>
                </c:pt>
              </c:strCache>
            </c:strRef>
          </c:tx>
          <c:dLbls>
            <c:dLbl>
              <c:idx val="4"/>
              <c:layout>
                <c:manualLayout>
                  <c:x val="-5.8490636305597116E-2"/>
                  <c:y val="-2.2398605283828591E-2"/>
                </c:manualLayout>
              </c:layout>
              <c:showVal val="1"/>
              <c:showCatName val="1"/>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c:ext xmlns:c15="http://schemas.microsoft.com/office/drawing/2012/chart" uri="{CE6537A1-D6FC-4f65-9D91-7224C49458BB}">
                <c15:layout/>
              </c:ext>
            </c:extLst>
          </c:dLbls>
          <c:cat>
            <c:strRef>
              <c:f>Sheet1!$A$2:$A$8</c:f>
              <c:strCache>
                <c:ptCount val="7"/>
                <c:pt idx="0">
                  <c:v>Rietumu banka</c:v>
                </c:pt>
                <c:pt idx="1">
                  <c:v>ABLV Bank</c:v>
                </c:pt>
                <c:pt idx="2">
                  <c:v>BIB</c:v>
                </c:pt>
                <c:pt idx="3">
                  <c:v>Trasta komerc-banka</c:v>
                </c:pt>
                <c:pt idx="4">
                  <c:v>Norvik banka</c:v>
                </c:pt>
                <c:pt idx="5">
                  <c:v>Privat-bank</c:v>
                </c:pt>
                <c:pt idx="6">
                  <c:v>Citas</c:v>
                </c:pt>
              </c:strCache>
            </c:strRef>
          </c:cat>
          <c:val>
            <c:numRef>
              <c:f>Sheet1!$B$2:$B$8</c:f>
              <c:numCache>
                <c:formatCode>General</c:formatCode>
                <c:ptCount val="7"/>
                <c:pt idx="0">
                  <c:v>239</c:v>
                </c:pt>
                <c:pt idx="1">
                  <c:v>67</c:v>
                </c:pt>
                <c:pt idx="2">
                  <c:v>39</c:v>
                </c:pt>
                <c:pt idx="3">
                  <c:v>25</c:v>
                </c:pt>
                <c:pt idx="4">
                  <c:v>22</c:v>
                </c:pt>
                <c:pt idx="5">
                  <c:v>22</c:v>
                </c:pt>
                <c:pt idx="6">
                  <c:v>34</c:v>
                </c:pt>
              </c:numCache>
            </c:numRef>
          </c:val>
        </c:ser>
        <c:firstSliceAng val="0"/>
      </c:pieChart>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9.9230161285601562E-4"/>
                  <c:y val="1.4749262536873156E-3"/>
                </c:manualLayout>
              </c:layout>
              <c:showVal val="1"/>
              <c:showCatName val="1"/>
              <c:extLst>
                <c:ext xmlns:c15="http://schemas.microsoft.com/office/drawing/2012/chart" uri="{CE6537A1-D6FC-4f65-9D91-7224C49458BB}">
                  <c15:layout/>
                </c:ext>
              </c:extLst>
            </c:dLbl>
            <c:dLbl>
              <c:idx val="1"/>
              <c:layout>
                <c:manualLayout>
                  <c:x val="-1.2097298246641099E-2"/>
                  <c:y val="5.6144751817527334E-3"/>
                </c:manualLayout>
              </c:layout>
              <c:showVal val="1"/>
              <c:showCatName val="1"/>
              <c:extLst>
                <c:ext xmlns:c15="http://schemas.microsoft.com/office/drawing/2012/chart" uri="{CE6537A1-D6FC-4f65-9D91-7224C49458BB}">
                  <c15:layout/>
                </c:ext>
              </c:extLst>
            </c:dLbl>
            <c:dLbl>
              <c:idx val="2"/>
              <c:layout>
                <c:manualLayout>
                  <c:x val="4.4873303476470644E-2"/>
                  <c:y val="-2.7079646017699521E-2"/>
                </c:manualLayout>
              </c:layout>
              <c:showVal val="1"/>
              <c:showCatName val="1"/>
              <c:extLst>
                <c:ext xmlns:c15="http://schemas.microsoft.com/office/drawing/2012/chart" uri="{CE6537A1-D6FC-4f65-9D91-7224C49458BB}">
                  <c15:layout/>
                </c:ext>
              </c:extLst>
            </c:dLbl>
            <c:dLbl>
              <c:idx val="3"/>
              <c:layout>
                <c:manualLayout>
                  <c:x val="-3.0173991887378005E-2"/>
                  <c:y val="-1.287715141801977E-2"/>
                </c:manualLayout>
              </c:layout>
              <c:showVal val="1"/>
              <c:showCatName val="1"/>
              <c:extLst>
                <c:ext xmlns:c15="http://schemas.microsoft.com/office/drawing/2012/chart" uri="{CE6537A1-D6FC-4f65-9D91-7224C49458BB}">
                  <c15:layout/>
                </c:ext>
              </c:extLst>
            </c:dLbl>
            <c:dLbl>
              <c:idx val="5"/>
              <c:layout>
                <c:manualLayout>
                  <c:x val="-2.4954873205905032E-2"/>
                  <c:y val="7.9646017699115113E-2"/>
                </c:manualLayout>
              </c:layout>
              <c:showVal val="1"/>
              <c:showCatName val="1"/>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c:ext xmlns:c15="http://schemas.microsoft.com/office/drawing/2012/chart" uri="{CE6537A1-D6FC-4f65-9D91-7224C49458BB}">
                <c15:layout/>
              </c:ext>
            </c:extLst>
          </c:dLbls>
          <c:cat>
            <c:strRef>
              <c:f>Sheet1!$A$2:$A$8</c:f>
              <c:strCache>
                <c:ptCount val="7"/>
                <c:pt idx="0">
                  <c:v>2015</c:v>
                </c:pt>
                <c:pt idx="1">
                  <c:v>2014</c:v>
                </c:pt>
                <c:pt idx="2">
                  <c:v>2013</c:v>
                </c:pt>
                <c:pt idx="3">
                  <c:v>2012</c:v>
                </c:pt>
                <c:pt idx="4">
                  <c:v>2011</c:v>
                </c:pt>
                <c:pt idx="5">
                  <c:v>2010</c:v>
                </c:pt>
                <c:pt idx="6">
                  <c:v>vecāki par 2010</c:v>
                </c:pt>
              </c:strCache>
            </c:strRef>
          </c:cat>
          <c:val>
            <c:numRef>
              <c:f>Sheet1!$B$2:$B$8</c:f>
              <c:numCache>
                <c:formatCode>General</c:formatCode>
                <c:ptCount val="7"/>
                <c:pt idx="0">
                  <c:v>8</c:v>
                </c:pt>
                <c:pt idx="1">
                  <c:v>7</c:v>
                </c:pt>
                <c:pt idx="2">
                  <c:v>6</c:v>
                </c:pt>
                <c:pt idx="3">
                  <c:v>1</c:v>
                </c:pt>
                <c:pt idx="4">
                  <c:v>4</c:v>
                </c:pt>
                <c:pt idx="5">
                  <c:v>2</c:v>
                </c:pt>
                <c:pt idx="6">
                  <c:v>6</c:v>
                </c:pt>
              </c:numCache>
            </c:numRef>
          </c:val>
        </c:ser>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Ieguldījumi pamatkapitālā</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2014.I.</c:v>
                </c:pt>
                <c:pt idx="1">
                  <c:v>2014.II.</c:v>
                </c:pt>
                <c:pt idx="2">
                  <c:v>2014.III.</c:v>
                </c:pt>
                <c:pt idx="3">
                  <c:v>2014.IV.</c:v>
                </c:pt>
                <c:pt idx="4">
                  <c:v>2015.I.</c:v>
                </c:pt>
                <c:pt idx="5">
                  <c:v>2015.II.</c:v>
                </c:pt>
              </c:strCache>
            </c:strRef>
          </c:cat>
          <c:val>
            <c:numRef>
              <c:f>Sheet1!$B$2:$B$7</c:f>
              <c:numCache>
                <c:formatCode>#,##0</c:formatCode>
                <c:ptCount val="6"/>
                <c:pt idx="0">
                  <c:v>3364</c:v>
                </c:pt>
                <c:pt idx="1">
                  <c:v>2361</c:v>
                </c:pt>
                <c:pt idx="2">
                  <c:v>1675</c:v>
                </c:pt>
                <c:pt idx="3">
                  <c:v>10058</c:v>
                </c:pt>
                <c:pt idx="4">
                  <c:v>677</c:v>
                </c:pt>
                <c:pt idx="5">
                  <c:v>4206</c:v>
                </c:pt>
              </c:numCache>
            </c:numRef>
          </c:val>
        </c:ser>
        <c:axId val="162108544"/>
        <c:axId val="162110080"/>
      </c:barChart>
      <c:catAx>
        <c:axId val="162108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2110080"/>
        <c:crosses val="autoZero"/>
        <c:auto val="1"/>
        <c:lblAlgn val="ctr"/>
        <c:lblOffset val="100"/>
      </c:catAx>
      <c:valAx>
        <c:axId val="1621100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2108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lv-LV"/>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skaits</c:v>
                </c:pt>
              </c:strCache>
            </c:strRef>
          </c:tx>
          <c:dLbls>
            <c:dLbl>
              <c:idx val="0"/>
              <c:layout>
                <c:manualLayout>
                  <c:x val="-1.0439953747040361E-3"/>
                  <c:y val="0"/>
                </c:manualLayout>
              </c:layout>
              <c:showCatName val="1"/>
              <c:showPercent val="1"/>
              <c:extLst>
                <c:ext xmlns:c15="http://schemas.microsoft.com/office/drawing/2012/chart" uri="{CE6537A1-D6FC-4f65-9D91-7224C49458BB}">
                  <c15:layout/>
                </c:ext>
              </c:extLst>
            </c:dLbl>
            <c:dLbl>
              <c:idx val="1"/>
              <c:layout>
                <c:manualLayout>
                  <c:x val="-3.5744727713231658E-2"/>
                  <c:y val="-9.1347873551204228E-3"/>
                </c:manualLayout>
              </c:layout>
              <c:showCatName val="1"/>
              <c:showPercent val="1"/>
              <c:extLst>
                <c:ext xmlns:c15="http://schemas.microsoft.com/office/drawing/2012/chart" uri="{CE6537A1-D6FC-4f65-9D91-7224C49458BB}">
                  <c15:layout>
                    <c:manualLayout>
                      <c:w val="0.26173191637758569"/>
                      <c:h val="0.40707964601769914"/>
                    </c:manualLayout>
                  </c15:layout>
                </c:ext>
              </c:extLst>
            </c:dLbl>
            <c:dLbl>
              <c:idx val="2"/>
              <c:layout>
                <c:manualLayout>
                  <c:x val="0"/>
                  <c:y val="-8.259587020649016E-2"/>
                </c:manualLayout>
              </c:layout>
              <c:showCatName val="1"/>
              <c:showPercent val="1"/>
              <c:extLst>
                <c:ext xmlns:c15="http://schemas.microsoft.com/office/drawing/2012/chart" uri="{CE6537A1-D6FC-4f65-9D91-7224C49458BB}">
                  <c15:layout>
                    <c:manualLayout>
                      <c:w val="0.31293247434979721"/>
                      <c:h val="0.22123893805309738"/>
                    </c:manualLayout>
                  </c15:layout>
                </c:ext>
              </c:extLst>
            </c:dLbl>
            <c:dLbl>
              <c:idx val="3"/>
              <c:layout>
                <c:manualLayout>
                  <c:x val="4.4175981498816123E-2"/>
                  <c:y val="-3.746080412514815E-3"/>
                </c:manualLayout>
              </c:layout>
              <c:showCatName val="1"/>
              <c:showPercent val="1"/>
              <c:extLst>
                <c:ext xmlns:c15="http://schemas.microsoft.com/office/drawing/2012/chart" uri="{CE6537A1-D6FC-4f65-9D91-7224C49458BB}">
                  <c15:layout>
                    <c:manualLayout>
                      <c:w val="0.29421911421911423"/>
                      <c:h val="0.16224188790560473"/>
                    </c:manualLayout>
                  </c15:layout>
                </c:ext>
              </c:extLst>
            </c:dLbl>
            <c:dLbl>
              <c:idx val="4"/>
              <c:layout>
                <c:manualLayout>
                  <c:x val="-8.7192151680340613E-2"/>
                  <c:y val="-3.7460804125149269E-3"/>
                </c:manualLayout>
              </c:layout>
              <c:showCatName val="1"/>
              <c:showPercent val="1"/>
              <c:extLst>
                <c:ext xmlns:c15="http://schemas.microsoft.com/office/drawing/2012/chart" uri="{CE6537A1-D6FC-4f65-9D91-7224C49458BB}">
                  <c15:layout>
                    <c:manualLayout>
                      <c:w val="0.3454545454545454"/>
                      <c:h val="0.22713864306784662"/>
                    </c:manualLayout>
                  </c15:layout>
                </c:ext>
              </c:extLst>
            </c:dLbl>
            <c:dLbl>
              <c:idx val="5"/>
              <c:layout>
                <c:manualLayout>
                  <c:x val="-2.4954873205905032E-2"/>
                  <c:y val="7.9646017699115113E-2"/>
                </c:manualLayout>
              </c:layout>
              <c:showCatName val="1"/>
              <c:showPercent val="1"/>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CatName val="1"/>
            <c:showPercent val="1"/>
            <c:showLeaderLines val="1"/>
            <c:extLst>
              <c:ext xmlns:c15="http://schemas.microsoft.com/office/drawing/2012/chart" uri="{CE6537A1-D6FC-4f65-9D91-7224C49458BB}"/>
            </c:extLst>
          </c:dLbls>
          <c:cat>
            <c:strRef>
              <c:f>Sheet1!$A$2:$A$7</c:f>
              <c:strCache>
                <c:ptCount val="6"/>
                <c:pt idx="0">
                  <c:v>Cits</c:v>
                </c:pt>
                <c:pt idx="1">
                  <c:v>Prof., zinātn. un tehn.pakalp.</c:v>
                </c:pt>
                <c:pt idx="2">
                  <c:v>Operācijas ar NĪ</c:v>
                </c:pt>
                <c:pt idx="3">
                  <c:v>Būvniecība</c:v>
                </c:pt>
                <c:pt idx="4">
                  <c:v>Apstrādes rūpniecība</c:v>
                </c:pt>
                <c:pt idx="5">
                  <c:v>Bez koda</c:v>
                </c:pt>
              </c:strCache>
            </c:strRef>
          </c:cat>
          <c:val>
            <c:numRef>
              <c:f>Sheet1!$B$2:$B$7</c:f>
              <c:numCache>
                <c:formatCode>General</c:formatCode>
                <c:ptCount val="6"/>
                <c:pt idx="0">
                  <c:v>7</c:v>
                </c:pt>
                <c:pt idx="1">
                  <c:v>3</c:v>
                </c:pt>
                <c:pt idx="2">
                  <c:v>5</c:v>
                </c:pt>
                <c:pt idx="3">
                  <c:v>2</c:v>
                </c:pt>
                <c:pt idx="4">
                  <c:v>2</c:v>
                </c:pt>
                <c:pt idx="5">
                  <c:v>15</c:v>
                </c:pt>
              </c:numCache>
            </c:numRef>
          </c:val>
        </c:ser>
        <c:firstSliceAng val="0"/>
      </c:pieChart>
    </c:plotArea>
    <c:plotVisOnly val="1"/>
    <c:dispBlanksAs val="zero"/>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Investīciju apjoms (tūkst., euro)</c:v>
                </c:pt>
              </c:strCache>
            </c:strRef>
          </c:tx>
          <c:spPr>
            <a:solidFill>
              <a:schemeClr val="accent1"/>
            </a:solidFill>
            <a:ln>
              <a:noFill/>
            </a:ln>
            <a:effectLst/>
          </c:spPr>
          <c:cat>
            <c:strRef>
              <c:f>Sheet1!$A$2:$A$7</c:f>
              <c:strCache>
                <c:ptCount val="6"/>
                <c:pt idx="0">
                  <c:v>2010.</c:v>
                </c:pt>
                <c:pt idx="1">
                  <c:v>2011.</c:v>
                </c:pt>
                <c:pt idx="2">
                  <c:v>2012.</c:v>
                </c:pt>
                <c:pt idx="3">
                  <c:v>2013.</c:v>
                </c:pt>
                <c:pt idx="4">
                  <c:v>2014.</c:v>
                </c:pt>
                <c:pt idx="5">
                  <c:v>2015.I.-VI.</c:v>
                </c:pt>
              </c:strCache>
            </c:strRef>
          </c:cat>
          <c:val>
            <c:numRef>
              <c:f>Sheet1!$B$2:$B$7</c:f>
              <c:numCache>
                <c:formatCode>#,##0</c:formatCode>
                <c:ptCount val="6"/>
                <c:pt idx="0">
                  <c:v>304.7</c:v>
                </c:pt>
                <c:pt idx="1">
                  <c:v>3641</c:v>
                </c:pt>
                <c:pt idx="2">
                  <c:v>13335</c:v>
                </c:pt>
                <c:pt idx="3">
                  <c:v>29300</c:v>
                </c:pt>
                <c:pt idx="4">
                  <c:v>18825</c:v>
                </c:pt>
                <c:pt idx="5">
                  <c:v>5421</c:v>
                </c:pt>
              </c:numCache>
            </c:numRef>
          </c:val>
        </c:ser>
        <c:gapWidth val="219"/>
        <c:axId val="178189056"/>
        <c:axId val="178190592"/>
      </c:barChart>
      <c:lineChart>
        <c:grouping val="standard"/>
        <c:ser>
          <c:idx val="1"/>
          <c:order val="1"/>
          <c:tx>
            <c:strRef>
              <c:f>Sheet1!$C$1</c:f>
              <c:strCache>
                <c:ptCount val="1"/>
                <c:pt idx="0">
                  <c:v>Izniegtie TUA*</c:v>
                </c:pt>
              </c:strCache>
            </c:strRef>
          </c:tx>
          <c:spPr>
            <a:ln w="28575" cap="rnd">
              <a:solidFill>
                <a:schemeClr val="accent2"/>
              </a:solidFill>
              <a:round/>
            </a:ln>
            <a:effectLst/>
          </c:spPr>
          <c:marker>
            <c:symbol val="none"/>
          </c:marker>
          <c:cat>
            <c:strRef>
              <c:f>Sheet1!$A$2:$A$7</c:f>
              <c:strCache>
                <c:ptCount val="6"/>
                <c:pt idx="0">
                  <c:v>2010.</c:v>
                </c:pt>
                <c:pt idx="1">
                  <c:v>2011.</c:v>
                </c:pt>
                <c:pt idx="2">
                  <c:v>2012.</c:v>
                </c:pt>
                <c:pt idx="3">
                  <c:v>2013.</c:v>
                </c:pt>
                <c:pt idx="4">
                  <c:v>2014.</c:v>
                </c:pt>
                <c:pt idx="5">
                  <c:v>2015.I.-VI.</c:v>
                </c:pt>
              </c:strCache>
            </c:strRef>
          </c:cat>
          <c:val>
            <c:numRef>
              <c:f>Sheet1!$C$2:$C$7</c:f>
              <c:numCache>
                <c:formatCode>General</c:formatCode>
                <c:ptCount val="6"/>
                <c:pt idx="0">
                  <c:v>22</c:v>
                </c:pt>
                <c:pt idx="1">
                  <c:v>171</c:v>
                </c:pt>
                <c:pt idx="2">
                  <c:v>390</c:v>
                </c:pt>
                <c:pt idx="3">
                  <c:v>821</c:v>
                </c:pt>
                <c:pt idx="4">
                  <c:v>516</c:v>
                </c:pt>
                <c:pt idx="5">
                  <c:v>108</c:v>
                </c:pt>
              </c:numCache>
            </c:numRef>
          </c:val>
        </c:ser>
        <c:ser>
          <c:idx val="2"/>
          <c:order val="2"/>
          <c:tx>
            <c:strRef>
              <c:f>Sheet1!$D$1</c:f>
              <c:strCache>
                <c:ptCount val="1"/>
                <c:pt idx="0">
                  <c:v>Pieteikumu skaits</c:v>
                </c:pt>
              </c:strCache>
            </c:strRef>
          </c:tx>
          <c:spPr>
            <a:ln w="28575" cap="rnd">
              <a:solidFill>
                <a:schemeClr val="accent3"/>
              </a:solidFill>
              <a:round/>
            </a:ln>
            <a:effectLst/>
          </c:spPr>
          <c:marker>
            <c:symbol val="none"/>
          </c:marker>
          <c:cat>
            <c:strRef>
              <c:f>Sheet1!$A$2:$A$7</c:f>
              <c:strCache>
                <c:ptCount val="6"/>
                <c:pt idx="0">
                  <c:v>2010.</c:v>
                </c:pt>
                <c:pt idx="1">
                  <c:v>2011.</c:v>
                </c:pt>
                <c:pt idx="2">
                  <c:v>2012.</c:v>
                </c:pt>
                <c:pt idx="3">
                  <c:v>2013.</c:v>
                </c:pt>
                <c:pt idx="4">
                  <c:v>2014.</c:v>
                </c:pt>
                <c:pt idx="5">
                  <c:v>2015.I.-VI.</c:v>
                </c:pt>
              </c:strCache>
            </c:strRef>
          </c:cat>
          <c:val>
            <c:numRef>
              <c:f>Sheet1!$D$2:$D$7</c:f>
              <c:numCache>
                <c:formatCode>General</c:formatCode>
                <c:ptCount val="6"/>
                <c:pt idx="0">
                  <c:v>8</c:v>
                </c:pt>
                <c:pt idx="1">
                  <c:v>55</c:v>
                </c:pt>
                <c:pt idx="2">
                  <c:v>127</c:v>
                </c:pt>
                <c:pt idx="3">
                  <c:v>272</c:v>
                </c:pt>
                <c:pt idx="4">
                  <c:v>178</c:v>
                </c:pt>
                <c:pt idx="5">
                  <c:v>49</c:v>
                </c:pt>
              </c:numCache>
            </c:numRef>
          </c:val>
        </c:ser>
        <c:marker val="1"/>
        <c:axId val="178193920"/>
        <c:axId val="178192384"/>
      </c:lineChart>
      <c:catAx>
        <c:axId val="178189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8190592"/>
        <c:crosses val="autoZero"/>
        <c:auto val="1"/>
        <c:lblAlgn val="ctr"/>
        <c:lblOffset val="100"/>
      </c:catAx>
      <c:valAx>
        <c:axId val="1781905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8189056"/>
        <c:crosses val="autoZero"/>
        <c:crossBetween val="between"/>
      </c:valAx>
      <c:valAx>
        <c:axId val="178192384"/>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8193920"/>
        <c:crosses val="max"/>
        <c:crossBetween val="between"/>
      </c:valAx>
      <c:catAx>
        <c:axId val="178193920"/>
        <c:scaling>
          <c:orientation val="minMax"/>
        </c:scaling>
        <c:delete val="1"/>
        <c:axPos val="b"/>
        <c:numFmt formatCode="General" sourceLinked="1"/>
        <c:tickLblPos val="none"/>
        <c:crossAx val="17819238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tk-1 mln</c:v>
                </c:pt>
                <c:pt idx="3">
                  <c:v>250-500 tk</c:v>
                </c:pt>
                <c:pt idx="4">
                  <c:v>200-250 tk</c:v>
                </c:pt>
                <c:pt idx="5">
                  <c:v>150-200 tk</c:v>
                </c:pt>
                <c:pt idx="6">
                  <c:v>125-150 tk</c:v>
                </c:pt>
                <c:pt idx="7">
                  <c:v>100-125 tk</c:v>
                </c:pt>
                <c:pt idx="8">
                  <c:v>50-100 tk</c:v>
                </c:pt>
                <c:pt idx="9">
                  <c:v>25-50 tk</c:v>
                </c:pt>
                <c:pt idx="10">
                  <c:v>&gt;25 tk</c:v>
                </c:pt>
              </c:strCache>
            </c:strRef>
          </c:cat>
          <c:val>
            <c:numRef>
              <c:f>Sheet1!$B$2:$B$12</c:f>
              <c:numCache>
                <c:formatCode>General</c:formatCode>
                <c:ptCount val="11"/>
                <c:pt idx="0">
                  <c:v>3</c:v>
                </c:pt>
                <c:pt idx="1">
                  <c:v>0</c:v>
                </c:pt>
                <c:pt idx="2">
                  <c:v>1</c:v>
                </c:pt>
                <c:pt idx="3">
                  <c:v>10</c:v>
                </c:pt>
                <c:pt idx="4">
                  <c:v>11</c:v>
                </c:pt>
                <c:pt idx="5">
                  <c:v>20</c:v>
                </c:pt>
                <c:pt idx="6">
                  <c:v>223</c:v>
                </c:pt>
                <c:pt idx="7">
                  <c:v>1</c:v>
                </c:pt>
                <c:pt idx="8">
                  <c:v>15</c:v>
                </c:pt>
                <c:pt idx="9">
                  <c:v>403</c:v>
                </c:pt>
                <c:pt idx="10">
                  <c:v>1</c:v>
                </c:pt>
              </c:numCache>
            </c:numRef>
          </c:val>
        </c:ser>
        <c:axId val="178050560"/>
        <c:axId val="178052096"/>
      </c:barChart>
      <c:catAx>
        <c:axId val="178050560"/>
        <c:scaling>
          <c:orientation val="minMax"/>
        </c:scaling>
        <c:axPos val="l"/>
        <c:numFmt formatCode="General" sourceLinked="0"/>
        <c:tickLblPos val="nextTo"/>
        <c:crossAx val="178052096"/>
        <c:crosses val="autoZero"/>
        <c:auto val="1"/>
        <c:lblAlgn val="ctr"/>
        <c:lblOffset val="100"/>
      </c:catAx>
      <c:valAx>
        <c:axId val="178052096"/>
        <c:scaling>
          <c:orientation val="minMax"/>
        </c:scaling>
        <c:axPos val="b"/>
        <c:majorGridlines/>
        <c:numFmt formatCode="General" sourceLinked="1"/>
        <c:tickLblPos val="nextTo"/>
        <c:crossAx val="17805056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6.1364522417153997E-2"/>
                  <c:y val="0.18213473315835521"/>
                </c:manualLayout>
              </c:layout>
              <c:showVal val="1"/>
              <c:showCatName val="1"/>
              <c:separator>
</c:separator>
              <c:extLst>
                <c:ext xmlns:c15="http://schemas.microsoft.com/office/drawing/2012/chart" uri="{CE6537A1-D6FC-4f65-9D91-7224C49458BB}">
                  <c15:layout/>
                </c:ext>
              </c:extLst>
            </c:dLbl>
            <c:dLbl>
              <c:idx val="1"/>
              <c:layout>
                <c:manualLayout>
                  <c:x val="1.4847047627818461E-2"/>
                  <c:y val="1.4132506164002226E-2"/>
                </c:manualLayout>
              </c:layout>
              <c:showVal val="1"/>
              <c:showCatName val="1"/>
              <c:separator>
</c:separator>
              <c:extLst>
                <c:ext xmlns:c15="http://schemas.microsoft.com/office/drawing/2012/chart" uri="{CE6537A1-D6FC-4f65-9D91-7224C49458BB}">
                  <c15:layout/>
                </c:ext>
              </c:extLst>
            </c:dLbl>
            <c:dLbl>
              <c:idx val="2"/>
              <c:layout>
                <c:manualLayout>
                  <c:x val="1.0526315789473701E-3"/>
                  <c:y val="7.7069911715581235E-3"/>
                </c:manualLayout>
              </c:layout>
              <c:showVal val="1"/>
              <c:showCatName val="1"/>
              <c:separator>
</c:separator>
              <c:extLst>
                <c:ext xmlns:c15="http://schemas.microsoft.com/office/drawing/2012/chart" uri="{CE6537A1-D6FC-4f65-9D91-7224C49458BB}">
                  <c15:layout/>
                </c:ext>
              </c:extLst>
            </c:dLbl>
            <c:dLbl>
              <c:idx val="3"/>
              <c:layout>
                <c:manualLayout>
                  <c:x val="-9.7465886939571145E-3"/>
                  <c:y val="2.8841167581325249E-2"/>
                </c:manualLayout>
              </c:layout>
              <c:showVal val="1"/>
              <c:showCatName val="1"/>
              <c:separator>
</c:separator>
              <c:extLst>
                <c:ext xmlns:c15="http://schemas.microsoft.com/office/drawing/2012/chart" uri="{CE6537A1-D6FC-4f65-9D91-7224C49458BB}">
                  <c15:layout>
                    <c:manualLayout>
                      <c:w val="0.25633528265107214"/>
                      <c:h val="0.10606060606060606"/>
                    </c:manualLayout>
                  </c15:layout>
                </c:ext>
              </c:extLst>
            </c:dLbl>
            <c:dLbl>
              <c:idx val="4"/>
              <c:layout>
                <c:manualLayout>
                  <c:x val="1.9493177387914298E-2"/>
                  <c:y val="-4.0152708184204274E-3"/>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25146198830409355"/>
                      <c:h val="0.12323232323232323"/>
                    </c:manualLayout>
                  </c15:layout>
                </c:ext>
              </c:extLst>
            </c:dLbl>
            <c:dLbl>
              <c:idx val="5"/>
              <c:layout>
                <c:manualLayout>
                  <c:x val="6.965464843210388E-2"/>
                  <c:y val="-1.373578302712161E-2"/>
                </c:manualLayout>
              </c:layout>
              <c:showVal val="1"/>
              <c:showCatName val="1"/>
              <c:separator>
</c:separator>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extLst>
          </c:dLbls>
          <c:cat>
            <c:strRef>
              <c:f>'Sheet1'!$A$2:$A$7</c:f>
              <c:strCache>
                <c:ptCount val="6"/>
                <c:pt idx="0">
                  <c:v>Krievija</c:v>
                </c:pt>
                <c:pt idx="1">
                  <c:v>Ķīna</c:v>
                </c:pt>
                <c:pt idx="2">
                  <c:v>Ukraina</c:v>
                </c:pt>
                <c:pt idx="3">
                  <c:v>Uzbekistāna</c:v>
                </c:pt>
                <c:pt idx="4">
                  <c:v>Baltkrievija</c:v>
                </c:pt>
                <c:pt idx="5">
                  <c:v>Citi</c:v>
                </c:pt>
              </c:strCache>
            </c:strRef>
          </c:cat>
          <c:val>
            <c:numRef>
              <c:f>'Sheet1'!$B$2:$B$7</c:f>
              <c:numCache>
                <c:formatCode>General</c:formatCode>
                <c:ptCount val="6"/>
                <c:pt idx="0">
                  <c:v>398</c:v>
                </c:pt>
                <c:pt idx="1">
                  <c:v>87</c:v>
                </c:pt>
                <c:pt idx="2">
                  <c:v>59</c:v>
                </c:pt>
                <c:pt idx="3">
                  <c:v>43</c:v>
                </c:pt>
                <c:pt idx="4">
                  <c:v>21</c:v>
                </c:pt>
                <c:pt idx="5">
                  <c:v>81</c:v>
                </c:pt>
              </c:numCache>
            </c:numRef>
          </c:val>
        </c:ser>
        <c:firstSliceAng val="0"/>
      </c:pieChart>
    </c:plotArea>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9.9230161285601562E-4"/>
                  <c:y val="1.4749262536873156E-3"/>
                </c:manualLayout>
              </c:layout>
              <c:showVal val="1"/>
              <c:showCatName val="1"/>
              <c:extLst>
                <c:ext xmlns:c15="http://schemas.microsoft.com/office/drawing/2012/chart" uri="{CE6537A1-D6FC-4f65-9D91-7224C49458BB}">
                  <c15:layout/>
                </c:ext>
              </c:extLst>
            </c:dLbl>
            <c:dLbl>
              <c:idx val="1"/>
              <c:layout>
                <c:manualLayout>
                  <c:x val="-1.2097298246641099E-2"/>
                  <c:y val="5.6144751817527334E-3"/>
                </c:manualLayout>
              </c:layout>
              <c:showVal val="1"/>
              <c:showCatName val="1"/>
              <c:extLst>
                <c:ext xmlns:c15="http://schemas.microsoft.com/office/drawing/2012/chart" uri="{CE6537A1-D6FC-4f65-9D91-7224C49458BB}">
                  <c15:layout/>
                </c:ext>
              </c:extLst>
            </c:dLbl>
            <c:dLbl>
              <c:idx val="2"/>
              <c:layout>
                <c:manualLayout>
                  <c:x val="4.4873303476470644E-2"/>
                  <c:y val="-2.7079646017699521E-2"/>
                </c:manualLayout>
              </c:layout>
              <c:showVal val="1"/>
              <c:showCatName val="1"/>
              <c:extLst>
                <c:ext xmlns:c15="http://schemas.microsoft.com/office/drawing/2012/chart" uri="{CE6537A1-D6FC-4f65-9D91-7224C49458BB}">
                  <c15:layout/>
                </c:ext>
              </c:extLst>
            </c:dLbl>
            <c:dLbl>
              <c:idx val="3"/>
              <c:layout>
                <c:manualLayout>
                  <c:x val="7.9200954426151424E-2"/>
                  <c:y val="-1.5563607646389468E-2"/>
                </c:manualLayout>
              </c:layout>
              <c:showVal val="1"/>
              <c:showCatName val="1"/>
              <c:extLst>
                <c:ext xmlns:c15="http://schemas.microsoft.com/office/drawing/2012/chart" uri="{CE6537A1-D6FC-4f65-9D91-7224C49458BB}">
                  <c15:layout>
                    <c:manualLayout>
                      <c:w val="0.20741818181818186"/>
                      <c:h val="0.15339233038348082"/>
                    </c:manualLayout>
                  </c15:layout>
                </c:ext>
              </c:extLst>
            </c:dLbl>
            <c:dLbl>
              <c:idx val="4"/>
              <c:layout>
                <c:manualLayout>
                  <c:x val="4.4766404199475954E-3"/>
                  <c:y val="-1.5251434278679766E-2"/>
                </c:manualLayout>
              </c:layout>
              <c:showVal val="1"/>
              <c:showCatName val="1"/>
              <c:extLst>
                <c:ext xmlns:c15="http://schemas.microsoft.com/office/drawing/2012/chart" uri="{CE6537A1-D6FC-4f65-9D91-7224C49458BB}">
                  <c15:layout/>
                </c:ext>
              </c:extLst>
            </c:dLbl>
            <c:dLbl>
              <c:idx val="5"/>
              <c:layout>
                <c:manualLayout>
                  <c:x val="1.3832689095681337E-2"/>
                  <c:y val="4.4247787610619468E-2"/>
                </c:manualLayout>
              </c:layout>
              <c:showVal val="1"/>
              <c:showCatName val="1"/>
              <c:extLst>
                <c:ext xmlns:c15="http://schemas.microsoft.com/office/drawing/2012/chart" uri="{CE6537A1-D6FC-4f65-9D91-7224C49458BB}">
                  <c15:layout/>
                </c:ext>
              </c:extLst>
            </c:dLbl>
            <c:dLbl>
              <c:idx val="6"/>
              <c:layout>
                <c:manualLayout>
                  <c:x val="7.02457647339537E-3"/>
                  <c:y val="7.0488003158897181E-2"/>
                </c:manualLayout>
              </c:layout>
              <c:showVal val="1"/>
              <c:showCatName val="1"/>
              <c:extLst>
                <c:ext xmlns:c15="http://schemas.microsoft.com/office/drawing/2012/chart" uri="{CE6537A1-D6FC-4f65-9D91-7224C49458BB}">
                  <c15:layout>
                    <c:manualLayout>
                      <c:w val="0.18472727272727274"/>
                      <c:h val="0.28908554572271389"/>
                    </c:manualLayout>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c:ext xmlns:c15="http://schemas.microsoft.com/office/drawing/2012/chart" uri="{CE6537A1-D6FC-4f65-9D91-7224C49458BB}"/>
            </c:extLst>
          </c:dLbls>
          <c:cat>
            <c:strRef>
              <c:f>Sheet1!$A$2:$A$8</c:f>
              <c:strCache>
                <c:ptCount val="7"/>
                <c:pt idx="0">
                  <c:v>2015</c:v>
                </c:pt>
                <c:pt idx="1">
                  <c:v>2014</c:v>
                </c:pt>
                <c:pt idx="2">
                  <c:v>2013</c:v>
                </c:pt>
                <c:pt idx="3">
                  <c:v>2012</c:v>
                </c:pt>
                <c:pt idx="4">
                  <c:v>2011</c:v>
                </c:pt>
                <c:pt idx="5">
                  <c:v>2010</c:v>
                </c:pt>
                <c:pt idx="6">
                  <c:v>vecāki par 2010</c:v>
                </c:pt>
              </c:strCache>
            </c:strRef>
          </c:cat>
          <c:val>
            <c:numRef>
              <c:f>Sheet1!$B$2:$B$8</c:f>
              <c:numCache>
                <c:formatCode>General</c:formatCode>
                <c:ptCount val="7"/>
                <c:pt idx="0">
                  <c:v>13</c:v>
                </c:pt>
                <c:pt idx="1">
                  <c:v>50</c:v>
                </c:pt>
                <c:pt idx="2">
                  <c:v>57</c:v>
                </c:pt>
                <c:pt idx="3">
                  <c:v>44</c:v>
                </c:pt>
                <c:pt idx="4">
                  <c:v>26</c:v>
                </c:pt>
                <c:pt idx="5">
                  <c:v>17</c:v>
                </c:pt>
                <c:pt idx="6">
                  <c:v>85</c:v>
                </c:pt>
              </c:numCache>
            </c:numRef>
          </c:val>
        </c:ser>
        <c:firstSliceAng val="0"/>
      </c:pieChart>
    </c:plotArea>
    <c:plotVisOnly val="1"/>
    <c:dispBlanksAs val="zero"/>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skaits</c:v>
                </c:pt>
              </c:strCache>
            </c:strRef>
          </c:tx>
          <c:dLbls>
            <c:dLbl>
              <c:idx val="0"/>
              <c:layout>
                <c:manualLayout>
                  <c:x val="-1.0439953747040361E-3"/>
                  <c:y val="0"/>
                </c:manualLayout>
              </c:layout>
              <c:showCatName val="1"/>
              <c:showPercent val="1"/>
              <c:extLst>
                <c:ext xmlns:c15="http://schemas.microsoft.com/office/drawing/2012/chart" uri="{CE6537A1-D6FC-4f65-9D91-7224C49458BB}">
                  <c15:layout/>
                </c:ext>
              </c:extLst>
            </c:dLbl>
            <c:dLbl>
              <c:idx val="1"/>
              <c:layout>
                <c:manualLayout>
                  <c:x val="-1.7462327698548239E-3"/>
                  <c:y val="5.6144751817527334E-3"/>
                </c:manualLayout>
              </c:layout>
              <c:showCatName val="1"/>
              <c:showPercent val="1"/>
              <c:extLst>
                <c:ext xmlns:c15="http://schemas.microsoft.com/office/drawing/2012/chart" uri="{CE6537A1-D6FC-4f65-9D91-7224C49458BB}">
                  <c15:layout>
                    <c:manualLayout>
                      <c:w val="0.25490483270010827"/>
                      <c:h val="0.22123893805309738"/>
                    </c:manualLayout>
                  </c15:layout>
                </c:ext>
              </c:extLst>
            </c:dLbl>
            <c:dLbl>
              <c:idx val="2"/>
              <c:layout>
                <c:manualLayout>
                  <c:x val="-1.4531465665733961E-2"/>
                  <c:y val="2.0117994100294984E-2"/>
                </c:manualLayout>
              </c:layout>
              <c:showCatName val="1"/>
              <c:showPercent val="1"/>
              <c:extLst>
                <c:ext xmlns:c15="http://schemas.microsoft.com/office/drawing/2012/chart" uri="{CE6537A1-D6FC-4f65-9D91-7224C49458BB}">
                  <c15:layout>
                    <c:manualLayout>
                      <c:w val="0.22098452728373988"/>
                      <c:h val="0.35693215339233036"/>
                    </c:manualLayout>
                  </c15:layout>
                </c:ext>
              </c:extLst>
            </c:dLbl>
            <c:dLbl>
              <c:idx val="3"/>
              <c:layout>
                <c:manualLayout>
                  <c:x val="-1.1361342070003489E-4"/>
                  <c:y val="4.9351264720228605E-2"/>
                </c:manualLayout>
              </c:layout>
              <c:showCatName val="1"/>
              <c:showPercent val="1"/>
              <c:extLst>
                <c:ext xmlns:c15="http://schemas.microsoft.com/office/drawing/2012/chart" uri="{CE6537A1-D6FC-4f65-9D91-7224C49458BB}">
                  <c15:layout>
                    <c:manualLayout>
                      <c:w val="0.28018648018648012"/>
                      <c:h val="0.26253687315634217"/>
                    </c:manualLayout>
                  </c15:layout>
                </c:ext>
              </c:extLst>
            </c:dLbl>
            <c:dLbl>
              <c:idx val="4"/>
              <c:layout>
                <c:manualLayout>
                  <c:x val="-0.20374208468696742"/>
                  <c:y val="-1.205723178408117E-3"/>
                </c:manualLayout>
              </c:layout>
              <c:showCatName val="1"/>
              <c:showPercent val="1"/>
              <c:extLst>
                <c:ext xmlns:c15="http://schemas.microsoft.com/office/drawing/2012/chart" uri="{CE6537A1-D6FC-4f65-9D91-7224C49458BB}">
                  <c15:layout>
                    <c:manualLayout>
                      <c:w val="0.35375291375291373"/>
                      <c:h val="0.15552319234431977"/>
                    </c:manualLayout>
                  </c15:layout>
                </c:ext>
              </c:extLst>
            </c:dLbl>
            <c:dLbl>
              <c:idx val="5"/>
              <c:layout>
                <c:manualLayout>
                  <c:x val="2.3996108877998638E-2"/>
                  <c:y val="0"/>
                </c:manualLayout>
              </c:layout>
              <c:showCatName val="1"/>
              <c:showPercent val="1"/>
              <c:extLst>
                <c:ext xmlns:c15="http://schemas.microsoft.com/office/drawing/2012/chart" uri="{CE6537A1-D6FC-4f65-9D91-7224C49458BB}">
                  <c15:layout>
                    <c:manualLayout>
                      <c:w val="0.29571095571095574"/>
                      <c:h val="0.22123893805309738"/>
                    </c:manualLayout>
                  </c15:layout>
                </c:ext>
              </c:extLst>
            </c:dLbl>
            <c:dLbl>
              <c:idx val="6"/>
              <c:layout>
                <c:manualLayout>
                  <c:x val="2.1222766734577746E-2"/>
                  <c:y val="2.0840359556825418E-2"/>
                </c:manualLayout>
              </c:layout>
              <c:showCatName val="1"/>
              <c:showPercent val="1"/>
              <c:extLst>
                <c:ext xmlns:c15="http://schemas.microsoft.com/office/drawing/2012/chart" uri="{CE6537A1-D6FC-4f65-9D91-7224C49458BB}">
                  <c15:layout>
                    <c:manualLayout>
                      <c:w val="0.18386946386946385"/>
                      <c:h val="0.22123893805309738"/>
                    </c:manualLayout>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CatName val="1"/>
            <c:showPercent val="1"/>
            <c:showLeaderLines val="1"/>
            <c:extLst>
              <c:ext xmlns:c15="http://schemas.microsoft.com/office/drawing/2012/chart" uri="{CE6537A1-D6FC-4f65-9D91-7224C49458BB}"/>
            </c:extLst>
          </c:dLbls>
          <c:cat>
            <c:strRef>
              <c:f>Sheet1!$A$2:$A$8</c:f>
              <c:strCache>
                <c:ptCount val="7"/>
                <c:pt idx="0">
                  <c:v>Citas nozares</c:v>
                </c:pt>
                <c:pt idx="1">
                  <c:v>Būvniecība</c:v>
                </c:pt>
                <c:pt idx="2">
                  <c:v>Izmitināšana un ēdināšana</c:v>
                </c:pt>
                <c:pt idx="3">
                  <c:v>Apstrādes rūpniecība</c:v>
                </c:pt>
                <c:pt idx="4">
                  <c:v>Tirdzniecība</c:v>
                </c:pt>
                <c:pt idx="5">
                  <c:v>Operācijas ar NĪ</c:v>
                </c:pt>
                <c:pt idx="6">
                  <c:v>Bez koda</c:v>
                </c:pt>
              </c:strCache>
            </c:strRef>
          </c:cat>
          <c:val>
            <c:numRef>
              <c:f>Sheet1!$B$2:$B$8</c:f>
              <c:numCache>
                <c:formatCode>General</c:formatCode>
                <c:ptCount val="7"/>
                <c:pt idx="0">
                  <c:v>52</c:v>
                </c:pt>
                <c:pt idx="1">
                  <c:v>17</c:v>
                </c:pt>
                <c:pt idx="2">
                  <c:v>20</c:v>
                </c:pt>
                <c:pt idx="3">
                  <c:v>24</c:v>
                </c:pt>
                <c:pt idx="4">
                  <c:v>42</c:v>
                </c:pt>
                <c:pt idx="5">
                  <c:v>38</c:v>
                </c:pt>
                <c:pt idx="6">
                  <c:v>98</c:v>
                </c:pt>
              </c:numCache>
            </c:numRef>
          </c:val>
        </c:ser>
        <c:firstSliceAng val="0"/>
      </c:pieChart>
    </c:plotArea>
    <c:plotVisOnly val="1"/>
    <c:dispBlanksAs val="zero"/>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6.402252445717084E-2"/>
                  <c:y val="1.4749262536873156E-3"/>
                </c:manualLayout>
              </c:layout>
              <c:showVal val="1"/>
              <c:showCatName val="1"/>
              <c:separator>
</c:separator>
              <c:extLst>
                <c:ext xmlns:c15="http://schemas.microsoft.com/office/drawing/2012/chart" uri="{CE6537A1-D6FC-4f65-9D91-7224C49458BB}">
                  <c15:layout/>
                </c:ext>
              </c:extLst>
            </c:dLbl>
            <c:dLbl>
              <c:idx val="1"/>
              <c:layout>
                <c:manualLayout>
                  <c:x val="-1.2097298246641099E-2"/>
                  <c:y val="5.6144751817527334E-3"/>
                </c:manualLayout>
              </c:layout>
              <c:showVal val="1"/>
              <c:showCatName val="1"/>
              <c:separator>
</c:separator>
              <c:extLst>
                <c:ext xmlns:c15="http://schemas.microsoft.com/office/drawing/2012/chart" uri="{CE6537A1-D6FC-4f65-9D91-7224C49458BB}">
                  <c15:layout/>
                </c:ext>
              </c:extLst>
            </c:dLbl>
            <c:dLbl>
              <c:idx val="2"/>
              <c:layout>
                <c:manualLayout>
                  <c:x val="-1.3308518253400183E-2"/>
                  <c:y val="4.9616519174041918E-2"/>
                </c:manualLayout>
              </c:layout>
              <c:showVal val="1"/>
              <c:showCatName val="1"/>
              <c:separator>
</c:separator>
              <c:extLst>
                <c:ext xmlns:c15="http://schemas.microsoft.com/office/drawing/2012/chart" uri="{CE6537A1-D6FC-4f65-9D91-7224C49458BB}">
                  <c15:layout/>
                </c:ext>
              </c:extLst>
            </c:dLbl>
            <c:dLbl>
              <c:idx val="3"/>
              <c:layout>
                <c:manualLayout>
                  <c:x val="4.5261560486757266E-2"/>
                  <c:y val="-1.5563607646389468E-2"/>
                </c:manualLayout>
              </c:layout>
              <c:showVal val="1"/>
              <c:showCatName val="1"/>
              <c:separator>
</c:separator>
              <c:extLst>
                <c:ext xmlns:c15="http://schemas.microsoft.com/office/drawing/2012/chart" uri="{CE6537A1-D6FC-4f65-9D91-7224C49458BB}">
                  <c15:layout/>
                </c:ext>
              </c:extLst>
            </c:dLbl>
            <c:dLbl>
              <c:idx val="4"/>
              <c:layout>
                <c:manualLayout>
                  <c:x val="-1.0068814125507041E-2"/>
                  <c:y val="-3.8850254337676818E-2"/>
                </c:manualLayout>
              </c:layout>
              <c:showVal val="1"/>
              <c:showCatName val="1"/>
              <c:separator>
</c:separator>
              <c:extLst>
                <c:ext xmlns:c15="http://schemas.microsoft.com/office/drawing/2012/chart" uri="{CE6537A1-D6FC-4f65-9D91-7224C49458BB}">
                  <c15:layout/>
                </c:ext>
              </c:extLst>
            </c:dLbl>
            <c:dLbl>
              <c:idx val="5"/>
              <c:layout>
                <c:manualLayout>
                  <c:x val="1.3832689095681337E-2"/>
                  <c:y val="4.4247787610619468E-2"/>
                </c:manualLayout>
              </c:layout>
              <c:showVal val="1"/>
              <c:showCatName val="1"/>
              <c:separator>
</c:separator>
              <c:extLst>
                <c:ext xmlns:c15="http://schemas.microsoft.com/office/drawing/2012/chart" uri="{CE6537A1-D6FC-4f65-9D91-7224C49458BB}">
                  <c15:layout/>
                </c:ext>
              </c:extLst>
            </c:dLbl>
            <c:dLbl>
              <c:idx val="6"/>
              <c:layout>
                <c:manualLayout>
                  <c:x val="-1.4736339775709882E-3"/>
                  <c:y val="2.5948017559752012E-2"/>
                </c:manualLayout>
              </c:layout>
              <c:showVal val="1"/>
              <c:showCatName val="1"/>
              <c:separator>
</c:separator>
              <c:extLst>
                <c:ext xmlns:c15="http://schemas.microsoft.com/office/drawing/2012/chart" uri="{CE6537A1-D6FC-4f65-9D91-7224C49458BB}">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showLeaderLines val="1"/>
            <c:extLst>
              <c:ext xmlns:c15="http://schemas.microsoft.com/office/drawing/2012/chart" uri="{CE6537A1-D6FC-4f65-9D91-7224C49458BB}"/>
            </c:extLst>
          </c:dLbls>
          <c:cat>
            <c:strRef>
              <c:f>Sheet1!$A$2:$A$8</c:f>
              <c:strCache>
                <c:ptCount val="7"/>
                <c:pt idx="0">
                  <c:v>2015</c:v>
                </c:pt>
                <c:pt idx="1">
                  <c:v>2014</c:v>
                </c:pt>
                <c:pt idx="2">
                  <c:v>2013</c:v>
                </c:pt>
                <c:pt idx="3">
                  <c:v>2012</c:v>
                </c:pt>
                <c:pt idx="4">
                  <c:v>2011</c:v>
                </c:pt>
                <c:pt idx="5">
                  <c:v>2010</c:v>
                </c:pt>
                <c:pt idx="6">
                  <c:v>vecāki par 2010</c:v>
                </c:pt>
              </c:strCache>
            </c:strRef>
          </c:cat>
          <c:val>
            <c:numRef>
              <c:f>Sheet1!$B$2:$B$8</c:f>
              <c:numCache>
                <c:formatCode>General</c:formatCode>
                <c:ptCount val="7"/>
                <c:pt idx="0">
                  <c:v>10</c:v>
                </c:pt>
                <c:pt idx="1">
                  <c:v>7</c:v>
                </c:pt>
                <c:pt idx="2">
                  <c:v>14</c:v>
                </c:pt>
                <c:pt idx="3">
                  <c:v>10</c:v>
                </c:pt>
                <c:pt idx="4">
                  <c:v>10</c:v>
                </c:pt>
                <c:pt idx="5">
                  <c:v>16</c:v>
                </c:pt>
                <c:pt idx="6">
                  <c:v>70</c:v>
                </c:pt>
              </c:numCache>
            </c:numRef>
          </c:val>
        </c:ser>
        <c:firstSliceAng val="0"/>
      </c:pieChart>
    </c:plotArea>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skaits</c:v>
                </c:pt>
              </c:strCache>
            </c:strRef>
          </c:tx>
          <c:dLbls>
            <c:dLbl>
              <c:idx val="0"/>
              <c:layout>
                <c:manualLayout>
                  <c:x val="1.9935025604317102E-2"/>
                  <c:y val="-4.129793510324483E-2"/>
                </c:manualLayout>
              </c:layout>
              <c:showCatName val="1"/>
              <c:showPercent val="1"/>
              <c:extLst>
                <c:ext xmlns:c15="http://schemas.microsoft.com/office/drawing/2012/chart" uri="{CE6537A1-D6FC-4f65-9D91-7224C49458BB}">
                  <c15:layout>
                    <c:manualLayout>
                      <c:w val="0.3055477855477855"/>
                      <c:h val="0.16224188790560473"/>
                    </c:manualLayout>
                  </c15:layout>
                </c:ext>
              </c:extLst>
            </c:dLbl>
            <c:dLbl>
              <c:idx val="1"/>
              <c:layout>
                <c:manualLayout>
                  <c:x val="-2.7972027972028048E-2"/>
                  <c:y val="-9.4680510068984799E-2"/>
                </c:manualLayout>
              </c:layout>
              <c:showCatName val="1"/>
              <c:showPercent val="1"/>
              <c:extLst>
                <c:ext xmlns:c15="http://schemas.microsoft.com/office/drawing/2012/chart" uri="{CE6537A1-D6FC-4f65-9D91-7224C49458BB}">
                  <c15:layout>
                    <c:manualLayout>
                      <c:w val="0.23609089073656003"/>
                      <c:h val="0.35693215339233036"/>
                    </c:manualLayout>
                  </c15:layout>
                </c:ext>
              </c:extLst>
            </c:dLbl>
            <c:dLbl>
              <c:idx val="2"/>
              <c:layout>
                <c:manualLayout>
                  <c:x val="-2.2482609254262799E-2"/>
                  <c:y val="-3.480825958702079E-3"/>
                </c:manualLayout>
              </c:layout>
              <c:showCatName val="1"/>
              <c:showPercent val="1"/>
              <c:extLst>
                <c:ext xmlns:c15="http://schemas.microsoft.com/office/drawing/2012/chart" uri="{CE6537A1-D6FC-4f65-9D91-7224C49458BB}">
                  <c15:layout>
                    <c:manualLayout>
                      <c:w val="0.30009324009324012"/>
                      <c:h val="0.23893805309734514"/>
                    </c:manualLayout>
                  </c15:layout>
                </c:ext>
              </c:extLst>
            </c:dLbl>
            <c:dLbl>
              <c:idx val="3"/>
              <c:layout>
                <c:manualLayout>
                  <c:x val="-4.2071838922232693E-2"/>
                  <c:y val="-3.746080412514815E-3"/>
                </c:manualLayout>
              </c:layout>
              <c:showCatName val="1"/>
              <c:showPercent val="1"/>
              <c:extLst>
                <c:ext xmlns:c15="http://schemas.microsoft.com/office/drawing/2012/chart" uri="{CE6537A1-D6FC-4f65-9D91-7224C49458BB}">
                  <c15:layout>
                    <c:manualLayout>
                      <c:w val="0.28955710955710956"/>
                      <c:h val="0.16224188790560473"/>
                    </c:manualLayout>
                  </c15:layout>
                </c:ext>
              </c:extLst>
            </c:dLbl>
            <c:dLbl>
              <c:idx val="4"/>
              <c:layout>
                <c:manualLayout>
                  <c:x val="-7.0874951819833984E-2"/>
                  <c:y val="-3.7460804125148146E-3"/>
                </c:manualLayout>
              </c:layout>
              <c:showCatName val="1"/>
              <c:showPercent val="1"/>
              <c:extLst>
                <c:ext xmlns:c15="http://schemas.microsoft.com/office/drawing/2012/chart" uri="{CE6537A1-D6FC-4f65-9D91-7224C49458BB}">
                  <c15:layout>
                    <c:manualLayout>
                      <c:w val="0.33044289044289038"/>
                      <c:h val="0.22123893805309738"/>
                    </c:manualLayout>
                  </c15:layout>
                </c:ext>
              </c:extLst>
            </c:dLbl>
            <c:dLbl>
              <c:idx val="5"/>
              <c:layout>
                <c:manualLayout>
                  <c:x val="-8.6378568888887692E-3"/>
                  <c:y val="3.8348082595870275E-2"/>
                </c:manualLayout>
              </c:layout>
              <c:showCatName val="1"/>
              <c:showPercent val="1"/>
              <c:extLst>
                <c:ext xmlns:c15="http://schemas.microsoft.com/office/drawing/2012/chart" uri="{CE6537A1-D6FC-4f65-9D91-7224C49458BB}">
                  <c15:layout>
                    <c:manualLayout>
                      <c:w val="0.22890442890442886"/>
                      <c:h val="0.27433628318584069"/>
                    </c:manualLayout>
                  </c15:layout>
                </c:ext>
              </c:extLst>
            </c:dLbl>
            <c:dLbl>
              <c:idx val="6"/>
              <c:layout>
                <c:manualLayout>
                  <c:x val="-0.26573426573426662"/>
                  <c:y val="-7.6463893340766322E-4"/>
                </c:manualLayout>
              </c:layout>
              <c:showCatName val="1"/>
              <c:showPercent val="1"/>
              <c:extLst>
                <c:ext xmlns:c15="http://schemas.microsoft.com/office/drawing/2012/chart" uri="{CE6537A1-D6FC-4f65-9D91-7224C49458BB}">
                  <c15:layout>
                    <c:manualLayout>
                      <c:w val="0.34731934731934738"/>
                      <c:h val="0.19764011799410031"/>
                    </c:manualLayout>
                  </c15:layout>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CatName val="1"/>
            <c:showPercent val="1"/>
            <c:showLeaderLines val="1"/>
            <c:extLst>
              <c:ext xmlns:c15="http://schemas.microsoft.com/office/drawing/2012/chart" uri="{CE6537A1-D6FC-4f65-9D91-7224C49458BB}"/>
            </c:extLst>
          </c:dLbls>
          <c:cat>
            <c:strRef>
              <c:f>Sheet1!$A$2:$A$8</c:f>
              <c:strCache>
                <c:ptCount val="7"/>
                <c:pt idx="0">
                  <c:v>Citas nozares</c:v>
                </c:pt>
                <c:pt idx="1">
                  <c:v>Ēdināšana/izmitināšana</c:v>
                </c:pt>
                <c:pt idx="2">
                  <c:v>Operācijas ar NĪ</c:v>
                </c:pt>
                <c:pt idx="3">
                  <c:v>Būvniecība</c:v>
                </c:pt>
                <c:pt idx="4">
                  <c:v>Tirdzniecība</c:v>
                </c:pt>
                <c:pt idx="5">
                  <c:v>Apstrādes rūpniecība</c:v>
                </c:pt>
                <c:pt idx="6">
                  <c:v>Bez koda</c:v>
                </c:pt>
              </c:strCache>
            </c:strRef>
          </c:cat>
          <c:val>
            <c:numRef>
              <c:f>Sheet1!$B$2:$B$8</c:f>
              <c:numCache>
                <c:formatCode>General</c:formatCode>
                <c:ptCount val="7"/>
                <c:pt idx="0">
                  <c:v>39</c:v>
                </c:pt>
                <c:pt idx="1">
                  <c:v>10</c:v>
                </c:pt>
                <c:pt idx="2">
                  <c:v>15</c:v>
                </c:pt>
                <c:pt idx="3">
                  <c:v>5</c:v>
                </c:pt>
                <c:pt idx="4">
                  <c:v>25</c:v>
                </c:pt>
                <c:pt idx="5">
                  <c:v>17</c:v>
                </c:pt>
                <c:pt idx="6">
                  <c:v>26</c:v>
                </c:pt>
              </c:numCache>
            </c:numRef>
          </c:val>
        </c:ser>
        <c:firstSliceAng val="0"/>
      </c:pieChart>
    </c:plotArea>
    <c:plotVisOnly val="1"/>
    <c:dispBlanksAs val="zero"/>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69895710300464"/>
          <c:y val="3.1819172113293791E-2"/>
          <c:w val="0.87722246445578866"/>
          <c:h val="0.8672640151693537"/>
        </c:manualLayout>
      </c:layout>
      <c:barChart>
        <c:barDir val="col"/>
        <c:grouping val="clustered"/>
        <c:ser>
          <c:idx val="1"/>
          <c:order val="0"/>
          <c:tx>
            <c:strRef>
              <c:f>Sheet1!$A$7</c:f>
              <c:strCache>
                <c:ptCount val="1"/>
                <c:pt idx="0">
                  <c:v>Kredītu maksājuma kavējumi, Ar kavējumu virs 180 dienām milj.latu</c:v>
                </c:pt>
              </c:strCache>
            </c:strRef>
          </c:tx>
          <c:spPr>
            <a:solidFill>
              <a:srgbClr val="0070C0"/>
            </a:solidFill>
            <a:ln w="9525">
              <a:solidFill>
                <a:srgbClr val="000000"/>
              </a:solidFill>
              <a:prstDash val="solid"/>
            </a:ln>
          </c:spPr>
          <c:cat>
            <c:multiLvlStrRef>
              <c:f>Sheet1!$B$5:$AI$6</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2007</c:v>
                  </c:pt>
                  <c:pt idx="4">
                    <c:v>2008</c:v>
                  </c:pt>
                  <c:pt idx="8">
                    <c:v>2009</c:v>
                  </c:pt>
                  <c:pt idx="12">
                    <c:v>2010</c:v>
                  </c:pt>
                  <c:pt idx="16">
                    <c:v>2011</c:v>
                  </c:pt>
                  <c:pt idx="20">
                    <c:v>2012</c:v>
                  </c:pt>
                  <c:pt idx="24">
                    <c:v>2013</c:v>
                  </c:pt>
                  <c:pt idx="28">
                    <c:v>2014</c:v>
                  </c:pt>
                  <c:pt idx="32">
                    <c:v>2015</c:v>
                  </c:pt>
                </c:lvl>
              </c:multiLvlStrCache>
            </c:multiLvlStrRef>
          </c:cat>
          <c:val>
            <c:numRef>
              <c:f>Sheet1!$B$7:$AI$7</c:f>
              <c:numCache>
                <c:formatCode>#,##0</c:formatCode>
                <c:ptCount val="34"/>
                <c:pt idx="0">
                  <c:v>51786.859494254561</c:v>
                </c:pt>
                <c:pt idx="1">
                  <c:v>52926.521476827074</c:v>
                </c:pt>
                <c:pt idx="2">
                  <c:v>74720.690263572527</c:v>
                </c:pt>
                <c:pt idx="3">
                  <c:v>78315.66553406071</c:v>
                </c:pt>
                <c:pt idx="4">
                  <c:v>131981.11279958612</c:v>
                </c:pt>
                <c:pt idx="5">
                  <c:v>202831.79947752148</c:v>
                </c:pt>
                <c:pt idx="6">
                  <c:v>342056.73985919263</c:v>
                </c:pt>
                <c:pt idx="7">
                  <c:v>495675.13702255534</c:v>
                </c:pt>
                <c:pt idx="8">
                  <c:v>774065.69256862323</c:v>
                </c:pt>
                <c:pt idx="9">
                  <c:v>1499340.0820143311</c:v>
                </c:pt>
                <c:pt idx="10">
                  <c:v>2379941.4630537047</c:v>
                </c:pt>
                <c:pt idx="11">
                  <c:v>2885187.2926164307</c:v>
                </c:pt>
                <c:pt idx="12">
                  <c:v>3265795.9018446077</c:v>
                </c:pt>
                <c:pt idx="13">
                  <c:v>3532533.5157454913</c:v>
                </c:pt>
                <c:pt idx="14">
                  <c:v>3674957.8331938847</c:v>
                </c:pt>
                <c:pt idx="15">
                  <c:v>3516071.9318615147</c:v>
                </c:pt>
                <c:pt idx="16">
                  <c:v>3411176.0519291298</c:v>
                </c:pt>
                <c:pt idx="17">
                  <c:v>3269005.2916602641</c:v>
                </c:pt>
                <c:pt idx="18">
                  <c:v>3175095.2043528492</c:v>
                </c:pt>
                <c:pt idx="19">
                  <c:v>2992186.2325769351</c:v>
                </c:pt>
                <c:pt idx="20">
                  <c:v>2075955.5452160204</c:v>
                </c:pt>
                <c:pt idx="21">
                  <c:v>1939150.4900370515</c:v>
                </c:pt>
                <c:pt idx="22">
                  <c:v>1874618.0656342309</c:v>
                </c:pt>
                <c:pt idx="23">
                  <c:v>1696561.0127432432</c:v>
                </c:pt>
                <c:pt idx="24">
                  <c:v>1649226.430128457</c:v>
                </c:pt>
                <c:pt idx="25">
                  <c:v>1494970.3601573128</c:v>
                </c:pt>
                <c:pt idx="26">
                  <c:v>1382732.1714162151</c:v>
                </c:pt>
                <c:pt idx="27">
                  <c:v>1200645.6864218211</c:v>
                </c:pt>
                <c:pt idx="28">
                  <c:v>1099137.757</c:v>
                </c:pt>
                <c:pt idx="29">
                  <c:v>1037458.5209999993</c:v>
                </c:pt>
                <c:pt idx="30">
                  <c:v>1002914.773999998</c:v>
                </c:pt>
                <c:pt idx="31">
                  <c:v>887054.01899999997</c:v>
                </c:pt>
                <c:pt idx="32">
                  <c:v>872947.53399999999</c:v>
                </c:pt>
                <c:pt idx="33">
                  <c:v>871353.62899999996</c:v>
                </c:pt>
              </c:numCache>
            </c:numRef>
          </c:val>
        </c:ser>
        <c:gapWidth val="50"/>
        <c:axId val="179566464"/>
        <c:axId val="179568000"/>
      </c:barChart>
      <c:catAx>
        <c:axId val="179566464"/>
        <c:scaling>
          <c:orientation val="minMax"/>
        </c:scaling>
        <c:axPos val="b"/>
        <c:numFmt formatCode="General" sourceLinked="1"/>
        <c:majorTickMark val="none"/>
        <c:tickLblPos val="nextTo"/>
        <c:spPr>
          <a:ln w="6350">
            <a:solidFill>
              <a:srgbClr val="000000"/>
            </a:solidFill>
            <a:prstDash val="solid"/>
          </a:ln>
        </c:spPr>
        <c:txPr>
          <a:bodyPr rot="0" vert="horz"/>
          <a:lstStyle/>
          <a:p>
            <a:pPr>
              <a:defRPr lang="lv-LV" sz="8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lv-LV"/>
          </a:p>
        </c:txPr>
        <c:crossAx val="179568000"/>
        <c:crosses val="autoZero"/>
        <c:auto val="1"/>
        <c:lblAlgn val="ctr"/>
        <c:lblOffset val="0"/>
        <c:tickLblSkip val="1"/>
        <c:tickMarkSkip val="1"/>
        <c:noMultiLvlLbl val="1"/>
      </c:catAx>
      <c:valAx>
        <c:axId val="179568000"/>
        <c:scaling>
          <c:orientation val="minMax"/>
        </c:scaling>
        <c:axPos val="l"/>
        <c:numFmt formatCode="0" sourceLinked="0"/>
        <c:tickLblPos val="nextTo"/>
        <c:spPr>
          <a:ln w="6350">
            <a:solidFill>
              <a:sysClr val="windowText" lastClr="000000"/>
            </a:solidFill>
          </a:ln>
        </c:spPr>
        <c:txPr>
          <a:bodyPr rot="0" vert="horz"/>
          <a:lstStyle/>
          <a:p>
            <a:pPr>
              <a:defRPr lang="lv-LV" sz="8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lv-LV"/>
          </a:p>
        </c:txPr>
        <c:crossAx val="179566464"/>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lv-LV"/>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55255308977971E-2"/>
          <c:y val="3.0163186123473764E-2"/>
          <c:w val="0.89261339738066336"/>
          <c:h val="0.7803638744007797"/>
        </c:manualLayout>
      </c:layout>
      <c:lineChart>
        <c:grouping val="standard"/>
        <c:ser>
          <c:idx val="1"/>
          <c:order val="0"/>
          <c:tx>
            <c:strRef>
              <c:f>Sheet1!$A$7</c:f>
              <c:strCache>
                <c:ptCount val="1"/>
                <c:pt idx="0">
                  <c:v>Kredītu maksājuma kavējumi, Ar kavējumu virs 180 dienām milj.latu</c:v>
                </c:pt>
              </c:strCache>
            </c:strRef>
          </c:tx>
          <c:spPr>
            <a:ln w="29581">
              <a:solidFill>
                <a:srgbClr val="0070C0"/>
              </a:solidFill>
              <a:prstDash val="solid"/>
            </a:ln>
          </c:spPr>
          <c:marker>
            <c:symbol val="none"/>
          </c:marker>
          <c:cat>
            <c:multiLvlStrRef>
              <c:f>Sheet1!$B$5:$AI$6</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2007</c:v>
                  </c:pt>
                  <c:pt idx="4">
                    <c:v>2008</c:v>
                  </c:pt>
                  <c:pt idx="8">
                    <c:v>2009</c:v>
                  </c:pt>
                  <c:pt idx="12">
                    <c:v>2010</c:v>
                  </c:pt>
                  <c:pt idx="16">
                    <c:v>2011</c:v>
                  </c:pt>
                  <c:pt idx="20">
                    <c:v>2012</c:v>
                  </c:pt>
                  <c:pt idx="24">
                    <c:v>2013</c:v>
                  </c:pt>
                  <c:pt idx="28">
                    <c:v>2014</c:v>
                  </c:pt>
                  <c:pt idx="32">
                    <c:v>2015</c:v>
                  </c:pt>
                </c:lvl>
              </c:multiLvlStrCache>
            </c:multiLvlStrRef>
          </c:cat>
          <c:val>
            <c:numRef>
              <c:f>Sheet1!$B$7:$AI$7</c:f>
              <c:numCache>
                <c:formatCode>General</c:formatCode>
                <c:ptCount val="34"/>
                <c:pt idx="0">
                  <c:v>51</c:v>
                </c:pt>
                <c:pt idx="1">
                  <c:v>48.11</c:v>
                </c:pt>
                <c:pt idx="2">
                  <c:v>54.690000000000012</c:v>
                </c:pt>
                <c:pt idx="3">
                  <c:v>55.7</c:v>
                </c:pt>
                <c:pt idx="4">
                  <c:v>51.408000000000001</c:v>
                </c:pt>
                <c:pt idx="5">
                  <c:v>50.720000000000013</c:v>
                </c:pt>
                <c:pt idx="6">
                  <c:v>49.13</c:v>
                </c:pt>
                <c:pt idx="7">
                  <c:v>52.77</c:v>
                </c:pt>
                <c:pt idx="8">
                  <c:v>48.04</c:v>
                </c:pt>
                <c:pt idx="9">
                  <c:v>49.57</c:v>
                </c:pt>
                <c:pt idx="10">
                  <c:v>54.4</c:v>
                </c:pt>
                <c:pt idx="11">
                  <c:v>62.82</c:v>
                </c:pt>
                <c:pt idx="12">
                  <c:v>62.82</c:v>
                </c:pt>
                <c:pt idx="13">
                  <c:v>64.48</c:v>
                </c:pt>
                <c:pt idx="14">
                  <c:v>66.400000000000006</c:v>
                </c:pt>
                <c:pt idx="15">
                  <c:v>67.86</c:v>
                </c:pt>
                <c:pt idx="16">
                  <c:v>65.09</c:v>
                </c:pt>
                <c:pt idx="17">
                  <c:v>62.25</c:v>
                </c:pt>
                <c:pt idx="18">
                  <c:v>60.05</c:v>
                </c:pt>
                <c:pt idx="19">
                  <c:v>63.89</c:v>
                </c:pt>
                <c:pt idx="20">
                  <c:v>63.24</c:v>
                </c:pt>
                <c:pt idx="21">
                  <c:v>59.260000000000012</c:v>
                </c:pt>
                <c:pt idx="22">
                  <c:v>59.39</c:v>
                </c:pt>
                <c:pt idx="23">
                  <c:v>59.68</c:v>
                </c:pt>
                <c:pt idx="24" formatCode="0.00">
                  <c:v>58.91</c:v>
                </c:pt>
                <c:pt idx="25" formatCode="0.00">
                  <c:v>64.872071621226098</c:v>
                </c:pt>
                <c:pt idx="26" formatCode="0.00">
                  <c:v>64.668999999999983</c:v>
                </c:pt>
                <c:pt idx="27" formatCode="0.00">
                  <c:v>64.398143970574878</c:v>
                </c:pt>
                <c:pt idx="28" formatCode="0.00">
                  <c:v>63.458233085912894</c:v>
                </c:pt>
                <c:pt idx="29" formatCode="0.00">
                  <c:v>61.483067753415142</c:v>
                </c:pt>
                <c:pt idx="30" formatCode="0.00">
                  <c:v>64.409864491383274</c:v>
                </c:pt>
                <c:pt idx="31" formatCode="0.00">
                  <c:v>63.132263852044396</c:v>
                </c:pt>
                <c:pt idx="32" formatCode="0.00">
                  <c:v>63.677830987675101</c:v>
                </c:pt>
                <c:pt idx="33" formatCode="0.00">
                  <c:v>65.9407715623001</c:v>
                </c:pt>
              </c:numCache>
            </c:numRef>
          </c:val>
        </c:ser>
        <c:marker val="1"/>
        <c:axId val="179599616"/>
        <c:axId val="179339264"/>
      </c:lineChart>
      <c:catAx>
        <c:axId val="179599616"/>
        <c:scaling>
          <c:orientation val="minMax"/>
        </c:scaling>
        <c:axPos val="b"/>
        <c:numFmt formatCode="General" sourceLinked="1"/>
        <c:majorTickMark val="none"/>
        <c:tickLblPos val="nextTo"/>
        <c:spPr>
          <a:ln w="5916">
            <a:solidFill>
              <a:srgbClr val="000000"/>
            </a:solidFill>
            <a:prstDash val="solid"/>
          </a:ln>
        </c:spPr>
        <c:txPr>
          <a:bodyPr rot="0" vert="horz"/>
          <a:lstStyle/>
          <a:p>
            <a:pPr>
              <a:defRPr/>
            </a:pPr>
            <a:endParaRPr lang="lv-LV"/>
          </a:p>
        </c:txPr>
        <c:crossAx val="179339264"/>
        <c:crosses val="autoZero"/>
        <c:auto val="1"/>
        <c:lblAlgn val="ctr"/>
        <c:lblOffset val="0"/>
        <c:tickLblSkip val="1"/>
        <c:noMultiLvlLbl val="1"/>
      </c:catAx>
      <c:valAx>
        <c:axId val="179339264"/>
        <c:scaling>
          <c:orientation val="minMax"/>
          <c:min val="40"/>
        </c:scaling>
        <c:axPos val="l"/>
        <c:numFmt formatCode="0" sourceLinked="0"/>
        <c:tickLblPos val="nextTo"/>
        <c:spPr>
          <a:ln w="5916">
            <a:solidFill>
              <a:sysClr val="windowText" lastClr="000000"/>
            </a:solidFill>
          </a:ln>
        </c:spPr>
        <c:txPr>
          <a:bodyPr rot="0" vert="horz"/>
          <a:lstStyle/>
          <a:p>
            <a:pPr>
              <a:defRPr/>
            </a:pPr>
            <a:endParaRPr lang="lv-LV"/>
          </a:p>
        </c:txPr>
        <c:crossAx val="179599616"/>
        <c:crosses val="autoZero"/>
        <c:crossBetween val="between"/>
      </c:valAx>
      <c:spPr>
        <a:noFill/>
        <a:ln w="23664">
          <a:noFill/>
        </a:ln>
      </c:spPr>
    </c:plotArea>
    <c:plotVisOnly val="1"/>
    <c:dispBlanksAs val="gap"/>
  </c:chart>
  <c:spPr>
    <a:noFill/>
    <a:ln>
      <a:noFill/>
    </a:ln>
  </c:spPr>
  <c:txPr>
    <a:bodyPr/>
    <a:lstStyle/>
    <a:p>
      <a:pPr>
        <a:defRPr sz="745"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Ieguldījumi NĪ</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2014.I.</c:v>
                </c:pt>
                <c:pt idx="1">
                  <c:v>2014.II.</c:v>
                </c:pt>
                <c:pt idx="2">
                  <c:v>2014.III.</c:v>
                </c:pt>
                <c:pt idx="3">
                  <c:v>2014.IV.</c:v>
                </c:pt>
                <c:pt idx="4">
                  <c:v>2015.I.</c:v>
                </c:pt>
                <c:pt idx="5">
                  <c:v>2015.II.</c:v>
                </c:pt>
              </c:strCache>
            </c:strRef>
          </c:cat>
          <c:val>
            <c:numRef>
              <c:f>Sheet1!$B$2:$B$7</c:f>
              <c:numCache>
                <c:formatCode>#,##0</c:formatCode>
                <c:ptCount val="6"/>
                <c:pt idx="0">
                  <c:v>89756</c:v>
                </c:pt>
                <c:pt idx="1">
                  <c:v>86697</c:v>
                </c:pt>
                <c:pt idx="2">
                  <c:v>136033</c:v>
                </c:pt>
                <c:pt idx="3">
                  <c:v>76295</c:v>
                </c:pt>
                <c:pt idx="4">
                  <c:v>19246</c:v>
                </c:pt>
                <c:pt idx="5">
                  <c:v>5736</c:v>
                </c:pt>
              </c:numCache>
            </c:numRef>
          </c:val>
        </c:ser>
        <c:axId val="162953856"/>
        <c:axId val="169312640"/>
      </c:barChart>
      <c:catAx>
        <c:axId val="1629538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9312640"/>
        <c:crosses val="autoZero"/>
        <c:auto val="1"/>
        <c:lblAlgn val="ctr"/>
        <c:lblOffset val="100"/>
      </c:catAx>
      <c:valAx>
        <c:axId val="1693126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29538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Banku pakārtotās saistības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2014.I.</c:v>
                </c:pt>
                <c:pt idx="1">
                  <c:v>2014.II.</c:v>
                </c:pt>
                <c:pt idx="2">
                  <c:v>2014.III.</c:v>
                </c:pt>
                <c:pt idx="3">
                  <c:v>2014.IV.</c:v>
                </c:pt>
                <c:pt idx="4">
                  <c:v>2015.I.</c:v>
                </c:pt>
                <c:pt idx="5">
                  <c:v>2015.II.</c:v>
                </c:pt>
              </c:strCache>
            </c:strRef>
          </c:cat>
          <c:val>
            <c:numRef>
              <c:f>Sheet1!$B$2:$B$7</c:f>
              <c:numCache>
                <c:formatCode>#,##0</c:formatCode>
                <c:ptCount val="6"/>
                <c:pt idx="0">
                  <c:v>4606</c:v>
                </c:pt>
                <c:pt idx="1">
                  <c:v>12088</c:v>
                </c:pt>
                <c:pt idx="2">
                  <c:v>13451</c:v>
                </c:pt>
                <c:pt idx="3">
                  <c:v>1182</c:v>
                </c:pt>
                <c:pt idx="4">
                  <c:v>2373</c:v>
                </c:pt>
                <c:pt idx="5">
                  <c:v>2015</c:v>
                </c:pt>
              </c:numCache>
            </c:numRef>
          </c:val>
        </c:ser>
        <c:axId val="171431808"/>
        <c:axId val="171433344"/>
      </c:barChart>
      <c:catAx>
        <c:axId val="171431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1433344"/>
        <c:crosses val="autoZero"/>
        <c:auto val="1"/>
        <c:lblAlgn val="ctr"/>
        <c:lblOffset val="100"/>
      </c:catAx>
      <c:valAx>
        <c:axId val="17143334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1431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percentStacked"/>
        <c:ser>
          <c:idx val="0"/>
          <c:order val="0"/>
          <c:tx>
            <c:strRef>
              <c:f>Sheet1!$B$1</c:f>
              <c:strCache>
                <c:ptCount val="1"/>
                <c:pt idx="0">
                  <c:v>Krievija</c:v>
                </c:pt>
              </c:strCache>
            </c:strRef>
          </c:tx>
          <c:spPr>
            <a:solidFill>
              <a:schemeClr val="accent1"/>
            </a:solidFill>
            <a:ln>
              <a:noFill/>
            </a:ln>
            <a:effectLst/>
          </c:spPr>
          <c:cat>
            <c:strRef>
              <c:f>Sheet1!$A$2:$A$6</c:f>
              <c:strCache>
                <c:ptCount val="5"/>
                <c:pt idx="0">
                  <c:v>2010.-2012.</c:v>
                </c:pt>
                <c:pt idx="1">
                  <c:v>2013.</c:v>
                </c:pt>
                <c:pt idx="2">
                  <c:v>2014.</c:v>
                </c:pt>
                <c:pt idx="3">
                  <c:v>2015.I.-VI.</c:v>
                </c:pt>
                <c:pt idx="4">
                  <c:v>Kopā</c:v>
                </c:pt>
              </c:strCache>
            </c:strRef>
          </c:cat>
          <c:val>
            <c:numRef>
              <c:f>Sheet1!$B$2:$B$6</c:f>
              <c:numCache>
                <c:formatCode>General</c:formatCode>
                <c:ptCount val="5"/>
                <c:pt idx="0">
                  <c:v>3792</c:v>
                </c:pt>
                <c:pt idx="1">
                  <c:v>3108</c:v>
                </c:pt>
                <c:pt idx="2">
                  <c:v>3979</c:v>
                </c:pt>
                <c:pt idx="3">
                  <c:v>361</c:v>
                </c:pt>
                <c:pt idx="4">
                  <c:v>11194</c:v>
                </c:pt>
              </c:numCache>
            </c:numRef>
          </c:val>
        </c:ser>
        <c:ser>
          <c:idx val="1"/>
          <c:order val="1"/>
          <c:tx>
            <c:strRef>
              <c:f>Sheet1!$C$1</c:f>
              <c:strCache>
                <c:ptCount val="1"/>
                <c:pt idx="0">
                  <c:v>Ķīna</c:v>
                </c:pt>
              </c:strCache>
            </c:strRef>
          </c:tx>
          <c:spPr>
            <a:solidFill>
              <a:schemeClr val="accent2"/>
            </a:solidFill>
            <a:ln>
              <a:noFill/>
            </a:ln>
            <a:effectLst/>
          </c:spPr>
          <c:cat>
            <c:strRef>
              <c:f>Sheet1!$A$2:$A$6</c:f>
              <c:strCache>
                <c:ptCount val="5"/>
                <c:pt idx="0">
                  <c:v>2010.-2012.</c:v>
                </c:pt>
                <c:pt idx="1">
                  <c:v>2013.</c:v>
                </c:pt>
                <c:pt idx="2">
                  <c:v>2014.</c:v>
                </c:pt>
                <c:pt idx="3">
                  <c:v>2015.I.-VI.</c:v>
                </c:pt>
                <c:pt idx="4">
                  <c:v>Kopā</c:v>
                </c:pt>
              </c:strCache>
            </c:strRef>
          </c:cat>
          <c:val>
            <c:numRef>
              <c:f>Sheet1!$C$2:$C$6</c:f>
              <c:numCache>
                <c:formatCode>General</c:formatCode>
                <c:ptCount val="5"/>
                <c:pt idx="0">
                  <c:v>136</c:v>
                </c:pt>
                <c:pt idx="1">
                  <c:v>445</c:v>
                </c:pt>
                <c:pt idx="2">
                  <c:v>669</c:v>
                </c:pt>
                <c:pt idx="3">
                  <c:v>65</c:v>
                </c:pt>
                <c:pt idx="4">
                  <c:v>1315</c:v>
                </c:pt>
              </c:numCache>
            </c:numRef>
          </c:val>
        </c:ser>
        <c:ser>
          <c:idx val="2"/>
          <c:order val="2"/>
          <c:tx>
            <c:strRef>
              <c:f>Sheet1!$D$1</c:f>
              <c:strCache>
                <c:ptCount val="1"/>
                <c:pt idx="0">
                  <c:v>Ukraina</c:v>
                </c:pt>
              </c:strCache>
            </c:strRef>
          </c:tx>
          <c:spPr>
            <a:solidFill>
              <a:schemeClr val="accent3"/>
            </a:solidFill>
            <a:ln>
              <a:noFill/>
            </a:ln>
            <a:effectLst/>
          </c:spPr>
          <c:cat>
            <c:strRef>
              <c:f>Sheet1!$A$2:$A$6</c:f>
              <c:strCache>
                <c:ptCount val="5"/>
                <c:pt idx="0">
                  <c:v>2010.-2012.</c:v>
                </c:pt>
                <c:pt idx="1">
                  <c:v>2013.</c:v>
                </c:pt>
                <c:pt idx="2">
                  <c:v>2014.</c:v>
                </c:pt>
                <c:pt idx="3">
                  <c:v>2015.I.-VI.</c:v>
                </c:pt>
                <c:pt idx="4">
                  <c:v>Kopā</c:v>
                </c:pt>
              </c:strCache>
            </c:strRef>
          </c:cat>
          <c:val>
            <c:numRef>
              <c:f>Sheet1!$D$2:$D$6</c:f>
              <c:numCache>
                <c:formatCode>General</c:formatCode>
                <c:ptCount val="5"/>
                <c:pt idx="0">
                  <c:v>445</c:v>
                </c:pt>
                <c:pt idx="1">
                  <c:v>229</c:v>
                </c:pt>
                <c:pt idx="2">
                  <c:v>485</c:v>
                </c:pt>
                <c:pt idx="3">
                  <c:v>89</c:v>
                </c:pt>
                <c:pt idx="4">
                  <c:v>1248</c:v>
                </c:pt>
              </c:numCache>
            </c:numRef>
          </c:val>
        </c:ser>
        <c:ser>
          <c:idx val="3"/>
          <c:order val="3"/>
          <c:tx>
            <c:strRef>
              <c:f>Sheet1!$E$1</c:f>
              <c:strCache>
                <c:ptCount val="1"/>
                <c:pt idx="0">
                  <c:v>Uzbekistāna</c:v>
                </c:pt>
              </c:strCache>
            </c:strRef>
          </c:tx>
          <c:spPr>
            <a:solidFill>
              <a:schemeClr val="accent4"/>
            </a:solidFill>
            <a:ln>
              <a:noFill/>
            </a:ln>
            <a:effectLst/>
          </c:spPr>
          <c:cat>
            <c:strRef>
              <c:f>Sheet1!$A$2:$A$6</c:f>
              <c:strCache>
                <c:ptCount val="5"/>
                <c:pt idx="0">
                  <c:v>2010.-2012.</c:v>
                </c:pt>
                <c:pt idx="1">
                  <c:v>2013.</c:v>
                </c:pt>
                <c:pt idx="2">
                  <c:v>2014.</c:v>
                </c:pt>
                <c:pt idx="3">
                  <c:v>2015.I.-VI.</c:v>
                </c:pt>
                <c:pt idx="4">
                  <c:v>Kopā</c:v>
                </c:pt>
              </c:strCache>
            </c:strRef>
          </c:cat>
          <c:val>
            <c:numRef>
              <c:f>Sheet1!$E$2:$E$6</c:f>
              <c:numCache>
                <c:formatCode>General</c:formatCode>
                <c:ptCount val="5"/>
                <c:pt idx="0">
                  <c:v>172</c:v>
                </c:pt>
                <c:pt idx="1">
                  <c:v>251</c:v>
                </c:pt>
                <c:pt idx="2">
                  <c:v>223</c:v>
                </c:pt>
                <c:pt idx="3">
                  <c:v>25</c:v>
                </c:pt>
                <c:pt idx="4">
                  <c:v>671</c:v>
                </c:pt>
              </c:numCache>
            </c:numRef>
          </c:val>
        </c:ser>
        <c:ser>
          <c:idx val="4"/>
          <c:order val="4"/>
          <c:tx>
            <c:strRef>
              <c:f>Sheet1!$F$1</c:f>
              <c:strCache>
                <c:ptCount val="1"/>
                <c:pt idx="0">
                  <c:v>Kazahstāna</c:v>
                </c:pt>
              </c:strCache>
            </c:strRef>
          </c:tx>
          <c:spPr>
            <a:solidFill>
              <a:schemeClr val="accent5"/>
            </a:solidFill>
            <a:ln>
              <a:noFill/>
            </a:ln>
            <a:effectLst/>
          </c:spPr>
          <c:cat>
            <c:strRef>
              <c:f>Sheet1!$A$2:$A$6</c:f>
              <c:strCache>
                <c:ptCount val="5"/>
                <c:pt idx="0">
                  <c:v>2010.-2012.</c:v>
                </c:pt>
                <c:pt idx="1">
                  <c:v>2013.</c:v>
                </c:pt>
                <c:pt idx="2">
                  <c:v>2014.</c:v>
                </c:pt>
                <c:pt idx="3">
                  <c:v>2015.I.-VI.</c:v>
                </c:pt>
                <c:pt idx="4">
                  <c:v>Kopā</c:v>
                </c:pt>
              </c:strCache>
            </c:strRef>
          </c:cat>
          <c:val>
            <c:numRef>
              <c:f>Sheet1!$F$2:$F$6</c:f>
              <c:numCache>
                <c:formatCode>General</c:formatCode>
                <c:ptCount val="5"/>
                <c:pt idx="0">
                  <c:v>293</c:v>
                </c:pt>
                <c:pt idx="1">
                  <c:v>164</c:v>
                </c:pt>
                <c:pt idx="2">
                  <c:v>113</c:v>
                </c:pt>
                <c:pt idx="3">
                  <c:v>26</c:v>
                </c:pt>
                <c:pt idx="4">
                  <c:v>596</c:v>
                </c:pt>
              </c:numCache>
            </c:numRef>
          </c:val>
        </c:ser>
        <c:ser>
          <c:idx val="5"/>
          <c:order val="5"/>
          <c:tx>
            <c:strRef>
              <c:f>Sheet1!$G$1</c:f>
              <c:strCache>
                <c:ptCount val="1"/>
                <c:pt idx="0">
                  <c:v>Baltkrievija</c:v>
                </c:pt>
              </c:strCache>
            </c:strRef>
          </c:tx>
          <c:spPr>
            <a:solidFill>
              <a:schemeClr val="accent6"/>
            </a:solidFill>
            <a:ln>
              <a:noFill/>
            </a:ln>
            <a:effectLst/>
          </c:spPr>
          <c:cat>
            <c:strRef>
              <c:f>Sheet1!$A$2:$A$6</c:f>
              <c:strCache>
                <c:ptCount val="5"/>
                <c:pt idx="0">
                  <c:v>2010.-2012.</c:v>
                </c:pt>
                <c:pt idx="1">
                  <c:v>2013.</c:v>
                </c:pt>
                <c:pt idx="2">
                  <c:v>2014.</c:v>
                </c:pt>
                <c:pt idx="3">
                  <c:v>2015.I.-VI.</c:v>
                </c:pt>
                <c:pt idx="4">
                  <c:v>Kopā</c:v>
                </c:pt>
              </c:strCache>
            </c:strRef>
          </c:cat>
          <c:val>
            <c:numRef>
              <c:f>Sheet1!$G$2:$G$6</c:f>
              <c:numCache>
                <c:formatCode>General</c:formatCode>
                <c:ptCount val="5"/>
                <c:pt idx="0">
                  <c:v>129</c:v>
                </c:pt>
                <c:pt idx="1">
                  <c:v>100</c:v>
                </c:pt>
                <c:pt idx="2">
                  <c:v>93</c:v>
                </c:pt>
                <c:pt idx="3">
                  <c:v>6</c:v>
                </c:pt>
                <c:pt idx="4">
                  <c:v>328</c:v>
                </c:pt>
              </c:numCache>
            </c:numRef>
          </c:val>
        </c:ser>
        <c:ser>
          <c:idx val="6"/>
          <c:order val="6"/>
          <c:tx>
            <c:strRef>
              <c:f>Sheet1!$H$1</c:f>
              <c:strCache>
                <c:ptCount val="1"/>
                <c:pt idx="0">
                  <c:v>Azerbaidžāna</c:v>
                </c:pt>
              </c:strCache>
            </c:strRef>
          </c:tx>
          <c:spPr>
            <a:solidFill>
              <a:schemeClr val="accent1">
                <a:lumMod val="60000"/>
              </a:schemeClr>
            </a:solidFill>
            <a:ln>
              <a:noFill/>
            </a:ln>
            <a:effectLst/>
          </c:spPr>
          <c:cat>
            <c:strRef>
              <c:f>Sheet1!$A$2:$A$6</c:f>
              <c:strCache>
                <c:ptCount val="5"/>
                <c:pt idx="0">
                  <c:v>2010.-2012.</c:v>
                </c:pt>
                <c:pt idx="1">
                  <c:v>2013.</c:v>
                </c:pt>
                <c:pt idx="2">
                  <c:v>2014.</c:v>
                </c:pt>
                <c:pt idx="3">
                  <c:v>2015.I.-VI.</c:v>
                </c:pt>
                <c:pt idx="4">
                  <c:v>Kopā</c:v>
                </c:pt>
              </c:strCache>
            </c:strRef>
          </c:cat>
          <c:val>
            <c:numRef>
              <c:f>Sheet1!$H$2:$H$6</c:f>
              <c:numCache>
                <c:formatCode>General</c:formatCode>
                <c:ptCount val="5"/>
                <c:pt idx="0">
                  <c:v>57</c:v>
                </c:pt>
                <c:pt idx="1">
                  <c:v>61</c:v>
                </c:pt>
                <c:pt idx="2">
                  <c:v>92</c:v>
                </c:pt>
                <c:pt idx="3">
                  <c:v>15</c:v>
                </c:pt>
                <c:pt idx="4">
                  <c:v>225</c:v>
                </c:pt>
              </c:numCache>
            </c:numRef>
          </c:val>
        </c:ser>
        <c:ser>
          <c:idx val="7"/>
          <c:order val="7"/>
          <c:tx>
            <c:strRef>
              <c:f>Sheet1!$I$1</c:f>
              <c:strCache>
                <c:ptCount val="1"/>
                <c:pt idx="0">
                  <c:v>ASV</c:v>
                </c:pt>
              </c:strCache>
            </c:strRef>
          </c:tx>
          <c:spPr>
            <a:solidFill>
              <a:schemeClr val="accent2">
                <a:lumMod val="60000"/>
              </a:schemeClr>
            </a:solidFill>
            <a:ln>
              <a:noFill/>
            </a:ln>
            <a:effectLst/>
          </c:spPr>
          <c:cat>
            <c:strRef>
              <c:f>Sheet1!$A$2:$A$6</c:f>
              <c:strCache>
                <c:ptCount val="5"/>
                <c:pt idx="0">
                  <c:v>2010.-2012.</c:v>
                </c:pt>
                <c:pt idx="1">
                  <c:v>2013.</c:v>
                </c:pt>
                <c:pt idx="2">
                  <c:v>2014.</c:v>
                </c:pt>
                <c:pt idx="3">
                  <c:v>2015.I.-VI.</c:v>
                </c:pt>
                <c:pt idx="4">
                  <c:v>Kopā</c:v>
                </c:pt>
              </c:strCache>
            </c:strRef>
          </c:cat>
          <c:val>
            <c:numRef>
              <c:f>Sheet1!$I$2:$I$6</c:f>
              <c:numCache>
                <c:formatCode>General</c:formatCode>
                <c:ptCount val="5"/>
                <c:pt idx="0">
                  <c:v>23</c:v>
                </c:pt>
                <c:pt idx="1">
                  <c:v>11</c:v>
                </c:pt>
                <c:pt idx="2">
                  <c:v>17</c:v>
                </c:pt>
                <c:pt idx="3">
                  <c:v>1</c:v>
                </c:pt>
                <c:pt idx="4">
                  <c:v>52</c:v>
                </c:pt>
              </c:numCache>
            </c:numRef>
          </c:val>
        </c:ser>
        <c:ser>
          <c:idx val="8"/>
          <c:order val="8"/>
          <c:tx>
            <c:strRef>
              <c:f>Sheet1!$J$1</c:f>
              <c:strCache>
                <c:ptCount val="1"/>
                <c:pt idx="0">
                  <c:v>Citas valstis</c:v>
                </c:pt>
              </c:strCache>
            </c:strRef>
          </c:tx>
          <c:spPr>
            <a:solidFill>
              <a:schemeClr val="accent3">
                <a:lumMod val="60000"/>
              </a:schemeClr>
            </a:solidFill>
            <a:ln>
              <a:noFill/>
            </a:ln>
            <a:effectLst/>
          </c:spPr>
          <c:cat>
            <c:strRef>
              <c:f>Sheet1!$A$2:$A$6</c:f>
              <c:strCache>
                <c:ptCount val="5"/>
                <c:pt idx="0">
                  <c:v>2010.-2012.</c:v>
                </c:pt>
                <c:pt idx="1">
                  <c:v>2013.</c:v>
                </c:pt>
                <c:pt idx="2">
                  <c:v>2014.</c:v>
                </c:pt>
                <c:pt idx="3">
                  <c:v>2015.I.-VI.</c:v>
                </c:pt>
                <c:pt idx="4">
                  <c:v>Kopā</c:v>
                </c:pt>
              </c:strCache>
            </c:strRef>
          </c:cat>
          <c:val>
            <c:numRef>
              <c:f>Sheet1!$J$2:$J$6</c:f>
              <c:numCache>
                <c:formatCode>General</c:formatCode>
                <c:ptCount val="5"/>
                <c:pt idx="0">
                  <c:v>140</c:v>
                </c:pt>
                <c:pt idx="1">
                  <c:v>139</c:v>
                </c:pt>
                <c:pt idx="2">
                  <c:v>273</c:v>
                </c:pt>
                <c:pt idx="3">
                  <c:v>68</c:v>
                </c:pt>
                <c:pt idx="4">
                  <c:v>666</c:v>
                </c:pt>
              </c:numCache>
            </c:numRef>
          </c:val>
        </c:ser>
        <c:overlap val="100"/>
        <c:axId val="174728704"/>
        <c:axId val="177672576"/>
      </c:barChart>
      <c:catAx>
        <c:axId val="174728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7672576"/>
        <c:crosses val="autoZero"/>
        <c:auto val="1"/>
        <c:lblAlgn val="ctr"/>
        <c:lblOffset val="100"/>
      </c:catAx>
      <c:valAx>
        <c:axId val="1776725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4728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Sheet1!$A$1:$A$12</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 (I)</c:v>
                </c:pt>
              </c:strCache>
            </c:strRef>
          </c:cat>
          <c:val>
            <c:numRef>
              <c:f>Sheet1!$B$1:$B$12</c:f>
              <c:numCache>
                <c:formatCode>General</c:formatCode>
                <c:ptCount val="12"/>
                <c:pt idx="0">
                  <c:v>2061</c:v>
                </c:pt>
                <c:pt idx="1">
                  <c:v>2396</c:v>
                </c:pt>
                <c:pt idx="2">
                  <c:v>2928</c:v>
                </c:pt>
                <c:pt idx="3">
                  <c:v>4831</c:v>
                </c:pt>
                <c:pt idx="4">
                  <c:v>4609</c:v>
                </c:pt>
                <c:pt idx="5">
                  <c:v>2388</c:v>
                </c:pt>
                <c:pt idx="6">
                  <c:v>2495</c:v>
                </c:pt>
                <c:pt idx="7">
                  <c:v>4824</c:v>
                </c:pt>
                <c:pt idx="8">
                  <c:v>6365</c:v>
                </c:pt>
                <c:pt idx="9">
                  <c:v>8170</c:v>
                </c:pt>
                <c:pt idx="10">
                  <c:v>10504</c:v>
                </c:pt>
                <c:pt idx="11">
                  <c:v>3288</c:v>
                </c:pt>
              </c:numCache>
            </c:numRef>
          </c:val>
        </c:ser>
        <c:gapWidth val="219"/>
        <c:overlap val="-27"/>
        <c:axId val="174509056"/>
        <c:axId val="174514944"/>
      </c:barChart>
      <c:catAx>
        <c:axId val="174509056"/>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4514944"/>
        <c:crosses val="autoZero"/>
        <c:auto val="1"/>
        <c:lblAlgn val="ctr"/>
        <c:lblOffset val="100"/>
      </c:catAx>
      <c:valAx>
        <c:axId val="1745149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4509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stacked"/>
        <c:ser>
          <c:idx val="0"/>
          <c:order val="0"/>
          <c:tx>
            <c:strRef>
              <c:f>Sheet2!$B$1</c:f>
              <c:strCache>
                <c:ptCount val="1"/>
                <c:pt idx="0">
                  <c:v>Ģimene</c:v>
                </c:pt>
              </c:strCache>
            </c:strRef>
          </c:tx>
          <c:cat>
            <c:strRef>
              <c:f>Sheet2!$A$2:$A$10</c:f>
              <c:strCache>
                <c:ptCount val="9"/>
                <c:pt idx="0">
                  <c:v>2007</c:v>
                </c:pt>
                <c:pt idx="1">
                  <c:v>2008</c:v>
                </c:pt>
                <c:pt idx="2">
                  <c:v>2009</c:v>
                </c:pt>
                <c:pt idx="3">
                  <c:v>2010</c:v>
                </c:pt>
                <c:pt idx="4">
                  <c:v>2011</c:v>
                </c:pt>
                <c:pt idx="5">
                  <c:v>2012</c:v>
                </c:pt>
                <c:pt idx="6">
                  <c:v>2013</c:v>
                </c:pt>
                <c:pt idx="7">
                  <c:v>2014</c:v>
                </c:pt>
                <c:pt idx="8">
                  <c:v>2015 (I)</c:v>
                </c:pt>
              </c:strCache>
            </c:strRef>
          </c:cat>
          <c:val>
            <c:numRef>
              <c:f>Sheet2!$B$2:$B$10</c:f>
              <c:numCache>
                <c:formatCode>General</c:formatCode>
                <c:ptCount val="9"/>
                <c:pt idx="0">
                  <c:v>981</c:v>
                </c:pt>
                <c:pt idx="1">
                  <c:v>907</c:v>
                </c:pt>
                <c:pt idx="2">
                  <c:v>586</c:v>
                </c:pt>
                <c:pt idx="3">
                  <c:v>574</c:v>
                </c:pt>
                <c:pt idx="4">
                  <c:v>669</c:v>
                </c:pt>
                <c:pt idx="5">
                  <c:v>736</c:v>
                </c:pt>
                <c:pt idx="6">
                  <c:v>739</c:v>
                </c:pt>
                <c:pt idx="7">
                  <c:v>1025</c:v>
                </c:pt>
                <c:pt idx="8">
                  <c:v>420</c:v>
                </c:pt>
              </c:numCache>
            </c:numRef>
          </c:val>
        </c:ser>
        <c:ser>
          <c:idx val="1"/>
          <c:order val="1"/>
          <c:tx>
            <c:strRef>
              <c:f>Sheet2!$C$1</c:f>
              <c:strCache>
                <c:ptCount val="1"/>
                <c:pt idx="0">
                  <c:v>Darbs</c:v>
                </c:pt>
              </c:strCache>
            </c:strRef>
          </c:tx>
          <c:cat>
            <c:strRef>
              <c:f>Sheet2!$A$2:$A$10</c:f>
              <c:strCache>
                <c:ptCount val="9"/>
                <c:pt idx="0">
                  <c:v>2007</c:v>
                </c:pt>
                <c:pt idx="1">
                  <c:v>2008</c:v>
                </c:pt>
                <c:pt idx="2">
                  <c:v>2009</c:v>
                </c:pt>
                <c:pt idx="3">
                  <c:v>2010</c:v>
                </c:pt>
                <c:pt idx="4">
                  <c:v>2011</c:v>
                </c:pt>
                <c:pt idx="5">
                  <c:v>2012</c:v>
                </c:pt>
                <c:pt idx="6">
                  <c:v>2013</c:v>
                </c:pt>
                <c:pt idx="7">
                  <c:v>2014</c:v>
                </c:pt>
                <c:pt idx="8">
                  <c:v>2015 (I)</c:v>
                </c:pt>
              </c:strCache>
            </c:strRef>
          </c:cat>
          <c:val>
            <c:numRef>
              <c:f>Sheet2!$C$2:$C$10</c:f>
              <c:numCache>
                <c:formatCode>General</c:formatCode>
                <c:ptCount val="9"/>
                <c:pt idx="0">
                  <c:v>3048</c:v>
                </c:pt>
                <c:pt idx="1">
                  <c:v>2836</c:v>
                </c:pt>
                <c:pt idx="2">
                  <c:v>908</c:v>
                </c:pt>
                <c:pt idx="3">
                  <c:v>854</c:v>
                </c:pt>
                <c:pt idx="4">
                  <c:v>1231</c:v>
                </c:pt>
                <c:pt idx="5">
                  <c:v>1383</c:v>
                </c:pt>
                <c:pt idx="6">
                  <c:v>1372</c:v>
                </c:pt>
                <c:pt idx="7">
                  <c:v>1790</c:v>
                </c:pt>
                <c:pt idx="8">
                  <c:v>1141</c:v>
                </c:pt>
              </c:numCache>
            </c:numRef>
          </c:val>
        </c:ser>
        <c:ser>
          <c:idx val="2"/>
          <c:order val="2"/>
          <c:tx>
            <c:strRef>
              <c:f>Sheet2!$D$1</c:f>
              <c:strCache>
                <c:ptCount val="1"/>
                <c:pt idx="0">
                  <c:v>Studijas </c:v>
                </c:pt>
              </c:strCache>
            </c:strRef>
          </c:tx>
          <c:cat>
            <c:strRef>
              <c:f>Sheet2!$A$2:$A$10</c:f>
              <c:strCache>
                <c:ptCount val="9"/>
                <c:pt idx="0">
                  <c:v>2007</c:v>
                </c:pt>
                <c:pt idx="1">
                  <c:v>2008</c:v>
                </c:pt>
                <c:pt idx="2">
                  <c:v>2009</c:v>
                </c:pt>
                <c:pt idx="3">
                  <c:v>2010</c:v>
                </c:pt>
                <c:pt idx="4">
                  <c:v>2011</c:v>
                </c:pt>
                <c:pt idx="5">
                  <c:v>2012</c:v>
                </c:pt>
                <c:pt idx="6">
                  <c:v>2013</c:v>
                </c:pt>
                <c:pt idx="7">
                  <c:v>2014</c:v>
                </c:pt>
                <c:pt idx="8">
                  <c:v>2015 (I)</c:v>
                </c:pt>
              </c:strCache>
            </c:strRef>
          </c:cat>
          <c:val>
            <c:numRef>
              <c:f>Sheet2!$D$2:$D$10</c:f>
              <c:numCache>
                <c:formatCode>General</c:formatCode>
                <c:ptCount val="9"/>
                <c:pt idx="0">
                  <c:v>460</c:v>
                </c:pt>
                <c:pt idx="1">
                  <c:v>529</c:v>
                </c:pt>
                <c:pt idx="2">
                  <c:v>472</c:v>
                </c:pt>
                <c:pt idx="3">
                  <c:v>534</c:v>
                </c:pt>
                <c:pt idx="4">
                  <c:v>771</c:v>
                </c:pt>
                <c:pt idx="5">
                  <c:v>1156</c:v>
                </c:pt>
                <c:pt idx="6">
                  <c:v>1300</c:v>
                </c:pt>
                <c:pt idx="7">
                  <c:v>1485</c:v>
                </c:pt>
                <c:pt idx="8">
                  <c:v>583</c:v>
                </c:pt>
              </c:numCache>
            </c:numRef>
          </c:val>
        </c:ser>
        <c:ser>
          <c:idx val="3"/>
          <c:order val="3"/>
          <c:tx>
            <c:strRef>
              <c:f>Sheet2!$E$1</c:f>
              <c:strCache>
                <c:ptCount val="1"/>
                <c:pt idx="0">
                  <c:v>Investīcijas</c:v>
                </c:pt>
              </c:strCache>
            </c:strRef>
          </c:tx>
          <c:cat>
            <c:strRef>
              <c:f>Sheet2!$A$2:$A$10</c:f>
              <c:strCache>
                <c:ptCount val="9"/>
                <c:pt idx="0">
                  <c:v>2007</c:v>
                </c:pt>
                <c:pt idx="1">
                  <c:v>2008</c:v>
                </c:pt>
                <c:pt idx="2">
                  <c:v>2009</c:v>
                </c:pt>
                <c:pt idx="3">
                  <c:v>2010</c:v>
                </c:pt>
                <c:pt idx="4">
                  <c:v>2011</c:v>
                </c:pt>
                <c:pt idx="5">
                  <c:v>2012</c:v>
                </c:pt>
                <c:pt idx="6">
                  <c:v>2013</c:v>
                </c:pt>
                <c:pt idx="7">
                  <c:v>2014</c:v>
                </c:pt>
                <c:pt idx="8">
                  <c:v>2015 (I)</c:v>
                </c:pt>
              </c:strCache>
            </c:strRef>
          </c:cat>
          <c:val>
            <c:numRef>
              <c:f>Sheet2!$E$2:$E$10</c:f>
              <c:numCache>
                <c:formatCode>General</c:formatCode>
                <c:ptCount val="9"/>
                <c:pt idx="0">
                  <c:v>0</c:v>
                </c:pt>
                <c:pt idx="1">
                  <c:v>0</c:v>
                </c:pt>
                <c:pt idx="2">
                  <c:v>0</c:v>
                </c:pt>
                <c:pt idx="3">
                  <c:v>48</c:v>
                </c:pt>
                <c:pt idx="4">
                  <c:v>1674</c:v>
                </c:pt>
                <c:pt idx="5">
                  <c:v>2573</c:v>
                </c:pt>
                <c:pt idx="6">
                  <c:v>3410</c:v>
                </c:pt>
                <c:pt idx="7">
                  <c:v>5603</c:v>
                </c:pt>
                <c:pt idx="8">
                  <c:v>869</c:v>
                </c:pt>
              </c:numCache>
            </c:numRef>
          </c:val>
        </c:ser>
        <c:ser>
          <c:idx val="4"/>
          <c:order val="4"/>
          <c:tx>
            <c:strRef>
              <c:f>Sheet2!$F$1</c:f>
              <c:strCache>
                <c:ptCount val="1"/>
                <c:pt idx="0">
                  <c:v>Cits iemesls</c:v>
                </c:pt>
              </c:strCache>
            </c:strRef>
          </c:tx>
          <c:cat>
            <c:strRef>
              <c:f>Sheet2!$A$2:$A$10</c:f>
              <c:strCache>
                <c:ptCount val="9"/>
                <c:pt idx="0">
                  <c:v>2007</c:v>
                </c:pt>
                <c:pt idx="1">
                  <c:v>2008</c:v>
                </c:pt>
                <c:pt idx="2">
                  <c:v>2009</c:v>
                </c:pt>
                <c:pt idx="3">
                  <c:v>2010</c:v>
                </c:pt>
                <c:pt idx="4">
                  <c:v>2011</c:v>
                </c:pt>
                <c:pt idx="5">
                  <c:v>2012</c:v>
                </c:pt>
                <c:pt idx="6">
                  <c:v>2013</c:v>
                </c:pt>
                <c:pt idx="7">
                  <c:v>2014</c:v>
                </c:pt>
                <c:pt idx="8">
                  <c:v>2015 (I)</c:v>
                </c:pt>
              </c:strCache>
            </c:strRef>
          </c:cat>
          <c:val>
            <c:numRef>
              <c:f>Sheet2!$F$2:$F$10</c:f>
              <c:numCache>
                <c:formatCode>General</c:formatCode>
                <c:ptCount val="9"/>
                <c:pt idx="0">
                  <c:v>342</c:v>
                </c:pt>
                <c:pt idx="1">
                  <c:v>327</c:v>
                </c:pt>
                <c:pt idx="2">
                  <c:v>342</c:v>
                </c:pt>
                <c:pt idx="3">
                  <c:v>485</c:v>
                </c:pt>
                <c:pt idx="4">
                  <c:v>479</c:v>
                </c:pt>
                <c:pt idx="5">
                  <c:v>517</c:v>
                </c:pt>
                <c:pt idx="6">
                  <c:v>533</c:v>
                </c:pt>
                <c:pt idx="7">
                  <c:v>601</c:v>
                </c:pt>
                <c:pt idx="8">
                  <c:v>275</c:v>
                </c:pt>
              </c:numCache>
            </c:numRef>
          </c:val>
        </c:ser>
        <c:overlap val="100"/>
        <c:axId val="174545536"/>
        <c:axId val="174555520"/>
      </c:barChart>
      <c:catAx>
        <c:axId val="174545536"/>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174555520"/>
        <c:crosses val="autoZero"/>
        <c:auto val="1"/>
        <c:lblAlgn val="ctr"/>
        <c:lblOffset val="100"/>
      </c:catAx>
      <c:valAx>
        <c:axId val="174555520"/>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174545536"/>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plotArea>
      <c:layout/>
      <c:barChart>
        <c:barDir val="col"/>
        <c:grouping val="clustered"/>
        <c:ser>
          <c:idx val="0"/>
          <c:order val="0"/>
          <c:tx>
            <c:strRef>
              <c:f>Sheet1!$A$2</c:f>
              <c:strCache>
                <c:ptCount val="1"/>
                <c:pt idx="0">
                  <c:v>Neto ĀTI Latvijā</c:v>
                </c:pt>
              </c:strCache>
            </c:strRef>
          </c:tx>
          <c:dLbls>
            <c:dLbl>
              <c:idx val="0"/>
              <c:layout>
                <c:manualLayout>
                  <c:x val="2.1505376344086041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Sheet1!$B$1:$J$1</c:f>
              <c:strCache>
                <c:ptCount val="9"/>
                <c:pt idx="0">
                  <c:v>2007</c:v>
                </c:pt>
                <c:pt idx="1">
                  <c:v>2008</c:v>
                </c:pt>
                <c:pt idx="2">
                  <c:v>2009</c:v>
                </c:pt>
                <c:pt idx="3">
                  <c:v>2010</c:v>
                </c:pt>
                <c:pt idx="4">
                  <c:v>2011</c:v>
                </c:pt>
                <c:pt idx="5">
                  <c:v>2012</c:v>
                </c:pt>
                <c:pt idx="6">
                  <c:v>2013</c:v>
                </c:pt>
                <c:pt idx="7">
                  <c:v>2014</c:v>
                </c:pt>
                <c:pt idx="8">
                  <c:v>2015 I-VI</c:v>
                </c:pt>
              </c:strCache>
            </c:strRef>
          </c:cat>
          <c:val>
            <c:numRef>
              <c:f>Sheet1!$B$2:$J$2</c:f>
              <c:numCache>
                <c:formatCode>General</c:formatCode>
                <c:ptCount val="9"/>
                <c:pt idx="0">
                  <c:v>1697.76</c:v>
                </c:pt>
                <c:pt idx="1">
                  <c:v>862.95999999999947</c:v>
                </c:pt>
                <c:pt idx="2">
                  <c:v>67.579999999999956</c:v>
                </c:pt>
                <c:pt idx="3">
                  <c:v>286.45999999999964</c:v>
                </c:pt>
                <c:pt idx="4">
                  <c:v>1045.3599999999999</c:v>
                </c:pt>
                <c:pt idx="5">
                  <c:v>863.19000000000051</c:v>
                </c:pt>
                <c:pt idx="6">
                  <c:v>680.19</c:v>
                </c:pt>
                <c:pt idx="7">
                  <c:v>355.15000000000032</c:v>
                </c:pt>
                <c:pt idx="8">
                  <c:v>215.69</c:v>
                </c:pt>
              </c:numCache>
            </c:numRef>
          </c:val>
        </c:ser>
        <c:ser>
          <c:idx val="1"/>
          <c:order val="1"/>
          <c:tx>
            <c:strRef>
              <c:f>Sheet1!$A$3</c:f>
              <c:strCache>
                <c:ptCount val="1"/>
                <c:pt idx="0">
                  <c:v>Saistībā ar TUA attiecināmie ieguldījumi</c:v>
                </c:pt>
              </c:strCache>
            </c:strRef>
          </c:tx>
          <c:dLbls>
            <c:spPr>
              <a:noFill/>
              <a:ln>
                <a:noFill/>
              </a:ln>
              <a:effectLst/>
            </c:spPr>
            <c:showVal val="1"/>
            <c:extLst>
              <c:ext xmlns:c15="http://schemas.microsoft.com/office/drawing/2012/chart" uri="{CE6537A1-D6FC-4f65-9D91-7224C49458BB}">
                <c15:layout/>
                <c15:showLeaderLines val="0"/>
              </c:ext>
            </c:extLst>
          </c:dLbls>
          <c:cat>
            <c:strRef>
              <c:f>Sheet1!$B$1:$J$1</c:f>
              <c:strCache>
                <c:ptCount val="9"/>
                <c:pt idx="0">
                  <c:v>2007</c:v>
                </c:pt>
                <c:pt idx="1">
                  <c:v>2008</c:v>
                </c:pt>
                <c:pt idx="2">
                  <c:v>2009</c:v>
                </c:pt>
                <c:pt idx="3">
                  <c:v>2010</c:v>
                </c:pt>
                <c:pt idx="4">
                  <c:v>2011</c:v>
                </c:pt>
                <c:pt idx="5">
                  <c:v>2012</c:v>
                </c:pt>
                <c:pt idx="6">
                  <c:v>2013</c:v>
                </c:pt>
                <c:pt idx="7">
                  <c:v>2014</c:v>
                </c:pt>
                <c:pt idx="8">
                  <c:v>2015 I-VI</c:v>
                </c:pt>
              </c:strCache>
            </c:strRef>
          </c:cat>
          <c:val>
            <c:numRef>
              <c:f>Sheet1!$B$3:$J$3</c:f>
              <c:numCache>
                <c:formatCode>General</c:formatCode>
                <c:ptCount val="9"/>
                <c:pt idx="3">
                  <c:v>28.43</c:v>
                </c:pt>
                <c:pt idx="4">
                  <c:v>177.31</c:v>
                </c:pt>
                <c:pt idx="5">
                  <c:v>249.85000000000039</c:v>
                </c:pt>
                <c:pt idx="6">
                  <c:v>360.37</c:v>
                </c:pt>
                <c:pt idx="7">
                  <c:v>447.46999999999969</c:v>
                </c:pt>
                <c:pt idx="8">
                  <c:v>50.84</c:v>
                </c:pt>
              </c:numCache>
            </c:numRef>
          </c:val>
        </c:ser>
        <c:ser>
          <c:idx val="2"/>
          <c:order val="2"/>
          <c:tx>
            <c:strRef>
              <c:f>Sheet1!$A$4</c:f>
              <c:strCache>
                <c:ptCount val="1"/>
                <c:pt idx="0">
                  <c:v>Attiecinātie ieguldījumi nekustamo īpašumu nozarē saistībā ar TUA</c:v>
                </c:pt>
              </c:strCache>
            </c:strRef>
          </c:tx>
          <c:cat>
            <c:strRef>
              <c:f>Sheet1!$B$1:$J$1</c:f>
              <c:strCache>
                <c:ptCount val="9"/>
                <c:pt idx="0">
                  <c:v>2007</c:v>
                </c:pt>
                <c:pt idx="1">
                  <c:v>2008</c:v>
                </c:pt>
                <c:pt idx="2">
                  <c:v>2009</c:v>
                </c:pt>
                <c:pt idx="3">
                  <c:v>2010</c:v>
                </c:pt>
                <c:pt idx="4">
                  <c:v>2011</c:v>
                </c:pt>
                <c:pt idx="5">
                  <c:v>2012</c:v>
                </c:pt>
                <c:pt idx="6">
                  <c:v>2013</c:v>
                </c:pt>
                <c:pt idx="7">
                  <c:v>2014</c:v>
                </c:pt>
                <c:pt idx="8">
                  <c:v>2015 I-VI</c:v>
                </c:pt>
              </c:strCache>
            </c:strRef>
          </c:cat>
          <c:val>
            <c:numRef>
              <c:f>Sheet1!$B$4:$J$4</c:f>
              <c:numCache>
                <c:formatCode>General</c:formatCode>
                <c:ptCount val="9"/>
                <c:pt idx="3">
                  <c:v>15.84</c:v>
                </c:pt>
                <c:pt idx="4">
                  <c:v>138.6</c:v>
                </c:pt>
                <c:pt idx="5">
                  <c:v>208.04</c:v>
                </c:pt>
                <c:pt idx="6">
                  <c:v>296.97000000000003</c:v>
                </c:pt>
                <c:pt idx="7">
                  <c:v>397.31</c:v>
                </c:pt>
                <c:pt idx="8">
                  <c:v>37.67</c:v>
                </c:pt>
              </c:numCache>
            </c:numRef>
          </c:val>
        </c:ser>
        <c:axId val="174586496"/>
        <c:axId val="174739840"/>
      </c:barChart>
      <c:catAx>
        <c:axId val="174586496"/>
        <c:scaling>
          <c:orientation val="minMax"/>
        </c:scaling>
        <c:axPos val="b"/>
        <c:numFmt formatCode="General" sourceLinked="0"/>
        <c:tickLblPos val="nextTo"/>
        <c:crossAx val="174739840"/>
        <c:crosses val="autoZero"/>
        <c:auto val="1"/>
        <c:lblAlgn val="ctr"/>
        <c:lblOffset val="100"/>
      </c:catAx>
      <c:valAx>
        <c:axId val="174739840"/>
        <c:scaling>
          <c:orientation val="minMax"/>
        </c:scaling>
        <c:axPos val="l"/>
        <c:majorGridlines>
          <c:spPr>
            <a:ln>
              <a:noFill/>
            </a:ln>
          </c:spPr>
        </c:majorGridlines>
        <c:numFmt formatCode="General" sourceLinked="1"/>
        <c:tickLblPos val="nextTo"/>
        <c:crossAx val="174586496"/>
        <c:crosses val="autoZero"/>
        <c:crossBetween val="between"/>
      </c:valAx>
    </c:plotArea>
    <c:legend>
      <c:legendPos val="r"/>
      <c:layout>
        <c:manualLayout>
          <c:xMode val="edge"/>
          <c:yMode val="edge"/>
          <c:x val="0.55036867703365033"/>
          <c:y val="4.4358107274208324E-2"/>
          <c:w val="0.44253755914919229"/>
          <c:h val="0.32089551501987196"/>
        </c:manualLayout>
      </c:layout>
      <c:overlay val="1"/>
      <c:spPr>
        <a:noFill/>
      </c:sp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plotArea>
      <c:layout/>
      <c:pieChart>
        <c:varyColors val="1"/>
        <c:ser>
          <c:idx val="0"/>
          <c:order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c:ext xmlns:c15="http://schemas.microsoft.com/office/drawing/2012/chart" uri="{CE6537A1-D6FC-4f65-9D91-7224C49458BB}">
                <c15:layout/>
              </c:ext>
            </c:extLst>
          </c:dLbls>
          <c:cat>
            <c:strRef>
              <c:f>Sheet2!$A$2:$A$8</c:f>
              <c:strCache>
                <c:ptCount val="7"/>
                <c:pt idx="0">
                  <c:v>Krievija</c:v>
                </c:pt>
                <c:pt idx="1">
                  <c:v>Ķīna</c:v>
                </c:pt>
                <c:pt idx="2">
                  <c:v>Ukraina</c:v>
                </c:pt>
                <c:pt idx="3">
                  <c:v>Uzbekistāna</c:v>
                </c:pt>
                <c:pt idx="4">
                  <c:v>Kazahstāna</c:v>
                </c:pt>
                <c:pt idx="5">
                  <c:v>Baltkrievija</c:v>
                </c:pt>
                <c:pt idx="6">
                  <c:v>Citi</c:v>
                </c:pt>
              </c:strCache>
            </c:strRef>
          </c:cat>
          <c:val>
            <c:numRef>
              <c:f>Sheet2!$B$2:$B$8</c:f>
              <c:numCache>
                <c:formatCode>0%</c:formatCode>
                <c:ptCount val="7"/>
                <c:pt idx="0">
                  <c:v>0.69000000000000061</c:v>
                </c:pt>
                <c:pt idx="1">
                  <c:v>8.0000000000000043E-2</c:v>
                </c:pt>
                <c:pt idx="2">
                  <c:v>8.0000000000000043E-2</c:v>
                </c:pt>
                <c:pt idx="3">
                  <c:v>4.0000000000000022E-2</c:v>
                </c:pt>
                <c:pt idx="4">
                  <c:v>4.0000000000000022E-2</c:v>
                </c:pt>
                <c:pt idx="5">
                  <c:v>2.0000000000000011E-2</c:v>
                </c:pt>
                <c:pt idx="6">
                  <c:v>0.05</c:v>
                </c:pt>
              </c:numCache>
            </c:numRef>
          </c:val>
        </c:ser>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B812-0EBB-464C-BA89-AC1E7B83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51445</Words>
  <Characters>29324</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Informatīvais ziņojums par Imigrācijas likuma 23.panta pirmās daļas 3., 28., 29. un 30.punktā paredzēto noteikumu īstenošanas gaitu un rezultātiem</vt:lpstr>
    </vt:vector>
  </TitlesOfParts>
  <Manager>Iekšlietu ministrija</Manager>
  <Company>PMLP</Company>
  <LinksUpToDate>false</LinksUpToDate>
  <CharactersWithSpaces>80608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dc:description>ilze.briede@pmlp.gov.lv tālr. 67219564; fakss 67829825</dc:description>
  <cp:lastModifiedBy>ilzebr</cp:lastModifiedBy>
  <cp:revision>4</cp:revision>
  <cp:lastPrinted>2015-09-07T10:32:00Z</cp:lastPrinted>
  <dcterms:created xsi:type="dcterms:W3CDTF">2015-09-14T06:21:00Z</dcterms:created>
  <dcterms:modified xsi:type="dcterms:W3CDTF">2015-09-14T08:08:00Z</dcterms:modified>
</cp:coreProperties>
</file>