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793AEF" w:rsidRDefault="004C228D"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Likumprojekta „Grozījumi Latvijas Administratīvo pārkāpumu kodeksā”</w:t>
      </w:r>
      <w:r w:rsidR="004D15A9" w:rsidRPr="00793AEF">
        <w:rPr>
          <w:rFonts w:ascii="Times New Roman" w:eastAsia="Times New Roman" w:hAnsi="Times New Roman" w:cs="Times New Roman"/>
          <w:b/>
          <w:bCs/>
          <w:sz w:val="28"/>
          <w:szCs w:val="28"/>
          <w:lang w:eastAsia="lv-LV"/>
        </w:rPr>
        <w:t xml:space="preserve"> sākotnējās ietekmes novērtējuma ziņojums (anotācija)</w:t>
      </w:r>
    </w:p>
    <w:p w:rsidR="00DA596D" w:rsidRPr="00793AEF" w:rsidRDefault="00DA596D" w:rsidP="00DA596D">
      <w:pPr>
        <w:spacing w:after="0" w:line="240" w:lineRule="auto"/>
        <w:ind w:firstLine="300"/>
        <w:jc w:val="center"/>
        <w:rPr>
          <w:rFonts w:ascii="Times New Roman" w:eastAsia="Times New Roman" w:hAnsi="Times New Roman" w:cs="Times New Roman"/>
          <w:b/>
          <w:bCs/>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2539"/>
        <w:gridCol w:w="6106"/>
      </w:tblGrid>
      <w:tr w:rsidR="00793AEF" w:rsidRPr="00793AEF" w:rsidTr="00B5736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 Tiesību akta projekta izstrādes nepieciešamība</w:t>
            </w:r>
          </w:p>
        </w:tc>
      </w:tr>
      <w:tr w:rsidR="00793AEF" w:rsidRPr="00793AEF" w:rsidTr="00B57369">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39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Pamatojums</w:t>
            </w:r>
          </w:p>
        </w:tc>
        <w:tc>
          <w:tcPr>
            <w:tcW w:w="3354" w:type="pct"/>
            <w:tcBorders>
              <w:top w:val="outset" w:sz="6" w:space="0" w:color="414142"/>
              <w:left w:val="outset" w:sz="6" w:space="0" w:color="414142"/>
              <w:bottom w:val="outset" w:sz="6" w:space="0" w:color="414142"/>
              <w:right w:val="outset" w:sz="6" w:space="0" w:color="414142"/>
            </w:tcBorders>
            <w:hideMark/>
          </w:tcPr>
          <w:p w:rsidR="004D15A9" w:rsidRPr="00793AEF" w:rsidRDefault="009A77F4" w:rsidP="009A77F4">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2015.gada 13.janvāra sēdē (prot. Nr. 2 7.§) dotais uz</w:t>
            </w:r>
            <w:bookmarkStart w:id="0" w:name="_GoBack"/>
            <w:bookmarkEnd w:id="0"/>
            <w:r>
              <w:rPr>
                <w:rFonts w:ascii="Times New Roman" w:hAnsi="Times New Roman" w:cs="Times New Roman"/>
                <w:sz w:val="28"/>
                <w:szCs w:val="28"/>
              </w:rPr>
              <w:t>devums Tieslietu ministrijai līdz 2015.gada 1.septembrim izstrādāt un iesniegt izskatīšanai Ministru kabinetā grozījumus normatīvajos aktos, nosakot, ka bērnam par administratīvo pārkāpumu prioritāri piemēro audzinoša rakstura piespiedu līdzekļus, savukārt administratīvo sodu piemēro tikai tad, ja audzinoša rakstura piespiedu līdzekļu piemērošana konkrētajā gadījumā nav lietderīga.</w:t>
            </w:r>
          </w:p>
        </w:tc>
      </w:tr>
      <w:tr w:rsidR="00793AEF" w:rsidRPr="00793AEF" w:rsidTr="00B57369">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39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354" w:type="pct"/>
            <w:tcBorders>
              <w:top w:val="outset" w:sz="6" w:space="0" w:color="414142"/>
              <w:left w:val="outset" w:sz="6" w:space="0" w:color="414142"/>
              <w:bottom w:val="outset" w:sz="6" w:space="0" w:color="414142"/>
              <w:right w:val="outset" w:sz="6" w:space="0" w:color="414142"/>
            </w:tcBorders>
            <w:hideMark/>
          </w:tcPr>
          <w:p w:rsidR="004C228D" w:rsidRDefault="004C228D" w:rsidP="00686E7F">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Saskaņā ar spēkā esošajiem no</w:t>
            </w:r>
            <w:r w:rsidR="00314568">
              <w:rPr>
                <w:rFonts w:ascii="Times New Roman" w:hAnsi="Times New Roman" w:cs="Times New Roman"/>
                <w:sz w:val="28"/>
                <w:szCs w:val="28"/>
              </w:rPr>
              <w:t>rmatīvajiem aktiem nepilngadīg</w:t>
            </w:r>
            <w:r w:rsidRPr="00793AEF">
              <w:rPr>
                <w:rFonts w:ascii="Times New Roman" w:hAnsi="Times New Roman" w:cs="Times New Roman"/>
                <w:sz w:val="28"/>
                <w:szCs w:val="28"/>
              </w:rPr>
              <w:t>ai personai, kura ir izdarījusi administratīvo pārkāpumu, var piemērot audzinoša rakstura piespiedu līdzekli vai administratīvo sodu. Izvērtējot normatīvos aktus, kas regulē šo piespiedu līdzekļu piemērošanu nepilngadīgajiem, secināms, ka lēmums par to, kuru no piespiedu līdzekļiem konkrētajā gadījumā piemērot, ir atstāts amatpersonas ziņā. Normatīvie akti nenoteic, par kādiem pārkāpumiem (vai kādiem apstākļiem pastāvot) būtu piemērojami audzinoša rakstura piespiedu līdzekļi un par kādiem – administratīvie sodi. Šādu vadlīniju neesība ir novedusi pie situācijas, kad nepilngadīgajiem, kas izdarījuši administratīvos pārkāpumus, pārsvarā tiek piemēroti administratīvie sodi, nevis audzinoša rakstura piespiedu līdzekļi.</w:t>
            </w:r>
          </w:p>
          <w:p w:rsidR="00D33DBA" w:rsidRPr="00793AEF" w:rsidRDefault="00D33DBA" w:rsidP="004C228D">
            <w:pPr>
              <w:pStyle w:val="Vienkrsteksts"/>
              <w:ind w:firstLine="720"/>
              <w:jc w:val="both"/>
              <w:rPr>
                <w:rFonts w:ascii="Times New Roman" w:hAnsi="Times New Roman" w:cs="Times New Roman"/>
                <w:sz w:val="28"/>
                <w:szCs w:val="28"/>
              </w:rPr>
            </w:pPr>
          </w:p>
          <w:p w:rsidR="00733701" w:rsidRDefault="00C61743"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A</w:t>
            </w:r>
            <w:r w:rsidR="004C228D" w:rsidRPr="00793AEF">
              <w:rPr>
                <w:rFonts w:ascii="Times New Roman" w:hAnsi="Times New Roman" w:cs="Times New Roman"/>
                <w:sz w:val="28"/>
                <w:szCs w:val="28"/>
              </w:rPr>
              <w:t xml:space="preserve">dministratīvā soda piemērošana nav efektīvs līdzeklis cīņā ar nepilngadīgo pārkāpumiem. Administratīvā soda piemērošana bērnam ir sodošās sistēmas sastāvdaļa, kas nav vērsta uz pārkāpuma izdarīšanas cēloņu apzināšanu, bērna interešu un tiesību uz attīstību ievērošanu, kā arī prevencijas veicināšanu. Saskaņā ar starptautisko organizāciju </w:t>
            </w:r>
            <w:r w:rsidR="00733701" w:rsidRPr="00793AEF">
              <w:rPr>
                <w:rFonts w:ascii="Times New Roman" w:hAnsi="Times New Roman" w:cs="Times New Roman"/>
                <w:sz w:val="28"/>
                <w:szCs w:val="28"/>
              </w:rPr>
              <w:t>dokumentiem</w:t>
            </w:r>
            <w:r w:rsidR="004C228D" w:rsidRPr="00793AEF">
              <w:rPr>
                <w:rFonts w:ascii="Times New Roman" w:hAnsi="Times New Roman" w:cs="Times New Roman"/>
                <w:sz w:val="28"/>
                <w:szCs w:val="28"/>
              </w:rPr>
              <w:t xml:space="preserve"> lietās par bērnu izdarītajiem pārkāpumiem ir svarīgi ieviest un piemērot </w:t>
            </w:r>
            <w:r w:rsidR="00686E7F">
              <w:rPr>
                <w:rFonts w:ascii="Times New Roman" w:hAnsi="Times New Roman" w:cs="Times New Roman"/>
                <w:sz w:val="28"/>
                <w:szCs w:val="28"/>
              </w:rPr>
              <w:t>nepilngadīgo justīcijas sistēmu</w:t>
            </w:r>
            <w:r w:rsidR="004C228D" w:rsidRPr="00793AEF">
              <w:rPr>
                <w:rFonts w:ascii="Times New Roman" w:hAnsi="Times New Roman" w:cs="Times New Roman"/>
                <w:sz w:val="28"/>
                <w:szCs w:val="28"/>
              </w:rPr>
              <w:t>.</w:t>
            </w:r>
          </w:p>
          <w:p w:rsidR="00686E7F" w:rsidRPr="00793AEF" w:rsidRDefault="00686E7F" w:rsidP="000F636A">
            <w:pPr>
              <w:pStyle w:val="Vienkrsteksts"/>
              <w:jc w:val="both"/>
              <w:rPr>
                <w:rFonts w:ascii="Times New Roman" w:hAnsi="Times New Roman" w:cs="Times New Roman"/>
                <w:sz w:val="28"/>
                <w:szCs w:val="28"/>
              </w:rPr>
            </w:pPr>
          </w:p>
          <w:p w:rsidR="00733701" w:rsidRDefault="004C228D"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 xml:space="preserve">Piemēram, </w:t>
            </w:r>
            <w:r w:rsidR="00733701" w:rsidRPr="00793AEF">
              <w:rPr>
                <w:rFonts w:ascii="Times New Roman" w:hAnsi="Times New Roman" w:cs="Times New Roman"/>
                <w:sz w:val="28"/>
                <w:szCs w:val="28"/>
              </w:rPr>
              <w:t xml:space="preserve">Konvencijā par bērnu tiesībām ir noteikts, </w:t>
            </w:r>
            <w:r w:rsidR="00733701" w:rsidRPr="00793AEF">
              <w:rPr>
                <w:rFonts w:ascii="Times New Roman" w:hAnsi="Times New Roman" w:cs="Times New Roman"/>
                <w:sz w:val="28"/>
                <w:szCs w:val="28"/>
              </w:rPr>
              <w:lastRenderedPageBreak/>
              <w:t xml:space="preserve">ka nepilngadīgajam pārkāpējam ir tiesības uz tādu apiešanos, kas palīdz attīstīt bērna pašcieņas jūtas un savas vērtības apziņu, nostiprina viņā cieņu pret cilvēka tiesībām un citu personu pamatbrīvībām un kas ļauj ņemt vērā bērna vecumu un to, ka vēlams sekmēt viņa reintegrāciju un panākt, lai viņam būtu derīga loma sabiedrībā.  </w:t>
            </w:r>
          </w:p>
          <w:p w:rsidR="00D33DBA" w:rsidRPr="00793AEF" w:rsidRDefault="00D33DBA" w:rsidP="000F636A">
            <w:pPr>
              <w:pStyle w:val="Vienkrsteksts"/>
              <w:jc w:val="both"/>
              <w:rPr>
                <w:rFonts w:ascii="Times New Roman" w:hAnsi="Times New Roman" w:cs="Times New Roman"/>
                <w:sz w:val="28"/>
                <w:szCs w:val="28"/>
              </w:rPr>
            </w:pPr>
          </w:p>
          <w:p w:rsidR="00733701" w:rsidRDefault="00733701"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Apvienoto Nāciju Organizācijas vadlīnijās par nepilngadīgo noziedzības prevenciju (</w:t>
            </w:r>
            <w:r w:rsidR="00686E7F">
              <w:rPr>
                <w:rFonts w:ascii="Times New Roman" w:hAnsi="Times New Roman" w:cs="Times New Roman"/>
                <w:sz w:val="28"/>
                <w:szCs w:val="28"/>
              </w:rPr>
              <w:t>p</w:t>
            </w:r>
            <w:r w:rsidRPr="00793AEF">
              <w:rPr>
                <w:rFonts w:ascii="Times New Roman" w:hAnsi="Times New Roman" w:cs="Times New Roman"/>
                <w:sz w:val="28"/>
                <w:szCs w:val="28"/>
              </w:rPr>
              <w:t>ieejam</w:t>
            </w:r>
            <w:r w:rsidR="00686E7F">
              <w:rPr>
                <w:rFonts w:ascii="Times New Roman" w:hAnsi="Times New Roman" w:cs="Times New Roman"/>
                <w:sz w:val="28"/>
                <w:szCs w:val="28"/>
              </w:rPr>
              <w:t>as</w:t>
            </w:r>
            <w:r w:rsidRPr="00793AEF">
              <w:rPr>
                <w:rFonts w:ascii="Times New Roman" w:hAnsi="Times New Roman" w:cs="Times New Roman"/>
                <w:sz w:val="28"/>
                <w:szCs w:val="28"/>
              </w:rPr>
              <w:t xml:space="preserve">: </w:t>
            </w:r>
            <w:hyperlink r:id="rId8" w:history="1">
              <w:r w:rsidRPr="00793AEF">
                <w:rPr>
                  <w:rStyle w:val="Hipersaite"/>
                  <w:rFonts w:ascii="Times New Roman" w:hAnsi="Times New Roman" w:cs="Times New Roman"/>
                  <w:color w:val="auto"/>
                  <w:sz w:val="28"/>
                  <w:szCs w:val="28"/>
                  <w:u w:val="none"/>
                </w:rPr>
                <w:t>http://www.crin.org/docs/resources/publications/hrbap/IHCRC/UnitedNationsGuidelinesforthePreventionofJuvenileDelinquency.pdf</w:t>
              </w:r>
            </w:hyperlink>
            <w:r w:rsidRPr="00793AEF">
              <w:rPr>
                <w:rFonts w:ascii="Times New Roman" w:hAnsi="Times New Roman" w:cs="Times New Roman"/>
                <w:sz w:val="28"/>
                <w:szCs w:val="28"/>
              </w:rPr>
              <w:t xml:space="preserve">) ir noteikts, ka valdības uzdevums ir ieviest tādus noteikumus un procedūras nepilngadīgo justīcijas jomā, kuras veicina bērnu labklājību un bērnu tiesību ievērošanu. </w:t>
            </w:r>
          </w:p>
          <w:p w:rsidR="00D33DBA" w:rsidRPr="00793AEF" w:rsidRDefault="00D33DBA" w:rsidP="000F636A">
            <w:pPr>
              <w:pStyle w:val="Vienkrsteksts"/>
              <w:jc w:val="both"/>
              <w:rPr>
                <w:rFonts w:ascii="Times New Roman" w:hAnsi="Times New Roman" w:cs="Times New Roman"/>
                <w:sz w:val="28"/>
                <w:szCs w:val="28"/>
              </w:rPr>
            </w:pPr>
          </w:p>
          <w:p w:rsidR="004C228D" w:rsidRDefault="004C228D"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Apvienoto Nāciju Organizācijas Minimālajos standartnoteikumos par nepilngadīgo justīcijas administrēšanu</w:t>
            </w:r>
            <w:r w:rsidR="00933345" w:rsidRPr="00793AEF">
              <w:rPr>
                <w:rFonts w:ascii="Times New Roman" w:hAnsi="Times New Roman" w:cs="Times New Roman"/>
                <w:sz w:val="28"/>
                <w:szCs w:val="28"/>
              </w:rPr>
              <w:t xml:space="preserve"> (</w:t>
            </w:r>
            <w:r w:rsidR="00ED3682">
              <w:rPr>
                <w:rFonts w:ascii="Times New Roman" w:hAnsi="Times New Roman" w:cs="Times New Roman"/>
                <w:sz w:val="28"/>
                <w:szCs w:val="28"/>
              </w:rPr>
              <w:t>p</w:t>
            </w:r>
            <w:r w:rsidR="00933345" w:rsidRPr="00793AEF">
              <w:rPr>
                <w:rFonts w:ascii="Times New Roman" w:hAnsi="Times New Roman" w:cs="Times New Roman"/>
                <w:sz w:val="28"/>
                <w:szCs w:val="28"/>
              </w:rPr>
              <w:t>ieejam</w:t>
            </w:r>
            <w:r w:rsidR="00686E7F">
              <w:rPr>
                <w:rFonts w:ascii="Times New Roman" w:hAnsi="Times New Roman" w:cs="Times New Roman"/>
                <w:sz w:val="28"/>
                <w:szCs w:val="28"/>
              </w:rPr>
              <w:t>i</w:t>
            </w:r>
            <w:r w:rsidR="00933345" w:rsidRPr="00793AEF">
              <w:rPr>
                <w:rFonts w:ascii="Times New Roman" w:hAnsi="Times New Roman" w:cs="Times New Roman"/>
                <w:sz w:val="28"/>
                <w:szCs w:val="28"/>
              </w:rPr>
              <w:t xml:space="preserve">: </w:t>
            </w:r>
            <w:hyperlink r:id="rId9" w:history="1">
              <w:r w:rsidR="00733701" w:rsidRPr="00793AEF">
                <w:rPr>
                  <w:rStyle w:val="Hipersaite"/>
                  <w:rFonts w:ascii="Times New Roman" w:hAnsi="Times New Roman" w:cs="Times New Roman"/>
                  <w:color w:val="auto"/>
                  <w:sz w:val="28"/>
                  <w:szCs w:val="28"/>
                  <w:u w:val="none"/>
                </w:rPr>
                <w:t>http://www.unrol.org/files/UNAdminofJJUSTICE.pdf</w:t>
              </w:r>
            </w:hyperlink>
            <w:r w:rsidR="00933345" w:rsidRPr="00793AEF">
              <w:rPr>
                <w:rFonts w:ascii="Times New Roman" w:hAnsi="Times New Roman" w:cs="Times New Roman"/>
                <w:sz w:val="28"/>
                <w:szCs w:val="28"/>
              </w:rPr>
              <w:t>)</w:t>
            </w:r>
            <w:r w:rsidR="00733701" w:rsidRPr="00793AEF">
              <w:rPr>
                <w:rFonts w:ascii="Times New Roman" w:hAnsi="Times New Roman" w:cs="Times New Roman"/>
                <w:sz w:val="28"/>
                <w:szCs w:val="28"/>
              </w:rPr>
              <w:t xml:space="preserve"> </w:t>
            </w:r>
            <w:r w:rsidRPr="00793AEF">
              <w:rPr>
                <w:rFonts w:ascii="Times New Roman" w:hAnsi="Times New Roman" w:cs="Times New Roman"/>
                <w:sz w:val="28"/>
                <w:szCs w:val="28"/>
              </w:rPr>
              <w:t xml:space="preserve">ir uzsvērta nepieciešamība ierobežot bērna saskarsmi ar formālo justīcijas sistēmu. Noteikumi paredz, ka katrā valsī nepieciešams ieviest nepilngadīgo justīcijas sistēmu, kuras ietvaros tiek nodrošinātas bērnu pamattiesības (it īpaši tiesības uz attīstību un izglītību). Izskatot lietas par bērnu izdarītajiem pārkāpumiem, uzmanība ir jāvelta pārkāpuma raksturam, pārkāpuma izdarīšanas apstākļiem, pārkāpēja personībai, kā arī pārkāpēja un visas sabiedrības vajadzībām. </w:t>
            </w:r>
          </w:p>
          <w:p w:rsidR="00D33DBA" w:rsidRDefault="00D33DBA" w:rsidP="000F636A">
            <w:pPr>
              <w:pStyle w:val="Vienkrsteksts"/>
              <w:jc w:val="both"/>
              <w:rPr>
                <w:rFonts w:ascii="Times New Roman" w:hAnsi="Times New Roman" w:cs="Times New Roman"/>
                <w:sz w:val="28"/>
                <w:szCs w:val="28"/>
              </w:rPr>
            </w:pPr>
          </w:p>
          <w:p w:rsidR="0005443C" w:rsidRDefault="00733701"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 xml:space="preserve">Turklāt starptautiskajos dokumentos ir uzsvērts bērna interešu prioritātes un bērnu labāko interešu ievērošanas princips. </w:t>
            </w:r>
            <w:r w:rsidR="00FF16EC" w:rsidRPr="00793AEF">
              <w:rPr>
                <w:rFonts w:ascii="Times New Roman" w:hAnsi="Times New Roman" w:cs="Times New Roman"/>
                <w:sz w:val="28"/>
                <w:szCs w:val="28"/>
              </w:rPr>
              <w:t xml:space="preserve">Kaut arī bērna labākās intereses ir atkarīgas no daudziem faktoriem, kas ir vērtējami katrā konkrētajā situācijā, tomēr no starptautiskajiem dokumentiem izriet, ka bērna labākajās interesēs ir samazināt tā saskarsmi ar sodošo sistēmu un veicināt alternatīvo līdzekļu izmantošanu cīņā ar nepilngadīgo pārkāpumiem. Lietās, kurās ir iesaistīts bērns, ir īpaši svarīgi nodrošināt </w:t>
            </w:r>
            <w:r w:rsidR="00022909" w:rsidRPr="00793AEF">
              <w:rPr>
                <w:rFonts w:ascii="Times New Roman" w:hAnsi="Times New Roman" w:cs="Times New Roman"/>
                <w:sz w:val="28"/>
                <w:szCs w:val="28"/>
              </w:rPr>
              <w:t>efektīvu reakciju uz pārkāpumiem</w:t>
            </w:r>
            <w:r w:rsidR="00FF16EC" w:rsidRPr="00793AEF">
              <w:rPr>
                <w:rFonts w:ascii="Times New Roman" w:hAnsi="Times New Roman" w:cs="Times New Roman"/>
                <w:sz w:val="28"/>
                <w:szCs w:val="28"/>
              </w:rPr>
              <w:t xml:space="preserve">. Formāla pieeja bērnu lietās nav pieļaujama, jo no tā, </w:t>
            </w:r>
            <w:r w:rsidR="00FF16EC" w:rsidRPr="00793AEF">
              <w:rPr>
                <w:rFonts w:ascii="Times New Roman" w:hAnsi="Times New Roman" w:cs="Times New Roman"/>
                <w:sz w:val="28"/>
                <w:szCs w:val="28"/>
              </w:rPr>
              <w:lastRenderedPageBreak/>
              <w:t xml:space="preserve">cik efektīvi iestādes un amatpersonas ir spējīgas reaģēt uz izdarīto pārkāpumu, lielā mērā ir atkarīgs tas, vai bērnā tiks ieaudzināta tiesiskā apziņa. </w:t>
            </w:r>
            <w:r w:rsidR="00125CB9" w:rsidRPr="00793AEF">
              <w:rPr>
                <w:rFonts w:ascii="Times New Roman" w:hAnsi="Times New Roman" w:cs="Times New Roman"/>
                <w:sz w:val="28"/>
                <w:szCs w:val="28"/>
              </w:rPr>
              <w:t>Līdz ar to valstī ir svarīgi nodrošināt tādu justīcijas sistēmu, kuras galvenais mērķis ir audzināt bērnus, nevis sodīt viņus.</w:t>
            </w:r>
          </w:p>
          <w:p w:rsidR="00D33DBA" w:rsidRDefault="00D33DBA" w:rsidP="000F636A">
            <w:pPr>
              <w:pStyle w:val="Vienkrsteksts"/>
              <w:jc w:val="both"/>
              <w:rPr>
                <w:rFonts w:ascii="Times New Roman" w:hAnsi="Times New Roman" w:cs="Times New Roman"/>
                <w:sz w:val="28"/>
                <w:szCs w:val="28"/>
              </w:rPr>
            </w:pPr>
          </w:p>
          <w:p w:rsidR="00733701" w:rsidRDefault="0005443C" w:rsidP="000F636A">
            <w:pPr>
              <w:pStyle w:val="Vienkrsteksts"/>
              <w:jc w:val="both"/>
              <w:rPr>
                <w:rFonts w:ascii="Times New Roman" w:hAnsi="Times New Roman" w:cs="Times New Roman"/>
                <w:sz w:val="28"/>
                <w:szCs w:val="28"/>
              </w:rPr>
            </w:pPr>
            <w:r>
              <w:rPr>
                <w:rFonts w:ascii="Times New Roman" w:hAnsi="Times New Roman" w:cs="Times New Roman"/>
                <w:sz w:val="28"/>
                <w:szCs w:val="28"/>
              </w:rPr>
              <w:t>Eiropas Padomes Ministru komitejas vadlīnijās par bērniem draudzīgu tiesisko vidi (pieejam</w:t>
            </w:r>
            <w:r w:rsidR="00686E7F">
              <w:rPr>
                <w:rFonts w:ascii="Times New Roman" w:hAnsi="Times New Roman" w:cs="Times New Roman"/>
                <w:sz w:val="28"/>
                <w:szCs w:val="28"/>
              </w:rPr>
              <w:t>a</w:t>
            </w:r>
            <w:r>
              <w:rPr>
                <w:rFonts w:ascii="Times New Roman" w:hAnsi="Times New Roman" w:cs="Times New Roman"/>
                <w:sz w:val="28"/>
                <w:szCs w:val="28"/>
              </w:rPr>
              <w:t xml:space="preserve">: </w:t>
            </w:r>
            <w:hyperlink r:id="rId10" w:history="1">
              <w:r w:rsidRPr="003A3336">
                <w:rPr>
                  <w:rStyle w:val="Hipersaite"/>
                  <w:rFonts w:ascii="Times New Roman" w:hAnsi="Times New Roman" w:cs="Times New Roman"/>
                  <w:color w:val="auto"/>
                  <w:sz w:val="28"/>
                  <w:szCs w:val="28"/>
                  <w:u w:val="none"/>
                </w:rPr>
                <w:t>http://www.coe.int/t/dghl/standardsetting/childjustice/Guidelines%20on%20child-friendly%20justice%20and%20their%20explanatory%20memorandum%20_4_.pdf</w:t>
              </w:r>
            </w:hyperlink>
            <w:r w:rsidRPr="003A3336">
              <w:rPr>
                <w:rFonts w:ascii="Times New Roman" w:hAnsi="Times New Roman" w:cs="Times New Roman"/>
                <w:sz w:val="28"/>
                <w:szCs w:val="28"/>
              </w:rPr>
              <w:t xml:space="preserve">) </w:t>
            </w:r>
            <w:r>
              <w:rPr>
                <w:rFonts w:ascii="Times New Roman" w:hAnsi="Times New Roman" w:cs="Times New Roman"/>
                <w:sz w:val="28"/>
                <w:szCs w:val="28"/>
              </w:rPr>
              <w:t xml:space="preserve">ir kritizētas tās valstis, kuras lietās par bērnu pārkāpumiem izvēlas sodošu pieeju un attiecas pret bērniem tāpat kā pret pilngadīgajiem. Vadlīnijās ir arī minēts, ka sodošā pieeja bērnu lietās ir pretrunā ar </w:t>
            </w:r>
            <w:r w:rsidRPr="00793AEF">
              <w:rPr>
                <w:rFonts w:ascii="Times New Roman" w:hAnsi="Times New Roman" w:cs="Times New Roman"/>
                <w:sz w:val="28"/>
                <w:szCs w:val="28"/>
              </w:rPr>
              <w:t>Konvencijā par bērnu tiesībām</w:t>
            </w:r>
            <w:r>
              <w:rPr>
                <w:rFonts w:ascii="Times New Roman" w:hAnsi="Times New Roman" w:cs="Times New Roman"/>
                <w:sz w:val="28"/>
                <w:szCs w:val="28"/>
              </w:rPr>
              <w:t xml:space="preserve"> nostiprinātajiem principiem.</w:t>
            </w:r>
            <w:r w:rsidR="00125CB9" w:rsidRPr="00793AEF">
              <w:rPr>
                <w:rFonts w:ascii="Times New Roman" w:hAnsi="Times New Roman" w:cs="Times New Roman"/>
                <w:sz w:val="28"/>
                <w:szCs w:val="28"/>
              </w:rPr>
              <w:t xml:space="preserve"> </w:t>
            </w:r>
          </w:p>
          <w:p w:rsidR="00D33DBA" w:rsidRDefault="00D33DBA" w:rsidP="000F636A">
            <w:pPr>
              <w:pStyle w:val="Vienkrsteksts"/>
              <w:jc w:val="both"/>
              <w:rPr>
                <w:rFonts w:ascii="Times New Roman" w:hAnsi="Times New Roman" w:cs="Times New Roman"/>
                <w:sz w:val="28"/>
                <w:szCs w:val="28"/>
              </w:rPr>
            </w:pPr>
          </w:p>
          <w:p w:rsidR="00A57409" w:rsidRDefault="00566278" w:rsidP="00A57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Līdzīgi ieteikumi ir nostiprināti arī Eiropas Padomes Ministru komitejas rekomendācij</w:t>
            </w:r>
            <w:r w:rsidR="00314568">
              <w:rPr>
                <w:rFonts w:ascii="Times New Roman" w:hAnsi="Times New Roman" w:cs="Times New Roman"/>
                <w:sz w:val="28"/>
                <w:szCs w:val="28"/>
              </w:rPr>
              <w:t>ās</w:t>
            </w:r>
            <w:r>
              <w:rPr>
                <w:rFonts w:ascii="Times New Roman" w:hAnsi="Times New Roman" w:cs="Times New Roman"/>
                <w:sz w:val="28"/>
                <w:szCs w:val="28"/>
              </w:rPr>
              <w:t xml:space="preserve">. Piemēram, </w:t>
            </w:r>
            <w:r w:rsidR="00A57409" w:rsidRPr="00A57409">
              <w:rPr>
                <w:rFonts w:ascii="Times New Roman" w:hAnsi="Times New Roman" w:cs="Times New Roman"/>
                <w:sz w:val="28"/>
                <w:szCs w:val="28"/>
              </w:rPr>
              <w:t>Eiropas Padomes Ministru komi</w:t>
            </w:r>
            <w:r w:rsidR="00A57409">
              <w:rPr>
                <w:rFonts w:ascii="Times New Roman" w:hAnsi="Times New Roman" w:cs="Times New Roman"/>
                <w:sz w:val="28"/>
                <w:szCs w:val="28"/>
              </w:rPr>
              <w:t>tejas</w:t>
            </w:r>
            <w:r w:rsidR="00A57409" w:rsidRPr="00A57409">
              <w:rPr>
                <w:rFonts w:ascii="Times New Roman" w:hAnsi="Times New Roman" w:cs="Times New Roman"/>
                <w:sz w:val="28"/>
                <w:szCs w:val="28"/>
              </w:rPr>
              <w:t xml:space="preserve"> </w:t>
            </w:r>
            <w:r w:rsidR="00897F19">
              <w:rPr>
                <w:rFonts w:ascii="Times New Roman" w:hAnsi="Times New Roman" w:cs="Times New Roman"/>
                <w:sz w:val="28"/>
                <w:szCs w:val="28"/>
              </w:rPr>
              <w:t>rekomendācija</w:t>
            </w:r>
            <w:r w:rsidR="00A57409" w:rsidRPr="00A57409">
              <w:rPr>
                <w:rFonts w:ascii="Times New Roman" w:hAnsi="Times New Roman" w:cs="Times New Roman"/>
                <w:sz w:val="28"/>
                <w:szCs w:val="28"/>
              </w:rPr>
              <w:t xml:space="preserve"> Rec(2003)20 dalībvalstīm par jauniem veidiem, kā novērst nepilngadīgo noziedzību un par nepilngadīgo tiesvedības sistēmas nozīmi (</w:t>
            </w:r>
            <w:r w:rsidR="00A57409">
              <w:rPr>
                <w:rFonts w:ascii="Times New Roman" w:hAnsi="Times New Roman" w:cs="Times New Roman"/>
                <w:sz w:val="28"/>
                <w:szCs w:val="28"/>
              </w:rPr>
              <w:t>pieejam</w:t>
            </w:r>
            <w:r w:rsidR="00686E7F">
              <w:rPr>
                <w:rFonts w:ascii="Times New Roman" w:hAnsi="Times New Roman" w:cs="Times New Roman"/>
                <w:sz w:val="28"/>
                <w:szCs w:val="28"/>
              </w:rPr>
              <w:t>a</w:t>
            </w:r>
            <w:r w:rsidR="00A57409">
              <w:rPr>
                <w:rFonts w:ascii="Times New Roman" w:hAnsi="Times New Roman" w:cs="Times New Roman"/>
                <w:sz w:val="28"/>
                <w:szCs w:val="28"/>
              </w:rPr>
              <w:t xml:space="preserve">: </w:t>
            </w:r>
            <w:r w:rsidR="00A57409" w:rsidRPr="00A57409">
              <w:rPr>
                <w:rFonts w:ascii="Times New Roman" w:hAnsi="Times New Roman" w:cs="Times New Roman"/>
                <w:sz w:val="28"/>
                <w:szCs w:val="28"/>
              </w:rPr>
              <w:t>https://wcd.coe.int/ViewDoc.jsp?id=70063</w:t>
            </w:r>
            <w:r w:rsidR="00A57409" w:rsidRPr="00A57409">
              <w:rPr>
                <w:rFonts w:ascii="Times New Roman" w:hAnsi="Times New Roman" w:cs="Times New Roman"/>
                <w:i/>
                <w:iCs/>
                <w:sz w:val="28"/>
                <w:szCs w:val="28"/>
              </w:rPr>
              <w:t xml:space="preserve">) </w:t>
            </w:r>
            <w:r>
              <w:rPr>
                <w:rFonts w:ascii="Times New Roman" w:hAnsi="Times New Roman" w:cs="Times New Roman"/>
                <w:sz w:val="28"/>
                <w:szCs w:val="28"/>
              </w:rPr>
              <w:t>iesaka</w:t>
            </w:r>
            <w:r w:rsidR="00A57409" w:rsidRPr="00A57409">
              <w:rPr>
                <w:rFonts w:ascii="Times New Roman" w:hAnsi="Times New Roman" w:cs="Times New Roman"/>
                <w:sz w:val="28"/>
                <w:szCs w:val="28"/>
              </w:rPr>
              <w:t xml:space="preserve"> dalībvalstīm ieviest plašākas alternatīvas formālajam apsūdzības  un sodīšanas procesam.</w:t>
            </w:r>
          </w:p>
          <w:p w:rsidR="00D33DBA" w:rsidRPr="00A57409" w:rsidRDefault="00D33DBA" w:rsidP="00A57409">
            <w:pPr>
              <w:spacing w:after="0" w:line="240" w:lineRule="auto"/>
              <w:jc w:val="both"/>
              <w:rPr>
                <w:rFonts w:ascii="Times New Roman" w:hAnsi="Times New Roman" w:cs="Times New Roman"/>
                <w:sz w:val="28"/>
                <w:szCs w:val="28"/>
              </w:rPr>
            </w:pPr>
          </w:p>
          <w:p w:rsidR="00A57409" w:rsidRDefault="00566278" w:rsidP="00A57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Savukārt </w:t>
            </w:r>
            <w:r w:rsidR="00A57409" w:rsidRPr="00A57409">
              <w:rPr>
                <w:rFonts w:ascii="Times New Roman" w:hAnsi="Times New Roman" w:cs="Times New Roman"/>
                <w:sz w:val="28"/>
                <w:szCs w:val="28"/>
              </w:rPr>
              <w:t>Eiropas Padomes Ministru komi</w:t>
            </w:r>
            <w:r w:rsidR="00A57409">
              <w:rPr>
                <w:rFonts w:ascii="Times New Roman" w:hAnsi="Times New Roman" w:cs="Times New Roman"/>
                <w:sz w:val="28"/>
                <w:szCs w:val="28"/>
              </w:rPr>
              <w:t>tejas</w:t>
            </w:r>
            <w:r w:rsidR="00A57409" w:rsidRPr="00A57409">
              <w:rPr>
                <w:rFonts w:ascii="Times New Roman" w:hAnsi="Times New Roman" w:cs="Times New Roman"/>
                <w:sz w:val="28"/>
                <w:szCs w:val="28"/>
              </w:rPr>
              <w:t xml:space="preserve"> </w:t>
            </w:r>
            <w:r w:rsidR="00897F19">
              <w:rPr>
                <w:rFonts w:ascii="Times New Roman" w:hAnsi="Times New Roman" w:cs="Times New Roman"/>
                <w:sz w:val="28"/>
                <w:szCs w:val="28"/>
              </w:rPr>
              <w:t>rekomendācija</w:t>
            </w:r>
            <w:r w:rsidR="00A57409" w:rsidRPr="00A57409">
              <w:rPr>
                <w:rFonts w:ascii="Times New Roman" w:hAnsi="Times New Roman" w:cs="Times New Roman"/>
                <w:sz w:val="28"/>
                <w:szCs w:val="28"/>
              </w:rPr>
              <w:t xml:space="preserve"> CM/Rec(2008)11 dalībvalstīm par Eiropas noteikumiem attiecībā uz nepilngadīgo sodīšanu (pieejam</w:t>
            </w:r>
            <w:r w:rsidR="00314568">
              <w:rPr>
                <w:rFonts w:ascii="Times New Roman" w:hAnsi="Times New Roman" w:cs="Times New Roman"/>
                <w:sz w:val="28"/>
                <w:szCs w:val="28"/>
              </w:rPr>
              <w:t>a</w:t>
            </w:r>
            <w:r w:rsidR="00A57409" w:rsidRPr="00A57409">
              <w:rPr>
                <w:rFonts w:ascii="Times New Roman" w:hAnsi="Times New Roman" w:cs="Times New Roman"/>
                <w:sz w:val="28"/>
                <w:szCs w:val="28"/>
              </w:rPr>
              <w:t xml:space="preserve">: </w:t>
            </w:r>
            <w:r w:rsidR="00A57409" w:rsidRPr="00A57409">
              <w:rPr>
                <w:rFonts w:ascii="Times New Roman" w:hAnsi="Times New Roman" w:cs="Times New Roman"/>
                <w:iCs/>
                <w:sz w:val="28"/>
                <w:szCs w:val="28"/>
              </w:rPr>
              <w:t>https://wcd.coe.int/ViewDoc.jsp?id=1367113&amp;Site=CM</w:t>
            </w:r>
            <w:r w:rsidR="00A57409" w:rsidRPr="00A57409">
              <w:rPr>
                <w:rFonts w:ascii="Times New Roman" w:hAnsi="Times New Roman" w:cs="Times New Roman"/>
                <w:i/>
                <w:iCs/>
                <w:sz w:val="28"/>
                <w:szCs w:val="28"/>
              </w:rPr>
              <w:t>)</w:t>
            </w:r>
            <w:r w:rsidR="00A57409" w:rsidRPr="00A57409">
              <w:rPr>
                <w:rFonts w:ascii="Times New Roman" w:hAnsi="Times New Roman" w:cs="Times New Roman"/>
                <w:sz w:val="28"/>
                <w:szCs w:val="28"/>
              </w:rPr>
              <w:t xml:space="preserve"> </w:t>
            </w:r>
            <w:r>
              <w:rPr>
                <w:rFonts w:ascii="Times New Roman" w:hAnsi="Times New Roman" w:cs="Times New Roman"/>
                <w:sz w:val="28"/>
                <w:szCs w:val="28"/>
              </w:rPr>
              <w:t>aicina dalībvalstis</w:t>
            </w:r>
            <w:r w:rsidR="00A57409" w:rsidRPr="00A57409">
              <w:rPr>
                <w:rFonts w:ascii="Times New Roman" w:hAnsi="Times New Roman" w:cs="Times New Roman"/>
                <w:sz w:val="28"/>
                <w:szCs w:val="28"/>
              </w:rPr>
              <w:t xml:space="preserve"> paplašināt nepilngadīgajām personām piemērojamo sankciju loku, kā arī iesaka nepilngadīgās personas sodīt tikai galēja</w:t>
            </w:r>
            <w:r w:rsidR="00593C52">
              <w:rPr>
                <w:rFonts w:ascii="Times New Roman" w:hAnsi="Times New Roman" w:cs="Times New Roman"/>
                <w:sz w:val="28"/>
                <w:szCs w:val="28"/>
              </w:rPr>
              <w:t>s nepieciešamības gadījumā, tādē</w:t>
            </w:r>
            <w:r w:rsidR="00A57409" w:rsidRPr="00A57409">
              <w:rPr>
                <w:rFonts w:ascii="Times New Roman" w:hAnsi="Times New Roman" w:cs="Times New Roman"/>
                <w:sz w:val="28"/>
                <w:szCs w:val="28"/>
              </w:rPr>
              <w:t>jādi lielāku uzsvaru liekot uz resocializācijas programmām.</w:t>
            </w:r>
          </w:p>
          <w:p w:rsidR="00D33DBA" w:rsidRPr="00A57409" w:rsidRDefault="00D33DBA" w:rsidP="00A57409">
            <w:pPr>
              <w:spacing w:after="0" w:line="240" w:lineRule="auto"/>
              <w:jc w:val="both"/>
              <w:rPr>
                <w:rFonts w:ascii="Times New Roman" w:hAnsi="Times New Roman" w:cs="Times New Roman"/>
                <w:sz w:val="28"/>
                <w:szCs w:val="28"/>
              </w:rPr>
            </w:pPr>
          </w:p>
          <w:p w:rsidR="00933345" w:rsidRDefault="0005443C" w:rsidP="00933345">
            <w:pPr>
              <w:pStyle w:val="Vienkrsteksts"/>
              <w:jc w:val="both"/>
              <w:rPr>
                <w:rFonts w:ascii="Times New Roman" w:hAnsi="Times New Roman" w:cs="Times New Roman"/>
                <w:sz w:val="28"/>
                <w:szCs w:val="28"/>
              </w:rPr>
            </w:pPr>
            <w:r>
              <w:rPr>
                <w:rFonts w:ascii="Times New Roman" w:hAnsi="Times New Roman" w:cs="Times New Roman"/>
                <w:sz w:val="28"/>
                <w:szCs w:val="28"/>
              </w:rPr>
              <w:t>Nepilngadīgo justīcijas</w:t>
            </w:r>
            <w:r w:rsidR="004C228D" w:rsidRPr="00793AEF">
              <w:rPr>
                <w:rFonts w:ascii="Times New Roman" w:hAnsi="Times New Roman" w:cs="Times New Roman"/>
                <w:sz w:val="28"/>
                <w:szCs w:val="28"/>
              </w:rPr>
              <w:t xml:space="preserve"> sistēmas ieviešana ir visas sabiedrības interesēs, jo tā ir vērsta uz nepilngadīgo pārkāpēju audzināšanu un pārkāpumu prevenciju. Pētījumā „Bērniem draudzīga tiesiskā vide Latvijā: fokusā – likumpārkāpumu prevencija” ir norādīts, ka nepilngadīgo justīcijas sistēmas attīstībā svarīga loma ir likumam „Par audzinoša rakstura piespiedu līdzekļu piemērošanu bērniem”, jo šis likums ir vērsts uz nepilngadīgo justīcija</w:t>
            </w:r>
            <w:r w:rsidR="00933345" w:rsidRPr="00793AEF">
              <w:rPr>
                <w:rFonts w:ascii="Times New Roman" w:hAnsi="Times New Roman" w:cs="Times New Roman"/>
                <w:sz w:val="28"/>
                <w:szCs w:val="28"/>
              </w:rPr>
              <w:t xml:space="preserve">s mērķu sasniegšanu pēc būtības (Pieejams: </w:t>
            </w:r>
            <w:hyperlink r:id="rId11" w:history="1">
              <w:r w:rsidR="00933345" w:rsidRPr="00793AEF">
                <w:rPr>
                  <w:rStyle w:val="Hipersaite"/>
                  <w:rFonts w:ascii="Times New Roman" w:hAnsi="Times New Roman" w:cs="Times New Roman"/>
                  <w:color w:val="auto"/>
                  <w:sz w:val="28"/>
                  <w:szCs w:val="28"/>
                  <w:u w:val="none"/>
                </w:rPr>
                <w:t>http://providus.lv/upload_file/Projekti/Kriminalitesibas/</w:t>
              </w:r>
            </w:hyperlink>
            <w:r w:rsidR="00933345" w:rsidRPr="00793AEF">
              <w:rPr>
                <w:rFonts w:ascii="Times New Roman" w:hAnsi="Times New Roman" w:cs="Times New Roman"/>
                <w:sz w:val="28"/>
                <w:szCs w:val="28"/>
              </w:rPr>
              <w:t>Berniem_draudziga_tiesiska_vide_LV_1.pdf</w:t>
            </w:r>
            <w:r w:rsidR="00FF16EC" w:rsidRPr="00793AEF">
              <w:rPr>
                <w:rFonts w:ascii="Times New Roman" w:hAnsi="Times New Roman" w:cs="Times New Roman"/>
                <w:sz w:val="28"/>
                <w:szCs w:val="28"/>
              </w:rPr>
              <w:t>).</w:t>
            </w:r>
          </w:p>
          <w:p w:rsidR="00D33DBA" w:rsidRPr="00793AEF" w:rsidRDefault="00D33DBA" w:rsidP="00933345">
            <w:pPr>
              <w:pStyle w:val="Vienkrsteksts"/>
              <w:jc w:val="both"/>
              <w:rPr>
                <w:rFonts w:ascii="Times New Roman" w:hAnsi="Times New Roman" w:cs="Times New Roman"/>
                <w:sz w:val="28"/>
                <w:szCs w:val="28"/>
              </w:rPr>
            </w:pPr>
          </w:p>
          <w:p w:rsidR="00566278" w:rsidRDefault="004C228D"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Audzinoša rakstura piespiedu līdzekļu mērķi ir: 1) sabiedrības interesēm atbilstošas vērtību orientācijas veidošanās un nostiprināšanās bērnā; 2) bērna orientācija uz atturēšanos no pretlikumīgām darbībām; 3) bērna ar sociālās uzvedības novirzēm reintegrācija sabiedrībā. Turklāt likumā paredzēto audzinoša rakstura piespiedu līdzekļu klāsts ir samērā plašs, kas dod atbildīgajām amatpersonām iespējas piemērot katrai situācijai atbilstošāko un efektīvāko līdzekli.</w:t>
            </w:r>
          </w:p>
          <w:p w:rsidR="004C228D" w:rsidRPr="00793AEF" w:rsidRDefault="004C228D"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 xml:space="preserve"> </w:t>
            </w:r>
          </w:p>
          <w:p w:rsidR="004C228D" w:rsidRDefault="004C228D"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 xml:space="preserve">Savukārt administratīvā soda piemērošana šādas iespējas negarantē. Uzliekot administratīvo sodu par pārkāpumu, bērnam lielākoties tiek piemērots brīdinājums vai naudas sods, ko vairumā gadījumu izpilda bērna vecāki, jo bērnam nav savu finanšu līdzekļu. Šādā gadījumā bērnam rodas nesodāmības sajūta, jo atbildība faktiski tiek „pārnesta” uz vecākiem. </w:t>
            </w:r>
          </w:p>
          <w:p w:rsidR="00D33DBA" w:rsidRPr="00793AEF" w:rsidRDefault="00D33DBA" w:rsidP="000F636A">
            <w:pPr>
              <w:pStyle w:val="Vienkrsteksts"/>
              <w:jc w:val="both"/>
              <w:rPr>
                <w:rFonts w:ascii="Times New Roman" w:hAnsi="Times New Roman" w:cs="Times New Roman"/>
                <w:sz w:val="28"/>
                <w:szCs w:val="28"/>
              </w:rPr>
            </w:pPr>
          </w:p>
          <w:p w:rsidR="004C228D" w:rsidRDefault="004C228D"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 xml:space="preserve">Līdz ar to secināms, ka audzinoša rakstura piespiedu līdzekļi, salīdzinot ar administratīvajiem sodiem, ir vērsti uz bērnu tiesību aizsardzību, bērnu audzināšanu, tiesiskās apziņas veidošanos un pārkāpumu prevenciju. </w:t>
            </w:r>
            <w:r w:rsidR="00755E2A" w:rsidRPr="00793AEF">
              <w:rPr>
                <w:rFonts w:ascii="Times New Roman" w:hAnsi="Times New Roman" w:cs="Times New Roman"/>
                <w:sz w:val="28"/>
                <w:szCs w:val="28"/>
              </w:rPr>
              <w:t xml:space="preserve">Tādējādi ir svarīgi </w:t>
            </w:r>
            <w:r w:rsidRPr="00793AEF">
              <w:rPr>
                <w:rFonts w:ascii="Times New Roman" w:hAnsi="Times New Roman" w:cs="Times New Roman"/>
                <w:sz w:val="28"/>
                <w:szCs w:val="28"/>
              </w:rPr>
              <w:t xml:space="preserve">veicināt audzinoša rakstura piespiedu līdzekļu </w:t>
            </w:r>
            <w:r w:rsidR="00755E2A" w:rsidRPr="00793AEF">
              <w:rPr>
                <w:rFonts w:ascii="Times New Roman" w:hAnsi="Times New Roman" w:cs="Times New Roman"/>
                <w:sz w:val="28"/>
                <w:szCs w:val="28"/>
              </w:rPr>
              <w:t xml:space="preserve">plašāku </w:t>
            </w:r>
            <w:r w:rsidRPr="00793AEF">
              <w:rPr>
                <w:rFonts w:ascii="Times New Roman" w:hAnsi="Times New Roman" w:cs="Times New Roman"/>
                <w:sz w:val="28"/>
                <w:szCs w:val="28"/>
              </w:rPr>
              <w:t xml:space="preserve">piemērošanu bērniem par </w:t>
            </w:r>
            <w:r w:rsidR="00C26397">
              <w:rPr>
                <w:rFonts w:ascii="Times New Roman" w:hAnsi="Times New Roman" w:cs="Times New Roman"/>
                <w:sz w:val="28"/>
                <w:szCs w:val="28"/>
              </w:rPr>
              <w:t xml:space="preserve">izdarītiem </w:t>
            </w:r>
            <w:r w:rsidRPr="00793AEF">
              <w:rPr>
                <w:rFonts w:ascii="Times New Roman" w:hAnsi="Times New Roman" w:cs="Times New Roman"/>
                <w:sz w:val="28"/>
                <w:szCs w:val="28"/>
              </w:rPr>
              <w:t xml:space="preserve">administratīvajiem pārkāpumiem. </w:t>
            </w:r>
          </w:p>
          <w:p w:rsidR="00D33DBA" w:rsidRPr="00793AEF" w:rsidRDefault="00D33DBA" w:rsidP="000F636A">
            <w:pPr>
              <w:pStyle w:val="Vienkrsteksts"/>
              <w:jc w:val="both"/>
              <w:rPr>
                <w:rFonts w:ascii="Times New Roman" w:hAnsi="Times New Roman" w:cs="Times New Roman"/>
                <w:sz w:val="28"/>
                <w:szCs w:val="28"/>
              </w:rPr>
            </w:pPr>
          </w:p>
          <w:p w:rsidR="00543A78" w:rsidRDefault="00543A78"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Likumprojekt</w:t>
            </w:r>
            <w:r w:rsidR="007D78DE" w:rsidRPr="00793AEF">
              <w:rPr>
                <w:rFonts w:ascii="Times New Roman" w:hAnsi="Times New Roman" w:cs="Times New Roman"/>
                <w:sz w:val="28"/>
                <w:szCs w:val="28"/>
              </w:rPr>
              <w:t xml:space="preserve">a mērķis ir piešķirt audzinoša rakstura piespiedu līdzekļiem prioritāti pār administratīvajiem sodiem lietās par </w:t>
            </w:r>
            <w:r w:rsidR="00C26397" w:rsidRPr="00C26397">
              <w:rPr>
                <w:rFonts w:ascii="Times New Roman" w:hAnsi="Times New Roman" w:cs="Times New Roman"/>
                <w:b/>
                <w:sz w:val="28"/>
                <w:szCs w:val="28"/>
              </w:rPr>
              <w:t>bērnu</w:t>
            </w:r>
            <w:r w:rsidR="007D78DE" w:rsidRPr="00793AEF">
              <w:rPr>
                <w:rFonts w:ascii="Times New Roman" w:hAnsi="Times New Roman" w:cs="Times New Roman"/>
                <w:sz w:val="28"/>
                <w:szCs w:val="28"/>
              </w:rPr>
              <w:t xml:space="preserve"> izdarītajiem administratīvajiem pārkāpumiem. </w:t>
            </w:r>
          </w:p>
          <w:p w:rsidR="00D33DBA" w:rsidRPr="00793AEF" w:rsidRDefault="00D33DBA" w:rsidP="000F636A">
            <w:pPr>
              <w:pStyle w:val="Vienkrsteksts"/>
              <w:jc w:val="both"/>
              <w:rPr>
                <w:rFonts w:ascii="Times New Roman" w:hAnsi="Times New Roman" w:cs="Times New Roman"/>
                <w:sz w:val="28"/>
                <w:szCs w:val="28"/>
              </w:rPr>
            </w:pPr>
          </w:p>
          <w:p w:rsidR="007E028C" w:rsidRDefault="007E028C"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Nolūkā tuvināt Latvijas tiesību sistēmu nepilngadīgo justīcijas principiem, a</w:t>
            </w:r>
            <w:r w:rsidR="007D78DE" w:rsidRPr="00793AEF">
              <w:rPr>
                <w:rFonts w:ascii="Times New Roman" w:hAnsi="Times New Roman" w:cs="Times New Roman"/>
                <w:sz w:val="28"/>
                <w:szCs w:val="28"/>
              </w:rPr>
              <w:t xml:space="preserve">r likumprojektu ir paredzēts ieviest sistēmu, saskaņā ar kuru visos gadījumos, kad tiek konstatēts </w:t>
            </w:r>
            <w:r w:rsidR="00C26397" w:rsidRPr="00C26397">
              <w:rPr>
                <w:rFonts w:ascii="Times New Roman" w:hAnsi="Times New Roman" w:cs="Times New Roman"/>
                <w:b/>
                <w:sz w:val="28"/>
                <w:szCs w:val="28"/>
              </w:rPr>
              <w:t>b</w:t>
            </w:r>
            <w:r w:rsidR="00C26397">
              <w:rPr>
                <w:rFonts w:ascii="Times New Roman" w:hAnsi="Times New Roman" w:cs="Times New Roman"/>
                <w:b/>
                <w:sz w:val="28"/>
                <w:szCs w:val="28"/>
              </w:rPr>
              <w:t>ērna</w:t>
            </w:r>
            <w:r w:rsidR="007D78DE" w:rsidRPr="00793AEF">
              <w:rPr>
                <w:rFonts w:ascii="Times New Roman" w:hAnsi="Times New Roman" w:cs="Times New Roman"/>
                <w:sz w:val="28"/>
                <w:szCs w:val="28"/>
              </w:rPr>
              <w:t xml:space="preserve"> izdarītais administratīvais pārkāpums, sākotnēji tiek izlemts jautājums par audzinoša rakstura piespiedu līdzekļu piemērošanu. </w:t>
            </w:r>
          </w:p>
          <w:p w:rsidR="00D33DBA" w:rsidRPr="00793AEF" w:rsidRDefault="00D33DBA" w:rsidP="000F636A">
            <w:pPr>
              <w:pStyle w:val="Vienkrsteksts"/>
              <w:jc w:val="both"/>
              <w:rPr>
                <w:rFonts w:ascii="Times New Roman" w:hAnsi="Times New Roman" w:cs="Times New Roman"/>
                <w:sz w:val="28"/>
                <w:szCs w:val="28"/>
              </w:rPr>
            </w:pPr>
          </w:p>
          <w:p w:rsidR="00F931A0" w:rsidRDefault="007D78DE" w:rsidP="000F636A">
            <w:pPr>
              <w:pStyle w:val="Vienkrsteksts"/>
              <w:jc w:val="both"/>
              <w:rPr>
                <w:rFonts w:ascii="Times New Roman" w:hAnsi="Times New Roman" w:cs="Times New Roman"/>
                <w:sz w:val="28"/>
                <w:szCs w:val="28"/>
              </w:rPr>
            </w:pPr>
            <w:r w:rsidRPr="00793AEF">
              <w:rPr>
                <w:rFonts w:ascii="Times New Roman" w:hAnsi="Times New Roman" w:cs="Times New Roman"/>
                <w:sz w:val="28"/>
                <w:szCs w:val="28"/>
              </w:rPr>
              <w:t xml:space="preserve">Vienlaikus netiek izslēgta iespēja nepilngadīgajam piemērot administratīvo </w:t>
            </w:r>
            <w:r w:rsidR="007E028C" w:rsidRPr="00793AEF">
              <w:rPr>
                <w:rFonts w:ascii="Times New Roman" w:hAnsi="Times New Roman" w:cs="Times New Roman"/>
                <w:sz w:val="28"/>
                <w:szCs w:val="28"/>
              </w:rPr>
              <w:t>sodu</w:t>
            </w:r>
            <w:r w:rsidRPr="00793AEF">
              <w:rPr>
                <w:rFonts w:ascii="Times New Roman" w:hAnsi="Times New Roman" w:cs="Times New Roman"/>
                <w:sz w:val="28"/>
                <w:szCs w:val="28"/>
              </w:rPr>
              <w:t xml:space="preserve">. Proti, gadījumā, ja, izvērtējot konkrētas lietas faktiskos un tiesiskos apstākļus, bērna attīstības līmeni, bērna dzīves sociālekonomiskos apstākļus un citus faktorus, kam ir nozīme lietā, tiek atzīts, ka audzinoša rakstura piespiedu līdzekļu piemērošana konkrētajā gadījumā nav </w:t>
            </w:r>
            <w:r w:rsidR="002B24CE">
              <w:rPr>
                <w:rFonts w:ascii="Times New Roman" w:hAnsi="Times New Roman" w:cs="Times New Roman"/>
                <w:sz w:val="28"/>
                <w:szCs w:val="28"/>
              </w:rPr>
              <w:t>lietderīga</w:t>
            </w:r>
            <w:r w:rsidRPr="00793AEF">
              <w:rPr>
                <w:rFonts w:ascii="Times New Roman" w:hAnsi="Times New Roman" w:cs="Times New Roman"/>
                <w:sz w:val="28"/>
                <w:szCs w:val="28"/>
              </w:rPr>
              <w:t>, var tikt piemērots administratīvais sods.</w:t>
            </w:r>
          </w:p>
          <w:p w:rsidR="002B24CE" w:rsidRDefault="002B24CE" w:rsidP="000F636A">
            <w:pPr>
              <w:pStyle w:val="Vienkrsteksts"/>
              <w:jc w:val="both"/>
              <w:rPr>
                <w:rFonts w:ascii="Times New Roman" w:hAnsi="Times New Roman" w:cs="Times New Roman"/>
                <w:sz w:val="28"/>
                <w:szCs w:val="28"/>
              </w:rPr>
            </w:pPr>
          </w:p>
          <w:p w:rsidR="004D15A9" w:rsidRPr="00793AEF" w:rsidRDefault="002B24CE" w:rsidP="00C53D5D">
            <w:pPr>
              <w:pStyle w:val="Vienkrsteksts"/>
              <w:jc w:val="both"/>
              <w:rPr>
                <w:rFonts w:ascii="Times New Roman" w:hAnsi="Times New Roman" w:cs="Times New Roman"/>
                <w:sz w:val="28"/>
                <w:szCs w:val="28"/>
              </w:rPr>
            </w:pPr>
            <w:r>
              <w:rPr>
                <w:rFonts w:ascii="Times New Roman" w:hAnsi="Times New Roman" w:cs="Times New Roman"/>
                <w:sz w:val="28"/>
                <w:szCs w:val="28"/>
              </w:rPr>
              <w:t xml:space="preserve">Papildus likumprojekts paplašina iespējas piemērot audzinoša rakstura piespiedu līdzekļus bērniem vecumā no 11 līdz 14 gadiem. Spēkā esošā norma paredz, ka šiem bērniem var piemērot audzinoša rakstura piespiedu līdzekļus, ja viņi izdarījuši pārkāpumu, par kuru likumā paredzēta administratīvā atbildība. Ievērojot to, ka administratīvie pārkāpumi un sodi par tiem ir noteikti arī pašvaldību saistošajos noteikumos, būtu pamatoti paredzēt iespēju piemērot audzinoša rakstura piespiedu līdzekļus arī par saistošajos noteikumos paredzēto pārkāpumu izdarīšanu. </w:t>
            </w:r>
          </w:p>
        </w:tc>
      </w:tr>
      <w:tr w:rsidR="00793AEF" w:rsidRPr="00793AEF" w:rsidTr="00B57369">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lastRenderedPageBreak/>
              <w:t>3.</w:t>
            </w:r>
          </w:p>
        </w:tc>
        <w:tc>
          <w:tcPr>
            <w:tcW w:w="139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30540D">
              <w:rPr>
                <w:rFonts w:ascii="Times New Roman" w:eastAsia="Times New Roman" w:hAnsi="Times New Roman" w:cs="Times New Roman"/>
                <w:sz w:val="28"/>
                <w:szCs w:val="28"/>
                <w:lang w:eastAsia="lv-LV"/>
              </w:rPr>
              <w:t>Projekta izstrādē iesaistītās institūcijas</w:t>
            </w:r>
          </w:p>
        </w:tc>
        <w:tc>
          <w:tcPr>
            <w:tcW w:w="3354" w:type="pct"/>
            <w:tcBorders>
              <w:top w:val="outset" w:sz="6" w:space="0" w:color="414142"/>
              <w:left w:val="outset" w:sz="6" w:space="0" w:color="414142"/>
              <w:bottom w:val="outset" w:sz="6" w:space="0" w:color="414142"/>
              <w:right w:val="outset" w:sz="6" w:space="0" w:color="414142"/>
            </w:tcBorders>
            <w:hideMark/>
          </w:tcPr>
          <w:p w:rsidR="004D15A9" w:rsidRDefault="004F140E" w:rsidP="004F140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Likumprojekta izstrādes gaitā uzklausīts pašvaldību viedoklis par audzinoša rakstura piespiedu līdzekļu plašāku piemērošanu </w:t>
            </w:r>
            <w:r w:rsidR="00566278">
              <w:rPr>
                <w:rFonts w:ascii="Times New Roman" w:eastAsia="Times New Roman" w:hAnsi="Times New Roman" w:cs="Times New Roman"/>
                <w:sz w:val="28"/>
                <w:szCs w:val="28"/>
                <w:lang w:eastAsia="lv-LV"/>
              </w:rPr>
              <w:t xml:space="preserve">lietās </w:t>
            </w:r>
            <w:r>
              <w:rPr>
                <w:rFonts w:ascii="Times New Roman" w:eastAsia="Times New Roman" w:hAnsi="Times New Roman" w:cs="Times New Roman"/>
                <w:sz w:val="28"/>
                <w:szCs w:val="28"/>
                <w:lang w:eastAsia="lv-LV"/>
              </w:rPr>
              <w:t>par bērnu izdarītajiem administratīvajiem pārkāpumiem. Pašvaldības atbalsta ideju par audzinoša rakstura piespiedu līdzekļu plašāku piemērošanu.</w:t>
            </w:r>
            <w:r w:rsidR="00314568">
              <w:rPr>
                <w:rFonts w:ascii="Times New Roman" w:eastAsia="Times New Roman" w:hAnsi="Times New Roman" w:cs="Times New Roman"/>
                <w:sz w:val="28"/>
                <w:szCs w:val="28"/>
                <w:lang w:eastAsia="lv-LV"/>
              </w:rPr>
              <w:t xml:space="preserve"> </w:t>
            </w:r>
          </w:p>
          <w:p w:rsidR="00EE5A60" w:rsidRDefault="00EE5A60" w:rsidP="004F140E">
            <w:pPr>
              <w:spacing w:after="0" w:line="240" w:lineRule="auto"/>
              <w:jc w:val="both"/>
              <w:rPr>
                <w:rFonts w:ascii="Times New Roman" w:eastAsia="Times New Roman" w:hAnsi="Times New Roman" w:cs="Times New Roman"/>
                <w:sz w:val="28"/>
                <w:szCs w:val="28"/>
                <w:lang w:eastAsia="lv-LV"/>
              </w:rPr>
            </w:pPr>
          </w:p>
          <w:p w:rsidR="004F140E" w:rsidRPr="00793AEF" w:rsidRDefault="004F140E" w:rsidP="0053332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likumprojekta izstrādes gaitā notika tikšanās ar Rīgas domes Administratīvās komisijas Bērnu lietu apakškomisijas, Rīgas </w:t>
            </w:r>
            <w:r w:rsidR="00593C52">
              <w:rPr>
                <w:rFonts w:ascii="Times New Roman" w:eastAsia="Times New Roman" w:hAnsi="Times New Roman" w:cs="Times New Roman"/>
                <w:sz w:val="28"/>
                <w:szCs w:val="28"/>
                <w:lang w:eastAsia="lv-LV"/>
              </w:rPr>
              <w:t>d</w:t>
            </w:r>
            <w:r>
              <w:rPr>
                <w:rFonts w:ascii="Times New Roman" w:eastAsia="Times New Roman" w:hAnsi="Times New Roman" w:cs="Times New Roman"/>
                <w:sz w:val="28"/>
                <w:szCs w:val="28"/>
                <w:lang w:eastAsia="lv-LV"/>
              </w:rPr>
              <w:t xml:space="preserve">omes Labklājības departamenta, </w:t>
            </w:r>
            <w:r w:rsidR="003A34C5">
              <w:rPr>
                <w:rFonts w:ascii="Times New Roman" w:eastAsia="Times New Roman" w:hAnsi="Times New Roman" w:cs="Times New Roman"/>
                <w:sz w:val="28"/>
                <w:szCs w:val="28"/>
                <w:lang w:eastAsia="lv-LV"/>
              </w:rPr>
              <w:t xml:space="preserve">Rīgas pašvaldības policijas, </w:t>
            </w:r>
            <w:r>
              <w:rPr>
                <w:rFonts w:ascii="Times New Roman" w:eastAsia="Times New Roman" w:hAnsi="Times New Roman" w:cs="Times New Roman"/>
                <w:sz w:val="28"/>
                <w:szCs w:val="28"/>
                <w:lang w:eastAsia="lv-LV"/>
              </w:rPr>
              <w:t>Valmieras pašvaldības</w:t>
            </w:r>
            <w:r w:rsidR="00314568">
              <w:rPr>
                <w:rFonts w:ascii="Times New Roman" w:eastAsia="Times New Roman" w:hAnsi="Times New Roman" w:cs="Times New Roman"/>
                <w:sz w:val="28"/>
                <w:szCs w:val="28"/>
                <w:lang w:eastAsia="lv-LV"/>
              </w:rPr>
              <w:t>, kā arī nevalstisko organizāciju</w:t>
            </w:r>
            <w:r>
              <w:rPr>
                <w:rFonts w:ascii="Times New Roman" w:eastAsia="Times New Roman" w:hAnsi="Times New Roman" w:cs="Times New Roman"/>
                <w:sz w:val="28"/>
                <w:szCs w:val="28"/>
                <w:lang w:eastAsia="lv-LV"/>
              </w:rPr>
              <w:t xml:space="preserve"> pārstāvjiem. Tikšanās ietvaros apspriesti audzinoša rakstura piespiedu līdzekļu piemērošanas problēmjautājumi un iespējamie risinājumi.</w:t>
            </w:r>
          </w:p>
        </w:tc>
      </w:tr>
      <w:tr w:rsidR="00793AEF" w:rsidRPr="00793AEF" w:rsidTr="00B57369">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4.</w:t>
            </w:r>
          </w:p>
        </w:tc>
        <w:tc>
          <w:tcPr>
            <w:tcW w:w="139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354" w:type="pct"/>
            <w:tcBorders>
              <w:top w:val="outset" w:sz="6" w:space="0" w:color="414142"/>
              <w:left w:val="outset" w:sz="6" w:space="0" w:color="414142"/>
              <w:bottom w:val="outset" w:sz="6" w:space="0" w:color="414142"/>
              <w:right w:val="outset" w:sz="6" w:space="0" w:color="414142"/>
            </w:tcBorders>
            <w:hideMark/>
          </w:tcPr>
          <w:p w:rsidR="004D15A9" w:rsidRPr="00793AEF" w:rsidRDefault="004C228D" w:rsidP="00933345">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57369">
              <w:rPr>
                <w:rFonts w:ascii="Times New Roman" w:eastAsia="Times New Roman" w:hAnsi="Times New Roman" w:cs="Times New Roman"/>
                <w:sz w:val="28"/>
                <w:szCs w:val="28"/>
                <w:lang w:eastAsia="lv-LV"/>
              </w:rPr>
              <w:t>.</w:t>
            </w:r>
          </w:p>
        </w:tc>
      </w:tr>
      <w:tr w:rsidR="005D4E8A" w:rsidRPr="00793AEF" w:rsidTr="00B57369">
        <w:trPr>
          <w:trHeight w:val="128"/>
        </w:trPr>
        <w:tc>
          <w:tcPr>
            <w:tcW w:w="5000" w:type="pct"/>
            <w:gridSpan w:val="3"/>
            <w:tcBorders>
              <w:top w:val="outset" w:sz="6" w:space="0" w:color="414142"/>
              <w:left w:val="nil"/>
              <w:bottom w:val="nil"/>
              <w:right w:val="nil"/>
            </w:tcBorders>
          </w:tcPr>
          <w:p w:rsidR="00031256" w:rsidRPr="00793AEF" w:rsidRDefault="0081203F" w:rsidP="0081203F">
            <w:pPr>
              <w:tabs>
                <w:tab w:val="left" w:pos="990"/>
              </w:tabs>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b/>
            </w:r>
          </w:p>
        </w:tc>
      </w:tr>
    </w:tbl>
    <w:p w:rsidR="004D15A9" w:rsidRPr="00793AEF" w:rsidRDefault="004D15A9" w:rsidP="00DA596D">
      <w:pPr>
        <w:spacing w:after="0" w:line="240" w:lineRule="auto"/>
        <w:rPr>
          <w:rFonts w:ascii="Times New Roman" w:eastAsia="Times New Roman" w:hAnsi="Times New Roman" w:cs="Times New Roman"/>
          <w:vanish/>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831"/>
        <w:gridCol w:w="5816"/>
      </w:tblGrid>
      <w:tr w:rsidR="00793AEF" w:rsidRPr="00793AEF" w:rsidTr="00B57369">
        <w:trPr>
          <w:trHeight w:val="555"/>
        </w:trPr>
        <w:tc>
          <w:tcPr>
            <w:tcW w:w="5000" w:type="pct"/>
            <w:gridSpan w:val="3"/>
            <w:tcBorders>
              <w:top w:val="single" w:sz="6" w:space="0" w:color="auto"/>
              <w:left w:val="outset" w:sz="6" w:space="0" w:color="414142"/>
              <w:bottom w:val="single" w:sz="6" w:space="0" w:color="auto"/>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793AEF" w:rsidRPr="00793AEF" w:rsidTr="00B57369">
        <w:trPr>
          <w:trHeight w:val="465"/>
        </w:trPr>
        <w:tc>
          <w:tcPr>
            <w:tcW w:w="250" w:type="pct"/>
            <w:tcBorders>
              <w:top w:val="single" w:sz="6" w:space="0" w:color="auto"/>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555" w:type="pct"/>
            <w:tcBorders>
              <w:top w:val="single" w:sz="6" w:space="0" w:color="auto"/>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Sabiedrības mērķgrupas, kuras tiesiskais regulējums ietekmē vai varētu ietekmēt</w:t>
            </w:r>
          </w:p>
        </w:tc>
        <w:tc>
          <w:tcPr>
            <w:tcW w:w="3194" w:type="pct"/>
            <w:tcBorders>
              <w:top w:val="single" w:sz="6" w:space="0" w:color="auto"/>
              <w:left w:val="outset" w:sz="6" w:space="0" w:color="414142"/>
              <w:bottom w:val="outset" w:sz="6" w:space="0" w:color="414142"/>
              <w:right w:val="outset" w:sz="6" w:space="0" w:color="414142"/>
            </w:tcBorders>
            <w:hideMark/>
          </w:tcPr>
          <w:p w:rsidR="00933345" w:rsidRPr="00793AEF" w:rsidRDefault="00933345" w:rsidP="00933345">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Likumprojektā ietvertais regulējums skars:</w:t>
            </w:r>
          </w:p>
          <w:p w:rsidR="004D15A9" w:rsidRPr="00793AEF" w:rsidRDefault="00933345" w:rsidP="00933345">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1) </w:t>
            </w:r>
            <w:r w:rsidR="0053332E">
              <w:rPr>
                <w:rFonts w:ascii="Times New Roman" w:eastAsia="Times New Roman" w:hAnsi="Times New Roman" w:cs="Times New Roman"/>
                <w:sz w:val="28"/>
                <w:szCs w:val="28"/>
                <w:lang w:eastAsia="lv-LV"/>
              </w:rPr>
              <w:t>n</w:t>
            </w:r>
            <w:r w:rsidRPr="00793AEF">
              <w:rPr>
                <w:rFonts w:ascii="Times New Roman" w:eastAsia="Times New Roman" w:hAnsi="Times New Roman" w:cs="Times New Roman"/>
                <w:sz w:val="28"/>
                <w:szCs w:val="28"/>
                <w:lang w:eastAsia="lv-LV"/>
              </w:rPr>
              <w:t>epilngadīgās personas no 1</w:t>
            </w:r>
            <w:r w:rsidR="00962C56">
              <w:rPr>
                <w:rFonts w:ascii="Times New Roman" w:eastAsia="Times New Roman" w:hAnsi="Times New Roman" w:cs="Times New Roman"/>
                <w:sz w:val="28"/>
                <w:szCs w:val="28"/>
                <w:lang w:eastAsia="lv-LV"/>
              </w:rPr>
              <w:t>1</w:t>
            </w:r>
            <w:r w:rsidRPr="00793AEF">
              <w:rPr>
                <w:rFonts w:ascii="Times New Roman" w:eastAsia="Times New Roman" w:hAnsi="Times New Roman" w:cs="Times New Roman"/>
                <w:sz w:val="28"/>
                <w:szCs w:val="28"/>
                <w:lang w:eastAsia="lv-LV"/>
              </w:rPr>
              <w:t xml:space="preserve"> līdz 18 gadu vecumam, kuras ir izdarījušas administratīvos pārkāpumus;</w:t>
            </w:r>
          </w:p>
          <w:p w:rsidR="00933345" w:rsidRPr="00793AEF" w:rsidRDefault="00933345" w:rsidP="00933345">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2) </w:t>
            </w:r>
            <w:r w:rsidR="0053332E">
              <w:rPr>
                <w:rFonts w:ascii="Times New Roman" w:eastAsia="Times New Roman" w:hAnsi="Times New Roman" w:cs="Times New Roman"/>
                <w:sz w:val="28"/>
                <w:szCs w:val="28"/>
                <w:lang w:eastAsia="lv-LV"/>
              </w:rPr>
              <w:t>n</w:t>
            </w:r>
            <w:r w:rsidRPr="00793AEF">
              <w:rPr>
                <w:rFonts w:ascii="Times New Roman" w:eastAsia="Times New Roman" w:hAnsi="Times New Roman" w:cs="Times New Roman"/>
                <w:sz w:val="28"/>
                <w:szCs w:val="28"/>
                <w:lang w:eastAsia="lv-LV"/>
              </w:rPr>
              <w:t>epilngadīgo personu pārstāvjus;</w:t>
            </w:r>
          </w:p>
          <w:p w:rsidR="00933345" w:rsidRPr="00793AEF" w:rsidRDefault="00933345" w:rsidP="0053332E">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3) </w:t>
            </w:r>
            <w:r w:rsidR="0053332E">
              <w:rPr>
                <w:rFonts w:ascii="Times New Roman" w:eastAsia="Times New Roman" w:hAnsi="Times New Roman" w:cs="Times New Roman"/>
                <w:sz w:val="28"/>
                <w:szCs w:val="28"/>
                <w:lang w:eastAsia="lv-LV"/>
              </w:rPr>
              <w:t>v</w:t>
            </w:r>
            <w:r w:rsidRPr="00793AEF">
              <w:rPr>
                <w:rFonts w:ascii="Times New Roman" w:eastAsia="Times New Roman" w:hAnsi="Times New Roman" w:cs="Times New Roman"/>
                <w:sz w:val="28"/>
                <w:szCs w:val="28"/>
                <w:lang w:eastAsia="lv-LV"/>
              </w:rPr>
              <w:t>alsts un pašvaldību iestādes, kuras veic administratīvā pārkāpuma liet</w:t>
            </w:r>
            <w:r w:rsidR="00AB1563">
              <w:rPr>
                <w:rFonts w:ascii="Times New Roman" w:eastAsia="Times New Roman" w:hAnsi="Times New Roman" w:cs="Times New Roman"/>
                <w:sz w:val="28"/>
                <w:szCs w:val="28"/>
                <w:lang w:eastAsia="lv-LV"/>
              </w:rPr>
              <w:t>vedību, kā arī pašvaldību administratīvās komisijas.</w:t>
            </w:r>
          </w:p>
        </w:tc>
      </w:tr>
      <w:tr w:rsidR="00793AEF" w:rsidRPr="00793AEF" w:rsidTr="00B573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793AEF" w:rsidRDefault="00933345"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r w:rsidR="00B57369">
              <w:rPr>
                <w:rFonts w:ascii="Times New Roman" w:hAnsi="Times New Roman" w:cs="Times New Roman"/>
                <w:sz w:val="28"/>
                <w:szCs w:val="28"/>
              </w:rPr>
              <w:t>.</w:t>
            </w:r>
          </w:p>
        </w:tc>
      </w:tr>
      <w:tr w:rsidR="00793AEF" w:rsidRPr="00793AEF" w:rsidTr="00B573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793AEF" w:rsidRDefault="00933345"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r w:rsidR="00B57369">
              <w:rPr>
                <w:rFonts w:ascii="Times New Roman" w:hAnsi="Times New Roman" w:cs="Times New Roman"/>
                <w:sz w:val="28"/>
                <w:szCs w:val="28"/>
              </w:rPr>
              <w:t>.</w:t>
            </w:r>
          </w:p>
        </w:tc>
      </w:tr>
      <w:tr w:rsidR="00793AEF" w:rsidRPr="00793AEF" w:rsidTr="00B5736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793AEF" w:rsidRDefault="00933345" w:rsidP="00933345">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57369">
              <w:rPr>
                <w:rFonts w:ascii="Times New Roman" w:eastAsia="Times New Roman" w:hAnsi="Times New Roman" w:cs="Times New Roman"/>
                <w:sz w:val="28"/>
                <w:szCs w:val="28"/>
                <w:lang w:eastAsia="lv-LV"/>
              </w:rPr>
              <w:t>.</w:t>
            </w:r>
          </w:p>
        </w:tc>
      </w:tr>
      <w:tr w:rsidR="00031256" w:rsidRPr="00793AEF" w:rsidTr="00B57369">
        <w:trPr>
          <w:trHeight w:val="345"/>
        </w:trPr>
        <w:tc>
          <w:tcPr>
            <w:tcW w:w="5000" w:type="pct"/>
            <w:gridSpan w:val="3"/>
            <w:tcBorders>
              <w:top w:val="outset" w:sz="6" w:space="0" w:color="414142"/>
              <w:left w:val="nil"/>
              <w:bottom w:val="single" w:sz="6" w:space="0" w:color="auto"/>
              <w:right w:val="nil"/>
            </w:tcBorders>
          </w:tcPr>
          <w:p w:rsidR="00031256" w:rsidRPr="00793AEF" w:rsidRDefault="00031256" w:rsidP="00DA596D">
            <w:pPr>
              <w:spacing w:after="0" w:line="240" w:lineRule="auto"/>
              <w:rPr>
                <w:rFonts w:ascii="Times New Roman" w:eastAsia="Times New Roman" w:hAnsi="Times New Roman" w:cs="Times New Roman"/>
                <w:sz w:val="28"/>
                <w:szCs w:val="28"/>
                <w:lang w:eastAsia="lv-LV"/>
              </w:rPr>
            </w:pPr>
          </w:p>
        </w:tc>
      </w:tr>
    </w:tbl>
    <w:p w:rsidR="004D15A9" w:rsidRPr="00793AEF" w:rsidRDefault="004D15A9" w:rsidP="00DA596D">
      <w:pPr>
        <w:spacing w:after="0" w:line="240" w:lineRule="auto"/>
        <w:rPr>
          <w:rFonts w:ascii="Times New Roman" w:eastAsia="Times New Roman" w:hAnsi="Times New Roman" w:cs="Times New Roman"/>
          <w:vanish/>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2"/>
      </w:tblGrid>
      <w:tr w:rsidR="00793AEF" w:rsidRPr="00793AEF" w:rsidTr="00B57369">
        <w:trPr>
          <w:trHeight w:val="360"/>
        </w:trPr>
        <w:tc>
          <w:tcPr>
            <w:tcW w:w="5000" w:type="pct"/>
            <w:tcBorders>
              <w:top w:val="nil"/>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III. Tiesību akta projekta ietekme uz valsts budžetu un pašvaldību budžetiem</w:t>
            </w:r>
          </w:p>
        </w:tc>
      </w:tr>
      <w:tr w:rsidR="00933345" w:rsidRPr="00793AEF" w:rsidTr="00B57369">
        <w:trPr>
          <w:trHeight w:val="230"/>
        </w:trPr>
        <w:tc>
          <w:tcPr>
            <w:tcW w:w="5000" w:type="pct"/>
            <w:tcBorders>
              <w:top w:val="outset" w:sz="6" w:space="0" w:color="414142"/>
              <w:left w:val="outset" w:sz="6" w:space="0" w:color="414142"/>
              <w:bottom w:val="outset" w:sz="6" w:space="0" w:color="414142"/>
              <w:right w:val="outset" w:sz="6" w:space="0" w:color="414142"/>
            </w:tcBorders>
          </w:tcPr>
          <w:p w:rsidR="00933345" w:rsidRPr="00793AEF" w:rsidRDefault="00933345" w:rsidP="00933345">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5998"/>
      </w:tblGrid>
      <w:tr w:rsidR="00793AEF" w:rsidRPr="00793AEF" w:rsidTr="00B57369">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IV. Tiesību akta projekta ietekme uz spēkā esošo tiesību normu sistēmu</w:t>
            </w:r>
          </w:p>
        </w:tc>
      </w:tr>
      <w:tr w:rsidR="00793AEF" w:rsidRPr="00793AEF" w:rsidTr="00B57369">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Nepieciešamie saistītie tiesību aktu projekti</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93AEF" w:rsidRDefault="00AA6AEB" w:rsidP="00AA6AEB">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Lai ieviestu likumprojektā noteikto principu un efektivizētu audzinoša rakstura piespiedu līdzekļu piemērošanu bērniem, ir nepieciešams izdarīt grozījumus likumā „Par audzinoša rakstura piespiedu līdzekļu piemērošanu bērniem”, novēršot tā piemērošanas gaitā konstatētās problēmas.</w:t>
            </w:r>
          </w:p>
          <w:p w:rsidR="00AA6AEB" w:rsidRPr="00793AEF" w:rsidRDefault="00AA6AEB" w:rsidP="00AA6AEB">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Grozījumi likumā „Par audzinoša rakstura piespiedu līdzekļu piemērošanu bērniem” ir izstrādāti un tiek virzīti vienlaikus ar likumprojektu.</w:t>
            </w:r>
          </w:p>
        </w:tc>
      </w:tr>
      <w:tr w:rsidR="00793AEF" w:rsidRPr="00793AEF" w:rsidTr="00B57369">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Atbildīgā institūcija</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93AEF" w:rsidRDefault="00AA6AEB"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Tieslietu ministrija</w:t>
            </w:r>
            <w:r w:rsidR="00B57369">
              <w:rPr>
                <w:rFonts w:ascii="Times New Roman" w:eastAsia="Times New Roman" w:hAnsi="Times New Roman" w:cs="Times New Roman"/>
                <w:sz w:val="28"/>
                <w:szCs w:val="28"/>
                <w:lang w:eastAsia="lv-LV"/>
              </w:rPr>
              <w:t>.</w:t>
            </w:r>
          </w:p>
        </w:tc>
      </w:tr>
      <w:tr w:rsidR="004D15A9" w:rsidRPr="00793AEF" w:rsidTr="00B57369">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93AEF" w:rsidRDefault="00AC3A9C" w:rsidP="00AC3A9C">
            <w:pPr>
              <w:spacing w:after="0" w:line="240" w:lineRule="auto"/>
              <w:ind w:firstLine="14"/>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57369">
              <w:rPr>
                <w:rFonts w:ascii="Times New Roman" w:eastAsia="Times New Roman" w:hAnsi="Times New Roman" w:cs="Times New Roman"/>
                <w:sz w:val="28"/>
                <w:szCs w:val="28"/>
                <w:lang w:eastAsia="lv-LV"/>
              </w:rPr>
              <w:t>.</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5998"/>
      </w:tblGrid>
      <w:tr w:rsidR="00793AEF" w:rsidRPr="00793AEF" w:rsidTr="00B573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V. Tiesību akta projekta atbilstība Latvijas Republikas starptautiskajām saistībām</w:t>
            </w:r>
          </w:p>
        </w:tc>
      </w:tr>
      <w:tr w:rsidR="00793AEF" w:rsidRPr="00793AEF" w:rsidTr="00B57369">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Saistības pret Eiropas Savienību</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Citas starptautiskās saistības</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4D15A9" w:rsidRPr="00793AEF" w:rsidTr="00B57369">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102968">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bl>
    <w:p w:rsidR="004D15A9" w:rsidRPr="00793AEF" w:rsidRDefault="004D15A9" w:rsidP="00DA596D">
      <w:pPr>
        <w:spacing w:after="0" w:line="240" w:lineRule="auto"/>
        <w:rPr>
          <w:rFonts w:ascii="Times New Roman" w:eastAsia="Times New Roman" w:hAnsi="Times New Roman" w:cs="Times New Roman"/>
          <w:vanish/>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0"/>
        <w:gridCol w:w="275"/>
        <w:gridCol w:w="1735"/>
        <w:gridCol w:w="1278"/>
        <w:gridCol w:w="1280"/>
        <w:gridCol w:w="2434"/>
      </w:tblGrid>
      <w:tr w:rsidR="00793AEF" w:rsidRPr="00793AEF" w:rsidTr="00B5736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1.tabula</w:t>
            </w:r>
            <w:r w:rsidRPr="00793AEF">
              <w:rPr>
                <w:rFonts w:ascii="Times New Roman" w:eastAsia="Times New Roman" w:hAnsi="Times New Roman" w:cs="Times New Roman"/>
                <w:b/>
                <w:bCs/>
                <w:sz w:val="28"/>
                <w:szCs w:val="28"/>
                <w:lang w:eastAsia="lv-LV"/>
              </w:rPr>
              <w:br/>
              <w:t>Tiesību akta projekta atbilstība ES tiesību aktiem</w:t>
            </w:r>
          </w:p>
        </w:tc>
      </w:tr>
      <w:tr w:rsidR="00793AEF" w:rsidRPr="00793AEF" w:rsidTr="00B57369">
        <w:tc>
          <w:tcPr>
            <w:tcW w:w="11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Attiecīgā ES tiesību akta datums, numurs un nosaukums</w:t>
            </w:r>
          </w:p>
        </w:tc>
        <w:tc>
          <w:tcPr>
            <w:tcW w:w="3846"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1154" w:type="pct"/>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w:t>
            </w:r>
          </w:p>
        </w:tc>
        <w:tc>
          <w:tcPr>
            <w:tcW w:w="1104"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B</w:t>
            </w:r>
          </w:p>
        </w:tc>
        <w:tc>
          <w:tcPr>
            <w:tcW w:w="1405"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w:t>
            </w:r>
          </w:p>
        </w:tc>
        <w:tc>
          <w:tcPr>
            <w:tcW w:w="1338" w:type="pct"/>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D</w:t>
            </w:r>
          </w:p>
        </w:tc>
      </w:tr>
      <w:tr w:rsidR="00793AEF" w:rsidRPr="00793AEF" w:rsidTr="00B57369">
        <w:tc>
          <w:tcPr>
            <w:tcW w:w="1154"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Attiecīgā ES tiesību akta panta numurs (uzskaitot katru tiesību akta vienību – pantu, daļu, punktu, apakšpunktu)</w:t>
            </w:r>
          </w:p>
        </w:tc>
        <w:tc>
          <w:tcPr>
            <w:tcW w:w="1104"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Projekta vienība, kas pārņem vai ievieš katru šīs tabulas A ailē minēto ES tiesību akta vienību, vai tiesību akts, kur attiecīgā ES tiesību akta vienība pārņemta vai ieviesta</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B36399" w:rsidRPr="00B36399" w:rsidRDefault="00B36399" w:rsidP="00B36399">
            <w:pPr>
              <w:spacing w:after="0" w:line="240" w:lineRule="auto"/>
              <w:rPr>
                <w:rFonts w:ascii="Times New Roman" w:eastAsia="Times New Roman" w:hAnsi="Times New Roman" w:cs="Times New Roman"/>
                <w:sz w:val="28"/>
                <w:szCs w:val="28"/>
                <w:lang w:eastAsia="lv-LV"/>
              </w:rPr>
            </w:pPr>
            <w:r w:rsidRPr="00B36399">
              <w:rPr>
                <w:rFonts w:ascii="Times New Roman" w:eastAsia="Times New Roman" w:hAnsi="Times New Roman" w:cs="Times New Roman"/>
                <w:sz w:val="28"/>
                <w:szCs w:val="28"/>
                <w:lang w:eastAsia="lv-LV"/>
              </w:rPr>
              <w:t xml:space="preserve">Informācija par to, </w:t>
            </w:r>
            <w:r w:rsidRPr="00793AEF">
              <w:rPr>
                <w:rFonts w:ascii="Times New Roman" w:eastAsia="Times New Roman" w:hAnsi="Times New Roman" w:cs="Times New Roman"/>
                <w:sz w:val="28"/>
                <w:szCs w:val="28"/>
                <w:lang w:eastAsia="lv-LV"/>
              </w:rPr>
              <w:t>vai šīs</w:t>
            </w:r>
            <w:r w:rsidRPr="00B36399">
              <w:rPr>
                <w:rFonts w:ascii="Times New Roman" w:eastAsia="Times New Roman" w:hAnsi="Times New Roman" w:cs="Times New Roman"/>
                <w:sz w:val="28"/>
                <w:szCs w:val="28"/>
                <w:lang w:eastAsia="lv-LV"/>
              </w:rPr>
              <w:t xml:space="preserve"> tabulas A ailē minētās ES tiesību akta vienības tiek pārņemtas vai ieviestas pilnībā vai daļēji.</w:t>
            </w:r>
          </w:p>
          <w:p w:rsidR="004D15A9" w:rsidRPr="00793AEF" w:rsidRDefault="004D15A9" w:rsidP="00B36399">
            <w:pPr>
              <w:spacing w:before="100" w:beforeAutospacing="1" w:after="100" w:afterAutospacing="1" w:line="360" w:lineRule="auto"/>
              <w:ind w:firstLine="300"/>
              <w:rPr>
                <w:rFonts w:ascii="Times New Roman" w:eastAsia="Times New Roman" w:hAnsi="Times New Roman" w:cs="Times New Roman"/>
                <w:sz w:val="28"/>
                <w:szCs w:val="28"/>
                <w:lang w:eastAsia="lv-LV"/>
              </w:rPr>
            </w:pPr>
          </w:p>
        </w:tc>
        <w:tc>
          <w:tcPr>
            <w:tcW w:w="1338"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Informācija par to, vai šīs tabulas B ailē minētās projekta vienības paredz stingrākas prasības nekā šīs tabulas A ailē minētās ES tiesību akta vienības.</w:t>
            </w:r>
          </w:p>
        </w:tc>
      </w:tr>
      <w:tr w:rsidR="00793AEF" w:rsidRPr="00793AEF" w:rsidTr="00B57369">
        <w:tc>
          <w:tcPr>
            <w:tcW w:w="1154"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p w:rsidR="00B36399" w:rsidRPr="00793AEF" w:rsidRDefault="00B36399" w:rsidP="00DA596D">
            <w:pPr>
              <w:spacing w:after="0" w:line="240" w:lineRule="auto"/>
              <w:rPr>
                <w:rFonts w:ascii="Times New Roman" w:eastAsia="Times New Roman" w:hAnsi="Times New Roman" w:cs="Times New Roman"/>
                <w:sz w:val="28"/>
                <w:szCs w:val="28"/>
                <w:lang w:eastAsia="lv-LV"/>
              </w:rPr>
            </w:pPr>
          </w:p>
        </w:tc>
        <w:tc>
          <w:tcPr>
            <w:tcW w:w="1104"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1338" w:type="pct"/>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11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w:t>
            </w:r>
            <w:r w:rsidRPr="00793AEF">
              <w:rPr>
                <w:rFonts w:ascii="Times New Roman" w:eastAsia="Times New Roman" w:hAnsi="Times New Roman" w:cs="Times New Roman"/>
                <w:sz w:val="28"/>
                <w:szCs w:val="28"/>
                <w:lang w:eastAsia="lv-LV"/>
              </w:rPr>
              <w:br/>
              <w:t>Kādēļ?</w:t>
            </w:r>
          </w:p>
        </w:tc>
        <w:tc>
          <w:tcPr>
            <w:tcW w:w="3846"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11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6"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1154"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846" w:type="pct"/>
            <w:gridSpan w:val="5"/>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p>
        </w:tc>
      </w:tr>
      <w:tr w:rsidR="00793AEF" w:rsidRPr="00793AEF" w:rsidTr="00B5736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2.tabula</w:t>
            </w:r>
            <w:r w:rsidRPr="00793AEF">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793AEF">
              <w:rPr>
                <w:rFonts w:ascii="Times New Roman" w:eastAsia="Times New Roman" w:hAnsi="Times New Roman" w:cs="Times New Roman"/>
                <w:b/>
                <w:bCs/>
                <w:sz w:val="28"/>
                <w:szCs w:val="28"/>
                <w:lang w:eastAsia="lv-LV"/>
              </w:rPr>
              <w:br/>
              <w:t>Pasākumi šo saistību izpildei</w:t>
            </w:r>
          </w:p>
        </w:tc>
      </w:tr>
      <w:tr w:rsidR="00793AEF" w:rsidRPr="00793AEF" w:rsidTr="00B57369">
        <w:tc>
          <w:tcPr>
            <w:tcW w:w="1305"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Attiecīgā starptautiskā tiesību akta vai starptautiskas institūcijas vai organizācijas dokumenta (turpmāk - starptautiskais dokuments) datums, numurs un nosaukums</w:t>
            </w:r>
          </w:p>
        </w:tc>
        <w:tc>
          <w:tcPr>
            <w:tcW w:w="3695" w:type="pct"/>
            <w:gridSpan w:val="4"/>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1305"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A</w:t>
            </w:r>
          </w:p>
        </w:tc>
        <w:tc>
          <w:tcPr>
            <w:tcW w:w="1655"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B</w:t>
            </w:r>
          </w:p>
        </w:tc>
        <w:tc>
          <w:tcPr>
            <w:tcW w:w="204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w:t>
            </w:r>
          </w:p>
        </w:tc>
      </w:tr>
      <w:tr w:rsidR="00793AEF" w:rsidRPr="00793AEF" w:rsidTr="00B57369">
        <w:tc>
          <w:tcPr>
            <w:tcW w:w="130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Starptautiskās saistības (pēc būtības), kas izriet no norādītā starptautiskā dokumenta. </w:t>
            </w:r>
          </w:p>
          <w:p w:rsidR="004D15A9" w:rsidRPr="00793AEF" w:rsidRDefault="004D15A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Konkrēti veicamie pasākumi vai uzdevumi, kas nepieciešami šo starptautisko saistību izpildei</w:t>
            </w:r>
          </w:p>
        </w:tc>
        <w:tc>
          <w:tcPr>
            <w:tcW w:w="165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40"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Informācija par to, vai starptautiskās saistības, kas minētas šīs tabulas A ailē, tiek izpildītas pilnībā vai daļēji. </w:t>
            </w:r>
          </w:p>
          <w:p w:rsidR="004D15A9" w:rsidRPr="00793AEF" w:rsidRDefault="004D15A9" w:rsidP="00DA596D">
            <w:pPr>
              <w:spacing w:after="0" w:line="240" w:lineRule="auto"/>
              <w:ind w:firstLine="300"/>
              <w:rPr>
                <w:rFonts w:ascii="Times New Roman" w:eastAsia="Times New Roman" w:hAnsi="Times New Roman" w:cs="Times New Roman"/>
                <w:sz w:val="28"/>
                <w:szCs w:val="28"/>
                <w:lang w:eastAsia="lv-LV"/>
              </w:rPr>
            </w:pPr>
          </w:p>
        </w:tc>
      </w:tr>
      <w:tr w:rsidR="00793AEF" w:rsidRPr="00793AEF" w:rsidTr="00B57369">
        <w:tc>
          <w:tcPr>
            <w:tcW w:w="130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165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c>
          <w:tcPr>
            <w:tcW w:w="2040"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130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Vai starptautiskajā dokumentā paredzētās saistības nav pretrunā ar jau esošajām Latvijas Republikas starptautiskajām saistībām</w:t>
            </w:r>
          </w:p>
        </w:tc>
        <w:tc>
          <w:tcPr>
            <w:tcW w:w="3695" w:type="pct"/>
            <w:gridSpan w:val="4"/>
            <w:tcBorders>
              <w:top w:val="outset" w:sz="6" w:space="0" w:color="414142"/>
              <w:left w:val="outset" w:sz="6" w:space="0" w:color="414142"/>
              <w:bottom w:val="outset" w:sz="6" w:space="0" w:color="414142"/>
              <w:right w:val="outset" w:sz="6" w:space="0" w:color="414142"/>
            </w:tcBorders>
            <w:hideMark/>
          </w:tcPr>
          <w:p w:rsidR="004D15A9" w:rsidRPr="00793AEF" w:rsidRDefault="00B36399" w:rsidP="00DA596D">
            <w:pPr>
              <w:spacing w:after="0" w:line="240" w:lineRule="auto"/>
              <w:rPr>
                <w:rFonts w:ascii="Times New Roman" w:eastAsia="Times New Roman" w:hAnsi="Times New Roman" w:cs="Times New Roman"/>
                <w:sz w:val="28"/>
                <w:szCs w:val="28"/>
                <w:lang w:eastAsia="lv-LV"/>
              </w:rPr>
            </w:pPr>
            <w:r w:rsidRPr="00793AEF">
              <w:rPr>
                <w:rFonts w:ascii="Times New Roman" w:hAnsi="Times New Roman" w:cs="Times New Roman"/>
                <w:sz w:val="28"/>
                <w:szCs w:val="28"/>
              </w:rPr>
              <w:t>Projekts šo jomu neskar</w:t>
            </w:r>
          </w:p>
        </w:tc>
      </w:tr>
      <w:tr w:rsidR="00793AEF" w:rsidRPr="00793AEF" w:rsidTr="00B57369">
        <w:tc>
          <w:tcPr>
            <w:tcW w:w="1305" w:type="pct"/>
            <w:gridSpan w:val="2"/>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695" w:type="pct"/>
            <w:gridSpan w:val="4"/>
            <w:tcBorders>
              <w:top w:val="outset" w:sz="6" w:space="0" w:color="414142"/>
              <w:left w:val="outset" w:sz="6" w:space="0" w:color="414142"/>
              <w:bottom w:val="outset" w:sz="6" w:space="0" w:color="414142"/>
              <w:right w:val="outset" w:sz="6" w:space="0" w:color="414142"/>
            </w:tcBorders>
            <w:hideMark/>
          </w:tcPr>
          <w:p w:rsidR="004D15A9" w:rsidRPr="00793AEF" w:rsidRDefault="00B36399" w:rsidP="00C53D5D">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Likumprojekts atbilst Apvienoto Nāciju Organizācijas Konvencijai par bērna tiesībām, </w:t>
            </w:r>
            <w:r w:rsidRPr="00793AEF">
              <w:rPr>
                <w:rFonts w:ascii="Times New Roman" w:hAnsi="Times New Roman" w:cs="Times New Roman"/>
                <w:sz w:val="28"/>
                <w:szCs w:val="28"/>
              </w:rPr>
              <w:t>Apvienoto Nāciju Organizācijas vadlīnijām par nepilngadīgo noziedzības prevenciju, Apvienoto Nāciju Organizācijas Minimālajiem standartnoteikum</w:t>
            </w:r>
            <w:r w:rsidR="00B06DEC">
              <w:rPr>
                <w:rFonts w:ascii="Times New Roman" w:hAnsi="Times New Roman" w:cs="Times New Roman"/>
                <w:sz w:val="28"/>
                <w:szCs w:val="28"/>
              </w:rPr>
              <w:t>iem</w:t>
            </w:r>
            <w:r w:rsidRPr="00793AEF">
              <w:rPr>
                <w:rFonts w:ascii="Times New Roman" w:hAnsi="Times New Roman" w:cs="Times New Roman"/>
                <w:sz w:val="28"/>
                <w:szCs w:val="28"/>
              </w:rPr>
              <w:t xml:space="preserve"> par nepilngadīgo justīcijas administrēšanu, </w:t>
            </w:r>
            <w:r w:rsidRPr="003A3336">
              <w:rPr>
                <w:rFonts w:ascii="Times New Roman" w:hAnsi="Times New Roman" w:cs="Times New Roman"/>
                <w:sz w:val="28"/>
                <w:szCs w:val="28"/>
              </w:rPr>
              <w:t xml:space="preserve">Eiropas Padomes Ministru komitejas </w:t>
            </w:r>
            <w:r w:rsidR="003A3336" w:rsidRPr="003A3336">
              <w:rPr>
                <w:rFonts w:ascii="Times New Roman" w:hAnsi="Times New Roman" w:cs="Times New Roman"/>
                <w:sz w:val="28"/>
                <w:szCs w:val="28"/>
              </w:rPr>
              <w:t>v</w:t>
            </w:r>
            <w:r w:rsidRPr="003A3336">
              <w:rPr>
                <w:rFonts w:ascii="Times New Roman" w:hAnsi="Times New Roman" w:cs="Times New Roman"/>
                <w:sz w:val="28"/>
                <w:szCs w:val="28"/>
              </w:rPr>
              <w:t>adlīnijām par bērniem draudzīgu tiesisko vidi</w:t>
            </w:r>
            <w:r w:rsidR="00B06DEC">
              <w:rPr>
                <w:rFonts w:ascii="Times New Roman" w:hAnsi="Times New Roman" w:cs="Times New Roman"/>
                <w:sz w:val="28"/>
                <w:szCs w:val="28"/>
              </w:rPr>
              <w:t xml:space="preserve">, </w:t>
            </w:r>
            <w:r w:rsidR="00B06DEC" w:rsidRPr="00A57409">
              <w:rPr>
                <w:rFonts w:ascii="Times New Roman" w:hAnsi="Times New Roman" w:cs="Times New Roman"/>
                <w:sz w:val="28"/>
                <w:szCs w:val="28"/>
              </w:rPr>
              <w:t>Eiropas Padomes Ministru komi</w:t>
            </w:r>
            <w:r w:rsidR="00B06DEC">
              <w:rPr>
                <w:rFonts w:ascii="Times New Roman" w:hAnsi="Times New Roman" w:cs="Times New Roman"/>
                <w:sz w:val="28"/>
                <w:szCs w:val="28"/>
              </w:rPr>
              <w:t>tejas</w:t>
            </w:r>
            <w:r w:rsidR="00B06DEC" w:rsidRPr="00A57409">
              <w:rPr>
                <w:rFonts w:ascii="Times New Roman" w:hAnsi="Times New Roman" w:cs="Times New Roman"/>
                <w:sz w:val="28"/>
                <w:szCs w:val="28"/>
              </w:rPr>
              <w:t xml:space="preserve"> </w:t>
            </w:r>
            <w:r w:rsidR="0037626A">
              <w:rPr>
                <w:rFonts w:ascii="Times New Roman" w:hAnsi="Times New Roman" w:cs="Times New Roman"/>
                <w:sz w:val="28"/>
                <w:szCs w:val="28"/>
              </w:rPr>
              <w:t>rekomendācijai</w:t>
            </w:r>
            <w:r w:rsidR="00B06DEC" w:rsidRPr="00A57409">
              <w:rPr>
                <w:rFonts w:ascii="Times New Roman" w:hAnsi="Times New Roman" w:cs="Times New Roman"/>
                <w:sz w:val="28"/>
                <w:szCs w:val="28"/>
              </w:rPr>
              <w:t xml:space="preserve"> Rec(2003)20 dalībvalstīm par jauniem veidiem, kā novērst nepilngadīgo noziedzību un par nepilngad</w:t>
            </w:r>
            <w:r w:rsidR="00B06DEC">
              <w:rPr>
                <w:rFonts w:ascii="Times New Roman" w:hAnsi="Times New Roman" w:cs="Times New Roman"/>
                <w:sz w:val="28"/>
                <w:szCs w:val="28"/>
              </w:rPr>
              <w:t xml:space="preserve">īgo tiesvedības sistēmas nozīmi, kā arī </w:t>
            </w:r>
            <w:r w:rsidR="00B06DEC" w:rsidRPr="00A57409">
              <w:rPr>
                <w:rFonts w:ascii="Times New Roman" w:hAnsi="Times New Roman" w:cs="Times New Roman"/>
                <w:sz w:val="28"/>
                <w:szCs w:val="28"/>
              </w:rPr>
              <w:t>Eiropas Padomes Ministru komi</w:t>
            </w:r>
            <w:r w:rsidR="00B06DEC">
              <w:rPr>
                <w:rFonts w:ascii="Times New Roman" w:hAnsi="Times New Roman" w:cs="Times New Roman"/>
                <w:sz w:val="28"/>
                <w:szCs w:val="28"/>
              </w:rPr>
              <w:t>tejas</w:t>
            </w:r>
            <w:r w:rsidR="00B06DEC" w:rsidRPr="00A57409">
              <w:rPr>
                <w:rFonts w:ascii="Times New Roman" w:hAnsi="Times New Roman" w:cs="Times New Roman"/>
                <w:sz w:val="28"/>
                <w:szCs w:val="28"/>
              </w:rPr>
              <w:t xml:space="preserve"> </w:t>
            </w:r>
            <w:r w:rsidR="0037626A">
              <w:rPr>
                <w:rFonts w:ascii="Times New Roman" w:hAnsi="Times New Roman" w:cs="Times New Roman"/>
                <w:sz w:val="28"/>
                <w:szCs w:val="28"/>
              </w:rPr>
              <w:t>rekomendācijai</w:t>
            </w:r>
            <w:r w:rsidR="00B06DEC" w:rsidRPr="00A57409">
              <w:rPr>
                <w:rFonts w:ascii="Times New Roman" w:hAnsi="Times New Roman" w:cs="Times New Roman"/>
                <w:sz w:val="28"/>
                <w:szCs w:val="28"/>
              </w:rPr>
              <w:t xml:space="preserve"> CM/Rec(2008)11 dalībvalstīm par Eiropas noteikumiem attiecībā uz nepilngadīgo sodīšanu.</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5905"/>
      </w:tblGrid>
      <w:tr w:rsidR="00793AEF" w:rsidRPr="00793AEF" w:rsidTr="00B5736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VI. Sabiedrības līdzdalība un komunikācijas aktivitātes</w:t>
            </w:r>
          </w:p>
        </w:tc>
      </w:tr>
      <w:tr w:rsidR="00793AEF" w:rsidRPr="00793AEF" w:rsidTr="00B57369">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A2099D" w:rsidRDefault="004D15A9" w:rsidP="00DA596D">
            <w:pPr>
              <w:spacing w:after="0" w:line="240" w:lineRule="auto"/>
              <w:rPr>
                <w:rFonts w:ascii="Times New Roman" w:eastAsia="Times New Roman" w:hAnsi="Times New Roman" w:cs="Times New Roman"/>
                <w:sz w:val="28"/>
                <w:szCs w:val="28"/>
                <w:lang w:eastAsia="lv-LV"/>
              </w:rPr>
            </w:pPr>
            <w:r w:rsidRPr="003406A3">
              <w:rPr>
                <w:rFonts w:ascii="Times New Roman" w:eastAsia="Times New Roman" w:hAnsi="Times New Roman" w:cs="Times New Roman"/>
                <w:sz w:val="28"/>
                <w:szCs w:val="28"/>
                <w:lang w:eastAsia="lv-LV"/>
              </w:rPr>
              <w:t>Plānotās</w:t>
            </w:r>
            <w:r w:rsidRPr="00A2099D">
              <w:rPr>
                <w:rFonts w:ascii="Times New Roman" w:eastAsia="Times New Roman" w:hAnsi="Times New Roman" w:cs="Times New Roman"/>
                <w:sz w:val="28"/>
                <w:szCs w:val="28"/>
                <w:lang w:eastAsia="lv-LV"/>
              </w:rPr>
              <w:t xml:space="preserve"> sabiedrības līdzdalības un 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Default="00962C56" w:rsidP="00962C56">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1. </w:t>
            </w:r>
            <w:r w:rsidR="00A2099D">
              <w:rPr>
                <w:rFonts w:ascii="Times New Roman" w:eastAsia="Times New Roman" w:hAnsi="Times New Roman" w:cs="Times New Roman"/>
                <w:sz w:val="28"/>
                <w:szCs w:val="28"/>
                <w:lang w:eastAsia="lv-LV"/>
              </w:rPr>
              <w:t>Sabiedrības līdzdalība tik</w:t>
            </w:r>
            <w:r>
              <w:rPr>
                <w:rFonts w:ascii="Times New Roman" w:eastAsia="Times New Roman" w:hAnsi="Times New Roman" w:cs="Times New Roman"/>
                <w:sz w:val="28"/>
                <w:szCs w:val="28"/>
                <w:lang w:eastAsia="lv-LV"/>
              </w:rPr>
              <w:t>a</w:t>
            </w:r>
            <w:r w:rsidR="00A2099D">
              <w:rPr>
                <w:rFonts w:ascii="Times New Roman" w:eastAsia="Times New Roman" w:hAnsi="Times New Roman" w:cs="Times New Roman"/>
                <w:sz w:val="28"/>
                <w:szCs w:val="28"/>
                <w:lang w:eastAsia="lv-LV"/>
              </w:rPr>
              <w:t xml:space="preserve"> nodrošināta saskaņā ar Ministru kabineta </w:t>
            </w:r>
            <w:r w:rsidR="00A2099D" w:rsidRPr="002E00C8">
              <w:rPr>
                <w:rFonts w:ascii="Times New Roman" w:eastAsia="Times New Roman" w:hAnsi="Times New Roman" w:cs="Times New Roman"/>
                <w:sz w:val="28"/>
                <w:szCs w:val="28"/>
                <w:lang w:eastAsia="lv-LV"/>
              </w:rPr>
              <w:t>2009.gada 25.augusta noteikumiem Nr.970 „</w:t>
            </w:r>
            <w:r w:rsidR="00A2099D" w:rsidRPr="002E00C8">
              <w:rPr>
                <w:rFonts w:ascii="Times New Roman" w:hAnsi="Times New Roman" w:cs="Times New Roman"/>
                <w:bCs/>
                <w:sz w:val="28"/>
                <w:szCs w:val="28"/>
              </w:rPr>
              <w:t>Sabiedrības līdzdalības kārtība attīstības plānošanas pr</w:t>
            </w:r>
            <w:r w:rsidR="00593C52">
              <w:rPr>
                <w:rFonts w:ascii="Times New Roman" w:hAnsi="Times New Roman" w:cs="Times New Roman"/>
                <w:bCs/>
                <w:sz w:val="28"/>
                <w:szCs w:val="28"/>
              </w:rPr>
              <w:t>ocesā”</w:t>
            </w:r>
            <w:r w:rsidR="00A2099D" w:rsidRPr="002E00C8">
              <w:rPr>
                <w:rFonts w:ascii="Times New Roman" w:hAnsi="Times New Roman" w:cs="Times New Roman"/>
                <w:bCs/>
                <w:sz w:val="28"/>
                <w:szCs w:val="28"/>
              </w:rPr>
              <w:t>, sagatavojot un publicējot paziņojumu par līdzdalības procesu.</w:t>
            </w:r>
          </w:p>
          <w:p w:rsidR="00962C56" w:rsidRPr="00793AEF" w:rsidRDefault="00962C56" w:rsidP="00962C5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Tieslietu ministrija prezentēja likumprojektā iestrādāto sistēmu Sabiedriskās politikas centra PROVIDUS 01.04.2015. rīkotajā diskusijā ar valsts iestādēm un nevalstiskajām organizācijām par bērnu likumpārkāpumu prevenciju.</w:t>
            </w:r>
          </w:p>
        </w:tc>
      </w:tr>
      <w:tr w:rsidR="00793AEF" w:rsidRPr="00793AEF" w:rsidTr="00B57369">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A2099D" w:rsidRDefault="004D15A9" w:rsidP="00DA596D">
            <w:pPr>
              <w:spacing w:after="0" w:line="240" w:lineRule="auto"/>
              <w:rPr>
                <w:rFonts w:ascii="Times New Roman" w:eastAsia="Times New Roman" w:hAnsi="Times New Roman" w:cs="Times New Roman"/>
                <w:sz w:val="28"/>
                <w:szCs w:val="28"/>
                <w:lang w:eastAsia="lv-LV"/>
              </w:rPr>
            </w:pPr>
            <w:r w:rsidRPr="00A2099D">
              <w:rPr>
                <w:rFonts w:ascii="Times New Roman" w:eastAsia="Times New Roman" w:hAnsi="Times New Roman" w:cs="Times New Roman"/>
                <w:sz w:val="28"/>
                <w:szCs w:val="28"/>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962C56" w:rsidRDefault="00962C56" w:rsidP="0053332E">
            <w:pPr>
              <w:spacing w:after="0" w:line="240" w:lineRule="auto"/>
              <w:jc w:val="both"/>
              <w:rPr>
                <w:rFonts w:ascii="Times New Roman" w:eastAsia="Times New Roman" w:hAnsi="Times New Roman" w:cs="Times New Roman"/>
                <w:sz w:val="28"/>
                <w:szCs w:val="28"/>
                <w:lang w:eastAsia="lv-LV"/>
              </w:rPr>
            </w:pPr>
            <w:r w:rsidRPr="00962C56">
              <w:rPr>
                <w:rFonts w:ascii="Times New Roman" w:eastAsia="Times New Roman" w:hAnsi="Times New Roman" w:cs="Times New Roman"/>
                <w:sz w:val="28"/>
                <w:szCs w:val="28"/>
                <w:lang w:eastAsia="lv-LV"/>
              </w:rPr>
              <w:t xml:space="preserve">Likumprojekts kopā ar sākotnējās ietekmes novērtējuma ziņojumu (anotāciju) 2015.gada 11.martā  ievietots Tieslietu ministrijas mājas lapā internetā </w:t>
            </w:r>
            <w:hyperlink r:id="rId12" w:history="1">
              <w:r w:rsidRPr="00F95742">
                <w:rPr>
                  <w:rFonts w:ascii="Times New Roman" w:eastAsia="Times New Roman" w:hAnsi="Times New Roman" w:cs="Times New Roman"/>
                  <w:sz w:val="28"/>
                  <w:szCs w:val="28"/>
                  <w:lang w:eastAsia="lv-LV"/>
                </w:rPr>
                <w:t>www.tm.gov.lv</w:t>
              </w:r>
            </w:hyperlink>
            <w:r w:rsidRPr="00962C56">
              <w:rPr>
                <w:rFonts w:ascii="Times New Roman" w:eastAsia="Times New Roman" w:hAnsi="Times New Roman" w:cs="Times New Roman"/>
                <w:sz w:val="28"/>
                <w:szCs w:val="28"/>
                <w:lang w:eastAsia="lv-LV"/>
              </w:rPr>
              <w:t xml:space="preserve"> sadaļā „Sabiedrības līdzdalība”, aicinot sabiedrību rakstveidā izteikt savu viedokli par likumprojektu līdz 2015.gada 27.martam.</w:t>
            </w:r>
          </w:p>
        </w:tc>
      </w:tr>
      <w:tr w:rsidR="00793AEF" w:rsidRPr="00793AEF" w:rsidTr="00B57369">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A2099D" w:rsidRDefault="004D15A9" w:rsidP="00DA596D">
            <w:pPr>
              <w:spacing w:after="0" w:line="240" w:lineRule="auto"/>
              <w:rPr>
                <w:rFonts w:ascii="Times New Roman" w:eastAsia="Times New Roman" w:hAnsi="Times New Roman" w:cs="Times New Roman"/>
                <w:sz w:val="28"/>
                <w:szCs w:val="28"/>
                <w:lang w:eastAsia="lv-LV"/>
              </w:rPr>
            </w:pPr>
            <w:r w:rsidRPr="00A2099D">
              <w:rPr>
                <w:rFonts w:ascii="Times New Roman" w:eastAsia="Times New Roman" w:hAnsi="Times New Roman" w:cs="Times New Roman"/>
                <w:sz w:val="28"/>
                <w:szCs w:val="28"/>
                <w:lang w:eastAsia="lv-LV"/>
              </w:rPr>
              <w:t>Sabiedrības līdzdalības rezultāti</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793AEF" w:rsidRDefault="00962C56" w:rsidP="0010296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Viedokļi par likumprojektu netika </w:t>
            </w:r>
            <w:r w:rsidR="00102968">
              <w:rPr>
                <w:rFonts w:ascii="Times New Roman" w:eastAsia="Times New Roman" w:hAnsi="Times New Roman" w:cs="Times New Roman"/>
                <w:sz w:val="28"/>
                <w:szCs w:val="28"/>
                <w:lang w:eastAsia="lv-LV"/>
              </w:rPr>
              <w:t>saņemti</w:t>
            </w:r>
            <w:r>
              <w:rPr>
                <w:rFonts w:ascii="Times New Roman" w:eastAsia="Times New Roman" w:hAnsi="Times New Roman" w:cs="Times New Roman"/>
                <w:sz w:val="28"/>
                <w:szCs w:val="28"/>
                <w:lang w:eastAsia="lv-LV"/>
              </w:rPr>
              <w:t>.</w:t>
            </w:r>
          </w:p>
        </w:tc>
      </w:tr>
      <w:tr w:rsidR="004D15A9" w:rsidRPr="00793AEF" w:rsidTr="00B57369">
        <w:trPr>
          <w:trHeight w:val="225"/>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793AEF" w:rsidRDefault="00876646" w:rsidP="00B57369">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57369">
              <w:rPr>
                <w:rFonts w:ascii="Times New Roman" w:eastAsia="Times New Roman" w:hAnsi="Times New Roman" w:cs="Times New Roman"/>
                <w:sz w:val="28"/>
                <w:szCs w:val="28"/>
                <w:lang w:eastAsia="lv-LV"/>
              </w:rPr>
              <w:t>.</w:t>
            </w:r>
          </w:p>
        </w:tc>
      </w:tr>
    </w:tbl>
    <w:p w:rsidR="004D15A9" w:rsidRPr="00793AEF" w:rsidRDefault="004D15A9" w:rsidP="00DA596D">
      <w:pPr>
        <w:spacing w:after="0" w:line="240" w:lineRule="auto"/>
        <w:rPr>
          <w:rFonts w:ascii="Times New Roman" w:eastAsia="Times New Roman" w:hAnsi="Times New Roman" w:cs="Times New Roman"/>
          <w:sz w:val="28"/>
          <w:szCs w:val="28"/>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175"/>
      </w:tblGrid>
      <w:tr w:rsidR="00793AEF" w:rsidRPr="00793AEF" w:rsidTr="00B5736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93AEF"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793AEF">
              <w:rPr>
                <w:rFonts w:ascii="Times New Roman" w:eastAsia="Times New Roman" w:hAnsi="Times New Roman" w:cs="Times New Roman"/>
                <w:b/>
                <w:bCs/>
                <w:sz w:val="28"/>
                <w:szCs w:val="28"/>
                <w:lang w:eastAsia="lv-LV"/>
              </w:rPr>
              <w:t>VII. Tiesību akta projekta izpildes nodrošināšana un tās ietekme uz institūcijām</w:t>
            </w:r>
          </w:p>
        </w:tc>
      </w:tr>
      <w:tr w:rsidR="00793AEF" w:rsidRPr="00793AEF" w:rsidTr="00B57369">
        <w:trPr>
          <w:trHeight w:val="420"/>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1.</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793AEF" w:rsidRDefault="00876646" w:rsidP="004C424F">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Iestādes, kas </w:t>
            </w:r>
            <w:r w:rsidR="00793AEF" w:rsidRPr="00793AEF">
              <w:rPr>
                <w:rFonts w:ascii="Times New Roman" w:eastAsia="Times New Roman" w:hAnsi="Times New Roman" w:cs="Times New Roman"/>
                <w:sz w:val="28"/>
                <w:szCs w:val="28"/>
                <w:lang w:eastAsia="lv-LV"/>
              </w:rPr>
              <w:t>nodrošina admi</w:t>
            </w:r>
            <w:r w:rsidR="00A95F14">
              <w:rPr>
                <w:rFonts w:ascii="Times New Roman" w:eastAsia="Times New Roman" w:hAnsi="Times New Roman" w:cs="Times New Roman"/>
                <w:sz w:val="28"/>
                <w:szCs w:val="28"/>
                <w:lang w:eastAsia="lv-LV"/>
              </w:rPr>
              <w:t>nistratīvā pārkāpuma lietvedību.</w:t>
            </w:r>
          </w:p>
        </w:tc>
      </w:tr>
      <w:tr w:rsidR="00793AEF" w:rsidRPr="00793AEF" w:rsidTr="00B57369">
        <w:trPr>
          <w:trHeight w:val="450"/>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2.</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Projekta izpildes ietekme uz pārvaldes funkcijām un institucionālo struktūru. </w:t>
            </w:r>
          </w:p>
          <w:p w:rsidR="004D15A9" w:rsidRPr="00793AEF" w:rsidRDefault="004D15A9" w:rsidP="00DA596D">
            <w:pPr>
              <w:spacing w:after="0" w:line="240" w:lineRule="auto"/>
              <w:ind w:firstLine="300"/>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793AEF" w:rsidRDefault="00793AEF" w:rsidP="00793AEF">
            <w:pPr>
              <w:spacing w:after="0" w:line="240" w:lineRule="auto"/>
              <w:jc w:val="both"/>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 xml:space="preserve">Ar likumprojektu netiek izveidotas jaunas iestādes, kā arī netiek paredzētas jaunas funkcijas esošajām iestādēm. </w:t>
            </w:r>
          </w:p>
          <w:p w:rsidR="00B40F4C" w:rsidRPr="00B57369" w:rsidRDefault="00B40F4C" w:rsidP="00B40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Lēmuma pieņemšana par audzinoša rakstura piespiedu līdzekļu piemērošanu tiek saglabāta pašvaldības administratīvās komisijas kompetencē. </w:t>
            </w:r>
            <w:r w:rsidR="00793AEF" w:rsidRPr="00793AEF">
              <w:rPr>
                <w:rFonts w:ascii="Times New Roman" w:hAnsi="Times New Roman" w:cs="Times New Roman"/>
                <w:sz w:val="28"/>
                <w:szCs w:val="28"/>
              </w:rPr>
              <w:t>Saskaņā ar likuma „Par audzinoša rakstura piespiedu līdzekļu piemērošanu bērniem” 5. panta trešo daļu administratīvo pārkāpumu lietas un materiālus par pārkāpumu izskata pašvaldības administratīvā komisija</w:t>
            </w:r>
            <w:r w:rsidR="00793AEF">
              <w:rPr>
                <w:rFonts w:ascii="Times New Roman" w:hAnsi="Times New Roman" w:cs="Times New Roman"/>
                <w:sz w:val="28"/>
                <w:szCs w:val="28"/>
              </w:rPr>
              <w:t xml:space="preserve">. </w:t>
            </w:r>
          </w:p>
        </w:tc>
      </w:tr>
      <w:tr w:rsidR="004D15A9" w:rsidRPr="00793AEF" w:rsidTr="00B57369">
        <w:trPr>
          <w:trHeight w:val="198"/>
        </w:trPr>
        <w:tc>
          <w:tcPr>
            <w:tcW w:w="251"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3.</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793AEF" w:rsidRDefault="004D15A9" w:rsidP="00DA596D">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793AEF" w:rsidRDefault="00876646" w:rsidP="00B57369">
            <w:pPr>
              <w:spacing w:after="0" w:line="240" w:lineRule="auto"/>
              <w:rPr>
                <w:rFonts w:ascii="Times New Roman" w:eastAsia="Times New Roman" w:hAnsi="Times New Roman" w:cs="Times New Roman"/>
                <w:sz w:val="28"/>
                <w:szCs w:val="28"/>
                <w:lang w:eastAsia="lv-LV"/>
              </w:rPr>
            </w:pPr>
            <w:r w:rsidRPr="00793AEF">
              <w:rPr>
                <w:rFonts w:ascii="Times New Roman" w:eastAsia="Times New Roman" w:hAnsi="Times New Roman" w:cs="Times New Roman"/>
                <w:sz w:val="28"/>
                <w:szCs w:val="28"/>
                <w:lang w:eastAsia="lv-LV"/>
              </w:rPr>
              <w:t>Nav</w:t>
            </w:r>
            <w:r w:rsidR="00B57369">
              <w:rPr>
                <w:rFonts w:ascii="Times New Roman" w:eastAsia="Times New Roman" w:hAnsi="Times New Roman" w:cs="Times New Roman"/>
                <w:sz w:val="28"/>
                <w:szCs w:val="28"/>
                <w:lang w:eastAsia="lv-LV"/>
              </w:rPr>
              <w:t>.</w:t>
            </w:r>
          </w:p>
        </w:tc>
      </w:tr>
    </w:tbl>
    <w:p w:rsidR="00BB1F46" w:rsidRDefault="00BB1F46" w:rsidP="00DA596D">
      <w:pPr>
        <w:spacing w:after="0" w:line="240" w:lineRule="auto"/>
        <w:rPr>
          <w:rFonts w:ascii="Times New Roman" w:hAnsi="Times New Roman" w:cs="Times New Roman"/>
          <w:sz w:val="28"/>
          <w:szCs w:val="28"/>
        </w:rPr>
      </w:pPr>
    </w:p>
    <w:p w:rsidR="001E0525" w:rsidRPr="00793AEF" w:rsidRDefault="001E0525" w:rsidP="00DA596D">
      <w:pPr>
        <w:spacing w:after="0" w:line="240" w:lineRule="auto"/>
        <w:rPr>
          <w:rFonts w:ascii="Times New Roman" w:hAnsi="Times New Roman" w:cs="Times New Roman"/>
          <w:sz w:val="28"/>
          <w:szCs w:val="28"/>
        </w:rPr>
      </w:pPr>
    </w:p>
    <w:p w:rsidR="0053332E" w:rsidRDefault="0053332E" w:rsidP="001E0525">
      <w:pPr>
        <w:spacing w:after="0" w:line="240" w:lineRule="auto"/>
        <w:rPr>
          <w:rFonts w:ascii="Times New Roman" w:hAnsi="Times New Roman" w:cs="Times New Roman"/>
          <w:bCs/>
          <w:sz w:val="28"/>
          <w:szCs w:val="28"/>
        </w:rPr>
      </w:pPr>
      <w:r>
        <w:rPr>
          <w:rFonts w:ascii="Times New Roman" w:hAnsi="Times New Roman" w:cs="Times New Roman"/>
          <w:bCs/>
          <w:sz w:val="28"/>
          <w:szCs w:val="28"/>
        </w:rPr>
        <w:t>Iesniedzējs:</w:t>
      </w:r>
    </w:p>
    <w:p w:rsidR="001E0525" w:rsidRDefault="0053332E" w:rsidP="001E0525">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1E0525">
        <w:rPr>
          <w:rFonts w:ascii="Times New Roman" w:hAnsi="Times New Roman" w:cs="Times New Roman"/>
          <w:bCs/>
          <w:sz w:val="28"/>
          <w:szCs w:val="28"/>
        </w:rPr>
        <w:t>ieslietu ministrs</w:t>
      </w:r>
      <w:r w:rsidR="001E0525">
        <w:rPr>
          <w:rFonts w:ascii="Times New Roman" w:hAnsi="Times New Roman" w:cs="Times New Roman"/>
          <w:bCs/>
          <w:sz w:val="28"/>
          <w:szCs w:val="28"/>
        </w:rPr>
        <w:tab/>
      </w:r>
      <w:r w:rsidR="001E0525">
        <w:rPr>
          <w:rFonts w:ascii="Times New Roman" w:hAnsi="Times New Roman" w:cs="Times New Roman"/>
          <w:bCs/>
          <w:sz w:val="28"/>
          <w:szCs w:val="28"/>
        </w:rPr>
        <w:tab/>
      </w:r>
      <w:r w:rsidR="001E0525">
        <w:rPr>
          <w:rFonts w:ascii="Times New Roman" w:hAnsi="Times New Roman" w:cs="Times New Roman"/>
          <w:bCs/>
          <w:sz w:val="28"/>
          <w:szCs w:val="28"/>
        </w:rPr>
        <w:tab/>
      </w:r>
      <w:r w:rsidR="001E0525">
        <w:rPr>
          <w:rFonts w:ascii="Times New Roman" w:hAnsi="Times New Roman" w:cs="Times New Roman"/>
          <w:bCs/>
          <w:sz w:val="28"/>
          <w:szCs w:val="28"/>
        </w:rPr>
        <w:tab/>
      </w:r>
      <w:r w:rsidR="001E0525">
        <w:rPr>
          <w:rFonts w:ascii="Times New Roman" w:hAnsi="Times New Roman" w:cs="Times New Roman"/>
          <w:bCs/>
          <w:sz w:val="28"/>
          <w:szCs w:val="28"/>
        </w:rPr>
        <w:tab/>
      </w:r>
      <w:r w:rsidR="001E0525">
        <w:rPr>
          <w:rFonts w:ascii="Times New Roman" w:hAnsi="Times New Roman" w:cs="Times New Roman"/>
          <w:bCs/>
          <w:sz w:val="28"/>
          <w:szCs w:val="28"/>
        </w:rPr>
        <w:tab/>
      </w:r>
      <w:r w:rsidR="001E0525">
        <w:rPr>
          <w:rFonts w:ascii="Times New Roman" w:hAnsi="Times New Roman" w:cs="Times New Roman"/>
          <w:bCs/>
          <w:sz w:val="28"/>
          <w:szCs w:val="28"/>
        </w:rPr>
        <w:tab/>
        <w:t xml:space="preserve">         Dzintars Rasnačs</w:t>
      </w:r>
    </w:p>
    <w:p w:rsidR="001E0525" w:rsidRDefault="001E0525" w:rsidP="001E0525">
      <w:pPr>
        <w:spacing w:after="0" w:line="240" w:lineRule="auto"/>
        <w:rPr>
          <w:rFonts w:ascii="Times New Roman" w:hAnsi="Times New Roman" w:cs="Times New Roman"/>
          <w:bCs/>
          <w:sz w:val="28"/>
          <w:szCs w:val="28"/>
        </w:rPr>
      </w:pPr>
    </w:p>
    <w:p w:rsidR="001E0525" w:rsidRDefault="001E0525" w:rsidP="001E0525">
      <w:pPr>
        <w:spacing w:after="0" w:line="240" w:lineRule="auto"/>
        <w:rPr>
          <w:rFonts w:ascii="Times New Roman" w:hAnsi="Times New Roman" w:cs="Times New Roman"/>
          <w:bCs/>
          <w:sz w:val="28"/>
          <w:szCs w:val="28"/>
        </w:rPr>
      </w:pPr>
    </w:p>
    <w:p w:rsidR="004D15A9" w:rsidRPr="00793AEF" w:rsidRDefault="0024781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24.08</w:t>
      </w:r>
      <w:r w:rsidR="002E00C8">
        <w:rPr>
          <w:rFonts w:ascii="Times New Roman" w:hAnsi="Times New Roman" w:cs="Times New Roman"/>
          <w:sz w:val="20"/>
          <w:szCs w:val="20"/>
        </w:rPr>
        <w:t>.2015</w:t>
      </w:r>
      <w:r w:rsidR="00820887" w:rsidRPr="00793AEF">
        <w:rPr>
          <w:rFonts w:ascii="Times New Roman" w:hAnsi="Times New Roman" w:cs="Times New Roman"/>
          <w:sz w:val="20"/>
          <w:szCs w:val="20"/>
        </w:rPr>
        <w:t>.</w:t>
      </w:r>
      <w:r w:rsidR="002C6DC4">
        <w:rPr>
          <w:rFonts w:ascii="Times New Roman" w:hAnsi="Times New Roman" w:cs="Times New Roman"/>
          <w:sz w:val="20"/>
          <w:szCs w:val="20"/>
        </w:rPr>
        <w:t xml:space="preserve"> </w:t>
      </w:r>
      <w:r>
        <w:rPr>
          <w:rFonts w:ascii="Times New Roman" w:hAnsi="Times New Roman" w:cs="Times New Roman"/>
          <w:sz w:val="20"/>
          <w:szCs w:val="20"/>
        </w:rPr>
        <w:t>15:20</w:t>
      </w:r>
    </w:p>
    <w:p w:rsidR="00820887" w:rsidRPr="00793AEF" w:rsidRDefault="00FA760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1 </w:t>
      </w:r>
      <w:r w:rsidR="001E0525">
        <w:rPr>
          <w:rFonts w:ascii="Times New Roman" w:hAnsi="Times New Roman" w:cs="Times New Roman"/>
          <w:sz w:val="20"/>
          <w:szCs w:val="20"/>
        </w:rPr>
        <w:t>9</w:t>
      </w:r>
      <w:r w:rsidR="0053332E">
        <w:rPr>
          <w:rFonts w:ascii="Times New Roman" w:hAnsi="Times New Roman" w:cs="Times New Roman"/>
          <w:sz w:val="20"/>
          <w:szCs w:val="20"/>
        </w:rPr>
        <w:t>42</w:t>
      </w:r>
    </w:p>
    <w:p w:rsidR="004D15A9" w:rsidRPr="00793AEF" w:rsidRDefault="00820887" w:rsidP="00DA596D">
      <w:pPr>
        <w:spacing w:after="0" w:line="240" w:lineRule="auto"/>
        <w:rPr>
          <w:rFonts w:ascii="Times New Roman" w:hAnsi="Times New Roman" w:cs="Times New Roman"/>
          <w:sz w:val="20"/>
          <w:szCs w:val="20"/>
        </w:rPr>
      </w:pPr>
      <w:r w:rsidRPr="00793AEF">
        <w:rPr>
          <w:rFonts w:ascii="Times New Roman" w:hAnsi="Times New Roman" w:cs="Times New Roman"/>
          <w:sz w:val="20"/>
          <w:szCs w:val="20"/>
        </w:rPr>
        <w:t>N. Laveniece-Straupmane</w:t>
      </w:r>
    </w:p>
    <w:p w:rsidR="004D15A9" w:rsidRPr="00793AEF" w:rsidRDefault="00820887" w:rsidP="00DA596D">
      <w:pPr>
        <w:spacing w:after="0" w:line="240" w:lineRule="auto"/>
        <w:rPr>
          <w:rFonts w:ascii="Times New Roman" w:hAnsi="Times New Roman" w:cs="Times New Roman"/>
          <w:sz w:val="20"/>
          <w:szCs w:val="20"/>
        </w:rPr>
      </w:pPr>
      <w:r w:rsidRPr="00793AEF">
        <w:rPr>
          <w:rFonts w:ascii="Times New Roman" w:hAnsi="Times New Roman" w:cs="Times New Roman"/>
          <w:sz w:val="20"/>
          <w:szCs w:val="20"/>
        </w:rPr>
        <w:t>67036908; Natalija.Laveniece-Straupmane@tm.gov.lv</w:t>
      </w:r>
    </w:p>
    <w:p w:rsidR="004D15A9" w:rsidRPr="00793AEF" w:rsidRDefault="004D15A9" w:rsidP="00DA596D">
      <w:pPr>
        <w:spacing w:after="0" w:line="240" w:lineRule="auto"/>
        <w:rPr>
          <w:rFonts w:ascii="Times New Roman" w:hAnsi="Times New Roman" w:cs="Times New Roman"/>
          <w:sz w:val="28"/>
          <w:szCs w:val="28"/>
        </w:rPr>
      </w:pPr>
    </w:p>
    <w:sectPr w:rsidR="004D15A9" w:rsidRPr="00793AEF"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57369" w:rsidRDefault="0024781E" w:rsidP="00B5736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TMAnot_2408</w:t>
    </w:r>
    <w:r w:rsidR="00602460" w:rsidRPr="00602460">
      <w:rPr>
        <w:rFonts w:ascii="Times New Roman" w:hAnsi="Times New Roman" w:cs="Times New Roman"/>
        <w:color w:val="000000" w:themeColor="text1"/>
        <w:sz w:val="20"/>
        <w:szCs w:val="20"/>
      </w:rPr>
      <w:t>15_LAPK</w:t>
    </w:r>
    <w:r w:rsidR="00933345" w:rsidRPr="004D15A9">
      <w:rPr>
        <w:rFonts w:ascii="Times New Roman" w:hAnsi="Times New Roman" w:cs="Times New Roman"/>
        <w:color w:val="000000" w:themeColor="text1"/>
        <w:sz w:val="20"/>
        <w:szCs w:val="20"/>
      </w:rPr>
      <w:t xml:space="preserve">; </w:t>
    </w:r>
    <w:r w:rsidR="00933345">
      <w:rPr>
        <w:rFonts w:ascii="Times New Roman" w:hAnsi="Times New Roman" w:cs="Times New Roman"/>
        <w:color w:val="000000" w:themeColor="text1"/>
        <w:sz w:val="20"/>
        <w:szCs w:val="20"/>
      </w:rPr>
      <w:t>Likumprojekta „Grozījumi Latvijas Administratīvo pārkāpumu kodeksā”</w:t>
    </w:r>
    <w:r w:rsidR="00933345" w:rsidRPr="004D15A9">
      <w:rPr>
        <w:rFonts w:ascii="Times New Roman" w:hAnsi="Times New Roman" w:cs="Times New Roman"/>
        <w:color w:val="000000" w:themeColor="text1"/>
        <w:sz w:val="20"/>
        <w:szCs w:val="20"/>
      </w:rPr>
      <w:t xml:space="preserve"> </w:t>
    </w:r>
    <w:r w:rsidR="00933345"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24781E"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TMAnot_2408</w:t>
    </w:r>
    <w:r w:rsidR="00602460" w:rsidRPr="00602460">
      <w:rPr>
        <w:rFonts w:ascii="Times New Roman" w:hAnsi="Times New Roman" w:cs="Times New Roman"/>
        <w:color w:val="000000" w:themeColor="text1"/>
        <w:sz w:val="20"/>
        <w:szCs w:val="20"/>
      </w:rPr>
      <w:t>15_LAPK</w:t>
    </w:r>
    <w:r w:rsidR="004D15A9" w:rsidRPr="004D15A9">
      <w:rPr>
        <w:rFonts w:ascii="Times New Roman" w:hAnsi="Times New Roman" w:cs="Times New Roman"/>
        <w:color w:val="000000" w:themeColor="text1"/>
        <w:sz w:val="20"/>
        <w:szCs w:val="20"/>
      </w:rPr>
      <w:t xml:space="preserve">; </w:t>
    </w:r>
    <w:r w:rsidR="00933345">
      <w:rPr>
        <w:rFonts w:ascii="Times New Roman" w:hAnsi="Times New Roman" w:cs="Times New Roman"/>
        <w:color w:val="000000" w:themeColor="text1"/>
        <w:sz w:val="20"/>
        <w:szCs w:val="20"/>
      </w:rPr>
      <w:t>Likumprojekta „Grozījumi Latvijas Administratīvo pārkāpumu kodeksā”</w:t>
    </w:r>
    <w:r w:rsidR="004D15A9" w:rsidRPr="004D15A9">
      <w:rPr>
        <w:rFonts w:ascii="Times New Roman" w:hAnsi="Times New Roman" w:cs="Times New Roman"/>
        <w:color w:val="000000" w:themeColor="text1"/>
        <w:sz w:val="20"/>
        <w:szCs w:val="20"/>
      </w:rPr>
      <w:t xml:space="preserve"> </w:t>
    </w:r>
    <w:r w:rsidR="004D15A9"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41C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8C6"/>
    <w:rsid w:val="00007534"/>
    <w:rsid w:val="00022909"/>
    <w:rsid w:val="00031256"/>
    <w:rsid w:val="0005443C"/>
    <w:rsid w:val="000F636A"/>
    <w:rsid w:val="00101CD5"/>
    <w:rsid w:val="00102968"/>
    <w:rsid w:val="00125CB9"/>
    <w:rsid w:val="001E0525"/>
    <w:rsid w:val="0024781E"/>
    <w:rsid w:val="002B24CE"/>
    <w:rsid w:val="002C6DC4"/>
    <w:rsid w:val="002E00C8"/>
    <w:rsid w:val="0030540D"/>
    <w:rsid w:val="00314568"/>
    <w:rsid w:val="003406A3"/>
    <w:rsid w:val="0037626A"/>
    <w:rsid w:val="003922B0"/>
    <w:rsid w:val="003A2A0B"/>
    <w:rsid w:val="003A3336"/>
    <w:rsid w:val="003A34C5"/>
    <w:rsid w:val="003A6E48"/>
    <w:rsid w:val="00452C38"/>
    <w:rsid w:val="004C1361"/>
    <w:rsid w:val="004C228D"/>
    <w:rsid w:val="004C424F"/>
    <w:rsid w:val="004D15A9"/>
    <w:rsid w:val="004F140E"/>
    <w:rsid w:val="00524A44"/>
    <w:rsid w:val="0053332E"/>
    <w:rsid w:val="00543A78"/>
    <w:rsid w:val="00566278"/>
    <w:rsid w:val="00575858"/>
    <w:rsid w:val="00593C52"/>
    <w:rsid w:val="005D4E8A"/>
    <w:rsid w:val="00602460"/>
    <w:rsid w:val="00686E7F"/>
    <w:rsid w:val="0071361E"/>
    <w:rsid w:val="00721602"/>
    <w:rsid w:val="00733701"/>
    <w:rsid w:val="007441C8"/>
    <w:rsid w:val="00755E2A"/>
    <w:rsid w:val="00793AEF"/>
    <w:rsid w:val="007D78DE"/>
    <w:rsid w:val="007E028C"/>
    <w:rsid w:val="0080078A"/>
    <w:rsid w:val="0081203F"/>
    <w:rsid w:val="00820887"/>
    <w:rsid w:val="00876646"/>
    <w:rsid w:val="00897F19"/>
    <w:rsid w:val="008E6F8A"/>
    <w:rsid w:val="00933345"/>
    <w:rsid w:val="00943D48"/>
    <w:rsid w:val="00962C56"/>
    <w:rsid w:val="00970F97"/>
    <w:rsid w:val="009A77F4"/>
    <w:rsid w:val="009E12A8"/>
    <w:rsid w:val="00A2099D"/>
    <w:rsid w:val="00A57409"/>
    <w:rsid w:val="00A95F14"/>
    <w:rsid w:val="00AA6AEB"/>
    <w:rsid w:val="00AB1563"/>
    <w:rsid w:val="00AC3A9C"/>
    <w:rsid w:val="00AE11D1"/>
    <w:rsid w:val="00AE6A88"/>
    <w:rsid w:val="00B06DEC"/>
    <w:rsid w:val="00B36399"/>
    <w:rsid w:val="00B40F4C"/>
    <w:rsid w:val="00B45E48"/>
    <w:rsid w:val="00B57369"/>
    <w:rsid w:val="00BB1F46"/>
    <w:rsid w:val="00C10D44"/>
    <w:rsid w:val="00C26397"/>
    <w:rsid w:val="00C53D5D"/>
    <w:rsid w:val="00C61743"/>
    <w:rsid w:val="00D169F7"/>
    <w:rsid w:val="00D313D5"/>
    <w:rsid w:val="00D33DBA"/>
    <w:rsid w:val="00DA24D8"/>
    <w:rsid w:val="00DA596D"/>
    <w:rsid w:val="00DC4DA9"/>
    <w:rsid w:val="00E63963"/>
    <w:rsid w:val="00E806FD"/>
    <w:rsid w:val="00EC0EFB"/>
    <w:rsid w:val="00ED3682"/>
    <w:rsid w:val="00EE5A60"/>
    <w:rsid w:val="00F931A0"/>
    <w:rsid w:val="00F95742"/>
    <w:rsid w:val="00FA7605"/>
    <w:rsid w:val="00FF1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unhideWhenUsed/>
    <w:rsid w:val="004C228D"/>
    <w:pPr>
      <w:spacing w:after="0" w:line="240" w:lineRule="auto"/>
    </w:pPr>
    <w:rPr>
      <w:rFonts w:ascii="Times New Roman" w:eastAsia="Times New Roman" w:hAnsi="Times New Roman" w:cs="Times New Roman"/>
      <w:sz w:val="20"/>
      <w:szCs w:val="20"/>
      <w:lang w:eastAsia="en-GB"/>
    </w:rPr>
  </w:style>
  <w:style w:type="character" w:customStyle="1" w:styleId="VrestekstsRakstz">
    <w:name w:val="Vēres teksts Rakstz."/>
    <w:basedOn w:val="Noklusjumarindkopasfonts"/>
    <w:link w:val="Vresteksts"/>
    <w:semiHidden/>
    <w:rsid w:val="004C228D"/>
    <w:rPr>
      <w:rFonts w:ascii="Times New Roman" w:eastAsia="Times New Roman" w:hAnsi="Times New Roman" w:cs="Times New Roman"/>
      <w:sz w:val="20"/>
      <w:szCs w:val="20"/>
      <w:lang w:eastAsia="en-GB"/>
    </w:rPr>
  </w:style>
  <w:style w:type="paragraph" w:styleId="Vienkrsteksts">
    <w:name w:val="Plain Text"/>
    <w:basedOn w:val="Parasts"/>
    <w:link w:val="VienkrstekstsRakstz"/>
    <w:unhideWhenUsed/>
    <w:rsid w:val="004C228D"/>
    <w:pPr>
      <w:spacing w:after="0" w:line="240" w:lineRule="auto"/>
    </w:pPr>
    <w:rPr>
      <w:rFonts w:ascii="Courier New" w:eastAsia="Times New Roman" w:hAnsi="Courier New" w:cs="Courier New"/>
      <w:sz w:val="20"/>
      <w:szCs w:val="20"/>
      <w:lang w:eastAsia="lv-LV"/>
    </w:rPr>
  </w:style>
  <w:style w:type="character" w:customStyle="1" w:styleId="VienkrstekstsRakstz">
    <w:name w:val="Vienkāršs teksts Rakstz."/>
    <w:basedOn w:val="Noklusjumarindkopasfonts"/>
    <w:link w:val="Vienkrsteksts"/>
    <w:rsid w:val="004C228D"/>
    <w:rPr>
      <w:rFonts w:ascii="Courier New" w:eastAsia="Times New Roman" w:hAnsi="Courier New" w:cs="Courier New"/>
      <w:sz w:val="20"/>
      <w:szCs w:val="20"/>
      <w:lang w:eastAsia="lv-LV"/>
    </w:rPr>
  </w:style>
  <w:style w:type="character" w:styleId="Vresatsauce">
    <w:name w:val="footnote reference"/>
    <w:basedOn w:val="Noklusjumarindkopasfonts"/>
    <w:semiHidden/>
    <w:unhideWhenUsed/>
    <w:rsid w:val="004C228D"/>
    <w:rPr>
      <w:vertAlign w:val="superscript"/>
    </w:rPr>
  </w:style>
  <w:style w:type="character" w:styleId="Hipersaite">
    <w:name w:val="Hyperlink"/>
    <w:basedOn w:val="Noklusjumarindkopasfonts"/>
    <w:uiPriority w:val="99"/>
    <w:unhideWhenUsed/>
    <w:rsid w:val="00933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unhideWhenUsed/>
    <w:rsid w:val="004C228D"/>
    <w:pPr>
      <w:spacing w:after="0" w:line="240" w:lineRule="auto"/>
    </w:pPr>
    <w:rPr>
      <w:rFonts w:ascii="Times New Roman" w:eastAsia="Times New Roman" w:hAnsi="Times New Roman" w:cs="Times New Roman"/>
      <w:sz w:val="20"/>
      <w:szCs w:val="20"/>
      <w:lang w:eastAsia="en-GB"/>
    </w:rPr>
  </w:style>
  <w:style w:type="character" w:customStyle="1" w:styleId="VrestekstsRakstz">
    <w:name w:val="Vēres teksts Rakstz."/>
    <w:basedOn w:val="Noklusjumarindkopasfonts"/>
    <w:link w:val="Vresteksts"/>
    <w:semiHidden/>
    <w:rsid w:val="004C228D"/>
    <w:rPr>
      <w:rFonts w:ascii="Times New Roman" w:eastAsia="Times New Roman" w:hAnsi="Times New Roman" w:cs="Times New Roman"/>
      <w:sz w:val="20"/>
      <w:szCs w:val="20"/>
      <w:lang w:eastAsia="en-GB"/>
    </w:rPr>
  </w:style>
  <w:style w:type="paragraph" w:styleId="Vienkrsteksts">
    <w:name w:val="Plain Text"/>
    <w:basedOn w:val="Parasts"/>
    <w:link w:val="VienkrstekstsRakstz"/>
    <w:unhideWhenUsed/>
    <w:rsid w:val="004C228D"/>
    <w:pPr>
      <w:spacing w:after="0" w:line="240" w:lineRule="auto"/>
    </w:pPr>
    <w:rPr>
      <w:rFonts w:ascii="Courier New" w:eastAsia="Times New Roman" w:hAnsi="Courier New" w:cs="Courier New"/>
      <w:sz w:val="20"/>
      <w:szCs w:val="20"/>
      <w:lang w:eastAsia="lv-LV"/>
    </w:rPr>
  </w:style>
  <w:style w:type="character" w:customStyle="1" w:styleId="VienkrstekstsRakstz">
    <w:name w:val="Vienkāršs teksts Rakstz."/>
    <w:basedOn w:val="Noklusjumarindkopasfonts"/>
    <w:link w:val="Vienkrsteksts"/>
    <w:rsid w:val="004C228D"/>
    <w:rPr>
      <w:rFonts w:ascii="Courier New" w:eastAsia="Times New Roman" w:hAnsi="Courier New" w:cs="Courier New"/>
      <w:sz w:val="20"/>
      <w:szCs w:val="20"/>
      <w:lang w:eastAsia="lv-LV"/>
    </w:rPr>
  </w:style>
  <w:style w:type="character" w:styleId="Vresatsauce">
    <w:name w:val="footnote reference"/>
    <w:basedOn w:val="Noklusjumarindkopasfonts"/>
    <w:semiHidden/>
    <w:unhideWhenUsed/>
    <w:rsid w:val="004C228D"/>
    <w:rPr>
      <w:vertAlign w:val="superscript"/>
    </w:rPr>
  </w:style>
  <w:style w:type="character" w:styleId="Hipersaite">
    <w:name w:val="Hyperlink"/>
    <w:basedOn w:val="Noklusjumarindkopasfonts"/>
    <w:uiPriority w:val="99"/>
    <w:unhideWhenUsed/>
    <w:rsid w:val="00933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93892744">
      <w:bodyDiv w:val="1"/>
      <w:marLeft w:val="0"/>
      <w:marRight w:val="0"/>
      <w:marTop w:val="0"/>
      <w:marBottom w:val="0"/>
      <w:divBdr>
        <w:top w:val="none" w:sz="0" w:space="0" w:color="auto"/>
        <w:left w:val="none" w:sz="0" w:space="0" w:color="auto"/>
        <w:bottom w:val="none" w:sz="0" w:space="0" w:color="auto"/>
        <w:right w:val="none" w:sz="0" w:space="0" w:color="auto"/>
      </w:divBdr>
    </w:div>
    <w:div w:id="474684135">
      <w:bodyDiv w:val="1"/>
      <w:marLeft w:val="0"/>
      <w:marRight w:val="0"/>
      <w:marTop w:val="0"/>
      <w:marBottom w:val="0"/>
      <w:divBdr>
        <w:top w:val="none" w:sz="0" w:space="0" w:color="auto"/>
        <w:left w:val="none" w:sz="0" w:space="0" w:color="auto"/>
        <w:bottom w:val="none" w:sz="0" w:space="0" w:color="auto"/>
        <w:right w:val="none" w:sz="0" w:space="0" w:color="auto"/>
      </w:divBdr>
    </w:div>
    <w:div w:id="95028194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n.org/docs/resources/publications/hrbap/IHCRC/UnitedNationsGuidelinesforthePreventionofJuvenileDelinquency.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idus.lv/upload_file/Projekti/Kriminalitesib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e.int/t/dghl/standardsetting/childjustice/Guidelines%20on%20child-friendly%20justice%20and%20their%20explanatory%20memorandum%20_4_.pdf" TargetMode="External"/><Relationship Id="rId4" Type="http://schemas.openxmlformats.org/officeDocument/2006/relationships/settings" Target="settings.xml"/><Relationship Id="rId9" Type="http://schemas.openxmlformats.org/officeDocument/2006/relationships/hyperlink" Target="http://www.unrol.org/files/UNAdminofJJUSTICE.pdf"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A15A-EFB3-4677-A0BC-7F1CAE7D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10846</Words>
  <Characters>6183</Characters>
  <Application>Microsoft Office Word</Application>
  <DocSecurity>4</DocSecurity>
  <Lines>51</Lines>
  <Paragraphs>33</Paragraphs>
  <ScaleCrop>false</ScaleCrop>
  <HeadingPairs>
    <vt:vector size="2" baseType="variant">
      <vt:variant>
        <vt:lpstr>Nosaukums</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Tieslietu ministrija</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Natalija.Laveniece-Straupmane@TM.GOV.LV</dc:creator>
  <dc:description>Natālija Laveniece-Straupmane, 67036908, Natalija.Laveniece-Straupmane@tm.gov.lv;</dc:description>
  <cp:lastModifiedBy>Ilze Brazauska</cp:lastModifiedBy>
  <cp:revision>2</cp:revision>
  <cp:lastPrinted>2013-12-16T08:57:00Z</cp:lastPrinted>
  <dcterms:created xsi:type="dcterms:W3CDTF">2015-08-24T14:39:00Z</dcterms:created>
  <dcterms:modified xsi:type="dcterms:W3CDTF">2015-08-24T14:39:00Z</dcterms:modified>
</cp:coreProperties>
</file>