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28" w:rsidRDefault="004905C7" w:rsidP="004905C7">
      <w:pPr>
        <w:jc w:val="center"/>
        <w:rPr>
          <w:b/>
          <w:i/>
          <w:sz w:val="28"/>
          <w:szCs w:val="28"/>
        </w:rPr>
      </w:pPr>
      <w:r w:rsidRPr="00BE5A82">
        <w:rPr>
          <w:b/>
          <w:sz w:val="28"/>
          <w:szCs w:val="28"/>
        </w:rPr>
        <w:t xml:space="preserve">Informatīvais ziņojums </w:t>
      </w:r>
      <w:r w:rsidR="00794F2B">
        <w:rPr>
          <w:b/>
          <w:sz w:val="28"/>
          <w:szCs w:val="28"/>
        </w:rPr>
        <w:t>“P</w:t>
      </w:r>
      <w:r w:rsidRPr="00BE5A82">
        <w:rPr>
          <w:b/>
          <w:sz w:val="28"/>
          <w:szCs w:val="28"/>
        </w:rPr>
        <w:t xml:space="preserve">ar </w:t>
      </w:r>
      <w:r w:rsidR="00B80F28">
        <w:rPr>
          <w:b/>
          <w:sz w:val="28"/>
          <w:szCs w:val="28"/>
        </w:rPr>
        <w:t>Eiropas Savienības Tiesas spriedumu lietā C</w:t>
      </w:r>
      <w:r w:rsidR="00B80F28">
        <w:rPr>
          <w:b/>
          <w:sz w:val="28"/>
          <w:szCs w:val="28"/>
        </w:rPr>
        <w:noBreakHyphen/>
        <w:t xml:space="preserve">151/14 </w:t>
      </w:r>
      <w:r w:rsidR="00B80F28" w:rsidRPr="00B80F28">
        <w:rPr>
          <w:b/>
          <w:i/>
          <w:sz w:val="28"/>
          <w:szCs w:val="28"/>
        </w:rPr>
        <w:t>Eiropas Komisija pret Latvijas Republiku</w:t>
      </w:r>
      <w:r w:rsidR="00794F2B">
        <w:rPr>
          <w:b/>
          <w:i/>
          <w:sz w:val="28"/>
          <w:szCs w:val="28"/>
        </w:rPr>
        <w:t>”</w:t>
      </w:r>
    </w:p>
    <w:p w:rsidR="00B80F28" w:rsidRPr="00B80F28" w:rsidRDefault="00DC5F2E" w:rsidP="004905C7">
      <w:pPr>
        <w:jc w:val="center"/>
        <w:rPr>
          <w:b/>
        </w:rPr>
      </w:pPr>
      <w:r>
        <w:rPr>
          <w:b/>
          <w:i/>
        </w:rPr>
        <w:t>(</w:t>
      </w:r>
      <w:r w:rsidR="00B80F28" w:rsidRPr="00B80F28">
        <w:rPr>
          <w:b/>
          <w:i/>
        </w:rPr>
        <w:t xml:space="preserve">par zvērināta notāra pilsonības </w:t>
      </w:r>
      <w:r w:rsidR="00B77CC8">
        <w:rPr>
          <w:b/>
          <w:i/>
        </w:rPr>
        <w:t>nosacījuma</w:t>
      </w:r>
      <w:r w:rsidR="00B80F28" w:rsidRPr="00B80F28">
        <w:rPr>
          <w:b/>
          <w:i/>
        </w:rPr>
        <w:t xml:space="preserve"> atbilstību Eiropas Savienības tiesībām</w:t>
      </w:r>
      <w:r>
        <w:rPr>
          <w:b/>
          <w:i/>
        </w:rPr>
        <w:t>)</w:t>
      </w:r>
    </w:p>
    <w:p w:rsidR="00B80F28" w:rsidRDefault="00B80F28" w:rsidP="004905C7">
      <w:pPr>
        <w:jc w:val="center"/>
        <w:rPr>
          <w:b/>
          <w:sz w:val="28"/>
          <w:szCs w:val="28"/>
        </w:rPr>
      </w:pPr>
    </w:p>
    <w:p w:rsidR="004905C7" w:rsidRDefault="004905C7" w:rsidP="004905C7"/>
    <w:p w:rsidR="002E2421" w:rsidRPr="00B77CC8" w:rsidRDefault="00215305" w:rsidP="00B77CC8">
      <w:pPr>
        <w:ind w:firstLine="720"/>
        <w:jc w:val="both"/>
        <w:rPr>
          <w:sz w:val="28"/>
          <w:szCs w:val="28"/>
        </w:rPr>
      </w:pPr>
      <w:r w:rsidRPr="00B77CC8">
        <w:rPr>
          <w:sz w:val="28"/>
          <w:szCs w:val="28"/>
        </w:rPr>
        <w:t xml:space="preserve">Informatīvais ziņojums ir </w:t>
      </w:r>
      <w:proofErr w:type="gramStart"/>
      <w:r w:rsidRPr="00B77CC8">
        <w:rPr>
          <w:sz w:val="28"/>
          <w:szCs w:val="28"/>
        </w:rPr>
        <w:t>sagatavots atbilstoši</w:t>
      </w:r>
      <w:r w:rsidR="004905C7" w:rsidRPr="00B77CC8">
        <w:rPr>
          <w:sz w:val="28"/>
          <w:szCs w:val="28"/>
        </w:rPr>
        <w:t xml:space="preserve"> </w:t>
      </w:r>
      <w:r w:rsidR="00B80F28" w:rsidRPr="00B77CC8">
        <w:rPr>
          <w:sz w:val="28"/>
          <w:szCs w:val="28"/>
        </w:rPr>
        <w:t>Ministru kabineta 2008.</w:t>
      </w:r>
      <w:r w:rsidR="00DC5F2E">
        <w:rPr>
          <w:sz w:val="28"/>
          <w:szCs w:val="28"/>
        </w:rPr>
        <w:t> </w:t>
      </w:r>
      <w:r w:rsidR="00B80F28" w:rsidRPr="00B77CC8">
        <w:rPr>
          <w:sz w:val="28"/>
          <w:szCs w:val="28"/>
        </w:rPr>
        <w:t>gada 2.</w:t>
      </w:r>
      <w:r w:rsidR="00DC5F2E">
        <w:rPr>
          <w:sz w:val="28"/>
          <w:szCs w:val="28"/>
        </w:rPr>
        <w:t> </w:t>
      </w:r>
      <w:r w:rsidR="00B80F28" w:rsidRPr="00B77CC8">
        <w:rPr>
          <w:sz w:val="28"/>
          <w:szCs w:val="28"/>
        </w:rPr>
        <w:t>decembra noteikumu</w:t>
      </w:r>
      <w:proofErr w:type="gramEnd"/>
      <w:r w:rsidR="00B80F28" w:rsidRPr="00B77CC8">
        <w:rPr>
          <w:sz w:val="28"/>
          <w:szCs w:val="28"/>
        </w:rPr>
        <w:t xml:space="preserve"> Nr.</w:t>
      </w:r>
      <w:r w:rsidR="00DC5F2E">
        <w:rPr>
          <w:sz w:val="28"/>
          <w:szCs w:val="28"/>
        </w:rPr>
        <w:t> </w:t>
      </w:r>
      <w:r w:rsidR="00B80F28" w:rsidRPr="00B77CC8">
        <w:rPr>
          <w:sz w:val="28"/>
          <w:szCs w:val="28"/>
        </w:rPr>
        <w:t>995 “Kārtība, kādā sagatavo un apstiprina Latvijas Republikas nostājas projektu un nodrošina Latvijas Republikas pārstāvību Eiropas Savienības Tiesā un Eiropas Brīvās tirdzniecības asociācijas tiesā”</w:t>
      </w:r>
      <w:r w:rsidRPr="00B77CC8">
        <w:rPr>
          <w:sz w:val="28"/>
          <w:szCs w:val="28"/>
        </w:rPr>
        <w:t xml:space="preserve"> 4.6.</w:t>
      </w:r>
      <w:r w:rsidR="00DC5F2E">
        <w:rPr>
          <w:sz w:val="28"/>
          <w:szCs w:val="28"/>
        </w:rPr>
        <w:t> </w:t>
      </w:r>
      <w:r w:rsidRPr="00B77CC8">
        <w:rPr>
          <w:sz w:val="28"/>
          <w:szCs w:val="28"/>
        </w:rPr>
        <w:t>apakšpunktā noteikta</w:t>
      </w:r>
      <w:r w:rsidR="00A461C6" w:rsidRPr="00B77CC8">
        <w:rPr>
          <w:sz w:val="28"/>
          <w:szCs w:val="28"/>
        </w:rPr>
        <w:t>ja</w:t>
      </w:r>
      <w:r w:rsidRPr="00B77CC8">
        <w:rPr>
          <w:sz w:val="28"/>
          <w:szCs w:val="28"/>
        </w:rPr>
        <w:t xml:space="preserve">m, ka Tieslietu ministrija ziņo Ministru kabinetam, ja Eiropas Savienības Tiesā pasludināts nolēmums lietā pret Latvijas Republiku vai Eiropas Savienības Tiesā izskatāmais jautājums skar būtiskas Latvijas Republikas intereses. </w:t>
      </w:r>
    </w:p>
    <w:p w:rsidR="005840D4" w:rsidRPr="00B77CC8" w:rsidRDefault="005840D4" w:rsidP="00215305">
      <w:pPr>
        <w:jc w:val="both"/>
        <w:rPr>
          <w:sz w:val="28"/>
          <w:szCs w:val="28"/>
        </w:rPr>
      </w:pPr>
    </w:p>
    <w:p w:rsidR="00215305" w:rsidRPr="00B77CC8" w:rsidRDefault="005840D4" w:rsidP="00B77CC8">
      <w:pPr>
        <w:ind w:firstLine="720"/>
        <w:jc w:val="both"/>
        <w:rPr>
          <w:sz w:val="28"/>
          <w:szCs w:val="28"/>
        </w:rPr>
      </w:pPr>
      <w:r w:rsidRPr="00B77CC8">
        <w:rPr>
          <w:sz w:val="28"/>
          <w:szCs w:val="28"/>
        </w:rPr>
        <w:t xml:space="preserve">Tieslietu ministrija informē, ka </w:t>
      </w:r>
      <w:r w:rsidR="00A461C6" w:rsidRPr="00B77CC8">
        <w:rPr>
          <w:sz w:val="28"/>
          <w:szCs w:val="28"/>
        </w:rPr>
        <w:t>Eiropas Savienības Tiesa 2015.</w:t>
      </w:r>
      <w:r w:rsidR="00DC5F2E">
        <w:rPr>
          <w:sz w:val="28"/>
          <w:szCs w:val="28"/>
        </w:rPr>
        <w:t> </w:t>
      </w:r>
      <w:r w:rsidR="00A461C6" w:rsidRPr="00B77CC8">
        <w:rPr>
          <w:sz w:val="28"/>
          <w:szCs w:val="28"/>
        </w:rPr>
        <w:t>gada 10.</w:t>
      </w:r>
      <w:r w:rsidR="00DC5F2E">
        <w:rPr>
          <w:sz w:val="28"/>
          <w:szCs w:val="28"/>
        </w:rPr>
        <w:t> </w:t>
      </w:r>
      <w:r w:rsidR="00A461C6" w:rsidRPr="00B77CC8">
        <w:rPr>
          <w:sz w:val="28"/>
          <w:szCs w:val="28"/>
        </w:rPr>
        <w:t>septembrī ir pasludinājusi</w:t>
      </w:r>
      <w:r w:rsidR="00215305" w:rsidRPr="00B77CC8">
        <w:rPr>
          <w:sz w:val="28"/>
          <w:szCs w:val="28"/>
        </w:rPr>
        <w:t xml:space="preserve"> spriedumu lietā C</w:t>
      </w:r>
      <w:r w:rsidR="00A461C6" w:rsidRPr="00B77CC8">
        <w:rPr>
          <w:sz w:val="28"/>
          <w:szCs w:val="28"/>
        </w:rPr>
        <w:t>-</w:t>
      </w:r>
      <w:r w:rsidR="00215305" w:rsidRPr="00B77CC8">
        <w:rPr>
          <w:sz w:val="28"/>
          <w:szCs w:val="28"/>
        </w:rPr>
        <w:t xml:space="preserve">151/14 </w:t>
      </w:r>
      <w:r w:rsidR="00215305" w:rsidRPr="00B77CC8">
        <w:rPr>
          <w:i/>
          <w:sz w:val="28"/>
          <w:szCs w:val="28"/>
        </w:rPr>
        <w:t>Eiropas Komisija pret Latvijas Republiku</w:t>
      </w:r>
      <w:r w:rsidR="00B77CC8">
        <w:rPr>
          <w:sz w:val="28"/>
          <w:szCs w:val="28"/>
        </w:rPr>
        <w:t>, kurā norādīts, ka Latvijas Republikas tiesību sistēmā nostiprinātais pilsonības nosacījums zvērināta notāra iecelšanai amatā ir pretrunā Līguma par Eiropas Savienības darbību 49.</w:t>
      </w:r>
      <w:r w:rsidR="00DC5F2E">
        <w:rPr>
          <w:sz w:val="28"/>
          <w:szCs w:val="28"/>
        </w:rPr>
        <w:t> </w:t>
      </w:r>
      <w:r w:rsidR="00B77CC8">
        <w:rPr>
          <w:sz w:val="28"/>
          <w:szCs w:val="28"/>
        </w:rPr>
        <w:t>panta nosacījumiem.</w:t>
      </w:r>
    </w:p>
    <w:p w:rsidR="00A461C6" w:rsidRPr="00B77CC8" w:rsidRDefault="00A461C6" w:rsidP="00215305">
      <w:pPr>
        <w:jc w:val="both"/>
        <w:rPr>
          <w:sz w:val="28"/>
          <w:szCs w:val="28"/>
        </w:rPr>
      </w:pPr>
    </w:p>
    <w:p w:rsidR="00A461C6" w:rsidRPr="00B77CC8" w:rsidRDefault="00433E6C" w:rsidP="00B77CC8">
      <w:pPr>
        <w:ind w:firstLine="720"/>
        <w:jc w:val="both"/>
        <w:rPr>
          <w:sz w:val="28"/>
          <w:szCs w:val="28"/>
        </w:rPr>
      </w:pPr>
      <w:r w:rsidRPr="00B77CC8">
        <w:rPr>
          <w:sz w:val="28"/>
          <w:szCs w:val="28"/>
        </w:rPr>
        <w:t>P</w:t>
      </w:r>
      <w:r w:rsidR="00A461C6" w:rsidRPr="00B77CC8">
        <w:rPr>
          <w:sz w:val="28"/>
          <w:szCs w:val="28"/>
        </w:rPr>
        <w:t>rasības pieteikumā</w:t>
      </w:r>
      <w:r w:rsidRPr="00B77CC8">
        <w:rPr>
          <w:sz w:val="28"/>
          <w:szCs w:val="28"/>
        </w:rPr>
        <w:t xml:space="preserve"> Eiropas Komisija bija lūgusi</w:t>
      </w:r>
      <w:r w:rsidR="00A461C6" w:rsidRPr="00B77CC8">
        <w:rPr>
          <w:sz w:val="28"/>
          <w:szCs w:val="28"/>
        </w:rPr>
        <w:t xml:space="preserve"> Eiropas Savienības Tiesu atzīt, ka Latvijas Republika, iecelšanu notāra amatā pakārtojot pilsonības nosacījumam, nav izpildījusi Līguma par Eiropa</w:t>
      </w:r>
      <w:r w:rsidR="00F204AC">
        <w:rPr>
          <w:sz w:val="28"/>
          <w:szCs w:val="28"/>
        </w:rPr>
        <w:t>s Savienības darbību 49. un 51. </w:t>
      </w:r>
      <w:r w:rsidR="00A461C6" w:rsidRPr="00B77CC8">
        <w:rPr>
          <w:sz w:val="28"/>
          <w:szCs w:val="28"/>
        </w:rPr>
        <w:t>pantā paredzētos pienākumus.</w:t>
      </w:r>
    </w:p>
    <w:p w:rsidR="00A461C6" w:rsidRDefault="00A461C6" w:rsidP="00215305">
      <w:pPr>
        <w:jc w:val="both"/>
        <w:rPr>
          <w:sz w:val="28"/>
          <w:szCs w:val="28"/>
        </w:rPr>
      </w:pPr>
    </w:p>
    <w:p w:rsidR="0094576A" w:rsidRDefault="0094576A" w:rsidP="00C26E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Saskaņā ar Līguma par Eiropas Savienības darbību 49.</w:t>
      </w:r>
      <w:r w:rsidR="00DC5F2E">
        <w:rPr>
          <w:sz w:val="28"/>
          <w:szCs w:val="28"/>
        </w:rPr>
        <w:t> </w:t>
      </w:r>
      <w:r>
        <w:rPr>
          <w:sz w:val="28"/>
          <w:szCs w:val="28"/>
        </w:rPr>
        <w:t xml:space="preserve">pantu ikvienas </w:t>
      </w:r>
      <w:r w:rsidR="00F416CC">
        <w:rPr>
          <w:sz w:val="28"/>
          <w:szCs w:val="28"/>
        </w:rPr>
        <w:t xml:space="preserve">Eiropas Savienības </w:t>
      </w:r>
      <w:r>
        <w:rPr>
          <w:sz w:val="28"/>
          <w:szCs w:val="28"/>
        </w:rPr>
        <w:t>dalībvalsts pilsonis var uzsākt un izvērst darbību citā dalībvalstī kā pašnodarbinātais. S</w:t>
      </w:r>
      <w:r w:rsidR="00F00EE3">
        <w:rPr>
          <w:sz w:val="28"/>
          <w:szCs w:val="28"/>
        </w:rPr>
        <w:t xml:space="preserve">avukārt </w:t>
      </w:r>
      <w:r w:rsidRPr="0094576A">
        <w:rPr>
          <w:sz w:val="28"/>
          <w:szCs w:val="28"/>
        </w:rPr>
        <w:t>Līguma par Eiropas Savienības darbību</w:t>
      </w:r>
      <w:r w:rsidR="00F00EE3">
        <w:rPr>
          <w:sz w:val="28"/>
          <w:szCs w:val="28"/>
        </w:rPr>
        <w:t xml:space="preserve"> 51.</w:t>
      </w:r>
      <w:r w:rsidR="00DC5F2E">
        <w:rPr>
          <w:sz w:val="28"/>
          <w:szCs w:val="28"/>
        </w:rPr>
        <w:t> </w:t>
      </w:r>
      <w:r w:rsidR="00F00EE3">
        <w:rPr>
          <w:sz w:val="28"/>
          <w:szCs w:val="28"/>
        </w:rPr>
        <w:t>pantā ir noteikts, ka</w:t>
      </w:r>
      <w:r>
        <w:rPr>
          <w:sz w:val="28"/>
          <w:szCs w:val="28"/>
        </w:rPr>
        <w:t xml:space="preserve"> iepriekšminētās tiesības nav attiecināmas uz tādām darbības jomām, ar kurām</w:t>
      </w:r>
      <w:r w:rsidR="00C26EAA">
        <w:rPr>
          <w:sz w:val="28"/>
          <w:szCs w:val="28"/>
        </w:rPr>
        <w:t xml:space="preserve"> tiek</w:t>
      </w:r>
      <w:r>
        <w:rPr>
          <w:sz w:val="28"/>
          <w:szCs w:val="28"/>
        </w:rPr>
        <w:t xml:space="preserve"> </w:t>
      </w:r>
      <w:r w:rsidR="00C26EAA">
        <w:rPr>
          <w:sz w:val="28"/>
          <w:szCs w:val="28"/>
        </w:rPr>
        <w:t>nodrošināta dalība</w:t>
      </w:r>
      <w:r w:rsidR="00C26EAA" w:rsidRPr="00C26EAA">
        <w:rPr>
          <w:sz w:val="28"/>
          <w:szCs w:val="28"/>
        </w:rPr>
        <w:t xml:space="preserve"> valsts varas īstenošanā</w:t>
      </w:r>
      <w:r w:rsidR="00C26EAA">
        <w:rPr>
          <w:sz w:val="28"/>
          <w:szCs w:val="28"/>
        </w:rPr>
        <w:t>.</w:t>
      </w:r>
    </w:p>
    <w:p w:rsidR="0094576A" w:rsidRDefault="0094576A" w:rsidP="00215305">
      <w:pPr>
        <w:jc w:val="both"/>
        <w:rPr>
          <w:sz w:val="28"/>
          <w:szCs w:val="28"/>
        </w:rPr>
      </w:pPr>
    </w:p>
    <w:p w:rsidR="00A62D86" w:rsidRPr="00B77CC8" w:rsidRDefault="00A461C6" w:rsidP="00B77CC8">
      <w:pPr>
        <w:ind w:firstLine="720"/>
        <w:jc w:val="both"/>
        <w:rPr>
          <w:sz w:val="28"/>
          <w:szCs w:val="28"/>
        </w:rPr>
      </w:pPr>
      <w:r w:rsidRPr="00B77CC8">
        <w:rPr>
          <w:sz w:val="28"/>
          <w:szCs w:val="28"/>
        </w:rPr>
        <w:t>Latvijas Republika uzturēja pozīciju</w:t>
      </w:r>
      <w:r w:rsidR="00C96A05" w:rsidRPr="00B77CC8">
        <w:rPr>
          <w:sz w:val="28"/>
          <w:szCs w:val="28"/>
        </w:rPr>
        <w:t xml:space="preserve">, ka Latvijas </w:t>
      </w:r>
      <w:r w:rsidR="00A62D86" w:rsidRPr="00B77CC8">
        <w:rPr>
          <w:sz w:val="28"/>
          <w:szCs w:val="28"/>
        </w:rPr>
        <w:t>Republikas pilsonības nosacījums ir attaisnojams un nav pretrunā Eiropas Savienības tiesībām, jo notāram Latvijas Republikā ir piešķirtas tādas funkcijas, kas tieši nodrošina dalību valsts varas īstenošanā.</w:t>
      </w:r>
    </w:p>
    <w:p w:rsidR="00A62D86" w:rsidRPr="00B77CC8" w:rsidRDefault="00A62D86" w:rsidP="00215305">
      <w:pPr>
        <w:jc w:val="both"/>
        <w:rPr>
          <w:sz w:val="28"/>
          <w:szCs w:val="28"/>
        </w:rPr>
      </w:pPr>
    </w:p>
    <w:p w:rsidR="00A62D86" w:rsidRPr="00B77CC8" w:rsidRDefault="00A62D86" w:rsidP="00B77CC8">
      <w:pPr>
        <w:ind w:firstLine="720"/>
        <w:jc w:val="both"/>
        <w:rPr>
          <w:sz w:val="28"/>
          <w:szCs w:val="28"/>
        </w:rPr>
      </w:pPr>
      <w:r w:rsidRPr="00B77CC8">
        <w:rPr>
          <w:sz w:val="28"/>
          <w:szCs w:val="28"/>
        </w:rPr>
        <w:t>Eiropas Savienības Tiesa spriedumā</w:t>
      </w:r>
      <w:r w:rsidR="00FC5B13" w:rsidRPr="00B77CC8">
        <w:rPr>
          <w:sz w:val="28"/>
          <w:szCs w:val="28"/>
        </w:rPr>
        <w:t xml:space="preserve"> lietā C-151/14 </w:t>
      </w:r>
      <w:r w:rsidR="00FC5B13" w:rsidRPr="00B77CC8">
        <w:rPr>
          <w:i/>
          <w:sz w:val="28"/>
          <w:szCs w:val="28"/>
        </w:rPr>
        <w:t>Eiropas Komisija pret Latvijas Republiku</w:t>
      </w:r>
      <w:r w:rsidRPr="00B77CC8">
        <w:rPr>
          <w:sz w:val="28"/>
          <w:szCs w:val="28"/>
        </w:rPr>
        <w:t xml:space="preserve"> uzsvēra, ka notāra darbības, kā tās ir noteiktas pašreizējā Latvijas Republikas tiesību sistēmā, nav uzskatāmas par tiešu un konkrētu dalību valsts varas īstenošanā. Tādējādi Latvijas Republikas tiesību sistēmā nostiprinātais pilsonības nosacījums</w:t>
      </w:r>
      <w:r w:rsidR="00FC5B13" w:rsidRPr="00B77CC8">
        <w:rPr>
          <w:sz w:val="28"/>
          <w:szCs w:val="28"/>
        </w:rPr>
        <w:t xml:space="preserve"> notāru iecelšanai amatā ir pretrunā ar Līguma par Eiropas Savienības darbību 49.</w:t>
      </w:r>
      <w:r w:rsidR="00DC5F2E">
        <w:rPr>
          <w:sz w:val="28"/>
          <w:szCs w:val="28"/>
        </w:rPr>
        <w:t> </w:t>
      </w:r>
      <w:r w:rsidR="00FC5B13" w:rsidRPr="00B77CC8">
        <w:rPr>
          <w:sz w:val="28"/>
          <w:szCs w:val="28"/>
        </w:rPr>
        <w:t>pantā noteikto, radot aizliegtu diskrimināciju pilsonības dēļ.</w:t>
      </w:r>
    </w:p>
    <w:p w:rsidR="00FC5B13" w:rsidRPr="00B77CC8" w:rsidRDefault="00FC5B13" w:rsidP="00215305">
      <w:pPr>
        <w:jc w:val="both"/>
        <w:rPr>
          <w:sz w:val="28"/>
          <w:szCs w:val="28"/>
        </w:rPr>
      </w:pPr>
    </w:p>
    <w:p w:rsidR="00FC5B13" w:rsidRPr="00B77CC8" w:rsidRDefault="00FC5B13" w:rsidP="00B77CC8">
      <w:pPr>
        <w:ind w:firstLine="720"/>
        <w:jc w:val="both"/>
        <w:rPr>
          <w:sz w:val="28"/>
          <w:szCs w:val="28"/>
        </w:rPr>
      </w:pPr>
      <w:r w:rsidRPr="00B77CC8">
        <w:rPr>
          <w:sz w:val="28"/>
          <w:szCs w:val="28"/>
        </w:rPr>
        <w:lastRenderedPageBreak/>
        <w:t>No Eiropas Savienības Tiesa</w:t>
      </w:r>
      <w:r w:rsidR="00C26EAA">
        <w:rPr>
          <w:sz w:val="28"/>
          <w:szCs w:val="28"/>
        </w:rPr>
        <w:t>s</w:t>
      </w:r>
      <w:r w:rsidRPr="00B77CC8">
        <w:rPr>
          <w:sz w:val="28"/>
          <w:szCs w:val="28"/>
        </w:rPr>
        <w:t xml:space="preserve"> sprieduma lietā C-151/14 </w:t>
      </w:r>
      <w:r w:rsidRPr="00B77CC8">
        <w:rPr>
          <w:i/>
          <w:sz w:val="28"/>
          <w:szCs w:val="28"/>
        </w:rPr>
        <w:t xml:space="preserve">Eiropas Komisija pret Latvijas Republiku </w:t>
      </w:r>
      <w:r w:rsidRPr="00B77CC8">
        <w:rPr>
          <w:sz w:val="28"/>
          <w:szCs w:val="28"/>
        </w:rPr>
        <w:t>izriet, ka</w:t>
      </w:r>
      <w:r w:rsidRPr="00B77CC8">
        <w:rPr>
          <w:i/>
          <w:sz w:val="28"/>
          <w:szCs w:val="28"/>
        </w:rPr>
        <w:t xml:space="preserve"> </w:t>
      </w:r>
      <w:r w:rsidRPr="00B77CC8">
        <w:rPr>
          <w:sz w:val="28"/>
          <w:szCs w:val="28"/>
        </w:rPr>
        <w:t xml:space="preserve">nākotnē par notāru Latvijas Republikā </w:t>
      </w:r>
      <w:r w:rsidR="00BB7E69" w:rsidRPr="00B77CC8">
        <w:rPr>
          <w:sz w:val="28"/>
          <w:szCs w:val="28"/>
        </w:rPr>
        <w:t>varēs kļūt arī citu Eiropas Savienības dalībvalstu pilsoņi.</w:t>
      </w:r>
    </w:p>
    <w:p w:rsidR="00BB7E69" w:rsidRPr="00B77CC8" w:rsidRDefault="00BB7E69" w:rsidP="000C29B2">
      <w:pPr>
        <w:jc w:val="both"/>
        <w:rPr>
          <w:sz w:val="28"/>
          <w:szCs w:val="28"/>
        </w:rPr>
      </w:pPr>
    </w:p>
    <w:p w:rsidR="000C29B2" w:rsidRPr="00B77CC8" w:rsidRDefault="00BB7E69" w:rsidP="00B77CC8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B77CC8">
        <w:rPr>
          <w:color w:val="auto"/>
          <w:sz w:val="28"/>
          <w:szCs w:val="28"/>
        </w:rPr>
        <w:t xml:space="preserve">Lai novērstu ar Eiropas Savienības Tiesas spriedumu lietā C-151/14 </w:t>
      </w:r>
      <w:r w:rsidRPr="00B77CC8">
        <w:rPr>
          <w:i/>
          <w:color w:val="auto"/>
          <w:sz w:val="28"/>
          <w:szCs w:val="28"/>
        </w:rPr>
        <w:t>Eiropas Komisija pret Latvijas Republiku</w:t>
      </w:r>
      <w:r w:rsidRPr="00B77CC8">
        <w:rPr>
          <w:color w:val="auto"/>
          <w:sz w:val="28"/>
          <w:szCs w:val="28"/>
        </w:rPr>
        <w:t xml:space="preserve"> konstatēto </w:t>
      </w:r>
      <w:r w:rsidR="00433E6C" w:rsidRPr="00B77CC8">
        <w:rPr>
          <w:color w:val="auto"/>
          <w:sz w:val="28"/>
          <w:szCs w:val="28"/>
        </w:rPr>
        <w:t xml:space="preserve">nacionālo tiesību aktu </w:t>
      </w:r>
      <w:r w:rsidRPr="00B77CC8">
        <w:rPr>
          <w:color w:val="auto"/>
          <w:sz w:val="28"/>
          <w:szCs w:val="28"/>
        </w:rPr>
        <w:t>neatbilstību</w:t>
      </w:r>
      <w:r w:rsidR="00433E6C" w:rsidRPr="00B77CC8">
        <w:rPr>
          <w:color w:val="auto"/>
          <w:sz w:val="28"/>
          <w:szCs w:val="28"/>
        </w:rPr>
        <w:t xml:space="preserve"> Eiropas Savienības tiesībām</w:t>
      </w:r>
      <w:r w:rsidRPr="00B77CC8">
        <w:rPr>
          <w:color w:val="auto"/>
          <w:sz w:val="28"/>
          <w:szCs w:val="28"/>
        </w:rPr>
        <w:t xml:space="preserve"> un izvairītos no </w:t>
      </w:r>
      <w:r w:rsidR="00433E6C" w:rsidRPr="00B77CC8">
        <w:rPr>
          <w:color w:val="auto"/>
          <w:sz w:val="28"/>
          <w:szCs w:val="28"/>
        </w:rPr>
        <w:t>iespējamiem finansiāl</w:t>
      </w:r>
      <w:r w:rsidR="00C26EAA">
        <w:rPr>
          <w:color w:val="auto"/>
          <w:sz w:val="28"/>
          <w:szCs w:val="28"/>
        </w:rPr>
        <w:t>u</w:t>
      </w:r>
      <w:r w:rsidR="00433E6C" w:rsidRPr="00B77CC8">
        <w:rPr>
          <w:color w:val="auto"/>
          <w:sz w:val="28"/>
          <w:szCs w:val="28"/>
        </w:rPr>
        <w:t xml:space="preserve"> sankciju riskiem, ir nepieciešams veikt grozījumu</w:t>
      </w:r>
      <w:r w:rsidR="000C29B2" w:rsidRPr="00B77CC8">
        <w:rPr>
          <w:color w:val="auto"/>
          <w:sz w:val="28"/>
          <w:szCs w:val="28"/>
        </w:rPr>
        <w:t>s Notariāta likumā. Proti, ir nepieciešams Not</w:t>
      </w:r>
      <w:r w:rsidR="00F204AC">
        <w:rPr>
          <w:color w:val="auto"/>
          <w:sz w:val="28"/>
          <w:szCs w:val="28"/>
        </w:rPr>
        <w:t>ariāta likuma 9.</w:t>
      </w:r>
      <w:r w:rsidR="00DC5F2E">
        <w:rPr>
          <w:color w:val="auto"/>
          <w:sz w:val="28"/>
          <w:szCs w:val="28"/>
        </w:rPr>
        <w:t> </w:t>
      </w:r>
      <w:r w:rsidR="00F204AC">
        <w:rPr>
          <w:color w:val="auto"/>
          <w:sz w:val="28"/>
          <w:szCs w:val="28"/>
        </w:rPr>
        <w:t>panta 1.</w:t>
      </w:r>
      <w:r w:rsidR="00DC5F2E">
        <w:rPr>
          <w:color w:val="auto"/>
          <w:sz w:val="28"/>
          <w:szCs w:val="28"/>
        </w:rPr>
        <w:t> </w:t>
      </w:r>
      <w:r w:rsidR="00F204AC">
        <w:rPr>
          <w:color w:val="auto"/>
          <w:sz w:val="28"/>
          <w:szCs w:val="28"/>
        </w:rPr>
        <w:t xml:space="preserve">punktu </w:t>
      </w:r>
      <w:r w:rsidR="000C29B2" w:rsidRPr="00B77CC8">
        <w:rPr>
          <w:color w:val="auto"/>
          <w:sz w:val="28"/>
          <w:szCs w:val="28"/>
        </w:rPr>
        <w:t>izteikt citā redakcijā, kas paredzētu, ka par zvērinātiem notāriem var būt personas, kas ir Eiropas Savienības pilsoņi.</w:t>
      </w:r>
    </w:p>
    <w:p w:rsidR="000C29B2" w:rsidRPr="00B77CC8" w:rsidRDefault="000C29B2" w:rsidP="000C29B2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780577" w:rsidRPr="00B77CC8" w:rsidRDefault="00142DEA" w:rsidP="00B77CC8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B77CC8">
        <w:rPr>
          <w:color w:val="auto"/>
          <w:sz w:val="28"/>
          <w:szCs w:val="28"/>
        </w:rPr>
        <w:t>Vēršam uzmanību, ka</w:t>
      </w:r>
      <w:r w:rsidR="00780577" w:rsidRPr="00B77CC8">
        <w:rPr>
          <w:color w:val="auto"/>
          <w:sz w:val="28"/>
          <w:szCs w:val="28"/>
        </w:rPr>
        <w:t xml:space="preserve"> Latvijas Republikai nekavējoties ir jāuzsāk nepieciešamo darbību veikšana, lai saprātīgā termiņā novērstu ar Eiropas Savienības Tiesas spriedumu lietā C-151/14 </w:t>
      </w:r>
      <w:r w:rsidR="00780577" w:rsidRPr="00B77CC8">
        <w:rPr>
          <w:i/>
          <w:color w:val="auto"/>
          <w:sz w:val="28"/>
          <w:szCs w:val="28"/>
        </w:rPr>
        <w:t>Eiropas Komisija pret Latvijas Republiku</w:t>
      </w:r>
      <w:r w:rsidR="00780577" w:rsidRPr="00B77CC8">
        <w:rPr>
          <w:color w:val="auto"/>
          <w:sz w:val="28"/>
          <w:szCs w:val="28"/>
        </w:rPr>
        <w:t xml:space="preserve"> konstatēto nacionālo tiesību aktu neatbilstību Eiropas Savienības tiesībām. Pretējā gadījumā Eiropas Komisijai būs tiesības atkārtoti vērsties Eiropas Savienības Tiesā, savukārt Eiropas Savienības Tiesai</w:t>
      </w:r>
      <w:r w:rsidR="00C4661E" w:rsidRPr="00B77CC8">
        <w:rPr>
          <w:color w:val="auto"/>
          <w:sz w:val="28"/>
          <w:szCs w:val="28"/>
        </w:rPr>
        <w:t xml:space="preserve"> ar otro spriedumu būs tiesības piemērot Latvija</w:t>
      </w:r>
      <w:r w:rsidR="00C26EAA">
        <w:rPr>
          <w:color w:val="auto"/>
          <w:sz w:val="28"/>
          <w:szCs w:val="28"/>
        </w:rPr>
        <w:t>s</w:t>
      </w:r>
      <w:r w:rsidR="00C4661E" w:rsidRPr="00B77CC8">
        <w:rPr>
          <w:color w:val="auto"/>
          <w:sz w:val="28"/>
          <w:szCs w:val="28"/>
        </w:rPr>
        <w:t xml:space="preserve"> Republikai </w:t>
      </w:r>
      <w:r w:rsidR="00574A2F">
        <w:rPr>
          <w:color w:val="auto"/>
          <w:sz w:val="28"/>
          <w:szCs w:val="28"/>
        </w:rPr>
        <w:t>finansiālas</w:t>
      </w:r>
      <w:r w:rsidR="00C4661E" w:rsidRPr="00B77CC8">
        <w:rPr>
          <w:color w:val="auto"/>
          <w:sz w:val="28"/>
          <w:szCs w:val="28"/>
        </w:rPr>
        <w:t xml:space="preserve"> sankcijas –</w:t>
      </w:r>
      <w:r w:rsidR="00C4661E" w:rsidRPr="00B77CC8">
        <w:rPr>
          <w:sz w:val="28"/>
          <w:szCs w:val="28"/>
        </w:rPr>
        <w:t xml:space="preserve"> </w:t>
      </w:r>
      <w:r w:rsidR="00C4661E" w:rsidRPr="00B77CC8">
        <w:rPr>
          <w:color w:val="auto"/>
          <w:sz w:val="28"/>
          <w:szCs w:val="28"/>
        </w:rPr>
        <w:t xml:space="preserve">gan sodanaudu, gan kavējuma naudu, neizslēdzot vienu vai otru. Šobrīd Latvijas Republikai minimālā soda nauda ir noteikta 397 000 </w:t>
      </w:r>
      <w:proofErr w:type="spellStart"/>
      <w:r w:rsidR="00DC5F2E" w:rsidRPr="000C3356">
        <w:rPr>
          <w:i/>
          <w:color w:val="auto"/>
          <w:sz w:val="28"/>
          <w:szCs w:val="28"/>
        </w:rPr>
        <w:t>euro</w:t>
      </w:r>
      <w:proofErr w:type="spellEnd"/>
      <w:r w:rsidR="00DC5F2E" w:rsidRPr="00B77CC8">
        <w:rPr>
          <w:color w:val="auto"/>
          <w:sz w:val="28"/>
          <w:szCs w:val="28"/>
        </w:rPr>
        <w:t xml:space="preserve"> </w:t>
      </w:r>
      <w:r w:rsidR="00C4661E" w:rsidRPr="00B77CC8">
        <w:rPr>
          <w:color w:val="auto"/>
          <w:sz w:val="28"/>
          <w:szCs w:val="28"/>
        </w:rPr>
        <w:t xml:space="preserve">apmērā, savukārt kavējuma nauda ir noteikta no 475,20 </w:t>
      </w:r>
      <w:proofErr w:type="spellStart"/>
      <w:r w:rsidR="00DC5F2E" w:rsidRPr="000C3356">
        <w:rPr>
          <w:i/>
          <w:color w:val="auto"/>
          <w:sz w:val="28"/>
          <w:szCs w:val="28"/>
        </w:rPr>
        <w:t>euro</w:t>
      </w:r>
      <w:proofErr w:type="spellEnd"/>
      <w:r w:rsidR="00DC5F2E" w:rsidRPr="00B77CC8">
        <w:rPr>
          <w:color w:val="auto"/>
          <w:sz w:val="28"/>
          <w:szCs w:val="28"/>
        </w:rPr>
        <w:t xml:space="preserve"> </w:t>
      </w:r>
      <w:r w:rsidR="00C4661E" w:rsidRPr="00B77CC8">
        <w:rPr>
          <w:color w:val="auto"/>
          <w:sz w:val="28"/>
          <w:szCs w:val="28"/>
        </w:rPr>
        <w:t xml:space="preserve">līdz 28 512 </w:t>
      </w:r>
      <w:proofErr w:type="spellStart"/>
      <w:r w:rsidR="00DC5F2E" w:rsidRPr="000C3356">
        <w:rPr>
          <w:i/>
          <w:color w:val="auto"/>
          <w:sz w:val="28"/>
          <w:szCs w:val="28"/>
        </w:rPr>
        <w:t>euro</w:t>
      </w:r>
      <w:proofErr w:type="spellEnd"/>
      <w:r w:rsidR="00DC5F2E" w:rsidRPr="00B77CC8">
        <w:rPr>
          <w:color w:val="auto"/>
          <w:sz w:val="28"/>
          <w:szCs w:val="28"/>
        </w:rPr>
        <w:t xml:space="preserve"> </w:t>
      </w:r>
      <w:r w:rsidR="00C4661E" w:rsidRPr="00B77CC8">
        <w:rPr>
          <w:color w:val="auto"/>
          <w:sz w:val="28"/>
          <w:szCs w:val="28"/>
        </w:rPr>
        <w:t>apmērā par katru kavējuma dienu.</w:t>
      </w:r>
    </w:p>
    <w:p w:rsidR="00C4661E" w:rsidRDefault="00C4661E" w:rsidP="000C29B2">
      <w:pPr>
        <w:pStyle w:val="tv2132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C4661E" w:rsidRDefault="00C4661E" w:rsidP="000C29B2">
      <w:pPr>
        <w:pStyle w:val="tv2132"/>
        <w:spacing w:line="240" w:lineRule="auto"/>
        <w:ind w:firstLine="0"/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C4661E" w:rsidRDefault="00C4661E" w:rsidP="000C29B2">
      <w:pPr>
        <w:pStyle w:val="tv2132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780577" w:rsidRPr="00B77CC8" w:rsidRDefault="00B77CC8" w:rsidP="000C29B2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B77CC8">
        <w:rPr>
          <w:color w:val="auto"/>
          <w:sz w:val="28"/>
          <w:szCs w:val="28"/>
        </w:rPr>
        <w:t>Tieslietu ministrs</w:t>
      </w:r>
      <w:r w:rsidRPr="00B77CC8">
        <w:rPr>
          <w:color w:val="auto"/>
          <w:sz w:val="28"/>
          <w:szCs w:val="28"/>
        </w:rPr>
        <w:tab/>
      </w:r>
      <w:r w:rsidRPr="00B77CC8">
        <w:rPr>
          <w:color w:val="auto"/>
          <w:sz w:val="28"/>
          <w:szCs w:val="28"/>
        </w:rPr>
        <w:tab/>
      </w:r>
      <w:r w:rsidRPr="00B77CC8">
        <w:rPr>
          <w:color w:val="auto"/>
          <w:sz w:val="28"/>
          <w:szCs w:val="28"/>
        </w:rPr>
        <w:tab/>
      </w:r>
      <w:r w:rsidRPr="00B77CC8">
        <w:rPr>
          <w:color w:val="auto"/>
          <w:sz w:val="28"/>
          <w:szCs w:val="28"/>
        </w:rPr>
        <w:tab/>
      </w:r>
      <w:r w:rsidRPr="00B77CC8">
        <w:rPr>
          <w:color w:val="auto"/>
          <w:sz w:val="28"/>
          <w:szCs w:val="28"/>
        </w:rPr>
        <w:tab/>
      </w:r>
      <w:r w:rsidRPr="00B77CC8">
        <w:rPr>
          <w:color w:val="auto"/>
          <w:sz w:val="28"/>
          <w:szCs w:val="28"/>
        </w:rPr>
        <w:tab/>
      </w:r>
      <w:r w:rsidRPr="00B77CC8">
        <w:rPr>
          <w:color w:val="auto"/>
          <w:sz w:val="28"/>
          <w:szCs w:val="28"/>
        </w:rPr>
        <w:tab/>
      </w:r>
      <w:r w:rsidR="00DC5F2E">
        <w:rPr>
          <w:color w:val="auto"/>
          <w:sz w:val="28"/>
          <w:szCs w:val="28"/>
        </w:rPr>
        <w:tab/>
      </w:r>
      <w:r w:rsidRPr="00B77CC8">
        <w:rPr>
          <w:color w:val="auto"/>
          <w:sz w:val="28"/>
          <w:szCs w:val="28"/>
        </w:rPr>
        <w:t>Dzintars Rasnačs</w:t>
      </w:r>
    </w:p>
    <w:p w:rsidR="000C29B2" w:rsidRDefault="000C29B2" w:rsidP="00215305">
      <w:pPr>
        <w:jc w:val="both"/>
      </w:pPr>
    </w:p>
    <w:p w:rsidR="00FC5B13" w:rsidRDefault="00FC5B13" w:rsidP="00215305">
      <w:pPr>
        <w:jc w:val="both"/>
      </w:pPr>
    </w:p>
    <w:p w:rsidR="00DE3B8D" w:rsidRPr="00960356" w:rsidRDefault="00DE3B8D" w:rsidP="00DE3B8D">
      <w:pPr>
        <w:pStyle w:val="Paraksts"/>
        <w:widowControl/>
        <w:tabs>
          <w:tab w:val="clear" w:pos="9072"/>
        </w:tabs>
        <w:spacing w:before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25.09</w:t>
      </w:r>
      <w:r w:rsidRPr="00BA6CF8">
        <w:rPr>
          <w:sz w:val="20"/>
          <w:szCs w:val="20"/>
        </w:rPr>
        <w:t>.1</w:t>
      </w:r>
      <w:r>
        <w:rPr>
          <w:sz w:val="20"/>
          <w:szCs w:val="20"/>
        </w:rPr>
        <w:t>5</w:t>
      </w:r>
      <w:r w:rsidRPr="00F80705">
        <w:rPr>
          <w:sz w:val="20"/>
          <w:szCs w:val="20"/>
        </w:rPr>
        <w:t xml:space="preserve">. </w:t>
      </w:r>
      <w:r>
        <w:rPr>
          <w:sz w:val="20"/>
          <w:szCs w:val="20"/>
        </w:rPr>
        <w:t>10:30</w:t>
      </w:r>
    </w:p>
    <w:p w:rsidR="00DE3B8D" w:rsidRPr="00927BD2" w:rsidRDefault="00DC5F2E" w:rsidP="00DE3B8D">
      <w:pPr>
        <w:pStyle w:val="Paraksts"/>
        <w:widowControl/>
        <w:tabs>
          <w:tab w:val="clear" w:pos="9072"/>
        </w:tabs>
        <w:spacing w:before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507</w:t>
      </w:r>
    </w:p>
    <w:p w:rsidR="00DE3B8D" w:rsidRPr="00BA6CF8" w:rsidRDefault="00DE3B8D" w:rsidP="00DE3B8D">
      <w:pPr>
        <w:keepLines/>
        <w:rPr>
          <w:sz w:val="20"/>
          <w:szCs w:val="20"/>
        </w:rPr>
      </w:pPr>
      <w:r w:rsidRPr="00BA6CF8">
        <w:rPr>
          <w:sz w:val="20"/>
          <w:szCs w:val="20"/>
        </w:rPr>
        <w:t>K. Freimanis</w:t>
      </w:r>
    </w:p>
    <w:p w:rsidR="00A62D86" w:rsidRDefault="00DE3B8D" w:rsidP="000C3356">
      <w:pPr>
        <w:keepLines/>
      </w:pPr>
      <w:r w:rsidRPr="00BA6CF8">
        <w:rPr>
          <w:sz w:val="20"/>
          <w:szCs w:val="20"/>
        </w:rPr>
        <w:t>67036920, kristaps.freimanis@tm.gov.lv</w:t>
      </w:r>
    </w:p>
    <w:sectPr w:rsidR="00A62D86" w:rsidSect="00B77CC8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C8" w:rsidRDefault="00B77CC8" w:rsidP="00B77CC8">
      <w:r>
        <w:separator/>
      </w:r>
    </w:p>
  </w:endnote>
  <w:endnote w:type="continuationSeparator" w:id="0">
    <w:p w:rsidR="00B77CC8" w:rsidRDefault="00B77CC8" w:rsidP="00B7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8D" w:rsidRPr="00DE3B8D" w:rsidRDefault="00DE3B8D" w:rsidP="00DE3B8D">
    <w:pPr>
      <w:pStyle w:val="Pamatteksts2"/>
      <w:tabs>
        <w:tab w:val="left" w:pos="-4820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E3B8D">
      <w:rPr>
        <w:rFonts w:ascii="Times New Roman" w:hAnsi="Times New Roman" w:cs="Times New Roman"/>
        <w:sz w:val="20"/>
        <w:szCs w:val="20"/>
      </w:rPr>
      <w:t>TMZino_</w:t>
    </w:r>
    <w:r>
      <w:rPr>
        <w:rFonts w:ascii="Times New Roman" w:hAnsi="Times New Roman" w:cs="Times New Roman"/>
        <w:sz w:val="20"/>
        <w:szCs w:val="20"/>
      </w:rPr>
      <w:t>2</w:t>
    </w:r>
    <w:r w:rsidRPr="00DE3B8D">
      <w:rPr>
        <w:rFonts w:ascii="Times New Roman" w:hAnsi="Times New Roman" w:cs="Times New Roman"/>
        <w:sz w:val="20"/>
        <w:szCs w:val="20"/>
      </w:rPr>
      <w:t>50915_ESTspr</w:t>
    </w:r>
    <w:r w:rsidR="00794F2B">
      <w:rPr>
        <w:rFonts w:ascii="Times New Roman" w:hAnsi="Times New Roman" w:cs="Times New Roman"/>
        <w:sz w:val="20"/>
        <w:szCs w:val="20"/>
      </w:rPr>
      <w:t>iedums; Informatīvais ziņojums “</w:t>
    </w:r>
    <w:r w:rsidRPr="00DE3B8D">
      <w:rPr>
        <w:rFonts w:ascii="Times New Roman" w:hAnsi="Times New Roman" w:cs="Times New Roman"/>
        <w:sz w:val="20"/>
        <w:szCs w:val="20"/>
      </w:rPr>
      <w:t>Par Eiropas Savienības Tiesas spriedumu lietā C</w:t>
    </w:r>
    <w:r w:rsidRPr="00DE3B8D">
      <w:rPr>
        <w:rFonts w:ascii="Times New Roman" w:hAnsi="Times New Roman" w:cs="Times New Roman"/>
        <w:sz w:val="20"/>
        <w:szCs w:val="20"/>
      </w:rPr>
      <w:noBreakHyphen/>
      <w:t xml:space="preserve">151/14 </w:t>
    </w:r>
    <w:r w:rsidRPr="00DE3B8D">
      <w:rPr>
        <w:rFonts w:ascii="Times New Roman" w:hAnsi="Times New Roman" w:cs="Times New Roman"/>
        <w:i/>
        <w:sz w:val="20"/>
        <w:szCs w:val="20"/>
      </w:rPr>
      <w:t>Eiropas Komisija pret Latvijas Republiku</w:t>
    </w:r>
    <w:r w:rsidRPr="00DE3B8D">
      <w:rPr>
        <w:rFonts w:ascii="Times New Roman" w:hAnsi="Times New Roman" w:cs="Times New Roman"/>
        <w:sz w:val="20"/>
        <w:szCs w:val="20"/>
      </w:rPr>
      <w:t>”</w:t>
    </w:r>
  </w:p>
  <w:p w:rsidR="00DE3B8D" w:rsidRDefault="00DE3B8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8D" w:rsidRPr="00DE3B8D" w:rsidRDefault="00DE3B8D" w:rsidP="00DE3B8D">
    <w:pPr>
      <w:pStyle w:val="Pamatteksts2"/>
      <w:tabs>
        <w:tab w:val="left" w:pos="-4820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E3B8D">
      <w:rPr>
        <w:rFonts w:ascii="Times New Roman" w:hAnsi="Times New Roman" w:cs="Times New Roman"/>
        <w:sz w:val="20"/>
        <w:szCs w:val="20"/>
      </w:rPr>
      <w:t>TMZino_</w:t>
    </w:r>
    <w:r>
      <w:rPr>
        <w:rFonts w:ascii="Times New Roman" w:hAnsi="Times New Roman" w:cs="Times New Roman"/>
        <w:sz w:val="20"/>
        <w:szCs w:val="20"/>
      </w:rPr>
      <w:t>2</w:t>
    </w:r>
    <w:r w:rsidRPr="00DE3B8D">
      <w:rPr>
        <w:rFonts w:ascii="Times New Roman" w:hAnsi="Times New Roman" w:cs="Times New Roman"/>
        <w:sz w:val="20"/>
        <w:szCs w:val="20"/>
      </w:rPr>
      <w:t>50915_ESTspr</w:t>
    </w:r>
    <w:r w:rsidR="00794F2B">
      <w:rPr>
        <w:rFonts w:ascii="Times New Roman" w:hAnsi="Times New Roman" w:cs="Times New Roman"/>
        <w:sz w:val="20"/>
        <w:szCs w:val="20"/>
      </w:rPr>
      <w:t>iedums; Informatīvais ziņojums “</w:t>
    </w:r>
    <w:r w:rsidRPr="00DE3B8D">
      <w:rPr>
        <w:rFonts w:ascii="Times New Roman" w:hAnsi="Times New Roman" w:cs="Times New Roman"/>
        <w:sz w:val="20"/>
        <w:szCs w:val="20"/>
      </w:rPr>
      <w:t>Par Eiropas Savienības Tiesas spriedumu lietā C</w:t>
    </w:r>
    <w:r w:rsidRPr="00DE3B8D">
      <w:rPr>
        <w:rFonts w:ascii="Times New Roman" w:hAnsi="Times New Roman" w:cs="Times New Roman"/>
        <w:sz w:val="20"/>
        <w:szCs w:val="20"/>
      </w:rPr>
      <w:noBreakHyphen/>
      <w:t xml:space="preserve">151/14 </w:t>
    </w:r>
    <w:r w:rsidRPr="00DE3B8D">
      <w:rPr>
        <w:rFonts w:ascii="Times New Roman" w:hAnsi="Times New Roman" w:cs="Times New Roman"/>
        <w:i/>
        <w:sz w:val="20"/>
        <w:szCs w:val="20"/>
      </w:rPr>
      <w:t>Eiropas Komisija pret Latvijas Republiku</w:t>
    </w:r>
    <w:r w:rsidRPr="00DE3B8D">
      <w:rPr>
        <w:rFonts w:ascii="Times New Roman" w:hAnsi="Times New Roman" w:cs="Times New Roman"/>
        <w:sz w:val="20"/>
        <w:szCs w:val="20"/>
      </w:rPr>
      <w:t>”</w:t>
    </w:r>
  </w:p>
  <w:p w:rsidR="00B77CC8" w:rsidRPr="00DE3B8D" w:rsidRDefault="00B77CC8" w:rsidP="00DE3B8D">
    <w:pPr>
      <w:pStyle w:val="Kjene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C8" w:rsidRDefault="00B77CC8" w:rsidP="00B77CC8">
      <w:r>
        <w:separator/>
      </w:r>
    </w:p>
  </w:footnote>
  <w:footnote w:type="continuationSeparator" w:id="0">
    <w:p w:rsidR="00B77CC8" w:rsidRDefault="00B77CC8" w:rsidP="00B7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633059"/>
      <w:docPartObj>
        <w:docPartGallery w:val="Page Numbers (Top of Page)"/>
        <w:docPartUnique/>
      </w:docPartObj>
    </w:sdtPr>
    <w:sdtEndPr/>
    <w:sdtContent>
      <w:p w:rsidR="00DE3B8D" w:rsidRDefault="00DE3B8D" w:rsidP="00DE3B8D">
        <w:pPr>
          <w:pStyle w:val="Galvene"/>
          <w:jc w:val="center"/>
        </w:pPr>
      </w:p>
      <w:p w:rsidR="00B77CC8" w:rsidRDefault="00B77CC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A2F">
          <w:rPr>
            <w:noProof/>
          </w:rPr>
          <w:t>2</w:t>
        </w:r>
        <w:r>
          <w:fldChar w:fldCharType="end"/>
        </w:r>
      </w:p>
    </w:sdtContent>
  </w:sdt>
  <w:p w:rsidR="00B77CC8" w:rsidRDefault="00B77CC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C7"/>
    <w:rsid w:val="000C29B2"/>
    <w:rsid w:val="000C3356"/>
    <w:rsid w:val="00142DEA"/>
    <w:rsid w:val="00215305"/>
    <w:rsid w:val="002E2421"/>
    <w:rsid w:val="00386DF0"/>
    <w:rsid w:val="00433E6C"/>
    <w:rsid w:val="004905C7"/>
    <w:rsid w:val="00574A2F"/>
    <w:rsid w:val="005840D4"/>
    <w:rsid w:val="0068522C"/>
    <w:rsid w:val="00780577"/>
    <w:rsid w:val="00794F2B"/>
    <w:rsid w:val="0094576A"/>
    <w:rsid w:val="009F5720"/>
    <w:rsid w:val="00A461C6"/>
    <w:rsid w:val="00A62D86"/>
    <w:rsid w:val="00B77CC8"/>
    <w:rsid w:val="00B80F28"/>
    <w:rsid w:val="00BB7E69"/>
    <w:rsid w:val="00C26EAA"/>
    <w:rsid w:val="00C4661E"/>
    <w:rsid w:val="00C96A05"/>
    <w:rsid w:val="00DC5F2E"/>
    <w:rsid w:val="00DE3B8D"/>
    <w:rsid w:val="00F00EE3"/>
    <w:rsid w:val="00F204AC"/>
    <w:rsid w:val="00F416CC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0C29B2"/>
    <w:pPr>
      <w:spacing w:line="360" w:lineRule="auto"/>
      <w:ind w:firstLine="300"/>
    </w:pPr>
    <w:rPr>
      <w:color w:val="414142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B77CC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7CC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77C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7CC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2Rakstz">
    <w:name w:val="Pamatteksts 2 Rakstz."/>
    <w:link w:val="Pamatteksts2"/>
    <w:uiPriority w:val="99"/>
    <w:rsid w:val="00DE3B8D"/>
    <w:rPr>
      <w:rFonts w:eastAsia="Times New Roman"/>
    </w:rPr>
  </w:style>
  <w:style w:type="paragraph" w:styleId="Pamatteksts2">
    <w:name w:val="Body Text 2"/>
    <w:basedOn w:val="Parasts"/>
    <w:link w:val="Pamatteksts2Rakstz"/>
    <w:uiPriority w:val="99"/>
    <w:unhideWhenUsed/>
    <w:rsid w:val="00DE3B8D"/>
    <w:pPr>
      <w:spacing w:after="120" w:line="48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amatteksts2Rakstz1">
    <w:name w:val="Pamatteksts 2 Rakstz.1"/>
    <w:basedOn w:val="Noklusjumarindkopasfonts"/>
    <w:uiPriority w:val="99"/>
    <w:semiHidden/>
    <w:rsid w:val="00DE3B8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ksts">
    <w:name w:val="Signature"/>
    <w:basedOn w:val="Parasts"/>
    <w:next w:val="Atpakaadreseuzaploksnes"/>
    <w:link w:val="ParakstsRakstz"/>
    <w:rsid w:val="00DE3B8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val="en-AU"/>
    </w:rPr>
  </w:style>
  <w:style w:type="character" w:customStyle="1" w:styleId="ParakstsRakstz">
    <w:name w:val="Paraksts Rakstz."/>
    <w:basedOn w:val="Noklusjumarindkopasfonts"/>
    <w:link w:val="Paraksts"/>
    <w:rsid w:val="00DE3B8D"/>
    <w:rPr>
      <w:rFonts w:ascii="Times New Roman" w:eastAsia="Times New Roman" w:hAnsi="Times New Roman" w:cs="Times New Roman"/>
      <w:sz w:val="26"/>
      <w:szCs w:val="24"/>
      <w:lang w:val="en-AU" w:eastAsia="lv-LV"/>
    </w:rPr>
  </w:style>
  <w:style w:type="paragraph" w:styleId="Atpakaadreseuzaploksnes">
    <w:name w:val="envelope return"/>
    <w:basedOn w:val="Parasts"/>
    <w:uiPriority w:val="99"/>
    <w:semiHidden/>
    <w:unhideWhenUsed/>
    <w:rsid w:val="00DE3B8D"/>
    <w:rPr>
      <w:rFonts w:asciiTheme="majorHAnsi" w:eastAsiaTheme="majorEastAsia" w:hAnsiTheme="majorHAnsi" w:cstheme="majorBidi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335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3356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0C29B2"/>
    <w:pPr>
      <w:spacing w:line="360" w:lineRule="auto"/>
      <w:ind w:firstLine="300"/>
    </w:pPr>
    <w:rPr>
      <w:color w:val="414142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B77CC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7CC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77C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7CC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2Rakstz">
    <w:name w:val="Pamatteksts 2 Rakstz."/>
    <w:link w:val="Pamatteksts2"/>
    <w:uiPriority w:val="99"/>
    <w:rsid w:val="00DE3B8D"/>
    <w:rPr>
      <w:rFonts w:eastAsia="Times New Roman"/>
    </w:rPr>
  </w:style>
  <w:style w:type="paragraph" w:styleId="Pamatteksts2">
    <w:name w:val="Body Text 2"/>
    <w:basedOn w:val="Parasts"/>
    <w:link w:val="Pamatteksts2Rakstz"/>
    <w:uiPriority w:val="99"/>
    <w:unhideWhenUsed/>
    <w:rsid w:val="00DE3B8D"/>
    <w:pPr>
      <w:spacing w:after="120" w:line="48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amatteksts2Rakstz1">
    <w:name w:val="Pamatteksts 2 Rakstz.1"/>
    <w:basedOn w:val="Noklusjumarindkopasfonts"/>
    <w:uiPriority w:val="99"/>
    <w:semiHidden/>
    <w:rsid w:val="00DE3B8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ksts">
    <w:name w:val="Signature"/>
    <w:basedOn w:val="Parasts"/>
    <w:next w:val="Atpakaadreseuzaploksnes"/>
    <w:link w:val="ParakstsRakstz"/>
    <w:rsid w:val="00DE3B8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val="en-AU"/>
    </w:rPr>
  </w:style>
  <w:style w:type="character" w:customStyle="1" w:styleId="ParakstsRakstz">
    <w:name w:val="Paraksts Rakstz."/>
    <w:basedOn w:val="Noklusjumarindkopasfonts"/>
    <w:link w:val="Paraksts"/>
    <w:rsid w:val="00DE3B8D"/>
    <w:rPr>
      <w:rFonts w:ascii="Times New Roman" w:eastAsia="Times New Roman" w:hAnsi="Times New Roman" w:cs="Times New Roman"/>
      <w:sz w:val="26"/>
      <w:szCs w:val="24"/>
      <w:lang w:val="en-AU" w:eastAsia="lv-LV"/>
    </w:rPr>
  </w:style>
  <w:style w:type="paragraph" w:styleId="Atpakaadreseuzaploksnes">
    <w:name w:val="envelope return"/>
    <w:basedOn w:val="Parasts"/>
    <w:uiPriority w:val="99"/>
    <w:semiHidden/>
    <w:unhideWhenUsed/>
    <w:rsid w:val="00DE3B8D"/>
    <w:rPr>
      <w:rFonts w:asciiTheme="majorHAnsi" w:eastAsiaTheme="majorEastAsia" w:hAnsiTheme="majorHAnsi" w:cstheme="majorBidi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335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335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„Par Eiropas Savienības Tiesas spriedumu lietā C 151/14 Eiropas Komisija pret Latvijas Republiku”</vt:lpstr>
    </vt:vector>
  </TitlesOfParts>
  <Company>Tieslietu ministrija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Eiropas Savienības Tiesas spriedumu lietā C 151/14 Eiropas Komisija pret Latvijas Republiku”</dc:title>
  <dc:subject>Informatīvais ziņojums</dc:subject>
  <dc:creator>Kristaps Freimanis</dc:creator>
  <dc:description>67036920, kristaps.freimanis@tm.gov.lv</dc:description>
  <cp:lastModifiedBy>Kristine Kuprijanova</cp:lastModifiedBy>
  <cp:revision>3</cp:revision>
  <dcterms:created xsi:type="dcterms:W3CDTF">2015-10-02T05:54:00Z</dcterms:created>
  <dcterms:modified xsi:type="dcterms:W3CDTF">2015-10-02T07:26:00Z</dcterms:modified>
</cp:coreProperties>
</file>