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53" w:rsidRPr="00631569" w:rsidRDefault="006C7C1C" w:rsidP="00631569">
      <w:pPr>
        <w:pStyle w:val="Footer"/>
        <w:spacing w:after="120" w:line="240" w:lineRule="auto"/>
        <w:jc w:val="center"/>
        <w:rPr>
          <w:rFonts w:ascii="Times New Roman" w:hAnsi="Times New Roman"/>
          <w:b/>
          <w:sz w:val="24"/>
          <w:szCs w:val="24"/>
        </w:rPr>
      </w:pPr>
      <w:bookmarkStart w:id="0" w:name="OLE_LINK4"/>
      <w:bookmarkStart w:id="1" w:name="OLE_LINK5"/>
      <w:r>
        <w:rPr>
          <w:rFonts w:ascii="Times New Roman" w:hAnsi="Times New Roman"/>
          <w:b/>
          <w:sz w:val="24"/>
          <w:szCs w:val="24"/>
        </w:rPr>
        <w:t>M</w:t>
      </w:r>
      <w:r w:rsidR="00A94453" w:rsidRPr="00631569">
        <w:rPr>
          <w:rFonts w:ascii="Times New Roman" w:hAnsi="Times New Roman"/>
          <w:b/>
          <w:sz w:val="24"/>
          <w:szCs w:val="24"/>
        </w:rPr>
        <w:t>inistru kabineta noteikumu projekta</w:t>
      </w:r>
      <w:r w:rsidR="00A94453" w:rsidRPr="00631569">
        <w:rPr>
          <w:rFonts w:ascii="Times New Roman" w:hAnsi="Times New Roman"/>
          <w:sz w:val="24"/>
          <w:szCs w:val="24"/>
        </w:rPr>
        <w:t xml:space="preserve"> </w:t>
      </w:r>
      <w:r w:rsidR="00A94453" w:rsidRPr="00631569">
        <w:rPr>
          <w:rFonts w:ascii="Times New Roman" w:hAnsi="Times New Roman"/>
          <w:b/>
          <w:sz w:val="24"/>
          <w:szCs w:val="24"/>
        </w:rPr>
        <w:t>„Grozījumi</w:t>
      </w:r>
      <w:r w:rsidR="00A94453" w:rsidRPr="00631569">
        <w:rPr>
          <w:rFonts w:ascii="Times New Roman" w:hAnsi="Times New Roman"/>
          <w:sz w:val="24"/>
          <w:szCs w:val="24"/>
        </w:rPr>
        <w:t xml:space="preserve"> </w:t>
      </w:r>
      <w:r w:rsidR="00A94453" w:rsidRPr="00631569">
        <w:rPr>
          <w:rFonts w:ascii="Times New Roman" w:hAnsi="Times New Roman"/>
          <w:b/>
          <w:sz w:val="24"/>
          <w:szCs w:val="24"/>
        </w:rPr>
        <w:t>Ministru kabineta</w:t>
      </w:r>
      <w:r w:rsidR="00A94453" w:rsidRPr="00631569">
        <w:rPr>
          <w:rFonts w:ascii="Times New Roman" w:hAnsi="Times New Roman"/>
          <w:sz w:val="24"/>
          <w:szCs w:val="24"/>
        </w:rPr>
        <w:t xml:space="preserve"> </w:t>
      </w:r>
      <w:r w:rsidR="00A94453" w:rsidRPr="00631569">
        <w:rPr>
          <w:rFonts w:ascii="Times New Roman" w:hAnsi="Times New Roman"/>
          <w:b/>
          <w:sz w:val="24"/>
          <w:szCs w:val="24"/>
        </w:rPr>
        <w:t>2010.gada 8.jūnija noteikumos Nr.515 "</w:t>
      </w:r>
      <w:r w:rsidR="00A94453" w:rsidRPr="00631569">
        <w:rPr>
          <w:rFonts w:ascii="Times New Roman" w:eastAsia="Times New Roman" w:hAnsi="Times New Roman"/>
          <w:b/>
          <w:bCs/>
          <w:sz w:val="24"/>
          <w:szCs w:val="24"/>
          <w:lang w:eastAsia="lv-LV"/>
        </w:rPr>
        <w:t xml:space="preserve"> Noteikumi par valsts un pašvaldību mantas iznomāšanas kārtību, nomas maksas noteikšanas metodiku un nomas līguma tipveida nosacījumiem</w:t>
      </w:r>
      <w:r w:rsidR="00A94453" w:rsidRPr="00631569">
        <w:rPr>
          <w:rFonts w:ascii="Times New Roman" w:hAnsi="Times New Roman"/>
          <w:b/>
          <w:sz w:val="24"/>
          <w:szCs w:val="24"/>
        </w:rPr>
        <w:t>””</w:t>
      </w:r>
      <w:r w:rsidR="00A94453" w:rsidRPr="00631569">
        <w:rPr>
          <w:rFonts w:ascii="Times New Roman" w:hAnsi="Times New Roman"/>
          <w:sz w:val="24"/>
          <w:szCs w:val="24"/>
        </w:rPr>
        <w:t xml:space="preserve"> </w:t>
      </w:r>
      <w:r w:rsidR="00A94453" w:rsidRPr="00631569">
        <w:rPr>
          <w:rFonts w:ascii="Times New Roman" w:hAnsi="Times New Roman"/>
          <w:b/>
          <w:sz w:val="24"/>
          <w:szCs w:val="24"/>
        </w:rPr>
        <w:t>sākotnējās ietekmes novērtējuma ziņojums (anotācija)</w:t>
      </w:r>
      <w:bookmarkEnd w:id="0"/>
      <w:bookmarkEnd w:id="1"/>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5"/>
        <w:gridCol w:w="2081"/>
        <w:gridCol w:w="6985"/>
      </w:tblGrid>
      <w:tr w:rsidR="00A94453" w:rsidRPr="00631569" w:rsidTr="005F6105">
        <w:trPr>
          <w:trHeight w:val="143"/>
          <w:tblCellSpacing w:w="15" w:type="dxa"/>
        </w:trPr>
        <w:tc>
          <w:tcPr>
            <w:tcW w:w="4968" w:type="pct"/>
            <w:gridSpan w:val="3"/>
            <w:tcBorders>
              <w:top w:val="outset" w:sz="6" w:space="0" w:color="auto"/>
              <w:left w:val="nil"/>
              <w:bottom w:val="outset" w:sz="6" w:space="0" w:color="auto"/>
              <w:right w:val="nil"/>
            </w:tcBorders>
            <w:vAlign w:val="center"/>
          </w:tcPr>
          <w:p w:rsidR="00A94453" w:rsidRPr="00631569" w:rsidRDefault="00A94453" w:rsidP="00631569">
            <w:pPr>
              <w:spacing w:after="120" w:line="240" w:lineRule="auto"/>
              <w:jc w:val="center"/>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I Tiesību akta projekta izstrādes nepieciešamība</w:t>
            </w:r>
          </w:p>
        </w:tc>
      </w:tr>
      <w:tr w:rsidR="00F64A14" w:rsidRPr="00631569" w:rsidTr="00D97666">
        <w:trPr>
          <w:trHeight w:val="3261"/>
          <w:tblCellSpacing w:w="15" w:type="dxa"/>
        </w:trPr>
        <w:tc>
          <w:tcPr>
            <w:tcW w:w="155" w:type="pct"/>
            <w:tcBorders>
              <w:top w:val="outset" w:sz="6" w:space="0" w:color="auto"/>
              <w:left w:val="outset" w:sz="6" w:space="0" w:color="auto"/>
              <w:bottom w:val="outset" w:sz="6" w:space="0" w:color="auto"/>
              <w:right w:val="outset" w:sz="6" w:space="0" w:color="auto"/>
            </w:tcBorders>
          </w:tcPr>
          <w:p w:rsidR="00F64A14" w:rsidRPr="00631569" w:rsidRDefault="00F64A14"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t>1.</w:t>
            </w:r>
          </w:p>
        </w:tc>
        <w:tc>
          <w:tcPr>
            <w:tcW w:w="1098" w:type="pct"/>
            <w:tcBorders>
              <w:top w:val="outset" w:sz="6" w:space="0" w:color="auto"/>
              <w:left w:val="outset" w:sz="6" w:space="0" w:color="auto"/>
              <w:bottom w:val="outset" w:sz="6" w:space="0" w:color="auto"/>
              <w:right w:val="outset" w:sz="6" w:space="0" w:color="auto"/>
            </w:tcBorders>
          </w:tcPr>
          <w:p w:rsidR="00F64A14" w:rsidRPr="00631569" w:rsidRDefault="00F64A14" w:rsidP="00631569">
            <w:pPr>
              <w:spacing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3683" w:type="pct"/>
            <w:tcBorders>
              <w:top w:val="outset" w:sz="6" w:space="0" w:color="auto"/>
              <w:left w:val="outset" w:sz="6" w:space="0" w:color="auto"/>
              <w:bottom w:val="outset" w:sz="6" w:space="0" w:color="auto"/>
              <w:right w:val="outset" w:sz="6" w:space="0" w:color="auto"/>
            </w:tcBorders>
          </w:tcPr>
          <w:p w:rsidR="00EF0B01" w:rsidRPr="00EF0B01" w:rsidRDefault="00F64A14" w:rsidP="00D97666">
            <w:pPr>
              <w:spacing w:after="0" w:line="240" w:lineRule="auto"/>
              <w:jc w:val="both"/>
              <w:rPr>
                <w:rFonts w:ascii="Times New Roman" w:hAnsi="Times New Roman"/>
                <w:bCs/>
                <w:sz w:val="24"/>
                <w:szCs w:val="24"/>
                <w:shd w:val="clear" w:color="auto" w:fill="FFFFFF"/>
              </w:rPr>
            </w:pPr>
            <w:r w:rsidRPr="009B4677">
              <w:rPr>
                <w:rFonts w:ascii="Times New Roman" w:hAnsi="Times New Roman"/>
                <w:bCs/>
                <w:sz w:val="24"/>
                <w:szCs w:val="24"/>
              </w:rPr>
              <w:t>Reģionālās politikas pamatnostādnēs 2013.-2019.gadam, kas apstiprinātas 2013. gada 29.oktobrī ar Ministru kabineta rīkojumu Nr.496, ietverts rīcības virziens “2.1.</w:t>
            </w:r>
            <w:proofErr w:type="gramStart"/>
            <w:r w:rsidRPr="00A154A2">
              <w:rPr>
                <w:rFonts w:ascii="Times New Roman" w:hAnsi="Times New Roman"/>
                <w:bCs/>
                <w:color w:val="414142"/>
                <w:sz w:val="24"/>
                <w:szCs w:val="24"/>
              </w:rPr>
              <w:t xml:space="preserve"> </w:t>
            </w:r>
            <w:r w:rsidRPr="00A154A2">
              <w:rPr>
                <w:rFonts w:ascii="Times New Roman" w:hAnsi="Times New Roman"/>
                <w:bCs/>
                <w:sz w:val="24"/>
                <w:szCs w:val="24"/>
                <w:shd w:val="clear" w:color="auto" w:fill="FFFFFF"/>
              </w:rPr>
              <w:t xml:space="preserve"> </w:t>
            </w:r>
            <w:proofErr w:type="gramEnd"/>
            <w:r w:rsidRPr="00A154A2">
              <w:rPr>
                <w:rFonts w:ascii="Times New Roman" w:hAnsi="Times New Roman"/>
                <w:bCs/>
                <w:sz w:val="24"/>
                <w:szCs w:val="24"/>
                <w:shd w:val="clear" w:color="auto" w:fill="FFFFFF"/>
              </w:rPr>
              <w:t>Paaugstināt pašvaldību un plānošanas reģionu lomu uzņēmējdarbības veicināšanā un uzlabot uzņēmējdarbības vidi pašvaldībās”. Rīcības virziena veicamais uzdevums ir pilnveidot normatīvo regulējumu, lai veicinātu uzņēmējdarbības aktivitātes palielināšanu. Savukārt sasniedzamais rezultāts paredz izstrādāt un iesniegt Ministru kabinetā grozījumus Ministru kabineta 2010. gada 8.jūnija noteikumos Nr.515 “</w:t>
            </w:r>
            <w:r w:rsidRPr="00A154A2">
              <w:rPr>
                <w:rFonts w:ascii="Times New Roman" w:hAnsi="Times New Roman"/>
                <w:sz w:val="24"/>
                <w:szCs w:val="24"/>
                <w:shd w:val="clear" w:color="auto" w:fill="FFFFFF"/>
              </w:rPr>
              <w:t>Noteikumi par valsts un pašvaldību mantas iznomāšanas kā</w:t>
            </w:r>
            <w:r w:rsidR="00EF0B01">
              <w:rPr>
                <w:rFonts w:ascii="Times New Roman" w:hAnsi="Times New Roman"/>
                <w:sz w:val="24"/>
                <w:szCs w:val="24"/>
                <w:shd w:val="clear" w:color="auto" w:fill="FFFFFF"/>
              </w:rPr>
              <w:t xml:space="preserve">rtību, nomas maksas noteikšanas </w:t>
            </w:r>
            <w:r w:rsidRPr="00A154A2">
              <w:rPr>
                <w:rFonts w:ascii="Times New Roman" w:hAnsi="Times New Roman"/>
                <w:sz w:val="24"/>
                <w:szCs w:val="24"/>
                <w:shd w:val="clear" w:color="auto" w:fill="FFFFFF"/>
              </w:rPr>
              <w:t>metodiku un nomas līguma tipveida nosacījumiem</w:t>
            </w:r>
            <w:r w:rsidRPr="00A154A2">
              <w:rPr>
                <w:rFonts w:ascii="Times New Roman" w:hAnsi="Times New Roman"/>
                <w:bCs/>
                <w:sz w:val="24"/>
                <w:szCs w:val="24"/>
                <w:shd w:val="clear" w:color="auto" w:fill="FFFFFF"/>
              </w:rPr>
              <w:t>”.</w:t>
            </w:r>
          </w:p>
        </w:tc>
      </w:tr>
      <w:tr w:rsidR="00A94453" w:rsidRPr="00631569" w:rsidTr="00F64A14">
        <w:trPr>
          <w:trHeight w:val="143"/>
          <w:tblCellSpacing w:w="15" w:type="dxa"/>
        </w:trPr>
        <w:tc>
          <w:tcPr>
            <w:tcW w:w="155"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t>2.</w:t>
            </w:r>
          </w:p>
        </w:tc>
        <w:tc>
          <w:tcPr>
            <w:tcW w:w="1098"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hAnsi="Times New Roman"/>
                <w:sz w:val="24"/>
                <w:szCs w:val="24"/>
                <w:lang w:eastAsia="lv-LV"/>
              </w:rPr>
              <w:t>Pašreizējā situācija un problēmas, kuru risināšanai tiesību akta projekts izstrādāts, tiesiskā regulējuma mērķis un būtība</w:t>
            </w:r>
          </w:p>
          <w:p w:rsidR="00A94453" w:rsidRPr="00631569" w:rsidRDefault="00A94453" w:rsidP="00631569">
            <w:pPr>
              <w:spacing w:after="120" w:line="240" w:lineRule="auto"/>
              <w:rPr>
                <w:rFonts w:ascii="Times New Roman" w:eastAsia="Times New Roman" w:hAnsi="Times New Roman"/>
                <w:sz w:val="24"/>
                <w:szCs w:val="24"/>
                <w:lang w:eastAsia="lv-LV"/>
              </w:rPr>
            </w:pPr>
          </w:p>
          <w:p w:rsidR="00A94453" w:rsidRPr="00631569" w:rsidRDefault="00A94453" w:rsidP="00631569">
            <w:pPr>
              <w:spacing w:after="120" w:line="240" w:lineRule="auto"/>
              <w:rPr>
                <w:rFonts w:ascii="Times New Roman" w:eastAsia="Times New Roman" w:hAnsi="Times New Roman"/>
                <w:sz w:val="24"/>
                <w:szCs w:val="24"/>
                <w:lang w:eastAsia="lv-LV"/>
              </w:rPr>
            </w:pPr>
          </w:p>
          <w:p w:rsidR="00A94453" w:rsidRPr="00631569" w:rsidRDefault="00A94453" w:rsidP="00631569">
            <w:pPr>
              <w:spacing w:after="120" w:line="240" w:lineRule="auto"/>
              <w:rPr>
                <w:rFonts w:ascii="Times New Roman" w:eastAsia="Times New Roman" w:hAnsi="Times New Roman"/>
                <w:sz w:val="24"/>
                <w:szCs w:val="24"/>
                <w:lang w:eastAsia="lv-LV"/>
              </w:rPr>
            </w:pPr>
          </w:p>
          <w:p w:rsidR="00A94453" w:rsidRPr="00631569" w:rsidRDefault="00A94453" w:rsidP="00631569">
            <w:pPr>
              <w:spacing w:after="120" w:line="240" w:lineRule="auto"/>
              <w:rPr>
                <w:rFonts w:ascii="Times New Roman" w:eastAsia="Times New Roman" w:hAnsi="Times New Roman"/>
                <w:sz w:val="24"/>
                <w:szCs w:val="24"/>
                <w:lang w:eastAsia="lv-LV"/>
              </w:rPr>
            </w:pPr>
          </w:p>
          <w:p w:rsidR="00A94453" w:rsidRPr="00631569" w:rsidRDefault="00A94453" w:rsidP="00631569">
            <w:pPr>
              <w:spacing w:after="120" w:line="240" w:lineRule="auto"/>
              <w:rPr>
                <w:rFonts w:ascii="Times New Roman" w:eastAsia="Times New Roman" w:hAnsi="Times New Roman"/>
                <w:sz w:val="24"/>
                <w:szCs w:val="24"/>
                <w:lang w:eastAsia="lv-LV"/>
              </w:rPr>
            </w:pPr>
          </w:p>
          <w:p w:rsidR="00A94453" w:rsidRPr="00631569" w:rsidRDefault="00A94453" w:rsidP="00631569">
            <w:pPr>
              <w:spacing w:after="120" w:line="240" w:lineRule="auto"/>
              <w:jc w:val="center"/>
              <w:rPr>
                <w:rFonts w:ascii="Times New Roman" w:eastAsia="Times New Roman" w:hAnsi="Times New Roman"/>
                <w:sz w:val="24"/>
                <w:szCs w:val="24"/>
                <w:lang w:eastAsia="lv-LV"/>
              </w:rPr>
            </w:pPr>
          </w:p>
          <w:p w:rsidR="00A94453" w:rsidRPr="00631569" w:rsidRDefault="00A94453" w:rsidP="00631569">
            <w:pPr>
              <w:spacing w:after="120" w:line="240" w:lineRule="auto"/>
              <w:rPr>
                <w:rFonts w:ascii="Times New Roman" w:eastAsia="Times New Roman" w:hAnsi="Times New Roman"/>
                <w:sz w:val="24"/>
                <w:szCs w:val="24"/>
                <w:lang w:eastAsia="lv-LV"/>
              </w:rPr>
            </w:pPr>
          </w:p>
          <w:p w:rsidR="00A94453" w:rsidRPr="00631569" w:rsidRDefault="00A94453" w:rsidP="00631569">
            <w:pPr>
              <w:spacing w:after="120" w:line="240" w:lineRule="auto"/>
              <w:rPr>
                <w:rFonts w:ascii="Times New Roman" w:eastAsia="Times New Roman" w:hAnsi="Times New Roman"/>
                <w:sz w:val="24"/>
                <w:szCs w:val="24"/>
                <w:lang w:eastAsia="lv-LV"/>
              </w:rPr>
            </w:pPr>
          </w:p>
          <w:p w:rsidR="00A94453" w:rsidRPr="00631569" w:rsidRDefault="00A94453" w:rsidP="00631569">
            <w:pPr>
              <w:spacing w:after="120" w:line="240" w:lineRule="auto"/>
              <w:rPr>
                <w:rFonts w:ascii="Times New Roman" w:eastAsia="Times New Roman" w:hAnsi="Times New Roman"/>
                <w:sz w:val="24"/>
                <w:szCs w:val="24"/>
                <w:lang w:eastAsia="lv-LV"/>
              </w:rPr>
            </w:pPr>
          </w:p>
          <w:p w:rsidR="00A94453" w:rsidRPr="00631569" w:rsidRDefault="00A94453" w:rsidP="00631569">
            <w:pPr>
              <w:spacing w:after="120" w:line="240" w:lineRule="auto"/>
              <w:rPr>
                <w:rFonts w:ascii="Times New Roman" w:eastAsia="Times New Roman" w:hAnsi="Times New Roman"/>
                <w:sz w:val="24"/>
                <w:szCs w:val="24"/>
                <w:lang w:eastAsia="lv-LV"/>
              </w:rPr>
            </w:pPr>
          </w:p>
          <w:p w:rsidR="00A94453" w:rsidRPr="00631569" w:rsidRDefault="00A94453" w:rsidP="00631569">
            <w:pPr>
              <w:spacing w:after="120" w:line="240" w:lineRule="auto"/>
              <w:rPr>
                <w:rFonts w:ascii="Times New Roman" w:eastAsia="Times New Roman" w:hAnsi="Times New Roman"/>
                <w:sz w:val="24"/>
                <w:szCs w:val="24"/>
                <w:lang w:eastAsia="lv-LV"/>
              </w:rPr>
            </w:pPr>
          </w:p>
          <w:p w:rsidR="00A94453" w:rsidRPr="00631569" w:rsidRDefault="00A94453" w:rsidP="00631569">
            <w:pPr>
              <w:spacing w:after="120" w:line="240" w:lineRule="auto"/>
              <w:rPr>
                <w:rFonts w:ascii="Times New Roman" w:eastAsia="Times New Roman" w:hAnsi="Times New Roman"/>
                <w:sz w:val="24"/>
                <w:szCs w:val="24"/>
                <w:lang w:eastAsia="lv-LV"/>
              </w:rPr>
            </w:pPr>
          </w:p>
        </w:tc>
        <w:tc>
          <w:tcPr>
            <w:tcW w:w="3683" w:type="pct"/>
            <w:tcBorders>
              <w:top w:val="outset" w:sz="6" w:space="0" w:color="auto"/>
              <w:left w:val="outset" w:sz="6" w:space="0" w:color="auto"/>
              <w:bottom w:val="outset" w:sz="6" w:space="0" w:color="auto"/>
              <w:right w:val="outset" w:sz="6" w:space="0" w:color="auto"/>
            </w:tcBorders>
          </w:tcPr>
          <w:p w:rsidR="005956CF" w:rsidRPr="00631569" w:rsidRDefault="005956CF" w:rsidP="005956CF">
            <w:pPr>
              <w:pStyle w:val="naislab"/>
              <w:spacing w:before="0" w:after="120"/>
              <w:jc w:val="both"/>
              <w:rPr>
                <w:bCs/>
                <w:shd w:val="clear" w:color="auto" w:fill="FFFFFF"/>
              </w:rPr>
            </w:pPr>
            <w:r>
              <w:rPr>
                <w:bCs/>
                <w:shd w:val="clear" w:color="auto" w:fill="FFFFFF"/>
              </w:rPr>
              <w:t xml:space="preserve">Uzņēmējdarbības sekmēšanas pasākumi pašvaldībās ir minēti dažādos attīstības plānošanas dokumentos, tostarp, </w:t>
            </w:r>
            <w:r w:rsidRPr="00631569">
              <w:rPr>
                <w:bCs/>
                <w:shd w:val="clear" w:color="auto" w:fill="FFFFFF"/>
              </w:rPr>
              <w:t>Deklarācijā par Laimdotas Straujumas vadītā Ministru kabineta iecerēto darbību ir noteikti šādi uzdevumi uzņēmējdarbības veicināšanai pašvaldībās:</w:t>
            </w:r>
          </w:p>
          <w:p w:rsidR="005956CF" w:rsidRPr="00631569" w:rsidRDefault="005956CF" w:rsidP="005956CF">
            <w:pPr>
              <w:pStyle w:val="naislab"/>
              <w:numPr>
                <w:ilvl w:val="0"/>
                <w:numId w:val="2"/>
              </w:numPr>
              <w:spacing w:before="0" w:after="120"/>
              <w:ind w:left="0"/>
              <w:jc w:val="both"/>
            </w:pPr>
            <w:r w:rsidRPr="00631569">
              <w:t>„</w:t>
            </w:r>
            <w:r w:rsidRPr="00631569">
              <w:rPr>
                <w:shd w:val="clear" w:color="auto" w:fill="FFFFFF"/>
              </w:rPr>
              <w:t>53. Vērtēsim iespēju pi</w:t>
            </w:r>
            <w:r w:rsidRPr="00A47A6F">
              <w:rPr>
                <w:shd w:val="clear" w:color="auto" w:fill="FFFFFF"/>
              </w:rPr>
              <w:t>edāvāt nodokļu un citus stimulus pašvaldībām veidot pievilcīgu uzņēmējdarbības vidi savā teritorijā un piesaistīt investīcijas.</w:t>
            </w:r>
          </w:p>
          <w:p w:rsidR="005956CF" w:rsidRDefault="005956CF" w:rsidP="005956CF">
            <w:pPr>
              <w:pStyle w:val="naislab"/>
              <w:numPr>
                <w:ilvl w:val="0"/>
                <w:numId w:val="2"/>
              </w:numPr>
              <w:spacing w:before="0" w:after="120"/>
              <w:ind w:left="0"/>
              <w:jc w:val="both"/>
            </w:pPr>
            <w:r w:rsidRPr="00631569">
              <w:rPr>
                <w:shd w:val="clear" w:color="auto" w:fill="FFFFFF"/>
              </w:rPr>
              <w:t>68. Izstrādāsim priekšlikumus uzņēmējdarbības attīstībai reģionos, sekmējot ekonomisko aktivitāti, elastīgu nodarbinātības formu un pašnodarbinātības izplatību.</w:t>
            </w:r>
            <w:r w:rsidRPr="00631569">
              <w:rPr>
                <w:b/>
              </w:rPr>
              <w:t xml:space="preserve"> </w:t>
            </w:r>
            <w:r w:rsidRPr="00631569">
              <w:t>”</w:t>
            </w:r>
          </w:p>
          <w:p w:rsidR="005956CF" w:rsidRPr="00A03F2F" w:rsidRDefault="005956CF" w:rsidP="005956CF">
            <w:pPr>
              <w:pStyle w:val="NormalWeb"/>
              <w:spacing w:before="0" w:beforeAutospacing="0" w:after="120" w:afterAutospacing="0"/>
              <w:jc w:val="both"/>
              <w:rPr>
                <w:bCs/>
                <w:shd w:val="clear" w:color="auto" w:fill="FFFFFF"/>
              </w:rPr>
            </w:pPr>
            <w:r w:rsidRPr="00631569">
              <w:t xml:space="preserve">Latvijas Nacionālā attīstības plānā 2014. – 2020. gadam ir noteikti vairāki rīcības virzieni, kur viens no tiem ir „Izcila uzņēmējdarbības vide”, kas nosaka, ka </w:t>
            </w:r>
            <w:r w:rsidRPr="00631569">
              <w:rPr>
                <w:bCs/>
                <w:shd w:val="clear" w:color="auto" w:fill="FFFFFF"/>
              </w:rPr>
              <w:t>izcila uzņēmējdarbības vide nozīmē sakārtotu tiesisko bāzi, prognozējamu valsts atbalsta un uzraudzības sistēmas darbību, uz uzņēmēju vajadzībām orientētus valsts pārvaldes pakalpojumus, kā arī skaidrus un konkurētspējīgus pamatnosacījumus uzņēmējdarbības uzsākšanai un attīstībai, lai katrs, kurš vēlas, varētu veidot uzņēmējdarbību, strādāt un dzīvot Latvijā.</w:t>
            </w:r>
          </w:p>
          <w:p w:rsidR="005956CF" w:rsidRPr="00631569" w:rsidRDefault="005956CF" w:rsidP="005956CF">
            <w:pPr>
              <w:pStyle w:val="NormalWeb"/>
              <w:spacing w:before="0" w:beforeAutospacing="0" w:after="120" w:afterAutospacing="0"/>
              <w:jc w:val="both"/>
            </w:pPr>
            <w:r w:rsidRPr="00631569">
              <w:rPr>
                <w:bCs/>
                <w:shd w:val="clear" w:color="auto" w:fill="FFFFFF"/>
              </w:rPr>
              <w:t xml:space="preserve">Reģionālās politikas pamatnostādnēs 2013.-2019. gadam (apstiprinātas ar Ministru kabineta 2013.gada 29.oktobra rīkojumu Nr.496) ir noteikti reģionālās politikas vidēja termiņa mērķi, kur viens no mērķiem ir stiprināt reģionu un pašvaldību rīcībspēju un lomu savas teritorijas attīstības veicināšanā. </w:t>
            </w:r>
            <w:r w:rsidRPr="00631569">
              <w:t xml:space="preserve">Lai sekmētu ekonomiskās aktivitātes paaugstināšanu un teritoriju resursu efektīvu izmantošanu, pamatnostādņu ietvaros paredzēts pasākumu kopums pašvaldību un plānošanas reģionu lomas uzņēmējdarbības veicināšanā paaugstināšanai un uzņēmējdarbības vides pašvaldībās uzlabošanai, t.sk. viens no pasākumiem paredz </w:t>
            </w:r>
            <w:r w:rsidRPr="00631569">
              <w:rPr>
                <w:lang w:bidi="lo-LA"/>
              </w:rPr>
              <w:t xml:space="preserve">pilnveidot normatīvos aktus, </w:t>
            </w:r>
            <w:r w:rsidRPr="00631569">
              <w:t xml:space="preserve">kas </w:t>
            </w:r>
            <w:r w:rsidRPr="00631569">
              <w:lastRenderedPageBreak/>
              <w:t>reglamentē pašvaldību tiesības rīkoties ar tai piederošo un piekrītošo mantu, kā arī dot pašvaldībām lielākas tiesības rīkoties ar publisko īpašumu vietējās sabiedrības kopējās interesēs.</w:t>
            </w:r>
          </w:p>
          <w:p w:rsidR="005956CF" w:rsidRPr="00631569" w:rsidRDefault="005956CF" w:rsidP="005956CF">
            <w:pPr>
              <w:pStyle w:val="Heading3"/>
              <w:shd w:val="clear" w:color="auto" w:fill="FFFFFF"/>
              <w:spacing w:before="0" w:after="120" w:line="240" w:lineRule="auto"/>
              <w:jc w:val="both"/>
              <w:rPr>
                <w:rFonts w:ascii="Times New Roman" w:hAnsi="Times New Roman"/>
                <w:b w:val="0"/>
                <w:sz w:val="24"/>
                <w:szCs w:val="24"/>
              </w:rPr>
            </w:pPr>
            <w:r w:rsidRPr="007F3E4E">
              <w:rPr>
                <w:rFonts w:ascii="Times New Roman" w:hAnsi="Times New Roman"/>
                <w:b w:val="0"/>
                <w:sz w:val="24"/>
                <w:szCs w:val="24"/>
              </w:rPr>
              <w:t>„Uzņēmējdarbības vides uzlabošanas pasākumu plānā 2014.-2015.gadam”</w:t>
            </w:r>
            <w:r>
              <w:rPr>
                <w:rFonts w:ascii="Times New Roman" w:hAnsi="Times New Roman"/>
                <w:b w:val="0"/>
                <w:sz w:val="24"/>
                <w:szCs w:val="24"/>
              </w:rPr>
              <w:t xml:space="preserve"> </w:t>
            </w:r>
            <w:r w:rsidRPr="007F3E4E">
              <w:rPr>
                <w:rFonts w:ascii="Times New Roman" w:hAnsi="Times New Roman"/>
                <w:b w:val="0"/>
                <w:sz w:val="24"/>
                <w:szCs w:val="24"/>
              </w:rPr>
              <w:t>(apstiprināts ar Ministru kabineta 2014.gada 28.novembra rīkojumu Nr.694)</w:t>
            </w:r>
            <w:r w:rsidRPr="007F3E4E">
              <w:rPr>
                <w:rFonts w:ascii="Times New Roman" w:hAnsi="Times New Roman"/>
                <w:sz w:val="24"/>
                <w:szCs w:val="24"/>
              </w:rPr>
              <w:t xml:space="preserve"> </w:t>
            </w:r>
            <w:r w:rsidRPr="00631569">
              <w:rPr>
                <w:rFonts w:ascii="Times New Roman" w:hAnsi="Times New Roman"/>
                <w:b w:val="0"/>
                <w:sz w:val="24"/>
                <w:szCs w:val="24"/>
              </w:rPr>
              <w:t>ir noteikts, ka uzņēmējdarbības vides kvalitāte ir viens no nozīmīgākajiem elementiem valsts konkurētspējas paaugstināšanai – jo labākus apstākļus valsts spēj radīt uzņēmējiem, jo lielākas investīcijas var sagaidīt tautsaimniecībā, kas savukārt nozīmē jaunu darba vietu rašanos un labklājību iedzīvotājiem</w:t>
            </w:r>
            <w:r w:rsidRPr="00631569">
              <w:rPr>
                <w:rFonts w:ascii="Times New Roman" w:hAnsi="Times New Roman"/>
                <w:b w:val="0"/>
                <w:sz w:val="24"/>
                <w:szCs w:val="24"/>
                <w:lang w:eastAsia="lv-LV"/>
              </w:rPr>
              <w:t xml:space="preserve">. </w:t>
            </w:r>
          </w:p>
          <w:p w:rsidR="005956CF" w:rsidRPr="00631569" w:rsidRDefault="005956CF" w:rsidP="005956CF">
            <w:pPr>
              <w:spacing w:after="120" w:line="240" w:lineRule="auto"/>
              <w:jc w:val="both"/>
              <w:rPr>
                <w:rFonts w:ascii="Times New Roman" w:hAnsi="Times New Roman"/>
                <w:sz w:val="24"/>
                <w:szCs w:val="24"/>
              </w:rPr>
            </w:pPr>
            <w:r w:rsidRPr="00631569">
              <w:rPr>
                <w:rFonts w:ascii="Times New Roman" w:hAnsi="Times New Roman"/>
                <w:sz w:val="24"/>
                <w:szCs w:val="24"/>
              </w:rPr>
              <w:t>Ekonomikas</w:t>
            </w:r>
            <w:r>
              <w:rPr>
                <w:rFonts w:ascii="Times New Roman" w:hAnsi="Times New Roman"/>
                <w:sz w:val="24"/>
                <w:szCs w:val="24"/>
              </w:rPr>
              <w:t xml:space="preserve"> ministrijas izstrādātajā 2014.</w:t>
            </w:r>
            <w:r w:rsidRPr="00631569">
              <w:rPr>
                <w:rFonts w:ascii="Times New Roman" w:hAnsi="Times New Roman"/>
                <w:sz w:val="24"/>
                <w:szCs w:val="24"/>
              </w:rPr>
              <w:t>gada informatīvajā ziņojumā par darba tirgus vidēja un ilgtermiņa prognozēm minēts, ka pašreizējais bezdarba līmenis galvenokārt ir saistīts ar ciklisko bezdarbu, t.i., ar būtisko ražošanas apjomu un sniegto pakalpojumu samazinājumu krīzes laikā. Tāpēc visi tie pasākumi, kas saistīti ar ekonomisko aktivitāšu un uzņēmējdarbības veicināšanu, stimulē pieprasījuma pieaugumu pēc darbaspēka un palielina nodarbinātību.</w:t>
            </w:r>
          </w:p>
          <w:p w:rsidR="005956CF" w:rsidRDefault="005956CF" w:rsidP="005956CF">
            <w:pPr>
              <w:spacing w:after="120" w:line="240" w:lineRule="auto"/>
              <w:jc w:val="both"/>
              <w:rPr>
                <w:rFonts w:ascii="Times New Roman" w:hAnsi="Times New Roman"/>
                <w:sz w:val="24"/>
                <w:szCs w:val="24"/>
              </w:rPr>
            </w:pPr>
            <w:r w:rsidRPr="00631569">
              <w:rPr>
                <w:rFonts w:ascii="Times New Roman" w:hAnsi="Times New Roman"/>
                <w:sz w:val="24"/>
                <w:szCs w:val="24"/>
              </w:rPr>
              <w:t>Ministru kabineta noteikumu projekt</w:t>
            </w:r>
            <w:r>
              <w:rPr>
                <w:rFonts w:ascii="Times New Roman" w:hAnsi="Times New Roman"/>
                <w:sz w:val="24"/>
                <w:szCs w:val="24"/>
              </w:rPr>
              <w:t>s</w:t>
            </w:r>
            <w:r w:rsidRPr="00631569">
              <w:rPr>
                <w:rFonts w:ascii="Times New Roman" w:hAnsi="Times New Roman"/>
                <w:sz w:val="24"/>
                <w:szCs w:val="24"/>
              </w:rPr>
              <w:t xml:space="preserve"> „Grozījumi Ministru kabineta 2010.gada 8.jūnija noteikumos Nr.515 „</w:t>
            </w:r>
            <w:r w:rsidRPr="00631569">
              <w:rPr>
                <w:rFonts w:ascii="Times New Roman" w:hAnsi="Times New Roman"/>
                <w:bCs/>
                <w:sz w:val="24"/>
                <w:szCs w:val="24"/>
              </w:rPr>
              <w:t>Noteikumi par valsts un pašvaldību mantas iznomāšanas kārtību, nomas maksas noteikšanas metodiku un nomas līguma tipveida nosacījumiem</w:t>
            </w:r>
            <w:r>
              <w:rPr>
                <w:rFonts w:ascii="Times New Roman" w:hAnsi="Times New Roman"/>
                <w:sz w:val="24"/>
                <w:szCs w:val="24"/>
              </w:rPr>
              <w:t>”” (turpmāk – noteikumu p</w:t>
            </w:r>
            <w:r w:rsidRPr="00631569">
              <w:rPr>
                <w:rFonts w:ascii="Times New Roman" w:hAnsi="Times New Roman"/>
                <w:sz w:val="24"/>
                <w:szCs w:val="24"/>
              </w:rPr>
              <w:t>rojekts)</w:t>
            </w:r>
            <w:r>
              <w:t xml:space="preserve"> </w:t>
            </w:r>
            <w:r w:rsidRPr="00631569">
              <w:rPr>
                <w:rFonts w:ascii="Times New Roman" w:hAnsi="Times New Roman"/>
                <w:sz w:val="24"/>
                <w:szCs w:val="24"/>
              </w:rPr>
              <w:t xml:space="preserve">sagatavots, pamatojoties uz </w:t>
            </w:r>
            <w:r>
              <w:rPr>
                <w:rFonts w:ascii="Times New Roman" w:hAnsi="Times New Roman"/>
                <w:bCs/>
                <w:sz w:val="24"/>
                <w:szCs w:val="24"/>
              </w:rPr>
              <w:t>2013.gada 18.</w:t>
            </w:r>
            <w:r w:rsidRPr="00631569">
              <w:rPr>
                <w:rFonts w:ascii="Times New Roman" w:hAnsi="Times New Roman"/>
                <w:bCs/>
                <w:sz w:val="24"/>
                <w:szCs w:val="24"/>
              </w:rPr>
              <w:t xml:space="preserve">decembra Regulu (ES) Nr. 1407/2013 par Līguma par Eiropas Savienības darbību 107. un 108.panta piemērošanu </w:t>
            </w:r>
            <w:r w:rsidRPr="00631569">
              <w:rPr>
                <w:rFonts w:ascii="Times New Roman" w:hAnsi="Times New Roman"/>
                <w:bCs/>
                <w:i/>
                <w:sz w:val="24"/>
                <w:szCs w:val="24"/>
              </w:rPr>
              <w:t>de minimis</w:t>
            </w:r>
            <w:r w:rsidRPr="00631569">
              <w:rPr>
                <w:rFonts w:ascii="Times New Roman" w:hAnsi="Times New Roman"/>
                <w:bCs/>
                <w:sz w:val="24"/>
                <w:szCs w:val="24"/>
              </w:rPr>
              <w:t xml:space="preserve"> atbalstam (Eiropas Savienī</w:t>
            </w:r>
            <w:r>
              <w:rPr>
                <w:rFonts w:ascii="Times New Roman" w:hAnsi="Times New Roman"/>
                <w:bCs/>
                <w:sz w:val="24"/>
                <w:szCs w:val="24"/>
              </w:rPr>
              <w:t>bas Oficiālais Vēstnesis, 2013.gada 24.</w:t>
            </w:r>
            <w:r w:rsidRPr="00631569">
              <w:rPr>
                <w:rFonts w:ascii="Times New Roman" w:hAnsi="Times New Roman"/>
                <w:bCs/>
                <w:sz w:val="24"/>
                <w:szCs w:val="24"/>
              </w:rPr>
              <w:t>decembris, N</w:t>
            </w:r>
            <w:r>
              <w:rPr>
                <w:rFonts w:ascii="Times New Roman" w:hAnsi="Times New Roman"/>
                <w:bCs/>
                <w:sz w:val="24"/>
                <w:szCs w:val="24"/>
              </w:rPr>
              <w:t>r. L 352/1) vai Komisijas 2014.gada 27.</w:t>
            </w:r>
            <w:r w:rsidRPr="00631569">
              <w:rPr>
                <w:rFonts w:ascii="Times New Roman" w:hAnsi="Times New Roman"/>
                <w:bCs/>
                <w:sz w:val="24"/>
                <w:szCs w:val="24"/>
              </w:rPr>
              <w:t xml:space="preserve">jūnija Regulu (EK) Nr. 717/2014 par Līguma par Eiropas Savienības darbību 107. un 108.panta piemērošanu </w:t>
            </w:r>
            <w:r w:rsidRPr="00631569">
              <w:rPr>
                <w:rFonts w:ascii="Times New Roman" w:hAnsi="Times New Roman"/>
                <w:bCs/>
                <w:i/>
                <w:sz w:val="24"/>
                <w:szCs w:val="24"/>
              </w:rPr>
              <w:t>de minimis</w:t>
            </w:r>
            <w:r w:rsidRPr="00631569">
              <w:rPr>
                <w:rFonts w:ascii="Times New Roman" w:hAnsi="Times New Roman"/>
                <w:bCs/>
                <w:sz w:val="24"/>
                <w:szCs w:val="24"/>
              </w:rPr>
              <w:t xml:space="preserve"> atbalstam zvejniecības un akvakultūras nozarē (Eiropas Savienī</w:t>
            </w:r>
            <w:r>
              <w:rPr>
                <w:rFonts w:ascii="Times New Roman" w:hAnsi="Times New Roman"/>
                <w:bCs/>
                <w:sz w:val="24"/>
                <w:szCs w:val="24"/>
              </w:rPr>
              <w:t>bas Oficiālais Vēstnesis, 2014.gada 28.</w:t>
            </w:r>
            <w:r w:rsidRPr="00631569">
              <w:rPr>
                <w:rFonts w:ascii="Times New Roman" w:hAnsi="Times New Roman"/>
                <w:bCs/>
                <w:sz w:val="24"/>
                <w:szCs w:val="24"/>
              </w:rPr>
              <w:t xml:space="preserve">jūnijs, Nr. L 190/45) attiecībā uz zivsaimniecības uzņēmumiem, kas darbojas saskaņā ar Eiropas Parlamenta un </w:t>
            </w:r>
            <w:r>
              <w:rPr>
                <w:rFonts w:ascii="Times New Roman" w:hAnsi="Times New Roman"/>
                <w:bCs/>
                <w:sz w:val="24"/>
                <w:szCs w:val="24"/>
              </w:rPr>
              <w:t>Padomes 2013.gada 11.</w:t>
            </w:r>
            <w:r w:rsidRPr="00631569">
              <w:rPr>
                <w:rFonts w:ascii="Times New Roman" w:hAnsi="Times New Roman"/>
                <w:bCs/>
                <w:sz w:val="24"/>
                <w:szCs w:val="24"/>
              </w:rPr>
              <w:t>decembra Regulu (ES) Nr. 1379/2013 (Eiropas Savienī</w:t>
            </w:r>
            <w:r>
              <w:rPr>
                <w:rFonts w:ascii="Times New Roman" w:hAnsi="Times New Roman"/>
                <w:bCs/>
                <w:sz w:val="24"/>
                <w:szCs w:val="24"/>
              </w:rPr>
              <w:t>bas Oficiālais Vēstnesis, 2013.gada 28.</w:t>
            </w:r>
            <w:r w:rsidRPr="00631569">
              <w:rPr>
                <w:rFonts w:ascii="Times New Roman" w:hAnsi="Times New Roman"/>
                <w:bCs/>
                <w:sz w:val="24"/>
                <w:szCs w:val="24"/>
              </w:rPr>
              <w:t>decembris, N</w:t>
            </w:r>
            <w:r>
              <w:rPr>
                <w:rFonts w:ascii="Times New Roman" w:hAnsi="Times New Roman"/>
                <w:bCs/>
                <w:sz w:val="24"/>
                <w:szCs w:val="24"/>
              </w:rPr>
              <w:t>r. L 354/1) vai Komisijas 2013.gada 18.</w:t>
            </w:r>
            <w:r w:rsidRPr="00631569">
              <w:rPr>
                <w:rFonts w:ascii="Times New Roman" w:hAnsi="Times New Roman"/>
                <w:bCs/>
                <w:sz w:val="24"/>
                <w:szCs w:val="24"/>
              </w:rPr>
              <w:t xml:space="preserve">decembra Regulu (ES) Nr. 1408/2013 par Līguma par Eiropas Savienības darbību 107. un 108.panta piemērošanu </w:t>
            </w:r>
            <w:r w:rsidRPr="00631569">
              <w:rPr>
                <w:rFonts w:ascii="Times New Roman" w:hAnsi="Times New Roman"/>
                <w:bCs/>
                <w:i/>
                <w:sz w:val="24"/>
                <w:szCs w:val="24"/>
              </w:rPr>
              <w:t>de minimis</w:t>
            </w:r>
            <w:r w:rsidRPr="00631569">
              <w:rPr>
                <w:rFonts w:ascii="Times New Roman" w:hAnsi="Times New Roman"/>
                <w:bCs/>
                <w:sz w:val="24"/>
                <w:szCs w:val="24"/>
              </w:rPr>
              <w:t xml:space="preserve"> atbalstam lauksaimniecības nozarē (Eiropas Savienī</w:t>
            </w:r>
            <w:r>
              <w:rPr>
                <w:rFonts w:ascii="Times New Roman" w:hAnsi="Times New Roman"/>
                <w:bCs/>
                <w:sz w:val="24"/>
                <w:szCs w:val="24"/>
              </w:rPr>
              <w:t>bas Oficiālais Vēstnesis, 2013.gada 24.</w:t>
            </w:r>
            <w:r w:rsidRPr="00631569">
              <w:rPr>
                <w:rFonts w:ascii="Times New Roman" w:hAnsi="Times New Roman"/>
                <w:bCs/>
                <w:sz w:val="24"/>
                <w:szCs w:val="24"/>
              </w:rPr>
              <w:t>decembris, Nr. L 352/9)</w:t>
            </w:r>
            <w:r>
              <w:rPr>
                <w:rFonts w:ascii="Times New Roman" w:hAnsi="Times New Roman"/>
                <w:sz w:val="24"/>
                <w:szCs w:val="24"/>
              </w:rPr>
              <w:t>.</w:t>
            </w:r>
          </w:p>
          <w:p w:rsidR="005956CF" w:rsidRDefault="005956CF" w:rsidP="005956CF">
            <w:pPr>
              <w:spacing w:after="120" w:line="240" w:lineRule="auto"/>
              <w:jc w:val="both"/>
              <w:rPr>
                <w:rFonts w:ascii="Times New Roman" w:hAnsi="Times New Roman"/>
                <w:sz w:val="24"/>
                <w:szCs w:val="24"/>
              </w:rPr>
            </w:pPr>
            <w:r>
              <w:rPr>
                <w:rFonts w:ascii="Times New Roman" w:hAnsi="Times New Roman"/>
                <w:sz w:val="24"/>
                <w:szCs w:val="24"/>
              </w:rPr>
              <w:t xml:space="preserve">Ņemot vērā sadarbībā ar pašvaldībām secinātos risinājumus, kas ļautu sekmēt pašvaldību tiesības rīkoties ar tai piederošo un piekrītošo mantu, kā arī dotu pašvaldībām plašākas tiesības rīkoties ar publisko īpašumu vietējās sabiedrības kopējās interesēs, Vides aizsardzības un reģionālās attīstības ministrija (turpmāk – VARAM) normatīvo aktu pilnveidošanā attiecībā uz iepriekš minētajām problēmām ir sagatavojusi grozījumus </w:t>
            </w:r>
            <w:r w:rsidRPr="00631569">
              <w:rPr>
                <w:rFonts w:ascii="Times New Roman" w:hAnsi="Times New Roman"/>
                <w:sz w:val="24"/>
                <w:szCs w:val="24"/>
              </w:rPr>
              <w:t>Ministru kabineta 2010.gada 8.jūnija noteikum</w:t>
            </w:r>
            <w:r>
              <w:rPr>
                <w:rFonts w:ascii="Times New Roman" w:hAnsi="Times New Roman"/>
                <w:sz w:val="24"/>
                <w:szCs w:val="24"/>
              </w:rPr>
              <w:t>os</w:t>
            </w:r>
            <w:r w:rsidRPr="00631569">
              <w:rPr>
                <w:rFonts w:ascii="Times New Roman" w:hAnsi="Times New Roman"/>
                <w:sz w:val="24"/>
                <w:szCs w:val="24"/>
              </w:rPr>
              <w:t xml:space="preserve"> Nr.515 „</w:t>
            </w:r>
            <w:r w:rsidRPr="00631569">
              <w:rPr>
                <w:rFonts w:ascii="Times New Roman" w:eastAsia="Times New Roman" w:hAnsi="Times New Roman"/>
                <w:bCs/>
                <w:sz w:val="24"/>
                <w:szCs w:val="24"/>
                <w:lang w:eastAsia="lv-LV"/>
              </w:rPr>
              <w:t xml:space="preserve">Noteikumi par valsts un pašvaldību mantas </w:t>
            </w:r>
            <w:r w:rsidRPr="00631569">
              <w:rPr>
                <w:rFonts w:ascii="Times New Roman" w:eastAsia="Times New Roman" w:hAnsi="Times New Roman"/>
                <w:bCs/>
                <w:sz w:val="24"/>
                <w:szCs w:val="24"/>
                <w:lang w:eastAsia="lv-LV"/>
              </w:rPr>
              <w:lastRenderedPageBreak/>
              <w:t>iznomāšanas kārtību, nomas maksas noteikšanas metodiku un nomas līguma tipveida nosacījumiem</w:t>
            </w:r>
            <w:r>
              <w:rPr>
                <w:rFonts w:ascii="Times New Roman" w:hAnsi="Times New Roman"/>
                <w:sz w:val="24"/>
                <w:szCs w:val="24"/>
              </w:rPr>
              <w:t>”.</w:t>
            </w:r>
          </w:p>
          <w:p w:rsidR="005956CF" w:rsidRDefault="005956CF" w:rsidP="005956CF">
            <w:pPr>
              <w:spacing w:after="120" w:line="240" w:lineRule="auto"/>
              <w:jc w:val="both"/>
              <w:rPr>
                <w:rFonts w:ascii="Times New Roman" w:hAnsi="Times New Roman"/>
                <w:sz w:val="24"/>
                <w:szCs w:val="24"/>
              </w:rPr>
            </w:pPr>
            <w:r>
              <w:rPr>
                <w:rFonts w:ascii="Times New Roman" w:hAnsi="Times New Roman"/>
                <w:sz w:val="24"/>
                <w:szCs w:val="24"/>
              </w:rPr>
              <w:t xml:space="preserve">Noteikumu projekta izstrādes laikā, sadarbojoties iesaistītajām pusēm – Finanšu ministrijai, VAS “Valsts nekustamie īpašumi”, Latvijas Pašvaldību savienībai, u.c., </w:t>
            </w:r>
            <w:r w:rsidR="004730D1">
              <w:rPr>
                <w:rFonts w:ascii="Times New Roman" w:hAnsi="Times New Roman"/>
                <w:sz w:val="24"/>
                <w:szCs w:val="24"/>
              </w:rPr>
              <w:t xml:space="preserve">pēc vēl citu, ar VARAM galvenā priekšlikuma par samazinātas nomas maksas piemērošanu nesaistītu citu grozījumu redakcionālas sagatavošanas un saskaņošanas, tika konstatēts, ka līdzīgs uzdevums attiecībā uz minēto Ministru kabineta noteikumu pārskatīšanu dots arī Finanšu ministrijai. </w:t>
            </w:r>
            <w:r w:rsidR="004730D1" w:rsidRPr="00505CD4">
              <w:rPr>
                <w:rFonts w:ascii="Times New Roman" w:hAnsi="Times New Roman"/>
                <w:i/>
                <w:sz w:val="24"/>
                <w:szCs w:val="24"/>
              </w:rPr>
              <w:t>VARAM aicina izteiktos ierosinājumus, kas neattiecas uz VARAM sākotnējo mērķi noteikumu projekta izstrādē par nomas maksas atlaides piešķiršanu, skatīt kontekstā ar Finanšu ministrijai</w:t>
            </w:r>
            <w:r w:rsidR="004730D1" w:rsidRPr="00115CA1">
              <w:rPr>
                <w:rFonts w:ascii="Times New Roman" w:hAnsi="Times New Roman"/>
                <w:sz w:val="24"/>
                <w:szCs w:val="24"/>
              </w:rPr>
              <w:t xml:space="preserve"> 2014. gada 5. decembra Ministru kabineta komitejas sēdē </w:t>
            </w:r>
            <w:r w:rsidR="004730D1" w:rsidRPr="00505CD4">
              <w:rPr>
                <w:rFonts w:ascii="Times New Roman" w:hAnsi="Times New Roman"/>
                <w:i/>
                <w:sz w:val="24"/>
                <w:szCs w:val="24"/>
              </w:rPr>
              <w:t>doto uzdevumu</w:t>
            </w:r>
            <w:r w:rsidR="004730D1" w:rsidRPr="00115CA1">
              <w:rPr>
                <w:rFonts w:ascii="Times New Roman" w:hAnsi="Times New Roman"/>
                <w:sz w:val="24"/>
                <w:szCs w:val="24"/>
              </w:rPr>
              <w:t xml:space="preserve"> (protokols Nr.41, 2.4.3. punkts), kas paredz </w:t>
            </w:r>
            <w:r w:rsidR="004730D1" w:rsidRPr="00115CA1">
              <w:rPr>
                <w:rFonts w:ascii="Times New Roman" w:hAnsi="Times New Roman"/>
                <w:sz w:val="24"/>
                <w:szCs w:val="24"/>
                <w:shd w:val="clear" w:color="auto" w:fill="FFFFFF"/>
              </w:rPr>
              <w:t>Finanšu ministrijai, līdz 2015. gada 30. jūnijam iesniegt izskatīšanai Ministru kabinetā informatīvo ziņojumu, izvērtējot risinājuma variantus par pašvaldību īpašumu iznomāšanas kārtību. Pamatojoties uz informatīvā ziņojumā piedāvāto variantu, izstrādāt nepieciešamos normatīvo aktu projektus.</w:t>
            </w:r>
            <w:r w:rsidR="004730D1">
              <w:rPr>
                <w:rFonts w:ascii="Times New Roman" w:hAnsi="Times New Roman"/>
                <w:sz w:val="24"/>
                <w:szCs w:val="24"/>
              </w:rPr>
              <w:t xml:space="preserve"> Saskaņošanā iesaistīto pušu ierosinājumi:</w:t>
            </w:r>
          </w:p>
          <w:p w:rsidR="007529D8" w:rsidRPr="007529D8" w:rsidRDefault="005956CF" w:rsidP="007529D8">
            <w:pPr>
              <w:spacing w:after="120"/>
              <w:jc w:val="both"/>
              <w:rPr>
                <w:rFonts w:ascii="Times New Roman" w:hAnsi="Times New Roman"/>
                <w:sz w:val="24"/>
                <w:szCs w:val="24"/>
              </w:rPr>
            </w:pPr>
            <w:r w:rsidRPr="007529D8">
              <w:rPr>
                <w:rFonts w:ascii="Times New Roman" w:hAnsi="Times New Roman"/>
                <w:sz w:val="24"/>
                <w:szCs w:val="24"/>
              </w:rPr>
              <w:t>Piemēram, Latvijas Pa</w:t>
            </w:r>
            <w:r w:rsidR="00EF0B01">
              <w:rPr>
                <w:rFonts w:ascii="Times New Roman" w:hAnsi="Times New Roman"/>
                <w:sz w:val="24"/>
                <w:szCs w:val="24"/>
              </w:rPr>
              <w:t xml:space="preserve">švaldību savienība </w:t>
            </w:r>
            <w:r w:rsidR="007529D8">
              <w:rPr>
                <w:rFonts w:ascii="Times New Roman" w:hAnsi="Times New Roman"/>
                <w:sz w:val="24"/>
                <w:szCs w:val="24"/>
              </w:rPr>
              <w:t>ierosina</w:t>
            </w:r>
            <w:r w:rsidR="007529D8" w:rsidRPr="007529D8">
              <w:rPr>
                <w:rFonts w:ascii="Times New Roman" w:hAnsi="Times New Roman"/>
                <w:sz w:val="24"/>
                <w:szCs w:val="24"/>
              </w:rPr>
              <w:t>:</w:t>
            </w:r>
          </w:p>
          <w:p w:rsidR="005956CF" w:rsidRDefault="005956CF" w:rsidP="007529D8">
            <w:pPr>
              <w:pStyle w:val="ListParagraph"/>
              <w:numPr>
                <w:ilvl w:val="0"/>
                <w:numId w:val="9"/>
              </w:numPr>
              <w:spacing w:after="120"/>
              <w:jc w:val="both"/>
              <w:rPr>
                <w:rFonts w:ascii="Times New Roman" w:hAnsi="Times New Roman"/>
                <w:sz w:val="24"/>
                <w:szCs w:val="24"/>
              </w:rPr>
            </w:pPr>
            <w:r w:rsidRPr="005B25EA">
              <w:rPr>
                <w:rFonts w:ascii="Times New Roman" w:hAnsi="Times New Roman"/>
                <w:sz w:val="24"/>
                <w:szCs w:val="24"/>
              </w:rPr>
              <w:t>Ministru kabineta noteikum</w:t>
            </w:r>
            <w:r w:rsidR="007529D8">
              <w:rPr>
                <w:rFonts w:ascii="Times New Roman" w:hAnsi="Times New Roman"/>
                <w:sz w:val="24"/>
                <w:szCs w:val="24"/>
              </w:rPr>
              <w:t>us</w:t>
            </w:r>
            <w:r w:rsidRPr="005B25EA">
              <w:rPr>
                <w:rFonts w:ascii="Times New Roman" w:hAnsi="Times New Roman"/>
                <w:sz w:val="24"/>
                <w:szCs w:val="24"/>
              </w:rPr>
              <w:t xml:space="preserve"> </w:t>
            </w:r>
            <w:r w:rsidR="007529D8">
              <w:rPr>
                <w:rFonts w:ascii="Times New Roman" w:hAnsi="Times New Roman"/>
                <w:sz w:val="24"/>
                <w:szCs w:val="24"/>
              </w:rPr>
              <w:t>papildināt</w:t>
            </w:r>
            <w:r w:rsidRPr="005B25EA">
              <w:rPr>
                <w:rFonts w:ascii="Times New Roman" w:hAnsi="Times New Roman"/>
                <w:sz w:val="24"/>
                <w:szCs w:val="24"/>
              </w:rPr>
              <w:t xml:space="preserve"> ar regulējumu par tiesībām pašvaldībām izdot saistošos noteikumus un noteikt īslaicīgas telpu nomas izcenojumus, piemēram, pašvaldību telpu iznomāšana privātiem pasākumiem, kas nav saistīti ar Ministru Kabineta noteikumu 3.punktā minētajām jomām. VARAM norāda, ka būtu jāveic attiecīga priekšizpēte par šāda regulējuma lietderību, jo jau šobrīd pašvaldības ir tiesīgas izdot saistošos noteikumus, kuros noteikts īslaicīgu telpu nomas cenrādis. Šāds cenrādis tiek sastādīts pamatojoties uz likuma “Par pašvaldībām” 21.panta 14.punktu, kas nosaka, ka dome var noteikt, ja tas nav aizliegts ar likumiem vai Ministru kabineta noteikumiem, maksu par citiem pakalpojumiem, ko sniedz pašvaldības iestādes, piemēram, noteikt maksu par sporta zāles īslaicīgu nomu. </w:t>
            </w:r>
          </w:p>
          <w:p w:rsidR="005956CF" w:rsidRPr="005B25EA" w:rsidRDefault="005956CF" w:rsidP="007529D8">
            <w:pPr>
              <w:pStyle w:val="ListParagraph"/>
              <w:numPr>
                <w:ilvl w:val="0"/>
                <w:numId w:val="9"/>
              </w:numPr>
              <w:spacing w:after="120"/>
              <w:jc w:val="both"/>
              <w:rPr>
                <w:rFonts w:ascii="Times New Roman" w:hAnsi="Times New Roman"/>
                <w:sz w:val="24"/>
                <w:szCs w:val="24"/>
              </w:rPr>
            </w:pPr>
            <w:r w:rsidRPr="005B25EA">
              <w:rPr>
                <w:rFonts w:ascii="Times New Roman" w:hAnsi="Times New Roman"/>
                <w:sz w:val="24"/>
                <w:szCs w:val="24"/>
              </w:rPr>
              <w:t xml:space="preserve">nākotnē dot iespēju pašvaldībām pašām noteikt nomas maksas aprēķināšanas kārtību ar saistošajiem noteikumiem. Ministru kabineta noteikumi izstrādāti, lai </w:t>
            </w:r>
            <w:r w:rsidRPr="005B25EA">
              <w:rPr>
                <w:rFonts w:ascii="Times New Roman" w:eastAsia="Times New Roman" w:hAnsi="Times New Roman"/>
                <w:sz w:val="24"/>
                <w:szCs w:val="24"/>
              </w:rPr>
              <w:t>padarītu caurskatāmu lēmumu par nomas līgumu nosacījumiem pieņemšanas procesu, tāpat arī lai noteiktu vienotu kārtību, lai nodrošinātu, ka valsts un pašvaldību nekustamais īpašums tiek nodots lietošanā par likumā „Par publiskas personas finanšu līdzekļu un mantas izšķērdēšanas novēršanu” noteikto iespējami augstāko cenu. Līdz ar to, iesniegtais priekšlikums rūpīgi izvērtējams, ņemot vērā iespējamos korupcijas riskus.</w:t>
            </w:r>
          </w:p>
          <w:p w:rsidR="005956CF" w:rsidRPr="007529D8" w:rsidRDefault="005956CF" w:rsidP="007529D8">
            <w:pPr>
              <w:pStyle w:val="ListParagraph"/>
              <w:numPr>
                <w:ilvl w:val="0"/>
                <w:numId w:val="9"/>
              </w:numPr>
              <w:spacing w:after="120"/>
              <w:jc w:val="both"/>
              <w:rPr>
                <w:rFonts w:ascii="Times New Roman" w:hAnsi="Times New Roman"/>
                <w:sz w:val="24"/>
                <w:szCs w:val="24"/>
              </w:rPr>
            </w:pPr>
            <w:r w:rsidRPr="007529D8">
              <w:rPr>
                <w:rFonts w:ascii="Times New Roman" w:hAnsi="Times New Roman"/>
                <w:sz w:val="24"/>
                <w:szCs w:val="24"/>
              </w:rPr>
              <w:t>izvērtēt iespēju no Ministru kabineta noteikumiem izslēgt 4.7.apakšpunktu. Sadarbībā ar VAS “Valsts nekustamie īpašumi” analīze uz šādu iespējamību tiks ietverta līdz 2015.gada beigām Finanšu ministrijas gatavotajā noteikumu projektā.</w:t>
            </w:r>
          </w:p>
          <w:p w:rsidR="00BD211E" w:rsidRPr="007529D8" w:rsidRDefault="00BD211E" w:rsidP="007529D8">
            <w:pPr>
              <w:pStyle w:val="ListParagraph"/>
              <w:numPr>
                <w:ilvl w:val="0"/>
                <w:numId w:val="9"/>
              </w:numPr>
              <w:spacing w:after="120"/>
              <w:jc w:val="both"/>
              <w:rPr>
                <w:rFonts w:ascii="Times New Roman" w:hAnsi="Times New Roman"/>
                <w:sz w:val="24"/>
                <w:szCs w:val="24"/>
              </w:rPr>
            </w:pPr>
            <w:r w:rsidRPr="007529D8">
              <w:rPr>
                <w:rFonts w:ascii="Times New Roman" w:hAnsi="Times New Roman"/>
                <w:sz w:val="24"/>
                <w:szCs w:val="24"/>
              </w:rPr>
              <w:t>pašvaldībām dot rīcības brīvību attiecībā uz sava īpašuma izmantošanu un, lai novērstu normatīvā regulējuma sadrumstalotību, Latvijas Pašvaldību savienība uzskata, ka ir nepieciešams veidot vienotu tiesisko regulējumu par publisko personu mantas iznomāšanu, un attiecībā uz pašvaldībām, nosakot vienīgi vispārīgus principus, kas ievērojami, iznomājot pašvaldību mantu, atstājot pašu pašvaldību ziņā detalizētāku iznomāšanas nosacījumu regulēšanu.</w:t>
            </w:r>
          </w:p>
          <w:p w:rsidR="00505CD4" w:rsidRDefault="00505CD4" w:rsidP="00505CD4">
            <w:pPr>
              <w:spacing w:after="120"/>
              <w:jc w:val="both"/>
              <w:rPr>
                <w:rFonts w:ascii="Times New Roman" w:hAnsi="Times New Roman"/>
                <w:sz w:val="24"/>
                <w:szCs w:val="24"/>
              </w:rPr>
            </w:pPr>
            <w:r w:rsidRPr="00505CD4">
              <w:rPr>
                <w:rFonts w:ascii="Times New Roman" w:hAnsi="Times New Roman"/>
                <w:sz w:val="24"/>
                <w:szCs w:val="24"/>
              </w:rPr>
              <w:t>Tieslietu ministrija ierosina</w:t>
            </w:r>
            <w:r>
              <w:rPr>
                <w:rFonts w:ascii="Times New Roman" w:hAnsi="Times New Roman"/>
                <w:sz w:val="24"/>
                <w:szCs w:val="24"/>
              </w:rPr>
              <w:t>:</w:t>
            </w:r>
          </w:p>
          <w:p w:rsidR="00505CD4" w:rsidRDefault="00505CD4" w:rsidP="00505CD4">
            <w:pPr>
              <w:pStyle w:val="ListParagraph"/>
              <w:numPr>
                <w:ilvl w:val="0"/>
                <w:numId w:val="10"/>
              </w:numPr>
              <w:spacing w:after="120"/>
              <w:jc w:val="both"/>
              <w:rPr>
                <w:rFonts w:ascii="Times New Roman" w:hAnsi="Times New Roman"/>
                <w:sz w:val="24"/>
                <w:szCs w:val="24"/>
              </w:rPr>
            </w:pPr>
            <w:r w:rsidRPr="00505CD4">
              <w:rPr>
                <w:rFonts w:ascii="Times New Roman" w:hAnsi="Times New Roman"/>
                <w:sz w:val="24"/>
                <w:szCs w:val="24"/>
              </w:rPr>
              <w:t>3.punktā paredzēto gadījumu uzskaitījumu aizstāt ar atsauci no likuma “Par pašvaldībām” 15.pantā norādīto autonomo funkciju, kas nosaka pašvaldības pienākumu gādāt par savas administratīvās teritorijas labiekārtošanu. Ņemot vērā, ka esošajā noteikumu projekta versijā paredzētais gadījumu uzskaitījums nevar tikt vispārināts, lai neradītu pārpratumus, VARAM aicina šo jautājumu analizēt kontekstā ar Finanšu ministrijai doto uzdevumu.</w:t>
            </w:r>
            <w:r w:rsidR="006F2607">
              <w:rPr>
                <w:rFonts w:ascii="Times New Roman" w:hAnsi="Times New Roman"/>
                <w:sz w:val="24"/>
                <w:szCs w:val="24"/>
              </w:rPr>
              <w:t xml:space="preserve"> Tostarp minētā uzdevuma ietvaros būtu detalizēti jāanalizē 80.punkta redakcionālā formulējuma maiņa.</w:t>
            </w:r>
          </w:p>
          <w:p w:rsidR="0044055A" w:rsidRDefault="0044055A" w:rsidP="0044055A">
            <w:pPr>
              <w:spacing w:after="0" w:line="240" w:lineRule="auto"/>
              <w:jc w:val="both"/>
              <w:rPr>
                <w:rFonts w:ascii="Times New Roman" w:hAnsi="Times New Roman"/>
                <w:sz w:val="24"/>
                <w:szCs w:val="24"/>
              </w:rPr>
            </w:pPr>
            <w:r>
              <w:rPr>
                <w:rFonts w:ascii="Times New Roman" w:hAnsi="Times New Roman"/>
                <w:sz w:val="24"/>
                <w:szCs w:val="24"/>
              </w:rPr>
              <w:t>S</w:t>
            </w:r>
            <w:r w:rsidRPr="00A32605">
              <w:rPr>
                <w:rFonts w:ascii="Times New Roman" w:hAnsi="Times New Roman"/>
                <w:sz w:val="24"/>
                <w:szCs w:val="24"/>
              </w:rPr>
              <w:t xml:space="preserve">ākotnēji </w:t>
            </w:r>
            <w:r>
              <w:rPr>
                <w:rFonts w:ascii="Times New Roman" w:hAnsi="Times New Roman"/>
                <w:sz w:val="24"/>
                <w:szCs w:val="24"/>
              </w:rPr>
              <w:t xml:space="preserve">noteikumu projekta ietvaros </w:t>
            </w:r>
            <w:r w:rsidRPr="00A32605">
              <w:rPr>
                <w:rFonts w:ascii="Times New Roman" w:hAnsi="Times New Roman"/>
                <w:sz w:val="24"/>
                <w:szCs w:val="24"/>
              </w:rPr>
              <w:t>bija paredzēts, ka nekustamā īpašuma nomas līgumu var noteikt uz laiku, kas ir ilgāks par 12 gadiem, bet nepārsniedz 30 gadus.</w:t>
            </w:r>
            <w:r>
              <w:rPr>
                <w:rFonts w:ascii="Times New Roman" w:hAnsi="Times New Roman"/>
                <w:sz w:val="24"/>
                <w:szCs w:val="24"/>
              </w:rPr>
              <w:t xml:space="preserve"> Noteikumu projekta saskaņošanas gaitā tika secināts, ka nav iespējams 30 gadu termiņu attiecināt arī uz nekustamā īpašuma nomas līgumu saskaņā </w:t>
            </w:r>
            <w:r w:rsidRPr="00A32605">
              <w:rPr>
                <w:rFonts w:ascii="Times New Roman" w:hAnsi="Times New Roman"/>
                <w:sz w:val="24"/>
                <w:szCs w:val="24"/>
              </w:rPr>
              <w:t>ar “</w:t>
            </w:r>
            <w:r w:rsidRPr="00A32605">
              <w:rPr>
                <w:rFonts w:ascii="Times New Roman" w:hAnsi="Times New Roman"/>
                <w:sz w:val="24"/>
                <w:szCs w:val="24"/>
                <w:shd w:val="clear" w:color="auto" w:fill="FFFFFF"/>
              </w:rPr>
              <w:t>Publiskas personas finanšu līdzekļu un mantas</w:t>
            </w:r>
            <w:r>
              <w:rPr>
                <w:rFonts w:ascii="Times New Roman" w:hAnsi="Times New Roman"/>
                <w:sz w:val="24"/>
                <w:szCs w:val="24"/>
                <w:shd w:val="clear" w:color="auto" w:fill="FFFFFF"/>
              </w:rPr>
              <w:t xml:space="preserve"> izšķērdēšanas novēršanas likumā</w:t>
            </w:r>
            <w:r w:rsidRPr="00A32605">
              <w:rPr>
                <w:rFonts w:ascii="Times New Roman" w:hAnsi="Times New Roman"/>
                <w:sz w:val="24"/>
                <w:szCs w:val="24"/>
              </w:rPr>
              <w:t>” (turpmāk – Izšķērdēšanas likums) noteikto.</w:t>
            </w:r>
            <w:r>
              <w:rPr>
                <w:rFonts w:ascii="Times New Roman" w:hAnsi="Times New Roman"/>
                <w:sz w:val="24"/>
                <w:szCs w:val="24"/>
              </w:rPr>
              <w:t xml:space="preserve"> A</w:t>
            </w:r>
            <w:r w:rsidRPr="00A32605">
              <w:rPr>
                <w:rFonts w:ascii="Times New Roman" w:hAnsi="Times New Roman"/>
                <w:sz w:val="24"/>
                <w:szCs w:val="24"/>
              </w:rPr>
              <w:t xml:space="preserve">tsaucoties uz Finanšu ministrijas lūgumu, Saeimas Juridiskais birojs sniedza sekojošu skaidrojumu: “(...) Izšķērdēšanas novēršanas </w:t>
            </w:r>
            <w:r w:rsidRPr="00A32605">
              <w:rPr>
                <w:rFonts w:ascii="Times New Roman" w:hAnsi="Times New Roman"/>
                <w:bCs/>
                <w:sz w:val="24"/>
                <w:szCs w:val="24"/>
              </w:rPr>
              <w:t>6.</w:t>
            </w:r>
            <w:r w:rsidRPr="00A32605">
              <w:rPr>
                <w:rFonts w:ascii="Times New Roman" w:hAnsi="Times New Roman"/>
                <w:bCs/>
                <w:sz w:val="24"/>
                <w:szCs w:val="24"/>
                <w:vertAlign w:val="superscript"/>
              </w:rPr>
              <w:t>1</w:t>
            </w:r>
            <w:r w:rsidRPr="00A32605">
              <w:rPr>
                <w:rFonts w:ascii="Times New Roman" w:hAnsi="Times New Roman"/>
                <w:bCs/>
                <w:sz w:val="24"/>
                <w:szCs w:val="24"/>
              </w:rPr>
              <w:t>panta pirmajā daļā ietvertā atsauce uz Ministru kabineta noteikumiem ir vienīgi norādes norma, kas neparedz deleģējumu Ministru kabinetam patstāvīgi noteikt citādus nomas līguma termiņus nekā tie, kas noteikti Izšķērdēšanas novēršanas likumā.</w:t>
            </w:r>
            <w:r w:rsidRPr="00A32605">
              <w:rPr>
                <w:rFonts w:ascii="Times New Roman" w:hAnsi="Times New Roman"/>
                <w:sz w:val="24"/>
                <w:szCs w:val="24"/>
              </w:rPr>
              <w:t>”</w:t>
            </w:r>
            <w:r>
              <w:rPr>
                <w:rFonts w:ascii="Times New Roman" w:hAnsi="Times New Roman"/>
                <w:sz w:val="24"/>
                <w:szCs w:val="24"/>
              </w:rPr>
              <w:t xml:space="preserve"> Līdz ar to būtu nepieciešamas izmaiņas Izšķērdēšanas likumā, </w:t>
            </w:r>
            <w:r w:rsidRPr="00A32605">
              <w:rPr>
                <w:rFonts w:ascii="Times New Roman" w:hAnsi="Times New Roman"/>
                <w:sz w:val="24"/>
                <w:szCs w:val="24"/>
              </w:rPr>
              <w:t>paredzot, ka cita nekustamā īpašuma nomas līgumu var slēgt uz laiku līdz 30 gadiem, pielāgojot termiņam, kas jau ir attiecībā uz zemes nomas līgumu.</w:t>
            </w:r>
          </w:p>
          <w:p w:rsidR="0044055A" w:rsidRPr="00A32605" w:rsidRDefault="0044055A" w:rsidP="0044055A">
            <w:pPr>
              <w:spacing w:after="0" w:line="240" w:lineRule="auto"/>
              <w:jc w:val="both"/>
              <w:rPr>
                <w:rFonts w:ascii="Times New Roman" w:hAnsi="Times New Roman"/>
                <w:sz w:val="24"/>
                <w:szCs w:val="24"/>
              </w:rPr>
            </w:pPr>
          </w:p>
          <w:p w:rsidR="00A94453" w:rsidRPr="001C722E" w:rsidRDefault="00A94453" w:rsidP="005956CF">
            <w:pPr>
              <w:spacing w:after="120" w:line="240" w:lineRule="auto"/>
              <w:jc w:val="both"/>
              <w:rPr>
                <w:rFonts w:ascii="Times New Roman" w:hAnsi="Times New Roman"/>
                <w:sz w:val="24"/>
                <w:szCs w:val="24"/>
              </w:rPr>
            </w:pPr>
            <w:r w:rsidRPr="00631569">
              <w:rPr>
                <w:rFonts w:ascii="Times New Roman" w:hAnsi="Times New Roman"/>
                <w:sz w:val="24"/>
                <w:szCs w:val="24"/>
              </w:rPr>
              <w:t xml:space="preserve">Lai izvērtētu publiskas personas iespējas (rīcības) uzņēmējdarbības veicināšanai, </w:t>
            </w:r>
            <w:r w:rsidR="001C722E">
              <w:rPr>
                <w:rFonts w:ascii="Times New Roman" w:hAnsi="Times New Roman"/>
                <w:sz w:val="24"/>
                <w:szCs w:val="24"/>
              </w:rPr>
              <w:t>VARAM</w:t>
            </w:r>
            <w:r w:rsidRPr="00631569">
              <w:rPr>
                <w:rFonts w:ascii="Times New Roman" w:hAnsi="Times New Roman"/>
                <w:sz w:val="24"/>
                <w:szCs w:val="24"/>
              </w:rPr>
              <w:t xml:space="preserve"> analizēja normatīvo regulējumu attiecībā uz publiskas personas, sevišķi pašvaldību tiesībām rīkoties ar savu mantu</w:t>
            </w:r>
            <w:r w:rsidR="0092691F" w:rsidRPr="00631569">
              <w:rPr>
                <w:rFonts w:ascii="Times New Roman" w:hAnsi="Times New Roman"/>
                <w:sz w:val="24"/>
                <w:szCs w:val="24"/>
              </w:rPr>
              <w:t xml:space="preserve">. Vienlaikus tika analizētas </w:t>
            </w:r>
            <w:r w:rsidRPr="00631569">
              <w:rPr>
                <w:rFonts w:ascii="Times New Roman" w:hAnsi="Times New Roman"/>
                <w:sz w:val="24"/>
                <w:szCs w:val="24"/>
              </w:rPr>
              <w:t>pašvaldību attīstības programmu rīcību plānā un investīciju plānā visbiežāk ietvertās rīcības uzņēmējdarbības veicināšanai. Tika secināts, ka normatīvajos aktos paredzētais pilnvarojums attiecībā uz publiskas personas tiesībām rīkoties ar savu mantu ir nepietiekams.</w:t>
            </w:r>
            <w:r w:rsidR="001C722E">
              <w:rPr>
                <w:rFonts w:ascii="Times New Roman" w:hAnsi="Times New Roman"/>
                <w:sz w:val="24"/>
                <w:szCs w:val="24"/>
              </w:rPr>
              <w:t xml:space="preserve"> </w:t>
            </w:r>
            <w:r w:rsidRPr="00631569">
              <w:rPr>
                <w:rFonts w:ascii="Times New Roman" w:eastAsia="Times New Roman" w:hAnsi="Times New Roman"/>
                <w:sz w:val="24"/>
                <w:szCs w:val="24"/>
                <w:lang w:eastAsia="lv-LV"/>
              </w:rPr>
              <w:t xml:space="preserve">Lai veicinātu jaunu darba vietu rašanos ir nepieciešams palielināt publiskas personas, sevišķi pašvaldību lomu uzņēmējdarbības un inovācijas veicināšanā. </w:t>
            </w:r>
          </w:p>
          <w:p w:rsidR="00A94453" w:rsidRPr="00631569" w:rsidRDefault="00A94453" w:rsidP="0044412F">
            <w:pPr>
              <w:spacing w:after="0" w:line="240" w:lineRule="auto"/>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 xml:space="preserve">VARAM veiktajā aptaujā par </w:t>
            </w:r>
            <w:r w:rsidR="008057C9" w:rsidRPr="00631569">
              <w:rPr>
                <w:rFonts w:ascii="Times New Roman" w:eastAsia="Times New Roman" w:hAnsi="Times New Roman"/>
                <w:sz w:val="24"/>
                <w:szCs w:val="24"/>
                <w:lang w:eastAsia="lv-LV"/>
              </w:rPr>
              <w:t>apstākļiem</w:t>
            </w:r>
            <w:r w:rsidRPr="00631569">
              <w:rPr>
                <w:rFonts w:ascii="Times New Roman" w:eastAsia="Times New Roman" w:hAnsi="Times New Roman"/>
                <w:sz w:val="24"/>
                <w:szCs w:val="24"/>
                <w:lang w:eastAsia="lv-LV"/>
              </w:rPr>
              <w:t xml:space="preserve">, kas </w:t>
            </w:r>
            <w:r w:rsidR="008057C9" w:rsidRPr="00631569">
              <w:rPr>
                <w:rFonts w:ascii="Times New Roman" w:eastAsia="Times New Roman" w:hAnsi="Times New Roman"/>
                <w:sz w:val="24"/>
                <w:szCs w:val="24"/>
                <w:lang w:eastAsia="lv-LV"/>
              </w:rPr>
              <w:t xml:space="preserve">ierobežo </w:t>
            </w:r>
            <w:r w:rsidRPr="00631569">
              <w:rPr>
                <w:rFonts w:ascii="Times New Roman" w:eastAsia="Times New Roman" w:hAnsi="Times New Roman"/>
                <w:sz w:val="24"/>
                <w:szCs w:val="24"/>
                <w:lang w:eastAsia="lv-LV"/>
              </w:rPr>
              <w:t>pašvaldībām veicināt uzņēmējdarbību, liecina, ka traucējošākie aspekti ir:</w:t>
            </w:r>
          </w:p>
          <w:p w:rsidR="00A94453" w:rsidRPr="00631569" w:rsidRDefault="00A94453" w:rsidP="0044412F">
            <w:pPr>
              <w:numPr>
                <w:ilvl w:val="0"/>
                <w:numId w:val="3"/>
              </w:numPr>
              <w:spacing w:after="0" w:line="240" w:lineRule="auto"/>
              <w:ind w:left="357" w:hanging="357"/>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Finanšu trūkums;</w:t>
            </w:r>
          </w:p>
          <w:p w:rsidR="00A94453" w:rsidRPr="00631569" w:rsidRDefault="00A94453" w:rsidP="0044412F">
            <w:pPr>
              <w:numPr>
                <w:ilvl w:val="0"/>
                <w:numId w:val="3"/>
              </w:numPr>
              <w:spacing w:after="0" w:line="240" w:lineRule="auto"/>
              <w:ind w:left="357" w:hanging="357"/>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Risks pārkāpt “Publiskas personas finanšu līdzekļu un mantas izšķērdēšanas novēršanas likumu”;</w:t>
            </w:r>
            <w:r w:rsidRPr="00631569">
              <w:rPr>
                <w:rFonts w:ascii="Times New Roman" w:hAnsi="Times New Roman"/>
                <w:b/>
                <w:bCs/>
                <w:color w:val="414142"/>
                <w:sz w:val="24"/>
                <w:szCs w:val="24"/>
                <w:shd w:val="clear" w:color="auto" w:fill="FFFFFF"/>
              </w:rPr>
              <w:t xml:space="preserve"> </w:t>
            </w:r>
          </w:p>
          <w:p w:rsidR="00A94453" w:rsidRPr="00631569" w:rsidRDefault="00A94453" w:rsidP="0044412F">
            <w:pPr>
              <w:numPr>
                <w:ilvl w:val="0"/>
                <w:numId w:val="3"/>
              </w:numPr>
              <w:spacing w:after="0" w:line="240" w:lineRule="auto"/>
              <w:ind w:left="357" w:hanging="357"/>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Risks radīt konfliktu ar neatbalstītajiem uzņēmējiem;</w:t>
            </w:r>
          </w:p>
          <w:p w:rsidR="009B4677" w:rsidRPr="009B4677" w:rsidRDefault="00A94453" w:rsidP="0044412F">
            <w:pPr>
              <w:numPr>
                <w:ilvl w:val="0"/>
                <w:numId w:val="3"/>
              </w:numPr>
              <w:spacing w:after="0" w:line="240" w:lineRule="auto"/>
              <w:ind w:left="357" w:hanging="357"/>
              <w:jc w:val="both"/>
              <w:rPr>
                <w:rFonts w:ascii="Times New Roman" w:eastAsia="Times New Roman" w:hAnsi="Times New Roman"/>
                <w:sz w:val="24"/>
                <w:szCs w:val="24"/>
                <w:lang w:eastAsia="lv-LV"/>
              </w:rPr>
            </w:pPr>
            <w:r w:rsidRPr="00631569">
              <w:rPr>
                <w:rFonts w:ascii="Times New Roman" w:hAnsi="Times New Roman"/>
                <w:sz w:val="24"/>
                <w:szCs w:val="24"/>
                <w:lang w:eastAsia="lv-LV"/>
              </w:rPr>
              <w:t>Motivējošu instrumentu un informācijas trūkums par uzņēmēju atbalsta iespējām.</w:t>
            </w:r>
          </w:p>
          <w:p w:rsidR="009B4677" w:rsidRDefault="009B4677" w:rsidP="009B4677">
            <w:pPr>
              <w:pStyle w:val="ListParagraph"/>
              <w:tabs>
                <w:tab w:val="left" w:pos="179"/>
              </w:tabs>
              <w:ind w:left="37"/>
              <w:jc w:val="both"/>
              <w:rPr>
                <w:rFonts w:ascii="Times New Roman" w:hAnsi="Times New Roman"/>
                <w:sz w:val="24"/>
                <w:szCs w:val="24"/>
              </w:rPr>
            </w:pPr>
            <w:r w:rsidRPr="009E06FC">
              <w:rPr>
                <w:rFonts w:ascii="Times New Roman" w:hAnsi="Times New Roman"/>
                <w:sz w:val="24"/>
                <w:szCs w:val="24"/>
              </w:rPr>
              <w:t xml:space="preserve">Projekta </w:t>
            </w:r>
            <w:r w:rsidRPr="009E06FC">
              <w:rPr>
                <w:rFonts w:ascii="Times New Roman" w:hAnsi="Times New Roman"/>
                <w:i/>
                <w:sz w:val="24"/>
                <w:szCs w:val="24"/>
              </w:rPr>
              <w:t>mērķis</w:t>
            </w:r>
            <w:r w:rsidRPr="009E06FC">
              <w:rPr>
                <w:rFonts w:ascii="Times New Roman" w:hAnsi="Times New Roman"/>
                <w:sz w:val="24"/>
                <w:szCs w:val="24"/>
              </w:rPr>
              <w:t xml:space="preserve"> ir veicināt ekonomisko aktivitāti, uzlabot uzņēmējdarbības vidi, padarot to pievilcīgu gan vietējiem, gan ārvalstu komersantiem, tādejādi ilgtermiņā paaugstinot kopējo uzņēmējdarbības vides konkurētspēju.  Ar noteikumu projektā ietvertajām normām tiks palīdzēts pašvaldībām</w:t>
            </w:r>
            <w:r w:rsidRPr="007646B4">
              <w:rPr>
                <w:rFonts w:ascii="Times New Roman" w:hAnsi="Times New Roman"/>
                <w:sz w:val="24"/>
                <w:szCs w:val="24"/>
              </w:rPr>
              <w:t xml:space="preserve"> Eiropas Savienības fondu projektu plān</w:t>
            </w:r>
            <w:r>
              <w:rPr>
                <w:rFonts w:ascii="Times New Roman" w:hAnsi="Times New Roman"/>
                <w:sz w:val="24"/>
                <w:szCs w:val="24"/>
              </w:rPr>
              <w:t>o</w:t>
            </w:r>
            <w:r w:rsidRPr="007646B4">
              <w:rPr>
                <w:rFonts w:ascii="Times New Roman" w:hAnsi="Times New Roman"/>
                <w:sz w:val="24"/>
                <w:szCs w:val="24"/>
              </w:rPr>
              <w:t>šanā, proti, nākotnē paredzami vairāki projekti, kur pašvaldības izbūvēs ēkas, un varētu tās nodot nomā komersantiem, vai arī tiks uzlabotas inženierkomunikācijas pie jau esošajiem pašvaldības īpašumiem ar mērķi nodot šos objektus konkurētspējīgiem uzņēmumiem – nomniekiem. Līdz ar to noteikumu projektā ietvertais atbalsta princips – sniegt atbalstu samazinātas nomas maksas veidā (līdz 50%) nekustamā īpašuma nomniekam būs papildus atbalsts un motivācija.</w:t>
            </w:r>
            <w:r w:rsidR="00505CD4">
              <w:rPr>
                <w:rFonts w:ascii="Times New Roman" w:hAnsi="Times New Roman"/>
                <w:sz w:val="24"/>
                <w:szCs w:val="24"/>
              </w:rPr>
              <w:t xml:space="preserve"> Savukārt projekta būtība ir veikt </w:t>
            </w:r>
            <w:r w:rsidR="00505CD4" w:rsidRPr="00505CD4">
              <w:rPr>
                <w:rFonts w:ascii="Times New Roman" w:hAnsi="Times New Roman"/>
                <w:sz w:val="24"/>
                <w:szCs w:val="24"/>
              </w:rPr>
              <w:t>esošā normatīvā regulējuma izmaiņas attiecībā uz publiskas personas iespējām sniegt atbalstu komercdarbības veicējiem samazinātas nomas maksas veidā, nomājot publiskai personai piederošu mantu.</w:t>
            </w:r>
            <w:r w:rsidR="00505CD4">
              <w:rPr>
                <w:rFonts w:ascii="Times New Roman" w:hAnsi="Times New Roman"/>
                <w:sz w:val="24"/>
                <w:szCs w:val="24"/>
              </w:rPr>
              <w:t xml:space="preserve"> Noteikumu izstrād</w:t>
            </w:r>
            <w:r w:rsidR="00EF0B01">
              <w:rPr>
                <w:rFonts w:ascii="Times New Roman" w:hAnsi="Times New Roman"/>
                <w:sz w:val="24"/>
                <w:szCs w:val="24"/>
              </w:rPr>
              <w:t>e</w:t>
            </w:r>
            <w:r w:rsidR="00505CD4">
              <w:rPr>
                <w:rFonts w:ascii="Times New Roman" w:hAnsi="Times New Roman"/>
                <w:sz w:val="24"/>
                <w:szCs w:val="24"/>
              </w:rPr>
              <w:t>s sākuma stadijā bija paredzētas tiesības</w:t>
            </w:r>
            <w:r w:rsidR="00EF0B01">
              <w:rPr>
                <w:rFonts w:ascii="Times New Roman" w:hAnsi="Times New Roman"/>
                <w:sz w:val="24"/>
                <w:szCs w:val="24"/>
              </w:rPr>
              <w:t xml:space="preserve"> tikai</w:t>
            </w:r>
            <w:r w:rsidR="00505CD4">
              <w:rPr>
                <w:rFonts w:ascii="Times New Roman" w:hAnsi="Times New Roman"/>
                <w:sz w:val="24"/>
                <w:szCs w:val="24"/>
              </w:rPr>
              <w:t xml:space="preserve"> pašvaldībām nomniekiem sniegt atbalstu samazinātas nomas maksas veidā, tomēr, lai izvairītos no vienas vai otras grupas tiesību ierobežošanu, normatīvā regulējuma izmaiņas attiecinātas uz publisku personu. Tostarp, noteikumu projekts ietver arī redakcionālus precizējumus esošajā noteikumu saturā.</w:t>
            </w:r>
          </w:p>
          <w:p w:rsidR="006E1335" w:rsidRPr="00631569" w:rsidRDefault="006E1335" w:rsidP="00631569">
            <w:pPr>
              <w:spacing w:after="120" w:line="240" w:lineRule="auto"/>
              <w:jc w:val="both"/>
              <w:rPr>
                <w:rFonts w:ascii="Times New Roman" w:hAnsi="Times New Roman"/>
                <w:sz w:val="24"/>
                <w:szCs w:val="24"/>
              </w:rPr>
            </w:pPr>
            <w:r w:rsidRPr="00631569">
              <w:rPr>
                <w:rFonts w:ascii="Times New Roman" w:hAnsi="Times New Roman"/>
                <w:sz w:val="24"/>
                <w:szCs w:val="24"/>
              </w:rPr>
              <w:t>Līdz ar to Projekts ietver šādus grozījumus:</w:t>
            </w:r>
          </w:p>
          <w:p w:rsidR="006E1335" w:rsidRPr="0044412F" w:rsidRDefault="006E1335" w:rsidP="0044412F">
            <w:pPr>
              <w:pStyle w:val="ListParagraph"/>
              <w:numPr>
                <w:ilvl w:val="0"/>
                <w:numId w:val="10"/>
              </w:numPr>
              <w:spacing w:after="120"/>
              <w:ind w:left="278" w:hanging="278"/>
              <w:jc w:val="both"/>
              <w:rPr>
                <w:rFonts w:ascii="Times New Roman" w:hAnsi="Times New Roman"/>
                <w:sz w:val="24"/>
                <w:szCs w:val="24"/>
              </w:rPr>
            </w:pPr>
            <w:r w:rsidRPr="0044412F">
              <w:rPr>
                <w:rFonts w:ascii="Times New Roman" w:hAnsi="Times New Roman"/>
                <w:sz w:val="24"/>
                <w:szCs w:val="24"/>
              </w:rPr>
              <w:t>Precizēt</w:t>
            </w:r>
            <w:r w:rsidR="008F2243" w:rsidRPr="0044412F">
              <w:rPr>
                <w:rFonts w:ascii="Times New Roman" w:hAnsi="Times New Roman"/>
                <w:sz w:val="24"/>
                <w:szCs w:val="24"/>
              </w:rPr>
              <w:t>s</w:t>
            </w:r>
            <w:r w:rsidRPr="0044412F">
              <w:rPr>
                <w:rFonts w:ascii="Times New Roman" w:hAnsi="Times New Roman"/>
                <w:sz w:val="24"/>
                <w:szCs w:val="24"/>
              </w:rPr>
              <w:t xml:space="preserve"> Ministru kabineta 2010.gada 8.jūnija noteikumu Nr.515 „</w:t>
            </w:r>
            <w:r w:rsidRPr="0044412F">
              <w:rPr>
                <w:rFonts w:ascii="Times New Roman" w:eastAsia="Times New Roman" w:hAnsi="Times New Roman"/>
                <w:bCs/>
                <w:sz w:val="24"/>
                <w:szCs w:val="24"/>
              </w:rPr>
              <w:t>Noteikumi par valsts un pašvaldību mantas iznomāšanas kārtību, nomas maksas noteikšanas metodiku un nomas līguma tipveida nosacījumiem</w:t>
            </w:r>
            <w:r w:rsidRPr="0044412F">
              <w:rPr>
                <w:rFonts w:ascii="Times New Roman" w:hAnsi="Times New Roman"/>
                <w:sz w:val="24"/>
                <w:szCs w:val="24"/>
              </w:rPr>
              <w:t>”</w:t>
            </w:r>
            <w:r w:rsidR="00D21CB8" w:rsidRPr="0044412F">
              <w:rPr>
                <w:rFonts w:ascii="Times New Roman" w:hAnsi="Times New Roman"/>
                <w:sz w:val="24"/>
                <w:szCs w:val="24"/>
              </w:rPr>
              <w:t xml:space="preserve"> </w:t>
            </w:r>
            <w:r w:rsidRPr="0044412F">
              <w:rPr>
                <w:rFonts w:ascii="Times New Roman" w:hAnsi="Times New Roman"/>
                <w:sz w:val="24"/>
                <w:szCs w:val="24"/>
              </w:rPr>
              <w:t>nosaukum</w:t>
            </w:r>
            <w:r w:rsidR="008F2243" w:rsidRPr="0044412F">
              <w:rPr>
                <w:rFonts w:ascii="Times New Roman" w:hAnsi="Times New Roman"/>
                <w:sz w:val="24"/>
                <w:szCs w:val="24"/>
              </w:rPr>
              <w:t>s</w:t>
            </w:r>
            <w:r w:rsidRPr="0044412F">
              <w:rPr>
                <w:rFonts w:ascii="Times New Roman" w:hAnsi="Times New Roman"/>
                <w:sz w:val="24"/>
                <w:szCs w:val="24"/>
              </w:rPr>
              <w:t>, ņemot vērā likuma nosaukumu uz kā pa</w:t>
            </w:r>
            <w:r w:rsidR="008279A2" w:rsidRPr="0044412F">
              <w:rPr>
                <w:rFonts w:ascii="Times New Roman" w:hAnsi="Times New Roman"/>
                <w:sz w:val="24"/>
                <w:szCs w:val="24"/>
              </w:rPr>
              <w:t xml:space="preserve">mata izdoti minētie noteikumi, t.i., </w:t>
            </w:r>
            <w:r w:rsidRPr="0044412F">
              <w:rPr>
                <w:rFonts w:ascii="Times New Roman" w:hAnsi="Times New Roman"/>
                <w:sz w:val="24"/>
                <w:szCs w:val="24"/>
              </w:rPr>
              <w:t xml:space="preserve">Publiskas personas finanšu līdzekļu un mantas </w:t>
            </w:r>
            <w:r w:rsidR="008279A2" w:rsidRPr="0044412F">
              <w:rPr>
                <w:rFonts w:ascii="Times New Roman" w:hAnsi="Times New Roman"/>
                <w:sz w:val="24"/>
                <w:szCs w:val="24"/>
              </w:rPr>
              <w:t>izšķērdēšanas novēršanas likums</w:t>
            </w:r>
            <w:r w:rsidRPr="0044412F">
              <w:rPr>
                <w:rFonts w:ascii="Times New Roman" w:hAnsi="Times New Roman"/>
                <w:sz w:val="24"/>
                <w:szCs w:val="24"/>
              </w:rPr>
              <w:t>.</w:t>
            </w:r>
            <w:r w:rsidR="008279A2" w:rsidRPr="0044412F">
              <w:rPr>
                <w:rFonts w:ascii="Times New Roman" w:hAnsi="Times New Roman"/>
                <w:sz w:val="24"/>
                <w:szCs w:val="24"/>
              </w:rPr>
              <w:t xml:space="preserve"> Vienlaikus p</w:t>
            </w:r>
            <w:r w:rsidR="004F3F2F" w:rsidRPr="0044412F">
              <w:rPr>
                <w:rFonts w:ascii="Times New Roman" w:hAnsi="Times New Roman"/>
                <w:sz w:val="24"/>
                <w:szCs w:val="24"/>
              </w:rPr>
              <w:t xml:space="preserve">recizēta norāde uz </w:t>
            </w:r>
            <w:r w:rsidR="0098677C" w:rsidRPr="0044412F">
              <w:rPr>
                <w:rFonts w:ascii="Times New Roman" w:hAnsi="Times New Roman"/>
                <w:sz w:val="24"/>
                <w:szCs w:val="24"/>
              </w:rPr>
              <w:t>N</w:t>
            </w:r>
            <w:r w:rsidR="004F3F2F" w:rsidRPr="0044412F">
              <w:rPr>
                <w:rFonts w:ascii="Times New Roman" w:hAnsi="Times New Roman"/>
                <w:sz w:val="24"/>
                <w:szCs w:val="24"/>
              </w:rPr>
              <w:t>oteikumu izdošanas tiesisko pamatu</w:t>
            </w:r>
            <w:r w:rsidR="008279A2" w:rsidRPr="0044412F">
              <w:rPr>
                <w:rFonts w:ascii="Times New Roman" w:hAnsi="Times New Roman"/>
                <w:sz w:val="24"/>
                <w:szCs w:val="24"/>
              </w:rPr>
              <w:t>, kā arī 3.nodaļas nosaukums</w:t>
            </w:r>
            <w:r w:rsidR="004F3F2F" w:rsidRPr="0044412F">
              <w:rPr>
                <w:rFonts w:ascii="Times New Roman" w:hAnsi="Times New Roman"/>
                <w:sz w:val="24"/>
                <w:szCs w:val="24"/>
              </w:rPr>
              <w:t>.</w:t>
            </w:r>
            <w:r w:rsidR="008279A2" w:rsidRPr="0044412F">
              <w:rPr>
                <w:rFonts w:ascii="Times New Roman" w:hAnsi="Times New Roman"/>
                <w:sz w:val="24"/>
                <w:szCs w:val="24"/>
              </w:rPr>
              <w:t xml:space="preserve"> </w:t>
            </w:r>
          </w:p>
          <w:p w:rsidR="008E3680" w:rsidRPr="0044412F" w:rsidRDefault="00BE2859" w:rsidP="0044412F">
            <w:pPr>
              <w:pStyle w:val="ListParagraph"/>
              <w:numPr>
                <w:ilvl w:val="0"/>
                <w:numId w:val="10"/>
              </w:numPr>
              <w:spacing w:after="120"/>
              <w:ind w:left="278" w:hanging="278"/>
              <w:jc w:val="both"/>
              <w:rPr>
                <w:rFonts w:ascii="Times New Roman" w:hAnsi="Times New Roman"/>
                <w:bCs/>
                <w:sz w:val="24"/>
                <w:szCs w:val="24"/>
                <w:shd w:val="clear" w:color="auto" w:fill="FFFFFF"/>
              </w:rPr>
            </w:pPr>
            <w:r w:rsidRPr="0044412F">
              <w:rPr>
                <w:rFonts w:ascii="Times New Roman" w:hAnsi="Times New Roman"/>
                <w:color w:val="000000" w:themeColor="text1"/>
                <w:sz w:val="24"/>
                <w:szCs w:val="24"/>
              </w:rPr>
              <w:t xml:space="preserve">Iestrādāti punkti, kas, </w:t>
            </w:r>
            <w:r w:rsidRPr="0044412F">
              <w:rPr>
                <w:rFonts w:ascii="Times New Roman" w:hAnsi="Times New Roman"/>
                <w:sz w:val="24"/>
                <w:szCs w:val="24"/>
              </w:rPr>
              <w:t>ņemot vērā terminu aizvietojamību atbilstību, ar vārdiem „publiska persona”</w:t>
            </w:r>
            <w:r w:rsidRPr="0044412F">
              <w:rPr>
                <w:rFonts w:ascii="Times New Roman" w:hAnsi="Times New Roman"/>
                <w:color w:val="000000" w:themeColor="text1"/>
                <w:sz w:val="24"/>
                <w:szCs w:val="24"/>
              </w:rPr>
              <w:t xml:space="preserve"> aizstāj tādus </w:t>
            </w:r>
            <w:r w:rsidRPr="0044412F">
              <w:rPr>
                <w:rFonts w:ascii="Times New Roman" w:hAnsi="Times New Roman"/>
                <w:sz w:val="24"/>
                <w:szCs w:val="24"/>
              </w:rPr>
              <w:t xml:space="preserve">vārdus kā, piemēram, „valsts, pašvaldība” saskaņā ar </w:t>
            </w:r>
            <w:r w:rsidRPr="0044412F">
              <w:rPr>
                <w:rFonts w:ascii="Times New Roman" w:hAnsi="Times New Roman"/>
                <w:bCs/>
                <w:sz w:val="24"/>
                <w:szCs w:val="24"/>
                <w:shd w:val="clear" w:color="auto" w:fill="FFFFFF"/>
              </w:rPr>
              <w:t xml:space="preserve">Publiskas personas finanšu līdzekļu un mantas izšķērdēšanas novēršanas likumā izmantoto terminoloģiju. </w:t>
            </w:r>
          </w:p>
          <w:p w:rsidR="00A556DA" w:rsidRPr="0044412F" w:rsidRDefault="00A556DA" w:rsidP="0044412F">
            <w:pPr>
              <w:pStyle w:val="ListParagraph"/>
              <w:numPr>
                <w:ilvl w:val="0"/>
                <w:numId w:val="10"/>
              </w:numPr>
              <w:spacing w:after="120"/>
              <w:ind w:left="278" w:hanging="278"/>
              <w:jc w:val="both"/>
              <w:rPr>
                <w:rFonts w:ascii="Times New Roman" w:hAnsi="Times New Roman"/>
                <w:sz w:val="24"/>
                <w:szCs w:val="24"/>
              </w:rPr>
            </w:pPr>
            <w:r w:rsidRPr="0044412F">
              <w:rPr>
                <w:rFonts w:ascii="Times New Roman" w:hAnsi="Times New Roman"/>
                <w:sz w:val="24"/>
                <w:szCs w:val="24"/>
              </w:rPr>
              <w:t xml:space="preserve">Attiecībā uz 3.nodaļas attiecināšanu arī uz privātpersonām, kas veic deleģētu funkciju, </w:t>
            </w:r>
            <w:r w:rsidR="008E3680" w:rsidRPr="0044412F">
              <w:rPr>
                <w:rFonts w:ascii="Times New Roman" w:hAnsi="Times New Roman"/>
                <w:sz w:val="24"/>
                <w:szCs w:val="24"/>
              </w:rPr>
              <w:t>jāsecina, ka</w:t>
            </w:r>
            <w:r w:rsidRPr="0044412F">
              <w:rPr>
                <w:rFonts w:ascii="Times New Roman" w:hAnsi="Times New Roman"/>
                <w:sz w:val="24"/>
                <w:szCs w:val="24"/>
              </w:rPr>
              <w:t xml:space="preserve"> Publiskas personas finanšu līdzekļu un mantas izšķērdēšanas novēršanas likuma 5.pants pieļauj nodot bezatlīdzības lietošanā nekustamos īpašumus deleģēto pārvaldes uzdevumu veikšanai. Valsts pārvalde</w:t>
            </w:r>
            <w:r w:rsidR="008E3680" w:rsidRPr="0044412F">
              <w:rPr>
                <w:rFonts w:ascii="Times New Roman" w:hAnsi="Times New Roman"/>
                <w:sz w:val="24"/>
                <w:szCs w:val="24"/>
              </w:rPr>
              <w:t>s</w:t>
            </w:r>
            <w:r w:rsidRPr="0044412F">
              <w:rPr>
                <w:rFonts w:ascii="Times New Roman" w:hAnsi="Times New Roman"/>
                <w:sz w:val="24"/>
                <w:szCs w:val="24"/>
              </w:rPr>
              <w:t xml:space="preserve"> iekārtas likum</w:t>
            </w:r>
            <w:r w:rsidR="008E3680" w:rsidRPr="0044412F">
              <w:rPr>
                <w:rFonts w:ascii="Times New Roman" w:hAnsi="Times New Roman"/>
                <w:sz w:val="24"/>
                <w:szCs w:val="24"/>
              </w:rPr>
              <w:t xml:space="preserve">s </w:t>
            </w:r>
            <w:r w:rsidRPr="0044412F">
              <w:rPr>
                <w:rFonts w:ascii="Times New Roman" w:hAnsi="Times New Roman"/>
                <w:sz w:val="24"/>
                <w:szCs w:val="24"/>
              </w:rPr>
              <w:t>attiecas arī uz privātpersonu, kura pilda likumā noteiktajā kārtībā tai deleģētos vai ar pilnvarojumu nodotos valsts pārvaldes uzdevumus, likumā ir normas par valsts pārvaldes principiem attiecībā uz privātpersonu.</w:t>
            </w:r>
            <w:r w:rsidR="00ED78D0" w:rsidRPr="0044412F">
              <w:rPr>
                <w:rFonts w:ascii="Times New Roman" w:hAnsi="Times New Roman"/>
                <w:sz w:val="24"/>
                <w:szCs w:val="24"/>
              </w:rPr>
              <w:t xml:space="preserve"> Veikti precizējumi noteikumu 55., 58. un 62. punktā. Pēc Finanšu ministrijas ierosinājuma precizēts 55. un 58. punkts, papildinot ar vārdiem “privātpersonai”. Tostarp, punktā nav ietverti vārdi “publiskas personas kapitālsabiedrība”, jo projektam ir jāaptver tāds pats kapitālsabiedrību loks, kā to paredz Izšķērdēšanas novēršanas likums. Precizējums 62.punktā veikts, ņemot vērā, ka no spēkā esošās redakcijas nav saprotams,</w:t>
            </w:r>
            <w:r w:rsidR="00ED78D0" w:rsidRPr="0044412F">
              <w:rPr>
                <w:rFonts w:ascii="Times New Roman" w:hAnsi="Times New Roman"/>
                <w:b/>
                <w:sz w:val="24"/>
                <w:szCs w:val="24"/>
              </w:rPr>
              <w:t xml:space="preserve"> </w:t>
            </w:r>
            <w:r w:rsidR="00ED78D0" w:rsidRPr="0044412F">
              <w:rPr>
                <w:rFonts w:ascii="Times New Roman" w:hAnsi="Times New Roman"/>
                <w:sz w:val="24"/>
                <w:szCs w:val="24"/>
              </w:rPr>
              <w:t xml:space="preserve">kas domāts ar formulējumu „veiks attiecīgās darbības”. Secināts, ka noteikumos ar formulējumu “veiks attiecīgās darbības” jāsaprot “veiks kapitālieguldījumus”, kas noteikts noteikumu 61.punktā. </w:t>
            </w:r>
          </w:p>
          <w:p w:rsidR="008E3680" w:rsidRPr="0044412F" w:rsidRDefault="00E52600" w:rsidP="0044412F">
            <w:pPr>
              <w:pStyle w:val="ListParagraph"/>
              <w:numPr>
                <w:ilvl w:val="0"/>
                <w:numId w:val="10"/>
              </w:numPr>
              <w:ind w:left="278" w:hanging="278"/>
              <w:jc w:val="both"/>
              <w:rPr>
                <w:rFonts w:ascii="Times New Roman" w:hAnsi="Times New Roman"/>
                <w:sz w:val="24"/>
                <w:szCs w:val="24"/>
              </w:rPr>
            </w:pPr>
            <w:r w:rsidRPr="0044412F">
              <w:rPr>
                <w:rFonts w:ascii="Times New Roman" w:hAnsi="Times New Roman"/>
                <w:sz w:val="24"/>
                <w:szCs w:val="24"/>
                <w:shd w:val="clear" w:color="auto" w:fill="FEFEFE"/>
              </w:rPr>
              <w:t xml:space="preserve">Papildināts </w:t>
            </w:r>
            <w:r w:rsidR="0098677C" w:rsidRPr="0044412F">
              <w:rPr>
                <w:rFonts w:ascii="Times New Roman" w:hAnsi="Times New Roman"/>
                <w:sz w:val="24"/>
                <w:szCs w:val="24"/>
                <w:shd w:val="clear" w:color="auto" w:fill="FEFEFE"/>
              </w:rPr>
              <w:t>N</w:t>
            </w:r>
            <w:r w:rsidRPr="0044412F">
              <w:rPr>
                <w:rFonts w:ascii="Times New Roman" w:hAnsi="Times New Roman"/>
                <w:sz w:val="24"/>
                <w:szCs w:val="24"/>
                <w:shd w:val="clear" w:color="auto" w:fill="FEFEFE"/>
              </w:rPr>
              <w:t xml:space="preserve">oteikumu 3.punkts, </w:t>
            </w:r>
            <w:r w:rsidR="00825716" w:rsidRPr="0044412F">
              <w:rPr>
                <w:rFonts w:ascii="Times New Roman" w:hAnsi="Times New Roman"/>
                <w:sz w:val="24"/>
                <w:szCs w:val="24"/>
              </w:rPr>
              <w:t xml:space="preserve">nosakot, ka </w:t>
            </w:r>
            <w:r w:rsidR="0098677C" w:rsidRPr="0044412F">
              <w:rPr>
                <w:rFonts w:ascii="Times New Roman" w:hAnsi="Times New Roman"/>
                <w:sz w:val="24"/>
                <w:szCs w:val="24"/>
              </w:rPr>
              <w:t>N</w:t>
            </w:r>
            <w:r w:rsidR="00825716" w:rsidRPr="0044412F">
              <w:rPr>
                <w:rFonts w:ascii="Times New Roman" w:hAnsi="Times New Roman"/>
                <w:sz w:val="24"/>
                <w:szCs w:val="24"/>
              </w:rPr>
              <w:t>oteikumu prasības par izsoles kārtību (noteikumu 2.nodaļa) un nosacītās nomas maksas noteikšanas metodika (noteikumu 3. un 4.nodaļa) minētajos gadījumos nav piemērojamas</w:t>
            </w:r>
            <w:r w:rsidR="00E6326C" w:rsidRPr="0044412F">
              <w:rPr>
                <w:rFonts w:ascii="Times New Roman" w:hAnsi="Times New Roman"/>
                <w:sz w:val="24"/>
                <w:szCs w:val="24"/>
              </w:rPr>
              <w:t xml:space="preserve">, gadījumos, ja </w:t>
            </w:r>
            <w:r w:rsidR="00E6326C" w:rsidRPr="0044412F">
              <w:rPr>
                <w:rFonts w:ascii="Times New Roman" w:hAnsi="Times New Roman"/>
                <w:iCs/>
                <w:sz w:val="24"/>
                <w:szCs w:val="24"/>
              </w:rPr>
              <w:t>pašvaldība iznomā ielu (tās daļu) transporta būvju un inženiertīklu būvdarbu veikšanai, veicot ielas seguma uzlaušanu, zemes darbus un ielas konstrukcijas atjaunošanu,  vai būvdarbu veikšanai, kuru laikā nepieciešams aizņemt ielas elementus, kā arī gadījumos, kad nepieciešams aizņemt ielas elementus, novietojot nožogojumus, sastatnes, konteinerus, estakādes, būvmateriālus un dažādus mehānismus, kā a</w:t>
            </w:r>
            <w:r w:rsidR="00853FB8" w:rsidRPr="0044412F">
              <w:rPr>
                <w:rFonts w:ascii="Times New Roman" w:hAnsi="Times New Roman"/>
                <w:iCs/>
                <w:sz w:val="24"/>
                <w:szCs w:val="24"/>
              </w:rPr>
              <w:t xml:space="preserve">rī citas pagaidu konstrukcijas, </w:t>
            </w:r>
            <w:r w:rsidR="00853FB8" w:rsidRPr="0044412F">
              <w:rPr>
                <w:rFonts w:ascii="Times New Roman" w:hAnsi="Times New Roman"/>
                <w:sz w:val="24"/>
                <w:szCs w:val="24"/>
              </w:rPr>
              <w:t>saskaņā ar Ministru kabineta, pašvaldību domes vai citas atvasinātas publiskas personas apstiprinātu maksas pakalpojumu cenrādi.</w:t>
            </w:r>
            <w:r w:rsidR="00853FB8" w:rsidRPr="0044412F">
              <w:rPr>
                <w:rFonts w:ascii="Times New Roman" w:hAnsi="Times New Roman"/>
                <w:iCs/>
                <w:sz w:val="24"/>
                <w:szCs w:val="24"/>
              </w:rPr>
              <w:t xml:space="preserve"> </w:t>
            </w:r>
            <w:r w:rsidR="0032690B" w:rsidRPr="0044412F">
              <w:rPr>
                <w:rFonts w:ascii="Times New Roman" w:hAnsi="Times New Roman"/>
                <w:iCs/>
                <w:sz w:val="24"/>
                <w:szCs w:val="24"/>
              </w:rPr>
              <w:t>Cenrādis</w:t>
            </w:r>
            <w:r w:rsidR="00781B75" w:rsidRPr="0044412F">
              <w:rPr>
                <w:rFonts w:ascii="Times New Roman" w:hAnsi="Times New Roman"/>
                <w:iCs/>
                <w:sz w:val="24"/>
                <w:szCs w:val="24"/>
              </w:rPr>
              <w:t xml:space="preserve"> tiek</w:t>
            </w:r>
            <w:r w:rsidR="0032690B" w:rsidRPr="0044412F">
              <w:rPr>
                <w:rFonts w:ascii="Times New Roman" w:hAnsi="Times New Roman"/>
                <w:iCs/>
                <w:sz w:val="24"/>
                <w:szCs w:val="24"/>
              </w:rPr>
              <w:t xml:space="preserve"> noteikts ielām kopumā, nevis katrai ielai atsevišķi.</w:t>
            </w:r>
            <w:r w:rsidR="001A4375" w:rsidRPr="0044412F">
              <w:rPr>
                <w:rFonts w:ascii="Times New Roman" w:hAnsi="Times New Roman"/>
                <w:iCs/>
                <w:sz w:val="24"/>
                <w:szCs w:val="24"/>
              </w:rPr>
              <w:t xml:space="preserve"> </w:t>
            </w:r>
            <w:r w:rsidR="00483907" w:rsidRPr="0044412F">
              <w:rPr>
                <w:rFonts w:ascii="Times New Roman" w:hAnsi="Times New Roman"/>
                <w:iCs/>
                <w:sz w:val="24"/>
                <w:szCs w:val="24"/>
              </w:rPr>
              <w:t>N</w:t>
            </w:r>
            <w:r w:rsidR="001A4375" w:rsidRPr="0044412F">
              <w:rPr>
                <w:rFonts w:ascii="Times New Roman" w:hAnsi="Times New Roman"/>
                <w:iCs/>
                <w:sz w:val="24"/>
                <w:szCs w:val="24"/>
              </w:rPr>
              <w:t>oteikts,</w:t>
            </w:r>
            <w:r w:rsidR="00EA4589" w:rsidRPr="0044412F">
              <w:rPr>
                <w:rFonts w:ascii="Times New Roman" w:hAnsi="Times New Roman"/>
                <w:iCs/>
                <w:sz w:val="24"/>
                <w:szCs w:val="24"/>
              </w:rPr>
              <w:t xml:space="preserve"> ka</w:t>
            </w:r>
            <w:r w:rsidR="001A4375" w:rsidRPr="0044412F">
              <w:rPr>
                <w:rFonts w:ascii="Times New Roman" w:hAnsi="Times New Roman"/>
                <w:iCs/>
                <w:sz w:val="24"/>
                <w:szCs w:val="24"/>
              </w:rPr>
              <w:t xml:space="preserve"> </w:t>
            </w:r>
            <w:r w:rsidR="00EA4589" w:rsidRPr="0044412F">
              <w:rPr>
                <w:rFonts w:ascii="Times New Roman" w:hAnsi="Times New Roman"/>
                <w:sz w:val="24"/>
                <w:szCs w:val="24"/>
              </w:rPr>
              <w:t>maksas pakalpojumu cenrāži var tik pārskatīti pēc nepieciešamības</w:t>
            </w:r>
            <w:r w:rsidR="009B69F9" w:rsidRPr="0044412F">
              <w:rPr>
                <w:rFonts w:ascii="Times New Roman" w:hAnsi="Times New Roman"/>
                <w:sz w:val="24"/>
                <w:szCs w:val="24"/>
              </w:rPr>
              <w:t>, bet ne retāk kā reizi 6 gados</w:t>
            </w:r>
            <w:r w:rsidR="00EA4589" w:rsidRPr="0044412F">
              <w:rPr>
                <w:rFonts w:ascii="Times New Roman" w:hAnsi="Times New Roman"/>
                <w:sz w:val="24"/>
                <w:szCs w:val="24"/>
              </w:rPr>
              <w:t xml:space="preserve"> – gan nomas objektiem, kas netiek iznomāti komerciāliem mērķiem, gan nomas objektiem, kas tiek iznomāti komerciāliem mērķiem, kas kvalificējas kā komercdarbības atbalsts. </w:t>
            </w:r>
          </w:p>
          <w:p w:rsidR="00E83194" w:rsidRPr="0044412F" w:rsidRDefault="002A4FD0" w:rsidP="0044412F">
            <w:pPr>
              <w:pStyle w:val="ListParagraph"/>
              <w:numPr>
                <w:ilvl w:val="0"/>
                <w:numId w:val="10"/>
              </w:numPr>
              <w:spacing w:after="120"/>
              <w:ind w:left="278" w:hanging="278"/>
              <w:contextualSpacing/>
              <w:jc w:val="both"/>
              <w:rPr>
                <w:rFonts w:ascii="Times New Roman" w:hAnsi="Times New Roman"/>
                <w:sz w:val="24"/>
                <w:szCs w:val="24"/>
              </w:rPr>
            </w:pPr>
            <w:r w:rsidRPr="0044412F">
              <w:rPr>
                <w:rFonts w:ascii="Times New Roman" w:hAnsi="Times New Roman"/>
                <w:sz w:val="24"/>
                <w:szCs w:val="24"/>
                <w:shd w:val="clear" w:color="auto" w:fill="FEFEFE"/>
              </w:rPr>
              <w:t xml:space="preserve">Papildināts </w:t>
            </w:r>
            <w:r w:rsidR="0098677C" w:rsidRPr="0044412F">
              <w:rPr>
                <w:rFonts w:ascii="Times New Roman" w:hAnsi="Times New Roman"/>
                <w:sz w:val="24"/>
                <w:szCs w:val="24"/>
                <w:shd w:val="clear" w:color="auto" w:fill="FEFEFE"/>
              </w:rPr>
              <w:t>N</w:t>
            </w:r>
            <w:r w:rsidR="00435AD7" w:rsidRPr="0044412F">
              <w:rPr>
                <w:rFonts w:ascii="Times New Roman" w:hAnsi="Times New Roman"/>
                <w:sz w:val="24"/>
                <w:szCs w:val="24"/>
                <w:shd w:val="clear" w:color="auto" w:fill="FEFEFE"/>
              </w:rPr>
              <w:t xml:space="preserve">oteikumu 4.10.apakšpunkts ar jēdzienu </w:t>
            </w:r>
            <w:r w:rsidR="00435AD7" w:rsidRPr="0044412F">
              <w:rPr>
                <w:rFonts w:ascii="Times New Roman" w:hAnsi="Times New Roman"/>
                <w:sz w:val="24"/>
                <w:szCs w:val="24"/>
              </w:rPr>
              <w:t>„</w:t>
            </w:r>
            <w:r w:rsidR="000A04C7" w:rsidRPr="0044412F">
              <w:rPr>
                <w:rFonts w:ascii="Times New Roman" w:hAnsi="Times New Roman"/>
                <w:sz w:val="24"/>
                <w:szCs w:val="24"/>
              </w:rPr>
              <w:t>privāt</w:t>
            </w:r>
            <w:r w:rsidR="003E0ACA" w:rsidRPr="0044412F">
              <w:rPr>
                <w:rFonts w:ascii="Times New Roman" w:hAnsi="Times New Roman"/>
                <w:sz w:val="24"/>
                <w:szCs w:val="24"/>
              </w:rPr>
              <w:t>persona</w:t>
            </w:r>
            <w:r w:rsidR="008203A4" w:rsidRPr="0044412F">
              <w:rPr>
                <w:rFonts w:ascii="Times New Roman" w:hAnsi="Times New Roman"/>
                <w:sz w:val="24"/>
                <w:szCs w:val="24"/>
              </w:rPr>
              <w:t>”</w:t>
            </w:r>
            <w:r w:rsidR="00435AD7" w:rsidRPr="0044412F">
              <w:rPr>
                <w:rFonts w:ascii="Times New Roman" w:hAnsi="Times New Roman"/>
                <w:sz w:val="24"/>
                <w:szCs w:val="24"/>
                <w:shd w:val="clear" w:color="auto" w:fill="FEFEFE"/>
              </w:rPr>
              <w:t xml:space="preserve">, lai veicinātu </w:t>
            </w:r>
            <w:r w:rsidR="003E0ACA" w:rsidRPr="0044412F">
              <w:rPr>
                <w:rFonts w:ascii="Times New Roman" w:hAnsi="Times New Roman"/>
                <w:sz w:val="24"/>
                <w:szCs w:val="24"/>
              </w:rPr>
              <w:t>publiskas personas autonomiju publiskas funkcijas nodrošināšanai, izvērtējot situācijas, kad privātais sektors var nodrošināt publiskas funkcijas veikšanu, piemēram</w:t>
            </w:r>
            <w:r w:rsidR="007A7E5B" w:rsidRPr="0044412F">
              <w:rPr>
                <w:rFonts w:ascii="Times New Roman" w:hAnsi="Times New Roman"/>
                <w:sz w:val="24"/>
                <w:szCs w:val="24"/>
              </w:rPr>
              <w:t>, veselības aprūpes pieejamību – nodroši</w:t>
            </w:r>
            <w:r w:rsidR="00657044" w:rsidRPr="0044412F">
              <w:rPr>
                <w:rFonts w:ascii="Times New Roman" w:hAnsi="Times New Roman"/>
                <w:sz w:val="24"/>
                <w:szCs w:val="24"/>
              </w:rPr>
              <w:t xml:space="preserve">nāt ģimenes ārsta prakses vietu; vides un dzīvnieku aizsardzības funkcijas veikšanai – nodrošināt pilsētvidē nonākušo savvaļas dzīvnieku aprūpi. </w:t>
            </w:r>
            <w:r w:rsidR="007A7E5B" w:rsidRPr="0044412F">
              <w:rPr>
                <w:rFonts w:ascii="Times New Roman" w:hAnsi="Times New Roman"/>
                <w:sz w:val="24"/>
                <w:szCs w:val="24"/>
              </w:rPr>
              <w:t xml:space="preserve"> Noteikumu projekta </w:t>
            </w:r>
            <w:r w:rsidR="00781B75" w:rsidRPr="0044412F">
              <w:rPr>
                <w:rFonts w:ascii="Times New Roman" w:hAnsi="Times New Roman"/>
                <w:sz w:val="24"/>
                <w:szCs w:val="24"/>
              </w:rPr>
              <w:t>6</w:t>
            </w:r>
            <w:r w:rsidR="007A7E5B" w:rsidRPr="0044412F">
              <w:rPr>
                <w:rFonts w:ascii="Times New Roman" w:hAnsi="Times New Roman"/>
                <w:sz w:val="24"/>
                <w:szCs w:val="24"/>
              </w:rPr>
              <w:t>.punkts.</w:t>
            </w:r>
          </w:p>
          <w:p w:rsidR="003E07DA" w:rsidRPr="0044412F" w:rsidRDefault="000D55ED" w:rsidP="0044412F">
            <w:pPr>
              <w:pStyle w:val="ListParagraph"/>
              <w:numPr>
                <w:ilvl w:val="0"/>
                <w:numId w:val="10"/>
              </w:numPr>
              <w:ind w:left="278" w:hanging="278"/>
              <w:jc w:val="both"/>
              <w:rPr>
                <w:rFonts w:ascii="Times New Roman" w:hAnsi="Times New Roman"/>
                <w:sz w:val="24"/>
                <w:szCs w:val="24"/>
              </w:rPr>
            </w:pPr>
            <w:r w:rsidRPr="0044412F">
              <w:rPr>
                <w:rFonts w:ascii="Times New Roman" w:hAnsi="Times New Roman"/>
                <w:sz w:val="24"/>
                <w:szCs w:val="24"/>
              </w:rPr>
              <w:t xml:space="preserve">Papildināts Noteikumu 9.punkts, paredzot, ka iznomātājam ir tiesības izlemt, vai pagarināt attiecīgā nomas līguma termiņu ar nomnieku (nerīkojot izsoli), ja tas, labticīgi pildījis nomnieka pienākumus, tostarp, tam nav nenokārtotas parādsaistības ar iznomātāju.  T.i. nomniekam </w:t>
            </w:r>
            <w:r w:rsidR="00B855E9" w:rsidRPr="0044412F">
              <w:rPr>
                <w:rFonts w:ascii="Times New Roman" w:hAnsi="Times New Roman"/>
                <w:iCs/>
                <w:sz w:val="24"/>
                <w:szCs w:val="24"/>
              </w:rPr>
              <w:t>nav nenokārtotas parādsaistības pret iznomātāju, kā arī</w:t>
            </w:r>
            <w:r w:rsidR="00CA77DB" w:rsidRPr="0044412F">
              <w:rPr>
                <w:rFonts w:ascii="Times New Roman" w:hAnsi="Times New Roman"/>
                <w:iCs/>
                <w:sz w:val="24"/>
                <w:szCs w:val="24"/>
              </w:rPr>
              <w:t xml:space="preserve"> nav iznomātājam zināmu nekustamā īpašuma uzturēšanai nepieciešamo pakalpojumu parādu, kas ietver arī </w:t>
            </w:r>
            <w:r w:rsidR="00CA77DB" w:rsidRPr="0044412F">
              <w:rPr>
                <w:rFonts w:ascii="Times New Roman" w:hAnsi="Times New Roman"/>
                <w:sz w:val="24"/>
                <w:szCs w:val="24"/>
              </w:rPr>
              <w:t>saistības par komunālo maksājumu segšanu.</w:t>
            </w:r>
            <w:r w:rsidR="00CA77DB" w:rsidRPr="0044412F">
              <w:rPr>
                <w:rFonts w:ascii="Times New Roman" w:hAnsi="Times New Roman"/>
                <w:iCs/>
                <w:sz w:val="24"/>
                <w:szCs w:val="24"/>
              </w:rPr>
              <w:t xml:space="preserve"> </w:t>
            </w:r>
            <w:r w:rsidR="00145C56" w:rsidRPr="0044412F">
              <w:rPr>
                <w:rFonts w:ascii="Times New Roman" w:hAnsi="Times New Roman"/>
                <w:sz w:val="24"/>
                <w:szCs w:val="24"/>
              </w:rPr>
              <w:t>Saskaņošanas procesā jeb noteikumu projekta evolūcijas gaitā tika iesaistītas arī citas institūcijas, kā rezultātā tika secināts, ka ir lietderīgi paplašināt iznomātāju loku, kas var būt publiska persona, neizdalot iznomātāju grupas atsevišķi, piemēram, valsts, pašvaldība, u.c. Minētā punkta mērķis ir paplašināt iznomātāju tiesības, nosakot, ka, ievērojot sabiedrības intereses un lietderības apsvērumus, iznomātājam ir tiesības izlemt vai pagarināt attiecīgā nomas līguma termiņu, ja nomnieks labticīgi pildījis nomas līgumā noteiktos pienākumus. Savukārt punkta būtība ir definēt gadījumus, kuri iznomātājam ir jāvērtē, izskatot iespēju pagarināt nomas līguma termiņu bez izsoles rīkošanas, kā arī noteikt gadījumus, kā tiek noteikta nomas maksa, piemēram, ja nomas objekts tiek iznomāts komerciāliem mērķiem. Tostarp noteikts nomnieka pienākums atsevišķos gadījumos (ja nomas objekts tiek iznomāts komerciāliem mērķiem) papildus nomas maksai kompensēt sertificēta vērtētāja atlīdzības summu.</w:t>
            </w:r>
            <w:r w:rsidR="002E2F85" w:rsidRPr="0044412F">
              <w:rPr>
                <w:rFonts w:ascii="Times New Roman" w:hAnsi="Times New Roman"/>
                <w:iCs/>
                <w:sz w:val="24"/>
                <w:szCs w:val="24"/>
              </w:rPr>
              <w:t xml:space="preserve"> </w:t>
            </w:r>
            <w:r w:rsidR="003E07DA" w:rsidRPr="0044412F">
              <w:rPr>
                <w:rFonts w:ascii="Times New Roman" w:hAnsi="Times New Roman"/>
                <w:sz w:val="24"/>
                <w:szCs w:val="24"/>
              </w:rPr>
              <w:t>Sertificēta vērtētāja pieaicināšana nav obligāta, ņemot vērā, ka esošajos noteikumos ir paredzēta arī izsole, ar kuras palīdzību var noteikt nomnieku. Sertificēta vērtētāja atlīdzība nomas maksai pievienojama gadījumā, ja to ir iespējams attiecināt konkrētam nomniekam, t.i., ja, piemēram, sertificēts vērtētājs nosaka tirgus nomas maksu visam īpašumam, kuru nomās nomnieks. Šāda norma iekļauta, piemēram, lai izvairītos no situācijas, kad iznomātājs pieaicina sertificētu vērtētāju īpašuma tirgus nomas maksas noteikšanai bez potenciāla nomnieka, un brīdī, kad ir atrasts nomnieks daļai no īpašuma, tam ir nepieciešams kompensēt sertificēta vērtētāja atlīdzību par visa īpašuma vērtēšanu.</w:t>
            </w:r>
          </w:p>
          <w:p w:rsidR="0009224F" w:rsidRPr="0044412F" w:rsidRDefault="00A14186" w:rsidP="0044412F">
            <w:pPr>
              <w:pStyle w:val="ListParagraph"/>
              <w:numPr>
                <w:ilvl w:val="0"/>
                <w:numId w:val="10"/>
              </w:numPr>
              <w:spacing w:after="120"/>
              <w:ind w:left="278" w:hanging="278"/>
              <w:contextualSpacing/>
              <w:jc w:val="both"/>
              <w:rPr>
                <w:rFonts w:ascii="Times New Roman" w:hAnsi="Times New Roman"/>
                <w:sz w:val="24"/>
                <w:szCs w:val="24"/>
              </w:rPr>
            </w:pPr>
            <w:r w:rsidRPr="0044412F">
              <w:rPr>
                <w:rFonts w:ascii="Times New Roman" w:hAnsi="Times New Roman"/>
                <w:sz w:val="24"/>
                <w:szCs w:val="24"/>
              </w:rPr>
              <w:t xml:space="preserve">Veikti grozījumi </w:t>
            </w:r>
            <w:r w:rsidR="0098677C" w:rsidRPr="0044412F">
              <w:rPr>
                <w:rFonts w:ascii="Times New Roman" w:hAnsi="Times New Roman"/>
                <w:sz w:val="24"/>
                <w:szCs w:val="24"/>
              </w:rPr>
              <w:t>N</w:t>
            </w:r>
            <w:r w:rsidRPr="0044412F">
              <w:rPr>
                <w:rFonts w:ascii="Times New Roman" w:hAnsi="Times New Roman"/>
                <w:sz w:val="24"/>
                <w:szCs w:val="24"/>
              </w:rPr>
              <w:t xml:space="preserve">oteikumos attiecībā uz telpu nomas līguma pagarināšanu ar esošo nomnieku, nerīkojot izsoli, bet, pieaicinot </w:t>
            </w:r>
            <w:r w:rsidR="003124E8" w:rsidRPr="0044412F">
              <w:rPr>
                <w:rFonts w:ascii="Times New Roman" w:hAnsi="Times New Roman"/>
                <w:sz w:val="24"/>
                <w:szCs w:val="24"/>
              </w:rPr>
              <w:t>sertificētu vērtētāju</w:t>
            </w:r>
            <w:r w:rsidRPr="0044412F">
              <w:rPr>
                <w:rFonts w:ascii="Times New Roman" w:hAnsi="Times New Roman"/>
                <w:sz w:val="24"/>
                <w:szCs w:val="24"/>
              </w:rPr>
              <w:t xml:space="preserve">, kas noteiktu turpmāko nomas maksu atbilstošu esošai tirgus situācijai. </w:t>
            </w:r>
            <w:r w:rsidR="003124E8" w:rsidRPr="0044412F">
              <w:rPr>
                <w:rFonts w:ascii="Times New Roman" w:hAnsi="Times New Roman"/>
                <w:sz w:val="24"/>
                <w:szCs w:val="24"/>
              </w:rPr>
              <w:t>Gadījumos, kad sertificēta vērtētāja darba atlīdzības summu var attiecināt uz konkrētu nomnieku, tad tā atlīdzību ietver nomas līgumā.</w:t>
            </w:r>
            <w:r w:rsidR="007A7E5B" w:rsidRPr="0044412F">
              <w:rPr>
                <w:rFonts w:ascii="Times New Roman" w:hAnsi="Times New Roman"/>
                <w:sz w:val="24"/>
                <w:szCs w:val="24"/>
              </w:rPr>
              <w:t xml:space="preserve"> </w:t>
            </w:r>
          </w:p>
          <w:p w:rsidR="0009224F" w:rsidRPr="0044412F" w:rsidRDefault="007A7E5B" w:rsidP="0044412F">
            <w:pPr>
              <w:pStyle w:val="ListParagraph"/>
              <w:numPr>
                <w:ilvl w:val="0"/>
                <w:numId w:val="10"/>
              </w:numPr>
              <w:spacing w:after="120"/>
              <w:ind w:left="278" w:hanging="278"/>
              <w:contextualSpacing/>
              <w:jc w:val="both"/>
              <w:rPr>
                <w:rFonts w:ascii="Times New Roman" w:hAnsi="Times New Roman"/>
                <w:sz w:val="24"/>
                <w:szCs w:val="24"/>
              </w:rPr>
            </w:pPr>
            <w:r w:rsidRPr="0044412F">
              <w:rPr>
                <w:rFonts w:ascii="Times New Roman" w:hAnsi="Times New Roman"/>
                <w:sz w:val="24"/>
                <w:szCs w:val="24"/>
              </w:rPr>
              <w:t>Projektā izteikts Ministru kabineta n</w:t>
            </w:r>
            <w:r w:rsidR="00603E19" w:rsidRPr="0044412F">
              <w:rPr>
                <w:rFonts w:ascii="Times New Roman" w:hAnsi="Times New Roman"/>
                <w:sz w:val="24"/>
                <w:szCs w:val="24"/>
              </w:rPr>
              <w:t>oteikumu 9.punkts redakcijā par nomas līguma termiņa pagarināšanu</w:t>
            </w:r>
            <w:r w:rsidRPr="0044412F">
              <w:rPr>
                <w:rFonts w:ascii="Times New Roman" w:hAnsi="Times New Roman"/>
                <w:sz w:val="24"/>
                <w:szCs w:val="24"/>
              </w:rPr>
              <w:t>, nerīkojot izsoli</w:t>
            </w:r>
            <w:r w:rsidR="00603E19" w:rsidRPr="0044412F">
              <w:rPr>
                <w:rFonts w:ascii="Times New Roman" w:hAnsi="Times New Roman"/>
                <w:sz w:val="24"/>
                <w:szCs w:val="24"/>
              </w:rPr>
              <w:t xml:space="preserve">, </w:t>
            </w:r>
            <w:r w:rsidR="000D55ED" w:rsidRPr="0044412F">
              <w:rPr>
                <w:rFonts w:ascii="Times New Roman" w:hAnsi="Times New Roman"/>
                <w:sz w:val="24"/>
                <w:szCs w:val="24"/>
              </w:rPr>
              <w:t>t</w:t>
            </w:r>
            <w:r w:rsidR="00603E19" w:rsidRPr="0044412F">
              <w:rPr>
                <w:rFonts w:ascii="Times New Roman" w:hAnsi="Times New Roman"/>
                <w:sz w:val="24"/>
                <w:szCs w:val="24"/>
              </w:rPr>
              <w:t xml:space="preserve">as attiecas gan uz kustamu, gan nekustamu mantu. Vienlaikus šāda kārtība attiecas arī uz </w:t>
            </w:r>
            <w:r w:rsidRPr="0044412F">
              <w:rPr>
                <w:rFonts w:ascii="Times New Roman" w:hAnsi="Times New Roman"/>
                <w:sz w:val="24"/>
                <w:szCs w:val="24"/>
              </w:rPr>
              <w:t>n</w:t>
            </w:r>
            <w:r w:rsidR="00603E19" w:rsidRPr="0044412F">
              <w:rPr>
                <w:rFonts w:ascii="Times New Roman" w:hAnsi="Times New Roman"/>
                <w:sz w:val="24"/>
                <w:szCs w:val="24"/>
              </w:rPr>
              <w:t xml:space="preserve">oteikumu 87.punktu, kur ar vārdiem “attiecīgais nomas līgums” saprotams, ka šis nomas līgums var būt gan kustamai, gan nekustamai mantai. </w:t>
            </w:r>
          </w:p>
          <w:p w:rsidR="006063BF" w:rsidRPr="0044412F" w:rsidRDefault="006063BF" w:rsidP="0044412F">
            <w:pPr>
              <w:pStyle w:val="ListParagraph"/>
              <w:numPr>
                <w:ilvl w:val="0"/>
                <w:numId w:val="10"/>
              </w:numPr>
              <w:spacing w:after="120"/>
              <w:ind w:left="278" w:hanging="278"/>
              <w:contextualSpacing/>
              <w:jc w:val="both"/>
              <w:rPr>
                <w:rFonts w:ascii="Times New Roman" w:hAnsi="Times New Roman"/>
                <w:sz w:val="24"/>
                <w:szCs w:val="24"/>
              </w:rPr>
            </w:pPr>
            <w:r w:rsidRPr="0044412F">
              <w:rPr>
                <w:rFonts w:ascii="Times New Roman" w:hAnsi="Times New Roman"/>
                <w:sz w:val="24"/>
                <w:szCs w:val="24"/>
              </w:rPr>
              <w:t>Precizētas iznomātāja tiesības noteikumu 52.punktā, norādot, ka iznomātājam ir tiesības</w:t>
            </w:r>
            <w:r w:rsidR="00367FB4" w:rsidRPr="0044412F">
              <w:rPr>
                <w:rFonts w:ascii="Times New Roman" w:hAnsi="Times New Roman"/>
                <w:sz w:val="24"/>
                <w:szCs w:val="24"/>
              </w:rPr>
              <w:t>, bet ne pienākums,</w:t>
            </w:r>
            <w:r w:rsidRPr="0044412F">
              <w:rPr>
                <w:rFonts w:ascii="Times New Roman" w:hAnsi="Times New Roman"/>
                <w:sz w:val="24"/>
                <w:szCs w:val="24"/>
              </w:rPr>
              <w:t xml:space="preserve"> secīgi piedāvāt slēgt nomas līgumu ar pretendentu, ja nomas tiesību pretendents, kurš nosolījis augstāko nomas maksu, atsakās slēgt nomas līgumu. No esošās redakcijas nav saprotams, cik nākamajiem pretendentiem jāpiedāvā slēgt nomas līgumus līdz arī nav saprotams vai būtu jāpiedāvā slēgt nomas līgumu trešajam un ceturtajam pretendentam.</w:t>
            </w:r>
            <w:r w:rsidR="007A7E5B" w:rsidRPr="0044412F">
              <w:rPr>
                <w:rFonts w:ascii="Times New Roman" w:hAnsi="Times New Roman"/>
                <w:sz w:val="24"/>
                <w:szCs w:val="24"/>
              </w:rPr>
              <w:t xml:space="preserve"> </w:t>
            </w:r>
          </w:p>
          <w:p w:rsidR="0044412F" w:rsidRPr="0044412F" w:rsidRDefault="0044412F" w:rsidP="0044412F">
            <w:pPr>
              <w:pStyle w:val="ListParagraph"/>
              <w:numPr>
                <w:ilvl w:val="0"/>
                <w:numId w:val="10"/>
              </w:numPr>
              <w:spacing w:after="120"/>
              <w:ind w:left="278" w:hanging="278"/>
              <w:jc w:val="both"/>
              <w:rPr>
                <w:rFonts w:ascii="Times New Roman" w:hAnsi="Times New Roman"/>
                <w:sz w:val="24"/>
                <w:szCs w:val="24"/>
              </w:rPr>
            </w:pPr>
            <w:r w:rsidRPr="0044412F">
              <w:rPr>
                <w:rFonts w:ascii="Times New Roman" w:hAnsi="Times New Roman"/>
                <w:sz w:val="24"/>
                <w:szCs w:val="24"/>
              </w:rPr>
              <w:t xml:space="preserve">Lai izslēgtu valsts atbalsta esamību, gadījumos, ja kustamu un nekustamu mantu iznomā mērķiem, kas kvalificējas kā komercdarbības atbalsts, publiskai personai, iznomājot tās īpašumus, tie ir jāiznomā par sertificēta vērtētāja noteiktu tirgus vērtību vai izsoles kārtībā kā noteikts Komisijas paziņojumā Nr. 97/C 209/03. </w:t>
            </w:r>
            <w:r w:rsidRPr="0044412F">
              <w:rPr>
                <w:rFonts w:ascii="Times New Roman" w:hAnsi="Times New Roman"/>
                <w:iCs/>
                <w:sz w:val="24"/>
                <w:szCs w:val="24"/>
              </w:rPr>
              <w:t xml:space="preserve">Komisijas paziņojumā ir ietverts skaidrojums, par neatkarīgā eksperta (noteikumu projektā lietots jēdziens – sertificēts vērtētājs) darbības principiem. </w:t>
            </w:r>
            <w:r w:rsidRPr="0044412F">
              <w:rPr>
                <w:rFonts w:ascii="Times New Roman" w:hAnsi="Times New Roman"/>
                <w:sz w:val="24"/>
                <w:szCs w:val="24"/>
              </w:rPr>
              <w:t>Gadījumos, kad</w:t>
            </w:r>
            <w:r w:rsidRPr="0044412F">
              <w:rPr>
                <w:rFonts w:ascii="Times New Roman" w:hAnsi="Times New Roman"/>
                <w:b/>
                <w:sz w:val="24"/>
                <w:szCs w:val="24"/>
              </w:rPr>
              <w:t xml:space="preserve"> </w:t>
            </w:r>
            <w:r w:rsidRPr="0044412F">
              <w:rPr>
                <w:rFonts w:ascii="Times New Roman" w:hAnsi="Times New Roman"/>
                <w:sz w:val="24"/>
                <w:szCs w:val="24"/>
              </w:rPr>
              <w:t xml:space="preserve">nomas objektu (kustamu mantu) iznomā privāto tiesību subjektiem, tad visos gadījumos, kad konstatēts komercdarbības atbalsts, pieaicina sertificētu vērtētāju. </w:t>
            </w:r>
            <w:r w:rsidRPr="0044412F">
              <w:rPr>
                <w:rFonts w:ascii="Times New Roman" w:hAnsi="Times New Roman"/>
                <w:bCs/>
                <w:sz w:val="24"/>
                <w:szCs w:val="24"/>
              </w:rPr>
              <w:t>Vērtētājam jābūt neatkarīgam</w:t>
            </w:r>
            <w:r w:rsidRPr="0044412F">
              <w:rPr>
                <w:rFonts w:ascii="Times New Roman" w:hAnsi="Times New Roman"/>
                <w:sz w:val="24"/>
                <w:szCs w:val="24"/>
              </w:rPr>
              <w:t>, veicot uzdevumus, t.i., publiskām iestādēm nav tiesību izdot rīkojumus attiecībā uz novērtēšanas rezultātiem. Valsts novērtēšanas biroji un valsts amatpersonas vai darbinieki tiek uzskatīti par neatkarīgiem, ja netiek pieļauta nepamatota ietekme uz viņu atzinumiem.</w:t>
            </w:r>
            <w:r w:rsidRPr="0044412F">
              <w:rPr>
                <w:rFonts w:ascii="Times New Roman" w:hAnsi="Times New Roman"/>
                <w:iCs/>
                <w:sz w:val="24"/>
                <w:szCs w:val="24"/>
              </w:rPr>
              <w:t xml:space="preserve"> </w:t>
            </w:r>
            <w:r w:rsidRPr="0044412F">
              <w:rPr>
                <w:rFonts w:ascii="Times New Roman" w:hAnsi="Times New Roman"/>
                <w:sz w:val="24"/>
                <w:szCs w:val="24"/>
              </w:rPr>
              <w:t>Ja nomnieka noskaidrošanai tiek rīkota izsole, iznomātājam, noteikumos noteiktā kārtībā nosakot publicējamo nosacīto nomas maksu (noteikumu 67.punktā minēts, ka nosacīto nomas maksu nosaka augstāku par nomas maksu, kas noteikta saskaņā ar noteikumu 3.nodaļu), jāņem vērā Publiskas personas finanšu līdzekļu un mantas izšķērdēšanas novēršanas likuma 3.pantā noteiktais pienākums mantu lietošanā nodot citai personai par iespējami augstāku cenu, tādējādi, izpētot tirgus situāciju, publicējamo nosacīto nomas maksu jānosaka iespējami tuvu tirgus nomas maksai. Pirms izsoles publicējamās nosacītās nomas maksas noteikšanai iznomātājs var pieaicināt arī sertificētu vērtētāju, taču tā pieaicināšana nav obligāta. Sertificētu vērtētāju var pieaicināt, ja</w:t>
            </w:r>
            <w:r w:rsidRPr="0044412F">
              <w:rPr>
                <w:rFonts w:ascii="Times New Roman" w:hAnsi="Times New Roman"/>
                <w:b/>
                <w:sz w:val="24"/>
                <w:szCs w:val="24"/>
              </w:rPr>
              <w:t xml:space="preserve"> </w:t>
            </w:r>
            <w:r w:rsidRPr="0044412F">
              <w:rPr>
                <w:rFonts w:ascii="Times New Roman" w:hAnsi="Times New Roman"/>
                <w:sz w:val="24"/>
                <w:szCs w:val="24"/>
              </w:rPr>
              <w:t>kustamu mantu iznomā, bet tas nekvalificējas kā komercdarbības atbalsts.</w:t>
            </w:r>
          </w:p>
          <w:p w:rsidR="002E2F85" w:rsidRPr="002E2F85" w:rsidRDefault="00B20173" w:rsidP="0044412F">
            <w:pPr>
              <w:pStyle w:val="Default"/>
              <w:numPr>
                <w:ilvl w:val="0"/>
                <w:numId w:val="10"/>
              </w:numPr>
              <w:spacing w:after="120"/>
              <w:ind w:left="278" w:hanging="278"/>
              <w:jc w:val="both"/>
            </w:pPr>
            <w:r w:rsidRPr="00631569">
              <w:t>Projektā</w:t>
            </w:r>
            <w:r w:rsidR="00A94453" w:rsidRPr="00631569">
              <w:t xml:space="preserve"> paredzētas tiesības iznomātājam sniegt atbalstu samazinātas nomas maksas veidā nekustamā īpašuma nomniekam (komersantam), kura saimnieciskās darbības veids atbilst </w:t>
            </w:r>
            <w:r w:rsidR="00C65B0A" w:rsidRPr="008F71AF">
              <w:t xml:space="preserve">Komisijas </w:t>
            </w:r>
            <w:r w:rsidR="00C65B0A" w:rsidRPr="008F71AF">
              <w:rPr>
                <w:bCs/>
              </w:rPr>
              <w:t xml:space="preserve">2013. gada 18. decembra Regulai (ES) Nr. 1407/2013 par Līguma par Eiropas Savienības darbību 107. un 108.panta piemērošanu </w:t>
            </w:r>
            <w:r w:rsidR="00C65B0A" w:rsidRPr="008F71AF">
              <w:rPr>
                <w:bCs/>
                <w:i/>
              </w:rPr>
              <w:t>de minimis</w:t>
            </w:r>
            <w:r w:rsidR="00C65B0A" w:rsidRPr="008F71AF">
              <w:rPr>
                <w:bCs/>
              </w:rPr>
              <w:t xml:space="preserve"> atbalstam (Eiropas Savienī</w:t>
            </w:r>
            <w:r w:rsidR="00DA2CA4">
              <w:rPr>
                <w:bCs/>
              </w:rPr>
              <w:t>bas Oficiālais Vēstnesis, 2013.gada 24.</w:t>
            </w:r>
            <w:r w:rsidR="00C65B0A" w:rsidRPr="008F71AF">
              <w:rPr>
                <w:bCs/>
              </w:rPr>
              <w:t xml:space="preserve">decembris, Nr. L 352/1) (turpmāk </w:t>
            </w:r>
            <w:r w:rsidR="00C65B0A" w:rsidRPr="008F71AF">
              <w:t>–</w:t>
            </w:r>
            <w:r w:rsidR="00C65B0A" w:rsidRPr="008F71AF">
              <w:rPr>
                <w:bCs/>
              </w:rPr>
              <w:t xml:space="preserve"> Komisijas regula Nr.</w:t>
            </w:r>
            <w:r w:rsidR="00DA2CA4">
              <w:rPr>
                <w:bCs/>
              </w:rPr>
              <w:t xml:space="preserve"> 1407/2013) vai Komisijas 2014.gada 27.</w:t>
            </w:r>
            <w:r w:rsidR="00C65B0A" w:rsidRPr="008F71AF">
              <w:rPr>
                <w:bCs/>
              </w:rPr>
              <w:t xml:space="preserve">jūnija Regulai (EK) Nr. 717/2014 par Līguma par Eiropas Savienības darbību 107. un 108.panta piemērošanu </w:t>
            </w:r>
            <w:r w:rsidR="00C65B0A" w:rsidRPr="008F71AF">
              <w:rPr>
                <w:bCs/>
                <w:i/>
              </w:rPr>
              <w:t>de minimis</w:t>
            </w:r>
            <w:r w:rsidR="00C65B0A" w:rsidRPr="008F71AF">
              <w:rPr>
                <w:bCs/>
              </w:rPr>
              <w:t xml:space="preserve"> atbalstam zvejniecības un akvakultūras nozarē (Eiropas Savienī</w:t>
            </w:r>
            <w:r w:rsidR="00DA2CA4">
              <w:rPr>
                <w:bCs/>
              </w:rPr>
              <w:t>bas Oficiālais Vēstnesis, 2014.gada 28.</w:t>
            </w:r>
            <w:r w:rsidR="00C65B0A" w:rsidRPr="008F71AF">
              <w:rPr>
                <w:bCs/>
              </w:rPr>
              <w:t xml:space="preserve">jūnijs, Nr. L 190/45) (turpmāk </w:t>
            </w:r>
            <w:r w:rsidR="00C65B0A" w:rsidRPr="008F71AF">
              <w:t>–</w:t>
            </w:r>
            <w:r w:rsidR="00C65B0A" w:rsidRPr="008F71AF">
              <w:rPr>
                <w:bCs/>
              </w:rPr>
              <w:t xml:space="preserve"> Komisijas regula Nr. 717/2014) attiecībā uz zivsaimniecības uzņēmumiem, kas darbojas saskaņā ar Eiro</w:t>
            </w:r>
            <w:r w:rsidR="00DA2CA4">
              <w:rPr>
                <w:bCs/>
              </w:rPr>
              <w:t>pas Parlamenta un Padomes 2013.gada 11.</w:t>
            </w:r>
            <w:r w:rsidR="00C65B0A" w:rsidRPr="008F71AF">
              <w:rPr>
                <w:bCs/>
              </w:rPr>
              <w:t xml:space="preserve">decembra Regulu (ES) Nr. 1379/2013 </w:t>
            </w:r>
            <w:hyperlink r:id="rId8" w:tooltip="32013R1379" w:history="1">
              <w:r w:rsidR="00C65B0A" w:rsidRPr="008F71AF">
                <w:t>par zvejas un akvakultūras produktu tirgu kopīgo organizāciju un ar ko groza Padomes Regulas (EK) Nr. 1184/2006 un (EK) Nr. 1224/2009 un atceļ Padomes Regulu (EK) Nr. 104/2000</w:t>
              </w:r>
            </w:hyperlink>
            <w:r w:rsidR="00C65B0A" w:rsidRPr="008F71AF">
              <w:rPr>
                <w:bCs/>
              </w:rPr>
              <w:t xml:space="preserve"> (Eiropas Savienī</w:t>
            </w:r>
            <w:r w:rsidR="00DA2CA4">
              <w:rPr>
                <w:bCs/>
              </w:rPr>
              <w:t>bas Oficiālais Vēstnesis, 2013.gada 28.</w:t>
            </w:r>
            <w:r w:rsidR="00C65B0A" w:rsidRPr="008F71AF">
              <w:rPr>
                <w:bCs/>
              </w:rPr>
              <w:t>decembris, Nr. L 354/1) (turpmāk – Eiropas Parlamenta un Padomes regula Nr.1379/2013) vai Komisij</w:t>
            </w:r>
            <w:r w:rsidR="00DA2CA4">
              <w:rPr>
                <w:bCs/>
              </w:rPr>
              <w:t>as 2013.gada 18.</w:t>
            </w:r>
            <w:r w:rsidR="00C65B0A" w:rsidRPr="008F71AF">
              <w:rPr>
                <w:bCs/>
              </w:rPr>
              <w:t xml:space="preserve">decembra Regulai (ES) Nr. 1408/2013 par Līguma par Eiropas Savienības darbību 107. un 108.panta piemērošanu </w:t>
            </w:r>
            <w:r w:rsidR="00C65B0A" w:rsidRPr="008F71AF">
              <w:rPr>
                <w:bCs/>
                <w:i/>
              </w:rPr>
              <w:t>de minimis</w:t>
            </w:r>
            <w:r w:rsidR="00C65B0A" w:rsidRPr="008F71AF">
              <w:rPr>
                <w:bCs/>
              </w:rPr>
              <w:t xml:space="preserve"> atbalstam lauksaimniecības nozarē (Eiropas Savienības Oficiālais Vēstnesis, 2013. gada 24. decembris, Nr. L 352/9) (turpmāk – Komisijas regula Nr.1408/2013)</w:t>
            </w:r>
            <w:r w:rsidR="00C65B0A">
              <w:rPr>
                <w:bCs/>
              </w:rPr>
              <w:t xml:space="preserve">, </w:t>
            </w:r>
            <w:r w:rsidR="006E4135" w:rsidRPr="00631569">
              <w:t>nosakot nomas maksas atlaidi ne vairāk kā 50% no noteiktās nomas maksas apmēra</w:t>
            </w:r>
            <w:r w:rsidR="00910F02" w:rsidRPr="00631569">
              <w:t>. Vienlaikus nomniekam jāievēro vismaz viens no nosacījumiem, piemēram, radīt jaunas darba vietas, veikt finansiālu</w:t>
            </w:r>
            <w:r w:rsidR="00D25FAB">
              <w:t>s</w:t>
            </w:r>
            <w:r w:rsidR="00910F02" w:rsidRPr="00631569">
              <w:t xml:space="preserve"> ieguldījum</w:t>
            </w:r>
            <w:r w:rsidR="00896014">
              <w:t xml:space="preserve">us nomas objekta infrastruktūras attīstībā </w:t>
            </w:r>
            <w:r w:rsidR="005508CB" w:rsidRPr="00631569">
              <w:t>u.c.</w:t>
            </w:r>
            <w:r w:rsidR="00DA2CA4">
              <w:t xml:space="preserve"> </w:t>
            </w:r>
            <w:r w:rsidR="002E2F85" w:rsidRPr="002E2F85">
              <w:t>Sākotnējā grozījumu projekta būtība bija paredzēt, ka  iznomātājam ir tiesības sniegt atbalstu samazinātas nomas maksas veidā līdz pieciem gadiem nekustamā īpašuma nomniekam, tādējādi noteikumus papildinot ar  69.</w:t>
            </w:r>
            <w:r w:rsidR="002E2F85" w:rsidRPr="002E2F85">
              <w:rPr>
                <w:vertAlign w:val="superscript"/>
              </w:rPr>
              <w:t>3  </w:t>
            </w:r>
            <w:r w:rsidR="002E2F85" w:rsidRPr="002E2F85">
              <w:t xml:space="preserve">punktu. </w:t>
            </w:r>
            <w:r w:rsidR="002E2F85" w:rsidRPr="002E2F85">
              <w:rPr>
                <w:color w:val="auto"/>
              </w:rPr>
              <w:t>Nepieciešamie, derīgie un greznuma izdevumi ieguldījumu veidā nomas objekta uzlabošanā nevar būt par pamatu atbalsta sniegšanai saskaņā ar noteikumu projektā sniegtajiem nosacījumiem.</w:t>
            </w:r>
            <w:r w:rsidR="002E2F85">
              <w:rPr>
                <w:color w:val="auto"/>
              </w:rPr>
              <w:t xml:space="preserve"> </w:t>
            </w:r>
            <w:r w:rsidR="002E2F85" w:rsidRPr="002E2F85">
              <w:t>Noteikumu projekta saskaņošanas procesā tika iesaistītas arī citas institūcijas un šajā gadījumā tika secināts, ka šo punktu nepieciešams attiecināt uz visiem iznomātājiem – gan valsti, gan pašvaldību, lai izvairītos no vienas vai otras grupas tiesību ierobežošanu attiecībā uz samazinātas nomas maksas piešķiršanas iespējām</w:t>
            </w:r>
            <w:r w:rsidR="002E2F85">
              <w:t xml:space="preserve">. </w:t>
            </w:r>
            <w:r w:rsidR="002E2F85" w:rsidRPr="002E2F85">
              <w:t xml:space="preserve">VARAM norāda, </w:t>
            </w:r>
            <w:r w:rsidR="002E2F85" w:rsidRPr="00EF0B01">
              <w:rPr>
                <w:color w:val="auto"/>
              </w:rPr>
              <w:t xml:space="preserve">ka </w:t>
            </w:r>
            <w:r w:rsidR="002E2F85" w:rsidRPr="00EF0B01">
              <w:rPr>
                <w:rFonts w:ascii="Franklin Gothic Book" w:hAnsi="Franklin Gothic Book"/>
                <w:color w:val="auto"/>
                <w:sz w:val="21"/>
                <w:szCs w:val="21"/>
              </w:rPr>
              <w:t>„</w:t>
            </w:r>
            <w:r w:rsidR="002E2F85" w:rsidRPr="00EF0B01">
              <w:rPr>
                <w:color w:val="auto"/>
              </w:rPr>
              <w:t>radīt jaunas darba vietas” var nozīmēt arī divu jaunu darba vietu radīšanu</w:t>
            </w:r>
            <w:r w:rsidR="002E2F85" w:rsidRPr="002E2F85">
              <w:rPr>
                <w:color w:val="auto"/>
              </w:rPr>
              <w:t>, kas, piemēram, Latgales reģionā vērtējams kā ļoti nozīmīgs potenciāla nomnieka ieguldījums. Līdz ar iepriekš minēto, šī noteikumu projekta ietvaros nav paredzēts definēt konkrētu jaunradīto darba vietu skaitu.</w:t>
            </w:r>
          </w:p>
          <w:p w:rsidR="005508CB" w:rsidRPr="00631569" w:rsidRDefault="00F73D19" w:rsidP="0044412F">
            <w:pPr>
              <w:pStyle w:val="Default"/>
              <w:numPr>
                <w:ilvl w:val="0"/>
                <w:numId w:val="10"/>
              </w:numPr>
              <w:spacing w:after="120"/>
              <w:ind w:left="278" w:hanging="278"/>
              <w:jc w:val="both"/>
            </w:pPr>
            <w:r w:rsidRPr="00631569">
              <w:t>Noteikumi p</w:t>
            </w:r>
            <w:r w:rsidR="005508CB" w:rsidRPr="00631569">
              <w:t>apildināti ar 69.</w:t>
            </w:r>
            <w:r w:rsidR="005508CB" w:rsidRPr="00631569">
              <w:rPr>
                <w:vertAlign w:val="superscript"/>
              </w:rPr>
              <w:t>4</w:t>
            </w:r>
            <w:r w:rsidR="005508CB" w:rsidRPr="00631569">
              <w:t xml:space="preserve"> punktu, kas paredz, ka pašvaldībai, samazinot nekustamā īpašuma nomas maksu pašvaldībai piederošiem īpašumiem, ir tiesības noteikt papildus nosacījumus nomniekam, izdodot saistošos noteikumus.</w:t>
            </w:r>
            <w:r w:rsidR="00DA2CA4">
              <w:t xml:space="preserve"> </w:t>
            </w:r>
            <w:r w:rsidR="00DA2CA4" w:rsidRPr="00B24F1F">
              <w:t>Līdzīgi kā</w:t>
            </w:r>
            <w:r w:rsidR="00DA2CA4">
              <w:t xml:space="preserve"> </w:t>
            </w:r>
            <w:r w:rsidR="00B24F1F" w:rsidRPr="00B24F1F">
              <w:rPr>
                <w:rFonts w:eastAsia="Times New Roman"/>
              </w:rPr>
              <w:t>Ministru kabineta 2007.gada 30.oktobra noteikumos Nr.735 „Noteikumi par publiskas personas zemes nomu”</w:t>
            </w:r>
            <w:r w:rsidR="00B24F1F">
              <w:rPr>
                <w:rFonts w:eastAsia="Times New Roman"/>
              </w:rPr>
              <w:t xml:space="preserve">, arī šajā noteikumu projektā paredzēts, ka </w:t>
            </w:r>
            <w:r w:rsidR="00B24F1F">
              <w:t>p</w:t>
            </w:r>
            <w:r w:rsidR="00B24F1F" w:rsidRPr="00390A8C">
              <w:t>ašvaldības nomas maksas atlaidi var piešķirt,</w:t>
            </w:r>
            <w:r w:rsidR="00B24F1F">
              <w:t xml:space="preserve"> ņemot vērā noteikumu projektā definētos nosacījumus vai arī izvēloties citus nosacījumus, piemēram, tādu nosacījumu, kas visprecīzāk raksturo pašvaldības ekonomiskās attīstības specializāciju, u.tml. </w:t>
            </w:r>
          </w:p>
          <w:p w:rsidR="00BF2C4A" w:rsidRDefault="00F73D19" w:rsidP="0044412F">
            <w:pPr>
              <w:pStyle w:val="Default"/>
              <w:numPr>
                <w:ilvl w:val="0"/>
                <w:numId w:val="10"/>
              </w:numPr>
              <w:spacing w:after="120"/>
              <w:ind w:left="278" w:hanging="278"/>
              <w:jc w:val="both"/>
            </w:pPr>
            <w:r w:rsidRPr="00631569">
              <w:t>Noteikumi papildināti ar 69.</w:t>
            </w:r>
            <w:r w:rsidRPr="00631569">
              <w:rPr>
                <w:vertAlign w:val="superscript"/>
              </w:rPr>
              <w:t xml:space="preserve">5 </w:t>
            </w:r>
            <w:r w:rsidRPr="00631569">
              <w:t>punktu, kas paredz kārtību, kādā veidā iznomātājam ir tiesības atcelt atbalstu samazinātas nomas maksas veidā.</w:t>
            </w:r>
            <w:r w:rsidR="008C754B">
              <w:t xml:space="preserve"> Noteikumu p</w:t>
            </w:r>
            <w:r w:rsidR="003D0ECB">
              <w:t xml:space="preserve">rojektā nav ietvertas atsauces uz konkrētiem normatīvajiem aktiem, kas paredz atbildību par Projekta </w:t>
            </w:r>
            <w:r w:rsidR="003D0ECB" w:rsidRPr="00631569">
              <w:t>69.</w:t>
            </w:r>
            <w:r w:rsidR="003D0ECB" w:rsidRPr="00631569">
              <w:rPr>
                <w:vertAlign w:val="superscript"/>
              </w:rPr>
              <w:t>5</w:t>
            </w:r>
            <w:r w:rsidR="003D0ECB">
              <w:t xml:space="preserve"> </w:t>
            </w:r>
            <w:r w:rsidR="008C754B">
              <w:t>apakšpunktos</w:t>
            </w:r>
            <w:r w:rsidR="003D0ECB">
              <w:t xml:space="preserve"> minētajiem pārkāpumiem.</w:t>
            </w:r>
            <w:r w:rsidR="00BE1F48">
              <w:t xml:space="preserve"> </w:t>
            </w:r>
          </w:p>
          <w:p w:rsidR="00BF2C4A" w:rsidRPr="00631569" w:rsidRDefault="00BF2C4A" w:rsidP="0044412F">
            <w:pPr>
              <w:pStyle w:val="Default"/>
              <w:numPr>
                <w:ilvl w:val="0"/>
                <w:numId w:val="10"/>
              </w:numPr>
              <w:spacing w:after="120"/>
              <w:ind w:left="278" w:hanging="278"/>
              <w:jc w:val="both"/>
            </w:pPr>
            <w:r w:rsidRPr="002E2F85">
              <w:rPr>
                <w:bCs/>
              </w:rPr>
              <w:t>G</w:t>
            </w:r>
            <w:r w:rsidRPr="002E2F85">
              <w:rPr>
                <w:bCs/>
                <w:color w:val="auto"/>
              </w:rPr>
              <w:t>adījumos, kad ieslodzījuma vietas nomas objektu iznomā komersantam ir  nepieciešams piemērot  tādus pašus valsts atbalsta nosacījum</w:t>
            </w:r>
            <w:r w:rsidRPr="002E2F85">
              <w:rPr>
                <w:bCs/>
              </w:rPr>
              <w:t>us</w:t>
            </w:r>
            <w:r w:rsidRPr="002E2F85">
              <w:rPr>
                <w:bCs/>
                <w:color w:val="auto"/>
              </w:rPr>
              <w:t>, kā tas ir visos citos gadījumos, kad nomas objekts tiek iznomāts komerciāliem mērķiem</w:t>
            </w:r>
            <w:r w:rsidRPr="002E2F85">
              <w:rPr>
                <w:bCs/>
              </w:rPr>
              <w:t xml:space="preserve">, līdz ar to no noteikumiem </w:t>
            </w:r>
            <w:r w:rsidRPr="002E2F85">
              <w:t>svītrots 63</w:t>
            </w:r>
            <w:r w:rsidRPr="002E2F85">
              <w:rPr>
                <w:vertAlign w:val="superscript"/>
              </w:rPr>
              <w:t>1</w:t>
            </w:r>
            <w:r w:rsidRPr="002E2F85">
              <w:t xml:space="preserve">. un </w:t>
            </w:r>
            <w:r w:rsidRPr="002E2F85">
              <w:rPr>
                <w:u w:val="single"/>
              </w:rPr>
              <w:t>69.3</w:t>
            </w:r>
            <w:r w:rsidRPr="002E2F85">
              <w:t xml:space="preserve"> apakšpunkts.</w:t>
            </w:r>
          </w:p>
          <w:p w:rsidR="00EA6A7E" w:rsidRPr="0044412F" w:rsidRDefault="00FA1E27" w:rsidP="0044412F">
            <w:pPr>
              <w:pStyle w:val="ListParagraph"/>
              <w:numPr>
                <w:ilvl w:val="0"/>
                <w:numId w:val="10"/>
              </w:numPr>
              <w:ind w:left="278" w:hanging="278"/>
              <w:jc w:val="both"/>
              <w:rPr>
                <w:rFonts w:ascii="Times New Roman" w:hAnsi="Times New Roman"/>
                <w:sz w:val="24"/>
                <w:szCs w:val="24"/>
              </w:rPr>
            </w:pPr>
            <w:r w:rsidRPr="0044412F">
              <w:rPr>
                <w:rFonts w:ascii="Times New Roman" w:eastAsiaTheme="minorHAnsi" w:hAnsi="Times New Roman"/>
                <w:color w:val="000000"/>
                <w:sz w:val="24"/>
                <w:szCs w:val="24"/>
              </w:rPr>
              <w:t xml:space="preserve">Noteikumi papildināti ar </w:t>
            </w:r>
            <w:r w:rsidRPr="0044412F">
              <w:rPr>
                <w:rFonts w:ascii="Times New Roman" w:hAnsi="Times New Roman"/>
                <w:sz w:val="24"/>
                <w:szCs w:val="24"/>
              </w:rPr>
              <w:t>72.</w:t>
            </w:r>
            <w:r w:rsidRPr="0044412F">
              <w:rPr>
                <w:rFonts w:ascii="Times New Roman" w:hAnsi="Times New Roman"/>
                <w:sz w:val="24"/>
                <w:szCs w:val="24"/>
                <w:vertAlign w:val="superscript"/>
              </w:rPr>
              <w:t xml:space="preserve">1 </w:t>
            </w:r>
            <w:r w:rsidRPr="0044412F">
              <w:rPr>
                <w:rFonts w:ascii="Times New Roman" w:hAnsi="Times New Roman"/>
                <w:sz w:val="24"/>
                <w:szCs w:val="24"/>
              </w:rPr>
              <w:t>punktu, kas paredz</w:t>
            </w:r>
            <w:r w:rsidR="006A39B6" w:rsidRPr="0044412F">
              <w:rPr>
                <w:rFonts w:ascii="Times New Roman" w:hAnsi="Times New Roman"/>
                <w:sz w:val="24"/>
                <w:szCs w:val="24"/>
              </w:rPr>
              <w:t xml:space="preserve"> to, ka</w:t>
            </w:r>
            <w:r w:rsidRPr="0044412F">
              <w:rPr>
                <w:rFonts w:ascii="Times New Roman" w:hAnsi="Times New Roman"/>
                <w:sz w:val="24"/>
                <w:szCs w:val="24"/>
              </w:rPr>
              <w:t xml:space="preserve"> nekustamas mantas nomas </w:t>
            </w:r>
            <w:r w:rsidR="006A39B6" w:rsidRPr="0044412F">
              <w:rPr>
                <w:rFonts w:ascii="Times New Roman" w:hAnsi="Times New Roman"/>
                <w:sz w:val="24"/>
                <w:szCs w:val="24"/>
              </w:rPr>
              <w:t>līguma termiņu slēdz uz laiku</w:t>
            </w:r>
            <w:r w:rsidR="00F573FD" w:rsidRPr="0044412F">
              <w:rPr>
                <w:rFonts w:ascii="Times New Roman" w:hAnsi="Times New Roman"/>
                <w:sz w:val="24"/>
                <w:szCs w:val="24"/>
              </w:rPr>
              <w:t xml:space="preserve">, kas nav ilgāks par </w:t>
            </w:r>
            <w:r w:rsidR="00ED7E88" w:rsidRPr="0044412F">
              <w:rPr>
                <w:rFonts w:ascii="Times New Roman" w:hAnsi="Times New Roman"/>
                <w:sz w:val="24"/>
                <w:szCs w:val="24"/>
              </w:rPr>
              <w:t xml:space="preserve">6 </w:t>
            </w:r>
            <w:r w:rsidR="00F573FD" w:rsidRPr="0044412F">
              <w:rPr>
                <w:rFonts w:ascii="Times New Roman" w:hAnsi="Times New Roman"/>
                <w:sz w:val="24"/>
                <w:szCs w:val="24"/>
              </w:rPr>
              <w:t>gadiem. Vienlaikus, noteikumu projektā</w:t>
            </w:r>
            <w:r w:rsidR="006A39B6" w:rsidRPr="0044412F">
              <w:rPr>
                <w:rFonts w:ascii="Times New Roman" w:hAnsi="Times New Roman"/>
                <w:sz w:val="24"/>
                <w:szCs w:val="24"/>
              </w:rPr>
              <w:t xml:space="preserve"> </w:t>
            </w:r>
            <w:r w:rsidR="00F573FD" w:rsidRPr="0044412F">
              <w:rPr>
                <w:rFonts w:ascii="Times New Roman" w:hAnsi="Times New Roman"/>
                <w:sz w:val="24"/>
                <w:szCs w:val="24"/>
              </w:rPr>
              <w:t>norādīti</w:t>
            </w:r>
            <w:r w:rsidR="006A39B6" w:rsidRPr="0044412F">
              <w:rPr>
                <w:rFonts w:ascii="Times New Roman" w:hAnsi="Times New Roman"/>
                <w:sz w:val="24"/>
                <w:szCs w:val="24"/>
              </w:rPr>
              <w:t xml:space="preserve"> gadījumi, kad nomas termiņš var būt </w:t>
            </w:r>
            <w:r w:rsidR="001E7221" w:rsidRPr="0044412F">
              <w:rPr>
                <w:rFonts w:ascii="Times New Roman" w:hAnsi="Times New Roman"/>
                <w:sz w:val="24"/>
                <w:szCs w:val="24"/>
              </w:rPr>
              <w:t>ilgāks</w:t>
            </w:r>
            <w:r w:rsidR="006A39B6" w:rsidRPr="0044412F">
              <w:rPr>
                <w:rFonts w:ascii="Times New Roman" w:hAnsi="Times New Roman"/>
                <w:sz w:val="24"/>
                <w:szCs w:val="24"/>
              </w:rPr>
              <w:t>, pat uz laiku līdz 30 gadiem</w:t>
            </w:r>
            <w:r w:rsidR="00F573FD" w:rsidRPr="0044412F">
              <w:rPr>
                <w:rFonts w:ascii="Times New Roman" w:hAnsi="Times New Roman"/>
                <w:sz w:val="24"/>
                <w:szCs w:val="24"/>
              </w:rPr>
              <w:t>, saskaņā ar Publiskas personas finanšu līdzekļu un mantas izšķērdēšanas novēršanas likumā noteikto</w:t>
            </w:r>
            <w:r w:rsidRPr="0044412F">
              <w:rPr>
                <w:rFonts w:ascii="Times New Roman" w:hAnsi="Times New Roman"/>
                <w:sz w:val="24"/>
                <w:szCs w:val="24"/>
              </w:rPr>
              <w:t>.</w:t>
            </w:r>
            <w:r w:rsidR="002E2F85" w:rsidRPr="0044412F">
              <w:rPr>
                <w:rFonts w:ascii="Times New Roman" w:hAnsi="Times New Roman"/>
                <w:sz w:val="24"/>
                <w:szCs w:val="24"/>
              </w:rPr>
              <w:t xml:space="preserve"> VAS “Valsts nekustamie īpašumi” skaidro, ka šāds papildinājums noteikumu projektā ir nepieciešams iznomātāja aizsardzībai pret negodprātīgu nomnieku, lai bez tiesvedības varētu nomas līgumu nepagarināt. Šobrīd praksē tiek novērots, ka ir gadījumi, kad nomnieks nepilda savas saistības, taču nomas līgumu bez tiesas ceļa nevar lauzt, turklāt tiesvedības process nereti ir ilgstošs. Lai risinātu praksē pastāvošu problēmu, nepieciešams veikt atbilstošas izmaiņas normatīvajā regulējumā. Lai arī šobrīd saskaņā ar normatīvo regulējumu iznomātājs var slēgt nomas līgumu pēc nepieciešamības uz trim, pieciem, desmit utt. gadiem, nomas līgums, kas noslēgts uz ilgstošu termiņu, no vienas puses, sniedz stabilitātes sajūtu nomniekam, bet no otras puses – ierobežo iznomātāja tiesības pārvērtēt nomas līgumā iekļautās prasības, ja tāda nepieciešamība ir radusies. Tādējādi 6 gadu termiņš būtu optimāls, kura laikā iznomātājs varētu izvērtēt, vai nomas līgums var tikt pagarināts. </w:t>
            </w:r>
            <w:r w:rsidR="00F573FD" w:rsidRPr="0044412F">
              <w:rPr>
                <w:rFonts w:ascii="Times New Roman" w:hAnsi="Times New Roman"/>
                <w:sz w:val="24"/>
                <w:szCs w:val="24"/>
              </w:rPr>
              <w:t>Noteikumu projekta 27.punkts.</w:t>
            </w:r>
          </w:p>
          <w:p w:rsidR="00AA67FD" w:rsidRPr="0044412F" w:rsidRDefault="00291119" w:rsidP="0044412F">
            <w:pPr>
              <w:pStyle w:val="ListParagraph"/>
              <w:numPr>
                <w:ilvl w:val="0"/>
                <w:numId w:val="10"/>
              </w:numPr>
              <w:spacing w:after="120"/>
              <w:ind w:left="278" w:hanging="278"/>
              <w:jc w:val="both"/>
              <w:rPr>
                <w:rFonts w:ascii="Times New Roman" w:hAnsi="Times New Roman"/>
                <w:sz w:val="24"/>
                <w:szCs w:val="24"/>
              </w:rPr>
            </w:pPr>
            <w:r w:rsidRPr="0044412F">
              <w:rPr>
                <w:rFonts w:ascii="Times New Roman" w:hAnsi="Times New Roman"/>
                <w:sz w:val="24"/>
                <w:szCs w:val="24"/>
              </w:rPr>
              <w:t>Precizēts 73.punkts, paredzot, ka nomas līgumu var ne tikai slēgt, bet arī pagarināt</w:t>
            </w:r>
            <w:r w:rsidR="00ED7E88" w:rsidRPr="0044412F">
              <w:rPr>
                <w:rFonts w:ascii="Times New Roman" w:hAnsi="Times New Roman"/>
                <w:sz w:val="24"/>
                <w:szCs w:val="24"/>
              </w:rPr>
              <w:t>, precizēts termiņš, kurā veicama amortizācija</w:t>
            </w:r>
            <w:r w:rsidR="00AA67FD" w:rsidRPr="0044412F">
              <w:rPr>
                <w:rFonts w:ascii="Times New Roman" w:hAnsi="Times New Roman"/>
                <w:sz w:val="24"/>
                <w:szCs w:val="24"/>
              </w:rPr>
              <w:t>.</w:t>
            </w:r>
            <w:r w:rsidRPr="0044412F">
              <w:rPr>
                <w:rFonts w:ascii="Times New Roman" w:hAnsi="Times New Roman"/>
                <w:sz w:val="24"/>
                <w:szCs w:val="24"/>
              </w:rPr>
              <w:t xml:space="preserve"> </w:t>
            </w:r>
            <w:r w:rsidR="00AA67FD" w:rsidRPr="0044412F">
              <w:rPr>
                <w:rFonts w:ascii="Times New Roman" w:hAnsi="Times New Roman"/>
                <w:sz w:val="24"/>
                <w:szCs w:val="24"/>
              </w:rPr>
              <w:t>V</w:t>
            </w:r>
            <w:r w:rsidRPr="0044412F">
              <w:rPr>
                <w:rFonts w:ascii="Times New Roman" w:hAnsi="Times New Roman"/>
                <w:sz w:val="24"/>
                <w:szCs w:val="24"/>
              </w:rPr>
              <w:t>ienlaikus precizēts 75.punkts, paredzot, ka iznomātājam ir tiesības pagarināt nomas objekta nomas līguma termiņu, ja nomnieks iesniedz pieteikumu Eiropas Savienības struktūrfondu, Kohēzijas fonda vai citu ārvalstu finanšu instrumentu projekta īstenošanai, kas paredz ieguldīt finanšu līdzekļus nomas objektā.</w:t>
            </w:r>
            <w:r w:rsidR="00895767" w:rsidRPr="0044412F">
              <w:rPr>
                <w:rFonts w:ascii="Times New Roman" w:hAnsi="Times New Roman"/>
                <w:sz w:val="24"/>
                <w:szCs w:val="24"/>
              </w:rPr>
              <w:t xml:space="preserve"> Tostarp 73.punktā noteikts, ka gadījumos, kad nomas objektam nepieciešamos un derīgos izdevumus, kurus nevar amortizēt jeb atpelnīt 6 gadu termiņā, nomas līgumu var slēgt vai pagarināt uz laiku, kas nepārsniedz 30 gadu.</w:t>
            </w:r>
            <w:r w:rsidR="00F573FD" w:rsidRPr="0044412F">
              <w:rPr>
                <w:rFonts w:ascii="Times New Roman" w:hAnsi="Times New Roman"/>
                <w:sz w:val="24"/>
                <w:szCs w:val="24"/>
              </w:rPr>
              <w:t xml:space="preserve"> </w:t>
            </w:r>
            <w:r w:rsidR="00AA67FD" w:rsidRPr="0044412F">
              <w:rPr>
                <w:rFonts w:ascii="Times New Roman" w:hAnsi="Times New Roman"/>
                <w:sz w:val="24"/>
                <w:szCs w:val="24"/>
              </w:rPr>
              <w:t>Ņemot vērā  termina “infrastruktūra” dažādos skaidrojumus un izpratni, lai novērstu iespējamu sašaurinātu normas tulkošanu, kā arī lai nākotnē neradītu problēmas ar normas piemērošanu, 73.punktā vārds “infrastruktūras” aizstāt ar vārdiem “nekustamā īpašuma”.</w:t>
            </w:r>
          </w:p>
          <w:p w:rsidR="00E17BE1" w:rsidRPr="0044412F" w:rsidRDefault="001A2BAF" w:rsidP="0044412F">
            <w:pPr>
              <w:pStyle w:val="ListParagraph"/>
              <w:numPr>
                <w:ilvl w:val="0"/>
                <w:numId w:val="10"/>
              </w:numPr>
              <w:spacing w:after="120"/>
              <w:ind w:left="278" w:hanging="278"/>
              <w:jc w:val="both"/>
              <w:rPr>
                <w:rFonts w:ascii="Times New Roman" w:hAnsi="Times New Roman"/>
                <w:sz w:val="24"/>
                <w:szCs w:val="24"/>
              </w:rPr>
            </w:pPr>
            <w:r w:rsidRPr="0044412F">
              <w:rPr>
                <w:rFonts w:ascii="Times New Roman" w:hAnsi="Times New Roman"/>
                <w:sz w:val="24"/>
                <w:szCs w:val="24"/>
              </w:rPr>
              <w:t>Noteikumu projektā definēts, ka</w:t>
            </w:r>
            <w:r w:rsidR="00E17BE1" w:rsidRPr="0044412F">
              <w:rPr>
                <w:rFonts w:ascii="Times New Roman" w:hAnsi="Times New Roman"/>
                <w:sz w:val="24"/>
                <w:szCs w:val="24"/>
              </w:rPr>
              <w:t xml:space="preserve"> </w:t>
            </w:r>
            <w:r w:rsidR="00895767" w:rsidRPr="0044412F">
              <w:rPr>
                <w:rFonts w:ascii="Times New Roman" w:hAnsi="Times New Roman"/>
                <w:sz w:val="24"/>
                <w:szCs w:val="24"/>
              </w:rPr>
              <w:t xml:space="preserve">nododot nomas objektu apakšnomā jebkuram saimnieciskās darbības veicējam komerciāliem mērķiem, nomas maksu nosaka atbilstoši tirgus nomas maksai, proti, nepastāv izņēmumi attiecībā uz uzņēmumiem sabiedriskās ēdināšanas nodrošināšanai. </w:t>
            </w:r>
          </w:p>
          <w:p w:rsidR="000475B0" w:rsidRPr="0044412F" w:rsidRDefault="002F20E4" w:rsidP="0044412F">
            <w:pPr>
              <w:pStyle w:val="ListParagraph"/>
              <w:numPr>
                <w:ilvl w:val="0"/>
                <w:numId w:val="10"/>
              </w:numPr>
              <w:ind w:left="278" w:hanging="278"/>
              <w:jc w:val="both"/>
              <w:rPr>
                <w:rFonts w:ascii="Times New Roman" w:hAnsi="Times New Roman"/>
                <w:sz w:val="24"/>
                <w:szCs w:val="24"/>
              </w:rPr>
            </w:pPr>
            <w:r w:rsidRPr="0044412F">
              <w:rPr>
                <w:rFonts w:ascii="Times New Roman" w:hAnsi="Times New Roman"/>
                <w:sz w:val="24"/>
                <w:szCs w:val="24"/>
              </w:rPr>
              <w:t xml:space="preserve">Papildināts </w:t>
            </w:r>
            <w:r w:rsidR="00E17BE1" w:rsidRPr="0044412F">
              <w:rPr>
                <w:rFonts w:ascii="Times New Roman" w:hAnsi="Times New Roman"/>
                <w:sz w:val="24"/>
                <w:szCs w:val="24"/>
              </w:rPr>
              <w:t>Ministru kabineta noteikumu</w:t>
            </w:r>
            <w:r w:rsidRPr="0044412F">
              <w:rPr>
                <w:rFonts w:ascii="Times New Roman" w:hAnsi="Times New Roman"/>
                <w:sz w:val="24"/>
                <w:szCs w:val="24"/>
              </w:rPr>
              <w:t xml:space="preserve"> 87.punkts, ietverot nomas maksas noteikšanas kārtību ar </w:t>
            </w:r>
            <w:r w:rsidR="00277CAE" w:rsidRPr="0044412F">
              <w:rPr>
                <w:rFonts w:ascii="Times New Roman" w:hAnsi="Times New Roman"/>
                <w:sz w:val="24"/>
                <w:szCs w:val="24"/>
              </w:rPr>
              <w:t xml:space="preserve">sertificēta vērtētāja </w:t>
            </w:r>
            <w:r w:rsidRPr="0044412F">
              <w:rPr>
                <w:rFonts w:ascii="Times New Roman" w:hAnsi="Times New Roman"/>
                <w:sz w:val="24"/>
                <w:szCs w:val="24"/>
              </w:rPr>
              <w:t>starpniecību, kā arī nomas līguma termiņa pagarināšanu.</w:t>
            </w:r>
            <w:r w:rsidR="00202D52" w:rsidRPr="0044412F">
              <w:rPr>
                <w:rFonts w:ascii="Times New Roman" w:hAnsi="Times New Roman"/>
                <w:sz w:val="24"/>
                <w:szCs w:val="24"/>
              </w:rPr>
              <w:t xml:space="preserve"> 87.punkts ir pārejas punkts</w:t>
            </w:r>
            <w:r w:rsidR="00202D52" w:rsidRPr="0044412F">
              <w:rPr>
                <w:rFonts w:ascii="Times New Roman" w:hAnsi="Times New Roman"/>
                <w:iCs/>
                <w:sz w:val="24"/>
                <w:szCs w:val="24"/>
                <w:u w:val="single"/>
              </w:rPr>
              <w:t xml:space="preserve">, </w:t>
            </w:r>
            <w:r w:rsidR="00202D52" w:rsidRPr="0044412F">
              <w:rPr>
                <w:rFonts w:ascii="Times New Roman" w:hAnsi="Times New Roman"/>
                <w:iCs/>
                <w:sz w:val="24"/>
                <w:szCs w:val="24"/>
              </w:rPr>
              <w:t>iznomātājam ir tiesības pagarināt nomas līguma termiņu ar nomnieku saskaņā ar šo noteikumu 9., 9.</w:t>
            </w:r>
            <w:r w:rsidR="00202D52" w:rsidRPr="0044412F">
              <w:rPr>
                <w:rFonts w:ascii="Times New Roman" w:hAnsi="Times New Roman"/>
                <w:iCs/>
                <w:sz w:val="24"/>
                <w:szCs w:val="24"/>
                <w:vertAlign w:val="superscript"/>
              </w:rPr>
              <w:t>1 un</w:t>
            </w:r>
            <w:r w:rsidR="00202D52" w:rsidRPr="0044412F">
              <w:rPr>
                <w:rFonts w:ascii="Times New Roman" w:hAnsi="Times New Roman"/>
                <w:iCs/>
                <w:sz w:val="24"/>
                <w:szCs w:val="24"/>
              </w:rPr>
              <w:t xml:space="preserve"> 9.</w:t>
            </w:r>
            <w:r w:rsidR="00202D52" w:rsidRPr="0044412F">
              <w:rPr>
                <w:rFonts w:ascii="Times New Roman" w:hAnsi="Times New Roman"/>
                <w:iCs/>
                <w:sz w:val="24"/>
                <w:szCs w:val="24"/>
                <w:vertAlign w:val="superscript"/>
              </w:rPr>
              <w:t xml:space="preserve">2 </w:t>
            </w:r>
            <w:r w:rsidR="00202D52" w:rsidRPr="0044412F">
              <w:rPr>
                <w:rFonts w:ascii="Times New Roman" w:hAnsi="Times New Roman"/>
                <w:iCs/>
                <w:sz w:val="24"/>
                <w:szCs w:val="24"/>
              </w:rPr>
              <w:t>punktā noteikto.</w:t>
            </w:r>
            <w:r w:rsidR="009D629D" w:rsidRPr="0044412F">
              <w:rPr>
                <w:rFonts w:ascii="Times New Roman" w:hAnsi="Times New Roman"/>
                <w:iCs/>
                <w:sz w:val="24"/>
                <w:szCs w:val="24"/>
              </w:rPr>
              <w:t xml:space="preserve"> </w:t>
            </w:r>
            <w:r w:rsidR="009D629D" w:rsidRPr="0044412F">
              <w:rPr>
                <w:rFonts w:ascii="Times New Roman" w:hAnsi="Times New Roman"/>
                <w:sz w:val="24"/>
                <w:szCs w:val="24"/>
              </w:rPr>
              <w:t>Noteikumu 9.</w:t>
            </w:r>
            <w:r w:rsidR="009D629D" w:rsidRPr="0044412F">
              <w:rPr>
                <w:rFonts w:ascii="Times New Roman" w:hAnsi="Times New Roman"/>
                <w:sz w:val="24"/>
                <w:szCs w:val="24"/>
                <w:vertAlign w:val="superscript"/>
              </w:rPr>
              <w:t>1</w:t>
            </w:r>
            <w:r w:rsidR="009D629D" w:rsidRPr="0044412F">
              <w:rPr>
                <w:rFonts w:ascii="Times New Roman" w:hAnsi="Times New Roman"/>
                <w:sz w:val="24"/>
                <w:szCs w:val="24"/>
              </w:rPr>
              <w:t xml:space="preserve"> punktā nav ietverta atsauce uz Publiskas personas finanšu līdzekļu un mantas izšķērdēšanas novēršanas likumu, ņemot vērā, ka šāda atsauce ietverta 72.</w:t>
            </w:r>
            <w:r w:rsidR="009D629D" w:rsidRPr="0044412F">
              <w:rPr>
                <w:rFonts w:ascii="Times New Roman" w:hAnsi="Times New Roman"/>
                <w:sz w:val="24"/>
                <w:szCs w:val="24"/>
                <w:vertAlign w:val="superscript"/>
              </w:rPr>
              <w:t>1</w:t>
            </w:r>
            <w:r w:rsidR="009D629D" w:rsidRPr="0044412F">
              <w:rPr>
                <w:rFonts w:ascii="Times New Roman" w:hAnsi="Times New Roman"/>
                <w:sz w:val="24"/>
                <w:szCs w:val="24"/>
              </w:rPr>
              <w:t xml:space="preserve"> punktā. Tādējādi 72.</w:t>
            </w:r>
            <w:r w:rsidR="009D629D" w:rsidRPr="0044412F">
              <w:rPr>
                <w:rFonts w:ascii="Times New Roman" w:hAnsi="Times New Roman"/>
                <w:sz w:val="24"/>
                <w:szCs w:val="24"/>
                <w:vertAlign w:val="superscript"/>
              </w:rPr>
              <w:t xml:space="preserve">1 </w:t>
            </w:r>
            <w:r w:rsidR="009D629D" w:rsidRPr="0044412F">
              <w:rPr>
                <w:rFonts w:ascii="Times New Roman" w:hAnsi="Times New Roman"/>
                <w:sz w:val="24"/>
                <w:szCs w:val="24"/>
              </w:rPr>
              <w:t>punkts attiecas gan uz nomas līgumu slēgšanu, gan uz nomas līgumu pagarināšanu.</w:t>
            </w:r>
          </w:p>
        </w:tc>
      </w:tr>
      <w:tr w:rsidR="00A94453" w:rsidRPr="00631569" w:rsidTr="00F64A14">
        <w:trPr>
          <w:trHeight w:val="143"/>
          <w:tblCellSpacing w:w="15" w:type="dxa"/>
        </w:trPr>
        <w:tc>
          <w:tcPr>
            <w:tcW w:w="155"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lastRenderedPageBreak/>
              <w:t>3.</w:t>
            </w:r>
          </w:p>
        </w:tc>
        <w:tc>
          <w:tcPr>
            <w:tcW w:w="1098"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Projekta izstrādē iesaistītās institūcijas</w:t>
            </w:r>
          </w:p>
        </w:tc>
        <w:tc>
          <w:tcPr>
            <w:tcW w:w="3683"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jc w:val="both"/>
              <w:rPr>
                <w:rFonts w:ascii="Times New Roman" w:hAnsi="Times New Roman"/>
                <w:sz w:val="24"/>
                <w:szCs w:val="24"/>
              </w:rPr>
            </w:pPr>
            <w:r w:rsidRPr="00631569">
              <w:rPr>
                <w:rFonts w:ascii="Times New Roman" w:eastAsia="Times New Roman" w:hAnsi="Times New Roman"/>
                <w:sz w:val="24"/>
                <w:szCs w:val="24"/>
                <w:lang w:eastAsia="lv-LV"/>
              </w:rPr>
              <w:t xml:space="preserve">2014.gada 3.jūlijā Latvijas Pašvaldību savienība organizēja </w:t>
            </w:r>
            <w:r w:rsidRPr="00631569">
              <w:rPr>
                <w:rFonts w:ascii="Times New Roman" w:hAnsi="Times New Roman"/>
                <w:sz w:val="24"/>
                <w:szCs w:val="24"/>
              </w:rPr>
              <w:t xml:space="preserve">pašvaldību juristu sanāksmi, lai izvērtētu </w:t>
            </w:r>
            <w:r w:rsidR="00F13147" w:rsidRPr="00631569">
              <w:rPr>
                <w:rFonts w:ascii="Times New Roman" w:hAnsi="Times New Roman"/>
                <w:sz w:val="24"/>
                <w:szCs w:val="24"/>
              </w:rPr>
              <w:t>Noteikumu</w:t>
            </w:r>
            <w:r w:rsidRPr="00631569">
              <w:rPr>
                <w:rFonts w:ascii="Times New Roman" w:hAnsi="Times New Roman"/>
                <w:sz w:val="24"/>
                <w:szCs w:val="24"/>
              </w:rPr>
              <w:t xml:space="preserve"> piemērošanas pieredzi. Sanāksmē tika pieaicināti pārstāvji no VARAM, Finanšu ministrijas, </w:t>
            </w:r>
            <w:r w:rsidR="00905635" w:rsidRPr="00631569">
              <w:rPr>
                <w:rFonts w:ascii="Times New Roman" w:hAnsi="Times New Roman"/>
                <w:sz w:val="24"/>
                <w:szCs w:val="24"/>
              </w:rPr>
              <w:t xml:space="preserve">Valsts </w:t>
            </w:r>
            <w:r w:rsidRPr="00631569">
              <w:rPr>
                <w:rFonts w:ascii="Times New Roman" w:hAnsi="Times New Roman"/>
                <w:sz w:val="24"/>
                <w:szCs w:val="24"/>
              </w:rPr>
              <w:t>akciju sabiedrības „Valsts nekustamie īpašumi”</w:t>
            </w:r>
            <w:r w:rsidR="00F13147" w:rsidRPr="00631569">
              <w:rPr>
                <w:rFonts w:ascii="Times New Roman" w:hAnsi="Times New Roman"/>
                <w:sz w:val="24"/>
                <w:szCs w:val="24"/>
              </w:rPr>
              <w:t xml:space="preserve">, tās </w:t>
            </w:r>
            <w:r w:rsidRPr="00631569">
              <w:rPr>
                <w:rFonts w:ascii="Times New Roman" w:hAnsi="Times New Roman"/>
                <w:sz w:val="24"/>
                <w:szCs w:val="24"/>
              </w:rPr>
              <w:t xml:space="preserve">laikā apspriesti VARAM ierosinātie priekšlikumi grozījumiem </w:t>
            </w:r>
            <w:r w:rsidR="00F13147" w:rsidRPr="00631569">
              <w:rPr>
                <w:rFonts w:ascii="Times New Roman" w:hAnsi="Times New Roman"/>
                <w:sz w:val="24"/>
                <w:szCs w:val="24"/>
              </w:rPr>
              <w:t>Noteikumos</w:t>
            </w:r>
            <w:r w:rsidRPr="00631569">
              <w:rPr>
                <w:rFonts w:ascii="Times New Roman" w:hAnsi="Times New Roman"/>
                <w:sz w:val="24"/>
                <w:szCs w:val="24"/>
              </w:rPr>
              <w:t xml:space="preserve"> un izteikts konceptuāls atbalsts grozījumu virzībai.</w:t>
            </w:r>
          </w:p>
        </w:tc>
      </w:tr>
      <w:tr w:rsidR="00A94453" w:rsidRPr="00631569" w:rsidTr="00F64A14">
        <w:trPr>
          <w:trHeight w:val="143"/>
          <w:tblCellSpacing w:w="15" w:type="dxa"/>
        </w:trPr>
        <w:tc>
          <w:tcPr>
            <w:tcW w:w="155"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t>4.</w:t>
            </w:r>
          </w:p>
        </w:tc>
        <w:tc>
          <w:tcPr>
            <w:tcW w:w="1098"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Cita informācija</w:t>
            </w:r>
          </w:p>
        </w:tc>
        <w:tc>
          <w:tcPr>
            <w:tcW w:w="3683"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hAnsi="Times New Roman"/>
                <w:sz w:val="24"/>
                <w:szCs w:val="24"/>
              </w:rPr>
              <w:t>Nav.</w:t>
            </w:r>
          </w:p>
        </w:tc>
      </w:tr>
    </w:tbl>
    <w:p w:rsidR="00E80DB5" w:rsidRPr="00631569" w:rsidRDefault="00E80DB5" w:rsidP="00631569">
      <w:pPr>
        <w:spacing w:after="120" w:line="240" w:lineRule="auto"/>
        <w:rPr>
          <w:rFonts w:ascii="Times New Roman" w:eastAsia="Times New Roman" w:hAnsi="Times New Roman"/>
          <w:sz w:val="24"/>
          <w:szCs w:val="24"/>
          <w:lang w:eastAsia="lv-LV"/>
        </w:rPr>
      </w:pPr>
    </w:p>
    <w:tbl>
      <w:tblPr>
        <w:tblW w:w="5106"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7"/>
        <w:gridCol w:w="1640"/>
        <w:gridCol w:w="643"/>
        <w:gridCol w:w="1380"/>
        <w:gridCol w:w="1407"/>
        <w:gridCol w:w="1380"/>
        <w:gridCol w:w="1104"/>
        <w:gridCol w:w="1392"/>
        <w:gridCol w:w="63"/>
      </w:tblGrid>
      <w:tr w:rsidR="00A94453" w:rsidRPr="00631569" w:rsidTr="0044412F">
        <w:trPr>
          <w:gridAfter w:val="1"/>
          <w:wAfter w:w="10" w:type="dxa"/>
          <w:trHeight w:val="286"/>
          <w:tblCellSpacing w:w="15" w:type="dxa"/>
        </w:trPr>
        <w:tc>
          <w:tcPr>
            <w:tcW w:w="4962" w:type="pct"/>
            <w:gridSpan w:val="8"/>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jc w:val="center"/>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II Tiesību akta projekta ietekme uz sabiedrību, tautsaimniecības attīstību un administratīvo slogu</w:t>
            </w:r>
          </w:p>
        </w:tc>
      </w:tr>
      <w:tr w:rsidR="00A94453" w:rsidRPr="00631569" w:rsidTr="0044412F">
        <w:trPr>
          <w:gridAfter w:val="1"/>
          <w:wAfter w:w="10" w:type="dxa"/>
          <w:trHeight w:val="286"/>
          <w:tblCellSpacing w:w="15" w:type="dxa"/>
        </w:trPr>
        <w:tc>
          <w:tcPr>
            <w:tcW w:w="198"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tabs>
                <w:tab w:val="left" w:pos="209"/>
              </w:tabs>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1.</w:t>
            </w:r>
          </w:p>
        </w:tc>
        <w:tc>
          <w:tcPr>
            <w:tcW w:w="874" w:type="pct"/>
            <w:tcBorders>
              <w:top w:val="outset" w:sz="6" w:space="0" w:color="auto"/>
              <w:left w:val="outset" w:sz="6" w:space="0" w:color="auto"/>
              <w:bottom w:val="outset" w:sz="6" w:space="0" w:color="auto"/>
              <w:right w:val="outset" w:sz="6" w:space="0" w:color="auto"/>
            </w:tcBorders>
          </w:tcPr>
          <w:p w:rsidR="00A94453" w:rsidRPr="00206B05" w:rsidRDefault="00206B05" w:rsidP="00631569">
            <w:pPr>
              <w:spacing w:after="120" w:line="240" w:lineRule="auto"/>
              <w:rPr>
                <w:rFonts w:ascii="Times New Roman" w:eastAsia="Times New Roman" w:hAnsi="Times New Roman"/>
                <w:b/>
                <w:bCs/>
                <w:sz w:val="24"/>
                <w:szCs w:val="24"/>
                <w:lang w:eastAsia="lv-LV"/>
              </w:rPr>
            </w:pPr>
            <w:r w:rsidRPr="00206B05">
              <w:rPr>
                <w:rFonts w:ascii="Times New Roman" w:hAnsi="Times New Roman"/>
                <w:sz w:val="24"/>
                <w:szCs w:val="24"/>
              </w:rPr>
              <w:t>Sabiedrības mērķgrupas, kuras tiesiskais regulējums ietekmē vai varētu ietekmēt</w:t>
            </w:r>
          </w:p>
        </w:tc>
        <w:tc>
          <w:tcPr>
            <w:tcW w:w="3858" w:type="pct"/>
            <w:gridSpan w:val="6"/>
            <w:tcBorders>
              <w:top w:val="outset" w:sz="6" w:space="0" w:color="auto"/>
              <w:left w:val="outset" w:sz="6" w:space="0" w:color="auto"/>
              <w:bottom w:val="outset" w:sz="6" w:space="0" w:color="auto"/>
              <w:right w:val="outset" w:sz="6" w:space="0" w:color="auto"/>
            </w:tcBorders>
          </w:tcPr>
          <w:p w:rsidR="00A94453" w:rsidRPr="00631569" w:rsidRDefault="00D93260" w:rsidP="00631569">
            <w:pPr>
              <w:spacing w:after="120" w:line="240" w:lineRule="auto"/>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Personas, kas nomā vai vēlas nomāt publiskai personai piederošu mantu.</w:t>
            </w:r>
          </w:p>
          <w:p w:rsidR="00D93260" w:rsidRPr="00631569" w:rsidRDefault="00D93260"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lang w:eastAsia="lv-LV"/>
              </w:rPr>
              <w:t>Publiskas personas, kuras iznomā tās īpašumā vai valdījumā esošu mantu.</w:t>
            </w:r>
          </w:p>
        </w:tc>
      </w:tr>
      <w:tr w:rsidR="00A94453" w:rsidRPr="00631569" w:rsidTr="0044412F">
        <w:trPr>
          <w:gridAfter w:val="1"/>
          <w:wAfter w:w="10" w:type="dxa"/>
          <w:trHeight w:val="286"/>
          <w:tblCellSpacing w:w="15" w:type="dxa"/>
        </w:trPr>
        <w:tc>
          <w:tcPr>
            <w:tcW w:w="198"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2.</w:t>
            </w:r>
          </w:p>
        </w:tc>
        <w:tc>
          <w:tcPr>
            <w:tcW w:w="874" w:type="pct"/>
            <w:tcBorders>
              <w:top w:val="outset" w:sz="6" w:space="0" w:color="auto"/>
              <w:left w:val="outset" w:sz="6" w:space="0" w:color="auto"/>
              <w:bottom w:val="outset" w:sz="6" w:space="0" w:color="auto"/>
              <w:right w:val="outset" w:sz="6" w:space="0" w:color="auto"/>
            </w:tcBorders>
          </w:tcPr>
          <w:p w:rsidR="00A94453" w:rsidRPr="00206B05" w:rsidRDefault="00206B05" w:rsidP="00631569">
            <w:pPr>
              <w:spacing w:after="120" w:line="240" w:lineRule="auto"/>
              <w:rPr>
                <w:rFonts w:ascii="Times New Roman" w:eastAsia="Times New Roman" w:hAnsi="Times New Roman"/>
                <w:b/>
                <w:bCs/>
                <w:sz w:val="24"/>
                <w:szCs w:val="24"/>
                <w:lang w:eastAsia="lv-LV"/>
              </w:rPr>
            </w:pPr>
            <w:r w:rsidRPr="00206B05">
              <w:rPr>
                <w:rFonts w:ascii="Times New Roman" w:hAnsi="Times New Roman"/>
                <w:sz w:val="24"/>
                <w:szCs w:val="24"/>
              </w:rPr>
              <w:t>Tiesiskā regulējuma ietekme uz tautsaimniecību un administratīvo slogu</w:t>
            </w:r>
          </w:p>
        </w:tc>
        <w:tc>
          <w:tcPr>
            <w:tcW w:w="3858" w:type="pct"/>
            <w:gridSpan w:val="6"/>
            <w:tcBorders>
              <w:top w:val="outset" w:sz="6" w:space="0" w:color="auto"/>
              <w:left w:val="outset" w:sz="6" w:space="0" w:color="auto"/>
              <w:bottom w:val="outset" w:sz="6" w:space="0" w:color="auto"/>
              <w:right w:val="outset" w:sz="6" w:space="0" w:color="auto"/>
            </w:tcBorders>
          </w:tcPr>
          <w:p w:rsidR="00A94453" w:rsidRPr="00631569" w:rsidRDefault="00D61B23" w:rsidP="00631569">
            <w:pPr>
              <w:pStyle w:val="PlainText"/>
              <w:spacing w:after="120"/>
              <w:jc w:val="both"/>
              <w:rPr>
                <w:rFonts w:ascii="Times New Roman" w:eastAsia="Times New Roman" w:hAnsi="Times New Roman"/>
                <w:b/>
                <w:bCs/>
                <w:sz w:val="24"/>
                <w:szCs w:val="24"/>
                <w:lang w:eastAsia="lv-LV"/>
              </w:rPr>
            </w:pPr>
            <w:r w:rsidRPr="00631569">
              <w:rPr>
                <w:rFonts w:ascii="Times New Roman" w:hAnsi="Times New Roman"/>
                <w:sz w:val="24"/>
                <w:szCs w:val="24"/>
              </w:rPr>
              <w:t>Projekts šo jomu neskar.</w:t>
            </w:r>
          </w:p>
        </w:tc>
      </w:tr>
      <w:tr w:rsidR="00A94453" w:rsidRPr="00631569" w:rsidTr="0044412F">
        <w:trPr>
          <w:gridAfter w:val="1"/>
          <w:wAfter w:w="10" w:type="dxa"/>
          <w:trHeight w:val="286"/>
          <w:tblCellSpacing w:w="15" w:type="dxa"/>
        </w:trPr>
        <w:tc>
          <w:tcPr>
            <w:tcW w:w="198"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3.</w:t>
            </w:r>
          </w:p>
        </w:tc>
        <w:tc>
          <w:tcPr>
            <w:tcW w:w="874" w:type="pct"/>
            <w:tcBorders>
              <w:top w:val="outset" w:sz="6" w:space="0" w:color="auto"/>
              <w:left w:val="outset" w:sz="6" w:space="0" w:color="auto"/>
              <w:bottom w:val="outset" w:sz="6" w:space="0" w:color="auto"/>
              <w:right w:val="outset" w:sz="6" w:space="0" w:color="auto"/>
            </w:tcBorders>
          </w:tcPr>
          <w:p w:rsidR="00A94453" w:rsidRPr="00206B05" w:rsidRDefault="00206B05" w:rsidP="00206B05">
            <w:pPr>
              <w:spacing w:after="120" w:line="240" w:lineRule="auto"/>
              <w:rPr>
                <w:rFonts w:ascii="Times New Roman" w:eastAsia="Times New Roman" w:hAnsi="Times New Roman"/>
                <w:b/>
                <w:bCs/>
                <w:sz w:val="24"/>
                <w:szCs w:val="24"/>
                <w:lang w:eastAsia="lv-LV"/>
              </w:rPr>
            </w:pPr>
            <w:r w:rsidRPr="00206B05">
              <w:rPr>
                <w:rFonts w:ascii="Times New Roman" w:hAnsi="Times New Roman"/>
                <w:sz w:val="24"/>
                <w:szCs w:val="24"/>
              </w:rPr>
              <w:t>Administratīvo izmaksu monetārs novērtējums</w:t>
            </w:r>
            <w:r w:rsidRPr="00206B05">
              <w:rPr>
                <w:rFonts w:ascii="Times New Roman" w:eastAsia="Times New Roman" w:hAnsi="Times New Roman"/>
                <w:b/>
                <w:bCs/>
                <w:sz w:val="24"/>
                <w:szCs w:val="24"/>
                <w:lang w:eastAsia="lv-LV"/>
              </w:rPr>
              <w:t xml:space="preserve"> </w:t>
            </w:r>
          </w:p>
        </w:tc>
        <w:tc>
          <w:tcPr>
            <w:tcW w:w="3858" w:type="pct"/>
            <w:gridSpan w:val="6"/>
            <w:tcBorders>
              <w:top w:val="outset" w:sz="6" w:space="0" w:color="auto"/>
              <w:left w:val="outset" w:sz="6" w:space="0" w:color="auto"/>
              <w:bottom w:val="outset" w:sz="6" w:space="0" w:color="auto"/>
              <w:right w:val="outset" w:sz="6" w:space="0" w:color="auto"/>
            </w:tcBorders>
          </w:tcPr>
          <w:p w:rsidR="00A94453" w:rsidRPr="00631569" w:rsidRDefault="00296048" w:rsidP="00631569">
            <w:pPr>
              <w:pStyle w:val="tv207"/>
              <w:spacing w:before="0" w:beforeAutospacing="0" w:after="120" w:afterAutospacing="0"/>
              <w:jc w:val="both"/>
            </w:pPr>
            <w:r w:rsidRPr="00631569">
              <w:t xml:space="preserve">Noteikumu projekta īstenošanai papildus līdzekļi no valsts vai pašvaldību budžeta nav nepieciešami. </w:t>
            </w:r>
          </w:p>
        </w:tc>
      </w:tr>
      <w:tr w:rsidR="00A94453" w:rsidRPr="00631569" w:rsidTr="0044412F">
        <w:trPr>
          <w:gridAfter w:val="1"/>
          <w:wAfter w:w="10" w:type="dxa"/>
          <w:trHeight w:val="286"/>
          <w:tblCellSpacing w:w="15" w:type="dxa"/>
        </w:trPr>
        <w:tc>
          <w:tcPr>
            <w:tcW w:w="198" w:type="pct"/>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4.</w:t>
            </w:r>
          </w:p>
        </w:tc>
        <w:tc>
          <w:tcPr>
            <w:tcW w:w="874" w:type="pct"/>
            <w:tcBorders>
              <w:top w:val="outset" w:sz="6" w:space="0" w:color="auto"/>
              <w:left w:val="outset" w:sz="6" w:space="0" w:color="auto"/>
              <w:bottom w:val="outset" w:sz="6" w:space="0" w:color="auto"/>
              <w:right w:val="outset" w:sz="6" w:space="0" w:color="auto"/>
            </w:tcBorders>
          </w:tcPr>
          <w:p w:rsidR="00A94453" w:rsidRPr="00206B05" w:rsidRDefault="00206B05" w:rsidP="00631569">
            <w:pPr>
              <w:spacing w:after="120" w:line="240" w:lineRule="auto"/>
              <w:rPr>
                <w:rFonts w:ascii="Times New Roman" w:eastAsia="Times New Roman" w:hAnsi="Times New Roman"/>
                <w:b/>
                <w:bCs/>
                <w:sz w:val="24"/>
                <w:szCs w:val="24"/>
                <w:lang w:eastAsia="lv-LV"/>
              </w:rPr>
            </w:pPr>
            <w:r w:rsidRPr="00206B05">
              <w:rPr>
                <w:rFonts w:ascii="Times New Roman" w:hAnsi="Times New Roman"/>
                <w:sz w:val="24"/>
                <w:szCs w:val="24"/>
              </w:rPr>
              <w:t>Cita informācija</w:t>
            </w:r>
          </w:p>
        </w:tc>
        <w:tc>
          <w:tcPr>
            <w:tcW w:w="3858" w:type="pct"/>
            <w:gridSpan w:val="6"/>
            <w:tcBorders>
              <w:top w:val="outset" w:sz="6" w:space="0" w:color="auto"/>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rPr>
              <w:t>Projekts šo jomu neskar.</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rHeight w:val="652"/>
          <w:tblCellSpacing w:w="0" w:type="dxa"/>
        </w:trPr>
        <w:tc>
          <w:tcPr>
            <w:tcW w:w="4968" w:type="pct"/>
            <w:gridSpan w:val="9"/>
          </w:tcPr>
          <w:p w:rsidR="00A94453" w:rsidRPr="00631569" w:rsidRDefault="00A94453" w:rsidP="00631569">
            <w:pPr>
              <w:spacing w:after="120" w:line="240" w:lineRule="auto"/>
              <w:jc w:val="center"/>
              <w:rPr>
                <w:rFonts w:ascii="Times New Roman" w:hAnsi="Times New Roman"/>
                <w:b/>
                <w:sz w:val="24"/>
                <w:szCs w:val="24"/>
                <w:lang w:eastAsia="lv-LV"/>
              </w:rPr>
            </w:pPr>
            <w:r w:rsidRPr="00631569">
              <w:rPr>
                <w:rFonts w:ascii="Times New Roman" w:hAnsi="Times New Roman"/>
                <w:b/>
                <w:sz w:val="24"/>
                <w:szCs w:val="24"/>
                <w:lang w:eastAsia="lv-LV"/>
              </w:rPr>
              <w:t>III Tiesību akta projekta ietekme uz valsts budžetu un pašvaldību budžetiem</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vMerge w:val="restart"/>
            <w:tcBorders>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Pr="00631569">
              <w:rPr>
                <w:rFonts w:ascii="Times New Roman" w:hAnsi="Times New Roman"/>
                <w:b/>
                <w:bCs/>
                <w:sz w:val="24"/>
                <w:szCs w:val="24"/>
                <w:lang w:eastAsia="lv-LV"/>
              </w:rPr>
              <w:t>Rādītāji</w:t>
            </w:r>
          </w:p>
        </w:tc>
        <w:tc>
          <w:tcPr>
            <w:tcW w:w="1489" w:type="pct"/>
            <w:gridSpan w:val="2"/>
            <w:vMerge w:val="restar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Pr="00631569">
              <w:rPr>
                <w:rFonts w:ascii="Times New Roman" w:hAnsi="Times New Roman"/>
                <w:b/>
                <w:bCs/>
                <w:sz w:val="24"/>
                <w:szCs w:val="24"/>
                <w:lang w:eastAsia="lv-LV"/>
              </w:rPr>
              <w:t>201</w:t>
            </w:r>
            <w:r w:rsidR="006E4135" w:rsidRPr="00631569">
              <w:rPr>
                <w:rFonts w:ascii="Times New Roman" w:hAnsi="Times New Roman"/>
                <w:b/>
                <w:bCs/>
                <w:sz w:val="24"/>
                <w:szCs w:val="24"/>
                <w:lang w:eastAsia="lv-LV"/>
              </w:rPr>
              <w:t>5</w:t>
            </w:r>
            <w:r w:rsidRPr="00631569">
              <w:rPr>
                <w:rFonts w:ascii="Times New Roman" w:hAnsi="Times New Roman"/>
                <w:b/>
                <w:bCs/>
                <w:sz w:val="24"/>
                <w:szCs w:val="24"/>
                <w:lang w:eastAsia="lv-LV"/>
              </w:rPr>
              <w:t>. gads</w:t>
            </w:r>
          </w:p>
        </w:tc>
        <w:tc>
          <w:tcPr>
            <w:tcW w:w="2040" w:type="pct"/>
            <w:gridSpan w:val="4"/>
            <w:tcBorders>
              <w:left w:val="outset" w:sz="6" w:space="0" w:color="auto"/>
              <w:bottom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xml:space="preserve"> Turpmākie trīs gadi (tūkst. </w:t>
            </w:r>
            <w:r w:rsidR="006E4135" w:rsidRPr="00631569">
              <w:rPr>
                <w:rFonts w:ascii="Times New Roman" w:hAnsi="Times New Roman"/>
                <w:sz w:val="24"/>
                <w:szCs w:val="24"/>
                <w:lang w:eastAsia="lv-LV"/>
              </w:rPr>
              <w:t>euro</w:t>
            </w:r>
            <w:r w:rsidRPr="00631569">
              <w:rPr>
                <w:rFonts w:ascii="Times New Roman" w:hAnsi="Times New Roman"/>
                <w:sz w:val="24"/>
                <w:szCs w:val="24"/>
                <w:lang w:eastAsia="lv-LV"/>
              </w:rPr>
              <w:t>)</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vMerge/>
            <w:tcBorders>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p>
        </w:tc>
        <w:tc>
          <w:tcPr>
            <w:tcW w:w="1489" w:type="pct"/>
            <w:gridSpan w:val="2"/>
            <w:vMerge/>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201</w:t>
            </w:r>
            <w:r w:rsidR="006E4135" w:rsidRPr="00631569">
              <w:rPr>
                <w:rFonts w:ascii="Times New Roman" w:hAnsi="Times New Roman"/>
                <w:sz w:val="24"/>
                <w:szCs w:val="24"/>
                <w:lang w:eastAsia="lv-LV"/>
              </w:rPr>
              <w:t>6</w:t>
            </w:r>
            <w:r w:rsidRPr="00631569">
              <w:rPr>
                <w:rFonts w:ascii="Times New Roman" w:hAnsi="Times New Roman"/>
                <w:sz w:val="24"/>
                <w:szCs w:val="24"/>
                <w:lang w:eastAsia="lv-LV"/>
              </w:rPr>
              <w:t>.</w:t>
            </w:r>
          </w:p>
        </w:tc>
        <w:tc>
          <w:tcPr>
            <w:tcW w:w="586" w:type="pc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201</w:t>
            </w:r>
            <w:r w:rsidR="00B84A44" w:rsidRPr="00631569">
              <w:rPr>
                <w:rFonts w:ascii="Times New Roman" w:hAnsi="Times New Roman"/>
                <w:sz w:val="24"/>
                <w:szCs w:val="24"/>
                <w:lang w:eastAsia="lv-LV"/>
              </w:rPr>
              <w:t>7</w:t>
            </w:r>
            <w:r w:rsidRPr="00631569">
              <w:rPr>
                <w:rFonts w:ascii="Times New Roman" w:hAnsi="Times New Roman"/>
                <w:sz w:val="24"/>
                <w:szCs w:val="24"/>
                <w:lang w:eastAsia="lv-LV"/>
              </w:rPr>
              <w:t>.</w:t>
            </w:r>
          </w:p>
        </w:tc>
        <w:tc>
          <w:tcPr>
            <w:tcW w:w="686" w:type="pct"/>
            <w:gridSpan w:val="2"/>
            <w:tcBorders>
              <w:left w:val="outset" w:sz="6" w:space="0" w:color="auto"/>
              <w:bottom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201</w:t>
            </w:r>
            <w:r w:rsidR="00B84A44" w:rsidRPr="00631569">
              <w:rPr>
                <w:rFonts w:ascii="Times New Roman" w:hAnsi="Times New Roman"/>
                <w:sz w:val="24"/>
                <w:szCs w:val="24"/>
                <w:lang w:eastAsia="lv-LV"/>
              </w:rPr>
              <w:t>8</w:t>
            </w:r>
            <w:r w:rsidRPr="00631569">
              <w:rPr>
                <w:rFonts w:ascii="Times New Roman" w:hAnsi="Times New Roman"/>
                <w:sz w:val="24"/>
                <w:szCs w:val="24"/>
                <w:lang w:eastAsia="lv-LV"/>
              </w:rPr>
              <w:t>.</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vMerge/>
            <w:tcBorders>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Saskaņā ar valsts budžetu kārtējam gadam</w:t>
            </w:r>
          </w:p>
        </w:tc>
        <w:tc>
          <w:tcPr>
            <w:tcW w:w="737" w:type="pc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kārtējā gadā, salīdzinot ar budžetu kārtējam gadam</w:t>
            </w:r>
          </w:p>
        </w:tc>
        <w:tc>
          <w:tcPr>
            <w:tcW w:w="737" w:type="pc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salīdzinot ar kārtējo (n) gadu</w:t>
            </w:r>
          </w:p>
        </w:tc>
        <w:tc>
          <w:tcPr>
            <w:tcW w:w="586" w:type="pc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salīdzinot ar kārtējo (n) gadu</w:t>
            </w:r>
          </w:p>
        </w:tc>
        <w:tc>
          <w:tcPr>
            <w:tcW w:w="686" w:type="pct"/>
            <w:gridSpan w:val="2"/>
            <w:tcBorders>
              <w:left w:val="outset" w:sz="6" w:space="0" w:color="auto"/>
              <w:bottom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salīdzinot ar kārtējo (n) gadu</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vAlign w:val="center"/>
          </w:tcPr>
          <w:p w:rsidR="00A94453" w:rsidRPr="00631569" w:rsidRDefault="00E80DB5" w:rsidP="00631569">
            <w:pPr>
              <w:spacing w:after="120" w:line="240" w:lineRule="auto"/>
              <w:rPr>
                <w:rFonts w:ascii="Times New Roman" w:hAnsi="Times New Roman"/>
                <w:sz w:val="24"/>
                <w:szCs w:val="24"/>
                <w:lang w:eastAsia="lv-LV"/>
              </w:rPr>
            </w:pPr>
            <w:r>
              <w:rPr>
                <w:rFonts w:ascii="Times New Roman" w:hAnsi="Times New Roman"/>
                <w:sz w:val="24"/>
                <w:szCs w:val="24"/>
                <w:lang w:eastAsia="lv-LV"/>
              </w:rPr>
              <w:t> 1</w:t>
            </w:r>
          </w:p>
        </w:tc>
        <w:tc>
          <w:tcPr>
            <w:tcW w:w="737" w:type="pc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w:t>
            </w:r>
          </w:p>
        </w:tc>
        <w:tc>
          <w:tcPr>
            <w:tcW w:w="737" w:type="pc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w:t>
            </w:r>
          </w:p>
        </w:tc>
        <w:tc>
          <w:tcPr>
            <w:tcW w:w="737" w:type="pc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4</w:t>
            </w:r>
          </w:p>
        </w:tc>
        <w:tc>
          <w:tcPr>
            <w:tcW w:w="586" w:type="pct"/>
            <w:tcBorders>
              <w:left w:val="outset" w:sz="6" w:space="0" w:color="auto"/>
              <w:bottom w:val="outset" w:sz="6" w:space="0" w:color="auto"/>
              <w:right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w:t>
            </w:r>
          </w:p>
        </w:tc>
        <w:tc>
          <w:tcPr>
            <w:tcW w:w="686" w:type="pct"/>
            <w:gridSpan w:val="2"/>
            <w:tcBorders>
              <w:left w:val="outset" w:sz="6" w:space="0" w:color="auto"/>
              <w:bottom w:val="out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 Budžeta ieņēmumi:</w:t>
            </w:r>
          </w:p>
        </w:tc>
        <w:tc>
          <w:tcPr>
            <w:tcW w:w="737" w:type="pct"/>
            <w:tcBorders>
              <w:left w:val="outset" w:sz="6" w:space="0" w:color="auto"/>
              <w:bottom w:val="outset" w:sz="6" w:space="0" w:color="auto"/>
              <w:right w:val="outset" w:sz="6" w:space="0" w:color="auto"/>
            </w:tcBorders>
          </w:tcPr>
          <w:p w:rsidR="00A94453" w:rsidRPr="00631569" w:rsidRDefault="000F214E"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r w:rsidRPr="00631569" w:rsidDel="000F214E">
              <w:rPr>
                <w:rFonts w:ascii="Times New Roman" w:hAnsi="Times New Roman"/>
                <w:sz w:val="24"/>
                <w:szCs w:val="24"/>
                <w:lang w:eastAsia="lv-LV"/>
              </w:rPr>
              <w:t xml:space="preserve">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000F214E"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rsidR="00A94453" w:rsidRPr="00631569" w:rsidRDefault="000F214E"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586"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000F214E"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rsidR="00A94453" w:rsidRPr="00631569" w:rsidRDefault="000F214E"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1.1. valsts pamatbudžets, tai skaitā ieņēmumi no maksas pakalpojumiem un citi pašu ieņēmumi</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1.2. valsts speciālais budžets</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1.3. pašvaldību budžets</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 Budžeta izdevumi:</w:t>
            </w:r>
          </w:p>
        </w:tc>
        <w:tc>
          <w:tcPr>
            <w:tcW w:w="737" w:type="pct"/>
            <w:tcBorders>
              <w:left w:val="outset" w:sz="6" w:space="0" w:color="auto"/>
              <w:bottom w:val="outset" w:sz="6" w:space="0" w:color="auto"/>
              <w:right w:val="outset" w:sz="6" w:space="0" w:color="auto"/>
            </w:tcBorders>
          </w:tcPr>
          <w:p w:rsidR="00A94453" w:rsidRPr="00631569" w:rsidRDefault="000F214E"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r w:rsidRPr="00631569" w:rsidDel="000F214E">
              <w:rPr>
                <w:rFonts w:ascii="Times New Roman" w:hAnsi="Times New Roman"/>
                <w:sz w:val="24"/>
                <w:szCs w:val="24"/>
                <w:lang w:eastAsia="lv-LV"/>
              </w:rPr>
              <w:t xml:space="preserve">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000F214E"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586"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2.1. valsts pamatbudžets</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2.2. valsts speciālais budžets</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in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2.3. pašvaldību budžets</w:t>
            </w:r>
          </w:p>
        </w:tc>
        <w:tc>
          <w:tcPr>
            <w:tcW w:w="737" w:type="pct"/>
            <w:tcBorders>
              <w:left w:val="outset" w:sz="6" w:space="0" w:color="auto"/>
              <w:bottom w:val="in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in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in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inset" w:sz="6" w:space="0" w:color="auto"/>
              <w:right w:val="out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top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 Finansiālā ietekme:</w:t>
            </w:r>
          </w:p>
        </w:tc>
        <w:tc>
          <w:tcPr>
            <w:tcW w:w="737" w:type="pct"/>
            <w:tcBorders>
              <w:top w:val="inset" w:sz="6" w:space="0" w:color="auto"/>
              <w:left w:val="inset" w:sz="6" w:space="0" w:color="auto"/>
              <w:bottom w:val="outset" w:sz="6" w:space="0" w:color="auto"/>
              <w:right w:val="inset" w:sz="6" w:space="0" w:color="auto"/>
            </w:tcBorders>
            <w:vAlign w:val="center"/>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top w:val="inset" w:sz="6" w:space="0" w:color="auto"/>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top w:val="inset" w:sz="6" w:space="0" w:color="auto"/>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586" w:type="pct"/>
            <w:tcBorders>
              <w:top w:val="inset" w:sz="6" w:space="0" w:color="auto"/>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3.1. valsts pamatbudžets</w:t>
            </w:r>
          </w:p>
        </w:tc>
        <w:tc>
          <w:tcPr>
            <w:tcW w:w="737" w:type="pct"/>
            <w:tcBorders>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3.2. speciālais budžets</w:t>
            </w:r>
          </w:p>
        </w:tc>
        <w:tc>
          <w:tcPr>
            <w:tcW w:w="737" w:type="pct"/>
            <w:tcBorders>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inset" w:sz="6" w:space="0" w:color="auto"/>
              <w:bottom w:val="outset" w:sz="6" w:space="0" w:color="auto"/>
              <w:right w:val="inset" w:sz="6" w:space="0" w:color="auto"/>
            </w:tcBorders>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Pr>
          <w:p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7B68EE"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inset" w:sz="6" w:space="0" w:color="auto"/>
            </w:tcBorders>
          </w:tcPr>
          <w:p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3.3. pašvaldību budžets</w:t>
            </w:r>
          </w:p>
        </w:tc>
        <w:tc>
          <w:tcPr>
            <w:tcW w:w="737" w:type="pct"/>
            <w:tcBorders>
              <w:left w:val="inset" w:sz="6" w:space="0" w:color="auto"/>
              <w:bottom w:val="outset" w:sz="6" w:space="0" w:color="auto"/>
              <w:right w:val="inset" w:sz="6" w:space="0" w:color="auto"/>
            </w:tcBorders>
          </w:tcPr>
          <w:p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inset" w:sz="6" w:space="0" w:color="auto"/>
              <w:bottom w:val="outset" w:sz="6" w:space="0" w:color="auto"/>
              <w:right w:val="inset" w:sz="6" w:space="0" w:color="auto"/>
            </w:tcBorders>
          </w:tcPr>
          <w:p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Pr>
          <w:p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inset" w:sz="6" w:space="0" w:color="auto"/>
            </w:tcBorders>
          </w:tcPr>
          <w:p w:rsidR="00E80DB5" w:rsidRDefault="00E80DB5" w:rsidP="007B68EE">
            <w:pPr>
              <w:spacing w:after="120" w:line="240" w:lineRule="auto"/>
              <w:rPr>
                <w:rFonts w:ascii="Times New Roman" w:hAnsi="Times New Roman"/>
                <w:sz w:val="24"/>
                <w:szCs w:val="24"/>
                <w:lang w:eastAsia="lv-LV"/>
              </w:rPr>
            </w:pPr>
          </w:p>
          <w:p w:rsidR="00E80DB5" w:rsidRDefault="00E80DB5" w:rsidP="007B68EE">
            <w:pPr>
              <w:spacing w:after="120" w:line="240" w:lineRule="auto"/>
              <w:rPr>
                <w:rFonts w:ascii="Times New Roman" w:hAnsi="Times New Roman"/>
                <w:sz w:val="24"/>
                <w:szCs w:val="24"/>
                <w:lang w:eastAsia="lv-LV"/>
              </w:rPr>
            </w:pPr>
          </w:p>
          <w:p w:rsidR="00E80DB5" w:rsidRPr="00631569" w:rsidRDefault="00E80DB5" w:rsidP="007B68EE">
            <w:pPr>
              <w:spacing w:after="120" w:line="240" w:lineRule="auto"/>
              <w:rPr>
                <w:rFonts w:ascii="Times New Roman" w:hAnsi="Times New Roman"/>
                <w:sz w:val="24"/>
                <w:szCs w:val="24"/>
                <w:lang w:eastAsia="lv-LV"/>
              </w:rPr>
            </w:pPr>
          </w:p>
        </w:tc>
        <w:tc>
          <w:tcPr>
            <w:tcW w:w="737" w:type="pct"/>
            <w:tcBorders>
              <w:left w:val="inset" w:sz="6" w:space="0" w:color="auto"/>
              <w:bottom w:val="outset" w:sz="6" w:space="0" w:color="auto"/>
              <w:right w:val="inset" w:sz="6" w:space="0" w:color="auto"/>
            </w:tcBorders>
          </w:tcPr>
          <w:p w:rsidR="00E80DB5" w:rsidRPr="00631569" w:rsidRDefault="00E80DB5" w:rsidP="007B68EE">
            <w:pPr>
              <w:spacing w:after="120" w:line="240" w:lineRule="auto"/>
              <w:rPr>
                <w:rFonts w:ascii="Times New Roman" w:hAnsi="Times New Roman"/>
                <w:sz w:val="24"/>
                <w:szCs w:val="24"/>
                <w:lang w:eastAsia="lv-LV"/>
              </w:rPr>
            </w:pPr>
          </w:p>
        </w:tc>
        <w:tc>
          <w:tcPr>
            <w:tcW w:w="737" w:type="pct"/>
            <w:tcBorders>
              <w:left w:val="inset" w:sz="6" w:space="0" w:color="auto"/>
              <w:bottom w:val="outset" w:sz="6" w:space="0" w:color="auto"/>
              <w:right w:val="inset" w:sz="6" w:space="0" w:color="auto"/>
            </w:tcBorders>
          </w:tcPr>
          <w:p w:rsidR="00E80DB5" w:rsidRPr="00631569" w:rsidRDefault="00E80DB5" w:rsidP="007B68EE">
            <w:pPr>
              <w:spacing w:after="120" w:line="240" w:lineRule="auto"/>
              <w:rPr>
                <w:rFonts w:ascii="Times New Roman" w:hAnsi="Times New Roman"/>
                <w:sz w:val="24"/>
                <w:szCs w:val="24"/>
                <w:lang w:eastAsia="lv-LV"/>
              </w:rPr>
            </w:pPr>
          </w:p>
        </w:tc>
        <w:tc>
          <w:tcPr>
            <w:tcW w:w="737" w:type="pct"/>
            <w:tcBorders>
              <w:left w:val="inset" w:sz="6" w:space="0" w:color="auto"/>
              <w:bottom w:val="outset" w:sz="6" w:space="0" w:color="auto"/>
              <w:right w:val="inset" w:sz="6" w:space="0" w:color="auto"/>
            </w:tcBorders>
          </w:tcPr>
          <w:p w:rsidR="00E80DB5" w:rsidRPr="00631569" w:rsidRDefault="00E80DB5" w:rsidP="007B68EE">
            <w:pPr>
              <w:spacing w:after="120" w:line="240" w:lineRule="auto"/>
              <w:rPr>
                <w:rFonts w:ascii="Times New Roman" w:hAnsi="Times New Roman"/>
                <w:sz w:val="24"/>
                <w:szCs w:val="24"/>
                <w:lang w:eastAsia="lv-LV"/>
              </w:rPr>
            </w:pPr>
          </w:p>
        </w:tc>
        <w:tc>
          <w:tcPr>
            <w:tcW w:w="586" w:type="pct"/>
            <w:tcBorders>
              <w:left w:val="inset" w:sz="6" w:space="0" w:color="auto"/>
              <w:bottom w:val="outset" w:sz="6" w:space="0" w:color="auto"/>
              <w:right w:val="inset" w:sz="6" w:space="0" w:color="auto"/>
            </w:tcBorders>
          </w:tcPr>
          <w:p w:rsidR="00E80DB5" w:rsidRPr="00631569" w:rsidRDefault="00E80DB5" w:rsidP="007B68EE">
            <w:pPr>
              <w:spacing w:after="120" w:line="240" w:lineRule="auto"/>
              <w:rPr>
                <w:rFonts w:ascii="Times New Roman" w:hAnsi="Times New Roman"/>
                <w:sz w:val="24"/>
                <w:szCs w:val="24"/>
                <w:lang w:eastAsia="lv-LV"/>
              </w:rPr>
            </w:pPr>
          </w:p>
        </w:tc>
        <w:tc>
          <w:tcPr>
            <w:tcW w:w="686" w:type="pct"/>
            <w:gridSpan w:val="2"/>
          </w:tcPr>
          <w:p w:rsidR="00E80DB5" w:rsidRPr="00631569" w:rsidRDefault="00E80DB5" w:rsidP="007B68EE">
            <w:pPr>
              <w:spacing w:after="120" w:line="240" w:lineRule="auto"/>
              <w:rPr>
                <w:rFonts w:ascii="Times New Roman" w:hAnsi="Times New Roman"/>
                <w:sz w:val="24"/>
                <w:szCs w:val="24"/>
                <w:lang w:eastAsia="lv-LV"/>
              </w:rPr>
            </w:pP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inset" w:sz="6" w:space="0" w:color="auto"/>
            </w:tcBorders>
            <w:vAlign w:val="center"/>
          </w:tcPr>
          <w:p w:rsidR="00E80DB5" w:rsidRDefault="00E80DB5" w:rsidP="00E80DB5">
            <w:pPr>
              <w:spacing w:after="120" w:line="240" w:lineRule="auto"/>
              <w:rPr>
                <w:rFonts w:ascii="Times New Roman" w:hAnsi="Times New Roman"/>
                <w:sz w:val="24"/>
                <w:szCs w:val="24"/>
                <w:lang w:eastAsia="lv-LV"/>
              </w:rPr>
            </w:pPr>
            <w:r>
              <w:rPr>
                <w:rFonts w:ascii="Times New Roman" w:hAnsi="Times New Roman"/>
                <w:sz w:val="24"/>
                <w:szCs w:val="24"/>
                <w:lang w:eastAsia="lv-LV"/>
              </w:rPr>
              <w:t> 1</w:t>
            </w:r>
          </w:p>
        </w:tc>
        <w:tc>
          <w:tcPr>
            <w:tcW w:w="737" w:type="pct"/>
            <w:tcBorders>
              <w:left w:val="inset" w:sz="6" w:space="0" w:color="auto"/>
              <w:bottom w:val="outset" w:sz="6" w:space="0" w:color="auto"/>
              <w:right w:val="in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w:t>
            </w:r>
          </w:p>
        </w:tc>
        <w:tc>
          <w:tcPr>
            <w:tcW w:w="737" w:type="pct"/>
            <w:tcBorders>
              <w:left w:val="inset" w:sz="6" w:space="0" w:color="auto"/>
              <w:bottom w:val="outset" w:sz="6" w:space="0" w:color="auto"/>
              <w:right w:val="in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w:t>
            </w:r>
          </w:p>
        </w:tc>
        <w:tc>
          <w:tcPr>
            <w:tcW w:w="737" w:type="pct"/>
            <w:tcBorders>
              <w:left w:val="inset" w:sz="6" w:space="0" w:color="auto"/>
              <w:bottom w:val="outset" w:sz="6" w:space="0" w:color="auto"/>
              <w:right w:val="in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4</w:t>
            </w:r>
          </w:p>
        </w:tc>
        <w:tc>
          <w:tcPr>
            <w:tcW w:w="586" w:type="pct"/>
            <w:tcBorders>
              <w:left w:val="inset" w:sz="6" w:space="0" w:color="auto"/>
              <w:bottom w:val="outset" w:sz="6" w:space="0" w:color="auto"/>
              <w:right w:val="in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w:t>
            </w:r>
          </w:p>
        </w:tc>
        <w:tc>
          <w:tcPr>
            <w:tcW w:w="686" w:type="pct"/>
            <w:gridSpan w:val="2"/>
            <w:vAlign w:val="center"/>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w:t>
            </w: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vMerge w:val="restart"/>
            <w:tcBorders>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4. Finanšu līdzekļi papildu izde</w:t>
            </w:r>
            <w:r w:rsidRPr="00631569">
              <w:rPr>
                <w:rFonts w:ascii="Times New Roman" w:hAnsi="Times New Roman"/>
                <w:sz w:val="24"/>
                <w:szCs w:val="24"/>
                <w:lang w:eastAsia="lv-LV"/>
              </w:rPr>
              <w:softHyphen/>
              <w:t>vumu finansēšanai (kompensējošu izdevumu samazinājumu norāda ar "+" zīmi)</w:t>
            </w:r>
          </w:p>
        </w:tc>
        <w:tc>
          <w:tcPr>
            <w:tcW w:w="737" w:type="pct"/>
            <w:vMerge w:val="restar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  </w:t>
            </w:r>
          </w:p>
        </w:tc>
        <w:tc>
          <w:tcPr>
            <w:tcW w:w="586"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vMerge/>
            <w:tcBorders>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p>
        </w:tc>
        <w:tc>
          <w:tcPr>
            <w:tcW w:w="737" w:type="pct"/>
            <w:vMerge/>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p>
        </w:tc>
        <w:tc>
          <w:tcPr>
            <w:tcW w:w="586"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p>
        </w:tc>
        <w:tc>
          <w:tcPr>
            <w:tcW w:w="686" w:type="pct"/>
            <w:gridSpan w:val="2"/>
            <w:tcBorders>
              <w:left w:val="outset" w:sz="6" w:space="0" w:color="auto"/>
              <w:bottom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vMerge/>
            <w:tcBorders>
              <w:bottom w:val="outset" w:sz="6" w:space="0" w:color="auto"/>
              <w:right w:val="out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p>
        </w:tc>
        <w:tc>
          <w:tcPr>
            <w:tcW w:w="737" w:type="pct"/>
            <w:vMerge/>
            <w:tcBorders>
              <w:left w:val="outset" w:sz="6" w:space="0" w:color="auto"/>
              <w:bottom w:val="outset" w:sz="6" w:space="0" w:color="auto"/>
              <w:right w:val="out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  </w:t>
            </w:r>
          </w:p>
        </w:tc>
        <w:tc>
          <w:tcPr>
            <w:tcW w:w="586"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vMerge/>
            <w:tcBorders>
              <w:bottom w:val="outset" w:sz="6" w:space="0" w:color="auto"/>
              <w:right w:val="out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p>
        </w:tc>
        <w:tc>
          <w:tcPr>
            <w:tcW w:w="737" w:type="pct"/>
            <w:vMerge/>
            <w:tcBorders>
              <w:left w:val="outset" w:sz="6" w:space="0" w:color="auto"/>
              <w:bottom w:val="outset" w:sz="6" w:space="0" w:color="auto"/>
              <w:right w:val="out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586"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 Precizēta finansiālā ietekme:</w:t>
            </w:r>
          </w:p>
        </w:tc>
        <w:tc>
          <w:tcPr>
            <w:tcW w:w="737" w:type="pct"/>
            <w:vMerge w:val="restar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586"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5.1. valsts pamatbudžets</w:t>
            </w:r>
          </w:p>
        </w:tc>
        <w:tc>
          <w:tcPr>
            <w:tcW w:w="737" w:type="pct"/>
            <w:vMerge/>
            <w:tcBorders>
              <w:left w:val="outset" w:sz="6" w:space="0" w:color="auto"/>
              <w:bottom w:val="outset" w:sz="6" w:space="0" w:color="auto"/>
              <w:right w:val="out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5.2. speciālais budžets</w:t>
            </w:r>
          </w:p>
        </w:tc>
        <w:tc>
          <w:tcPr>
            <w:tcW w:w="737" w:type="pct"/>
            <w:vMerge/>
            <w:tcBorders>
              <w:left w:val="outset" w:sz="6" w:space="0" w:color="auto"/>
              <w:bottom w:val="outset" w:sz="6" w:space="0" w:color="auto"/>
              <w:right w:val="out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5.3. pašvaldību budžets</w:t>
            </w:r>
          </w:p>
        </w:tc>
        <w:tc>
          <w:tcPr>
            <w:tcW w:w="737" w:type="pct"/>
            <w:vMerge/>
            <w:tcBorders>
              <w:left w:val="outset" w:sz="6" w:space="0" w:color="auto"/>
              <w:bottom w:val="outset" w:sz="6" w:space="0" w:color="auto"/>
              <w:right w:val="out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6. Detalizēts ieņēmumu un izdevu</w:t>
            </w:r>
            <w:r w:rsidRPr="00631569">
              <w:rPr>
                <w:rFonts w:ascii="Times New Roman" w:hAnsi="Times New Roman"/>
                <w:sz w:val="24"/>
                <w:szCs w:val="24"/>
                <w:lang w:eastAsia="lv-LV"/>
              </w:rPr>
              <w:softHyphen/>
              <w:t>mu aprēķins (ja nepieciešams, detalizētu ieņēmumu un izdevumu aprēķinu var pievienot anotācijas pielikumā):</w:t>
            </w:r>
          </w:p>
        </w:tc>
        <w:tc>
          <w:tcPr>
            <w:tcW w:w="3546" w:type="pct"/>
            <w:gridSpan w:val="6"/>
            <w:vMerge w:val="restart"/>
            <w:tcBorders>
              <w:left w:val="outset" w:sz="6" w:space="0" w:color="auto"/>
              <w:bottom w:val="outset" w:sz="6" w:space="0" w:color="auto"/>
              <w:right w:val="out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Projekts šo jomu neskar.</w:t>
            </w: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6.1. detalizēts ieņēmumu aprēķins</w:t>
            </w:r>
          </w:p>
        </w:tc>
        <w:tc>
          <w:tcPr>
            <w:tcW w:w="3546" w:type="pct"/>
            <w:gridSpan w:val="6"/>
            <w:vMerge/>
            <w:tcBorders>
              <w:left w:val="outset" w:sz="6" w:space="0" w:color="auto"/>
              <w:bottom w:val="outset" w:sz="6" w:space="0" w:color="auto"/>
              <w:right w:val="out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out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6.2. detalizēts izdevumu aprēķins</w:t>
            </w:r>
          </w:p>
        </w:tc>
        <w:tc>
          <w:tcPr>
            <w:tcW w:w="3546" w:type="pct"/>
            <w:gridSpan w:val="6"/>
            <w:vMerge/>
            <w:tcBorders>
              <w:left w:val="outset" w:sz="6" w:space="0" w:color="auto"/>
              <w:bottom w:val="outset" w:sz="6" w:space="0" w:color="auto"/>
              <w:right w:val="outset" w:sz="6" w:space="0" w:color="auto"/>
            </w:tcBorders>
            <w:vAlign w:val="center"/>
          </w:tcPr>
          <w:p w:rsidR="00E80DB5" w:rsidRPr="00631569" w:rsidRDefault="00E80DB5" w:rsidP="00E80DB5">
            <w:pPr>
              <w:spacing w:after="120" w:line="240" w:lineRule="auto"/>
              <w:rPr>
                <w:rFonts w:ascii="Times New Roman" w:hAnsi="Times New Roman"/>
                <w:sz w:val="24"/>
                <w:szCs w:val="24"/>
                <w:lang w:eastAsia="lv-LV"/>
              </w:rPr>
            </w:pPr>
          </w:p>
        </w:tc>
      </w:tr>
      <w:tr w:rsidR="00E80DB5" w:rsidRPr="00631569"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tblPrEx>
        <w:trPr>
          <w:tblCellSpacing w:w="0" w:type="dxa"/>
        </w:trPr>
        <w:tc>
          <w:tcPr>
            <w:tcW w:w="1407" w:type="pct"/>
            <w:gridSpan w:val="3"/>
            <w:tcBorders>
              <w:bottom w:val="inset" w:sz="6" w:space="0" w:color="auto"/>
              <w:right w:val="outset" w:sz="6" w:space="0" w:color="auto"/>
            </w:tcBorders>
          </w:tcPr>
          <w:p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7. Cita informācija</w:t>
            </w:r>
          </w:p>
        </w:tc>
        <w:tc>
          <w:tcPr>
            <w:tcW w:w="3546" w:type="pct"/>
            <w:gridSpan w:val="6"/>
            <w:tcBorders>
              <w:left w:val="outset" w:sz="6" w:space="0" w:color="auto"/>
              <w:bottom w:val="inset" w:sz="6" w:space="0" w:color="auto"/>
              <w:right w:val="outset" w:sz="6" w:space="0" w:color="auto"/>
            </w:tcBorders>
          </w:tcPr>
          <w:p w:rsidR="00E80DB5" w:rsidRPr="00631569" w:rsidRDefault="00E80DB5" w:rsidP="00E80DB5">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Noteikumu projekta īstenošana neradīs papildus izdevumus valsts un pašvaldību budžetiem. Savukārt ieņēmumi nav precīzi aprēķināmi, jo nav nosakāma potenciālo nomnieku interese par iznomāšanai paredzētajiem nekustamajiem īpašumiem.</w:t>
            </w:r>
          </w:p>
        </w:tc>
      </w:tr>
    </w:tbl>
    <w:p w:rsidR="00A94453" w:rsidRPr="00631569" w:rsidRDefault="00A94453" w:rsidP="00631569">
      <w:pPr>
        <w:spacing w:after="120" w:line="240" w:lineRule="auto"/>
        <w:rPr>
          <w:rFonts w:ascii="Times New Roman" w:eastAsia="Times New Roman" w:hAnsi="Times New Roman"/>
          <w:sz w:val="24"/>
          <w:szCs w:val="24"/>
          <w:lang w:eastAsia="lv-LV"/>
        </w:rPr>
      </w:pPr>
    </w:p>
    <w:p w:rsidR="00F50F45" w:rsidRPr="00631569" w:rsidRDefault="00F50F45" w:rsidP="00631569">
      <w:pPr>
        <w:spacing w:after="120" w:line="240" w:lineRule="auto"/>
        <w:rPr>
          <w:rFonts w:ascii="Times New Roman" w:eastAsia="Times New Roman" w:hAnsi="Times New Roman"/>
          <w:color w:val="000000" w:themeColor="text1"/>
          <w:sz w:val="24"/>
          <w:szCs w:val="24"/>
          <w:lang w:eastAsia="lv-LV"/>
        </w:rPr>
      </w:pPr>
      <w:r w:rsidRPr="00631569">
        <w:rPr>
          <w:rFonts w:ascii="Times New Roman" w:hAnsi="Times New Roman"/>
          <w:i/>
          <w:iCs/>
          <w:color w:val="000000" w:themeColor="text1"/>
          <w:sz w:val="24"/>
          <w:szCs w:val="24"/>
          <w:shd w:val="clear" w:color="auto" w:fill="FFFFFF"/>
        </w:rPr>
        <w:t>Anotācijas IV sadaļa – projekts šo jomu neskar.</w:t>
      </w:r>
    </w:p>
    <w:p w:rsidR="00A94453" w:rsidRPr="00631569" w:rsidRDefault="00A94453" w:rsidP="00631569">
      <w:pPr>
        <w:spacing w:after="120" w:line="240" w:lineRule="auto"/>
        <w:rPr>
          <w:rFonts w:ascii="Times New Roman" w:eastAsia="Times New Roman" w:hAnsi="Times New Roman"/>
          <w:sz w:val="24"/>
          <w:szCs w:val="24"/>
          <w:lang w:eastAsia="lv-LV"/>
        </w:rPr>
      </w:pPr>
    </w:p>
    <w:tbl>
      <w:tblPr>
        <w:tblW w:w="5227" w:type="pct"/>
        <w:tblCellSpacing w:w="20" w:type="dxa"/>
        <w:tblInd w:w="-118" w:type="dxa"/>
        <w:tblBorders>
          <w:top w:val="inset" w:sz="6" w:space="0" w:color="auto"/>
          <w:left w:val="inset" w:sz="6" w:space="0" w:color="auto"/>
          <w:bottom w:val="outset" w:sz="6" w:space="0" w:color="auto"/>
          <w:right w:val="outset" w:sz="6" w:space="0" w:color="auto"/>
          <w:insideH w:val="inset" w:sz="6" w:space="0" w:color="auto"/>
        </w:tblBorders>
        <w:shd w:val="clear" w:color="auto" w:fill="FFFFFF"/>
        <w:tblCellMar>
          <w:top w:w="30" w:type="dxa"/>
          <w:left w:w="30" w:type="dxa"/>
          <w:bottom w:w="30" w:type="dxa"/>
          <w:right w:w="30" w:type="dxa"/>
        </w:tblCellMar>
        <w:tblLook w:val="04A0"/>
      </w:tblPr>
      <w:tblGrid>
        <w:gridCol w:w="312"/>
        <w:gridCol w:w="1774"/>
        <w:gridCol w:w="401"/>
        <w:gridCol w:w="1314"/>
        <w:gridCol w:w="1017"/>
        <w:gridCol w:w="756"/>
        <w:gridCol w:w="1015"/>
        <w:gridCol w:w="3072"/>
      </w:tblGrid>
      <w:tr w:rsidR="00182B9A" w:rsidRPr="00631569" w:rsidTr="00833843">
        <w:trPr>
          <w:trHeight w:val="322"/>
          <w:tblCellSpacing w:w="20" w:type="dxa"/>
        </w:trPr>
        <w:tc>
          <w:tcPr>
            <w:tcW w:w="4959" w:type="pct"/>
            <w:gridSpan w:val="8"/>
            <w:tcBorders>
              <w:top w:val="inset" w:sz="6" w:space="0" w:color="auto"/>
              <w:left w:val="inset" w:sz="6" w:space="0" w:color="auto"/>
              <w:bottom w:val="inset" w:sz="6" w:space="0" w:color="auto"/>
              <w:right w:val="outset" w:sz="6" w:space="0" w:color="auto"/>
            </w:tcBorders>
            <w:shd w:val="clear" w:color="auto" w:fill="FFFFFF"/>
          </w:tcPr>
          <w:p w:rsidR="00182B9A" w:rsidRPr="00631569" w:rsidRDefault="00182B9A" w:rsidP="00631569">
            <w:pPr>
              <w:spacing w:after="120" w:line="240" w:lineRule="auto"/>
              <w:rPr>
                <w:rFonts w:ascii="Times New Roman" w:hAnsi="Times New Roman"/>
                <w:b/>
                <w:bCs/>
                <w:sz w:val="24"/>
                <w:szCs w:val="24"/>
                <w:bdr w:val="none" w:sz="0" w:space="0" w:color="auto" w:frame="1"/>
              </w:rPr>
            </w:pPr>
            <w:r w:rsidRPr="00631569">
              <w:rPr>
                <w:rFonts w:ascii="Times New Roman" w:hAnsi="Times New Roman"/>
                <w:b/>
                <w:bCs/>
                <w:sz w:val="24"/>
                <w:szCs w:val="24"/>
                <w:bdr w:val="none" w:sz="0" w:space="0" w:color="auto" w:frame="1"/>
              </w:rPr>
              <w:t>V. Tiesību akta projekta atbilstība Latvijas Republikas starptautiskajām saistībām</w:t>
            </w:r>
          </w:p>
        </w:tc>
      </w:tr>
      <w:tr w:rsidR="005A7F7B" w:rsidRPr="00631569" w:rsidTr="0083384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35" w:type="pct"/>
            <w:tcBorders>
              <w:top w:val="outset" w:sz="6" w:space="0" w:color="414142"/>
              <w:left w:val="outset" w:sz="6" w:space="0" w:color="414142"/>
              <w:bottom w:val="outset" w:sz="6" w:space="0" w:color="414142"/>
              <w:right w:val="outset" w:sz="6" w:space="0" w:color="414142"/>
            </w:tcBorders>
            <w:shd w:val="clear" w:color="auto" w:fill="FFFFFF"/>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1.</w:t>
            </w:r>
          </w:p>
        </w:tc>
        <w:tc>
          <w:tcPr>
            <w:tcW w:w="17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Saistības pret Eiropas Savienību </w:t>
            </w:r>
          </w:p>
        </w:tc>
        <w:tc>
          <w:tcPr>
            <w:tcW w:w="2987" w:type="pct"/>
            <w:gridSpan w:val="4"/>
            <w:tcBorders>
              <w:top w:val="outset" w:sz="6" w:space="0" w:color="414142"/>
              <w:left w:val="outset" w:sz="6" w:space="0" w:color="414142"/>
              <w:bottom w:val="outset" w:sz="6" w:space="0" w:color="414142"/>
              <w:right w:val="outset" w:sz="6" w:space="0" w:color="414142"/>
            </w:tcBorders>
            <w:shd w:val="clear" w:color="auto" w:fill="FFFFFF"/>
          </w:tcPr>
          <w:p w:rsidR="00182B9A" w:rsidRPr="00631569" w:rsidRDefault="00182B9A" w:rsidP="00631569">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 xml:space="preserve">1)Komisijas 2013. gada 18. decembra Regulu (ES) Nr. 1407/2013 par Līguma par Eiropas Savienības darbību 107. un 108. panta piemērošanu </w:t>
            </w:r>
            <w:r w:rsidRPr="00631569">
              <w:rPr>
                <w:rFonts w:ascii="Times New Roman" w:hAnsi="Times New Roman"/>
                <w:i/>
                <w:sz w:val="24"/>
                <w:szCs w:val="24"/>
              </w:rPr>
              <w:t>de minimis</w:t>
            </w:r>
            <w:r w:rsidRPr="00631569">
              <w:rPr>
                <w:rFonts w:ascii="Times New Roman" w:hAnsi="Times New Roman"/>
                <w:sz w:val="24"/>
                <w:szCs w:val="24"/>
              </w:rPr>
              <w:t xml:space="preserve"> atbalstam (Eiropas Savienības Oficiālais Vēstnesis, 2013. gada 24. decembris, Nr. L 352/1) (turpmāk – Komisijas regula Nr. 1407/2013);</w:t>
            </w:r>
          </w:p>
          <w:p w:rsidR="00182B9A" w:rsidRPr="00631569" w:rsidRDefault="00182B9A" w:rsidP="00631569">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 xml:space="preserve">2) Komisijas 2014. gada 27. jūnija Regulu (EK) Nr. 717/2014 par Līguma par Eiropas Savienības darbību 107. un 108. panta piemērošanu </w:t>
            </w:r>
            <w:r w:rsidRPr="00631569">
              <w:rPr>
                <w:rFonts w:ascii="Times New Roman" w:hAnsi="Times New Roman"/>
                <w:i/>
                <w:sz w:val="24"/>
                <w:szCs w:val="24"/>
              </w:rPr>
              <w:t>de minimis</w:t>
            </w:r>
            <w:r w:rsidRPr="00631569">
              <w:rPr>
                <w:rFonts w:ascii="Times New Roman" w:hAnsi="Times New Roman"/>
                <w:sz w:val="24"/>
                <w:szCs w:val="24"/>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w:t>
            </w:r>
          </w:p>
          <w:p w:rsidR="00182B9A" w:rsidRPr="00631569" w:rsidRDefault="00182B9A" w:rsidP="00631569">
            <w:pPr>
              <w:spacing w:after="120" w:line="240" w:lineRule="auto"/>
              <w:jc w:val="both"/>
              <w:rPr>
                <w:rFonts w:ascii="Times New Roman" w:hAnsi="Times New Roman"/>
                <w:sz w:val="24"/>
                <w:szCs w:val="24"/>
              </w:rPr>
            </w:pPr>
            <w:r w:rsidRPr="00631569">
              <w:rPr>
                <w:rFonts w:ascii="Times New Roman" w:hAnsi="Times New Roman"/>
                <w:sz w:val="24"/>
                <w:szCs w:val="24"/>
              </w:rPr>
              <w:t xml:space="preserve">3) Komisijas 2013. gada 18. decembra Regulu (ES) Nr. 1408/2013 par Līguma par Eiropas Savienības darbību 107. un 108. panta piemērošanu </w:t>
            </w:r>
            <w:r w:rsidRPr="00631569">
              <w:rPr>
                <w:rFonts w:ascii="Times New Roman" w:hAnsi="Times New Roman"/>
                <w:i/>
                <w:sz w:val="24"/>
                <w:szCs w:val="24"/>
              </w:rPr>
              <w:t>de minimis</w:t>
            </w:r>
            <w:r w:rsidRPr="00631569">
              <w:rPr>
                <w:rFonts w:ascii="Times New Roman" w:hAnsi="Times New Roman"/>
                <w:sz w:val="24"/>
                <w:szCs w:val="24"/>
              </w:rPr>
              <w:t xml:space="preserve"> atbalstam lauksaimniecības nozarē (Eiropas Savienības Oficiālais Vēstnesis, 2013. gada 24. decembris, Nr. L 352/9) (turpmāk – Komisijas regula Nr. 1408/2013).</w:t>
            </w:r>
          </w:p>
        </w:tc>
      </w:tr>
      <w:tr w:rsidR="005A7F7B" w:rsidRPr="00631569" w:rsidTr="0083384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35" w:type="pct"/>
            <w:tcBorders>
              <w:top w:val="outset" w:sz="6" w:space="0" w:color="414142"/>
              <w:left w:val="outset" w:sz="6" w:space="0" w:color="414142"/>
              <w:bottom w:val="outset" w:sz="6" w:space="0" w:color="414142"/>
              <w:right w:val="outset" w:sz="6" w:space="0" w:color="414142"/>
            </w:tcBorders>
            <w:shd w:val="clear" w:color="auto" w:fill="FFFFFF"/>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2.</w:t>
            </w:r>
          </w:p>
        </w:tc>
        <w:tc>
          <w:tcPr>
            <w:tcW w:w="17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Citas starptautiskās saistības </w:t>
            </w:r>
          </w:p>
        </w:tc>
        <w:tc>
          <w:tcPr>
            <w:tcW w:w="2987" w:type="pct"/>
            <w:gridSpan w:val="4"/>
            <w:tcBorders>
              <w:top w:val="outset" w:sz="6" w:space="0" w:color="414142"/>
              <w:left w:val="outset" w:sz="6" w:space="0" w:color="414142"/>
              <w:bottom w:val="outset" w:sz="6" w:space="0" w:color="414142"/>
              <w:right w:val="outset" w:sz="6" w:space="0" w:color="414142"/>
            </w:tcBorders>
            <w:shd w:val="clear" w:color="auto" w:fill="FFFFFF"/>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Nav</w:t>
            </w:r>
          </w:p>
        </w:tc>
      </w:tr>
      <w:tr w:rsidR="005A7F7B" w:rsidRPr="00631569" w:rsidTr="0083384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35" w:type="pct"/>
            <w:tcBorders>
              <w:top w:val="outset" w:sz="6" w:space="0" w:color="414142"/>
              <w:left w:val="outset" w:sz="6" w:space="0" w:color="414142"/>
              <w:bottom w:val="outset" w:sz="6" w:space="0" w:color="414142"/>
              <w:right w:val="outset" w:sz="6" w:space="0" w:color="414142"/>
            </w:tcBorders>
            <w:shd w:val="clear" w:color="auto" w:fill="FFFFFF"/>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3.</w:t>
            </w:r>
          </w:p>
        </w:tc>
        <w:tc>
          <w:tcPr>
            <w:tcW w:w="17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Cita informācija </w:t>
            </w:r>
          </w:p>
        </w:tc>
        <w:tc>
          <w:tcPr>
            <w:tcW w:w="2987" w:type="pct"/>
            <w:gridSpan w:val="4"/>
            <w:tcBorders>
              <w:top w:val="outset" w:sz="6" w:space="0" w:color="414142"/>
              <w:left w:val="outset" w:sz="6" w:space="0" w:color="414142"/>
              <w:bottom w:val="outset" w:sz="6" w:space="0" w:color="414142"/>
              <w:right w:val="outset" w:sz="6" w:space="0" w:color="414142"/>
            </w:tcBorders>
            <w:shd w:val="clear" w:color="auto" w:fill="FFFFFF"/>
          </w:tcPr>
          <w:p w:rsidR="00182B9A" w:rsidRPr="00631569" w:rsidRDefault="00182B9A" w:rsidP="00631569">
            <w:pPr>
              <w:pStyle w:val="tvhtml"/>
              <w:spacing w:before="0" w:beforeAutospacing="0" w:after="120" w:afterAutospacing="0"/>
            </w:pPr>
            <w:r w:rsidRPr="00631569">
              <w:t>Nav</w:t>
            </w:r>
          </w:p>
        </w:tc>
      </w:tr>
      <w:tr w:rsidR="00182B9A" w:rsidRPr="00631569" w:rsidTr="00833843">
        <w:tblPrEx>
          <w:tblCellSpacing w:w="0" w:type="nil"/>
          <w:tblBorders>
            <w:top w:val="outset" w:sz="6" w:space="0" w:color="auto"/>
            <w:left w:val="outset" w:sz="6" w:space="0" w:color="auto"/>
            <w:insideH w:val="none" w:sz="0" w:space="0" w:color="auto"/>
          </w:tblBorders>
          <w:shd w:val="clear" w:color="auto" w:fill="auto"/>
        </w:tblPrEx>
        <w:trPr>
          <w:trHeight w:val="510"/>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w:t>
            </w:r>
            <w:r w:rsidRPr="00631569">
              <w:rPr>
                <w:rFonts w:ascii="Times New Roman" w:hAnsi="Times New Roman"/>
                <w:bCs/>
                <w:sz w:val="24"/>
                <w:szCs w:val="24"/>
              </w:rPr>
              <w:t>1.tabula</w:t>
            </w:r>
            <w:r w:rsidRPr="00631569">
              <w:rPr>
                <w:rFonts w:ascii="Times New Roman" w:hAnsi="Times New Roman"/>
                <w:bCs/>
                <w:sz w:val="24"/>
                <w:szCs w:val="24"/>
              </w:rPr>
              <w:br/>
              <w:t>Tiesību akta projekta atbilstība ES tiesību aktiem</w:t>
            </w:r>
          </w:p>
        </w:tc>
      </w:tr>
      <w:tr w:rsidR="00182B9A" w:rsidRPr="00631569" w:rsidTr="00833843">
        <w:tblPrEx>
          <w:tblCellSpacing w:w="0" w:type="nil"/>
          <w:tblBorders>
            <w:top w:val="outset" w:sz="6" w:space="0" w:color="auto"/>
            <w:left w:val="outset" w:sz="6" w:space="0" w:color="auto"/>
            <w:insideH w:val="none" w:sz="0" w:space="0" w:color="auto"/>
          </w:tblBorders>
          <w:shd w:val="clear" w:color="auto" w:fill="auto"/>
        </w:tblPrEx>
        <w:trPr>
          <w:trHeight w:val="1170"/>
        </w:trPr>
        <w:tc>
          <w:tcPr>
            <w:tcW w:w="1059" w:type="pct"/>
            <w:gridSpan w:val="2"/>
            <w:tcBorders>
              <w:top w:val="outset" w:sz="6" w:space="0" w:color="auto"/>
              <w:left w:val="outset" w:sz="6" w:space="0" w:color="auto"/>
              <w:bottom w:val="outset" w:sz="6" w:space="0" w:color="auto"/>
              <w:right w:val="outset" w:sz="6" w:space="0" w:color="auto"/>
            </w:tcBorders>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Attiecīgā ES tiesību akta datums, numurs un nosaukums</w:t>
            </w:r>
          </w:p>
        </w:tc>
        <w:tc>
          <w:tcPr>
            <w:tcW w:w="3878" w:type="pct"/>
            <w:gridSpan w:val="6"/>
            <w:tcBorders>
              <w:top w:val="outset" w:sz="6" w:space="0" w:color="auto"/>
              <w:left w:val="outset" w:sz="6" w:space="0" w:color="auto"/>
              <w:bottom w:val="outset" w:sz="6" w:space="0" w:color="auto"/>
              <w:right w:val="outset" w:sz="6" w:space="0" w:color="auto"/>
            </w:tcBorders>
            <w:hideMark/>
          </w:tcPr>
          <w:p w:rsidR="00182B9A" w:rsidRPr="00631569" w:rsidRDefault="00182B9A" w:rsidP="0000501C">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Komisijas regula Nr.1407/2013;</w:t>
            </w:r>
            <w:r w:rsidR="0000501C">
              <w:rPr>
                <w:rFonts w:ascii="Times New Roman" w:hAnsi="Times New Roman"/>
                <w:sz w:val="24"/>
                <w:szCs w:val="24"/>
              </w:rPr>
              <w:t xml:space="preserve"> </w:t>
            </w:r>
            <w:r w:rsidR="0000501C" w:rsidRPr="008F71AF">
              <w:rPr>
                <w:rFonts w:ascii="Times New Roman" w:hAnsi="Times New Roman"/>
                <w:sz w:val="24"/>
                <w:szCs w:val="24"/>
              </w:rPr>
              <w:t xml:space="preserve">Komisijas </w:t>
            </w:r>
            <w:r w:rsidR="0000501C">
              <w:rPr>
                <w:rFonts w:ascii="Times New Roman" w:hAnsi="Times New Roman"/>
                <w:bCs/>
                <w:sz w:val="24"/>
                <w:szCs w:val="24"/>
              </w:rPr>
              <w:t>2013. gada 18. decembra Regula</w:t>
            </w:r>
            <w:r w:rsidR="0000501C" w:rsidRPr="008F71AF">
              <w:rPr>
                <w:rFonts w:ascii="Times New Roman" w:hAnsi="Times New Roman"/>
                <w:bCs/>
                <w:sz w:val="24"/>
                <w:szCs w:val="24"/>
              </w:rPr>
              <w:t xml:space="preserve"> (ES) Nr. 1407/2013 par Līguma par Eiropas Savienības darbību 107. un 108.panta piemērošanu </w:t>
            </w:r>
            <w:r w:rsidR="0000501C" w:rsidRPr="008F71AF">
              <w:rPr>
                <w:rFonts w:ascii="Times New Roman" w:hAnsi="Times New Roman"/>
                <w:bCs/>
                <w:i/>
                <w:sz w:val="24"/>
                <w:szCs w:val="24"/>
              </w:rPr>
              <w:t>de minimis</w:t>
            </w:r>
            <w:r w:rsidR="0000501C" w:rsidRPr="008F71AF">
              <w:rPr>
                <w:rFonts w:ascii="Times New Roman" w:hAnsi="Times New Roman"/>
                <w:bCs/>
                <w:sz w:val="24"/>
                <w:szCs w:val="24"/>
              </w:rPr>
              <w:t xml:space="preserve"> atbalstam (Eiropas Savienības Oficiālais Vēstnesis, 2013. gada 24. decembris, Nr. L 352/1)</w:t>
            </w:r>
          </w:p>
          <w:p w:rsidR="00182B9A" w:rsidRPr="00631569" w:rsidRDefault="00182B9A" w:rsidP="0000501C">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Komisijas regula Nr.717/2014;</w:t>
            </w:r>
            <w:r w:rsidR="0000501C">
              <w:rPr>
                <w:rFonts w:ascii="Times New Roman" w:hAnsi="Times New Roman"/>
                <w:sz w:val="24"/>
                <w:szCs w:val="24"/>
              </w:rPr>
              <w:t xml:space="preserve"> </w:t>
            </w:r>
            <w:r w:rsidR="0000501C" w:rsidRPr="008F71AF">
              <w:rPr>
                <w:rFonts w:ascii="Times New Roman" w:hAnsi="Times New Roman"/>
                <w:bCs/>
                <w:sz w:val="24"/>
                <w:szCs w:val="24"/>
              </w:rPr>
              <w:t>Komisijas 2014. gada 27. jūn</w:t>
            </w:r>
            <w:r w:rsidR="0000501C">
              <w:rPr>
                <w:rFonts w:ascii="Times New Roman" w:hAnsi="Times New Roman"/>
                <w:bCs/>
                <w:sz w:val="24"/>
                <w:szCs w:val="24"/>
              </w:rPr>
              <w:t>ija Regula</w:t>
            </w:r>
            <w:r w:rsidR="0000501C" w:rsidRPr="008F71AF">
              <w:rPr>
                <w:rFonts w:ascii="Times New Roman" w:hAnsi="Times New Roman"/>
                <w:bCs/>
                <w:sz w:val="24"/>
                <w:szCs w:val="24"/>
              </w:rPr>
              <w:t xml:space="preserve"> (EK) Nr. 717/2014 par Līguma par Eiropas Savienības darbību 107. un 108.panta piemērošanu </w:t>
            </w:r>
            <w:r w:rsidR="0000501C" w:rsidRPr="008F71AF">
              <w:rPr>
                <w:rFonts w:ascii="Times New Roman" w:hAnsi="Times New Roman"/>
                <w:bCs/>
                <w:i/>
                <w:sz w:val="24"/>
                <w:szCs w:val="24"/>
              </w:rPr>
              <w:t>de minimis</w:t>
            </w:r>
            <w:r w:rsidR="0000501C" w:rsidRPr="008F71AF">
              <w:rPr>
                <w:rFonts w:ascii="Times New Roman" w:hAnsi="Times New Roman"/>
                <w:bCs/>
                <w:sz w:val="24"/>
                <w:szCs w:val="24"/>
              </w:rPr>
              <w:t xml:space="preserve"> atbalstam zvejniecības un akvakultūras nozarē (Eiropas Savienības Oficiālais Vēstnesis, 2014. gada 28. jūnijs, Nr. L 190/45)</w:t>
            </w:r>
          </w:p>
          <w:p w:rsidR="00182B9A" w:rsidRPr="00631569" w:rsidRDefault="00182B9A" w:rsidP="0000501C">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 xml:space="preserve">Komisijas regula Nr.1408/2013; </w:t>
            </w:r>
            <w:r w:rsidR="0000501C" w:rsidRPr="008F71AF">
              <w:rPr>
                <w:rFonts w:ascii="Times New Roman" w:hAnsi="Times New Roman"/>
                <w:bCs/>
                <w:sz w:val="24"/>
                <w:szCs w:val="24"/>
              </w:rPr>
              <w:t>Komisijas</w:t>
            </w:r>
            <w:r w:rsidR="0000501C">
              <w:rPr>
                <w:rFonts w:ascii="Times New Roman" w:hAnsi="Times New Roman"/>
                <w:bCs/>
                <w:sz w:val="24"/>
                <w:szCs w:val="24"/>
              </w:rPr>
              <w:t xml:space="preserve"> 2013. gada 18. decembra Regula</w:t>
            </w:r>
            <w:r w:rsidR="0000501C" w:rsidRPr="008F71AF">
              <w:rPr>
                <w:rFonts w:ascii="Times New Roman" w:hAnsi="Times New Roman"/>
                <w:bCs/>
                <w:sz w:val="24"/>
                <w:szCs w:val="24"/>
              </w:rPr>
              <w:t xml:space="preserve"> (ES) Nr. 1408/2013 par Līguma par Eiropas Savienības darbību 107. un 108.panta piemērošanu </w:t>
            </w:r>
            <w:r w:rsidR="0000501C" w:rsidRPr="008F71AF">
              <w:rPr>
                <w:rFonts w:ascii="Times New Roman" w:hAnsi="Times New Roman"/>
                <w:bCs/>
                <w:i/>
                <w:sz w:val="24"/>
                <w:szCs w:val="24"/>
              </w:rPr>
              <w:t>de minimis</w:t>
            </w:r>
            <w:r w:rsidR="0000501C" w:rsidRPr="008F71AF">
              <w:rPr>
                <w:rFonts w:ascii="Times New Roman" w:hAnsi="Times New Roman"/>
                <w:bCs/>
                <w:sz w:val="24"/>
                <w:szCs w:val="24"/>
              </w:rPr>
              <w:t xml:space="preserve"> atbalstam lauksaimniecības nozarē (Eiropas Savienības Oficiālais Vēstnesis, 2013. gada 24. decembris, Nr. L 352/9)</w:t>
            </w:r>
          </w:p>
          <w:p w:rsidR="00182B9A" w:rsidRPr="00631569" w:rsidRDefault="0000501C" w:rsidP="0000501C">
            <w:pPr>
              <w:spacing w:after="120" w:line="240" w:lineRule="auto"/>
              <w:jc w:val="both"/>
              <w:rPr>
                <w:rFonts w:ascii="Times New Roman" w:hAnsi="Times New Roman"/>
                <w:sz w:val="24"/>
                <w:szCs w:val="24"/>
              </w:rPr>
            </w:pPr>
            <w:r w:rsidRPr="008F71AF">
              <w:rPr>
                <w:rFonts w:ascii="Times New Roman" w:hAnsi="Times New Roman"/>
                <w:bCs/>
                <w:sz w:val="24"/>
                <w:szCs w:val="24"/>
              </w:rPr>
              <w:t>Eiropas Parlamenta un Padomes 2013. gada 11. decembra Regul</w:t>
            </w:r>
            <w:r>
              <w:rPr>
                <w:rFonts w:ascii="Times New Roman" w:hAnsi="Times New Roman"/>
                <w:bCs/>
                <w:sz w:val="24"/>
                <w:szCs w:val="24"/>
              </w:rPr>
              <w:t>a</w:t>
            </w:r>
            <w:r w:rsidRPr="008F71AF">
              <w:rPr>
                <w:rFonts w:ascii="Times New Roman" w:hAnsi="Times New Roman"/>
                <w:bCs/>
                <w:sz w:val="24"/>
                <w:szCs w:val="24"/>
              </w:rPr>
              <w:t xml:space="preserve"> (ES) Nr. 1379/2013 </w:t>
            </w:r>
            <w:hyperlink r:id="rId9" w:tooltip="32013R1379" w:history="1">
              <w:r w:rsidRPr="008F71AF">
                <w:rPr>
                  <w:rFonts w:ascii="Times New Roman" w:hAnsi="Times New Roman"/>
                  <w:sz w:val="24"/>
                  <w:szCs w:val="24"/>
                </w:rPr>
                <w:t>par zvejas un akvakultūras produktu tirgu kopīgo organizāciju un ar ko groza Padomes Regulas (EK) Nr. 1184/2006 un (EK) Nr. 1224/2009 un atceļ Padomes Regulu (EK) Nr. 104/2000</w:t>
              </w:r>
            </w:hyperlink>
            <w:r w:rsidRPr="008F71AF">
              <w:rPr>
                <w:rFonts w:ascii="Times New Roman" w:hAnsi="Times New Roman"/>
                <w:bCs/>
                <w:sz w:val="24"/>
                <w:szCs w:val="24"/>
              </w:rPr>
              <w:t xml:space="preserve"> (Eiropas Savienības Oficiālais Vēstnesis, 2013. gada 28. decembris, Nr. L 354/1)</w:t>
            </w:r>
          </w:p>
        </w:tc>
      </w:tr>
      <w:tr w:rsidR="005A7F7B" w:rsidRPr="00631569"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vAlign w:val="center"/>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A</w:t>
            </w:r>
          </w:p>
        </w:tc>
        <w:tc>
          <w:tcPr>
            <w:tcW w:w="1392" w:type="pct"/>
            <w:gridSpan w:val="3"/>
            <w:tcBorders>
              <w:top w:val="outset" w:sz="6" w:space="0" w:color="auto"/>
              <w:left w:val="outset" w:sz="6" w:space="0" w:color="auto"/>
              <w:bottom w:val="outset" w:sz="6" w:space="0" w:color="auto"/>
              <w:right w:val="outset" w:sz="6" w:space="0" w:color="auto"/>
            </w:tcBorders>
            <w:vAlign w:val="center"/>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B</w:t>
            </w:r>
            <w:r w:rsidR="001657F8" w:rsidRPr="00631569">
              <w:rPr>
                <w:rFonts w:ascii="Times New Roman" w:hAnsi="Times New Roman"/>
                <w:sz w:val="24"/>
                <w:szCs w:val="24"/>
              </w:rPr>
              <w:t xml:space="preserve"> </w:t>
            </w:r>
          </w:p>
        </w:tc>
        <w:tc>
          <w:tcPr>
            <w:tcW w:w="902" w:type="pct"/>
            <w:gridSpan w:val="2"/>
            <w:tcBorders>
              <w:top w:val="outset" w:sz="6" w:space="0" w:color="auto"/>
              <w:left w:val="outset" w:sz="6" w:space="0" w:color="auto"/>
              <w:bottom w:val="outset" w:sz="6" w:space="0" w:color="auto"/>
              <w:right w:val="outset" w:sz="6" w:space="0" w:color="auto"/>
            </w:tcBorders>
            <w:vAlign w:val="center"/>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C</w:t>
            </w:r>
          </w:p>
        </w:tc>
        <w:tc>
          <w:tcPr>
            <w:tcW w:w="1543" w:type="pct"/>
            <w:tcBorders>
              <w:top w:val="outset" w:sz="6" w:space="0" w:color="auto"/>
              <w:left w:val="outset" w:sz="6" w:space="0" w:color="auto"/>
              <w:bottom w:val="outset" w:sz="6" w:space="0" w:color="auto"/>
              <w:right w:val="outset" w:sz="6" w:space="0" w:color="auto"/>
            </w:tcBorders>
            <w:vAlign w:val="center"/>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D</w:t>
            </w:r>
          </w:p>
        </w:tc>
      </w:tr>
      <w:tr w:rsidR="005A7F7B" w:rsidRPr="00631569"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Attiecīgā ES tiesību akta panta numurs (uzskaitot katru tiesību akta vienību – pantu, daļu, punktu, apakšpunktu)</w:t>
            </w:r>
          </w:p>
        </w:tc>
        <w:tc>
          <w:tcPr>
            <w:tcW w:w="1392" w:type="pct"/>
            <w:gridSpan w:val="3"/>
            <w:tcBorders>
              <w:top w:val="outset" w:sz="6" w:space="0" w:color="auto"/>
              <w:left w:val="outset" w:sz="6" w:space="0" w:color="auto"/>
              <w:bottom w:val="outset" w:sz="6" w:space="0" w:color="auto"/>
              <w:right w:val="outset" w:sz="6" w:space="0" w:color="auto"/>
            </w:tcBorders>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902" w:type="pct"/>
            <w:gridSpan w:val="2"/>
            <w:tcBorders>
              <w:top w:val="outset" w:sz="6" w:space="0" w:color="auto"/>
              <w:left w:val="outset" w:sz="6" w:space="0" w:color="auto"/>
              <w:bottom w:val="outset" w:sz="6" w:space="0" w:color="auto"/>
              <w:right w:val="outset" w:sz="6" w:space="0" w:color="auto"/>
            </w:tcBorders>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Informācija par to, vai šīs tabulas A ailē minētās ES tiesību akta vienības tiek pārņemtas vai ieviestas pilnībā vai daļēji. </w:t>
            </w:r>
          </w:p>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Norāda institūciju, kas ir atbildīga par šo saistību izpildi pilnībā</w:t>
            </w:r>
          </w:p>
        </w:tc>
        <w:tc>
          <w:tcPr>
            <w:tcW w:w="1543" w:type="pct"/>
            <w:tcBorders>
              <w:top w:val="outset" w:sz="6" w:space="0" w:color="auto"/>
              <w:left w:val="outset" w:sz="6" w:space="0" w:color="auto"/>
              <w:bottom w:val="outset" w:sz="6" w:space="0" w:color="auto"/>
              <w:right w:val="outset" w:sz="6" w:space="0" w:color="auto"/>
            </w:tcBorders>
            <w:hideMark/>
          </w:tcPr>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Informācija par to, vai šīs tabulas B ailē minētās projekta vienības paredz stingrākas prasības nekā šīs tabulas A ailē minētās ES tiesību akta vienības. </w:t>
            </w:r>
          </w:p>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Ja projekts satur stingrākas prasības nekā attiecīgais ES tiesību akts, norāda pamatojumu un samērīgumu.</w:t>
            </w:r>
          </w:p>
          <w:p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A7F7B" w:rsidRPr="00631569" w:rsidTr="00833843">
        <w:tblPrEx>
          <w:tblCellSpacing w:w="0" w:type="nil"/>
          <w:tblBorders>
            <w:top w:val="outset" w:sz="6" w:space="0" w:color="auto"/>
            <w:left w:val="outset" w:sz="6" w:space="0" w:color="auto"/>
            <w:insideH w:val="none" w:sz="0" w:space="0" w:color="auto"/>
          </w:tblBorders>
        </w:tblPrEx>
        <w:tc>
          <w:tcPr>
            <w:tcW w:w="1059" w:type="pct"/>
            <w:gridSpan w:val="2"/>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Komisijas regulas Nr.1407/2013 2.panta 2.punkts; 3.panta 2.punkts.</w:t>
            </w:r>
          </w:p>
        </w:tc>
        <w:tc>
          <w:tcPr>
            <w:tcW w:w="1392" w:type="pct"/>
            <w:gridSpan w:val="3"/>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 xml:space="preserve">Noteikumu projekta </w:t>
            </w:r>
            <w:r w:rsidR="0010624E" w:rsidRPr="00631569">
              <w:rPr>
                <w:rFonts w:ascii="Times New Roman" w:hAnsi="Times New Roman"/>
                <w:sz w:val="24"/>
                <w:szCs w:val="24"/>
              </w:rPr>
              <w:t>69.</w:t>
            </w:r>
            <w:r w:rsidR="0010624E" w:rsidRPr="00631569">
              <w:rPr>
                <w:rFonts w:ascii="Times New Roman" w:hAnsi="Times New Roman"/>
                <w:sz w:val="24"/>
                <w:szCs w:val="24"/>
                <w:vertAlign w:val="superscript"/>
              </w:rPr>
              <w:t xml:space="preserve">6 </w:t>
            </w:r>
            <w:r w:rsidR="0010624E" w:rsidRPr="00631569">
              <w:rPr>
                <w:rFonts w:ascii="Times New Roman" w:hAnsi="Times New Roman"/>
                <w:sz w:val="24"/>
                <w:szCs w:val="24"/>
              </w:rPr>
              <w:t>2 apakš</w:t>
            </w:r>
            <w:r w:rsidR="00E91C92" w:rsidRPr="00631569">
              <w:rPr>
                <w:rFonts w:ascii="Times New Roman" w:hAnsi="Times New Roman"/>
                <w:sz w:val="24"/>
                <w:szCs w:val="24"/>
              </w:rPr>
              <w:t>punkts</w:t>
            </w:r>
          </w:p>
        </w:tc>
        <w:tc>
          <w:tcPr>
            <w:tcW w:w="902" w:type="pct"/>
            <w:gridSpan w:val="2"/>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tc>
        <w:tc>
          <w:tcPr>
            <w:tcW w:w="1543" w:type="pct"/>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5A7F7B" w:rsidRPr="00631569"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 xml:space="preserve">Komisijas regulas Nr.717/2007 </w:t>
            </w:r>
          </w:p>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2.panta 2.punkts; 3.panta 2.punkts.</w:t>
            </w:r>
          </w:p>
        </w:tc>
        <w:tc>
          <w:tcPr>
            <w:tcW w:w="1392" w:type="pct"/>
            <w:gridSpan w:val="3"/>
            <w:tcBorders>
              <w:top w:val="outset" w:sz="6" w:space="0" w:color="auto"/>
              <w:left w:val="outset" w:sz="6" w:space="0" w:color="auto"/>
              <w:bottom w:val="outset" w:sz="6" w:space="0" w:color="auto"/>
              <w:right w:val="outset" w:sz="6" w:space="0" w:color="auto"/>
            </w:tcBorders>
          </w:tcPr>
          <w:p w:rsidR="005A7F7B" w:rsidRPr="00631569" w:rsidRDefault="0010624E" w:rsidP="00631569">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sidRPr="00631569">
              <w:rPr>
                <w:rFonts w:ascii="Times New Roman" w:hAnsi="Times New Roman"/>
                <w:sz w:val="24"/>
                <w:szCs w:val="24"/>
              </w:rPr>
              <w:t>2 apakšpunkts</w:t>
            </w:r>
          </w:p>
        </w:tc>
        <w:tc>
          <w:tcPr>
            <w:tcW w:w="902" w:type="pct"/>
            <w:gridSpan w:val="2"/>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tc>
        <w:tc>
          <w:tcPr>
            <w:tcW w:w="1543" w:type="pct"/>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5A7F7B" w:rsidRPr="00631569"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Komisijas regulas Nr.1408/2013 2.panta 2.punkts, 3.panta 2.punkts.</w:t>
            </w:r>
          </w:p>
        </w:tc>
        <w:tc>
          <w:tcPr>
            <w:tcW w:w="1392" w:type="pct"/>
            <w:gridSpan w:val="3"/>
            <w:tcBorders>
              <w:top w:val="outset" w:sz="6" w:space="0" w:color="auto"/>
              <w:left w:val="outset" w:sz="6" w:space="0" w:color="auto"/>
              <w:bottom w:val="outset" w:sz="6" w:space="0" w:color="auto"/>
              <w:right w:val="outset" w:sz="6" w:space="0" w:color="auto"/>
            </w:tcBorders>
          </w:tcPr>
          <w:p w:rsidR="005A7F7B" w:rsidRPr="00631569" w:rsidRDefault="0010624E" w:rsidP="00631569">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sidRPr="00631569">
              <w:rPr>
                <w:rFonts w:ascii="Times New Roman" w:hAnsi="Times New Roman"/>
                <w:sz w:val="24"/>
                <w:szCs w:val="24"/>
              </w:rPr>
              <w:t>2 apakšpunkts</w:t>
            </w:r>
          </w:p>
        </w:tc>
        <w:tc>
          <w:tcPr>
            <w:tcW w:w="902" w:type="pct"/>
            <w:gridSpan w:val="2"/>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tc>
        <w:tc>
          <w:tcPr>
            <w:tcW w:w="1543" w:type="pct"/>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5A7F7B" w:rsidRPr="00631569"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rsidR="00833843" w:rsidRDefault="005A7F7B"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Nr.1407/2013</w:t>
            </w:r>
          </w:p>
          <w:p w:rsidR="005A7F7B" w:rsidRPr="00631569" w:rsidRDefault="00833843" w:rsidP="00833843">
            <w:pPr>
              <w:spacing w:after="120" w:line="240" w:lineRule="auto"/>
              <w:rPr>
                <w:rFonts w:ascii="Times New Roman" w:hAnsi="Times New Roman"/>
                <w:sz w:val="24"/>
                <w:szCs w:val="24"/>
              </w:rPr>
            </w:pPr>
            <w:r>
              <w:rPr>
                <w:rFonts w:ascii="Times New Roman" w:hAnsi="Times New Roman"/>
                <w:sz w:val="24"/>
                <w:szCs w:val="24"/>
              </w:rPr>
              <w:t>1</w:t>
            </w:r>
            <w:r w:rsidR="005A7F7B" w:rsidRPr="00631569">
              <w:rPr>
                <w:rFonts w:ascii="Times New Roman" w:hAnsi="Times New Roman"/>
                <w:sz w:val="24"/>
                <w:szCs w:val="24"/>
              </w:rPr>
              <w:t>.</w:t>
            </w:r>
            <w:r>
              <w:rPr>
                <w:rFonts w:ascii="Times New Roman" w:hAnsi="Times New Roman"/>
                <w:sz w:val="24"/>
                <w:szCs w:val="24"/>
              </w:rPr>
              <w:t>panta 2.punkts</w:t>
            </w:r>
          </w:p>
        </w:tc>
        <w:tc>
          <w:tcPr>
            <w:tcW w:w="1392" w:type="pct"/>
            <w:gridSpan w:val="3"/>
            <w:tcBorders>
              <w:top w:val="outset" w:sz="6" w:space="0" w:color="auto"/>
              <w:left w:val="outset" w:sz="6" w:space="0" w:color="auto"/>
              <w:bottom w:val="outset" w:sz="6" w:space="0" w:color="auto"/>
              <w:right w:val="outset" w:sz="6" w:space="0" w:color="auto"/>
            </w:tcBorders>
          </w:tcPr>
          <w:p w:rsidR="005A7F7B" w:rsidRPr="00631569" w:rsidRDefault="005A7F7B" w:rsidP="00833843">
            <w:pPr>
              <w:spacing w:after="120" w:line="240" w:lineRule="auto"/>
              <w:rPr>
                <w:rFonts w:ascii="Times New Roman" w:hAnsi="Times New Roman"/>
                <w:sz w:val="24"/>
                <w:szCs w:val="24"/>
              </w:rPr>
            </w:pPr>
            <w:r w:rsidRPr="00631569">
              <w:rPr>
                <w:rFonts w:ascii="Times New Roman" w:hAnsi="Times New Roman"/>
                <w:sz w:val="24"/>
                <w:szCs w:val="24"/>
              </w:rPr>
              <w:t xml:space="preserve">Noteikumu projekta </w:t>
            </w:r>
            <w:r w:rsidR="0010624E" w:rsidRPr="00631569">
              <w:rPr>
                <w:rFonts w:ascii="Times New Roman" w:hAnsi="Times New Roman"/>
                <w:sz w:val="24"/>
                <w:szCs w:val="24"/>
              </w:rPr>
              <w:t>69.</w:t>
            </w:r>
            <w:r w:rsidR="0010624E" w:rsidRPr="00631569">
              <w:rPr>
                <w:rFonts w:ascii="Times New Roman" w:hAnsi="Times New Roman"/>
                <w:sz w:val="24"/>
                <w:szCs w:val="24"/>
                <w:vertAlign w:val="superscript"/>
              </w:rPr>
              <w:t xml:space="preserve">6 </w:t>
            </w:r>
            <w:r w:rsidR="00833843">
              <w:rPr>
                <w:rFonts w:ascii="Times New Roman" w:hAnsi="Times New Roman"/>
                <w:sz w:val="24"/>
                <w:szCs w:val="24"/>
              </w:rPr>
              <w:t>3</w:t>
            </w:r>
            <w:r w:rsidR="0010624E" w:rsidRPr="00631569">
              <w:rPr>
                <w:rFonts w:ascii="Times New Roman" w:hAnsi="Times New Roman"/>
                <w:sz w:val="24"/>
                <w:szCs w:val="24"/>
              </w:rPr>
              <w:t xml:space="preserve"> apakš</w:t>
            </w:r>
            <w:r w:rsidR="00E91C92" w:rsidRPr="00631569">
              <w:rPr>
                <w:rFonts w:ascii="Times New Roman" w:hAnsi="Times New Roman"/>
                <w:sz w:val="24"/>
                <w:szCs w:val="24"/>
              </w:rPr>
              <w:t>punkts</w:t>
            </w:r>
          </w:p>
        </w:tc>
        <w:tc>
          <w:tcPr>
            <w:tcW w:w="902" w:type="pct"/>
            <w:gridSpan w:val="2"/>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rsidR="005A7F7B" w:rsidRPr="00631569" w:rsidRDefault="005A7F7B" w:rsidP="00631569">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rsidR="00833843"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717/2014</w:t>
            </w:r>
          </w:p>
          <w:p w:rsidR="00833843" w:rsidRPr="00631569" w:rsidRDefault="00833843" w:rsidP="001E7221">
            <w:pPr>
              <w:spacing w:after="120" w:line="240" w:lineRule="auto"/>
              <w:rPr>
                <w:rFonts w:ascii="Times New Roman" w:hAnsi="Times New Roman"/>
                <w:sz w:val="24"/>
                <w:szCs w:val="24"/>
              </w:rPr>
            </w:pPr>
            <w:r>
              <w:rPr>
                <w:rFonts w:ascii="Times New Roman" w:hAnsi="Times New Roman"/>
                <w:sz w:val="24"/>
                <w:szCs w:val="24"/>
              </w:rPr>
              <w:t>1</w:t>
            </w:r>
            <w:r w:rsidRPr="00631569">
              <w:rPr>
                <w:rFonts w:ascii="Times New Roman" w:hAnsi="Times New Roman"/>
                <w:sz w:val="24"/>
                <w:szCs w:val="24"/>
              </w:rPr>
              <w:t>.</w:t>
            </w:r>
            <w:r>
              <w:rPr>
                <w:rFonts w:ascii="Times New Roman" w:hAnsi="Times New Roman"/>
                <w:sz w:val="24"/>
                <w:szCs w:val="24"/>
              </w:rPr>
              <w:t>panta 2., 3.punkts</w:t>
            </w:r>
          </w:p>
        </w:tc>
        <w:tc>
          <w:tcPr>
            <w:tcW w:w="1392" w:type="pct"/>
            <w:gridSpan w:val="3"/>
            <w:tcBorders>
              <w:top w:val="outset" w:sz="6" w:space="0" w:color="auto"/>
              <w:left w:val="outset" w:sz="6" w:space="0" w:color="auto"/>
              <w:bottom w:val="outset" w:sz="6" w:space="0" w:color="auto"/>
              <w:right w:val="outset" w:sz="6" w:space="0" w:color="auto"/>
            </w:tcBorders>
          </w:tcPr>
          <w:p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3</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rsidR="00833843" w:rsidRPr="00631569" w:rsidRDefault="00833843" w:rsidP="001E7221">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rsidR="00833843"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1408/2013</w:t>
            </w:r>
          </w:p>
          <w:p w:rsidR="00833843" w:rsidRPr="00631569" w:rsidRDefault="00833843" w:rsidP="00833843">
            <w:pPr>
              <w:spacing w:after="120" w:line="240" w:lineRule="auto"/>
              <w:rPr>
                <w:rFonts w:ascii="Times New Roman" w:hAnsi="Times New Roman"/>
                <w:sz w:val="24"/>
                <w:szCs w:val="24"/>
              </w:rPr>
            </w:pPr>
            <w:r>
              <w:rPr>
                <w:rFonts w:ascii="Times New Roman" w:hAnsi="Times New Roman"/>
                <w:sz w:val="24"/>
                <w:szCs w:val="24"/>
              </w:rPr>
              <w:t>1</w:t>
            </w:r>
            <w:r w:rsidRPr="00631569">
              <w:rPr>
                <w:rFonts w:ascii="Times New Roman" w:hAnsi="Times New Roman"/>
                <w:sz w:val="24"/>
                <w:szCs w:val="24"/>
              </w:rPr>
              <w:t>.</w:t>
            </w:r>
            <w:r>
              <w:rPr>
                <w:rFonts w:ascii="Times New Roman" w:hAnsi="Times New Roman"/>
                <w:sz w:val="24"/>
                <w:szCs w:val="24"/>
              </w:rPr>
              <w:t>panta 2., 3.punkts</w:t>
            </w:r>
          </w:p>
        </w:tc>
        <w:tc>
          <w:tcPr>
            <w:tcW w:w="1392" w:type="pct"/>
            <w:gridSpan w:val="3"/>
            <w:tcBorders>
              <w:top w:val="outset" w:sz="6" w:space="0" w:color="auto"/>
              <w:left w:val="outset" w:sz="6" w:space="0" w:color="auto"/>
              <w:bottom w:val="outset" w:sz="6" w:space="0" w:color="auto"/>
              <w:right w:val="outset" w:sz="6" w:space="0" w:color="auto"/>
            </w:tcBorders>
          </w:tcPr>
          <w:p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3</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rsidR="00833843" w:rsidRPr="00631569" w:rsidRDefault="00833843" w:rsidP="001E7221">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140</w:t>
            </w:r>
            <w:r w:rsidRPr="00631569">
              <w:rPr>
                <w:rFonts w:ascii="Times New Roman" w:hAnsi="Times New Roman"/>
                <w:sz w:val="24"/>
                <w:szCs w:val="24"/>
              </w:rPr>
              <w:t>7/201</w:t>
            </w:r>
            <w:r>
              <w:rPr>
                <w:rFonts w:ascii="Times New Roman" w:hAnsi="Times New Roman"/>
                <w:sz w:val="24"/>
                <w:szCs w:val="24"/>
              </w:rPr>
              <w:t>3</w:t>
            </w:r>
            <w:r w:rsidRPr="00631569">
              <w:rPr>
                <w:rFonts w:ascii="Times New Roman" w:hAnsi="Times New Roman"/>
                <w:sz w:val="24"/>
                <w:szCs w:val="24"/>
              </w:rPr>
              <w:t xml:space="preserve"> 3.panta 2.punkts; 5.panta 1., 2. </w:t>
            </w:r>
            <w:r>
              <w:rPr>
                <w:rFonts w:ascii="Times New Roman" w:hAnsi="Times New Roman"/>
                <w:sz w:val="24"/>
                <w:szCs w:val="24"/>
              </w:rPr>
              <w:t>punkts</w:t>
            </w:r>
          </w:p>
        </w:tc>
        <w:tc>
          <w:tcPr>
            <w:tcW w:w="1392" w:type="pct"/>
            <w:gridSpan w:val="3"/>
            <w:tcBorders>
              <w:top w:val="outset" w:sz="6" w:space="0" w:color="auto"/>
              <w:left w:val="outset" w:sz="6" w:space="0" w:color="auto"/>
              <w:bottom w:val="outset" w:sz="6" w:space="0" w:color="auto"/>
              <w:right w:val="outset" w:sz="6" w:space="0" w:color="auto"/>
            </w:tcBorders>
          </w:tcPr>
          <w:p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6.</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rsidR="00833843" w:rsidRPr="00631569" w:rsidRDefault="00833843" w:rsidP="00631569">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rsidR="00833843"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717</w:t>
            </w:r>
            <w:r w:rsidRPr="00631569">
              <w:rPr>
                <w:rFonts w:ascii="Times New Roman" w:hAnsi="Times New Roman"/>
                <w:sz w:val="24"/>
                <w:szCs w:val="24"/>
              </w:rPr>
              <w:t>/201</w:t>
            </w:r>
            <w:r>
              <w:rPr>
                <w:rFonts w:ascii="Times New Roman" w:hAnsi="Times New Roman"/>
                <w:sz w:val="24"/>
                <w:szCs w:val="24"/>
              </w:rPr>
              <w:t>4</w:t>
            </w:r>
            <w:r w:rsidRPr="00631569">
              <w:rPr>
                <w:rFonts w:ascii="Times New Roman" w:hAnsi="Times New Roman"/>
                <w:sz w:val="24"/>
                <w:szCs w:val="24"/>
              </w:rPr>
              <w:t xml:space="preserve"> </w:t>
            </w:r>
          </w:p>
          <w:p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3.panta 2.punkts; 5.panta 1., 2. un 3.punkts.</w:t>
            </w:r>
          </w:p>
        </w:tc>
        <w:tc>
          <w:tcPr>
            <w:tcW w:w="1392" w:type="pct"/>
            <w:gridSpan w:val="3"/>
            <w:tcBorders>
              <w:top w:val="outset" w:sz="6" w:space="0" w:color="auto"/>
              <w:left w:val="outset" w:sz="6" w:space="0" w:color="auto"/>
              <w:bottom w:val="outset" w:sz="6" w:space="0" w:color="auto"/>
              <w:right w:val="outset" w:sz="6" w:space="0" w:color="auto"/>
            </w:tcBorders>
          </w:tcPr>
          <w:p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6</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rsidR="00833843" w:rsidRPr="00631569" w:rsidRDefault="00833843" w:rsidP="00631569">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1408/2013</w:t>
            </w:r>
            <w:r w:rsidRPr="00631569">
              <w:rPr>
                <w:rFonts w:ascii="Times New Roman" w:hAnsi="Times New Roman"/>
                <w:sz w:val="24"/>
                <w:szCs w:val="24"/>
              </w:rPr>
              <w:t xml:space="preserve"> 3.panta 2.punkts; 5.panta 1., 2. un 3.punkts.</w:t>
            </w:r>
          </w:p>
        </w:tc>
        <w:tc>
          <w:tcPr>
            <w:tcW w:w="1392" w:type="pct"/>
            <w:gridSpan w:val="3"/>
            <w:tcBorders>
              <w:top w:val="outset" w:sz="6" w:space="0" w:color="auto"/>
              <w:left w:val="outset" w:sz="6" w:space="0" w:color="auto"/>
              <w:bottom w:val="outset" w:sz="6" w:space="0" w:color="auto"/>
              <w:right w:val="outset" w:sz="6" w:space="0" w:color="auto"/>
            </w:tcBorders>
          </w:tcPr>
          <w:p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6</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rsidR="00833843" w:rsidRPr="00631569" w:rsidRDefault="00833843" w:rsidP="001E7221">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br w:type="page"/>
              <w:t> </w:t>
            </w:r>
            <w:r w:rsidRPr="00631569">
              <w:rPr>
                <w:rFonts w:ascii="Times New Roman" w:hAnsi="Times New Roman"/>
                <w:bCs/>
                <w:sz w:val="24"/>
                <w:szCs w:val="24"/>
              </w:rPr>
              <w:t>2.tabula</w:t>
            </w:r>
            <w:r w:rsidRPr="00631569">
              <w:rPr>
                <w:rFonts w:ascii="Times New Roman" w:hAnsi="Times New Roman"/>
                <w:bCs/>
                <w:sz w:val="24"/>
                <w:szCs w:val="24"/>
              </w:rPr>
              <w:br/>
              <w:t>Ar tiesību akta projektu izpildītās vai uzņemtās saistības, kas izriet no starptautiskajiem tiesību aktiem vai starptautiskas institūcijas vai organizācijas dokumentiem.</w:t>
            </w:r>
            <w:r w:rsidRPr="00631569">
              <w:rPr>
                <w:rFonts w:ascii="Times New Roman" w:hAnsi="Times New Roman"/>
                <w:bCs/>
                <w:sz w:val="24"/>
                <w:szCs w:val="24"/>
              </w:rPr>
              <w:br/>
              <w:t>Pasākumi šo saistību izpildei</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vAlign w:val="center"/>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687" w:type="pct"/>
            <w:gridSpan w:val="5"/>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vAlign w:val="center"/>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A</w:t>
            </w:r>
          </w:p>
        </w:tc>
        <w:tc>
          <w:tcPr>
            <w:tcW w:w="1582" w:type="pct"/>
            <w:gridSpan w:val="3"/>
            <w:tcBorders>
              <w:top w:val="outset" w:sz="6" w:space="0" w:color="auto"/>
              <w:left w:val="outset" w:sz="6" w:space="0" w:color="auto"/>
              <w:bottom w:val="outset" w:sz="6" w:space="0" w:color="auto"/>
              <w:right w:val="outset" w:sz="6" w:space="0" w:color="auto"/>
            </w:tcBorders>
            <w:vAlign w:val="center"/>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B</w:t>
            </w:r>
          </w:p>
        </w:tc>
        <w:tc>
          <w:tcPr>
            <w:tcW w:w="2085" w:type="pct"/>
            <w:gridSpan w:val="2"/>
            <w:tcBorders>
              <w:top w:val="outset" w:sz="6" w:space="0" w:color="auto"/>
              <w:left w:val="outset" w:sz="6" w:space="0" w:color="auto"/>
              <w:bottom w:val="outset" w:sz="6" w:space="0" w:color="auto"/>
              <w:right w:val="outset" w:sz="6" w:space="0" w:color="auto"/>
            </w:tcBorders>
            <w:vAlign w:val="center"/>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C</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 xml:space="preserve">Starptautiskās saistības (pēc būtības), kas izriet no norādītā starptautiskā dokumenta. </w:t>
            </w:r>
          </w:p>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Konkrēti veicamie pasākumi vai uzdevumi, kas nepieciešami šo starptautisko saistību izpildei</w:t>
            </w:r>
          </w:p>
        </w:tc>
        <w:tc>
          <w:tcPr>
            <w:tcW w:w="1582" w:type="pct"/>
            <w:gridSpan w:val="3"/>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085" w:type="pct"/>
            <w:gridSpan w:val="2"/>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 xml:space="preserve">Informācija par to, vai starptautiskās saistības, kas minētas šīs tabulas A ailē, tiek izpildītas pilnībā vai daļēji. </w:t>
            </w:r>
          </w:p>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Norāda institūciju, kas ir atbildīga par šo saistību izpildi pilnībā</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c>
          <w:tcPr>
            <w:tcW w:w="1582" w:type="pct"/>
            <w:gridSpan w:val="3"/>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c>
          <w:tcPr>
            <w:tcW w:w="2085" w:type="pct"/>
            <w:gridSpan w:val="2"/>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Vai starptautiskajā dokumentā paredzētās saistības nav pretrunā ar jau esošajām Latvijas Republikas starptautiskajām saistībām</w:t>
            </w:r>
          </w:p>
        </w:tc>
        <w:tc>
          <w:tcPr>
            <w:tcW w:w="3687" w:type="pct"/>
            <w:gridSpan w:val="5"/>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r>
      <w:tr w:rsidR="00833843" w:rsidRPr="00631569"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Cita informācija</w:t>
            </w:r>
          </w:p>
        </w:tc>
        <w:tc>
          <w:tcPr>
            <w:tcW w:w="3687" w:type="pct"/>
            <w:gridSpan w:val="5"/>
            <w:tcBorders>
              <w:top w:val="outset" w:sz="6" w:space="0" w:color="auto"/>
              <w:left w:val="outset" w:sz="6" w:space="0" w:color="auto"/>
              <w:bottom w:val="outset" w:sz="6" w:space="0" w:color="auto"/>
              <w:right w:val="outset" w:sz="6" w:space="0" w:color="auto"/>
            </w:tcBorders>
            <w:hideMark/>
          </w:tcPr>
          <w:p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Nav</w:t>
            </w:r>
          </w:p>
        </w:tc>
      </w:tr>
    </w:tbl>
    <w:p w:rsidR="00A94453" w:rsidRPr="00631569" w:rsidRDefault="00A94453" w:rsidP="00631569">
      <w:pPr>
        <w:spacing w:after="120" w:line="240" w:lineRule="auto"/>
        <w:ind w:firstLine="720"/>
        <w:jc w:val="both"/>
        <w:rPr>
          <w:rFonts w:ascii="Times New Roman" w:hAnsi="Times New Roman"/>
          <w:b/>
          <w:sz w:val="24"/>
          <w:szCs w:val="24"/>
        </w:rPr>
      </w:pPr>
    </w:p>
    <w:tbl>
      <w:tblPr>
        <w:tblW w:w="947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
      <w:tblGrid>
        <w:gridCol w:w="645"/>
        <w:gridCol w:w="2059"/>
        <w:gridCol w:w="6770"/>
      </w:tblGrid>
      <w:tr w:rsidR="00A94453" w:rsidRPr="00631569" w:rsidTr="005708B7">
        <w:trPr>
          <w:trHeight w:val="371"/>
          <w:tblCellSpacing w:w="20" w:type="dxa"/>
          <w:jc w:val="center"/>
        </w:trPr>
        <w:tc>
          <w:tcPr>
            <w:tcW w:w="9394" w:type="dxa"/>
            <w:gridSpan w:val="3"/>
          </w:tcPr>
          <w:p w:rsidR="00A94453" w:rsidRPr="00631569" w:rsidRDefault="00A94453" w:rsidP="00631569">
            <w:pPr>
              <w:pStyle w:val="naisnod"/>
              <w:spacing w:before="0" w:after="120"/>
              <w:ind w:left="57" w:right="57"/>
            </w:pPr>
            <w:r w:rsidRPr="00631569">
              <w:t>VI</w:t>
            </w:r>
            <w:r w:rsidR="00C83E3A">
              <w:t>.</w:t>
            </w:r>
            <w:r w:rsidRPr="00631569">
              <w:t xml:space="preserve"> </w:t>
            </w:r>
            <w:r w:rsidR="00F0172E" w:rsidRPr="00F0172E">
              <w:rPr>
                <w:bCs w:val="0"/>
                <w:shd w:val="clear" w:color="auto" w:fill="FFFFFF"/>
              </w:rPr>
              <w:t>Sabiedrības līdzdalība un komunikācijas aktivitātes</w:t>
            </w:r>
          </w:p>
        </w:tc>
      </w:tr>
      <w:tr w:rsidR="00A94453" w:rsidRPr="00631569" w:rsidTr="005708B7">
        <w:trPr>
          <w:trHeight w:val="427"/>
          <w:tblCellSpacing w:w="20" w:type="dxa"/>
          <w:jc w:val="center"/>
        </w:trPr>
        <w:tc>
          <w:tcPr>
            <w:tcW w:w="585" w:type="dxa"/>
          </w:tcPr>
          <w:p w:rsidR="00A94453" w:rsidRPr="00631569" w:rsidRDefault="00A94453" w:rsidP="00631569">
            <w:pPr>
              <w:pStyle w:val="naisf"/>
              <w:spacing w:before="0" w:after="120"/>
              <w:ind w:right="57" w:firstLine="0"/>
              <w:rPr>
                <w:b/>
              </w:rPr>
            </w:pPr>
            <w:r w:rsidRPr="00631569">
              <w:rPr>
                <w:b/>
              </w:rPr>
              <w:t>1</w:t>
            </w:r>
          </w:p>
        </w:tc>
        <w:tc>
          <w:tcPr>
            <w:tcW w:w="2019" w:type="dxa"/>
          </w:tcPr>
          <w:p w:rsidR="00A94453" w:rsidRPr="00631569" w:rsidRDefault="005708B7" w:rsidP="00631569">
            <w:pPr>
              <w:pStyle w:val="naisf"/>
              <w:spacing w:before="0" w:after="120"/>
              <w:ind w:left="57" w:right="57" w:firstLine="0"/>
              <w:jc w:val="left"/>
            </w:pPr>
            <w:r w:rsidRPr="00FA3933">
              <w:t>Plānotās sabiedrības līdzdalības un komunikācijas aktivitātes saistībā ar projektu</w:t>
            </w:r>
          </w:p>
        </w:tc>
        <w:tc>
          <w:tcPr>
            <w:tcW w:w="6710" w:type="dxa"/>
          </w:tcPr>
          <w:p w:rsidR="00A94453" w:rsidRPr="00631569" w:rsidRDefault="00841E2F" w:rsidP="00631569">
            <w:pPr>
              <w:pStyle w:val="naisnod"/>
              <w:spacing w:before="0" w:after="120"/>
              <w:ind w:left="57" w:right="57"/>
              <w:jc w:val="both"/>
              <w:rPr>
                <w:b w:val="0"/>
                <w:color w:val="FF0000"/>
              </w:rPr>
            </w:pPr>
            <w:r>
              <w:rPr>
                <w:b w:val="0"/>
              </w:rPr>
              <w:t>Atsauce uz noteikumu projekta izsludināšanu Valsts sekretāru sanāksmē publicēta VARAM mājas lapā.</w:t>
            </w:r>
          </w:p>
        </w:tc>
      </w:tr>
      <w:tr w:rsidR="00A94453" w:rsidRPr="00631569" w:rsidTr="005708B7">
        <w:trPr>
          <w:trHeight w:val="463"/>
          <w:tblCellSpacing w:w="20" w:type="dxa"/>
          <w:jc w:val="center"/>
        </w:trPr>
        <w:tc>
          <w:tcPr>
            <w:tcW w:w="585" w:type="dxa"/>
          </w:tcPr>
          <w:p w:rsidR="00A94453" w:rsidRPr="00631569" w:rsidRDefault="00A94453" w:rsidP="00631569">
            <w:pPr>
              <w:pStyle w:val="naisf"/>
              <w:spacing w:before="0" w:after="120"/>
              <w:ind w:right="57" w:firstLine="0"/>
              <w:rPr>
                <w:b/>
              </w:rPr>
            </w:pPr>
            <w:r w:rsidRPr="00631569">
              <w:rPr>
                <w:b/>
              </w:rPr>
              <w:t>2.</w:t>
            </w:r>
          </w:p>
        </w:tc>
        <w:tc>
          <w:tcPr>
            <w:tcW w:w="2019" w:type="dxa"/>
          </w:tcPr>
          <w:p w:rsidR="00A94453" w:rsidRPr="00631569" w:rsidRDefault="005708B7" w:rsidP="00631569">
            <w:pPr>
              <w:pStyle w:val="naisf"/>
              <w:spacing w:before="0" w:after="120"/>
              <w:ind w:left="57" w:right="57" w:firstLine="0"/>
              <w:jc w:val="left"/>
            </w:pPr>
            <w:r w:rsidRPr="00FA3933">
              <w:t>Sabiedrības līdzdalība projekta izstrādē</w:t>
            </w:r>
          </w:p>
        </w:tc>
        <w:tc>
          <w:tcPr>
            <w:tcW w:w="6710" w:type="dxa"/>
          </w:tcPr>
          <w:p w:rsidR="00A94453" w:rsidRPr="00631569" w:rsidRDefault="00A94453" w:rsidP="00631569">
            <w:pPr>
              <w:autoSpaceDE w:val="0"/>
              <w:autoSpaceDN w:val="0"/>
              <w:adjustRightInd w:val="0"/>
              <w:spacing w:after="120" w:line="240" w:lineRule="auto"/>
              <w:jc w:val="both"/>
              <w:rPr>
                <w:rFonts w:ascii="Times New Roman" w:hAnsi="Times New Roman"/>
                <w:b/>
                <w:sz w:val="24"/>
                <w:szCs w:val="24"/>
              </w:rPr>
            </w:pPr>
            <w:r w:rsidRPr="00631569">
              <w:rPr>
                <w:rFonts w:ascii="Times New Roman" w:hAnsi="Times New Roman"/>
                <w:sz w:val="24"/>
                <w:szCs w:val="24"/>
              </w:rPr>
              <w:t>Sabiedrības priekšlikumi vai iebildumi nav saņemti.</w:t>
            </w:r>
          </w:p>
        </w:tc>
      </w:tr>
      <w:tr w:rsidR="00A94453" w:rsidRPr="00631569" w:rsidTr="005708B7">
        <w:trPr>
          <w:trHeight w:val="725"/>
          <w:tblCellSpacing w:w="20" w:type="dxa"/>
          <w:jc w:val="center"/>
        </w:trPr>
        <w:tc>
          <w:tcPr>
            <w:tcW w:w="585" w:type="dxa"/>
          </w:tcPr>
          <w:p w:rsidR="00A94453" w:rsidRPr="00631569" w:rsidRDefault="00A94453" w:rsidP="00631569">
            <w:pPr>
              <w:pStyle w:val="naisf"/>
              <w:spacing w:before="0" w:after="120"/>
              <w:ind w:left="57" w:right="57" w:firstLine="0"/>
              <w:rPr>
                <w:b/>
              </w:rPr>
            </w:pPr>
            <w:r w:rsidRPr="00631569">
              <w:rPr>
                <w:b/>
              </w:rPr>
              <w:t>3.</w:t>
            </w:r>
          </w:p>
        </w:tc>
        <w:tc>
          <w:tcPr>
            <w:tcW w:w="2019" w:type="dxa"/>
          </w:tcPr>
          <w:p w:rsidR="00A94453" w:rsidRPr="00631569" w:rsidRDefault="005708B7" w:rsidP="00631569">
            <w:pPr>
              <w:pStyle w:val="naisf"/>
              <w:spacing w:before="0" w:after="120"/>
              <w:ind w:left="57" w:right="57" w:firstLine="0"/>
              <w:jc w:val="left"/>
            </w:pPr>
            <w:r w:rsidRPr="00FA3933">
              <w:t>Sabiedrības līdzdalības rezultāti</w:t>
            </w:r>
          </w:p>
        </w:tc>
        <w:tc>
          <w:tcPr>
            <w:tcW w:w="6710" w:type="dxa"/>
          </w:tcPr>
          <w:p w:rsidR="00A94453" w:rsidRPr="00631569" w:rsidRDefault="00A94453" w:rsidP="00631569">
            <w:pPr>
              <w:pStyle w:val="naisnod"/>
              <w:spacing w:before="0" w:after="120"/>
              <w:ind w:right="57"/>
              <w:jc w:val="both"/>
              <w:rPr>
                <w:b w:val="0"/>
                <w:highlight w:val="yellow"/>
              </w:rPr>
            </w:pPr>
            <w:r w:rsidRPr="00631569">
              <w:rPr>
                <w:b w:val="0"/>
              </w:rPr>
              <w:t>Projekts šo jomu neskar.</w:t>
            </w:r>
          </w:p>
        </w:tc>
      </w:tr>
      <w:tr w:rsidR="00A94453" w:rsidRPr="00631569" w:rsidTr="005708B7">
        <w:trPr>
          <w:trHeight w:val="703"/>
          <w:tblCellSpacing w:w="20" w:type="dxa"/>
          <w:jc w:val="center"/>
        </w:trPr>
        <w:tc>
          <w:tcPr>
            <w:tcW w:w="585" w:type="dxa"/>
          </w:tcPr>
          <w:p w:rsidR="00A94453" w:rsidRPr="00631569" w:rsidRDefault="005708B7" w:rsidP="00631569">
            <w:pPr>
              <w:pStyle w:val="naisf"/>
              <w:spacing w:before="0" w:after="120"/>
              <w:ind w:left="57" w:right="57" w:firstLine="0"/>
              <w:rPr>
                <w:b/>
              </w:rPr>
            </w:pPr>
            <w:r>
              <w:rPr>
                <w:b/>
              </w:rPr>
              <w:t>4</w:t>
            </w:r>
            <w:r w:rsidR="00A94453" w:rsidRPr="00631569">
              <w:rPr>
                <w:b/>
              </w:rPr>
              <w:t>.</w:t>
            </w:r>
          </w:p>
        </w:tc>
        <w:tc>
          <w:tcPr>
            <w:tcW w:w="2019" w:type="dxa"/>
          </w:tcPr>
          <w:p w:rsidR="00A94453" w:rsidRPr="00631569" w:rsidRDefault="00A94453" w:rsidP="00631569">
            <w:pPr>
              <w:pStyle w:val="naisf"/>
              <w:spacing w:before="0" w:after="120"/>
              <w:ind w:right="57" w:firstLine="0"/>
              <w:jc w:val="left"/>
            </w:pPr>
            <w:r w:rsidRPr="00631569">
              <w:t>Cita informācija</w:t>
            </w:r>
          </w:p>
        </w:tc>
        <w:tc>
          <w:tcPr>
            <w:tcW w:w="6710" w:type="dxa"/>
          </w:tcPr>
          <w:p w:rsidR="00A94453" w:rsidRPr="00631569" w:rsidRDefault="00A94453" w:rsidP="00631569">
            <w:pPr>
              <w:shd w:val="clear" w:color="auto" w:fill="FFFFFF"/>
              <w:spacing w:after="120" w:line="240" w:lineRule="auto"/>
              <w:jc w:val="both"/>
              <w:rPr>
                <w:rFonts w:ascii="Times New Roman" w:hAnsi="Times New Roman"/>
                <w:color w:val="000000"/>
                <w:sz w:val="24"/>
                <w:szCs w:val="24"/>
              </w:rPr>
            </w:pPr>
            <w:r w:rsidRPr="00631569">
              <w:rPr>
                <w:rFonts w:ascii="Times New Roman" w:hAnsi="Times New Roman"/>
                <w:sz w:val="24"/>
                <w:szCs w:val="24"/>
              </w:rPr>
              <w:t>Nav.</w:t>
            </w:r>
          </w:p>
        </w:tc>
      </w:tr>
    </w:tbl>
    <w:p w:rsidR="007B68EE" w:rsidRPr="00631569" w:rsidRDefault="007B68EE" w:rsidP="00631569">
      <w:pPr>
        <w:spacing w:after="120" w:line="240" w:lineRule="auto"/>
        <w:jc w:val="both"/>
        <w:rPr>
          <w:rFonts w:ascii="Times New Roman" w:hAnsi="Times New Roman"/>
          <w:b/>
          <w:sz w:val="24"/>
          <w:szCs w:val="24"/>
        </w:rPr>
      </w:pPr>
    </w:p>
    <w:tbl>
      <w:tblPr>
        <w:tblW w:w="9498"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89"/>
        <w:gridCol w:w="4536"/>
        <w:gridCol w:w="4373"/>
      </w:tblGrid>
      <w:tr w:rsidR="00A94453" w:rsidRPr="00631569" w:rsidTr="005F6105">
        <w:trPr>
          <w:tblCellSpacing w:w="20" w:type="dxa"/>
        </w:trPr>
        <w:tc>
          <w:tcPr>
            <w:tcW w:w="9498" w:type="dxa"/>
            <w:gridSpan w:val="3"/>
          </w:tcPr>
          <w:p w:rsidR="00A94453" w:rsidRPr="00631569" w:rsidRDefault="00A94453" w:rsidP="00631569">
            <w:pPr>
              <w:spacing w:after="120" w:line="240" w:lineRule="auto"/>
              <w:jc w:val="center"/>
              <w:rPr>
                <w:rFonts w:ascii="Times New Roman" w:hAnsi="Times New Roman"/>
                <w:sz w:val="24"/>
                <w:szCs w:val="24"/>
                <w:lang w:eastAsia="lv-LV"/>
              </w:rPr>
            </w:pPr>
            <w:r w:rsidRPr="00631569">
              <w:rPr>
                <w:rFonts w:ascii="Times New Roman" w:eastAsia="Times New Roman" w:hAnsi="Times New Roman"/>
                <w:sz w:val="24"/>
                <w:szCs w:val="24"/>
                <w:lang w:eastAsia="lv-LV"/>
              </w:rPr>
              <w:br w:type="page"/>
            </w:r>
            <w:r w:rsidRPr="00631569">
              <w:rPr>
                <w:rFonts w:ascii="Times New Roman" w:hAnsi="Times New Roman"/>
                <w:b/>
                <w:bCs/>
                <w:sz w:val="24"/>
                <w:szCs w:val="24"/>
                <w:lang w:eastAsia="lv-LV"/>
              </w:rPr>
              <w:t>VII</w:t>
            </w:r>
            <w:r w:rsidR="00C83E3A">
              <w:rPr>
                <w:rFonts w:ascii="Times New Roman" w:hAnsi="Times New Roman"/>
                <w:b/>
                <w:bCs/>
                <w:sz w:val="24"/>
                <w:szCs w:val="24"/>
                <w:lang w:eastAsia="lv-LV"/>
              </w:rPr>
              <w:t>.</w:t>
            </w:r>
            <w:r w:rsidRPr="00631569">
              <w:rPr>
                <w:rFonts w:ascii="Times New Roman" w:hAnsi="Times New Roman"/>
                <w:b/>
                <w:bCs/>
                <w:sz w:val="24"/>
                <w:szCs w:val="24"/>
                <w:lang w:eastAsia="lv-LV"/>
              </w:rPr>
              <w:t xml:space="preserve"> Tiesību akta projekta izpildes nodrošināšana un tās ietekme uz institūcijām</w:t>
            </w:r>
          </w:p>
        </w:tc>
      </w:tr>
      <w:tr w:rsidR="00A94453" w:rsidRPr="00631569" w:rsidTr="005F6105">
        <w:trPr>
          <w:trHeight w:val="427"/>
          <w:tblCellSpacing w:w="20" w:type="dxa"/>
        </w:trPr>
        <w:tc>
          <w:tcPr>
            <w:tcW w:w="530" w:type="dxa"/>
          </w:tcPr>
          <w:p w:rsidR="00A94453" w:rsidRPr="00631569" w:rsidRDefault="00A94453" w:rsidP="00631569">
            <w:pPr>
              <w:spacing w:after="120" w:line="240" w:lineRule="auto"/>
              <w:rPr>
                <w:rFonts w:ascii="Times New Roman" w:hAnsi="Times New Roman"/>
                <w:b/>
                <w:sz w:val="24"/>
                <w:szCs w:val="24"/>
                <w:lang w:eastAsia="lv-LV"/>
              </w:rPr>
            </w:pPr>
            <w:r w:rsidRPr="00631569">
              <w:rPr>
                <w:rFonts w:ascii="Times New Roman" w:hAnsi="Times New Roman"/>
                <w:sz w:val="24"/>
                <w:szCs w:val="24"/>
                <w:lang w:eastAsia="lv-LV"/>
              </w:rPr>
              <w:t> </w:t>
            </w:r>
            <w:r w:rsidRPr="00631569">
              <w:rPr>
                <w:rFonts w:ascii="Times New Roman" w:hAnsi="Times New Roman"/>
                <w:b/>
                <w:sz w:val="24"/>
                <w:szCs w:val="24"/>
                <w:lang w:eastAsia="lv-LV"/>
              </w:rPr>
              <w:t>1.</w:t>
            </w:r>
          </w:p>
        </w:tc>
        <w:tc>
          <w:tcPr>
            <w:tcW w:w="4574" w:type="dxa"/>
          </w:tcPr>
          <w:p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 Projekta izpildē iesaistītās institūcijas</w:t>
            </w:r>
          </w:p>
        </w:tc>
        <w:tc>
          <w:tcPr>
            <w:tcW w:w="4394" w:type="dxa"/>
          </w:tcPr>
          <w:p w:rsidR="00A94453" w:rsidRPr="00631569" w:rsidRDefault="00A94453" w:rsidP="00631569">
            <w:pPr>
              <w:spacing w:after="120" w:line="240" w:lineRule="auto"/>
              <w:jc w:val="both"/>
              <w:rPr>
                <w:rFonts w:ascii="Times New Roman" w:hAnsi="Times New Roman"/>
                <w:sz w:val="24"/>
                <w:szCs w:val="24"/>
              </w:rPr>
            </w:pPr>
            <w:r w:rsidRPr="00631569">
              <w:rPr>
                <w:rFonts w:ascii="Times New Roman" w:hAnsi="Times New Roman"/>
                <w:bCs/>
                <w:color w:val="000000"/>
                <w:sz w:val="24"/>
                <w:szCs w:val="24"/>
              </w:rPr>
              <w:t>Aizsardzības ministrija, Ekonomikas ministrija, Finanšu ministrija, Tieslietu ministrija, Veselības ministrija, Konkurences padome, Pārresoru koordinācijas centrs, Latvijas Pašvaldību savienība</w:t>
            </w:r>
            <w:r w:rsidRPr="00631569">
              <w:rPr>
                <w:rFonts w:ascii="Times New Roman" w:hAnsi="Times New Roman"/>
                <w:sz w:val="24"/>
                <w:szCs w:val="24"/>
              </w:rPr>
              <w:t xml:space="preserve">. </w:t>
            </w:r>
          </w:p>
          <w:p w:rsidR="00A94453" w:rsidRPr="00631569" w:rsidRDefault="00A94453" w:rsidP="00631569">
            <w:pPr>
              <w:spacing w:after="120" w:line="240" w:lineRule="auto"/>
              <w:jc w:val="both"/>
              <w:rPr>
                <w:rFonts w:ascii="Times New Roman" w:hAnsi="Times New Roman"/>
                <w:sz w:val="24"/>
                <w:szCs w:val="24"/>
              </w:rPr>
            </w:pPr>
            <w:r w:rsidRPr="00631569">
              <w:rPr>
                <w:rFonts w:ascii="Times New Roman" w:hAnsi="Times New Roman"/>
                <w:sz w:val="24"/>
                <w:szCs w:val="24"/>
                <w:lang w:eastAsia="lv-LV"/>
              </w:rPr>
              <w:t>Visas publisk</w:t>
            </w:r>
            <w:r w:rsidR="001E5AC5" w:rsidRPr="00631569">
              <w:rPr>
                <w:rFonts w:ascii="Times New Roman" w:hAnsi="Times New Roman"/>
                <w:sz w:val="24"/>
                <w:szCs w:val="24"/>
                <w:lang w:eastAsia="lv-LV"/>
              </w:rPr>
              <w:t>ā</w:t>
            </w:r>
            <w:r w:rsidRPr="00631569">
              <w:rPr>
                <w:rFonts w:ascii="Times New Roman" w:hAnsi="Times New Roman"/>
                <w:sz w:val="24"/>
                <w:szCs w:val="24"/>
                <w:lang w:eastAsia="lv-LV"/>
              </w:rPr>
              <w:t xml:space="preserve">s personas, kuru īpašumā vai valdījumā ir </w:t>
            </w:r>
            <w:r w:rsidR="001E5AC5" w:rsidRPr="00631569">
              <w:rPr>
                <w:rFonts w:ascii="Times New Roman" w:hAnsi="Times New Roman"/>
                <w:sz w:val="24"/>
                <w:szCs w:val="24"/>
                <w:lang w:eastAsia="lv-LV"/>
              </w:rPr>
              <w:t>kustama vai nekustama manta, kas var tikt iznomāta.</w:t>
            </w:r>
          </w:p>
        </w:tc>
      </w:tr>
      <w:tr w:rsidR="00A94453" w:rsidRPr="00631569" w:rsidTr="005F6105">
        <w:trPr>
          <w:trHeight w:val="463"/>
          <w:tblCellSpacing w:w="20" w:type="dxa"/>
        </w:trPr>
        <w:tc>
          <w:tcPr>
            <w:tcW w:w="530" w:type="dxa"/>
          </w:tcPr>
          <w:p w:rsidR="00A94453" w:rsidRPr="00631569" w:rsidRDefault="00A94453" w:rsidP="00631569">
            <w:pPr>
              <w:spacing w:after="120" w:line="240" w:lineRule="auto"/>
              <w:rPr>
                <w:rFonts w:ascii="Times New Roman" w:hAnsi="Times New Roman"/>
                <w:b/>
                <w:sz w:val="24"/>
                <w:szCs w:val="24"/>
                <w:lang w:eastAsia="lv-LV"/>
              </w:rPr>
            </w:pPr>
            <w:r w:rsidRPr="00631569">
              <w:rPr>
                <w:rFonts w:ascii="Times New Roman" w:hAnsi="Times New Roman"/>
                <w:b/>
                <w:sz w:val="24"/>
                <w:szCs w:val="24"/>
                <w:lang w:eastAsia="lv-LV"/>
              </w:rPr>
              <w:t> 2.</w:t>
            </w:r>
          </w:p>
        </w:tc>
        <w:tc>
          <w:tcPr>
            <w:tcW w:w="4574" w:type="dxa"/>
          </w:tcPr>
          <w:p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Projekta izpildes ietekme uz pārvaldes funkcijām un institucionālo struktūru</w:t>
            </w:r>
            <w:r w:rsidR="005708B7">
              <w:rPr>
                <w:rFonts w:ascii="Times New Roman" w:hAnsi="Times New Roman"/>
                <w:sz w:val="24"/>
                <w:szCs w:val="24"/>
                <w:lang w:eastAsia="lv-LV"/>
              </w:rPr>
              <w:t>.</w:t>
            </w:r>
            <w:r w:rsidR="005708B7" w:rsidRPr="00FA3933">
              <w:rPr>
                <w:rFonts w:ascii="Times New Roman" w:eastAsia="Times New Roman" w:hAnsi="Times New Roman"/>
                <w:sz w:val="24"/>
                <w:szCs w:val="24"/>
                <w:lang w:eastAsia="lv-LV"/>
              </w:rPr>
              <w:t xml:space="preserve"> Jaunu institūciju izveide, esošu institūciju likvidācija vai reorganizācija, to ietekme uz institūcijas cilvēkresursiem</w:t>
            </w:r>
            <w:r w:rsidR="005708B7">
              <w:rPr>
                <w:rFonts w:ascii="Times New Roman" w:eastAsia="Times New Roman" w:hAnsi="Times New Roman"/>
                <w:sz w:val="24"/>
                <w:szCs w:val="24"/>
                <w:lang w:eastAsia="lv-LV"/>
              </w:rPr>
              <w:t>.</w:t>
            </w:r>
          </w:p>
        </w:tc>
        <w:tc>
          <w:tcPr>
            <w:tcW w:w="4394" w:type="dxa"/>
          </w:tcPr>
          <w:p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eastAsia="Times New Roman" w:hAnsi="Times New Roman"/>
                <w:sz w:val="24"/>
                <w:szCs w:val="24"/>
                <w:lang w:eastAsia="lv-LV"/>
              </w:rPr>
              <w:t>Projekts šo jomu neskar.</w:t>
            </w:r>
          </w:p>
        </w:tc>
      </w:tr>
      <w:tr w:rsidR="00A94453" w:rsidRPr="00631569" w:rsidTr="005F6105">
        <w:trPr>
          <w:trHeight w:val="476"/>
          <w:tblCellSpacing w:w="20" w:type="dxa"/>
        </w:trPr>
        <w:tc>
          <w:tcPr>
            <w:tcW w:w="530" w:type="dxa"/>
          </w:tcPr>
          <w:p w:rsidR="00A94453" w:rsidRPr="00631569" w:rsidRDefault="00A94453" w:rsidP="00631569">
            <w:pPr>
              <w:spacing w:after="120" w:line="240" w:lineRule="auto"/>
              <w:rPr>
                <w:rFonts w:ascii="Times New Roman" w:hAnsi="Times New Roman"/>
                <w:b/>
                <w:sz w:val="24"/>
                <w:szCs w:val="24"/>
                <w:lang w:eastAsia="lv-LV"/>
              </w:rPr>
            </w:pPr>
            <w:r w:rsidRPr="00631569">
              <w:rPr>
                <w:rFonts w:ascii="Times New Roman" w:hAnsi="Times New Roman"/>
                <w:b/>
                <w:sz w:val="24"/>
                <w:szCs w:val="24"/>
                <w:lang w:eastAsia="lv-LV"/>
              </w:rPr>
              <w:t> 3.</w:t>
            </w:r>
          </w:p>
        </w:tc>
        <w:tc>
          <w:tcPr>
            <w:tcW w:w="4574" w:type="dxa"/>
          </w:tcPr>
          <w:p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Cita informācija</w:t>
            </w:r>
          </w:p>
        </w:tc>
        <w:tc>
          <w:tcPr>
            <w:tcW w:w="4394" w:type="dxa"/>
          </w:tcPr>
          <w:p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Nav.</w:t>
            </w:r>
          </w:p>
        </w:tc>
      </w:tr>
    </w:tbl>
    <w:p w:rsidR="00A94453" w:rsidRPr="00631569" w:rsidRDefault="00A94453" w:rsidP="00631569">
      <w:pPr>
        <w:spacing w:after="120" w:line="240" w:lineRule="auto"/>
        <w:rPr>
          <w:rFonts w:ascii="Times New Roman" w:hAnsi="Times New Roman"/>
          <w:sz w:val="24"/>
          <w:szCs w:val="24"/>
        </w:rPr>
      </w:pPr>
    </w:p>
    <w:p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sz w:val="24"/>
          <w:szCs w:val="24"/>
        </w:rPr>
        <w:t>Iesniedzējs:</w:t>
      </w:r>
    </w:p>
    <w:p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color w:val="000000"/>
          <w:sz w:val="24"/>
          <w:szCs w:val="24"/>
        </w:rPr>
        <w:t>Vides aizsardzības un reģionālās attīstības</w:t>
      </w:r>
      <w:r w:rsidRPr="00631569">
        <w:rPr>
          <w:rFonts w:ascii="Times New Roman" w:hAnsi="Times New Roman"/>
          <w:sz w:val="24"/>
          <w:szCs w:val="24"/>
        </w:rPr>
        <w:t xml:space="preserve"> ministrs </w:t>
      </w:r>
      <w:r w:rsidRPr="00631569">
        <w:rPr>
          <w:rFonts w:ascii="Times New Roman" w:hAnsi="Times New Roman"/>
          <w:sz w:val="24"/>
          <w:szCs w:val="24"/>
        </w:rPr>
        <w:tab/>
      </w:r>
      <w:r w:rsidRPr="00631569">
        <w:rPr>
          <w:rFonts w:ascii="Times New Roman" w:hAnsi="Times New Roman"/>
          <w:sz w:val="24"/>
          <w:szCs w:val="24"/>
        </w:rPr>
        <w:tab/>
      </w:r>
      <w:r w:rsidR="003765D7">
        <w:rPr>
          <w:rFonts w:ascii="Times New Roman" w:hAnsi="Times New Roman"/>
          <w:sz w:val="24"/>
          <w:szCs w:val="24"/>
        </w:rPr>
        <w:tab/>
      </w:r>
      <w:r w:rsidR="003765D7">
        <w:rPr>
          <w:rFonts w:ascii="Times New Roman" w:hAnsi="Times New Roman"/>
          <w:sz w:val="24"/>
          <w:szCs w:val="24"/>
        </w:rPr>
        <w:tab/>
      </w:r>
      <w:r w:rsidRPr="00631569">
        <w:rPr>
          <w:rFonts w:ascii="Times New Roman" w:hAnsi="Times New Roman"/>
          <w:sz w:val="24"/>
          <w:szCs w:val="24"/>
        </w:rPr>
        <w:t>K.Gerhards</w:t>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p>
    <w:p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sz w:val="24"/>
          <w:szCs w:val="24"/>
        </w:rPr>
        <w:t xml:space="preserve">Vīza: </w:t>
      </w:r>
    </w:p>
    <w:p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sz w:val="24"/>
          <w:szCs w:val="24"/>
        </w:rPr>
        <w:t>Valsts sekretārs</w:t>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t>G.Puķītis</w:t>
      </w:r>
    </w:p>
    <w:p w:rsidR="00A94453" w:rsidRDefault="00A94453" w:rsidP="00631569">
      <w:pPr>
        <w:pStyle w:val="NormalWeb"/>
        <w:spacing w:before="0" w:beforeAutospacing="0" w:after="120" w:afterAutospacing="0"/>
        <w:jc w:val="both"/>
      </w:pPr>
    </w:p>
    <w:p w:rsidR="00572F12" w:rsidRDefault="00572F12" w:rsidP="00631569">
      <w:pPr>
        <w:pStyle w:val="NormalWeb"/>
        <w:spacing w:before="0" w:beforeAutospacing="0" w:after="120" w:afterAutospacing="0"/>
        <w:jc w:val="both"/>
      </w:pPr>
    </w:p>
    <w:p w:rsidR="00572F12" w:rsidRDefault="00572F12" w:rsidP="00631569">
      <w:pPr>
        <w:pStyle w:val="NormalWeb"/>
        <w:spacing w:before="0" w:beforeAutospacing="0" w:after="120" w:afterAutospacing="0"/>
        <w:jc w:val="both"/>
      </w:pPr>
    </w:p>
    <w:p w:rsidR="00572F12" w:rsidRPr="00631569" w:rsidRDefault="00572F12" w:rsidP="00631569">
      <w:pPr>
        <w:pStyle w:val="NormalWeb"/>
        <w:spacing w:before="0" w:beforeAutospacing="0" w:after="120" w:afterAutospacing="0"/>
        <w:jc w:val="both"/>
      </w:pPr>
    </w:p>
    <w:p w:rsidR="00A94453" w:rsidRPr="00631569" w:rsidRDefault="00CF4B09" w:rsidP="00631569">
      <w:pPr>
        <w:pStyle w:val="NormalWeb"/>
        <w:spacing w:before="0" w:beforeAutospacing="0" w:after="120" w:afterAutospacing="0"/>
        <w:jc w:val="both"/>
      </w:pPr>
      <w:r w:rsidRPr="00631569">
        <w:fldChar w:fldCharType="begin"/>
      </w:r>
      <w:r w:rsidR="00A94453" w:rsidRPr="00631569">
        <w:instrText xml:space="preserve"> DATE  \@ "yyyy.MM.dd."  \* MERGEFORMAT </w:instrText>
      </w:r>
      <w:r w:rsidRPr="00631569">
        <w:fldChar w:fldCharType="separate"/>
      </w:r>
      <w:r w:rsidR="006C7C1C">
        <w:rPr>
          <w:noProof/>
        </w:rPr>
        <w:t>2015.08.27.</w:t>
      </w:r>
      <w:r w:rsidRPr="00631569">
        <w:fldChar w:fldCharType="end"/>
      </w:r>
    </w:p>
    <w:p w:rsidR="00A94453" w:rsidRPr="00631569" w:rsidRDefault="002A10C3" w:rsidP="00631569">
      <w:pPr>
        <w:pStyle w:val="NormalWeb"/>
        <w:spacing w:before="0" w:beforeAutospacing="0" w:after="120" w:afterAutospacing="0"/>
        <w:jc w:val="both"/>
      </w:pPr>
      <w:r>
        <w:t>50</w:t>
      </w:r>
      <w:r w:rsidR="0044412F">
        <w:t>76</w:t>
      </w:r>
      <w:bookmarkStart w:id="2" w:name="_GoBack"/>
      <w:bookmarkEnd w:id="2"/>
    </w:p>
    <w:p w:rsidR="001E5AC5" w:rsidRPr="00631569" w:rsidRDefault="001E5AC5" w:rsidP="00631569">
      <w:pPr>
        <w:pStyle w:val="NormalWeb"/>
        <w:spacing w:before="0" w:beforeAutospacing="0" w:after="120" w:afterAutospacing="0"/>
        <w:jc w:val="both"/>
      </w:pPr>
    </w:p>
    <w:p w:rsidR="001E5AC5" w:rsidRPr="00813874" w:rsidRDefault="001E5AC5" w:rsidP="00813874">
      <w:pPr>
        <w:pStyle w:val="NormalWeb"/>
        <w:spacing w:before="0" w:beforeAutospacing="0" w:after="0" w:afterAutospacing="0"/>
        <w:jc w:val="both"/>
        <w:rPr>
          <w:sz w:val="20"/>
          <w:szCs w:val="20"/>
        </w:rPr>
      </w:pPr>
      <w:r w:rsidRPr="00813874">
        <w:rPr>
          <w:sz w:val="20"/>
          <w:szCs w:val="20"/>
        </w:rPr>
        <w:t>M.Vēvere</w:t>
      </w:r>
    </w:p>
    <w:p w:rsidR="001E5AC5" w:rsidRPr="00813874" w:rsidRDefault="001E5AC5" w:rsidP="00813874">
      <w:pPr>
        <w:pStyle w:val="NormalWeb"/>
        <w:spacing w:before="0" w:beforeAutospacing="0" w:after="0" w:afterAutospacing="0"/>
        <w:jc w:val="both"/>
        <w:rPr>
          <w:sz w:val="20"/>
          <w:szCs w:val="20"/>
        </w:rPr>
      </w:pPr>
      <w:r w:rsidRPr="00813874">
        <w:rPr>
          <w:sz w:val="20"/>
          <w:szCs w:val="20"/>
        </w:rPr>
        <w:t xml:space="preserve">66016773, </w:t>
      </w:r>
      <w:hyperlink r:id="rId10" w:history="1">
        <w:r w:rsidR="00813874" w:rsidRPr="00813874">
          <w:rPr>
            <w:rStyle w:val="Hyperlink"/>
            <w:color w:val="auto"/>
            <w:sz w:val="20"/>
            <w:szCs w:val="20"/>
            <w:u w:val="none"/>
          </w:rPr>
          <w:t>Marta.Vevere@varam.gov.lv</w:t>
        </w:r>
      </w:hyperlink>
    </w:p>
    <w:p w:rsidR="001E5AC5" w:rsidRPr="00813874" w:rsidRDefault="001E5AC5" w:rsidP="00813874">
      <w:pPr>
        <w:pStyle w:val="NormalWeb"/>
        <w:spacing w:before="0" w:beforeAutospacing="0" w:after="0" w:afterAutospacing="0"/>
        <w:jc w:val="both"/>
        <w:rPr>
          <w:sz w:val="20"/>
          <w:szCs w:val="20"/>
        </w:rPr>
      </w:pPr>
    </w:p>
    <w:p w:rsidR="00A94453" w:rsidRPr="00813874" w:rsidRDefault="001E5AC5" w:rsidP="00813874">
      <w:pPr>
        <w:pStyle w:val="NormalWeb"/>
        <w:spacing w:before="0" w:beforeAutospacing="0" w:after="0" w:afterAutospacing="0"/>
        <w:jc w:val="both"/>
        <w:rPr>
          <w:sz w:val="20"/>
          <w:szCs w:val="20"/>
        </w:rPr>
      </w:pPr>
      <w:r w:rsidRPr="00813874">
        <w:rPr>
          <w:sz w:val="20"/>
          <w:szCs w:val="20"/>
        </w:rPr>
        <w:t>D.Ziediņa</w:t>
      </w:r>
    </w:p>
    <w:p w:rsidR="00A94453" w:rsidRPr="00813874" w:rsidRDefault="00A94453" w:rsidP="00813874">
      <w:pPr>
        <w:pStyle w:val="NormalWeb"/>
        <w:spacing w:before="0" w:beforeAutospacing="0" w:after="0" w:afterAutospacing="0"/>
        <w:jc w:val="both"/>
        <w:rPr>
          <w:sz w:val="20"/>
          <w:szCs w:val="20"/>
        </w:rPr>
      </w:pPr>
      <w:r w:rsidRPr="00813874">
        <w:rPr>
          <w:sz w:val="20"/>
          <w:szCs w:val="20"/>
        </w:rPr>
        <w:t xml:space="preserve">66016725, </w:t>
      </w:r>
      <w:hyperlink r:id="rId11" w:history="1">
        <w:r w:rsidR="00813874" w:rsidRPr="00813874">
          <w:rPr>
            <w:rStyle w:val="Hyperlink"/>
            <w:color w:val="auto"/>
            <w:sz w:val="20"/>
            <w:szCs w:val="20"/>
            <w:u w:val="none"/>
          </w:rPr>
          <w:t>Dace.Ziedina@varam.gov.lv</w:t>
        </w:r>
      </w:hyperlink>
    </w:p>
    <w:p w:rsidR="00161119" w:rsidRPr="00631569" w:rsidRDefault="00161119" w:rsidP="00631569">
      <w:pPr>
        <w:spacing w:after="120" w:line="240" w:lineRule="auto"/>
        <w:rPr>
          <w:rFonts w:ascii="Times New Roman" w:hAnsi="Times New Roman"/>
          <w:sz w:val="24"/>
          <w:szCs w:val="24"/>
        </w:rPr>
      </w:pPr>
    </w:p>
    <w:sectPr w:rsidR="00161119" w:rsidRPr="00631569" w:rsidSect="005D3AE4">
      <w:headerReference w:type="default" r:id="rId12"/>
      <w:footerReference w:type="default" r:id="rId13"/>
      <w:headerReference w:type="first" r:id="rId14"/>
      <w:footerReference w:type="first" r:id="rId15"/>
      <w:pgSz w:w="11906" w:h="16838"/>
      <w:pgMar w:top="1418"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14" w:rsidRDefault="009C4B14" w:rsidP="00761973">
      <w:pPr>
        <w:spacing w:after="0" w:line="240" w:lineRule="auto"/>
      </w:pPr>
      <w:r>
        <w:separator/>
      </w:r>
    </w:p>
  </w:endnote>
  <w:endnote w:type="continuationSeparator" w:id="0">
    <w:p w:rsidR="009C4B14" w:rsidRDefault="009C4B14" w:rsidP="00761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D1" w:rsidRPr="00C87B82" w:rsidRDefault="002A28D1" w:rsidP="005F6105">
    <w:pPr>
      <w:spacing w:after="0" w:line="240" w:lineRule="auto"/>
      <w:jc w:val="both"/>
      <w:rPr>
        <w:rFonts w:ascii="Times New Roman" w:hAnsi="Times New Roman"/>
        <w:sz w:val="24"/>
        <w:szCs w:val="24"/>
      </w:rPr>
    </w:pPr>
    <w:r w:rsidRPr="00D74E4F">
      <w:rPr>
        <w:rFonts w:ascii="Times New Roman" w:hAnsi="Times New Roman"/>
        <w:sz w:val="20"/>
        <w:szCs w:val="20"/>
      </w:rPr>
      <w:t>VARAMAnot_</w:t>
    </w:r>
    <w:r w:rsidR="002A10C3">
      <w:rPr>
        <w:rFonts w:ascii="Times New Roman" w:hAnsi="Times New Roman"/>
        <w:sz w:val="20"/>
        <w:szCs w:val="20"/>
      </w:rPr>
      <w:t>10</w:t>
    </w:r>
    <w:r w:rsidR="0078093C">
      <w:rPr>
        <w:rFonts w:ascii="Times New Roman" w:hAnsi="Times New Roman"/>
        <w:sz w:val="20"/>
        <w:szCs w:val="20"/>
      </w:rPr>
      <w:t>08</w:t>
    </w:r>
    <w:r w:rsidRPr="00C648D8">
      <w:rPr>
        <w:rFonts w:ascii="Times New Roman" w:hAnsi="Times New Roman"/>
        <w:sz w:val="20"/>
        <w:szCs w:val="20"/>
      </w:rPr>
      <w:t>15</w:t>
    </w:r>
    <w:r w:rsidRPr="00D74E4F">
      <w:rPr>
        <w:rFonts w:ascii="Times New Roman" w:hAnsi="Times New Roman"/>
        <w:sz w:val="20"/>
        <w:szCs w:val="20"/>
      </w:rPr>
      <w:t>_515;</w:t>
    </w:r>
    <w:r>
      <w:t xml:space="preserve"> </w:t>
    </w:r>
    <w:r w:rsidRPr="00027F5C">
      <w:rPr>
        <w:rFonts w:ascii="Times New Roman" w:hAnsi="Times New Roman"/>
        <w:sz w:val="20"/>
        <w:szCs w:val="20"/>
      </w:rPr>
      <w:t xml:space="preserve">Ministru kabineta noteikumu projekta „Grozījumi </w:t>
    </w:r>
    <w:r>
      <w:rPr>
        <w:rFonts w:ascii="Times New Roman" w:hAnsi="Times New Roman"/>
        <w:sz w:val="20"/>
        <w:szCs w:val="20"/>
      </w:rPr>
      <w:t xml:space="preserve">Ministru kabineta </w:t>
    </w:r>
    <w:r w:rsidRPr="00027F5C">
      <w:rPr>
        <w:rFonts w:ascii="Times New Roman" w:hAnsi="Times New Roman"/>
        <w:sz w:val="20"/>
        <w:szCs w:val="20"/>
      </w:rPr>
      <w:t>2010.gada 8.jūnija noteikumos Nr.515 "</w:t>
    </w:r>
    <w:r w:rsidRPr="00027F5C">
      <w:rPr>
        <w:rFonts w:ascii="Times New Roman" w:eastAsia="Times New Roman" w:hAnsi="Times New Roman"/>
        <w:bCs/>
        <w:sz w:val="20"/>
        <w:szCs w:val="20"/>
        <w:lang w:eastAsia="lv-LV"/>
      </w:rPr>
      <w:t xml:space="preserve"> </w:t>
    </w:r>
    <w:r w:rsidRPr="00FB2225">
      <w:rPr>
        <w:rFonts w:ascii="Times New Roman" w:eastAsia="Times New Roman" w:hAnsi="Times New Roman"/>
        <w:bCs/>
        <w:sz w:val="20"/>
        <w:szCs w:val="20"/>
        <w:lang w:eastAsia="lv-LV"/>
      </w:rPr>
      <w:t>Noteikumi par valsts un pašvaldību mantas iznomāšanas kārtību, nomas maksas noteikšanas metodiku un nomas līguma tipveida nosacījumiem</w:t>
    </w:r>
    <w:r w:rsidRPr="00027F5C">
      <w:rPr>
        <w:rFonts w:ascii="Times New Roman" w:hAnsi="Times New Roman"/>
        <w:sz w:val="20"/>
        <w:szCs w:val="20"/>
      </w:rPr>
      <w:t>””</w:t>
    </w:r>
    <w:r w:rsidRPr="00FB2225">
      <w:rPr>
        <w:rFonts w:ascii="Times New Roman" w:hAnsi="Times New Roman"/>
        <w:sz w:val="24"/>
        <w:szCs w:val="24"/>
      </w:rPr>
      <w:t xml:space="preserve"> </w:t>
    </w:r>
    <w:r w:rsidRPr="00BA27F5">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BA27F5">
        <w:rPr>
          <w:rFonts w:ascii="Times New Roman" w:hAnsi="Times New Roman"/>
          <w:bCs/>
          <w:sz w:val="20"/>
          <w:szCs w:val="20"/>
        </w:rPr>
        <w:t>ziņojums</w:t>
      </w:r>
    </w:smartTag>
    <w:r w:rsidRPr="00BA27F5">
      <w:rPr>
        <w:rFonts w:ascii="Times New Roman" w:hAnsi="Times New Roman"/>
        <w:bCs/>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D1" w:rsidRPr="00027F5C" w:rsidRDefault="002A28D1" w:rsidP="005F6105">
    <w:pPr>
      <w:spacing w:after="0" w:line="240" w:lineRule="auto"/>
      <w:jc w:val="both"/>
      <w:rPr>
        <w:rFonts w:ascii="Times New Roman" w:hAnsi="Times New Roman"/>
        <w:sz w:val="24"/>
        <w:szCs w:val="24"/>
      </w:rPr>
    </w:pPr>
    <w:r w:rsidRPr="00D74E4F">
      <w:rPr>
        <w:rFonts w:ascii="Times New Roman" w:hAnsi="Times New Roman"/>
        <w:sz w:val="20"/>
        <w:szCs w:val="20"/>
      </w:rPr>
      <w:t>VARAMAnot_</w:t>
    </w:r>
    <w:r w:rsidR="0078093C">
      <w:rPr>
        <w:rFonts w:ascii="Times New Roman" w:hAnsi="Times New Roman"/>
        <w:sz w:val="20"/>
        <w:szCs w:val="20"/>
      </w:rPr>
      <w:t>0308</w:t>
    </w:r>
    <w:r w:rsidRPr="00D74E4F">
      <w:rPr>
        <w:rFonts w:ascii="Times New Roman" w:hAnsi="Times New Roman"/>
        <w:sz w:val="20"/>
        <w:szCs w:val="20"/>
      </w:rPr>
      <w:t>15_515;</w:t>
    </w:r>
    <w:r>
      <w:t xml:space="preserve"> </w:t>
    </w:r>
    <w:r w:rsidRPr="00027F5C">
      <w:rPr>
        <w:rFonts w:ascii="Times New Roman" w:hAnsi="Times New Roman"/>
        <w:sz w:val="20"/>
        <w:szCs w:val="20"/>
      </w:rPr>
      <w:t xml:space="preserve">Ministru kabineta noteikumu projekta „Grozījumi </w:t>
    </w:r>
    <w:r>
      <w:rPr>
        <w:rFonts w:ascii="Times New Roman" w:hAnsi="Times New Roman"/>
        <w:sz w:val="20"/>
        <w:szCs w:val="20"/>
      </w:rPr>
      <w:t xml:space="preserve">Ministru kabineta </w:t>
    </w:r>
    <w:r w:rsidRPr="00027F5C">
      <w:rPr>
        <w:rFonts w:ascii="Times New Roman" w:hAnsi="Times New Roman"/>
        <w:sz w:val="20"/>
        <w:szCs w:val="20"/>
      </w:rPr>
      <w:t>2010.gada 8.jūnija noteikumos Nr.515 "</w:t>
    </w:r>
    <w:r w:rsidRPr="00027F5C">
      <w:rPr>
        <w:rFonts w:ascii="Times New Roman" w:eastAsia="Times New Roman" w:hAnsi="Times New Roman"/>
        <w:bCs/>
        <w:sz w:val="20"/>
        <w:szCs w:val="20"/>
        <w:lang w:eastAsia="lv-LV"/>
      </w:rPr>
      <w:t xml:space="preserve"> </w:t>
    </w:r>
    <w:r w:rsidRPr="00FB2225">
      <w:rPr>
        <w:rFonts w:ascii="Times New Roman" w:eastAsia="Times New Roman" w:hAnsi="Times New Roman"/>
        <w:bCs/>
        <w:sz w:val="20"/>
        <w:szCs w:val="20"/>
        <w:lang w:eastAsia="lv-LV"/>
      </w:rPr>
      <w:t>Noteikumi par valsts un pašvaldību mantas iznomāšanas kārtību, nomas maksas noteikšanas metodiku un nomas līguma tipveida nosacījumiem</w:t>
    </w:r>
    <w:r w:rsidRPr="00027F5C">
      <w:rPr>
        <w:rFonts w:ascii="Times New Roman" w:hAnsi="Times New Roman"/>
        <w:sz w:val="20"/>
        <w:szCs w:val="20"/>
      </w:rPr>
      <w:t>””</w:t>
    </w:r>
    <w:r w:rsidRPr="00FB2225">
      <w:rPr>
        <w:rFonts w:ascii="Times New Roman" w:hAnsi="Times New Roman"/>
        <w:sz w:val="24"/>
        <w:szCs w:val="24"/>
      </w:rPr>
      <w:t xml:space="preserve"> </w:t>
    </w:r>
    <w:r w:rsidRPr="00BA27F5">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BA27F5">
        <w:rPr>
          <w:rFonts w:ascii="Times New Roman" w:hAnsi="Times New Roman"/>
          <w:bCs/>
          <w:sz w:val="20"/>
          <w:szCs w:val="20"/>
        </w:rPr>
        <w:t>ziņojums</w:t>
      </w:r>
    </w:smartTag>
    <w:r w:rsidRPr="00BA27F5">
      <w:rPr>
        <w:rFonts w:ascii="Times New Roman" w:hAnsi="Times New Roman"/>
        <w:bCs/>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14" w:rsidRDefault="009C4B14" w:rsidP="00761973">
      <w:pPr>
        <w:spacing w:after="0" w:line="240" w:lineRule="auto"/>
      </w:pPr>
      <w:r>
        <w:separator/>
      </w:r>
    </w:p>
  </w:footnote>
  <w:footnote w:type="continuationSeparator" w:id="0">
    <w:p w:rsidR="009C4B14" w:rsidRDefault="009C4B14" w:rsidP="00761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D1" w:rsidRPr="00DB6372" w:rsidRDefault="00CF4B09">
    <w:pPr>
      <w:pStyle w:val="Header"/>
      <w:jc w:val="center"/>
      <w:rPr>
        <w:rFonts w:ascii="Times New Roman" w:hAnsi="Times New Roman"/>
        <w:sz w:val="24"/>
        <w:szCs w:val="24"/>
      </w:rPr>
    </w:pPr>
    <w:r w:rsidRPr="00DB6372">
      <w:rPr>
        <w:rFonts w:ascii="Times New Roman" w:hAnsi="Times New Roman"/>
        <w:sz w:val="24"/>
        <w:szCs w:val="24"/>
      </w:rPr>
      <w:fldChar w:fldCharType="begin"/>
    </w:r>
    <w:r w:rsidR="002A28D1"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6C7C1C">
      <w:rPr>
        <w:rFonts w:ascii="Times New Roman" w:hAnsi="Times New Roman"/>
        <w:noProof/>
        <w:sz w:val="24"/>
        <w:szCs w:val="24"/>
      </w:rPr>
      <w:t>2</w:t>
    </w:r>
    <w:r w:rsidRPr="00DB6372">
      <w:rPr>
        <w:rFonts w:ascii="Times New Roman" w:hAnsi="Times New Roman"/>
        <w:noProof/>
        <w:sz w:val="24"/>
        <w:szCs w:val="24"/>
      </w:rPr>
      <w:fldChar w:fldCharType="end"/>
    </w:r>
  </w:p>
  <w:p w:rsidR="002A28D1" w:rsidRDefault="002A2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D1" w:rsidRDefault="002A28D1" w:rsidP="005F6105">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0395"/>
    <w:multiLevelType w:val="hybridMultilevel"/>
    <w:tmpl w:val="6E529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565AE2"/>
    <w:multiLevelType w:val="hybridMultilevel"/>
    <w:tmpl w:val="26501AAA"/>
    <w:lvl w:ilvl="0" w:tplc="3C669742">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F1205C"/>
    <w:multiLevelType w:val="hybridMultilevel"/>
    <w:tmpl w:val="623AD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421D64"/>
    <w:multiLevelType w:val="hybridMultilevel"/>
    <w:tmpl w:val="9E000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05637B3"/>
    <w:multiLevelType w:val="hybridMultilevel"/>
    <w:tmpl w:val="B4722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D54A33"/>
    <w:multiLevelType w:val="hybridMultilevel"/>
    <w:tmpl w:val="76A4082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6">
    <w:nsid w:val="2CAC6B3E"/>
    <w:multiLevelType w:val="hybridMultilevel"/>
    <w:tmpl w:val="327C4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A92CAD"/>
    <w:multiLevelType w:val="hybridMultilevel"/>
    <w:tmpl w:val="BA9C92EE"/>
    <w:lvl w:ilvl="0" w:tplc="3F6C675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9">
    <w:nsid w:val="6EF57D2F"/>
    <w:multiLevelType w:val="hybridMultilevel"/>
    <w:tmpl w:val="75BC3A08"/>
    <w:lvl w:ilvl="0" w:tplc="B5B8D77E">
      <w:start w:val="1"/>
      <w:numFmt w:val="decimal"/>
      <w:lvlText w:val="%1."/>
      <w:lvlJc w:val="left"/>
      <w:pPr>
        <w:ind w:left="360" w:hanging="360"/>
      </w:pPr>
      <w:rPr>
        <w:rFonts w:ascii="Times New Roman" w:hAnsi="Times New Roman" w:hint="default"/>
        <w:color w:val="000000"/>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73F438DC"/>
    <w:multiLevelType w:val="hybridMultilevel"/>
    <w:tmpl w:val="B218BF9C"/>
    <w:lvl w:ilvl="0" w:tplc="65EA5CBA">
      <w:start w:val="1"/>
      <w:numFmt w:val="decimal"/>
      <w:lvlText w:val="%1."/>
      <w:lvlJc w:val="left"/>
      <w:pPr>
        <w:ind w:left="36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
  </w:num>
  <w:num w:numId="5">
    <w:abstractNumId w:val="6"/>
  </w:num>
  <w:num w:numId="6">
    <w:abstractNumId w:val="9"/>
  </w:num>
  <w:num w:numId="7">
    <w:abstractNumId w:val="5"/>
  </w:num>
  <w:num w:numId="8">
    <w:abstractNumId w:val="7"/>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rsids>
    <w:rsidRoot w:val="00A94453"/>
    <w:rsid w:val="0000501C"/>
    <w:rsid w:val="00010286"/>
    <w:rsid w:val="000338F1"/>
    <w:rsid w:val="0004376A"/>
    <w:rsid w:val="000475B0"/>
    <w:rsid w:val="00057D93"/>
    <w:rsid w:val="00061179"/>
    <w:rsid w:val="0009224F"/>
    <w:rsid w:val="000A04C7"/>
    <w:rsid w:val="000B2170"/>
    <w:rsid w:val="000B660F"/>
    <w:rsid w:val="000D55ED"/>
    <w:rsid w:val="000F214E"/>
    <w:rsid w:val="000F5D7C"/>
    <w:rsid w:val="0010624E"/>
    <w:rsid w:val="001119DB"/>
    <w:rsid w:val="00114A3A"/>
    <w:rsid w:val="00140CA2"/>
    <w:rsid w:val="00145C56"/>
    <w:rsid w:val="0015465C"/>
    <w:rsid w:val="00161119"/>
    <w:rsid w:val="001614F4"/>
    <w:rsid w:val="001657F8"/>
    <w:rsid w:val="00171F5C"/>
    <w:rsid w:val="00180160"/>
    <w:rsid w:val="00182B9A"/>
    <w:rsid w:val="00190D76"/>
    <w:rsid w:val="001A2BAF"/>
    <w:rsid w:val="001A4375"/>
    <w:rsid w:val="001B507B"/>
    <w:rsid w:val="001C722E"/>
    <w:rsid w:val="001D21A2"/>
    <w:rsid w:val="001E5AC5"/>
    <w:rsid w:val="001E7221"/>
    <w:rsid w:val="00202D52"/>
    <w:rsid w:val="0020410D"/>
    <w:rsid w:val="00206B05"/>
    <w:rsid w:val="002134CA"/>
    <w:rsid w:val="00222A2D"/>
    <w:rsid w:val="00226A06"/>
    <w:rsid w:val="00226C2C"/>
    <w:rsid w:val="00232A7F"/>
    <w:rsid w:val="00240A0E"/>
    <w:rsid w:val="0026095A"/>
    <w:rsid w:val="00262063"/>
    <w:rsid w:val="00277CAE"/>
    <w:rsid w:val="00291119"/>
    <w:rsid w:val="00296048"/>
    <w:rsid w:val="002A10C3"/>
    <w:rsid w:val="002A28D1"/>
    <w:rsid w:val="002A4FD0"/>
    <w:rsid w:val="002D0F23"/>
    <w:rsid w:val="002E2F85"/>
    <w:rsid w:val="002F20E4"/>
    <w:rsid w:val="003124E8"/>
    <w:rsid w:val="003130D3"/>
    <w:rsid w:val="0032690B"/>
    <w:rsid w:val="00327A0C"/>
    <w:rsid w:val="00336172"/>
    <w:rsid w:val="003405EA"/>
    <w:rsid w:val="0035535D"/>
    <w:rsid w:val="00361D6B"/>
    <w:rsid w:val="00364350"/>
    <w:rsid w:val="00367FB4"/>
    <w:rsid w:val="003765D7"/>
    <w:rsid w:val="00397447"/>
    <w:rsid w:val="003A70C3"/>
    <w:rsid w:val="003C400A"/>
    <w:rsid w:val="003D0ECB"/>
    <w:rsid w:val="003E07DA"/>
    <w:rsid w:val="003E0ACA"/>
    <w:rsid w:val="00411891"/>
    <w:rsid w:val="00413133"/>
    <w:rsid w:val="004166ED"/>
    <w:rsid w:val="00421E40"/>
    <w:rsid w:val="00435AD7"/>
    <w:rsid w:val="0044055A"/>
    <w:rsid w:val="0044412F"/>
    <w:rsid w:val="0044762F"/>
    <w:rsid w:val="004730D1"/>
    <w:rsid w:val="00483907"/>
    <w:rsid w:val="00485F44"/>
    <w:rsid w:val="004A33C8"/>
    <w:rsid w:val="004B5DB8"/>
    <w:rsid w:val="004F3D13"/>
    <w:rsid w:val="004F3F2F"/>
    <w:rsid w:val="00505CD4"/>
    <w:rsid w:val="005150E4"/>
    <w:rsid w:val="00527DEA"/>
    <w:rsid w:val="00533FF4"/>
    <w:rsid w:val="00535F1C"/>
    <w:rsid w:val="005508CB"/>
    <w:rsid w:val="005568AF"/>
    <w:rsid w:val="0055787A"/>
    <w:rsid w:val="005708B7"/>
    <w:rsid w:val="00572F12"/>
    <w:rsid w:val="00572FAC"/>
    <w:rsid w:val="00573E73"/>
    <w:rsid w:val="00580730"/>
    <w:rsid w:val="005956CF"/>
    <w:rsid w:val="00597EB9"/>
    <w:rsid w:val="005A1838"/>
    <w:rsid w:val="005A7F7B"/>
    <w:rsid w:val="005B25EA"/>
    <w:rsid w:val="005B5782"/>
    <w:rsid w:val="005C26A7"/>
    <w:rsid w:val="005C67CC"/>
    <w:rsid w:val="005D1B9C"/>
    <w:rsid w:val="005D3AE4"/>
    <w:rsid w:val="005F3453"/>
    <w:rsid w:val="005F6105"/>
    <w:rsid w:val="00600CA6"/>
    <w:rsid w:val="00603E19"/>
    <w:rsid w:val="006063BF"/>
    <w:rsid w:val="00614975"/>
    <w:rsid w:val="006155C9"/>
    <w:rsid w:val="00621BAF"/>
    <w:rsid w:val="00631569"/>
    <w:rsid w:val="0063227A"/>
    <w:rsid w:val="00657044"/>
    <w:rsid w:val="00663321"/>
    <w:rsid w:val="00667B11"/>
    <w:rsid w:val="00672D27"/>
    <w:rsid w:val="006749F8"/>
    <w:rsid w:val="00684419"/>
    <w:rsid w:val="006A3734"/>
    <w:rsid w:val="006A39B6"/>
    <w:rsid w:val="006B2591"/>
    <w:rsid w:val="006B41F9"/>
    <w:rsid w:val="006B4C0F"/>
    <w:rsid w:val="006C30B3"/>
    <w:rsid w:val="006C7C1C"/>
    <w:rsid w:val="006D469D"/>
    <w:rsid w:val="006E1335"/>
    <w:rsid w:val="006E4135"/>
    <w:rsid w:val="006E7F8C"/>
    <w:rsid w:val="006F2607"/>
    <w:rsid w:val="006F3F77"/>
    <w:rsid w:val="00700DC2"/>
    <w:rsid w:val="007154D2"/>
    <w:rsid w:val="007419CF"/>
    <w:rsid w:val="0074259E"/>
    <w:rsid w:val="007529D8"/>
    <w:rsid w:val="00761973"/>
    <w:rsid w:val="0078093C"/>
    <w:rsid w:val="00781B75"/>
    <w:rsid w:val="007A7E5B"/>
    <w:rsid w:val="007B3B71"/>
    <w:rsid w:val="007B68EE"/>
    <w:rsid w:val="007D21E5"/>
    <w:rsid w:val="007E3341"/>
    <w:rsid w:val="007F3E4E"/>
    <w:rsid w:val="008021F6"/>
    <w:rsid w:val="008057C9"/>
    <w:rsid w:val="00813874"/>
    <w:rsid w:val="008203A4"/>
    <w:rsid w:val="00825716"/>
    <w:rsid w:val="008279A2"/>
    <w:rsid w:val="00830202"/>
    <w:rsid w:val="00833843"/>
    <w:rsid w:val="00841E2F"/>
    <w:rsid w:val="00850E13"/>
    <w:rsid w:val="00853FB8"/>
    <w:rsid w:val="00866C57"/>
    <w:rsid w:val="008744C5"/>
    <w:rsid w:val="008811F4"/>
    <w:rsid w:val="00895767"/>
    <w:rsid w:val="00896014"/>
    <w:rsid w:val="008B4649"/>
    <w:rsid w:val="008C460A"/>
    <w:rsid w:val="008C754B"/>
    <w:rsid w:val="008C7A0B"/>
    <w:rsid w:val="008D44C2"/>
    <w:rsid w:val="008E3680"/>
    <w:rsid w:val="008F2243"/>
    <w:rsid w:val="008F2BD9"/>
    <w:rsid w:val="00900DFB"/>
    <w:rsid w:val="00901E6E"/>
    <w:rsid w:val="00905635"/>
    <w:rsid w:val="00905644"/>
    <w:rsid w:val="00910F02"/>
    <w:rsid w:val="00914B95"/>
    <w:rsid w:val="00923A06"/>
    <w:rsid w:val="0092691F"/>
    <w:rsid w:val="00970DB2"/>
    <w:rsid w:val="009741CD"/>
    <w:rsid w:val="009753C1"/>
    <w:rsid w:val="0098677C"/>
    <w:rsid w:val="00994B90"/>
    <w:rsid w:val="009B43BC"/>
    <w:rsid w:val="009B4677"/>
    <w:rsid w:val="009B69F9"/>
    <w:rsid w:val="009C4B14"/>
    <w:rsid w:val="009D629D"/>
    <w:rsid w:val="009E455A"/>
    <w:rsid w:val="009E64E6"/>
    <w:rsid w:val="00A02745"/>
    <w:rsid w:val="00A02AAE"/>
    <w:rsid w:val="00A03F2F"/>
    <w:rsid w:val="00A14186"/>
    <w:rsid w:val="00A154A2"/>
    <w:rsid w:val="00A47A6F"/>
    <w:rsid w:val="00A47EF8"/>
    <w:rsid w:val="00A52448"/>
    <w:rsid w:val="00A52954"/>
    <w:rsid w:val="00A556DA"/>
    <w:rsid w:val="00A6512B"/>
    <w:rsid w:val="00A72861"/>
    <w:rsid w:val="00A74195"/>
    <w:rsid w:val="00A94453"/>
    <w:rsid w:val="00AA2BB2"/>
    <w:rsid w:val="00AA67FD"/>
    <w:rsid w:val="00AC2F87"/>
    <w:rsid w:val="00AC32FA"/>
    <w:rsid w:val="00AD20EC"/>
    <w:rsid w:val="00AE52FE"/>
    <w:rsid w:val="00AF503A"/>
    <w:rsid w:val="00B01540"/>
    <w:rsid w:val="00B20173"/>
    <w:rsid w:val="00B24F1F"/>
    <w:rsid w:val="00B349EB"/>
    <w:rsid w:val="00B4002B"/>
    <w:rsid w:val="00B42BCC"/>
    <w:rsid w:val="00B456FC"/>
    <w:rsid w:val="00B50527"/>
    <w:rsid w:val="00B52D3F"/>
    <w:rsid w:val="00B7457E"/>
    <w:rsid w:val="00B80D72"/>
    <w:rsid w:val="00B84A44"/>
    <w:rsid w:val="00B855E9"/>
    <w:rsid w:val="00B908FF"/>
    <w:rsid w:val="00BB392F"/>
    <w:rsid w:val="00BD211E"/>
    <w:rsid w:val="00BD4BE0"/>
    <w:rsid w:val="00BE1F48"/>
    <w:rsid w:val="00BE2859"/>
    <w:rsid w:val="00BF27FD"/>
    <w:rsid w:val="00BF2C4A"/>
    <w:rsid w:val="00C16556"/>
    <w:rsid w:val="00C16751"/>
    <w:rsid w:val="00C37F07"/>
    <w:rsid w:val="00C46AAB"/>
    <w:rsid w:val="00C648D8"/>
    <w:rsid w:val="00C65B0A"/>
    <w:rsid w:val="00C83E3A"/>
    <w:rsid w:val="00CA77DB"/>
    <w:rsid w:val="00CD08A7"/>
    <w:rsid w:val="00CD5ECA"/>
    <w:rsid w:val="00CE1C1F"/>
    <w:rsid w:val="00CE2875"/>
    <w:rsid w:val="00CE41CD"/>
    <w:rsid w:val="00CF2404"/>
    <w:rsid w:val="00CF4B09"/>
    <w:rsid w:val="00D21CB8"/>
    <w:rsid w:val="00D25FAB"/>
    <w:rsid w:val="00D33C6B"/>
    <w:rsid w:val="00D44091"/>
    <w:rsid w:val="00D44808"/>
    <w:rsid w:val="00D540C1"/>
    <w:rsid w:val="00D61B23"/>
    <w:rsid w:val="00D64420"/>
    <w:rsid w:val="00D74E4F"/>
    <w:rsid w:val="00D93260"/>
    <w:rsid w:val="00D939B1"/>
    <w:rsid w:val="00D97666"/>
    <w:rsid w:val="00DA2CA4"/>
    <w:rsid w:val="00DB1F53"/>
    <w:rsid w:val="00DC3493"/>
    <w:rsid w:val="00DC5826"/>
    <w:rsid w:val="00DC58F7"/>
    <w:rsid w:val="00DC5FD8"/>
    <w:rsid w:val="00E00B5A"/>
    <w:rsid w:val="00E12ED8"/>
    <w:rsid w:val="00E17BE1"/>
    <w:rsid w:val="00E232FA"/>
    <w:rsid w:val="00E26B6B"/>
    <w:rsid w:val="00E32C2A"/>
    <w:rsid w:val="00E405DA"/>
    <w:rsid w:val="00E46FAC"/>
    <w:rsid w:val="00E51CC6"/>
    <w:rsid w:val="00E52600"/>
    <w:rsid w:val="00E6326C"/>
    <w:rsid w:val="00E80DB5"/>
    <w:rsid w:val="00E83194"/>
    <w:rsid w:val="00E91C92"/>
    <w:rsid w:val="00EA4589"/>
    <w:rsid w:val="00EA4BFB"/>
    <w:rsid w:val="00EA6A7E"/>
    <w:rsid w:val="00EB3E0C"/>
    <w:rsid w:val="00EC6116"/>
    <w:rsid w:val="00ED259A"/>
    <w:rsid w:val="00ED78D0"/>
    <w:rsid w:val="00ED7E88"/>
    <w:rsid w:val="00EE5608"/>
    <w:rsid w:val="00EF0B01"/>
    <w:rsid w:val="00EF3CC8"/>
    <w:rsid w:val="00F0172E"/>
    <w:rsid w:val="00F13147"/>
    <w:rsid w:val="00F15A01"/>
    <w:rsid w:val="00F160C9"/>
    <w:rsid w:val="00F226A7"/>
    <w:rsid w:val="00F32BFC"/>
    <w:rsid w:val="00F36508"/>
    <w:rsid w:val="00F50F45"/>
    <w:rsid w:val="00F573FD"/>
    <w:rsid w:val="00F63FA2"/>
    <w:rsid w:val="00F64A14"/>
    <w:rsid w:val="00F73D19"/>
    <w:rsid w:val="00F7765C"/>
    <w:rsid w:val="00F91422"/>
    <w:rsid w:val="00FA1E27"/>
    <w:rsid w:val="00FD053B"/>
    <w:rsid w:val="00FD174E"/>
    <w:rsid w:val="00FE053B"/>
    <w:rsid w:val="00FF5676"/>
    <w:rsid w:val="00FF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53"/>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A9445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453"/>
    <w:rPr>
      <w:rFonts w:ascii="Calibri Light" w:eastAsia="Times New Roman" w:hAnsi="Calibri Light" w:cs="Times New Roman"/>
      <w:b/>
      <w:bCs/>
      <w:sz w:val="26"/>
      <w:szCs w:val="26"/>
    </w:rPr>
  </w:style>
  <w:style w:type="paragraph" w:styleId="NormalWeb">
    <w:name w:val="Normal (Web)"/>
    <w:basedOn w:val="Normal"/>
    <w:link w:val="NormalWebChar"/>
    <w:uiPriority w:val="99"/>
    <w:unhideWhenUsed/>
    <w:rsid w:val="00A9445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94453"/>
    <w:pPr>
      <w:tabs>
        <w:tab w:val="center" w:pos="4153"/>
        <w:tab w:val="right" w:pos="8306"/>
      </w:tabs>
    </w:pPr>
  </w:style>
  <w:style w:type="character" w:customStyle="1" w:styleId="HeaderChar">
    <w:name w:val="Header Char"/>
    <w:basedOn w:val="DefaultParagraphFont"/>
    <w:link w:val="Header"/>
    <w:uiPriority w:val="99"/>
    <w:rsid w:val="00A94453"/>
    <w:rPr>
      <w:rFonts w:ascii="Calibri" w:eastAsia="Calibri" w:hAnsi="Calibri" w:cs="Times New Roman"/>
    </w:rPr>
  </w:style>
  <w:style w:type="paragraph" w:styleId="Footer">
    <w:name w:val="footer"/>
    <w:basedOn w:val="Normal"/>
    <w:link w:val="FooterChar"/>
    <w:uiPriority w:val="99"/>
    <w:unhideWhenUsed/>
    <w:rsid w:val="00A94453"/>
    <w:pPr>
      <w:tabs>
        <w:tab w:val="center" w:pos="4153"/>
        <w:tab w:val="right" w:pos="8306"/>
      </w:tabs>
    </w:pPr>
  </w:style>
  <w:style w:type="character" w:customStyle="1" w:styleId="FooterChar">
    <w:name w:val="Footer Char"/>
    <w:basedOn w:val="DefaultParagraphFont"/>
    <w:link w:val="Footer"/>
    <w:uiPriority w:val="99"/>
    <w:rsid w:val="00A94453"/>
    <w:rPr>
      <w:rFonts w:ascii="Calibri" w:eastAsia="Calibri" w:hAnsi="Calibri" w:cs="Times New Roman"/>
    </w:rPr>
  </w:style>
  <w:style w:type="character" w:styleId="Hyperlink">
    <w:name w:val="Hyperlink"/>
    <w:unhideWhenUsed/>
    <w:rsid w:val="00A94453"/>
    <w:rPr>
      <w:color w:val="0000FF"/>
      <w:u w:val="single"/>
    </w:rPr>
  </w:style>
  <w:style w:type="paragraph" w:customStyle="1" w:styleId="naislab">
    <w:name w:val="naislab"/>
    <w:basedOn w:val="Normal"/>
    <w:rsid w:val="00A94453"/>
    <w:pPr>
      <w:spacing w:before="75" w:after="75" w:line="240" w:lineRule="auto"/>
      <w:jc w:val="right"/>
    </w:pPr>
    <w:rPr>
      <w:rFonts w:ascii="Times New Roman" w:eastAsia="Times New Roman" w:hAnsi="Times New Roman"/>
      <w:sz w:val="24"/>
      <w:szCs w:val="24"/>
      <w:lang w:eastAsia="lv-LV"/>
    </w:rPr>
  </w:style>
  <w:style w:type="paragraph" w:customStyle="1" w:styleId="naisf">
    <w:name w:val="naisf"/>
    <w:basedOn w:val="Normal"/>
    <w:rsid w:val="00A94453"/>
    <w:pPr>
      <w:spacing w:before="75" w:after="75" w:line="240" w:lineRule="auto"/>
      <w:ind w:firstLine="375"/>
      <w:jc w:val="both"/>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A944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4453"/>
    <w:rPr>
      <w:rFonts w:ascii="Consolas" w:eastAsia="Calibri" w:hAnsi="Consolas" w:cs="Times New Roman"/>
      <w:sz w:val="21"/>
      <w:szCs w:val="21"/>
    </w:rPr>
  </w:style>
  <w:style w:type="character" w:customStyle="1" w:styleId="NormalWebChar">
    <w:name w:val="Normal (Web) Char"/>
    <w:link w:val="NormalWeb"/>
    <w:uiPriority w:val="99"/>
    <w:locked/>
    <w:rsid w:val="00A9445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94453"/>
    <w:pPr>
      <w:spacing w:after="0" w:line="240" w:lineRule="auto"/>
      <w:ind w:left="720"/>
    </w:pPr>
    <w:rPr>
      <w:lang w:eastAsia="lv-LV"/>
    </w:rPr>
  </w:style>
  <w:style w:type="paragraph" w:customStyle="1" w:styleId="naisnod">
    <w:name w:val="naisnod"/>
    <w:basedOn w:val="Normal"/>
    <w:rsid w:val="00A94453"/>
    <w:pPr>
      <w:spacing w:before="150" w:after="150" w:line="240" w:lineRule="auto"/>
      <w:jc w:val="center"/>
    </w:pPr>
    <w:rPr>
      <w:rFonts w:ascii="Times New Roman" w:eastAsia="Times New Roman" w:hAnsi="Times New Roman"/>
      <w:b/>
      <w:bCs/>
      <w:sz w:val="24"/>
      <w:szCs w:val="24"/>
      <w:lang w:eastAsia="lv-LV"/>
    </w:rPr>
  </w:style>
  <w:style w:type="paragraph" w:customStyle="1" w:styleId="tv207">
    <w:name w:val="tv207"/>
    <w:basedOn w:val="Normal"/>
    <w:uiPriority w:val="99"/>
    <w:rsid w:val="00A9445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link w:val="ListParagraph"/>
    <w:uiPriority w:val="34"/>
    <w:locked/>
    <w:rsid w:val="00A94453"/>
    <w:rPr>
      <w:rFonts w:ascii="Calibri" w:eastAsia="Calibri" w:hAnsi="Calibri" w:cs="Times New Roman"/>
      <w:lang w:eastAsia="lv-LV"/>
    </w:rPr>
  </w:style>
  <w:style w:type="paragraph" w:customStyle="1" w:styleId="Default">
    <w:name w:val="Default"/>
    <w:basedOn w:val="Normal"/>
    <w:uiPriority w:val="99"/>
    <w:rsid w:val="00A94453"/>
    <w:pPr>
      <w:autoSpaceDE w:val="0"/>
      <w:autoSpaceDN w:val="0"/>
      <w:spacing w:after="0" w:line="240" w:lineRule="auto"/>
    </w:pPr>
    <w:rPr>
      <w:rFonts w:ascii="Times New Roman" w:eastAsiaTheme="minorHAnsi" w:hAnsi="Times New Roman"/>
      <w:color w:val="000000"/>
      <w:sz w:val="24"/>
      <w:szCs w:val="24"/>
      <w:lang w:eastAsia="lv-LV"/>
    </w:rPr>
  </w:style>
  <w:style w:type="paragraph" w:customStyle="1" w:styleId="tvhtml">
    <w:name w:val="tv_html"/>
    <w:basedOn w:val="Normal"/>
    <w:rsid w:val="00182B9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45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F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2691F"/>
    <w:rPr>
      <w:sz w:val="16"/>
      <w:szCs w:val="16"/>
    </w:rPr>
  </w:style>
  <w:style w:type="paragraph" w:styleId="CommentText">
    <w:name w:val="annotation text"/>
    <w:basedOn w:val="Normal"/>
    <w:link w:val="CommentTextChar"/>
    <w:uiPriority w:val="99"/>
    <w:semiHidden/>
    <w:unhideWhenUsed/>
    <w:rsid w:val="0092691F"/>
    <w:pPr>
      <w:spacing w:line="240" w:lineRule="auto"/>
    </w:pPr>
    <w:rPr>
      <w:sz w:val="20"/>
      <w:szCs w:val="20"/>
    </w:rPr>
  </w:style>
  <w:style w:type="character" w:customStyle="1" w:styleId="CommentTextChar">
    <w:name w:val="Comment Text Char"/>
    <w:basedOn w:val="DefaultParagraphFont"/>
    <w:link w:val="CommentText"/>
    <w:uiPriority w:val="99"/>
    <w:semiHidden/>
    <w:rsid w:val="009269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691F"/>
    <w:rPr>
      <w:b/>
      <w:bCs/>
    </w:rPr>
  </w:style>
  <w:style w:type="character" w:customStyle="1" w:styleId="CommentSubjectChar">
    <w:name w:val="Comment Subject Char"/>
    <w:basedOn w:val="CommentTextChar"/>
    <w:link w:val="CommentSubject"/>
    <w:uiPriority w:val="99"/>
    <w:semiHidden/>
    <w:rsid w:val="0092691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48045283">
      <w:bodyDiv w:val="1"/>
      <w:marLeft w:val="0"/>
      <w:marRight w:val="0"/>
      <w:marTop w:val="0"/>
      <w:marBottom w:val="0"/>
      <w:divBdr>
        <w:top w:val="none" w:sz="0" w:space="0" w:color="auto"/>
        <w:left w:val="none" w:sz="0" w:space="0" w:color="auto"/>
        <w:bottom w:val="none" w:sz="0" w:space="0" w:color="auto"/>
        <w:right w:val="none" w:sz="0" w:space="0" w:color="auto"/>
      </w:divBdr>
    </w:div>
    <w:div w:id="12993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celex:32013R137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Ziedin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a.Vevere@varam.gov.lv" TargetMode="External"/><Relationship Id="rId4" Type="http://schemas.openxmlformats.org/officeDocument/2006/relationships/settings" Target="settings.xml"/><Relationship Id="rId9" Type="http://schemas.openxmlformats.org/officeDocument/2006/relationships/hyperlink" Target="http://eur-lex.europa.eu/legal-content/LV/AUTO/?uri=celex:32013R137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2F3F5-AC3C-44A2-AB19-97E7E674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6125</Words>
  <Characters>34916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Boitmanis</dc:creator>
  <cp:lastModifiedBy>larisat</cp:lastModifiedBy>
  <cp:revision>128</cp:revision>
  <cp:lastPrinted>2015-07-31T10:38:00Z</cp:lastPrinted>
  <dcterms:created xsi:type="dcterms:W3CDTF">2015-04-27T12:26:00Z</dcterms:created>
  <dcterms:modified xsi:type="dcterms:W3CDTF">2015-08-27T07:24:00Z</dcterms:modified>
</cp:coreProperties>
</file>