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28" w:rsidRPr="00C90FF2" w:rsidRDefault="00F32B28" w:rsidP="00B61A29">
      <w:pPr>
        <w:jc w:val="center"/>
        <w:rPr>
          <w:i/>
          <w:iCs/>
          <w:sz w:val="28"/>
          <w:szCs w:val="28"/>
        </w:rPr>
      </w:pPr>
      <w:r w:rsidRPr="007A593B">
        <w:rPr>
          <w:b/>
          <w:sz w:val="28"/>
          <w:szCs w:val="28"/>
        </w:rPr>
        <w:t xml:space="preserve">Ministru kabineta rīkojuma projekta „Par apropriācijas pārdali” 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7A593B">
          <w:rPr>
            <w:b/>
            <w:sz w:val="28"/>
            <w:szCs w:val="28"/>
          </w:rPr>
          <w:t>ziņojums</w:t>
        </w:r>
      </w:smartTag>
      <w:r w:rsidRPr="007A593B">
        <w:rPr>
          <w:b/>
          <w:sz w:val="28"/>
          <w:szCs w:val="28"/>
        </w:rPr>
        <w:t xml:space="preserve"> (anotācija)</w:t>
      </w:r>
    </w:p>
    <w:tbl>
      <w:tblPr>
        <w:tblpPr w:leftFromText="180" w:rightFromText="180" w:vertAnchor="text" w:horzAnchor="margin" w:tblpXSpec="center" w:tblpY="149"/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2878"/>
        <w:gridCol w:w="5900"/>
      </w:tblGrid>
      <w:tr w:rsidR="009A7EE9" w:rsidRPr="006807F6" w:rsidTr="00A54AB7">
        <w:trPr>
          <w:trHeight w:val="419"/>
        </w:trPr>
        <w:tc>
          <w:tcPr>
            <w:tcW w:w="5000" w:type="pct"/>
            <w:gridSpan w:val="3"/>
            <w:vAlign w:val="center"/>
          </w:tcPr>
          <w:p w:rsidR="009A7EE9" w:rsidRPr="006807F6" w:rsidRDefault="009A7EE9" w:rsidP="009A7EE9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6807F6">
              <w:rPr>
                <w:b/>
                <w:sz w:val="26"/>
                <w:szCs w:val="26"/>
              </w:rPr>
              <w:t>I. Tiesību akta projekta izstrādes nepieciešamība</w:t>
            </w:r>
          </w:p>
        </w:tc>
      </w:tr>
      <w:tr w:rsidR="009A7EE9" w:rsidRPr="006807F6" w:rsidTr="00A54AB7">
        <w:trPr>
          <w:trHeight w:val="400"/>
        </w:trPr>
        <w:tc>
          <w:tcPr>
            <w:tcW w:w="227" w:type="pct"/>
          </w:tcPr>
          <w:p w:rsidR="009A7EE9" w:rsidRPr="006807F6" w:rsidRDefault="009A7EE9" w:rsidP="009A7EE9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1.</w:t>
            </w:r>
          </w:p>
        </w:tc>
        <w:tc>
          <w:tcPr>
            <w:tcW w:w="1565" w:type="pct"/>
          </w:tcPr>
          <w:p w:rsidR="009A7EE9" w:rsidRPr="006807F6" w:rsidRDefault="009A7EE9" w:rsidP="009A7EE9">
            <w:pPr>
              <w:pStyle w:val="naiskr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Pamatojums</w:t>
            </w:r>
          </w:p>
        </w:tc>
        <w:tc>
          <w:tcPr>
            <w:tcW w:w="3207" w:type="pct"/>
          </w:tcPr>
          <w:p w:rsidR="009A7EE9" w:rsidRDefault="00156E18" w:rsidP="00CC1E07">
            <w:pPr>
              <w:pStyle w:val="Heading3"/>
              <w:shd w:val="clear" w:color="auto" w:fill="FFFFFF"/>
              <w:spacing w:before="0" w:beforeAutospacing="0" w:after="0" w:afterAutospacing="0"/>
              <w:ind w:right="57" w:firstLine="385"/>
              <w:jc w:val="both"/>
              <w:rPr>
                <w:b w:val="0"/>
                <w:sz w:val="26"/>
                <w:szCs w:val="26"/>
              </w:rPr>
            </w:pPr>
            <w:r w:rsidRPr="00CC1E07">
              <w:rPr>
                <w:b w:val="0"/>
                <w:sz w:val="26"/>
                <w:szCs w:val="26"/>
              </w:rPr>
              <w:t>L</w:t>
            </w:r>
            <w:r w:rsidR="009A7EE9" w:rsidRPr="00CC1E07">
              <w:rPr>
                <w:b w:val="0"/>
                <w:sz w:val="26"/>
                <w:szCs w:val="26"/>
              </w:rPr>
              <w:t xml:space="preserve">ikuma „Par budžetu </w:t>
            </w:r>
            <w:r w:rsidR="00CC1E07" w:rsidRPr="00CC1E07">
              <w:rPr>
                <w:b w:val="0"/>
                <w:sz w:val="26"/>
                <w:szCs w:val="26"/>
              </w:rPr>
              <w:t>un finanšu vadību” 9</w:t>
            </w:r>
            <w:r w:rsidR="009A7EE9" w:rsidRPr="00CC1E07">
              <w:rPr>
                <w:b w:val="0"/>
                <w:sz w:val="26"/>
                <w:szCs w:val="26"/>
              </w:rPr>
              <w:t>. pant</w:t>
            </w:r>
            <w:r w:rsidR="00CC1E07">
              <w:rPr>
                <w:b w:val="0"/>
                <w:sz w:val="26"/>
                <w:szCs w:val="26"/>
              </w:rPr>
              <w:t>a</w:t>
            </w:r>
            <w:r w:rsidR="00CC1E07" w:rsidRPr="00CC1E07">
              <w:rPr>
                <w:b w:val="0"/>
                <w:sz w:val="26"/>
                <w:szCs w:val="26"/>
              </w:rPr>
              <w:t xml:space="preserve"> </w:t>
            </w:r>
            <w:r w:rsidR="00B7663C">
              <w:rPr>
                <w:b w:val="0"/>
                <w:sz w:val="26"/>
                <w:szCs w:val="26"/>
              </w:rPr>
              <w:t xml:space="preserve">piecpadsmitā </w:t>
            </w:r>
            <w:r w:rsidR="00CC1E07" w:rsidRPr="00CC1E07">
              <w:rPr>
                <w:b w:val="0"/>
                <w:sz w:val="26"/>
                <w:szCs w:val="26"/>
              </w:rPr>
              <w:t>daļa</w:t>
            </w:r>
            <w:r w:rsidR="00B7663C">
              <w:rPr>
                <w:b w:val="0"/>
                <w:sz w:val="26"/>
                <w:szCs w:val="26"/>
              </w:rPr>
              <w:t xml:space="preserve">, </w:t>
            </w:r>
            <w:r w:rsidR="00B03683">
              <w:rPr>
                <w:b w:val="0"/>
                <w:sz w:val="26"/>
                <w:szCs w:val="26"/>
              </w:rPr>
              <w:t>kas paredz f</w:t>
            </w:r>
            <w:r w:rsidRPr="00CC1E07">
              <w:rPr>
                <w:b w:val="0"/>
                <w:sz w:val="26"/>
                <w:szCs w:val="26"/>
              </w:rPr>
              <w:t xml:space="preserve">inanšu ministram tiesības </w:t>
            </w:r>
            <w:r w:rsidR="00CC1E07" w:rsidRPr="00CC1E07">
              <w:rPr>
                <w:b w:val="0"/>
                <w:sz w:val="26"/>
                <w:szCs w:val="26"/>
              </w:rPr>
              <w:t>veikt apropriācijas pārdali starp ministrijām un citām centrālajām valsts iestādēm, tai skaitā funkciju pārdales vai strukturālo reformu gadījumos, ja ir pieņemts Ministru kabineta lēmums un Saeima ar at</w:t>
            </w:r>
            <w:r w:rsidR="00CC1E07">
              <w:rPr>
                <w:b w:val="0"/>
                <w:sz w:val="26"/>
                <w:szCs w:val="26"/>
              </w:rPr>
              <w:t>sevišķu lēmumu piekritusi šādai</w:t>
            </w:r>
            <w:r w:rsidR="00BD7B24">
              <w:rPr>
                <w:b w:val="0"/>
                <w:sz w:val="26"/>
                <w:szCs w:val="26"/>
              </w:rPr>
              <w:t xml:space="preserve"> pārdalei</w:t>
            </w:r>
            <w:r w:rsidR="00CC1E07">
              <w:rPr>
                <w:b w:val="0"/>
                <w:sz w:val="26"/>
                <w:szCs w:val="26"/>
              </w:rPr>
              <w:t>.</w:t>
            </w:r>
          </w:p>
          <w:p w:rsidR="00CC1E07" w:rsidRPr="00CC1E07" w:rsidRDefault="00CC1E07" w:rsidP="00CC1E07">
            <w:pPr>
              <w:pStyle w:val="Heading3"/>
              <w:shd w:val="clear" w:color="auto" w:fill="FFFFFF"/>
              <w:spacing w:before="0" w:beforeAutospacing="0" w:after="0" w:afterAutospacing="0"/>
              <w:ind w:right="57" w:firstLine="385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9A7EE9" w:rsidRPr="006807F6" w:rsidTr="00A54AB7">
        <w:trPr>
          <w:trHeight w:val="472"/>
        </w:trPr>
        <w:tc>
          <w:tcPr>
            <w:tcW w:w="227" w:type="pct"/>
          </w:tcPr>
          <w:p w:rsidR="009A7EE9" w:rsidRPr="006807F6" w:rsidRDefault="009A7EE9" w:rsidP="009A7EE9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2.</w:t>
            </w:r>
          </w:p>
          <w:p w:rsidR="009A7EE9" w:rsidRPr="006807F6" w:rsidRDefault="009A7EE9" w:rsidP="009A7EE9">
            <w:pPr>
              <w:rPr>
                <w:sz w:val="26"/>
                <w:szCs w:val="26"/>
              </w:rPr>
            </w:pPr>
          </w:p>
          <w:p w:rsidR="009A7EE9" w:rsidRPr="006807F6" w:rsidRDefault="009A7EE9" w:rsidP="009A7EE9">
            <w:pPr>
              <w:rPr>
                <w:sz w:val="26"/>
                <w:szCs w:val="26"/>
              </w:rPr>
            </w:pPr>
          </w:p>
          <w:p w:rsidR="009A7EE9" w:rsidRPr="006807F6" w:rsidRDefault="009A7EE9" w:rsidP="009A7EE9">
            <w:pPr>
              <w:rPr>
                <w:sz w:val="26"/>
                <w:szCs w:val="26"/>
              </w:rPr>
            </w:pPr>
          </w:p>
          <w:p w:rsidR="009A7EE9" w:rsidRPr="006807F6" w:rsidRDefault="009A7EE9" w:rsidP="009A7EE9">
            <w:pPr>
              <w:rPr>
                <w:sz w:val="26"/>
                <w:szCs w:val="26"/>
              </w:rPr>
            </w:pPr>
          </w:p>
          <w:p w:rsidR="009A7EE9" w:rsidRPr="006807F6" w:rsidRDefault="009A7EE9" w:rsidP="009A7EE9">
            <w:pPr>
              <w:rPr>
                <w:sz w:val="26"/>
                <w:szCs w:val="26"/>
              </w:rPr>
            </w:pPr>
          </w:p>
          <w:p w:rsidR="009A7EE9" w:rsidRPr="006807F6" w:rsidRDefault="009A7EE9" w:rsidP="009A7EE9">
            <w:pPr>
              <w:rPr>
                <w:sz w:val="26"/>
                <w:szCs w:val="26"/>
              </w:rPr>
            </w:pPr>
          </w:p>
          <w:p w:rsidR="009A7EE9" w:rsidRPr="006807F6" w:rsidRDefault="009A7EE9" w:rsidP="009A7EE9">
            <w:pPr>
              <w:rPr>
                <w:sz w:val="26"/>
                <w:szCs w:val="26"/>
              </w:rPr>
            </w:pPr>
          </w:p>
        </w:tc>
        <w:tc>
          <w:tcPr>
            <w:tcW w:w="1565" w:type="pct"/>
          </w:tcPr>
          <w:p w:rsidR="009A7EE9" w:rsidRPr="006807F6" w:rsidRDefault="009A7EE9" w:rsidP="009A7EE9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Pašreizējā situācija un problēmas, kuru risināšanai tiesību akta projekts izstrādāts, tiesiskā regulējuma mērķis un būtība</w:t>
            </w:r>
          </w:p>
          <w:p w:rsidR="009A7EE9" w:rsidRPr="006807F6" w:rsidRDefault="009A7EE9" w:rsidP="009A7EE9">
            <w:pPr>
              <w:jc w:val="center"/>
              <w:rPr>
                <w:sz w:val="26"/>
                <w:szCs w:val="26"/>
              </w:rPr>
            </w:pPr>
          </w:p>
          <w:p w:rsidR="009A7EE9" w:rsidRPr="006807F6" w:rsidRDefault="009A7EE9" w:rsidP="009A7EE9">
            <w:pPr>
              <w:rPr>
                <w:sz w:val="26"/>
                <w:szCs w:val="26"/>
              </w:rPr>
            </w:pPr>
          </w:p>
          <w:p w:rsidR="009A7EE9" w:rsidRPr="006807F6" w:rsidRDefault="009A7EE9" w:rsidP="009A7EE9">
            <w:pPr>
              <w:rPr>
                <w:sz w:val="26"/>
                <w:szCs w:val="26"/>
              </w:rPr>
            </w:pPr>
          </w:p>
        </w:tc>
        <w:tc>
          <w:tcPr>
            <w:tcW w:w="3207" w:type="pct"/>
          </w:tcPr>
          <w:p w:rsidR="00156E18" w:rsidRDefault="00BD7B24" w:rsidP="00156E18">
            <w:pPr>
              <w:autoSpaceDE w:val="0"/>
              <w:autoSpaceDN w:val="0"/>
              <w:adjustRightInd w:val="0"/>
              <w:ind w:firstLine="38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Finanšu ministrija saņēma Latvijas Republikas </w:t>
            </w:r>
            <w:r w:rsidR="00156E18">
              <w:rPr>
                <w:rFonts w:eastAsiaTheme="minorHAnsi"/>
                <w:sz w:val="26"/>
                <w:szCs w:val="26"/>
                <w:lang w:eastAsia="en-US"/>
              </w:rPr>
              <w:t xml:space="preserve">Saeimas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priekšsēdētajas 2015</w:t>
            </w:r>
            <w:r w:rsidR="00156E18">
              <w:rPr>
                <w:rFonts w:eastAsiaTheme="minorHAnsi"/>
                <w:sz w:val="26"/>
                <w:szCs w:val="26"/>
                <w:lang w:eastAsia="en-US"/>
              </w:rPr>
              <w:t>.gada 3.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novembra</w:t>
            </w:r>
            <w:r w:rsidR="00156E18">
              <w:rPr>
                <w:rFonts w:eastAsiaTheme="minorHAnsi"/>
                <w:sz w:val="26"/>
                <w:szCs w:val="26"/>
                <w:lang w:eastAsia="en-US"/>
              </w:rPr>
              <w:t xml:space="preserve"> vēstuli Nr.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142.1-</w:t>
            </w:r>
            <w:r w:rsidR="00156E18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39-</w:t>
            </w:r>
            <w:r w:rsidR="00156E18">
              <w:rPr>
                <w:rFonts w:eastAsiaTheme="minorHAnsi"/>
                <w:sz w:val="26"/>
                <w:szCs w:val="26"/>
                <w:lang w:eastAsia="en-US"/>
              </w:rPr>
              <w:t>12/1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5, ar kuru tika </w:t>
            </w:r>
            <w:r w:rsidR="00156E18">
              <w:rPr>
                <w:rFonts w:eastAsiaTheme="minorHAnsi"/>
                <w:sz w:val="26"/>
                <w:szCs w:val="26"/>
                <w:lang w:eastAsia="en-US"/>
              </w:rPr>
              <w:t>nosūtī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ts</w:t>
            </w:r>
            <w:r w:rsidR="00156E18">
              <w:rPr>
                <w:rFonts w:eastAsiaTheme="minorHAnsi"/>
                <w:sz w:val="26"/>
                <w:szCs w:val="26"/>
                <w:lang w:eastAsia="en-US"/>
              </w:rPr>
              <w:t xml:space="preserve"> Latvijas R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epublikas Saeimas Prezidija 2015</w:t>
            </w:r>
            <w:r w:rsidR="00156E18">
              <w:rPr>
                <w:rFonts w:eastAsiaTheme="minorHAnsi"/>
                <w:sz w:val="26"/>
                <w:szCs w:val="26"/>
                <w:lang w:eastAsia="en-US"/>
              </w:rPr>
              <w:t xml:space="preserve">.gada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156E18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novembra lēmums</w:t>
            </w:r>
            <w:r w:rsidR="00156E18">
              <w:rPr>
                <w:rFonts w:eastAsiaTheme="minorHAnsi"/>
                <w:sz w:val="26"/>
                <w:szCs w:val="26"/>
                <w:lang w:eastAsia="en-US"/>
              </w:rPr>
              <w:t xml:space="preserve"> “Par  Latvijas Republikas Saeimas 201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156E18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un 2016.</w:t>
            </w:r>
            <w:r w:rsidR="00156E18">
              <w:rPr>
                <w:rFonts w:eastAsiaTheme="minorHAnsi"/>
                <w:sz w:val="26"/>
                <w:szCs w:val="26"/>
                <w:lang w:eastAsia="en-US"/>
              </w:rPr>
              <w:t xml:space="preserve">gada budžeta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korekcijām</w:t>
            </w:r>
            <w:r w:rsidR="00156E18">
              <w:rPr>
                <w:rFonts w:eastAsiaTheme="minorHAnsi"/>
                <w:sz w:val="26"/>
                <w:szCs w:val="26"/>
                <w:lang w:eastAsia="en-US"/>
              </w:rPr>
              <w:t>”, kas paredz samazināt Sa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eimas 2015</w:t>
            </w:r>
            <w:r w:rsidR="00156E18">
              <w:rPr>
                <w:rFonts w:eastAsiaTheme="minorHAnsi"/>
                <w:sz w:val="26"/>
                <w:szCs w:val="26"/>
                <w:lang w:eastAsia="en-US"/>
              </w:rPr>
              <w:t xml:space="preserve">.gada budžeta programmā 01.00.00 “Saeimas darbības nodrošināšana” dotāciju no vispārējiem ieņēmumiem un atbilstoši izdevumus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3 972 666</w:t>
            </w:r>
            <w:r w:rsidR="00156E1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156E18" w:rsidRPr="00156E18">
              <w:rPr>
                <w:rFonts w:eastAsiaTheme="minorHAnsi"/>
                <w:i/>
                <w:sz w:val="26"/>
                <w:szCs w:val="26"/>
                <w:lang w:eastAsia="en-US"/>
              </w:rPr>
              <w:t>euro</w:t>
            </w:r>
            <w:proofErr w:type="spellEnd"/>
            <w:r w:rsidR="00156E18">
              <w:rPr>
                <w:rFonts w:eastAsiaTheme="minorHAnsi"/>
                <w:sz w:val="26"/>
                <w:szCs w:val="26"/>
                <w:lang w:eastAsia="en-US"/>
              </w:rPr>
              <w:t xml:space="preserve"> apmērā sakarā ar ēkas Jēkaba ielā 6/8 Rīgā kapitālā remonta un rekonstrukcijas darbu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apjoma un</w:t>
            </w:r>
            <w:r w:rsidR="00156E18">
              <w:rPr>
                <w:rFonts w:eastAsiaTheme="minorHAnsi"/>
                <w:sz w:val="26"/>
                <w:szCs w:val="26"/>
                <w:lang w:eastAsia="en-US"/>
              </w:rPr>
              <w:t xml:space="preserve"> termiņa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izmaiņām</w:t>
            </w:r>
            <w:r w:rsidR="00156E18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156E18" w:rsidRDefault="00156E18" w:rsidP="00156E18">
            <w:pPr>
              <w:autoSpaceDE w:val="0"/>
              <w:autoSpaceDN w:val="0"/>
              <w:adjustRightInd w:val="0"/>
              <w:ind w:firstLine="385"/>
              <w:jc w:val="both"/>
              <w:rPr>
                <w:bCs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Minētos līdzekļus paredzēts pārdalīt uz </w:t>
            </w:r>
            <w:r w:rsidR="00BD7B24">
              <w:rPr>
                <w:sz w:val="26"/>
                <w:szCs w:val="26"/>
              </w:rPr>
              <w:t xml:space="preserve">budžeta resora </w:t>
            </w:r>
            <w:r w:rsidRPr="00156E18">
              <w:rPr>
                <w:sz w:val="26"/>
                <w:szCs w:val="26"/>
              </w:rPr>
              <w:t>“</w:t>
            </w:r>
            <w:r w:rsidR="00BD7B24">
              <w:rPr>
                <w:sz w:val="26"/>
                <w:szCs w:val="26"/>
              </w:rPr>
              <w:t>74.</w:t>
            </w:r>
            <w:r w:rsidRPr="00156E18">
              <w:rPr>
                <w:sz w:val="26"/>
                <w:szCs w:val="26"/>
              </w:rPr>
              <w:t>Gadskārtējā valsts budžeta izpildes procesā pārdalāmais finansējums” programmu 02.00.00 “Līdzekļi neparedzētiem gadījumiem</w:t>
            </w:r>
            <w:r w:rsidRPr="0005038A">
              <w:rPr>
                <w:sz w:val="26"/>
                <w:szCs w:val="26"/>
              </w:rPr>
              <w:t xml:space="preserve">”, lai no tās </w:t>
            </w:r>
            <w:r w:rsidR="00335619" w:rsidRPr="0005038A">
              <w:rPr>
                <w:sz w:val="26"/>
                <w:szCs w:val="26"/>
              </w:rPr>
              <w:t xml:space="preserve">nepieciešamības gadījumā </w:t>
            </w:r>
            <w:r w:rsidRPr="0005038A">
              <w:rPr>
                <w:sz w:val="26"/>
                <w:szCs w:val="26"/>
              </w:rPr>
              <w:t>varētu piešķirt līdzekļus pasākumiem Ministru kabineta 2009.gada 22.decembra noteikumos Nr.1644 “</w:t>
            </w:r>
            <w:r w:rsidRPr="0005038A">
              <w:rPr>
                <w:bCs/>
                <w:sz w:val="26"/>
                <w:szCs w:val="26"/>
              </w:rPr>
              <w:t>Kārtība, kādā pieprasa un izlieto budžeta programmas “Līdzekļi neparedzētiem gadījumiem” līdzekļus” noteiktajā kārtībā.</w:t>
            </w:r>
          </w:p>
          <w:p w:rsidR="00156E18" w:rsidRPr="00156E18" w:rsidRDefault="00156E18" w:rsidP="00156E18">
            <w:pPr>
              <w:autoSpaceDE w:val="0"/>
              <w:autoSpaceDN w:val="0"/>
              <w:adjustRightInd w:val="0"/>
              <w:ind w:firstLine="385"/>
              <w:jc w:val="both"/>
              <w:rPr>
                <w:bCs/>
                <w:sz w:val="26"/>
                <w:szCs w:val="26"/>
              </w:rPr>
            </w:pPr>
          </w:p>
        </w:tc>
      </w:tr>
      <w:tr w:rsidR="009A7EE9" w:rsidRPr="006807F6" w:rsidTr="00A54AB7">
        <w:trPr>
          <w:trHeight w:val="476"/>
        </w:trPr>
        <w:tc>
          <w:tcPr>
            <w:tcW w:w="227" w:type="pct"/>
          </w:tcPr>
          <w:p w:rsidR="009A7EE9" w:rsidRPr="006807F6" w:rsidRDefault="009A7EE9" w:rsidP="009A7EE9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3.</w:t>
            </w:r>
          </w:p>
        </w:tc>
        <w:tc>
          <w:tcPr>
            <w:tcW w:w="1565" w:type="pct"/>
          </w:tcPr>
          <w:p w:rsidR="009A7EE9" w:rsidRPr="006807F6" w:rsidRDefault="009A7EE9" w:rsidP="009A7EE9">
            <w:pPr>
              <w:pStyle w:val="naiskr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3207" w:type="pct"/>
          </w:tcPr>
          <w:p w:rsidR="009A7EE9" w:rsidRPr="006807F6" w:rsidRDefault="00156E18" w:rsidP="009A7EE9">
            <w:pPr>
              <w:ind w:left="57" w:right="57"/>
              <w:rPr>
                <w:b/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Nav.</w:t>
            </w:r>
          </w:p>
        </w:tc>
      </w:tr>
      <w:tr w:rsidR="009A7EE9" w:rsidRPr="006807F6" w:rsidTr="00A54AB7">
        <w:tc>
          <w:tcPr>
            <w:tcW w:w="227" w:type="pct"/>
          </w:tcPr>
          <w:p w:rsidR="009A7EE9" w:rsidRPr="006807F6" w:rsidRDefault="009A7EE9" w:rsidP="009A7EE9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4.</w:t>
            </w:r>
          </w:p>
        </w:tc>
        <w:tc>
          <w:tcPr>
            <w:tcW w:w="1565" w:type="pct"/>
          </w:tcPr>
          <w:p w:rsidR="009A7EE9" w:rsidRPr="006807F6" w:rsidRDefault="009A7EE9" w:rsidP="009A7EE9">
            <w:pPr>
              <w:pStyle w:val="naiskr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Cita informācija</w:t>
            </w:r>
          </w:p>
        </w:tc>
        <w:tc>
          <w:tcPr>
            <w:tcW w:w="3207" w:type="pct"/>
          </w:tcPr>
          <w:p w:rsidR="009A7EE9" w:rsidRPr="006807F6" w:rsidRDefault="009A7EE9" w:rsidP="009A7EE9">
            <w:pPr>
              <w:pStyle w:val="naiskr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Nav.</w:t>
            </w:r>
          </w:p>
        </w:tc>
      </w:tr>
    </w:tbl>
    <w:p w:rsidR="009A7EE9" w:rsidRDefault="009A7EE9" w:rsidP="009A7EE9">
      <w:pPr>
        <w:rPr>
          <w:sz w:val="26"/>
          <w:szCs w:val="26"/>
        </w:rPr>
      </w:pPr>
    </w:p>
    <w:p w:rsidR="009A7EE9" w:rsidRPr="006807F6" w:rsidRDefault="009A7EE9" w:rsidP="009A7EE9">
      <w:pPr>
        <w:rPr>
          <w:sz w:val="26"/>
          <w:szCs w:val="26"/>
        </w:rPr>
      </w:pP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1258"/>
        <w:gridCol w:w="1280"/>
        <w:gridCol w:w="1227"/>
        <w:gridCol w:w="1227"/>
        <w:gridCol w:w="1227"/>
      </w:tblGrid>
      <w:tr w:rsidR="009A7EE9" w:rsidRPr="006807F6" w:rsidTr="00A54AB7">
        <w:trPr>
          <w:trHeight w:val="361"/>
          <w:jc w:val="center"/>
        </w:trPr>
        <w:tc>
          <w:tcPr>
            <w:tcW w:w="9257" w:type="dxa"/>
            <w:gridSpan w:val="6"/>
            <w:vAlign w:val="center"/>
          </w:tcPr>
          <w:p w:rsidR="009A7EE9" w:rsidRPr="006807F6" w:rsidRDefault="009A7EE9" w:rsidP="009A7EE9">
            <w:pPr>
              <w:pStyle w:val="naisnod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br w:type="page"/>
            </w:r>
            <w:r w:rsidRPr="006807F6">
              <w:rPr>
                <w:b/>
                <w:sz w:val="26"/>
                <w:szCs w:val="26"/>
              </w:rPr>
              <w:t>III. Tiesību akta projekta ietekme uz valsts budžetu un pašvaldību budžetiem</w:t>
            </w:r>
          </w:p>
        </w:tc>
      </w:tr>
      <w:tr w:rsidR="009A7EE9" w:rsidRPr="006807F6" w:rsidTr="00A54AB7">
        <w:trPr>
          <w:jc w:val="center"/>
        </w:trPr>
        <w:tc>
          <w:tcPr>
            <w:tcW w:w="3199" w:type="dxa"/>
            <w:vMerge w:val="restart"/>
            <w:vAlign w:val="center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6807F6">
              <w:rPr>
                <w:b/>
                <w:sz w:val="26"/>
                <w:szCs w:val="26"/>
              </w:rPr>
              <w:t>Rādītāji</w:t>
            </w:r>
          </w:p>
        </w:tc>
        <w:tc>
          <w:tcPr>
            <w:tcW w:w="2563" w:type="dxa"/>
            <w:gridSpan w:val="2"/>
            <w:vMerge w:val="restart"/>
            <w:vAlign w:val="center"/>
          </w:tcPr>
          <w:p w:rsidR="009A7EE9" w:rsidRPr="006807F6" w:rsidRDefault="00BD7B24" w:rsidP="009A7EE9">
            <w:pPr>
              <w:pStyle w:val="naisf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3495" w:type="dxa"/>
            <w:gridSpan w:val="3"/>
            <w:vAlign w:val="center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Turpmākie trīs gadi (</w:t>
            </w:r>
            <w:proofErr w:type="spellStart"/>
            <w:r w:rsidRPr="006807F6">
              <w:rPr>
                <w:i/>
                <w:sz w:val="26"/>
                <w:szCs w:val="26"/>
              </w:rPr>
              <w:t>euro</w:t>
            </w:r>
            <w:proofErr w:type="spellEnd"/>
            <w:r w:rsidRPr="006807F6">
              <w:rPr>
                <w:sz w:val="26"/>
                <w:szCs w:val="26"/>
              </w:rPr>
              <w:t>)</w:t>
            </w:r>
          </w:p>
        </w:tc>
      </w:tr>
      <w:tr w:rsidR="009A7EE9" w:rsidRPr="006807F6" w:rsidTr="00A54AB7">
        <w:trPr>
          <w:jc w:val="center"/>
        </w:trPr>
        <w:tc>
          <w:tcPr>
            <w:tcW w:w="3199" w:type="dxa"/>
            <w:vMerge/>
            <w:vAlign w:val="center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563" w:type="dxa"/>
            <w:gridSpan w:val="2"/>
            <w:vMerge/>
            <w:vAlign w:val="center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50" w:type="dxa"/>
            <w:vAlign w:val="center"/>
          </w:tcPr>
          <w:p w:rsidR="009A7EE9" w:rsidRPr="006807F6" w:rsidRDefault="009A7EE9" w:rsidP="00BD7B24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6807F6">
              <w:rPr>
                <w:b/>
                <w:bCs/>
                <w:sz w:val="26"/>
                <w:szCs w:val="26"/>
              </w:rPr>
              <w:t>201</w:t>
            </w:r>
            <w:r w:rsidR="00BD7B24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95" w:type="dxa"/>
            <w:vAlign w:val="center"/>
          </w:tcPr>
          <w:p w:rsidR="009A7EE9" w:rsidRPr="006807F6" w:rsidRDefault="009A7EE9" w:rsidP="00BD7B24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6807F6">
              <w:rPr>
                <w:b/>
                <w:bCs/>
                <w:sz w:val="26"/>
                <w:szCs w:val="26"/>
              </w:rPr>
              <w:t>201</w:t>
            </w:r>
            <w:r w:rsidR="00BD7B24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150" w:type="dxa"/>
            <w:vAlign w:val="center"/>
          </w:tcPr>
          <w:p w:rsidR="009A7EE9" w:rsidRPr="006807F6" w:rsidRDefault="009A7EE9" w:rsidP="00BD7B24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6807F6">
              <w:rPr>
                <w:b/>
                <w:bCs/>
                <w:sz w:val="26"/>
                <w:szCs w:val="26"/>
              </w:rPr>
              <w:t>201</w:t>
            </w:r>
            <w:r w:rsidR="00BD7B24"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9A7EE9" w:rsidRPr="006807F6" w:rsidTr="00A54AB7">
        <w:trPr>
          <w:jc w:val="center"/>
        </w:trPr>
        <w:tc>
          <w:tcPr>
            <w:tcW w:w="3199" w:type="dxa"/>
            <w:vMerge/>
            <w:vAlign w:val="center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saskaņā ar valsts budžetu kārtējam gadam</w:t>
            </w:r>
          </w:p>
        </w:tc>
        <w:tc>
          <w:tcPr>
            <w:tcW w:w="1287" w:type="dxa"/>
            <w:vAlign w:val="center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 xml:space="preserve">izmaiņas kārtējā gadā, salīdzinot ar budžetu </w:t>
            </w:r>
            <w:r w:rsidRPr="006807F6">
              <w:rPr>
                <w:sz w:val="26"/>
                <w:szCs w:val="26"/>
              </w:rPr>
              <w:lastRenderedPageBreak/>
              <w:t>kārtējam gadam</w:t>
            </w:r>
          </w:p>
        </w:tc>
        <w:tc>
          <w:tcPr>
            <w:tcW w:w="1150" w:type="dxa"/>
            <w:vAlign w:val="center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lastRenderedPageBreak/>
              <w:t>izmaiņas, salīdzinot ar kārtējo (n) gadu</w:t>
            </w:r>
          </w:p>
        </w:tc>
        <w:tc>
          <w:tcPr>
            <w:tcW w:w="1195" w:type="dxa"/>
            <w:vAlign w:val="center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izmaiņas, salīdzinot ar kārtējo (n) gadu</w:t>
            </w:r>
          </w:p>
        </w:tc>
        <w:tc>
          <w:tcPr>
            <w:tcW w:w="1150" w:type="dxa"/>
            <w:vAlign w:val="center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izmaiņas, salīdzinot ar kārtējo (n) gadu</w:t>
            </w:r>
          </w:p>
        </w:tc>
      </w:tr>
      <w:tr w:rsidR="009A7EE9" w:rsidRPr="006807F6" w:rsidTr="00A54AB7">
        <w:trPr>
          <w:jc w:val="center"/>
        </w:trPr>
        <w:tc>
          <w:tcPr>
            <w:tcW w:w="3199" w:type="dxa"/>
            <w:vAlign w:val="center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6807F6"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6807F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87" w:type="dxa"/>
            <w:vAlign w:val="center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6807F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150" w:type="dxa"/>
            <w:vAlign w:val="center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6807F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95" w:type="dxa"/>
            <w:vAlign w:val="center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6807F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50" w:type="dxa"/>
            <w:vAlign w:val="center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6807F6">
              <w:rPr>
                <w:bCs/>
                <w:sz w:val="26"/>
                <w:szCs w:val="26"/>
              </w:rPr>
              <w:t>6</w:t>
            </w:r>
          </w:p>
        </w:tc>
      </w:tr>
      <w:tr w:rsidR="009A7EE9" w:rsidRPr="006807F6" w:rsidTr="00A54AB7">
        <w:trPr>
          <w:jc w:val="center"/>
        </w:trPr>
        <w:tc>
          <w:tcPr>
            <w:tcW w:w="3199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1. Budžeta ieņēmumi:</w:t>
            </w:r>
          </w:p>
        </w:tc>
        <w:tc>
          <w:tcPr>
            <w:tcW w:w="1276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287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</w:tr>
      <w:tr w:rsidR="009A7EE9" w:rsidRPr="006807F6" w:rsidTr="00A54AB7">
        <w:trPr>
          <w:jc w:val="center"/>
        </w:trPr>
        <w:tc>
          <w:tcPr>
            <w:tcW w:w="3199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1.1. valsts pamatbudžets, tai skaitā ieņēmumi no maksas pakalpojumiem un citi pašu ieņēmumi</w:t>
            </w:r>
          </w:p>
        </w:tc>
        <w:tc>
          <w:tcPr>
            <w:tcW w:w="1276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287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</w:tr>
      <w:tr w:rsidR="009A7EE9" w:rsidRPr="006807F6" w:rsidTr="00A54AB7">
        <w:trPr>
          <w:jc w:val="center"/>
        </w:trPr>
        <w:tc>
          <w:tcPr>
            <w:tcW w:w="3199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1.2. valsts speciālais budžets</w:t>
            </w:r>
          </w:p>
        </w:tc>
        <w:tc>
          <w:tcPr>
            <w:tcW w:w="1276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287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</w:tr>
      <w:tr w:rsidR="009A7EE9" w:rsidRPr="006807F6" w:rsidTr="00A54AB7">
        <w:trPr>
          <w:jc w:val="center"/>
        </w:trPr>
        <w:tc>
          <w:tcPr>
            <w:tcW w:w="3199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1.3. pašvaldību budžets</w:t>
            </w:r>
          </w:p>
        </w:tc>
        <w:tc>
          <w:tcPr>
            <w:tcW w:w="1276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287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</w:tr>
      <w:tr w:rsidR="009A7EE9" w:rsidRPr="006807F6" w:rsidTr="00A54AB7">
        <w:trPr>
          <w:jc w:val="center"/>
        </w:trPr>
        <w:tc>
          <w:tcPr>
            <w:tcW w:w="3199" w:type="dxa"/>
          </w:tcPr>
          <w:p w:rsidR="009A7EE9" w:rsidRPr="006807F6" w:rsidRDefault="009A7EE9" w:rsidP="009A7EE9">
            <w:pPr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2. Budžeta izdevumi:</w:t>
            </w:r>
          </w:p>
        </w:tc>
        <w:tc>
          <w:tcPr>
            <w:tcW w:w="1276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287" w:type="dxa"/>
          </w:tcPr>
          <w:p w:rsidR="009A7EE9" w:rsidRPr="006807F6" w:rsidRDefault="005437C3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9A7EE9" w:rsidRPr="006807F6" w:rsidTr="00A54AB7">
        <w:trPr>
          <w:jc w:val="center"/>
        </w:trPr>
        <w:tc>
          <w:tcPr>
            <w:tcW w:w="3199" w:type="dxa"/>
          </w:tcPr>
          <w:p w:rsidR="009A7EE9" w:rsidRPr="006807F6" w:rsidRDefault="009A7EE9" w:rsidP="009A7EE9">
            <w:pPr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2.1. valsts pamatbudžets</w:t>
            </w:r>
          </w:p>
        </w:tc>
        <w:tc>
          <w:tcPr>
            <w:tcW w:w="1276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287" w:type="dxa"/>
          </w:tcPr>
          <w:p w:rsidR="009A7EE9" w:rsidRPr="006807F6" w:rsidRDefault="005437C3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9A7EE9" w:rsidRPr="006807F6" w:rsidTr="00A54AB7">
        <w:trPr>
          <w:jc w:val="center"/>
        </w:trPr>
        <w:tc>
          <w:tcPr>
            <w:tcW w:w="3199" w:type="dxa"/>
          </w:tcPr>
          <w:p w:rsidR="009A7EE9" w:rsidRPr="006807F6" w:rsidRDefault="009A7EE9" w:rsidP="009A7EE9">
            <w:pPr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2.2. valsts speciālais budžets</w:t>
            </w:r>
          </w:p>
        </w:tc>
        <w:tc>
          <w:tcPr>
            <w:tcW w:w="1276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287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</w:tr>
      <w:tr w:rsidR="009A7EE9" w:rsidRPr="006807F6" w:rsidTr="00A54AB7">
        <w:trPr>
          <w:jc w:val="center"/>
        </w:trPr>
        <w:tc>
          <w:tcPr>
            <w:tcW w:w="3199" w:type="dxa"/>
          </w:tcPr>
          <w:p w:rsidR="009A7EE9" w:rsidRPr="006807F6" w:rsidRDefault="009A7EE9" w:rsidP="009A7EE9">
            <w:pPr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 xml:space="preserve">2.3. pašvaldību budžets </w:t>
            </w:r>
          </w:p>
        </w:tc>
        <w:tc>
          <w:tcPr>
            <w:tcW w:w="1276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287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</w:tr>
      <w:tr w:rsidR="009A7EE9" w:rsidRPr="006807F6" w:rsidTr="00A54AB7">
        <w:trPr>
          <w:jc w:val="center"/>
        </w:trPr>
        <w:tc>
          <w:tcPr>
            <w:tcW w:w="3199" w:type="dxa"/>
          </w:tcPr>
          <w:p w:rsidR="009A7EE9" w:rsidRPr="006807F6" w:rsidRDefault="009A7EE9" w:rsidP="009A7EE9">
            <w:pPr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3. Finansiālā ietekme: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287" w:type="dxa"/>
          </w:tcPr>
          <w:p w:rsidR="009A7EE9" w:rsidRPr="006807F6" w:rsidRDefault="005437C3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9A7EE9" w:rsidRPr="006807F6" w:rsidRDefault="009A7EE9" w:rsidP="009A7EE9">
            <w:pPr>
              <w:rPr>
                <w:sz w:val="26"/>
                <w:szCs w:val="26"/>
              </w:rPr>
            </w:pPr>
          </w:p>
        </w:tc>
        <w:tc>
          <w:tcPr>
            <w:tcW w:w="1150" w:type="dxa"/>
          </w:tcPr>
          <w:p w:rsidR="009A7EE9" w:rsidRPr="006807F6" w:rsidRDefault="009A7EE9" w:rsidP="009A7EE9">
            <w:pPr>
              <w:rPr>
                <w:sz w:val="26"/>
                <w:szCs w:val="26"/>
              </w:rPr>
            </w:pPr>
          </w:p>
        </w:tc>
      </w:tr>
      <w:tr w:rsidR="009A7EE9" w:rsidRPr="006807F6" w:rsidTr="00A54AB7">
        <w:trPr>
          <w:jc w:val="center"/>
        </w:trPr>
        <w:tc>
          <w:tcPr>
            <w:tcW w:w="3199" w:type="dxa"/>
          </w:tcPr>
          <w:p w:rsidR="009A7EE9" w:rsidRPr="006807F6" w:rsidRDefault="009A7EE9" w:rsidP="009A7EE9">
            <w:pPr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3.1. valsts pamatbudžets</w:t>
            </w:r>
          </w:p>
        </w:tc>
        <w:tc>
          <w:tcPr>
            <w:tcW w:w="1276" w:type="dxa"/>
            <w:shd w:val="clear" w:color="auto" w:fill="auto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287" w:type="dxa"/>
          </w:tcPr>
          <w:p w:rsidR="009A7EE9" w:rsidRPr="006807F6" w:rsidRDefault="005437C3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9A7EE9" w:rsidRPr="006807F6" w:rsidRDefault="009A7EE9" w:rsidP="009A7EE9">
            <w:pPr>
              <w:rPr>
                <w:sz w:val="26"/>
                <w:szCs w:val="26"/>
              </w:rPr>
            </w:pPr>
          </w:p>
        </w:tc>
        <w:tc>
          <w:tcPr>
            <w:tcW w:w="1150" w:type="dxa"/>
          </w:tcPr>
          <w:p w:rsidR="009A7EE9" w:rsidRPr="006807F6" w:rsidRDefault="009A7EE9" w:rsidP="009A7EE9">
            <w:pPr>
              <w:rPr>
                <w:sz w:val="26"/>
                <w:szCs w:val="26"/>
              </w:rPr>
            </w:pPr>
          </w:p>
        </w:tc>
      </w:tr>
      <w:tr w:rsidR="009A7EE9" w:rsidRPr="006807F6" w:rsidTr="00A54AB7">
        <w:trPr>
          <w:jc w:val="center"/>
        </w:trPr>
        <w:tc>
          <w:tcPr>
            <w:tcW w:w="3199" w:type="dxa"/>
          </w:tcPr>
          <w:p w:rsidR="009A7EE9" w:rsidRPr="006807F6" w:rsidRDefault="009A7EE9" w:rsidP="009A7EE9">
            <w:pPr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3.2. speciālais budžets</w:t>
            </w:r>
          </w:p>
        </w:tc>
        <w:tc>
          <w:tcPr>
            <w:tcW w:w="1276" w:type="dxa"/>
            <w:shd w:val="clear" w:color="auto" w:fill="auto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287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</w:tr>
      <w:tr w:rsidR="009A7EE9" w:rsidRPr="006807F6" w:rsidTr="00A54AB7">
        <w:trPr>
          <w:jc w:val="center"/>
        </w:trPr>
        <w:tc>
          <w:tcPr>
            <w:tcW w:w="3199" w:type="dxa"/>
          </w:tcPr>
          <w:p w:rsidR="009A7EE9" w:rsidRPr="006807F6" w:rsidRDefault="009A7EE9" w:rsidP="009A7EE9">
            <w:pPr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 xml:space="preserve">3.3. pašvaldību budžets </w:t>
            </w:r>
          </w:p>
        </w:tc>
        <w:tc>
          <w:tcPr>
            <w:tcW w:w="1276" w:type="dxa"/>
            <w:shd w:val="clear" w:color="auto" w:fill="auto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287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</w:tr>
      <w:tr w:rsidR="009A7EE9" w:rsidRPr="006807F6" w:rsidTr="00A54AB7">
        <w:trPr>
          <w:jc w:val="center"/>
        </w:trPr>
        <w:tc>
          <w:tcPr>
            <w:tcW w:w="3199" w:type="dxa"/>
            <w:vMerge w:val="restart"/>
          </w:tcPr>
          <w:p w:rsidR="009A7EE9" w:rsidRPr="006807F6" w:rsidRDefault="009A7EE9" w:rsidP="009A7EE9">
            <w:pPr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4. Finanšu līdzekļi papildu izdevumu finansēšanai (kompensējošu izdevumu samazinājumu norāda ar "+" zīmi)</w:t>
            </w:r>
          </w:p>
        </w:tc>
        <w:tc>
          <w:tcPr>
            <w:tcW w:w="1276" w:type="dxa"/>
            <w:vMerge w:val="restart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X</w:t>
            </w:r>
          </w:p>
        </w:tc>
        <w:tc>
          <w:tcPr>
            <w:tcW w:w="1287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</w:tr>
      <w:tr w:rsidR="009A7EE9" w:rsidRPr="006807F6" w:rsidTr="00A54AB7">
        <w:trPr>
          <w:jc w:val="center"/>
        </w:trPr>
        <w:tc>
          <w:tcPr>
            <w:tcW w:w="3199" w:type="dxa"/>
            <w:vMerge/>
          </w:tcPr>
          <w:p w:rsidR="009A7EE9" w:rsidRPr="006807F6" w:rsidRDefault="009A7EE9" w:rsidP="009A7EE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87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</w:tr>
      <w:tr w:rsidR="009A7EE9" w:rsidRPr="006807F6" w:rsidTr="00A54AB7">
        <w:trPr>
          <w:jc w:val="center"/>
        </w:trPr>
        <w:tc>
          <w:tcPr>
            <w:tcW w:w="3199" w:type="dxa"/>
            <w:vMerge/>
          </w:tcPr>
          <w:p w:rsidR="009A7EE9" w:rsidRPr="006807F6" w:rsidRDefault="009A7EE9" w:rsidP="009A7EE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87" w:type="dxa"/>
          </w:tcPr>
          <w:p w:rsidR="009A7EE9" w:rsidRPr="006807F6" w:rsidRDefault="005437C3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</w:tr>
      <w:tr w:rsidR="009A7EE9" w:rsidRPr="006807F6" w:rsidTr="00A54AB7">
        <w:trPr>
          <w:jc w:val="center"/>
        </w:trPr>
        <w:tc>
          <w:tcPr>
            <w:tcW w:w="3199" w:type="dxa"/>
          </w:tcPr>
          <w:p w:rsidR="009A7EE9" w:rsidRPr="006807F6" w:rsidRDefault="009A7EE9" w:rsidP="009A7EE9">
            <w:pPr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5. Precizēta finansiālā ietekme:</w:t>
            </w:r>
          </w:p>
        </w:tc>
        <w:tc>
          <w:tcPr>
            <w:tcW w:w="1276" w:type="dxa"/>
            <w:vMerge w:val="restart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X</w:t>
            </w:r>
          </w:p>
        </w:tc>
        <w:tc>
          <w:tcPr>
            <w:tcW w:w="1287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9A7EE9" w:rsidRPr="006807F6" w:rsidTr="00A54AB7">
        <w:trPr>
          <w:jc w:val="center"/>
        </w:trPr>
        <w:tc>
          <w:tcPr>
            <w:tcW w:w="3199" w:type="dxa"/>
          </w:tcPr>
          <w:p w:rsidR="009A7EE9" w:rsidRPr="006807F6" w:rsidRDefault="009A7EE9" w:rsidP="009A7EE9">
            <w:pPr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5.1. valsts pamatbudžets</w:t>
            </w:r>
          </w:p>
        </w:tc>
        <w:tc>
          <w:tcPr>
            <w:tcW w:w="1276" w:type="dxa"/>
            <w:vMerge/>
            <w:vAlign w:val="center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87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</w:tr>
      <w:tr w:rsidR="009A7EE9" w:rsidRPr="006807F6" w:rsidTr="00A54AB7">
        <w:trPr>
          <w:jc w:val="center"/>
        </w:trPr>
        <w:tc>
          <w:tcPr>
            <w:tcW w:w="3199" w:type="dxa"/>
          </w:tcPr>
          <w:p w:rsidR="009A7EE9" w:rsidRPr="006807F6" w:rsidRDefault="009A7EE9" w:rsidP="009A7EE9">
            <w:pPr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5.2. speciālais budžets</w:t>
            </w:r>
          </w:p>
        </w:tc>
        <w:tc>
          <w:tcPr>
            <w:tcW w:w="1276" w:type="dxa"/>
            <w:vMerge/>
            <w:vAlign w:val="center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87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</w:tr>
      <w:tr w:rsidR="009A7EE9" w:rsidRPr="006807F6" w:rsidTr="00A54AB7">
        <w:trPr>
          <w:jc w:val="center"/>
        </w:trPr>
        <w:tc>
          <w:tcPr>
            <w:tcW w:w="3199" w:type="dxa"/>
          </w:tcPr>
          <w:p w:rsidR="009A7EE9" w:rsidRPr="006807F6" w:rsidRDefault="009A7EE9" w:rsidP="009A7EE9">
            <w:pPr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 xml:space="preserve">5.3. pašvaldību budžets </w:t>
            </w:r>
          </w:p>
        </w:tc>
        <w:tc>
          <w:tcPr>
            <w:tcW w:w="1276" w:type="dxa"/>
            <w:vMerge/>
            <w:vAlign w:val="center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87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0</w:t>
            </w:r>
          </w:p>
        </w:tc>
      </w:tr>
      <w:tr w:rsidR="009A7EE9" w:rsidRPr="006807F6" w:rsidTr="00A54AB7">
        <w:trPr>
          <w:trHeight w:val="1571"/>
          <w:jc w:val="center"/>
        </w:trPr>
        <w:tc>
          <w:tcPr>
            <w:tcW w:w="3199" w:type="dxa"/>
          </w:tcPr>
          <w:p w:rsidR="009A7EE9" w:rsidRPr="006807F6" w:rsidRDefault="009A7EE9" w:rsidP="009A7EE9">
            <w:pPr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6. Detalizēts ieņēmumu un izdevumu aprēķins (ja nepie</w:t>
            </w:r>
            <w:r w:rsidRPr="006807F6">
              <w:rPr>
                <w:sz w:val="26"/>
                <w:szCs w:val="26"/>
              </w:rPr>
              <w:softHyphen/>
              <w:t>ciešams, detalizētu ieņēmumu un izdevumu aprēķinu var pie</w:t>
            </w:r>
            <w:r w:rsidRPr="006807F6">
              <w:rPr>
                <w:sz w:val="26"/>
                <w:szCs w:val="26"/>
              </w:rPr>
              <w:softHyphen/>
              <w:t>vienot anotācijas pielikumā):</w:t>
            </w:r>
          </w:p>
        </w:tc>
        <w:tc>
          <w:tcPr>
            <w:tcW w:w="6058" w:type="dxa"/>
            <w:gridSpan w:val="5"/>
            <w:vMerge w:val="restart"/>
            <w:vAlign w:val="center"/>
          </w:tcPr>
          <w:p w:rsidR="009A7EE9" w:rsidRPr="006807F6" w:rsidRDefault="009A7EE9" w:rsidP="009A7EE9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A7EE9" w:rsidRPr="006807F6" w:rsidTr="00A54AB7">
        <w:trPr>
          <w:jc w:val="center"/>
        </w:trPr>
        <w:tc>
          <w:tcPr>
            <w:tcW w:w="3199" w:type="dxa"/>
          </w:tcPr>
          <w:p w:rsidR="009A7EE9" w:rsidRPr="006807F6" w:rsidRDefault="009A7EE9" w:rsidP="009A7EE9">
            <w:pPr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6.1. detalizēts ieņēmumu aprēķins</w:t>
            </w:r>
          </w:p>
        </w:tc>
        <w:tc>
          <w:tcPr>
            <w:tcW w:w="6058" w:type="dxa"/>
            <w:gridSpan w:val="5"/>
            <w:vMerge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rPr>
                <w:b/>
                <w:i/>
                <w:sz w:val="26"/>
                <w:szCs w:val="26"/>
              </w:rPr>
            </w:pPr>
          </w:p>
        </w:tc>
      </w:tr>
      <w:tr w:rsidR="009A7EE9" w:rsidRPr="006807F6" w:rsidTr="00A54AB7">
        <w:trPr>
          <w:jc w:val="center"/>
        </w:trPr>
        <w:tc>
          <w:tcPr>
            <w:tcW w:w="3199" w:type="dxa"/>
          </w:tcPr>
          <w:p w:rsidR="009A7EE9" w:rsidRPr="006807F6" w:rsidRDefault="009A7EE9" w:rsidP="009A7EE9">
            <w:pPr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6.2. detalizēts izdevumu aprēķins</w:t>
            </w:r>
          </w:p>
        </w:tc>
        <w:tc>
          <w:tcPr>
            <w:tcW w:w="6058" w:type="dxa"/>
            <w:gridSpan w:val="5"/>
            <w:vMerge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rPr>
                <w:b/>
                <w:i/>
                <w:sz w:val="26"/>
                <w:szCs w:val="26"/>
              </w:rPr>
            </w:pPr>
          </w:p>
        </w:tc>
      </w:tr>
      <w:tr w:rsidR="009A7EE9" w:rsidRPr="006807F6" w:rsidTr="00A54AB7">
        <w:trPr>
          <w:jc w:val="center"/>
        </w:trPr>
        <w:tc>
          <w:tcPr>
            <w:tcW w:w="3199" w:type="dxa"/>
          </w:tcPr>
          <w:p w:rsidR="009A7EE9" w:rsidRPr="006807F6" w:rsidRDefault="009A7EE9" w:rsidP="009A7EE9">
            <w:pPr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7. Cita informācija</w:t>
            </w:r>
          </w:p>
        </w:tc>
        <w:tc>
          <w:tcPr>
            <w:tcW w:w="6058" w:type="dxa"/>
            <w:gridSpan w:val="5"/>
          </w:tcPr>
          <w:p w:rsidR="009A7EE9" w:rsidRPr="00156E18" w:rsidRDefault="005437C3" w:rsidP="00B14C2E">
            <w:pPr>
              <w:pStyle w:val="naisf"/>
              <w:spacing w:before="0" w:beforeAutospacing="0" w:after="0" w:afterAutospacing="0"/>
              <w:jc w:val="both"/>
              <w:rPr>
                <w:b/>
                <w:i/>
                <w:sz w:val="26"/>
                <w:szCs w:val="26"/>
              </w:rPr>
            </w:pPr>
            <w:r w:rsidRPr="00156E18">
              <w:rPr>
                <w:sz w:val="26"/>
                <w:szCs w:val="26"/>
              </w:rPr>
              <w:t xml:space="preserve">Finansējums tiks pārdalīts </w:t>
            </w:r>
            <w:r w:rsidR="00156E18" w:rsidRPr="00156E18">
              <w:rPr>
                <w:sz w:val="26"/>
                <w:szCs w:val="26"/>
              </w:rPr>
              <w:t xml:space="preserve">no Saeimas budžeta programmas 01.00.00 “Saeimas darbības nodrošināšana” uz </w:t>
            </w:r>
            <w:r w:rsidR="00BD7B24">
              <w:rPr>
                <w:sz w:val="26"/>
                <w:szCs w:val="26"/>
              </w:rPr>
              <w:t xml:space="preserve">budžeta </w:t>
            </w:r>
            <w:r w:rsidR="00156E18" w:rsidRPr="00156E18">
              <w:rPr>
                <w:sz w:val="26"/>
                <w:szCs w:val="26"/>
              </w:rPr>
              <w:t>resora “</w:t>
            </w:r>
            <w:r w:rsidR="00BD7B24" w:rsidRPr="00156E18">
              <w:rPr>
                <w:sz w:val="26"/>
                <w:szCs w:val="26"/>
              </w:rPr>
              <w:t>74.</w:t>
            </w:r>
            <w:r w:rsidR="00156E18" w:rsidRPr="00156E18">
              <w:rPr>
                <w:sz w:val="26"/>
                <w:szCs w:val="26"/>
              </w:rPr>
              <w:t>Gadskārtējā valsts budžeta izpildes procesā pārdalāmais finansējums” programmu 02.00.00 “Līdzekļi neparedzētiem gadījumiem”.</w:t>
            </w:r>
          </w:p>
        </w:tc>
      </w:tr>
    </w:tbl>
    <w:p w:rsidR="009A7EE9" w:rsidRPr="006807F6" w:rsidRDefault="009A7EE9" w:rsidP="009A7EE9">
      <w:pPr>
        <w:pStyle w:val="naisf"/>
        <w:spacing w:before="0" w:beforeAutospacing="0" w:after="0" w:afterAutospacing="0"/>
        <w:rPr>
          <w:sz w:val="26"/>
          <w:szCs w:val="26"/>
        </w:rPr>
      </w:pPr>
    </w:p>
    <w:p w:rsidR="009A7EE9" w:rsidRPr="006807F6" w:rsidRDefault="009A7EE9" w:rsidP="009A7EE9">
      <w:pPr>
        <w:pStyle w:val="naisf"/>
        <w:spacing w:before="0" w:beforeAutospacing="0" w:after="0" w:afterAutospacing="0"/>
        <w:rPr>
          <w:sz w:val="26"/>
          <w:szCs w:val="26"/>
        </w:rPr>
      </w:pP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3615"/>
        <w:gridCol w:w="5244"/>
      </w:tblGrid>
      <w:tr w:rsidR="009A7EE9" w:rsidRPr="006807F6" w:rsidTr="00A54AB7">
        <w:trPr>
          <w:trHeight w:val="381"/>
          <w:jc w:val="center"/>
        </w:trPr>
        <w:tc>
          <w:tcPr>
            <w:tcW w:w="9296" w:type="dxa"/>
            <w:gridSpan w:val="3"/>
            <w:vAlign w:val="center"/>
          </w:tcPr>
          <w:p w:rsidR="009A7EE9" w:rsidRPr="006807F6" w:rsidRDefault="009A7EE9" w:rsidP="009A7EE9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sz w:val="26"/>
                <w:szCs w:val="26"/>
              </w:rPr>
            </w:pPr>
            <w:r w:rsidRPr="006807F6">
              <w:rPr>
                <w:b/>
                <w:sz w:val="26"/>
                <w:szCs w:val="26"/>
              </w:rPr>
              <w:lastRenderedPageBreak/>
              <w:t>VII. Tiesību akta projekta izpildes nodrošināšana un tās ietekme uz institūcijām</w:t>
            </w:r>
          </w:p>
        </w:tc>
      </w:tr>
      <w:tr w:rsidR="009A7EE9" w:rsidRPr="006807F6" w:rsidTr="00A54AB7">
        <w:trPr>
          <w:trHeight w:val="427"/>
          <w:jc w:val="center"/>
        </w:trPr>
        <w:tc>
          <w:tcPr>
            <w:tcW w:w="437" w:type="dxa"/>
          </w:tcPr>
          <w:p w:rsidR="009A7EE9" w:rsidRPr="006807F6" w:rsidRDefault="009A7EE9" w:rsidP="009A7EE9">
            <w:pPr>
              <w:pStyle w:val="naisnod"/>
              <w:spacing w:before="0" w:beforeAutospacing="0" w:after="0" w:afterAutospacing="0"/>
              <w:ind w:left="57" w:right="57"/>
              <w:jc w:val="both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1.</w:t>
            </w:r>
          </w:p>
        </w:tc>
        <w:tc>
          <w:tcPr>
            <w:tcW w:w="3615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Projekta izpildē iesaistītās institūcijas</w:t>
            </w:r>
          </w:p>
        </w:tc>
        <w:tc>
          <w:tcPr>
            <w:tcW w:w="5244" w:type="dxa"/>
          </w:tcPr>
          <w:p w:rsidR="009A7EE9" w:rsidRPr="006807F6" w:rsidRDefault="00156E18" w:rsidP="009A7EE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Saeimas kanceleja</w:t>
            </w:r>
            <w:r w:rsidR="009A7EE9" w:rsidRPr="006807F6">
              <w:rPr>
                <w:bCs/>
                <w:color w:val="000000"/>
                <w:sz w:val="26"/>
                <w:szCs w:val="26"/>
              </w:rPr>
              <w:t>, Finanšu ministrija.</w:t>
            </w:r>
          </w:p>
        </w:tc>
      </w:tr>
      <w:tr w:rsidR="009A7EE9" w:rsidRPr="006807F6" w:rsidTr="00A54AB7">
        <w:trPr>
          <w:trHeight w:val="463"/>
          <w:jc w:val="center"/>
        </w:trPr>
        <w:tc>
          <w:tcPr>
            <w:tcW w:w="437" w:type="dxa"/>
          </w:tcPr>
          <w:p w:rsidR="009A7EE9" w:rsidRPr="006807F6" w:rsidRDefault="009A7EE9" w:rsidP="009A7EE9">
            <w:pPr>
              <w:pStyle w:val="naisnod"/>
              <w:spacing w:before="0" w:beforeAutospacing="0" w:after="0" w:afterAutospacing="0"/>
              <w:ind w:left="57" w:right="57"/>
              <w:jc w:val="both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2.</w:t>
            </w:r>
          </w:p>
        </w:tc>
        <w:tc>
          <w:tcPr>
            <w:tcW w:w="3615" w:type="dxa"/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Projekta izpildes ietekme uz pār</w:t>
            </w:r>
            <w:r w:rsidRPr="006807F6">
              <w:rPr>
                <w:sz w:val="26"/>
                <w:szCs w:val="26"/>
              </w:rPr>
              <w:softHyphen/>
              <w:t>valdes funkcijām un institucionālo struktūru.</w:t>
            </w:r>
          </w:p>
          <w:p w:rsidR="009A7EE9" w:rsidRPr="006807F6" w:rsidRDefault="009A7EE9" w:rsidP="009A7EE9">
            <w:pPr>
              <w:pStyle w:val="naisf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Jaunu institūciju izveide, esošu institūciju likvidācija vai reorga</w:t>
            </w:r>
            <w:r w:rsidRPr="006807F6">
              <w:rPr>
                <w:sz w:val="26"/>
                <w:szCs w:val="26"/>
              </w:rPr>
              <w:softHyphen/>
              <w:t>nizācija, to ietekme uz institūcijas cilvēkresursiem.</w:t>
            </w:r>
          </w:p>
        </w:tc>
        <w:tc>
          <w:tcPr>
            <w:tcW w:w="5244" w:type="dxa"/>
          </w:tcPr>
          <w:p w:rsidR="009A7EE9" w:rsidRPr="006807F6" w:rsidRDefault="009A7EE9" w:rsidP="009A7EE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Projekts šo jomu neskar.</w:t>
            </w:r>
          </w:p>
          <w:p w:rsidR="009A7EE9" w:rsidRPr="006807F6" w:rsidRDefault="009A7EE9" w:rsidP="009A7EE9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  <w:tr w:rsidR="009A7EE9" w:rsidRPr="006807F6" w:rsidTr="00A54AB7">
        <w:trPr>
          <w:trHeight w:val="4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E9" w:rsidRPr="006807F6" w:rsidRDefault="009A7EE9" w:rsidP="009A7EE9">
            <w:pPr>
              <w:pStyle w:val="naisnod"/>
              <w:spacing w:before="0" w:beforeAutospacing="0" w:after="0" w:afterAutospacing="0"/>
              <w:ind w:left="57" w:right="57"/>
              <w:jc w:val="both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E9" w:rsidRPr="006807F6" w:rsidRDefault="009A7EE9" w:rsidP="009A7EE9">
            <w:pPr>
              <w:pStyle w:val="naisf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Cita informācija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E9" w:rsidRPr="006807F6" w:rsidRDefault="009A7EE9" w:rsidP="009A7EE9">
            <w:pPr>
              <w:ind w:left="57" w:right="57"/>
              <w:jc w:val="both"/>
              <w:rPr>
                <w:sz w:val="26"/>
                <w:szCs w:val="26"/>
              </w:rPr>
            </w:pPr>
            <w:r w:rsidRPr="006807F6">
              <w:rPr>
                <w:sz w:val="26"/>
                <w:szCs w:val="26"/>
              </w:rPr>
              <w:t>Nav.</w:t>
            </w:r>
          </w:p>
        </w:tc>
      </w:tr>
    </w:tbl>
    <w:p w:rsidR="009A7EE9" w:rsidRPr="006807F6" w:rsidRDefault="009A7EE9" w:rsidP="009A7EE9">
      <w:pPr>
        <w:pStyle w:val="naisf"/>
        <w:spacing w:before="0" w:beforeAutospacing="0" w:after="0" w:afterAutospacing="0"/>
        <w:rPr>
          <w:sz w:val="26"/>
          <w:szCs w:val="26"/>
        </w:rPr>
      </w:pPr>
    </w:p>
    <w:p w:rsidR="009A7EE9" w:rsidRPr="006807F6" w:rsidRDefault="009A7EE9" w:rsidP="009A7EE9">
      <w:pPr>
        <w:pStyle w:val="naisf"/>
        <w:spacing w:before="0" w:beforeAutospacing="0" w:after="0" w:afterAutospacing="0"/>
        <w:rPr>
          <w:sz w:val="26"/>
          <w:szCs w:val="26"/>
        </w:rPr>
      </w:pPr>
    </w:p>
    <w:p w:rsidR="009A7EE9" w:rsidRPr="00584E72" w:rsidRDefault="009A7EE9" w:rsidP="009A7EE9">
      <w:pPr>
        <w:pStyle w:val="naisf"/>
        <w:spacing w:before="0" w:beforeAutospacing="0" w:after="0" w:afterAutospacing="0"/>
        <w:rPr>
          <w:i/>
          <w:sz w:val="26"/>
          <w:szCs w:val="26"/>
        </w:rPr>
      </w:pPr>
      <w:r w:rsidRPr="00584E72">
        <w:rPr>
          <w:i/>
          <w:sz w:val="26"/>
          <w:szCs w:val="26"/>
        </w:rPr>
        <w:t xml:space="preserve">Anotācijas II, IV, V, </w:t>
      </w:r>
      <w:r w:rsidRPr="00584E72">
        <w:rPr>
          <w:bCs/>
          <w:i/>
          <w:sz w:val="26"/>
          <w:szCs w:val="26"/>
        </w:rPr>
        <w:t xml:space="preserve">VI </w:t>
      </w:r>
      <w:r w:rsidRPr="00584E72">
        <w:rPr>
          <w:i/>
          <w:sz w:val="26"/>
          <w:szCs w:val="26"/>
        </w:rPr>
        <w:t>sadaļa – projekts šīs jomas neskar.</w:t>
      </w:r>
    </w:p>
    <w:p w:rsidR="009A7EE9" w:rsidRPr="006807F6" w:rsidRDefault="009A7EE9" w:rsidP="009A7EE9">
      <w:pPr>
        <w:ind w:left="283" w:firstLine="437"/>
        <w:rPr>
          <w:sz w:val="26"/>
          <w:szCs w:val="26"/>
        </w:rPr>
      </w:pPr>
    </w:p>
    <w:p w:rsidR="009A7EE9" w:rsidRPr="006807F6" w:rsidRDefault="009A7EE9" w:rsidP="009A7EE9">
      <w:pPr>
        <w:ind w:left="283" w:firstLine="437"/>
        <w:rPr>
          <w:sz w:val="26"/>
          <w:szCs w:val="26"/>
        </w:rPr>
      </w:pPr>
    </w:p>
    <w:p w:rsidR="009A7EE9" w:rsidRPr="006807F6" w:rsidRDefault="009A7EE9" w:rsidP="009A7EE9">
      <w:pPr>
        <w:ind w:left="283" w:firstLine="437"/>
        <w:rPr>
          <w:sz w:val="26"/>
          <w:szCs w:val="26"/>
        </w:rPr>
      </w:pPr>
    </w:p>
    <w:p w:rsidR="00B03683" w:rsidRDefault="00B03683" w:rsidP="00B03683">
      <w:pPr>
        <w:pStyle w:val="naisf"/>
        <w:spacing w:before="0" w:beforeAutospacing="0" w:after="0" w:afterAutospacing="0"/>
        <w:ind w:left="57" w:right="57"/>
        <w:rPr>
          <w:sz w:val="26"/>
          <w:szCs w:val="26"/>
        </w:rPr>
      </w:pPr>
      <w:r>
        <w:rPr>
          <w:sz w:val="26"/>
          <w:szCs w:val="26"/>
        </w:rPr>
        <w:t>Finanšu ministra vietā –</w:t>
      </w:r>
    </w:p>
    <w:p w:rsidR="009A7EE9" w:rsidRPr="006807F6" w:rsidRDefault="00B03683" w:rsidP="00B03683">
      <w:pPr>
        <w:pStyle w:val="naisf"/>
        <w:spacing w:before="0" w:beforeAutospacing="0" w:after="0" w:afterAutospacing="0"/>
        <w:ind w:left="57" w:right="57"/>
        <w:rPr>
          <w:sz w:val="26"/>
          <w:szCs w:val="26"/>
        </w:rPr>
      </w:pPr>
      <w:r>
        <w:rPr>
          <w:sz w:val="26"/>
          <w:szCs w:val="26"/>
        </w:rPr>
        <w:t xml:space="preserve">izglītības un zinātnes ministre                                                                             </w:t>
      </w:r>
      <w:proofErr w:type="spellStart"/>
      <w:r>
        <w:rPr>
          <w:sz w:val="26"/>
          <w:szCs w:val="26"/>
        </w:rPr>
        <w:t>M.Seile</w:t>
      </w:r>
      <w:proofErr w:type="spellEnd"/>
      <w:r>
        <w:rPr>
          <w:sz w:val="26"/>
          <w:szCs w:val="26"/>
        </w:rPr>
        <w:t xml:space="preserve">                                                                        </w:t>
      </w:r>
      <w:r w:rsidRPr="009949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r w:rsidR="009A7EE9" w:rsidRPr="006807F6">
        <w:rPr>
          <w:sz w:val="26"/>
          <w:szCs w:val="26"/>
        </w:rPr>
        <w:tab/>
        <w:t xml:space="preserve">                                                    </w:t>
      </w:r>
      <w:r w:rsidR="0099499C">
        <w:rPr>
          <w:sz w:val="26"/>
          <w:szCs w:val="26"/>
        </w:rPr>
        <w:t xml:space="preserve">                            </w:t>
      </w:r>
      <w:r w:rsidR="009A7EE9" w:rsidRPr="006807F6">
        <w:rPr>
          <w:sz w:val="26"/>
          <w:szCs w:val="26"/>
        </w:rPr>
        <w:tab/>
      </w:r>
    </w:p>
    <w:p w:rsidR="009A7EE9" w:rsidRPr="00BC3FCD" w:rsidRDefault="009A7EE9" w:rsidP="009A7EE9">
      <w:pPr>
        <w:pStyle w:val="BodyText"/>
        <w:jc w:val="both"/>
        <w:rPr>
          <w:sz w:val="24"/>
        </w:rPr>
      </w:pPr>
    </w:p>
    <w:p w:rsidR="00474ED8" w:rsidRDefault="00474ED8" w:rsidP="000C703D">
      <w:pPr>
        <w:pStyle w:val="BodyText"/>
        <w:jc w:val="left"/>
        <w:rPr>
          <w:sz w:val="20"/>
          <w:szCs w:val="20"/>
        </w:rPr>
      </w:pPr>
    </w:p>
    <w:p w:rsidR="000C703D" w:rsidRPr="00BC3FCD" w:rsidRDefault="00B03683" w:rsidP="000C703D">
      <w:pPr>
        <w:pStyle w:val="BodyText"/>
        <w:jc w:val="lef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09</w:t>
      </w:r>
      <w:r w:rsidR="000C703D" w:rsidRPr="00F26FEB">
        <w:rPr>
          <w:sz w:val="20"/>
          <w:szCs w:val="20"/>
        </w:rPr>
        <w:t>.</w:t>
      </w:r>
      <w:r w:rsidR="00BD7B24">
        <w:rPr>
          <w:sz w:val="20"/>
          <w:szCs w:val="20"/>
        </w:rPr>
        <w:t>11.2015</w:t>
      </w:r>
      <w:r w:rsidR="00156E18">
        <w:rPr>
          <w:sz w:val="20"/>
          <w:szCs w:val="20"/>
        </w:rPr>
        <w:t>. 10</w:t>
      </w:r>
      <w:r w:rsidR="000C703D">
        <w:rPr>
          <w:sz w:val="20"/>
          <w:szCs w:val="20"/>
        </w:rPr>
        <w:t>:</w:t>
      </w:r>
      <w:r w:rsidR="00BD7B24">
        <w:rPr>
          <w:sz w:val="20"/>
          <w:szCs w:val="20"/>
        </w:rPr>
        <w:t>00</w:t>
      </w:r>
    </w:p>
    <w:p w:rsidR="000C703D" w:rsidRPr="00BC3FCD" w:rsidRDefault="00B03683" w:rsidP="000C703D">
      <w:pPr>
        <w:pStyle w:val="BodyText"/>
        <w:jc w:val="left"/>
        <w:rPr>
          <w:sz w:val="20"/>
          <w:szCs w:val="20"/>
        </w:rPr>
      </w:pPr>
      <w:r>
        <w:rPr>
          <w:sz w:val="20"/>
          <w:szCs w:val="20"/>
        </w:rPr>
        <w:t>541</w:t>
      </w:r>
    </w:p>
    <w:p w:rsidR="000C703D" w:rsidRPr="00BC3FCD" w:rsidRDefault="000C703D" w:rsidP="000C703D">
      <w:pPr>
        <w:pStyle w:val="BodyText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Elīna </w:t>
      </w:r>
      <w:r w:rsidRPr="00BC3FCD">
        <w:rPr>
          <w:sz w:val="20"/>
          <w:szCs w:val="20"/>
        </w:rPr>
        <w:t xml:space="preserve">Kobzeva </w:t>
      </w:r>
    </w:p>
    <w:p w:rsidR="000C703D" w:rsidRPr="00626BC3" w:rsidRDefault="000C703D" w:rsidP="000C703D">
      <w:pPr>
        <w:pStyle w:val="BodyText"/>
        <w:jc w:val="left"/>
        <w:rPr>
          <w:sz w:val="20"/>
          <w:szCs w:val="20"/>
        </w:rPr>
      </w:pPr>
      <w:r>
        <w:rPr>
          <w:sz w:val="20"/>
          <w:szCs w:val="20"/>
        </w:rPr>
        <w:t>6</w:t>
      </w:r>
      <w:r w:rsidRPr="00BC3FCD">
        <w:rPr>
          <w:sz w:val="20"/>
          <w:szCs w:val="20"/>
        </w:rPr>
        <w:t xml:space="preserve">7083885; </w:t>
      </w:r>
      <w:hyperlink r:id="rId7" w:history="1">
        <w:r w:rsidRPr="00BC3FCD">
          <w:rPr>
            <w:rStyle w:val="Hyperlink"/>
            <w:sz w:val="20"/>
            <w:szCs w:val="20"/>
          </w:rPr>
          <w:t>Elina.Kobzeva@fm.gov.lv</w:t>
        </w:r>
      </w:hyperlink>
    </w:p>
    <w:p w:rsidR="002204E8" w:rsidRDefault="002204E8" w:rsidP="000C703D">
      <w:pPr>
        <w:pStyle w:val="BodyText"/>
        <w:jc w:val="left"/>
      </w:pPr>
    </w:p>
    <w:sectPr w:rsidR="002204E8" w:rsidSect="009A7EE9">
      <w:footerReference w:type="default" r:id="rId8"/>
      <w:pgSz w:w="11906" w:h="16838"/>
      <w:pgMar w:top="993" w:right="113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EE9" w:rsidRDefault="009A7EE9" w:rsidP="009A7EE9">
      <w:r>
        <w:separator/>
      </w:r>
    </w:p>
  </w:endnote>
  <w:endnote w:type="continuationSeparator" w:id="0">
    <w:p w:rsidR="009A7EE9" w:rsidRDefault="009A7EE9" w:rsidP="009A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54D" w:rsidRPr="002A4B44" w:rsidRDefault="00B03683">
    <w:pPr>
      <w:pStyle w:val="Footer"/>
      <w:rPr>
        <w:sz w:val="20"/>
        <w:szCs w:val="20"/>
      </w:rPr>
    </w:pPr>
    <w:r>
      <w:rPr>
        <w:sz w:val="20"/>
        <w:szCs w:val="20"/>
      </w:rPr>
      <w:t>FMAnot_09</w:t>
    </w:r>
    <w:r w:rsidR="00BD7B24">
      <w:rPr>
        <w:sz w:val="20"/>
        <w:szCs w:val="20"/>
      </w:rPr>
      <w:t>1115</w:t>
    </w:r>
    <w:r w:rsidR="000C703D" w:rsidRPr="00F43C80">
      <w:rPr>
        <w:sz w:val="20"/>
        <w:szCs w:val="20"/>
      </w:rPr>
      <w:t>;</w:t>
    </w:r>
    <w:r w:rsidR="000C703D">
      <w:rPr>
        <w:sz w:val="20"/>
        <w:szCs w:val="20"/>
      </w:rPr>
      <w:t xml:space="preserve"> </w:t>
    </w:r>
    <w:r w:rsidR="000C703D" w:rsidRPr="00E65A72">
      <w:rPr>
        <w:sz w:val="20"/>
        <w:szCs w:val="20"/>
      </w:rPr>
      <w:t xml:space="preserve">Ministru kabineta rīkojuma </w:t>
    </w:r>
    <w:r w:rsidR="000C703D">
      <w:rPr>
        <w:sz w:val="20"/>
        <w:szCs w:val="20"/>
      </w:rPr>
      <w:t>projekta</w:t>
    </w:r>
    <w:r w:rsidR="000C703D" w:rsidRPr="006033B7">
      <w:rPr>
        <w:sz w:val="20"/>
        <w:szCs w:val="20"/>
      </w:rPr>
      <w:t xml:space="preserve"> „</w:t>
    </w:r>
    <w:r w:rsidR="000C703D" w:rsidRPr="006033B7">
      <w:rPr>
        <w:sz w:val="18"/>
        <w:szCs w:val="18"/>
      </w:rPr>
      <w:t>Par apropriācijas pārdali”</w:t>
    </w:r>
    <w:r w:rsidR="000C703D">
      <w:rPr>
        <w:sz w:val="18"/>
        <w:szCs w:val="18"/>
      </w:rPr>
      <w:t xml:space="preserve">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EE9" w:rsidRDefault="009A7EE9" w:rsidP="009A7EE9">
      <w:r>
        <w:separator/>
      </w:r>
    </w:p>
  </w:footnote>
  <w:footnote w:type="continuationSeparator" w:id="0">
    <w:p w:rsidR="009A7EE9" w:rsidRDefault="009A7EE9" w:rsidP="009A7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F2AC9"/>
    <w:multiLevelType w:val="hybridMultilevel"/>
    <w:tmpl w:val="C2769D18"/>
    <w:lvl w:ilvl="0" w:tplc="6C5C9B78">
      <w:start w:val="1"/>
      <w:numFmt w:val="decimal"/>
      <w:lvlText w:val="%1."/>
      <w:lvlJc w:val="left"/>
      <w:pPr>
        <w:ind w:left="380" w:hanging="360"/>
      </w:pPr>
      <w:rPr>
        <w:rFonts w:cstheme="minorBidi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100" w:hanging="360"/>
      </w:pPr>
    </w:lvl>
    <w:lvl w:ilvl="2" w:tplc="0426001B" w:tentative="1">
      <w:start w:val="1"/>
      <w:numFmt w:val="lowerRoman"/>
      <w:lvlText w:val="%3."/>
      <w:lvlJc w:val="right"/>
      <w:pPr>
        <w:ind w:left="1820" w:hanging="180"/>
      </w:pPr>
    </w:lvl>
    <w:lvl w:ilvl="3" w:tplc="0426000F" w:tentative="1">
      <w:start w:val="1"/>
      <w:numFmt w:val="decimal"/>
      <w:lvlText w:val="%4."/>
      <w:lvlJc w:val="left"/>
      <w:pPr>
        <w:ind w:left="2540" w:hanging="360"/>
      </w:pPr>
    </w:lvl>
    <w:lvl w:ilvl="4" w:tplc="04260019" w:tentative="1">
      <w:start w:val="1"/>
      <w:numFmt w:val="lowerLetter"/>
      <w:lvlText w:val="%5."/>
      <w:lvlJc w:val="left"/>
      <w:pPr>
        <w:ind w:left="3260" w:hanging="360"/>
      </w:pPr>
    </w:lvl>
    <w:lvl w:ilvl="5" w:tplc="0426001B" w:tentative="1">
      <w:start w:val="1"/>
      <w:numFmt w:val="lowerRoman"/>
      <w:lvlText w:val="%6."/>
      <w:lvlJc w:val="right"/>
      <w:pPr>
        <w:ind w:left="3980" w:hanging="180"/>
      </w:pPr>
    </w:lvl>
    <w:lvl w:ilvl="6" w:tplc="0426000F" w:tentative="1">
      <w:start w:val="1"/>
      <w:numFmt w:val="decimal"/>
      <w:lvlText w:val="%7."/>
      <w:lvlJc w:val="left"/>
      <w:pPr>
        <w:ind w:left="4700" w:hanging="360"/>
      </w:pPr>
    </w:lvl>
    <w:lvl w:ilvl="7" w:tplc="04260019" w:tentative="1">
      <w:start w:val="1"/>
      <w:numFmt w:val="lowerLetter"/>
      <w:lvlText w:val="%8."/>
      <w:lvlJc w:val="left"/>
      <w:pPr>
        <w:ind w:left="5420" w:hanging="360"/>
      </w:pPr>
    </w:lvl>
    <w:lvl w:ilvl="8" w:tplc="0426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314B55F3"/>
    <w:multiLevelType w:val="hybridMultilevel"/>
    <w:tmpl w:val="4AB684FE"/>
    <w:lvl w:ilvl="0" w:tplc="0426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">
    <w:nsid w:val="3794730D"/>
    <w:multiLevelType w:val="hybridMultilevel"/>
    <w:tmpl w:val="FF646ABE"/>
    <w:lvl w:ilvl="0" w:tplc="0426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28"/>
    <w:rsid w:val="0005038A"/>
    <w:rsid w:val="000C703D"/>
    <w:rsid w:val="00156E18"/>
    <w:rsid w:val="002204E8"/>
    <w:rsid w:val="0032120D"/>
    <w:rsid w:val="00335619"/>
    <w:rsid w:val="00474ED8"/>
    <w:rsid w:val="005437C3"/>
    <w:rsid w:val="005802FC"/>
    <w:rsid w:val="007D693E"/>
    <w:rsid w:val="008C0091"/>
    <w:rsid w:val="0099499C"/>
    <w:rsid w:val="009A7EE9"/>
    <w:rsid w:val="00A310DC"/>
    <w:rsid w:val="00AA1528"/>
    <w:rsid w:val="00B03683"/>
    <w:rsid w:val="00B14C2E"/>
    <w:rsid w:val="00B17BAC"/>
    <w:rsid w:val="00B61A29"/>
    <w:rsid w:val="00B7663C"/>
    <w:rsid w:val="00BD7B24"/>
    <w:rsid w:val="00CC1E07"/>
    <w:rsid w:val="00F32B28"/>
    <w:rsid w:val="00F9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6C429-3305-472F-9C79-4996D4DE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9A7E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32B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32B2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32B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E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EE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9A7EE9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9A7EE9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9A7EE9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kr">
    <w:name w:val="naiskr"/>
    <w:basedOn w:val="Normal"/>
    <w:rsid w:val="009A7EE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A7EE9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9A7EE9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0C70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A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A29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ina.Kobzeva@f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2743</Words>
  <Characters>1564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„Par apropriācijas pārdali” sākotnējās ietekmes novērtējuma ziņojums (anotācija)</vt:lpstr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apropriācijas pārdali” sākotnējās ietekmes novērtējuma ziņojums (anotācija)</dc:title>
  <dc:subject>Anotācija</dc:subject>
  <dc:creator>Elīna Kobzeva</dc:creator>
  <cp:keywords/>
  <dc:description>Elina.Kobzeva@fm.gov.lv
67083885</dc:description>
  <cp:lastModifiedBy>Elīna Kobzeva</cp:lastModifiedBy>
  <cp:revision>15</cp:revision>
  <cp:lastPrinted>2015-11-09T06:44:00Z</cp:lastPrinted>
  <dcterms:created xsi:type="dcterms:W3CDTF">2014-09-08T08:28:00Z</dcterms:created>
  <dcterms:modified xsi:type="dcterms:W3CDTF">2015-11-09T06:45:00Z</dcterms:modified>
</cp:coreProperties>
</file>