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4A" w:rsidRPr="00D6075C" w:rsidRDefault="00D87FCE" w:rsidP="00D87FCE">
      <w:pPr>
        <w:pStyle w:val="BodyText"/>
        <w:tabs>
          <w:tab w:val="left" w:pos="1741"/>
          <w:tab w:val="center" w:pos="4323"/>
        </w:tabs>
        <w:jc w:val="left"/>
      </w:pPr>
      <w:bookmarkStart w:id="0" w:name="OLE_LINK1"/>
      <w:bookmarkStart w:id="1" w:name="OLE_LINK2"/>
      <w:r>
        <w:tab/>
      </w:r>
      <w:r>
        <w:tab/>
      </w:r>
      <w:r w:rsidR="00AC5C4A" w:rsidRPr="00D6075C">
        <w:t xml:space="preserve">Ministru kabineta rīkojuma projekts </w:t>
      </w:r>
    </w:p>
    <w:p w:rsidR="00306AB4" w:rsidRPr="00306AB4" w:rsidRDefault="00306AB4" w:rsidP="00306AB4">
      <w:pPr>
        <w:pStyle w:val="BodyText"/>
      </w:pPr>
      <w:bookmarkStart w:id="2" w:name="OLE_LINK3"/>
      <w:bookmarkStart w:id="3" w:name="OLE_LINK4"/>
      <w:r>
        <w:t>„</w:t>
      </w:r>
      <w:r w:rsidRPr="00306AB4">
        <w:t>Grozījumi Ministru kabineta 2011.gada 8.jūlija rīkojumā Nr.307</w:t>
      </w:r>
    </w:p>
    <w:bookmarkEnd w:id="2"/>
    <w:bookmarkEnd w:id="3"/>
    <w:p w:rsidR="00E562F1" w:rsidRPr="00306AB4" w:rsidRDefault="00306AB4" w:rsidP="00306AB4">
      <w:pPr>
        <w:pStyle w:val="BodyText"/>
      </w:pPr>
      <w:r w:rsidRPr="00306AB4">
        <w:t>„Par finansējuma piešķiršanu Padomju okupācijas upuru piemiņas memoriāla kompleksa Latviešu strēlnieku laukumā, Rīgā, izveides izdevumu segšanai”</w:t>
      </w:r>
      <w:r>
        <w:t>”</w:t>
      </w:r>
      <w:r w:rsidR="00AC5C4A" w:rsidRPr="00306AB4">
        <w:t xml:space="preserve"> sākotnējās ietekmes novērtējuma </w:t>
      </w:r>
      <w:smartTag w:uri="schemas-tilde-lv/tildestengine" w:element="veidnes">
        <w:smartTagPr>
          <w:attr w:name="id" w:val="-1"/>
          <w:attr w:name="baseform" w:val="ziņojums"/>
          <w:attr w:name="text" w:val="ziņojums"/>
        </w:smartTagPr>
        <w:r w:rsidR="00AC5C4A" w:rsidRPr="00306AB4">
          <w:t>ziņojums</w:t>
        </w:r>
      </w:smartTag>
      <w:r w:rsidR="00AC5C4A" w:rsidRPr="00306AB4">
        <w:t xml:space="preserve"> (anotācija)</w:t>
      </w:r>
    </w:p>
    <w:tbl>
      <w:tblPr>
        <w:tblpPr w:leftFromText="180" w:rightFromText="180" w:vertAnchor="text" w:horzAnchor="margin" w:tblpXSpec="center" w:tblpY="149"/>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1597"/>
        <w:gridCol w:w="7504"/>
      </w:tblGrid>
      <w:tr w:rsidR="003718DC" w:rsidRPr="003718DC" w:rsidTr="005A24DB">
        <w:trPr>
          <w:trHeight w:val="281"/>
        </w:trPr>
        <w:tc>
          <w:tcPr>
            <w:tcW w:w="5000" w:type="pct"/>
            <w:gridSpan w:val="3"/>
            <w:vAlign w:val="center"/>
          </w:tcPr>
          <w:p w:rsidR="00920EB8" w:rsidRPr="003718DC" w:rsidRDefault="00920EB8" w:rsidP="00920EB8">
            <w:pPr>
              <w:pStyle w:val="naisnod"/>
              <w:spacing w:before="120" w:beforeAutospacing="0" w:after="120" w:afterAutospacing="0"/>
              <w:jc w:val="center"/>
              <w:rPr>
                <w:b/>
              </w:rPr>
            </w:pPr>
            <w:r w:rsidRPr="003718DC">
              <w:rPr>
                <w:b/>
              </w:rPr>
              <w:t>I. Tiesību akta projekta izstrādes nepieciešamība</w:t>
            </w:r>
          </w:p>
        </w:tc>
      </w:tr>
      <w:tr w:rsidR="003718DC" w:rsidRPr="003718DC" w:rsidTr="005A24DB">
        <w:trPr>
          <w:trHeight w:val="630"/>
        </w:trPr>
        <w:tc>
          <w:tcPr>
            <w:tcW w:w="212" w:type="pct"/>
          </w:tcPr>
          <w:p w:rsidR="00920EB8" w:rsidRPr="003718DC" w:rsidRDefault="00920EB8" w:rsidP="00920EB8">
            <w:pPr>
              <w:pStyle w:val="naiskr"/>
              <w:spacing w:before="0" w:after="0"/>
            </w:pPr>
            <w:r w:rsidRPr="003718DC">
              <w:t>1.</w:t>
            </w:r>
          </w:p>
        </w:tc>
        <w:tc>
          <w:tcPr>
            <w:tcW w:w="840" w:type="pct"/>
          </w:tcPr>
          <w:p w:rsidR="00920EB8" w:rsidRPr="003718DC" w:rsidRDefault="00920EB8" w:rsidP="00920EB8">
            <w:pPr>
              <w:pStyle w:val="naiskr"/>
              <w:spacing w:before="0" w:after="0"/>
              <w:ind w:left="135" w:hanging="10"/>
            </w:pPr>
            <w:r w:rsidRPr="003718DC">
              <w:t>Pamatojums</w:t>
            </w:r>
          </w:p>
        </w:tc>
        <w:tc>
          <w:tcPr>
            <w:tcW w:w="3948" w:type="pct"/>
            <w:tcBorders>
              <w:bottom w:val="single" w:sz="4" w:space="0" w:color="auto"/>
            </w:tcBorders>
          </w:tcPr>
          <w:p w:rsidR="003B1B6E" w:rsidRPr="003718DC" w:rsidRDefault="00920EB8" w:rsidP="00F74632">
            <w:pPr>
              <w:pStyle w:val="NormalWeb"/>
              <w:tabs>
                <w:tab w:val="left" w:pos="557"/>
              </w:tabs>
              <w:spacing w:before="120" w:after="0"/>
              <w:ind w:left="132" w:right="141"/>
              <w:jc w:val="both"/>
              <w:rPr>
                <w:rFonts w:eastAsiaTheme="minorEastAsia" w:cstheme="minorBidi"/>
              </w:rPr>
            </w:pPr>
            <w:r w:rsidRPr="003718DC">
              <w:rPr>
                <w:rFonts w:eastAsiaTheme="minorEastAsia" w:cstheme="minorBidi"/>
              </w:rPr>
              <w:t>Ministru kabineta rīkojuma projekts</w:t>
            </w:r>
            <w:r w:rsidR="00306AB4" w:rsidRPr="003718DC">
              <w:rPr>
                <w:rFonts w:eastAsiaTheme="minorEastAsia" w:cstheme="minorBidi"/>
              </w:rPr>
              <w:t xml:space="preserve"> </w:t>
            </w:r>
            <w:r w:rsidRPr="003718DC">
              <w:rPr>
                <w:rFonts w:eastAsiaTheme="minorEastAsia" w:cstheme="minorBidi"/>
              </w:rPr>
              <w:t>„</w:t>
            </w:r>
            <w:r w:rsidR="00306AB4" w:rsidRPr="003718DC">
              <w:rPr>
                <w:rFonts w:eastAsiaTheme="minorEastAsia" w:cstheme="minorBidi"/>
              </w:rPr>
              <w:t>Grozījumi Ministru kabineta 2011.gada 8.jūlija rīkojumā Nr.307 „Par finansējuma piešķiršanu Padomju okupācijas upuru piemiņas memoriāla kompleksa Latviešu strēlnieku laukumā, Rīgā, izveides izdevumu segšanai”</w:t>
            </w:r>
            <w:r w:rsidRPr="003718DC">
              <w:rPr>
                <w:rFonts w:eastAsiaTheme="minorEastAsia" w:cstheme="minorBidi"/>
              </w:rPr>
              <w:t xml:space="preserve">” (turpmāk – </w:t>
            </w:r>
            <w:r w:rsidR="00A3369F" w:rsidRPr="003718DC">
              <w:rPr>
                <w:rFonts w:eastAsiaTheme="minorEastAsia" w:cstheme="minorBidi"/>
              </w:rPr>
              <w:t>MK</w:t>
            </w:r>
            <w:r w:rsidRPr="003718DC">
              <w:rPr>
                <w:rFonts w:eastAsiaTheme="minorEastAsia" w:cstheme="minorBidi"/>
              </w:rPr>
              <w:t xml:space="preserve"> rīkojuma projekts)</w:t>
            </w:r>
            <w:r w:rsidR="00F74632" w:rsidRPr="003718DC">
              <w:rPr>
                <w:rFonts w:eastAsiaTheme="minorEastAsia" w:cstheme="minorBidi"/>
              </w:rPr>
              <w:t xml:space="preserve"> </w:t>
            </w:r>
            <w:r w:rsidR="00360490" w:rsidRPr="003718DC">
              <w:rPr>
                <w:iCs/>
              </w:rPr>
              <w:t>sagatavots pēc Finanšu ministrijas (turpmāk – FM) iniciatīvas, lai precizētu</w:t>
            </w:r>
            <w:r w:rsidR="00360490" w:rsidRPr="003718DC">
              <w:rPr>
                <w:rFonts w:eastAsiaTheme="minorEastAsia" w:cstheme="minorBidi"/>
              </w:rPr>
              <w:t xml:space="preserve"> </w:t>
            </w:r>
            <w:r w:rsidR="00306AB4" w:rsidRPr="003718DC">
              <w:rPr>
                <w:rFonts w:eastAsiaTheme="minorEastAsia" w:cstheme="minorBidi"/>
              </w:rPr>
              <w:t>Ministru kabineta 2011.gada 8.jūlija rīkojumā Nr.307 „Par finansējuma piešķiršanu Padomju okupācijas upuru piemiņas memoriāla kompleksa Latviešu strēlnieku laukumā, Rīgā, izveides izdevumu segšanai”</w:t>
            </w:r>
            <w:r w:rsidRPr="003718DC">
              <w:rPr>
                <w:rFonts w:eastAsiaTheme="minorEastAsia" w:cstheme="minorBidi"/>
              </w:rPr>
              <w:t xml:space="preserve"> </w:t>
            </w:r>
            <w:r w:rsidR="00377BC2" w:rsidRPr="003718DC">
              <w:rPr>
                <w:rFonts w:eastAsiaTheme="minorEastAsia" w:cstheme="minorBidi"/>
              </w:rPr>
              <w:t xml:space="preserve">(turpmāk – </w:t>
            </w:r>
            <w:r w:rsidR="00A3369F" w:rsidRPr="003718DC">
              <w:rPr>
                <w:rFonts w:eastAsiaTheme="minorEastAsia" w:cstheme="minorBidi"/>
              </w:rPr>
              <w:t>MK</w:t>
            </w:r>
            <w:r w:rsidR="00377BC2" w:rsidRPr="003718DC">
              <w:rPr>
                <w:rFonts w:eastAsiaTheme="minorEastAsia" w:cstheme="minorBidi"/>
              </w:rPr>
              <w:t xml:space="preserve"> rīkojums Nr.</w:t>
            </w:r>
            <w:r w:rsidR="00306AB4" w:rsidRPr="003718DC">
              <w:rPr>
                <w:rFonts w:eastAsiaTheme="minorEastAsia" w:cstheme="minorBidi"/>
              </w:rPr>
              <w:t>307</w:t>
            </w:r>
            <w:r w:rsidR="00377BC2" w:rsidRPr="003718DC">
              <w:rPr>
                <w:rFonts w:eastAsiaTheme="minorEastAsia" w:cstheme="minorBidi"/>
              </w:rPr>
              <w:t xml:space="preserve">) </w:t>
            </w:r>
            <w:r w:rsidRPr="003718DC">
              <w:rPr>
                <w:rFonts w:eastAsiaTheme="minorEastAsia" w:cstheme="minorBidi"/>
              </w:rPr>
              <w:t>dot</w:t>
            </w:r>
            <w:r w:rsidR="00004BB1" w:rsidRPr="003718DC">
              <w:rPr>
                <w:rFonts w:eastAsiaTheme="minorEastAsia" w:cstheme="minorBidi"/>
              </w:rPr>
              <w:t>o</w:t>
            </w:r>
            <w:r w:rsidR="00360490" w:rsidRPr="003718DC">
              <w:rPr>
                <w:rFonts w:eastAsiaTheme="minorEastAsia" w:cstheme="minorBidi"/>
              </w:rPr>
              <w:t>s</w:t>
            </w:r>
            <w:r w:rsidRPr="003718DC">
              <w:rPr>
                <w:rFonts w:eastAsiaTheme="minorEastAsia" w:cstheme="minorBidi"/>
              </w:rPr>
              <w:t xml:space="preserve"> uzdevumu</w:t>
            </w:r>
            <w:r w:rsidR="00360490" w:rsidRPr="003718DC">
              <w:rPr>
                <w:rFonts w:eastAsiaTheme="minorEastAsia" w:cstheme="minorBidi"/>
              </w:rPr>
              <w:t>s</w:t>
            </w:r>
            <w:r w:rsidRPr="003718DC">
              <w:rPr>
                <w:rFonts w:eastAsiaTheme="minorEastAsia" w:cstheme="minorBidi"/>
              </w:rPr>
              <w:t>.</w:t>
            </w:r>
          </w:p>
        </w:tc>
      </w:tr>
      <w:tr w:rsidR="003718DC" w:rsidRPr="003718DC" w:rsidTr="005A24DB">
        <w:trPr>
          <w:trHeight w:val="472"/>
        </w:trPr>
        <w:tc>
          <w:tcPr>
            <w:tcW w:w="212" w:type="pct"/>
          </w:tcPr>
          <w:p w:rsidR="00920EB8" w:rsidRPr="003718DC" w:rsidRDefault="00920EB8" w:rsidP="00920EB8">
            <w:pPr>
              <w:pStyle w:val="naiskr"/>
              <w:spacing w:before="0" w:after="0"/>
            </w:pPr>
            <w:r w:rsidRPr="003718DC">
              <w:t>2.</w:t>
            </w:r>
          </w:p>
        </w:tc>
        <w:tc>
          <w:tcPr>
            <w:tcW w:w="840" w:type="pct"/>
          </w:tcPr>
          <w:p w:rsidR="00920EB8" w:rsidRPr="003718DC" w:rsidRDefault="00920EB8" w:rsidP="00920EB8">
            <w:pPr>
              <w:pStyle w:val="naiskr"/>
              <w:tabs>
                <w:tab w:val="left" w:pos="170"/>
              </w:tabs>
              <w:spacing w:before="0" w:after="0"/>
              <w:ind w:left="135"/>
            </w:pPr>
            <w:r w:rsidRPr="003718DC">
              <w:t>Pašreizējā situācija un problēmas, kuru risināšanai tiesību akta projekts izstrādāts, tiesiskā regulējuma mērķis un būtība</w:t>
            </w:r>
          </w:p>
        </w:tc>
        <w:tc>
          <w:tcPr>
            <w:tcW w:w="3948" w:type="pct"/>
            <w:shd w:val="clear" w:color="auto" w:fill="auto"/>
          </w:tcPr>
          <w:p w:rsidR="00E50861" w:rsidRPr="003718DC" w:rsidRDefault="00E50861" w:rsidP="00E50861">
            <w:pPr>
              <w:spacing w:after="0" w:line="240" w:lineRule="auto"/>
              <w:ind w:left="132" w:right="33"/>
              <w:jc w:val="both"/>
              <w:rPr>
                <w:rFonts w:ascii="Times New Roman" w:hAnsi="Times New Roman"/>
                <w:iCs/>
                <w:sz w:val="24"/>
                <w:szCs w:val="24"/>
              </w:rPr>
            </w:pPr>
            <w:r w:rsidRPr="003718DC">
              <w:rPr>
                <w:rFonts w:ascii="Times New Roman" w:hAnsi="Times New Roman"/>
                <w:iCs/>
                <w:sz w:val="24"/>
                <w:szCs w:val="24"/>
              </w:rPr>
              <w:t>Pašreizējā situācija:</w:t>
            </w:r>
          </w:p>
          <w:p w:rsidR="00E50861" w:rsidRDefault="00E50861" w:rsidP="00E50861">
            <w:pPr>
              <w:pStyle w:val="NormalWeb"/>
              <w:tabs>
                <w:tab w:val="left" w:pos="557"/>
              </w:tabs>
              <w:spacing w:before="120" w:after="0"/>
              <w:ind w:left="132" w:right="141"/>
              <w:jc w:val="both"/>
              <w:rPr>
                <w:rFonts w:eastAsiaTheme="minorEastAsia" w:cstheme="minorBidi"/>
              </w:rPr>
            </w:pPr>
            <w:r w:rsidRPr="003718DC">
              <w:rPr>
                <w:rFonts w:eastAsiaTheme="minorEastAsia" w:cstheme="minorBidi"/>
              </w:rPr>
              <w:t>Pamatojoties uz MK rīkojumu Nr.307</w:t>
            </w:r>
            <w:r>
              <w:rPr>
                <w:rFonts w:eastAsiaTheme="minorEastAsia" w:cstheme="minorBidi"/>
              </w:rPr>
              <w:t>:</w:t>
            </w:r>
          </w:p>
          <w:p w:rsidR="00E50861" w:rsidRDefault="00E50861" w:rsidP="00E50861">
            <w:pPr>
              <w:pStyle w:val="NormalWeb"/>
              <w:numPr>
                <w:ilvl w:val="0"/>
                <w:numId w:val="19"/>
              </w:numPr>
              <w:tabs>
                <w:tab w:val="left" w:pos="557"/>
              </w:tabs>
              <w:spacing w:before="120" w:after="0"/>
              <w:ind w:right="141"/>
              <w:jc w:val="both"/>
              <w:rPr>
                <w:rFonts w:eastAsiaTheme="minorEastAsia" w:cstheme="minorBidi"/>
              </w:rPr>
            </w:pPr>
            <w:r w:rsidRPr="003718DC">
              <w:rPr>
                <w:rFonts w:eastAsiaTheme="minorEastAsia" w:cstheme="minorBidi"/>
              </w:rPr>
              <w:t>likumā „Par valsts budžetu 2015.gadam” ir paredzēts finansējums</w:t>
            </w:r>
            <w:r>
              <w:rPr>
                <w:rFonts w:eastAsiaTheme="minorEastAsia" w:cstheme="minorBidi"/>
              </w:rPr>
              <w:t>:</w:t>
            </w:r>
          </w:p>
          <w:p w:rsidR="00E50861" w:rsidRDefault="00E50861" w:rsidP="00E50861">
            <w:pPr>
              <w:pStyle w:val="NormalWeb"/>
              <w:tabs>
                <w:tab w:val="left" w:pos="557"/>
              </w:tabs>
              <w:spacing w:before="120" w:after="0"/>
              <w:ind w:left="132" w:right="141"/>
              <w:jc w:val="both"/>
              <w:rPr>
                <w:rFonts w:eastAsiaTheme="minorEastAsia" w:cstheme="minorBidi"/>
                <w:iCs/>
              </w:rPr>
            </w:pPr>
            <w:r>
              <w:rPr>
                <w:rFonts w:eastAsiaTheme="minorEastAsia" w:cstheme="minorBidi"/>
              </w:rPr>
              <w:t>–</w:t>
            </w:r>
            <w:r w:rsidRPr="003718DC">
              <w:rPr>
                <w:rFonts w:eastAsiaTheme="minorEastAsia" w:cstheme="minorBidi"/>
              </w:rPr>
              <w:t xml:space="preserve"> Kultūras ministrijas (turpmāk – KM) budžetā </w:t>
            </w:r>
            <w:r>
              <w:rPr>
                <w:rFonts w:eastAsiaTheme="minorEastAsia" w:cstheme="minorBidi"/>
              </w:rPr>
              <w:t xml:space="preserve">ilgtermiņa saistībām </w:t>
            </w:r>
            <w:r w:rsidRPr="003718DC">
              <w:rPr>
                <w:rFonts w:eastAsiaTheme="minorEastAsia" w:cstheme="minorBidi"/>
              </w:rPr>
              <w:t xml:space="preserve">ēkas Latviešu strēlnieku laukumā 1, Rīgā, uzturēšanas izdevumu segšanai </w:t>
            </w:r>
            <w:r w:rsidRPr="003718DC">
              <w:rPr>
                <w:rFonts w:cstheme="minorBidi"/>
                <w:iCs/>
              </w:rPr>
              <w:t xml:space="preserve">2016. gadā 21 423 </w:t>
            </w:r>
            <w:r w:rsidRPr="003718DC">
              <w:rPr>
                <w:rFonts w:cstheme="minorBidi"/>
                <w:i/>
                <w:iCs/>
              </w:rPr>
              <w:t>euro</w:t>
            </w:r>
            <w:r w:rsidRPr="003718DC">
              <w:rPr>
                <w:iCs/>
              </w:rPr>
              <w:t xml:space="preserve">, </w:t>
            </w:r>
            <w:r w:rsidRPr="003718DC">
              <w:rPr>
                <w:rFonts w:cstheme="minorBidi"/>
                <w:iCs/>
              </w:rPr>
              <w:t>2017. gad</w:t>
            </w:r>
            <w:r>
              <w:rPr>
                <w:rFonts w:cstheme="minorBidi"/>
                <w:iCs/>
              </w:rPr>
              <w:t>ā</w:t>
            </w:r>
            <w:r w:rsidRPr="003718DC">
              <w:rPr>
                <w:rFonts w:cstheme="minorBidi"/>
                <w:iCs/>
              </w:rPr>
              <w:t xml:space="preserve"> 85 690 </w:t>
            </w:r>
            <w:r w:rsidRPr="003718DC">
              <w:rPr>
                <w:rFonts w:cstheme="minorBidi"/>
                <w:i/>
                <w:iCs/>
              </w:rPr>
              <w:t>euro</w:t>
            </w:r>
            <w:r w:rsidRPr="003718DC">
              <w:rPr>
                <w:rFonts w:cstheme="minorBidi"/>
                <w:iCs/>
              </w:rPr>
              <w:t xml:space="preserve"> </w:t>
            </w:r>
            <w:r>
              <w:rPr>
                <w:rFonts w:cstheme="minorBidi"/>
                <w:iCs/>
              </w:rPr>
              <w:t>un t</w:t>
            </w:r>
            <w:r w:rsidRPr="00E74647">
              <w:rPr>
                <w:rFonts w:cstheme="minorBidi"/>
                <w:iCs/>
              </w:rPr>
              <w:t xml:space="preserve">ālākā laika posmā līdz projekta īstenošanai </w:t>
            </w:r>
            <w:r>
              <w:rPr>
                <w:rFonts w:cstheme="minorBidi"/>
                <w:iCs/>
              </w:rPr>
              <w:t>1 606 687 e</w:t>
            </w:r>
            <w:r w:rsidRPr="003718DC">
              <w:rPr>
                <w:rFonts w:eastAsiaTheme="minorEastAsia" w:cstheme="minorBidi"/>
                <w:i/>
                <w:iCs/>
              </w:rPr>
              <w:t>uro</w:t>
            </w:r>
            <w:r>
              <w:rPr>
                <w:rFonts w:eastAsiaTheme="minorEastAsia" w:cstheme="minorBidi"/>
                <w:iCs/>
              </w:rPr>
              <w:t>;</w:t>
            </w:r>
          </w:p>
          <w:p w:rsidR="00E50861" w:rsidRPr="004F6778" w:rsidRDefault="00E50861" w:rsidP="00E50861">
            <w:pPr>
              <w:tabs>
                <w:tab w:val="left" w:pos="7361"/>
              </w:tabs>
              <w:autoSpaceDE w:val="0"/>
              <w:autoSpaceDN w:val="0"/>
              <w:adjustRightInd w:val="0"/>
              <w:spacing w:after="0" w:line="240" w:lineRule="auto"/>
              <w:ind w:left="132" w:right="285"/>
              <w:jc w:val="both"/>
              <w:rPr>
                <w:rFonts w:ascii="Times New Roman" w:hAnsi="Times New Roman"/>
                <w:sz w:val="24"/>
                <w:szCs w:val="24"/>
              </w:rPr>
            </w:pPr>
            <w:r>
              <w:rPr>
                <w:iCs/>
              </w:rPr>
              <w:t xml:space="preserve">– </w:t>
            </w:r>
            <w:r w:rsidRPr="003718DC">
              <w:rPr>
                <w:rFonts w:ascii="Times New Roman" w:hAnsi="Times New Roman"/>
                <w:sz w:val="24"/>
                <w:szCs w:val="24"/>
              </w:rPr>
              <w:t xml:space="preserve"> </w:t>
            </w:r>
            <w:r>
              <w:rPr>
                <w:rFonts w:ascii="Times New Roman" w:hAnsi="Times New Roman"/>
                <w:sz w:val="24"/>
                <w:szCs w:val="24"/>
              </w:rPr>
              <w:t xml:space="preserve">FM budžetā </w:t>
            </w:r>
            <w:r w:rsidRPr="003718DC">
              <w:rPr>
                <w:rFonts w:ascii="Times New Roman" w:hAnsi="Times New Roman"/>
                <w:sz w:val="24"/>
                <w:szCs w:val="24"/>
              </w:rPr>
              <w:t>ilgtermiņa saistīb</w:t>
            </w:r>
            <w:r>
              <w:rPr>
                <w:rFonts w:ascii="Times New Roman" w:hAnsi="Times New Roman"/>
                <w:sz w:val="24"/>
                <w:szCs w:val="24"/>
              </w:rPr>
              <w:t>ām</w:t>
            </w:r>
            <w:r w:rsidRPr="003718DC">
              <w:rPr>
                <w:rFonts w:ascii="Times New Roman" w:hAnsi="Times New Roman"/>
                <w:sz w:val="24"/>
                <w:szCs w:val="24"/>
              </w:rPr>
              <w:t xml:space="preserve"> kapitālieguldījumu izdevumu segšanai valsts akciju sabiedrībai </w:t>
            </w:r>
            <w:r>
              <w:rPr>
                <w:rFonts w:ascii="Times New Roman" w:hAnsi="Times New Roman"/>
                <w:sz w:val="24"/>
                <w:szCs w:val="24"/>
              </w:rPr>
              <w:t>„</w:t>
            </w:r>
            <w:r w:rsidRPr="003718DC">
              <w:rPr>
                <w:rFonts w:ascii="Times New Roman" w:hAnsi="Times New Roman"/>
                <w:sz w:val="24"/>
                <w:szCs w:val="24"/>
              </w:rPr>
              <w:t>Valsts nekustamie īpašumi</w:t>
            </w:r>
            <w:r>
              <w:rPr>
                <w:rFonts w:ascii="Times New Roman" w:hAnsi="Times New Roman"/>
                <w:sz w:val="24"/>
                <w:szCs w:val="24"/>
              </w:rPr>
              <w:t xml:space="preserve">” </w:t>
            </w:r>
            <w:r w:rsidRPr="003718DC">
              <w:rPr>
                <w:rFonts w:ascii="Times New Roman" w:hAnsi="Times New Roman"/>
                <w:sz w:val="24"/>
                <w:szCs w:val="24"/>
              </w:rPr>
              <w:t>(turpmāk – VNĪ), kas</w:t>
            </w:r>
            <w:r>
              <w:rPr>
                <w:rFonts w:ascii="Times New Roman" w:hAnsi="Times New Roman"/>
                <w:sz w:val="24"/>
                <w:szCs w:val="24"/>
              </w:rPr>
              <w:t xml:space="preserve"> </w:t>
            </w:r>
            <w:r w:rsidRPr="003718DC">
              <w:rPr>
                <w:rFonts w:ascii="Times New Roman" w:hAnsi="Times New Roman"/>
                <w:sz w:val="24"/>
                <w:szCs w:val="24"/>
              </w:rPr>
              <w:t>saistīti ar ēkas Latviešu strēlnieku laukumā 1, Rīgā (nekustamā īpašuma kadastra Nr. 0100 001 0095), rekonstrukciju</w:t>
            </w:r>
            <w:r>
              <w:rPr>
                <w:rFonts w:ascii="Times New Roman" w:hAnsi="Times New Roman"/>
                <w:sz w:val="24"/>
                <w:szCs w:val="24"/>
              </w:rPr>
              <w:t xml:space="preserve"> </w:t>
            </w:r>
            <w:r w:rsidRPr="003718DC">
              <w:rPr>
                <w:rFonts w:ascii="Times New Roman" w:hAnsi="Times New Roman"/>
                <w:sz w:val="24"/>
                <w:szCs w:val="24"/>
              </w:rPr>
              <w:t>un piebūves (Nākotnes nams) (turpmāk – būvniecības I kārta) būvniecību, kā arī Padomju okupācijas upuru piemiņas memoriāla Latviešu strēlnieku</w:t>
            </w:r>
            <w:r>
              <w:rPr>
                <w:rFonts w:ascii="Times New Roman" w:hAnsi="Times New Roman"/>
                <w:sz w:val="24"/>
                <w:szCs w:val="24"/>
              </w:rPr>
              <w:t xml:space="preserve"> </w:t>
            </w:r>
            <w:r w:rsidRPr="003718DC">
              <w:rPr>
                <w:rFonts w:ascii="Times New Roman" w:hAnsi="Times New Roman"/>
                <w:sz w:val="24"/>
                <w:szCs w:val="24"/>
              </w:rPr>
              <w:t xml:space="preserve">laukumā, Rīgā, (turpmāk – būvniecības II kārta) būvniecību, 2017. gadā 2 354 997 </w:t>
            </w:r>
            <w:r w:rsidRPr="00E74647">
              <w:rPr>
                <w:rFonts w:ascii="Times New Roman" w:hAnsi="Times New Roman"/>
                <w:i/>
                <w:sz w:val="24"/>
                <w:szCs w:val="24"/>
              </w:rPr>
              <w:t>euro</w:t>
            </w:r>
            <w:r>
              <w:rPr>
                <w:rFonts w:ascii="Times New Roman" w:hAnsi="Times New Roman"/>
                <w:sz w:val="24"/>
                <w:szCs w:val="24"/>
              </w:rPr>
              <w:t xml:space="preserve">, </w:t>
            </w:r>
            <w:r w:rsidRPr="00E74647">
              <w:rPr>
                <w:rFonts w:ascii="Times New Roman" w:hAnsi="Times New Roman"/>
                <w:sz w:val="24"/>
                <w:szCs w:val="24"/>
              </w:rPr>
              <w:t xml:space="preserve">tālākā laika posmā līdz projekta īstenošanai </w:t>
            </w:r>
            <w:r>
              <w:rPr>
                <w:rFonts w:ascii="Times New Roman" w:hAnsi="Times New Roman"/>
                <w:sz w:val="24"/>
                <w:szCs w:val="24"/>
              </w:rPr>
              <w:t xml:space="preserve">5 037 746 </w:t>
            </w:r>
            <w:r w:rsidRPr="00E74647">
              <w:rPr>
                <w:rFonts w:ascii="Times New Roman" w:hAnsi="Times New Roman"/>
                <w:i/>
                <w:sz w:val="24"/>
                <w:szCs w:val="24"/>
              </w:rPr>
              <w:t>euro</w:t>
            </w:r>
            <w:r>
              <w:rPr>
                <w:rFonts w:ascii="Times New Roman" w:hAnsi="Times New Roman"/>
                <w:sz w:val="24"/>
                <w:szCs w:val="24"/>
              </w:rPr>
              <w:t>, k</w:t>
            </w:r>
            <w:r w:rsidRPr="003718DC">
              <w:rPr>
                <w:rFonts w:ascii="Times New Roman" w:hAnsi="Times New Roman"/>
                <w:sz w:val="24"/>
                <w:szCs w:val="24"/>
              </w:rPr>
              <w:t>op</w:t>
            </w:r>
            <w:r>
              <w:rPr>
                <w:rFonts w:ascii="Times New Roman" w:hAnsi="Times New Roman"/>
                <w:sz w:val="24"/>
                <w:szCs w:val="24"/>
              </w:rPr>
              <w:t>ā</w:t>
            </w:r>
            <w:r w:rsidRPr="003718DC">
              <w:rPr>
                <w:rFonts w:ascii="Times New Roman" w:hAnsi="Times New Roman"/>
                <w:sz w:val="24"/>
                <w:szCs w:val="24"/>
              </w:rPr>
              <w:t xml:space="preserve"> </w:t>
            </w:r>
            <w:r>
              <w:rPr>
                <w:rFonts w:ascii="Times New Roman" w:hAnsi="Times New Roman"/>
                <w:sz w:val="24"/>
                <w:szCs w:val="24"/>
              </w:rPr>
              <w:t xml:space="preserve">paredzēts </w:t>
            </w:r>
            <w:r w:rsidRPr="003718DC">
              <w:rPr>
                <w:rFonts w:ascii="Times New Roman" w:hAnsi="Times New Roman"/>
                <w:sz w:val="24"/>
                <w:szCs w:val="24"/>
              </w:rPr>
              <w:t>finansējum</w:t>
            </w:r>
            <w:r>
              <w:rPr>
                <w:rFonts w:ascii="Times New Roman" w:hAnsi="Times New Roman"/>
                <w:sz w:val="24"/>
                <w:szCs w:val="24"/>
              </w:rPr>
              <w:t xml:space="preserve">s </w:t>
            </w:r>
            <w:r w:rsidRPr="003718DC">
              <w:rPr>
                <w:rFonts w:ascii="Times New Roman" w:hAnsi="Times New Roman"/>
                <w:sz w:val="24"/>
                <w:szCs w:val="24"/>
              </w:rPr>
              <w:t xml:space="preserve">7 392 743 </w:t>
            </w:r>
            <w:r w:rsidRPr="00E74647">
              <w:rPr>
                <w:rFonts w:ascii="Times New Roman" w:hAnsi="Times New Roman"/>
                <w:i/>
                <w:sz w:val="24"/>
                <w:szCs w:val="24"/>
              </w:rPr>
              <w:t>euro</w:t>
            </w:r>
            <w:r>
              <w:rPr>
                <w:rFonts w:ascii="Times New Roman" w:hAnsi="Times New Roman"/>
                <w:sz w:val="24"/>
                <w:szCs w:val="24"/>
              </w:rPr>
              <w:t>.</w:t>
            </w:r>
          </w:p>
          <w:p w:rsidR="00E50861" w:rsidRPr="009469B3" w:rsidRDefault="00E50861" w:rsidP="00E50861">
            <w:pPr>
              <w:pStyle w:val="NormalWeb"/>
              <w:numPr>
                <w:ilvl w:val="0"/>
                <w:numId w:val="19"/>
              </w:numPr>
              <w:tabs>
                <w:tab w:val="left" w:pos="132"/>
              </w:tabs>
              <w:spacing w:before="120" w:after="0"/>
              <w:ind w:left="132" w:right="141" w:firstLine="0"/>
              <w:jc w:val="both"/>
              <w:rPr>
                <w:rFonts w:eastAsiaTheme="minorEastAsia" w:cstheme="minorBidi"/>
              </w:rPr>
            </w:pPr>
            <w:r w:rsidRPr="009469B3">
              <w:rPr>
                <w:rFonts w:eastAsiaTheme="minorEastAsia" w:cstheme="minorBidi"/>
              </w:rPr>
              <w:t>FM (VNĪ) dots uzdevums nodrošināt būvniecības I kārtas pabeigšanu līdz 2016.gada 1.oktobrim, bet būvniecības II kārtas pabeigšanu līdz 2017.gada 1.jūlijam.</w:t>
            </w:r>
          </w:p>
          <w:p w:rsidR="00E50861" w:rsidRPr="003718DC" w:rsidRDefault="00E50861" w:rsidP="00E50861">
            <w:pPr>
              <w:spacing w:after="0" w:line="240" w:lineRule="auto"/>
              <w:ind w:left="132" w:right="33"/>
              <w:jc w:val="both"/>
              <w:rPr>
                <w:rFonts w:ascii="Times New Roman" w:hAnsi="Times New Roman"/>
                <w:iCs/>
                <w:sz w:val="24"/>
                <w:szCs w:val="24"/>
              </w:rPr>
            </w:pPr>
          </w:p>
          <w:p w:rsidR="00E50861" w:rsidRDefault="00E50861" w:rsidP="00E50861">
            <w:pPr>
              <w:spacing w:after="0"/>
              <w:ind w:left="142" w:right="159" w:firstLine="11"/>
              <w:jc w:val="both"/>
              <w:rPr>
                <w:rFonts w:ascii="Times New Roman" w:hAnsi="Times New Roman"/>
                <w:sz w:val="24"/>
                <w:szCs w:val="24"/>
              </w:rPr>
            </w:pPr>
            <w:r>
              <w:rPr>
                <w:rFonts w:ascii="Times New Roman" w:hAnsi="Times New Roman"/>
                <w:sz w:val="24"/>
                <w:szCs w:val="24"/>
                <w:u w:val="single"/>
              </w:rPr>
              <w:t>Būvniecības I kārtas īstenošana:</w:t>
            </w:r>
          </w:p>
          <w:p w:rsidR="00E50861" w:rsidRPr="00475BF4" w:rsidRDefault="00E50861" w:rsidP="00E50861">
            <w:pPr>
              <w:pStyle w:val="naiskr"/>
              <w:tabs>
                <w:tab w:val="left" w:pos="366"/>
              </w:tabs>
              <w:spacing w:before="0" w:after="0"/>
              <w:ind w:left="103" w:right="132"/>
              <w:jc w:val="both"/>
            </w:pPr>
            <w:r w:rsidRPr="00475BF4">
              <w:t>Starp VNĪ un SIA „Būvprojektu Vadība” 2013.gada 1.martā tika noslēgts Līgums Nr.21-13-10/402 par projektēšanas un autoruzraudzības veikšanu (objekts: Latvijas Okupācijas muzeja ēka Latviešu strēlnieku laukumā 1, Rīgā), kura ietvaros SIA „Būvprojektu Vadība” apņēmās  izstrādāt Latvijas Okupācijas muzeja ēkas tehnisko projektu un iesniegt VNĪ. Ņemot vērā to, ka SIA „Būvprojektu Vadība” nepildīja līguma nosacījumus, VNĪ vienpusēji atkāp</w:t>
            </w:r>
            <w:r>
              <w:t>ās</w:t>
            </w:r>
            <w:r w:rsidRPr="00475BF4">
              <w:t xml:space="preserve"> no Līguma.</w:t>
            </w:r>
          </w:p>
          <w:p w:rsidR="00E50861" w:rsidRDefault="00E50861" w:rsidP="00E50861">
            <w:pPr>
              <w:pStyle w:val="naiskr"/>
              <w:tabs>
                <w:tab w:val="left" w:pos="366"/>
              </w:tabs>
              <w:spacing w:before="120" w:after="60"/>
              <w:ind w:left="103" w:right="132"/>
              <w:jc w:val="both"/>
            </w:pPr>
            <w:r>
              <w:t xml:space="preserve">2014.gada 18.jūlijā tika noslēgts Līgums Nr.4-2-14-10/1719 ar SIA „5.IELA” (SIA „Būvprojektu vadība” apakšuzņēmējs) par tehniskā projekta izstrādi un autoruzraudzības veikšanu (līguma summa 129 000 </w:t>
            </w:r>
            <w:r w:rsidRPr="00475BF4">
              <w:rPr>
                <w:i/>
              </w:rPr>
              <w:t>euro</w:t>
            </w:r>
            <w:r>
              <w:t xml:space="preserve"> (bez PVN), tai skaitā tehniskā projekta izstrāde 126 000 </w:t>
            </w:r>
            <w:r w:rsidRPr="00475BF4">
              <w:rPr>
                <w:i/>
              </w:rPr>
              <w:t>euro</w:t>
            </w:r>
            <w:r w:rsidR="0060312B">
              <w:t xml:space="preserve"> un autoruzraudzība 3 000 </w:t>
            </w:r>
            <w:r w:rsidR="0060312B" w:rsidRPr="0060312B">
              <w:rPr>
                <w:i/>
              </w:rPr>
              <w:t>euro</w:t>
            </w:r>
            <w:r>
              <w:t>).</w:t>
            </w:r>
          </w:p>
          <w:p w:rsidR="00E50861" w:rsidRPr="00475BF4" w:rsidRDefault="00E50861" w:rsidP="00E50861">
            <w:pPr>
              <w:pStyle w:val="naiskr"/>
              <w:tabs>
                <w:tab w:val="left" w:pos="366"/>
              </w:tabs>
              <w:spacing w:before="120" w:after="60"/>
              <w:ind w:left="103" w:right="132"/>
              <w:jc w:val="both"/>
            </w:pPr>
            <w:r>
              <w:lastRenderedPageBreak/>
              <w:t xml:space="preserve">2015.gada 21.aprīlī VNĪ ar pieņemšanas un nodošanas aktu no SIA „5.iela” ir pieņēmusi tehnisko projektu un 2015.gada 20.aprīlī ar pieņemšanas un nodošanas aktu no SIA „VPM Latvia” ir pieņēmusi pozitīvu ekspertīzes atzinumu par tehnisko projektu. 2015.gada 11.maijā Rīgas pilsētas būvvaldē tika iesniegts būvniecības iesniegums ar lūgumu izsniegt būvatļauju ar projektēšanas nosacījumiem un veikt atzīmi par projektēšanas nosacījumu izpildi. Rīgas pilsētas </w:t>
            </w:r>
            <w:r w:rsidR="000D24AB">
              <w:t>b</w:t>
            </w:r>
            <w:r>
              <w:t>ūvvalde ar 2015.gada 9.jūnija lēmumu Nr.BV-15-3500-ap pagarināja lēmuma pieņemšanas termiņu konkrētajā lietā līdz 2015.gada 10.septembrim. VNĪ 2015.gada 10.septembrī saņēm</w:t>
            </w:r>
            <w:r w:rsidR="000D24AB">
              <w:t>a</w:t>
            </w:r>
            <w:r>
              <w:t xml:space="preserve"> Rīgas domes Pilsētas attīstības departamenta (turpmāk – RDPAD) lēmumu Nr. DA-15-4981-nd, kurā RDPAD nolēm</w:t>
            </w:r>
            <w:r w:rsidR="000D24AB">
              <w:t>a</w:t>
            </w:r>
            <w:r>
              <w:t xml:space="preserve"> pagarināt administratīvā akta izdošanas termiņu līdz 2016.gada 11.maijam. VNĪ, uzskatot minēto lēmumu par nepamatotu, 2015.gada 6.oktobrī Administratīvās rajona tiesas Rīgas tiesu namam iesnie</w:t>
            </w:r>
            <w:r w:rsidR="000D24AB">
              <w:t>dza</w:t>
            </w:r>
            <w:r>
              <w:t xml:space="preserve"> sūdzību, lūdzot sūdzību izskatīt iespējami īsākā laikā, atcelt RDPAD 2015.gada 10.septembra lēmumu </w:t>
            </w:r>
            <w:r w:rsidRPr="001A710B">
              <w:t>Nr. DA-15-4981-nd</w:t>
            </w:r>
            <w:r>
              <w:t xml:space="preserve">, noteikt Rīgas pilsētas </w:t>
            </w:r>
            <w:r w:rsidR="000D24AB">
              <w:t>b</w:t>
            </w:r>
            <w:r>
              <w:t>ūvvaldei saīsināto termiņu administratīvā akta izdošanai un uzlikt par pienākumu Rīgas pilsētas būvvaldei izdot administratīvo aktu tiesas noteiktajā termiņā.</w:t>
            </w:r>
            <w:r w:rsidRPr="001A710B">
              <w:t xml:space="preserve"> </w:t>
            </w:r>
            <w:r>
              <w:t xml:space="preserve"> </w:t>
            </w:r>
          </w:p>
          <w:p w:rsidR="00E50861" w:rsidRDefault="00E50861" w:rsidP="00E50861">
            <w:pPr>
              <w:pStyle w:val="naiskr"/>
              <w:tabs>
                <w:tab w:val="left" w:pos="366"/>
              </w:tabs>
              <w:spacing w:before="120" w:after="60"/>
              <w:ind w:left="103" w:right="132"/>
              <w:jc w:val="both"/>
            </w:pPr>
            <w:r>
              <w:t xml:space="preserve">Iepirkumu procedūru būvniecības un būvuzraudzības darbiem šobrīd  tiek plānots pabeigt līdz 2016.gada 30.septembrim (pieņemot, ka būvatļauja tiek izsniegta 2016.gada maijā). Savukārt būvniecības darbus plānots pabeigt līdz 2017.gada </w:t>
            </w:r>
            <w:r w:rsidR="00210BF4">
              <w:t>30</w:t>
            </w:r>
            <w:r>
              <w:t>.</w:t>
            </w:r>
            <w:r w:rsidR="00210BF4">
              <w:t>setembrim</w:t>
            </w:r>
            <w:r>
              <w:t>.</w:t>
            </w:r>
          </w:p>
          <w:p w:rsidR="00E50861" w:rsidRDefault="00E50861" w:rsidP="00E50861">
            <w:pPr>
              <w:pStyle w:val="naiskr"/>
              <w:tabs>
                <w:tab w:val="left" w:pos="366"/>
              </w:tabs>
              <w:spacing w:before="120" w:after="60"/>
              <w:ind w:left="103" w:right="132"/>
              <w:jc w:val="both"/>
            </w:pPr>
            <w:r>
              <w:t xml:space="preserve">Aktualizētais būvniecības I kārtas provizoriskais darbu izpildes laika grafiks: </w:t>
            </w:r>
          </w:p>
          <w:tbl>
            <w:tblPr>
              <w:tblStyle w:val="TableGrid"/>
              <w:tblW w:w="59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6"/>
              <w:gridCol w:w="1957"/>
              <w:gridCol w:w="1318"/>
              <w:gridCol w:w="1451"/>
              <w:gridCol w:w="750"/>
            </w:tblGrid>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Nr.</w:t>
                  </w:r>
                  <w:r>
                    <w:rPr>
                      <w:rFonts w:ascii="Times New Roman" w:hAnsi="Times New Roman"/>
                      <w:sz w:val="16"/>
                      <w:szCs w:val="16"/>
                    </w:rPr>
                    <w:br/>
                    <w:t>p.k.</w:t>
                  </w:r>
                </w:p>
              </w:tc>
              <w:tc>
                <w:tcPr>
                  <w:tcW w:w="1957"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Darbība</w:t>
                  </w:r>
                </w:p>
              </w:tc>
              <w:tc>
                <w:tcPr>
                  <w:tcW w:w="1318"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Uzsākts (</w:t>
                  </w:r>
                  <w:r w:rsidR="000D24AB">
                    <w:rPr>
                      <w:rFonts w:ascii="Times New Roman" w:hAnsi="Times New Roman"/>
                      <w:sz w:val="16"/>
                      <w:szCs w:val="16"/>
                    </w:rPr>
                    <w:t>dd.mm.</w:t>
                  </w:r>
                  <w:r>
                    <w:rPr>
                      <w:rFonts w:ascii="Times New Roman" w:hAnsi="Times New Roman"/>
                      <w:sz w:val="16"/>
                      <w:szCs w:val="16"/>
                    </w:rPr>
                    <w:t>gggg.)</w:t>
                  </w:r>
                </w:p>
              </w:tc>
              <w:tc>
                <w:tcPr>
                  <w:tcW w:w="1451"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Pabeigts</w:t>
                  </w:r>
                  <w:r>
                    <w:rPr>
                      <w:rFonts w:ascii="Times New Roman" w:hAnsi="Times New Roman"/>
                      <w:sz w:val="16"/>
                      <w:szCs w:val="16"/>
                    </w:rPr>
                    <w:br/>
                  </w:r>
                  <w:r w:rsidR="000D24AB">
                    <w:rPr>
                      <w:rFonts w:ascii="Times New Roman" w:hAnsi="Times New Roman"/>
                      <w:sz w:val="16"/>
                      <w:szCs w:val="16"/>
                    </w:rPr>
                    <w:t>(dd.mm.gggg.)</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Vidējais mēnešu skaits</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Tehniskā projekta izstrāde, ekspertīze un saskaņošana Rīgas pilsētas būvvaldē</w:t>
                  </w:r>
                </w:p>
              </w:tc>
              <w:tc>
                <w:tcPr>
                  <w:tcW w:w="1318" w:type="dxa"/>
                  <w:vAlign w:val="center"/>
                </w:tcPr>
                <w:p w:rsidR="00E50861"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01.08.</w:t>
                  </w:r>
                  <w:r w:rsidR="00E50861">
                    <w:rPr>
                      <w:rFonts w:ascii="Times New Roman" w:hAnsi="Times New Roman"/>
                      <w:sz w:val="16"/>
                      <w:szCs w:val="16"/>
                    </w:rPr>
                    <w:t>2014.</w:t>
                  </w:r>
                </w:p>
              </w:tc>
              <w:tc>
                <w:tcPr>
                  <w:tcW w:w="1451" w:type="dxa"/>
                  <w:vAlign w:val="center"/>
                </w:tcPr>
                <w:p w:rsidR="00E50861" w:rsidRDefault="000D24AB" w:rsidP="00BE1AF8">
                  <w:pPr>
                    <w:framePr w:hSpace="180" w:wrap="around" w:vAnchor="text" w:hAnchor="margin" w:xAlign="center" w:y="149"/>
                    <w:jc w:val="center"/>
                    <w:rPr>
                      <w:rFonts w:ascii="Times New Roman" w:eastAsiaTheme="minorHAnsi" w:hAnsi="Times New Roman"/>
                      <w:sz w:val="16"/>
                      <w:szCs w:val="16"/>
                    </w:rPr>
                  </w:pPr>
                  <w:r w:rsidRPr="009512DA">
                    <w:rPr>
                      <w:rFonts w:ascii="Times New Roman" w:hAnsi="Times New Roman"/>
                      <w:sz w:val="16"/>
                      <w:szCs w:val="16"/>
                    </w:rPr>
                    <w:t>15.05.</w:t>
                  </w:r>
                  <w:r w:rsidR="00E50861" w:rsidRPr="009512DA">
                    <w:rPr>
                      <w:rFonts w:ascii="Times New Roman" w:hAnsi="Times New Roman"/>
                      <w:sz w:val="16"/>
                      <w:szCs w:val="16"/>
                    </w:rPr>
                    <w:t>2016.</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22</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2</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Iepirkuma procedūra būvniecības un būvuzraudzības darbiem</w:t>
                  </w:r>
                </w:p>
              </w:tc>
              <w:tc>
                <w:tcPr>
                  <w:tcW w:w="1318" w:type="dxa"/>
                  <w:vAlign w:val="center"/>
                </w:tcPr>
                <w:p w:rsidR="00E50861"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01.10.</w:t>
                  </w:r>
                  <w:r w:rsidR="00E50861">
                    <w:rPr>
                      <w:rFonts w:ascii="Times New Roman" w:hAnsi="Times New Roman"/>
                      <w:sz w:val="16"/>
                      <w:szCs w:val="16"/>
                    </w:rPr>
                    <w:t>2015.</w:t>
                  </w:r>
                </w:p>
              </w:tc>
              <w:tc>
                <w:tcPr>
                  <w:tcW w:w="1451" w:type="dxa"/>
                  <w:vAlign w:val="center"/>
                </w:tcPr>
                <w:p w:rsidR="00E50861"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30.09.</w:t>
                  </w:r>
                  <w:r w:rsidR="00E50861">
                    <w:rPr>
                      <w:rFonts w:ascii="Times New Roman" w:hAnsi="Times New Roman"/>
                      <w:sz w:val="16"/>
                      <w:szCs w:val="16"/>
                    </w:rPr>
                    <w:t>2016.</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12</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Būvniecības darbi</w:t>
                  </w:r>
                </w:p>
              </w:tc>
              <w:tc>
                <w:tcPr>
                  <w:tcW w:w="1318" w:type="dxa"/>
                  <w:vAlign w:val="center"/>
                </w:tcPr>
                <w:p w:rsidR="00E50861"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01.10.</w:t>
                  </w:r>
                  <w:r w:rsidR="00E50861">
                    <w:rPr>
                      <w:rFonts w:ascii="Times New Roman" w:hAnsi="Times New Roman"/>
                      <w:sz w:val="16"/>
                      <w:szCs w:val="16"/>
                    </w:rPr>
                    <w:t>2016.</w:t>
                  </w:r>
                </w:p>
              </w:tc>
              <w:tc>
                <w:tcPr>
                  <w:tcW w:w="1451" w:type="dxa"/>
                  <w:vAlign w:val="center"/>
                </w:tcPr>
                <w:p w:rsidR="00E50861" w:rsidRDefault="00884629"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30</w:t>
                  </w:r>
                  <w:r w:rsidR="000D24AB">
                    <w:rPr>
                      <w:rFonts w:ascii="Times New Roman" w:hAnsi="Times New Roman"/>
                      <w:sz w:val="16"/>
                      <w:szCs w:val="16"/>
                    </w:rPr>
                    <w:t>.</w:t>
                  </w:r>
                  <w:r>
                    <w:rPr>
                      <w:rFonts w:ascii="Times New Roman" w:hAnsi="Times New Roman"/>
                      <w:sz w:val="16"/>
                      <w:szCs w:val="16"/>
                    </w:rPr>
                    <w:t>09</w:t>
                  </w:r>
                  <w:r w:rsidR="000D24AB">
                    <w:rPr>
                      <w:rFonts w:ascii="Times New Roman" w:hAnsi="Times New Roman"/>
                      <w:sz w:val="16"/>
                      <w:szCs w:val="16"/>
                    </w:rPr>
                    <w:t>.</w:t>
                  </w:r>
                  <w:r w:rsidR="00E50861">
                    <w:rPr>
                      <w:rFonts w:ascii="Times New Roman" w:hAnsi="Times New Roman"/>
                      <w:sz w:val="16"/>
                      <w:szCs w:val="16"/>
                    </w:rPr>
                    <w:t>2017.</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12</w:t>
                  </w:r>
                </w:p>
              </w:tc>
            </w:tr>
          </w:tbl>
          <w:p w:rsidR="00E50861" w:rsidRDefault="00E50861" w:rsidP="00E50861">
            <w:pPr>
              <w:spacing w:after="0"/>
              <w:ind w:left="142" w:right="159" w:firstLine="11"/>
              <w:jc w:val="both"/>
              <w:rPr>
                <w:rFonts w:ascii="Times New Roman" w:hAnsi="Times New Roman"/>
                <w:sz w:val="24"/>
                <w:szCs w:val="24"/>
              </w:rPr>
            </w:pPr>
            <w:r>
              <w:rPr>
                <w:rFonts w:ascii="Times New Roman" w:hAnsi="Times New Roman"/>
                <w:sz w:val="24"/>
                <w:szCs w:val="24"/>
                <w:u w:val="single"/>
              </w:rPr>
              <w:t>Būvniecības II kārtas īstenošana :</w:t>
            </w:r>
          </w:p>
          <w:p w:rsidR="00E50861" w:rsidRDefault="00E50861" w:rsidP="00E50861">
            <w:pPr>
              <w:pStyle w:val="naiskr"/>
              <w:tabs>
                <w:tab w:val="left" w:pos="366"/>
              </w:tabs>
              <w:spacing w:before="0" w:after="0"/>
              <w:ind w:left="103" w:right="132"/>
              <w:jc w:val="both"/>
            </w:pPr>
            <w:r>
              <w:t xml:space="preserve">Šobrīd izstrādātajam un Rīgas pilsētas būvvaldē 2009.gada 7.aprīlī  saskaņotajam būvniecības II kārtas skiču projektam ir beidzies derīguma termiņš. Līdz ar to, lai turpinātu darbus būvniecības II kārtas ietvaros, nepieciešams veikt atkārtotu skiču projekta saskaņošanu Rīgas pilsētas būvvaldē un citās institūcijās. </w:t>
            </w:r>
          </w:p>
          <w:p w:rsidR="00E50861" w:rsidRDefault="00E50861" w:rsidP="00E50861">
            <w:pPr>
              <w:pStyle w:val="naiskr"/>
              <w:tabs>
                <w:tab w:val="left" w:pos="366"/>
              </w:tabs>
              <w:spacing w:before="0" w:after="0"/>
              <w:ind w:left="103" w:right="132"/>
              <w:jc w:val="both"/>
            </w:pPr>
            <w:r>
              <w:t xml:space="preserve">Lai atjaunotu  darbu pie  Padomju okupācijas upuru piemiņas Memoriāla būvprojekta izstrādes, veicamas nepieciešamās darbības līguma noslēgšanai ar skiču projekta izstrādātāju SIA „Taktila”, vienojoties par projekta izstrādes līgumcenu un projekta izstrādes termiņu. </w:t>
            </w:r>
          </w:p>
          <w:p w:rsidR="00E50861" w:rsidRDefault="00E50861" w:rsidP="00E50861">
            <w:pPr>
              <w:pStyle w:val="naiskr"/>
              <w:tabs>
                <w:tab w:val="left" w:pos="366"/>
              </w:tabs>
              <w:spacing w:before="0" w:after="0"/>
              <w:ind w:left="103" w:right="132"/>
              <w:jc w:val="both"/>
            </w:pPr>
            <w:r>
              <w:t>Ņemot vērā, ka būvniecības I kārtas darbi ir aizkavējušies un to, ka RDPAD ir nolemts pagarināt būvatļaujas iespējamo izsniegšanas termiņu līdz 2016.gada 11.maijam, pieņemts lēmums būvniecības II kārtu realizēt nesaistīti ar būvniecības I kārtu. Tādējādi, šobrīd atbilstoši SIA „Taktila” piedāvājumam tiek plānots II kārtas būvniecības darbu, tostarp t</w:t>
            </w:r>
            <w:r w:rsidRPr="00D762F5">
              <w:t>ēlniecības mākslas darba realizācija</w:t>
            </w:r>
            <w:r>
              <w:t xml:space="preserve">s pabeigšanas termiņš līdz 2018.gada </w:t>
            </w:r>
            <w:r w:rsidR="00210BF4">
              <w:t>30</w:t>
            </w:r>
            <w:r w:rsidR="00BE1AF8">
              <w:t>.martam</w:t>
            </w:r>
            <w:r>
              <w:t>.</w:t>
            </w:r>
          </w:p>
          <w:p w:rsidR="00E50861" w:rsidRDefault="00E50861" w:rsidP="00E50861">
            <w:pPr>
              <w:pStyle w:val="naiskr"/>
              <w:tabs>
                <w:tab w:val="left" w:pos="366"/>
              </w:tabs>
              <w:spacing w:before="120" w:after="60"/>
              <w:ind w:left="103" w:right="132"/>
              <w:jc w:val="both"/>
            </w:pPr>
            <w:r>
              <w:t xml:space="preserve">Aktualizētais būvniecības II kārtas  provizoriskais darbu izpildes laika </w:t>
            </w:r>
            <w:r>
              <w:lastRenderedPageBreak/>
              <w:t xml:space="preserve">grafiks: </w:t>
            </w:r>
          </w:p>
          <w:tbl>
            <w:tblPr>
              <w:tblStyle w:val="TableGrid"/>
              <w:tblW w:w="59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6"/>
              <w:gridCol w:w="1957"/>
              <w:gridCol w:w="1318"/>
              <w:gridCol w:w="1451"/>
              <w:gridCol w:w="750"/>
            </w:tblGrid>
            <w:tr w:rsidR="000D24AB" w:rsidTr="0060312B">
              <w:trPr>
                <w:jc w:val="center"/>
              </w:trPr>
              <w:tc>
                <w:tcPr>
                  <w:tcW w:w="456" w:type="dxa"/>
                  <w:vAlign w:val="center"/>
                </w:tcPr>
                <w:p w:rsidR="000D24AB"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Nr.</w:t>
                  </w:r>
                  <w:r>
                    <w:rPr>
                      <w:rFonts w:ascii="Times New Roman" w:hAnsi="Times New Roman"/>
                      <w:sz w:val="16"/>
                      <w:szCs w:val="16"/>
                    </w:rPr>
                    <w:br/>
                    <w:t>p.k.</w:t>
                  </w:r>
                </w:p>
              </w:tc>
              <w:tc>
                <w:tcPr>
                  <w:tcW w:w="1957" w:type="dxa"/>
                  <w:vAlign w:val="center"/>
                </w:tcPr>
                <w:p w:rsidR="000D24AB"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Darbība</w:t>
                  </w:r>
                </w:p>
              </w:tc>
              <w:tc>
                <w:tcPr>
                  <w:tcW w:w="1318" w:type="dxa"/>
                  <w:vAlign w:val="center"/>
                </w:tcPr>
                <w:p w:rsidR="000D24AB"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Uzsākts (dd.mm.gggg.)</w:t>
                  </w:r>
                </w:p>
              </w:tc>
              <w:tc>
                <w:tcPr>
                  <w:tcW w:w="1451" w:type="dxa"/>
                  <w:vAlign w:val="center"/>
                </w:tcPr>
                <w:p w:rsidR="000D24AB"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Pabeigts</w:t>
                  </w:r>
                  <w:r>
                    <w:rPr>
                      <w:rFonts w:ascii="Times New Roman" w:hAnsi="Times New Roman"/>
                      <w:sz w:val="16"/>
                      <w:szCs w:val="16"/>
                    </w:rPr>
                    <w:br/>
                    <w:t>(dd.mm.gggg.)</w:t>
                  </w:r>
                </w:p>
              </w:tc>
              <w:tc>
                <w:tcPr>
                  <w:tcW w:w="750" w:type="dxa"/>
                  <w:vAlign w:val="center"/>
                </w:tcPr>
                <w:p w:rsidR="000D24AB" w:rsidRDefault="000D24AB"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Vidējais mēnešu skaits</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 xml:space="preserve">Iepirkuma </w:t>
                  </w:r>
                  <w:r w:rsidR="00B4488F">
                    <w:rPr>
                      <w:rFonts w:ascii="Times New Roman" w:hAnsi="Times New Roman"/>
                      <w:sz w:val="16"/>
                      <w:szCs w:val="16"/>
                    </w:rPr>
                    <w:t xml:space="preserve"> </w:t>
                  </w:r>
                  <w:r>
                    <w:rPr>
                      <w:rFonts w:ascii="Times New Roman" w:hAnsi="Times New Roman"/>
                      <w:sz w:val="16"/>
                      <w:szCs w:val="16"/>
                    </w:rPr>
                    <w:t>procedūra būvprojekta izstrādei</w:t>
                  </w:r>
                  <w:r w:rsidR="00B4488F">
                    <w:rPr>
                      <w:rFonts w:ascii="Times New Roman" w:hAnsi="Times New Roman"/>
                      <w:sz w:val="16"/>
                      <w:szCs w:val="16"/>
                    </w:rPr>
                    <w:t xml:space="preserve">  (sarunu procedūra, kuras ietvaros tiek precizēts vizuālais risinājums</w:t>
                  </w:r>
                  <w:r w:rsidR="00906F29">
                    <w:rPr>
                      <w:rFonts w:ascii="Times New Roman" w:hAnsi="Times New Roman"/>
                      <w:sz w:val="16"/>
                      <w:szCs w:val="16"/>
                    </w:rPr>
                    <w:t xml:space="preserve"> un </w:t>
                  </w:r>
                  <w:r w:rsidR="00B4488F">
                    <w:rPr>
                      <w:rFonts w:ascii="Times New Roman" w:hAnsi="Times New Roman"/>
                      <w:sz w:val="16"/>
                      <w:szCs w:val="16"/>
                    </w:rPr>
                    <w:t>būvapjoms)</w:t>
                  </w:r>
                </w:p>
              </w:tc>
              <w:tc>
                <w:tcPr>
                  <w:tcW w:w="1318"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01.08.</w:t>
                  </w:r>
                  <w:r w:rsidR="00E50861">
                    <w:rPr>
                      <w:rFonts w:ascii="Times New Roman" w:hAnsi="Times New Roman"/>
                      <w:sz w:val="16"/>
                      <w:szCs w:val="16"/>
                    </w:rPr>
                    <w:t>2014.</w:t>
                  </w:r>
                </w:p>
              </w:tc>
              <w:tc>
                <w:tcPr>
                  <w:tcW w:w="1451"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30.10.</w:t>
                  </w:r>
                  <w:r w:rsidR="00E50861">
                    <w:rPr>
                      <w:rFonts w:ascii="Times New Roman" w:hAnsi="Times New Roman"/>
                      <w:sz w:val="16"/>
                      <w:szCs w:val="16"/>
                    </w:rPr>
                    <w:t>2015.</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15</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2</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Būvprojekta  un mākslas projekta izstrāde un būvprojekta ekspertīze</w:t>
                  </w:r>
                </w:p>
              </w:tc>
              <w:tc>
                <w:tcPr>
                  <w:tcW w:w="1318"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01.11.</w:t>
                  </w:r>
                  <w:r w:rsidR="00E50861">
                    <w:rPr>
                      <w:rFonts w:ascii="Times New Roman" w:hAnsi="Times New Roman"/>
                      <w:sz w:val="16"/>
                      <w:szCs w:val="16"/>
                    </w:rPr>
                    <w:t>2015.</w:t>
                  </w:r>
                </w:p>
              </w:tc>
              <w:tc>
                <w:tcPr>
                  <w:tcW w:w="1451"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01.10.</w:t>
                  </w:r>
                  <w:r w:rsidR="00E50861">
                    <w:rPr>
                      <w:rFonts w:ascii="Times New Roman" w:hAnsi="Times New Roman"/>
                      <w:sz w:val="16"/>
                      <w:szCs w:val="16"/>
                    </w:rPr>
                    <w:t>2016.</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11</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Iepirkuma procedūra būvniecības darbiem</w:t>
                  </w:r>
                </w:p>
              </w:tc>
              <w:tc>
                <w:tcPr>
                  <w:tcW w:w="1318"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01.06.</w:t>
                  </w:r>
                  <w:r w:rsidR="00E50861">
                    <w:rPr>
                      <w:rFonts w:ascii="Times New Roman" w:hAnsi="Times New Roman"/>
                      <w:sz w:val="16"/>
                      <w:szCs w:val="16"/>
                    </w:rPr>
                    <w:t>2016.</w:t>
                  </w:r>
                </w:p>
              </w:tc>
              <w:tc>
                <w:tcPr>
                  <w:tcW w:w="1451"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01.12.</w:t>
                  </w:r>
                  <w:r w:rsidR="00E50861">
                    <w:rPr>
                      <w:rFonts w:ascii="Times New Roman" w:hAnsi="Times New Roman"/>
                      <w:sz w:val="16"/>
                      <w:szCs w:val="16"/>
                    </w:rPr>
                    <w:t>2016.</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6</w:t>
                  </w:r>
                </w:p>
              </w:tc>
            </w:tr>
            <w:tr w:rsidR="00E50861" w:rsidTr="0060312B">
              <w:trPr>
                <w:jc w:val="center"/>
              </w:trPr>
              <w:tc>
                <w:tcPr>
                  <w:tcW w:w="456" w:type="dxa"/>
                  <w:vAlign w:val="center"/>
                </w:tcPr>
                <w:p w:rsidR="00E50861" w:rsidRDefault="00E50861" w:rsidP="00BE1AF8">
                  <w:pPr>
                    <w:framePr w:hSpace="180" w:wrap="around" w:vAnchor="text" w:hAnchor="margin" w:xAlign="center" w:y="149"/>
                    <w:jc w:val="center"/>
                    <w:rPr>
                      <w:rFonts w:ascii="Times New Roman" w:hAnsi="Times New Roman"/>
                      <w:sz w:val="16"/>
                      <w:szCs w:val="16"/>
                    </w:rPr>
                  </w:pPr>
                  <w:r>
                    <w:rPr>
                      <w:rFonts w:ascii="Times New Roman" w:hAnsi="Times New Roman"/>
                      <w:sz w:val="16"/>
                      <w:szCs w:val="16"/>
                    </w:rPr>
                    <w:t>4</w:t>
                  </w:r>
                </w:p>
              </w:tc>
              <w:tc>
                <w:tcPr>
                  <w:tcW w:w="1957" w:type="dxa"/>
                  <w:vAlign w:val="center"/>
                </w:tcPr>
                <w:p w:rsidR="00E50861" w:rsidRDefault="00E50861" w:rsidP="00BE1AF8">
                  <w:pPr>
                    <w:framePr w:hSpace="180" w:wrap="around" w:vAnchor="text" w:hAnchor="margin" w:xAlign="center" w:y="149"/>
                    <w:rPr>
                      <w:rFonts w:ascii="Times New Roman" w:eastAsiaTheme="minorHAnsi" w:hAnsi="Times New Roman"/>
                      <w:sz w:val="16"/>
                      <w:szCs w:val="16"/>
                    </w:rPr>
                  </w:pPr>
                  <w:r>
                    <w:rPr>
                      <w:rFonts w:ascii="Times New Roman" w:hAnsi="Times New Roman"/>
                      <w:sz w:val="16"/>
                      <w:szCs w:val="16"/>
                    </w:rPr>
                    <w:t>Būvniecības darbi, tostarp tēlniecības mākslas darba realizācija</w:t>
                  </w:r>
                </w:p>
              </w:tc>
              <w:tc>
                <w:tcPr>
                  <w:tcW w:w="1318" w:type="dxa"/>
                  <w:vAlign w:val="center"/>
                </w:tcPr>
                <w:p w:rsidR="00E50861" w:rsidRDefault="009512DA"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01.12.</w:t>
                  </w:r>
                  <w:r w:rsidR="00E50861">
                    <w:rPr>
                      <w:rFonts w:ascii="Times New Roman" w:hAnsi="Times New Roman"/>
                      <w:sz w:val="16"/>
                      <w:szCs w:val="16"/>
                    </w:rPr>
                    <w:t>2016.</w:t>
                  </w:r>
                </w:p>
              </w:tc>
              <w:tc>
                <w:tcPr>
                  <w:tcW w:w="1451" w:type="dxa"/>
                  <w:vAlign w:val="center"/>
                </w:tcPr>
                <w:p w:rsidR="00E50861" w:rsidRDefault="00884629"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30</w:t>
                  </w:r>
                  <w:r w:rsidR="009512DA">
                    <w:rPr>
                      <w:rFonts w:ascii="Times New Roman" w:hAnsi="Times New Roman"/>
                      <w:sz w:val="16"/>
                      <w:szCs w:val="16"/>
                    </w:rPr>
                    <w:t>.0</w:t>
                  </w:r>
                  <w:r>
                    <w:rPr>
                      <w:rFonts w:ascii="Times New Roman" w:hAnsi="Times New Roman"/>
                      <w:sz w:val="16"/>
                      <w:szCs w:val="16"/>
                    </w:rPr>
                    <w:t>3</w:t>
                  </w:r>
                  <w:r w:rsidR="009512DA">
                    <w:rPr>
                      <w:rFonts w:ascii="Times New Roman" w:hAnsi="Times New Roman"/>
                      <w:sz w:val="16"/>
                      <w:szCs w:val="16"/>
                    </w:rPr>
                    <w:t>.</w:t>
                  </w:r>
                  <w:r w:rsidR="00E50861">
                    <w:rPr>
                      <w:rFonts w:ascii="Times New Roman" w:hAnsi="Times New Roman"/>
                      <w:sz w:val="16"/>
                      <w:szCs w:val="16"/>
                    </w:rPr>
                    <w:t>2018.</w:t>
                  </w:r>
                </w:p>
              </w:tc>
              <w:tc>
                <w:tcPr>
                  <w:tcW w:w="750" w:type="dxa"/>
                  <w:vAlign w:val="center"/>
                </w:tcPr>
                <w:p w:rsidR="00E50861" w:rsidRDefault="00E50861" w:rsidP="00BE1AF8">
                  <w:pPr>
                    <w:framePr w:hSpace="180" w:wrap="around" w:vAnchor="text" w:hAnchor="margin" w:xAlign="center" w:y="149"/>
                    <w:jc w:val="center"/>
                    <w:rPr>
                      <w:rFonts w:ascii="Times New Roman" w:eastAsiaTheme="minorHAnsi" w:hAnsi="Times New Roman"/>
                      <w:sz w:val="16"/>
                      <w:szCs w:val="16"/>
                    </w:rPr>
                  </w:pPr>
                  <w:r>
                    <w:rPr>
                      <w:rFonts w:ascii="Times New Roman" w:hAnsi="Times New Roman"/>
                      <w:sz w:val="16"/>
                      <w:szCs w:val="16"/>
                    </w:rPr>
                    <w:t>16</w:t>
                  </w:r>
                </w:p>
              </w:tc>
            </w:tr>
          </w:tbl>
          <w:p w:rsidR="00E50861" w:rsidRPr="00D762F5" w:rsidRDefault="00E50861" w:rsidP="00E50861">
            <w:pPr>
              <w:pStyle w:val="naiskr"/>
              <w:tabs>
                <w:tab w:val="left" w:pos="366"/>
              </w:tabs>
              <w:spacing w:before="120" w:after="60"/>
              <w:ind w:left="103" w:right="132"/>
              <w:jc w:val="both"/>
            </w:pPr>
            <w:r w:rsidRPr="00475BF4">
              <w:t>Ņemot vērā iepriekš minēto,</w:t>
            </w:r>
            <w:r>
              <w:t xml:space="preserve"> </w:t>
            </w:r>
            <w:r w:rsidRPr="00BB7118">
              <w:t xml:space="preserve">FM (VNĪ) ir </w:t>
            </w:r>
            <w:r w:rsidRPr="00BB7118">
              <w:rPr>
                <w:iCs/>
              </w:rPr>
              <w:t>sagatavojusi priekšlikumu</w:t>
            </w:r>
            <w:r>
              <w:rPr>
                <w:iCs/>
              </w:rPr>
              <w:t>s</w:t>
            </w:r>
            <w:r w:rsidRPr="00BB7118">
              <w:rPr>
                <w:iCs/>
              </w:rPr>
              <w:t xml:space="preserve"> Ministru kabinetam </w:t>
            </w:r>
            <w:r w:rsidRPr="00475BF4">
              <w:t>precizēt būvniecības darbu</w:t>
            </w:r>
            <w:r>
              <w:t>, tostarp t</w:t>
            </w:r>
            <w:r w:rsidRPr="00D762F5">
              <w:t>ēlniecības mākslas darba realizācija</w:t>
            </w:r>
            <w:r>
              <w:t>s</w:t>
            </w:r>
            <w:r w:rsidRPr="00475BF4">
              <w:t xml:space="preserve"> pabeigšanas termiņu</w:t>
            </w:r>
            <w:r>
              <w:t>s</w:t>
            </w:r>
            <w:r w:rsidRPr="00475BF4">
              <w:t xml:space="preserve"> </w:t>
            </w:r>
            <w:r>
              <w:t>un KM</w:t>
            </w:r>
            <w:r w:rsidRPr="00475BF4">
              <w:t xml:space="preserve"> budžetā ilgtermiņa saistībās paredzēt</w:t>
            </w:r>
            <w:r>
              <w:t>ā</w:t>
            </w:r>
            <w:r w:rsidRPr="00475BF4">
              <w:t xml:space="preserve"> finansējuma </w:t>
            </w:r>
            <w:r>
              <w:t>uzturēšanas</w:t>
            </w:r>
            <w:r w:rsidRPr="00475BF4">
              <w:t xml:space="preserve"> izdevumu segšanai sadalījumu pa gadiem. </w:t>
            </w:r>
          </w:p>
          <w:p w:rsidR="00E50861" w:rsidRPr="009469B3" w:rsidRDefault="00E50861" w:rsidP="00E50861">
            <w:pPr>
              <w:pStyle w:val="naiskr"/>
              <w:tabs>
                <w:tab w:val="left" w:pos="366"/>
              </w:tabs>
              <w:spacing w:before="120" w:after="60"/>
              <w:ind w:left="103" w:right="132"/>
              <w:jc w:val="both"/>
              <w:rPr>
                <w:bCs/>
              </w:rPr>
            </w:pPr>
            <w:r w:rsidRPr="009469B3">
              <w:t>MK rīkojuma projekta tiesiskā regulējuma</w:t>
            </w:r>
            <w:r w:rsidRPr="009469B3">
              <w:rPr>
                <w:bCs/>
              </w:rPr>
              <w:t xml:space="preserve"> mērķis un būtība:</w:t>
            </w:r>
          </w:p>
          <w:p w:rsidR="00E50861" w:rsidRDefault="00E50861" w:rsidP="00E50861">
            <w:pPr>
              <w:pStyle w:val="naiskr"/>
              <w:numPr>
                <w:ilvl w:val="0"/>
                <w:numId w:val="9"/>
              </w:numPr>
              <w:tabs>
                <w:tab w:val="left" w:pos="142"/>
                <w:tab w:val="left" w:pos="425"/>
              </w:tabs>
              <w:spacing w:before="0" w:after="0"/>
              <w:ind w:left="85" w:right="143" w:firstLine="0"/>
              <w:jc w:val="both"/>
              <w:rPr>
                <w:bCs/>
              </w:rPr>
            </w:pPr>
            <w:r w:rsidRPr="009469B3">
              <w:rPr>
                <w:bCs/>
              </w:rPr>
              <w:t>svītrot 1.</w:t>
            </w:r>
            <w:r w:rsidRPr="009469B3">
              <w:rPr>
                <w:bCs/>
                <w:vertAlign w:val="superscript"/>
              </w:rPr>
              <w:t>1</w:t>
            </w:r>
            <w:r w:rsidRPr="009469B3">
              <w:rPr>
                <w:bCs/>
              </w:rPr>
              <w:t xml:space="preserve">punktu un </w:t>
            </w:r>
            <w:r>
              <w:rPr>
                <w:bCs/>
              </w:rPr>
              <w:t>pa</w:t>
            </w:r>
            <w:r w:rsidRPr="009469B3">
              <w:rPr>
                <w:bCs/>
              </w:rPr>
              <w:t>pildināt rīkojumu ar 1.</w:t>
            </w:r>
            <w:r w:rsidRPr="009469B3">
              <w:rPr>
                <w:bCs/>
                <w:vertAlign w:val="superscript"/>
              </w:rPr>
              <w:t>2</w:t>
            </w:r>
            <w:r w:rsidRPr="009469B3">
              <w:rPr>
                <w:bCs/>
              </w:rPr>
              <w:t xml:space="preserve"> punktu</w:t>
            </w:r>
            <w:r>
              <w:rPr>
                <w:bCs/>
              </w:rPr>
              <w:t>, precizējot KM</w:t>
            </w:r>
            <w:r w:rsidRPr="009469B3">
              <w:rPr>
                <w:bCs/>
              </w:rPr>
              <w:t xml:space="preserve"> budžetā ilgtermiņa saistības nekustamā īpašuma (nekustamā īpašuma kadastra Nr. 0100 001 0095) Latviešu strēlnieku laukumā 1, Rīgā, uzturēšanas izdevumu segšanai </w:t>
            </w:r>
            <w:r>
              <w:rPr>
                <w:bCs/>
              </w:rPr>
              <w:t xml:space="preserve">VNĪ </w:t>
            </w:r>
            <w:r w:rsidRPr="009469B3">
              <w:rPr>
                <w:bCs/>
              </w:rPr>
              <w:t xml:space="preserve">2017. gadā 21 423 </w:t>
            </w:r>
            <w:r w:rsidRPr="009469B3">
              <w:rPr>
                <w:bCs/>
                <w:i/>
              </w:rPr>
              <w:t>euro</w:t>
            </w:r>
            <w:r w:rsidRPr="009469B3">
              <w:rPr>
                <w:bCs/>
              </w:rPr>
              <w:t xml:space="preserve">, turpmākajā laikposmā 1 692 377 </w:t>
            </w:r>
            <w:r w:rsidRPr="009469B3">
              <w:rPr>
                <w:bCs/>
                <w:i/>
              </w:rPr>
              <w:t>euro</w:t>
            </w:r>
            <w:r w:rsidRPr="009469B3">
              <w:rPr>
                <w:bCs/>
              </w:rPr>
              <w:t xml:space="preserve"> (no 2018. gada līdz 2036. gadam (ieskaitot) 85690 </w:t>
            </w:r>
            <w:r w:rsidRPr="009469B3">
              <w:rPr>
                <w:bCs/>
                <w:i/>
              </w:rPr>
              <w:t xml:space="preserve">euro </w:t>
            </w:r>
            <w:r w:rsidRPr="009469B3">
              <w:rPr>
                <w:bCs/>
              </w:rPr>
              <w:t xml:space="preserve">katru gadu, 2037. gadā 64 267 </w:t>
            </w:r>
            <w:r w:rsidRPr="009469B3">
              <w:rPr>
                <w:bCs/>
                <w:i/>
              </w:rPr>
              <w:t>euro</w:t>
            </w:r>
            <w:r w:rsidRPr="009469B3">
              <w:rPr>
                <w:bCs/>
              </w:rPr>
              <w:t>)</w:t>
            </w:r>
            <w:r>
              <w:rPr>
                <w:bCs/>
              </w:rPr>
              <w:t>;</w:t>
            </w:r>
          </w:p>
          <w:p w:rsidR="00E50861" w:rsidRPr="009469B3" w:rsidRDefault="00E50861" w:rsidP="00E50861">
            <w:pPr>
              <w:pStyle w:val="naiskr"/>
              <w:numPr>
                <w:ilvl w:val="0"/>
                <w:numId w:val="9"/>
              </w:numPr>
              <w:tabs>
                <w:tab w:val="left" w:pos="142"/>
                <w:tab w:val="left" w:pos="425"/>
              </w:tabs>
              <w:spacing w:before="0" w:after="0"/>
              <w:ind w:left="85" w:right="143" w:firstLine="0"/>
              <w:jc w:val="both"/>
              <w:rPr>
                <w:bCs/>
              </w:rPr>
            </w:pPr>
            <w:r>
              <w:t xml:space="preserve">I kārtas </w:t>
            </w:r>
            <w:r w:rsidRPr="00CB32FE">
              <w:t>būvniecības darbu pabeigšanas termiņš</w:t>
            </w:r>
            <w:r w:rsidRPr="009469B3">
              <w:rPr>
                <w:bCs/>
              </w:rPr>
              <w:t xml:space="preserve"> līdz 2017.gada </w:t>
            </w:r>
            <w:r w:rsidR="00884629">
              <w:rPr>
                <w:bCs/>
              </w:rPr>
              <w:t>30.septembrim</w:t>
            </w:r>
            <w:r w:rsidRPr="009469B3">
              <w:rPr>
                <w:bCs/>
              </w:rPr>
              <w:t xml:space="preserve"> un II kārtas </w:t>
            </w:r>
            <w:r w:rsidRPr="00CB32FE">
              <w:t xml:space="preserve">būvniecības </w:t>
            </w:r>
            <w:r>
              <w:t>darbu, tai skaitā</w:t>
            </w:r>
            <w:r w:rsidRPr="009469B3">
              <w:rPr>
                <w:bCs/>
              </w:rPr>
              <w:t xml:space="preserve"> tēlniecības mākslas darba realizācijas </w:t>
            </w:r>
            <w:r w:rsidRPr="00CB32FE">
              <w:t>darbu pabeigšanas termiņš</w:t>
            </w:r>
            <w:r w:rsidRPr="009469B3">
              <w:rPr>
                <w:bCs/>
              </w:rPr>
              <w:t xml:space="preserve"> līdz 2018.gada </w:t>
            </w:r>
            <w:r w:rsidR="00884629">
              <w:rPr>
                <w:bCs/>
              </w:rPr>
              <w:t>30.martam</w:t>
            </w:r>
            <w:r w:rsidR="00AD7683">
              <w:rPr>
                <w:bCs/>
              </w:rPr>
              <w:t>, vienlaikus precizēts termins „rekonstrukcija” uz terminiem „pārbūve un restaurācija”</w:t>
            </w:r>
            <w:r w:rsidRPr="009469B3">
              <w:rPr>
                <w:bCs/>
              </w:rPr>
              <w:t>;</w:t>
            </w:r>
          </w:p>
          <w:p w:rsidR="00E50861" w:rsidRPr="003718DC" w:rsidRDefault="00E50861" w:rsidP="00E50861">
            <w:pPr>
              <w:pStyle w:val="naiskr"/>
              <w:numPr>
                <w:ilvl w:val="0"/>
                <w:numId w:val="9"/>
              </w:numPr>
              <w:tabs>
                <w:tab w:val="left" w:pos="142"/>
                <w:tab w:val="left" w:pos="425"/>
              </w:tabs>
              <w:spacing w:before="0" w:after="0"/>
              <w:ind w:left="85" w:right="143" w:firstLine="0"/>
              <w:jc w:val="both"/>
              <w:rPr>
                <w:szCs w:val="28"/>
              </w:rPr>
            </w:pPr>
            <w:r>
              <w:rPr>
                <w:bCs/>
              </w:rPr>
              <w:t>5.</w:t>
            </w:r>
            <w:r w:rsidRPr="003718DC">
              <w:rPr>
                <w:bCs/>
              </w:rPr>
              <w:t xml:space="preserve">punktā precizēta atsauce uz </w:t>
            </w:r>
            <w:r>
              <w:rPr>
                <w:bCs/>
              </w:rPr>
              <w:t>1</w:t>
            </w:r>
            <w:r w:rsidRPr="003718DC">
              <w:rPr>
                <w:bCs/>
              </w:rPr>
              <w:t>.</w:t>
            </w:r>
            <w:r w:rsidRPr="003718DC">
              <w:rPr>
                <w:bCs/>
                <w:vertAlign w:val="superscript"/>
              </w:rPr>
              <w:t>2</w:t>
            </w:r>
            <w:r w:rsidRPr="003718DC">
              <w:rPr>
                <w:bCs/>
              </w:rPr>
              <w:t> punktu.</w:t>
            </w:r>
          </w:p>
          <w:p w:rsidR="009C1888" w:rsidRPr="009C1888" w:rsidRDefault="00E50861" w:rsidP="009C1888">
            <w:pPr>
              <w:pStyle w:val="naiskr"/>
              <w:tabs>
                <w:tab w:val="left" w:pos="142"/>
                <w:tab w:val="left" w:pos="425"/>
              </w:tabs>
              <w:spacing w:before="0" w:after="0"/>
              <w:ind w:left="85" w:right="143"/>
              <w:jc w:val="both"/>
            </w:pPr>
            <w:r w:rsidRPr="001B271E">
              <w:t>Vienlaikus ir sagatavots Ministru kabineta sēdes protokollēmuma projekts, kas paredz  KM iesniegt FM priekšlikumus likumprojektam „Par vidēja termiņa budžeta ietvaru 2016., 2017. un 2018.gadam” un likumprojektam „Par valsts budžetu 2016.gadam” izskatīšanai Saeimā otrajā lasījumā</w:t>
            </w:r>
            <w:r w:rsidR="009C1888" w:rsidRPr="001B271E">
              <w:t xml:space="preserve"> par izdevumu samazināšanu budžeta apakšprogrammai 22.07.00 „Nomas maksas VAS „Valsts nekustamie īpašumi” programmas „Mantojums-2018” ietvaros” ilgtermiņa saistību pasākumam „Ēkas Latviešu strēlnieku laukumā 1, Rīgā uzturēšanas izdevumiem VAS „Valsts nekustamie īpašumi”” 2016.gadam par 21 423 </w:t>
            </w:r>
            <w:r w:rsidR="009C1888" w:rsidRPr="001B271E">
              <w:rPr>
                <w:i/>
              </w:rPr>
              <w:t>euro</w:t>
            </w:r>
            <w:r w:rsidR="009C1888" w:rsidRPr="001B271E">
              <w:t xml:space="preserve"> un 2017.gadam par 64 267 </w:t>
            </w:r>
            <w:r w:rsidR="009C1888" w:rsidRPr="001B271E">
              <w:rPr>
                <w:i/>
              </w:rPr>
              <w:t>euro</w:t>
            </w:r>
            <w:r w:rsidR="009C1888" w:rsidRPr="001B271E">
              <w:t>.</w:t>
            </w:r>
          </w:p>
          <w:p w:rsidR="00E50861" w:rsidRPr="002D167D" w:rsidRDefault="00E50861" w:rsidP="00E50861">
            <w:pPr>
              <w:pStyle w:val="naiskr"/>
              <w:tabs>
                <w:tab w:val="left" w:pos="366"/>
              </w:tabs>
              <w:spacing w:before="120" w:after="60"/>
              <w:ind w:left="103" w:right="132"/>
              <w:jc w:val="both"/>
            </w:pPr>
            <w:r w:rsidRPr="003718DC">
              <w:rPr>
                <w:iCs/>
              </w:rPr>
              <w:t>Ministru kabineta rīkojuma projekts pilnībā atrisina anotācijas I.sadaļas 2.punktā minētās problēmas.</w:t>
            </w:r>
          </w:p>
          <w:p w:rsidR="00920EB8" w:rsidRPr="003718DC" w:rsidRDefault="00E50861" w:rsidP="00E50861">
            <w:pPr>
              <w:spacing w:after="120" w:line="240" w:lineRule="auto"/>
              <w:ind w:left="142" w:right="143"/>
              <w:jc w:val="both"/>
              <w:rPr>
                <w:rFonts w:ascii="Times New Roman" w:hAnsi="Times New Roman"/>
                <w:sz w:val="24"/>
                <w:szCs w:val="24"/>
              </w:rPr>
            </w:pPr>
            <w:r w:rsidRPr="003718DC">
              <w:rPr>
                <w:rFonts w:ascii="Times New Roman" w:hAnsi="Times New Roman"/>
                <w:sz w:val="24"/>
                <w:szCs w:val="24"/>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3718DC" w:rsidRPr="003718DC" w:rsidTr="005A24DB">
        <w:trPr>
          <w:trHeight w:val="1071"/>
        </w:trPr>
        <w:tc>
          <w:tcPr>
            <w:tcW w:w="212" w:type="pct"/>
          </w:tcPr>
          <w:p w:rsidR="00920EB8" w:rsidRPr="003718DC" w:rsidRDefault="00920EB8" w:rsidP="00920EB8">
            <w:pPr>
              <w:pStyle w:val="naiskr"/>
              <w:spacing w:before="0" w:after="0"/>
            </w:pPr>
            <w:r w:rsidRPr="003718DC">
              <w:lastRenderedPageBreak/>
              <w:t>3.</w:t>
            </w:r>
          </w:p>
        </w:tc>
        <w:tc>
          <w:tcPr>
            <w:tcW w:w="840" w:type="pct"/>
          </w:tcPr>
          <w:p w:rsidR="00920EB8" w:rsidRPr="003718DC" w:rsidRDefault="00920EB8" w:rsidP="00920EB8">
            <w:pPr>
              <w:pStyle w:val="naiskr"/>
              <w:spacing w:before="0" w:after="0"/>
              <w:ind w:left="135"/>
            </w:pPr>
            <w:r w:rsidRPr="003718DC">
              <w:t>Projekta izstrādē iesaistītās institūcijas</w:t>
            </w:r>
          </w:p>
        </w:tc>
        <w:tc>
          <w:tcPr>
            <w:tcW w:w="3948" w:type="pct"/>
          </w:tcPr>
          <w:p w:rsidR="00920EB8" w:rsidRPr="003718DC" w:rsidRDefault="00920EB8" w:rsidP="00920EB8">
            <w:pPr>
              <w:pStyle w:val="naiskr"/>
              <w:spacing w:before="0" w:after="0"/>
              <w:ind w:left="101"/>
            </w:pPr>
            <w:r w:rsidRPr="003718DC">
              <w:rPr>
                <w:bCs/>
              </w:rPr>
              <w:t>FM (VNĪ).</w:t>
            </w:r>
          </w:p>
        </w:tc>
      </w:tr>
      <w:tr w:rsidR="003718DC" w:rsidRPr="003718DC" w:rsidTr="005A24DB">
        <w:trPr>
          <w:trHeight w:val="132"/>
        </w:trPr>
        <w:tc>
          <w:tcPr>
            <w:tcW w:w="212" w:type="pct"/>
          </w:tcPr>
          <w:p w:rsidR="00920EB8" w:rsidRPr="003718DC" w:rsidRDefault="00920EB8" w:rsidP="00920EB8">
            <w:pPr>
              <w:pStyle w:val="naiskr"/>
              <w:spacing w:before="0" w:after="0"/>
            </w:pPr>
            <w:r w:rsidRPr="003718DC">
              <w:t>4.</w:t>
            </w:r>
          </w:p>
        </w:tc>
        <w:tc>
          <w:tcPr>
            <w:tcW w:w="840" w:type="pct"/>
          </w:tcPr>
          <w:p w:rsidR="00920EB8" w:rsidRPr="003718DC" w:rsidRDefault="00920EB8" w:rsidP="00920EB8">
            <w:pPr>
              <w:pStyle w:val="naiskr"/>
              <w:spacing w:before="0" w:after="0"/>
            </w:pPr>
            <w:r w:rsidRPr="003718DC">
              <w:t>Cita informācija</w:t>
            </w:r>
          </w:p>
        </w:tc>
        <w:tc>
          <w:tcPr>
            <w:tcW w:w="3948" w:type="pct"/>
          </w:tcPr>
          <w:p w:rsidR="006D0494" w:rsidRPr="003718DC" w:rsidRDefault="00360490" w:rsidP="00592FC5">
            <w:pPr>
              <w:spacing w:after="120" w:line="240" w:lineRule="auto"/>
              <w:ind w:left="142" w:right="159"/>
              <w:jc w:val="both"/>
              <w:rPr>
                <w:rFonts w:ascii="Times New Roman" w:hAnsi="Times New Roman"/>
                <w:sz w:val="24"/>
                <w:szCs w:val="24"/>
              </w:rPr>
            </w:pPr>
            <w:r w:rsidRPr="003718DC">
              <w:rPr>
                <w:rFonts w:ascii="Times New Roman" w:hAnsi="Times New Roman"/>
                <w:sz w:val="24"/>
                <w:szCs w:val="24"/>
              </w:rPr>
              <w:t>Nav.</w:t>
            </w:r>
          </w:p>
        </w:tc>
      </w:tr>
    </w:tbl>
    <w:p w:rsidR="00920EB8" w:rsidRDefault="00920EB8" w:rsidP="00AC5C4A">
      <w:pPr>
        <w:pStyle w:val="BodyText"/>
        <w:rPr>
          <w:bCs w:val="0"/>
        </w:rPr>
      </w:pPr>
    </w:p>
    <w:p w:rsidR="005A24DB" w:rsidRPr="005A24DB" w:rsidRDefault="005A24DB" w:rsidP="00AC5C4A">
      <w:pPr>
        <w:pStyle w:val="BodyText"/>
        <w:rPr>
          <w:bCs w:val="0"/>
        </w:rPr>
      </w:pPr>
    </w:p>
    <w:bookmarkEnd w:id="0"/>
    <w:bookmarkEnd w:id="1"/>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146"/>
        <w:gridCol w:w="1274"/>
        <w:gridCol w:w="1274"/>
        <w:gridCol w:w="1274"/>
        <w:gridCol w:w="1996"/>
      </w:tblGrid>
      <w:tr w:rsidR="00D80C78" w:rsidRPr="005A24DB" w:rsidTr="00AA1C5A">
        <w:trPr>
          <w:trHeight w:val="290"/>
          <w:jc w:val="center"/>
        </w:trPr>
        <w:tc>
          <w:tcPr>
            <w:tcW w:w="5000" w:type="pct"/>
            <w:gridSpan w:val="6"/>
          </w:tcPr>
          <w:p w:rsidR="00D80C78" w:rsidRPr="005A24DB" w:rsidRDefault="00D80C78" w:rsidP="00597A53">
            <w:pPr>
              <w:pStyle w:val="naisnod"/>
              <w:spacing w:before="120" w:beforeAutospacing="0" w:after="120" w:afterAutospacing="0"/>
              <w:jc w:val="center"/>
              <w:rPr>
                <w:b/>
              </w:rPr>
            </w:pPr>
            <w:r w:rsidRPr="005A24DB">
              <w:rPr>
                <w:b/>
              </w:rPr>
              <w:br w:type="page"/>
              <w:t>III. Tiesību akta projekta ietekme uz valsts budžetu un pašvaldību budžetiem</w:t>
            </w:r>
          </w:p>
        </w:tc>
      </w:tr>
      <w:tr w:rsidR="00D80C78" w:rsidRPr="005A24DB" w:rsidTr="00AA1C5A">
        <w:trPr>
          <w:jc w:val="center"/>
        </w:trPr>
        <w:tc>
          <w:tcPr>
            <w:tcW w:w="1414" w:type="pct"/>
            <w:vMerge w:val="restart"/>
            <w:vAlign w:val="center"/>
          </w:tcPr>
          <w:p w:rsidR="00D80C78" w:rsidRPr="005A24DB" w:rsidRDefault="00D80C78" w:rsidP="00D80C78">
            <w:pPr>
              <w:pStyle w:val="naisf"/>
              <w:tabs>
                <w:tab w:val="left" w:pos="7993"/>
              </w:tabs>
              <w:spacing w:before="0" w:after="0"/>
              <w:ind w:left="270" w:right="-1" w:firstLine="0"/>
              <w:jc w:val="center"/>
            </w:pPr>
            <w:r w:rsidRPr="005A24DB">
              <w:t>Rādītāji</w:t>
            </w:r>
          </w:p>
        </w:tc>
        <w:tc>
          <w:tcPr>
            <w:tcW w:w="1246" w:type="pct"/>
            <w:gridSpan w:val="2"/>
            <w:vMerge w:val="restart"/>
            <w:vAlign w:val="center"/>
          </w:tcPr>
          <w:p w:rsidR="00D80C78" w:rsidRPr="005A24DB" w:rsidRDefault="00D80C78" w:rsidP="00360490">
            <w:pPr>
              <w:pStyle w:val="naisf"/>
              <w:tabs>
                <w:tab w:val="left" w:pos="7993"/>
              </w:tabs>
              <w:spacing w:before="0" w:after="0"/>
              <w:ind w:right="-1" w:firstLine="0"/>
              <w:jc w:val="center"/>
            </w:pPr>
            <w:r w:rsidRPr="005A24DB">
              <w:t>201</w:t>
            </w:r>
            <w:r w:rsidR="00360490">
              <w:t>5</w:t>
            </w:r>
            <w:r w:rsidRPr="005A24DB">
              <w:t>.gads</w:t>
            </w:r>
          </w:p>
        </w:tc>
        <w:tc>
          <w:tcPr>
            <w:tcW w:w="2340" w:type="pct"/>
            <w:gridSpan w:val="3"/>
            <w:vAlign w:val="center"/>
          </w:tcPr>
          <w:p w:rsidR="00D80C78" w:rsidRPr="005A24DB" w:rsidRDefault="00D80C78" w:rsidP="00D80C78">
            <w:pPr>
              <w:pStyle w:val="naisf"/>
              <w:tabs>
                <w:tab w:val="left" w:pos="7993"/>
              </w:tabs>
              <w:spacing w:before="0" w:after="0"/>
              <w:ind w:right="-1" w:firstLine="0"/>
              <w:jc w:val="center"/>
              <w:rPr>
                <w:i/>
              </w:rPr>
            </w:pPr>
            <w:r w:rsidRPr="005A24DB">
              <w:t>Turpmākie trīs gadi (</w:t>
            </w:r>
            <w:r w:rsidRPr="005A24DB">
              <w:rPr>
                <w:i/>
              </w:rPr>
              <w:t>euro</w:t>
            </w:r>
            <w:r w:rsidRPr="005A24DB">
              <w:t>)</w:t>
            </w:r>
          </w:p>
        </w:tc>
      </w:tr>
      <w:tr w:rsidR="00D80C78" w:rsidRPr="005A24DB" w:rsidTr="00AA1C5A">
        <w:trPr>
          <w:jc w:val="center"/>
        </w:trPr>
        <w:tc>
          <w:tcPr>
            <w:tcW w:w="1414" w:type="pct"/>
            <w:vMerge/>
            <w:vAlign w:val="center"/>
          </w:tcPr>
          <w:p w:rsidR="00D80C78" w:rsidRPr="005A24DB" w:rsidRDefault="00D80C78" w:rsidP="00D80C78">
            <w:pPr>
              <w:pStyle w:val="naisf"/>
              <w:tabs>
                <w:tab w:val="left" w:pos="7993"/>
              </w:tabs>
              <w:spacing w:before="0" w:after="0"/>
              <w:ind w:right="-1" w:firstLine="0"/>
              <w:jc w:val="left"/>
              <w:rPr>
                <w:i/>
              </w:rPr>
            </w:pPr>
          </w:p>
        </w:tc>
        <w:tc>
          <w:tcPr>
            <w:tcW w:w="1246" w:type="pct"/>
            <w:gridSpan w:val="2"/>
            <w:vMerge/>
            <w:vAlign w:val="center"/>
          </w:tcPr>
          <w:p w:rsidR="00D80C78" w:rsidRPr="005A24DB" w:rsidRDefault="00D80C78" w:rsidP="00D80C78">
            <w:pPr>
              <w:pStyle w:val="naisf"/>
              <w:tabs>
                <w:tab w:val="left" w:pos="7993"/>
              </w:tabs>
              <w:spacing w:before="0" w:after="0"/>
              <w:ind w:right="-1" w:firstLine="0"/>
              <w:jc w:val="center"/>
              <w:rPr>
                <w:i/>
              </w:rPr>
            </w:pPr>
          </w:p>
        </w:tc>
        <w:tc>
          <w:tcPr>
            <w:tcW w:w="656" w:type="pct"/>
            <w:vAlign w:val="center"/>
          </w:tcPr>
          <w:p w:rsidR="00D80C78" w:rsidRPr="005A24DB" w:rsidRDefault="00D80C78" w:rsidP="00360490">
            <w:pPr>
              <w:pStyle w:val="naisf"/>
              <w:tabs>
                <w:tab w:val="left" w:pos="7993"/>
              </w:tabs>
              <w:spacing w:before="0" w:after="0"/>
              <w:ind w:right="-1" w:firstLine="0"/>
              <w:jc w:val="center"/>
              <w:rPr>
                <w:i/>
              </w:rPr>
            </w:pPr>
            <w:r w:rsidRPr="005A24DB">
              <w:rPr>
                <w:bCs/>
              </w:rPr>
              <w:t>201</w:t>
            </w:r>
            <w:r w:rsidR="00360490">
              <w:rPr>
                <w:bCs/>
              </w:rPr>
              <w:t>6</w:t>
            </w:r>
            <w:r w:rsidRPr="005A24DB">
              <w:rPr>
                <w:bCs/>
              </w:rPr>
              <w:t>.g.</w:t>
            </w:r>
          </w:p>
        </w:tc>
        <w:tc>
          <w:tcPr>
            <w:tcW w:w="656" w:type="pct"/>
            <w:vAlign w:val="center"/>
          </w:tcPr>
          <w:p w:rsidR="00D80C78" w:rsidRPr="005A24DB" w:rsidRDefault="00D80C78" w:rsidP="00360490">
            <w:pPr>
              <w:pStyle w:val="naisf"/>
              <w:tabs>
                <w:tab w:val="left" w:pos="7993"/>
              </w:tabs>
              <w:spacing w:before="0" w:after="0"/>
              <w:ind w:right="-1" w:firstLine="0"/>
              <w:jc w:val="center"/>
              <w:rPr>
                <w:i/>
              </w:rPr>
            </w:pPr>
            <w:r w:rsidRPr="005A24DB">
              <w:rPr>
                <w:bCs/>
              </w:rPr>
              <w:t>201</w:t>
            </w:r>
            <w:r w:rsidR="00360490">
              <w:rPr>
                <w:bCs/>
              </w:rPr>
              <w:t>7</w:t>
            </w:r>
            <w:r w:rsidRPr="005A24DB">
              <w:rPr>
                <w:bCs/>
              </w:rPr>
              <w:t>.g.</w:t>
            </w:r>
          </w:p>
        </w:tc>
        <w:tc>
          <w:tcPr>
            <w:tcW w:w="1028" w:type="pct"/>
            <w:vAlign w:val="center"/>
          </w:tcPr>
          <w:p w:rsidR="00D80C78" w:rsidRPr="005A24DB" w:rsidRDefault="00D80C78" w:rsidP="00360490">
            <w:pPr>
              <w:pStyle w:val="naisf"/>
              <w:tabs>
                <w:tab w:val="left" w:pos="7993"/>
              </w:tabs>
              <w:spacing w:before="0" w:after="0"/>
              <w:ind w:right="-1" w:firstLine="0"/>
              <w:jc w:val="center"/>
              <w:rPr>
                <w:i/>
              </w:rPr>
            </w:pPr>
            <w:r w:rsidRPr="005A24DB">
              <w:rPr>
                <w:bCs/>
              </w:rPr>
              <w:t>201</w:t>
            </w:r>
            <w:r w:rsidR="00360490">
              <w:rPr>
                <w:bCs/>
              </w:rPr>
              <w:t>8</w:t>
            </w:r>
            <w:r w:rsidRPr="005A24DB">
              <w:rPr>
                <w:bCs/>
              </w:rPr>
              <w:t>.g.</w:t>
            </w:r>
          </w:p>
        </w:tc>
      </w:tr>
      <w:tr w:rsidR="00D80C78" w:rsidRPr="005A24DB" w:rsidTr="00AA1C5A">
        <w:trPr>
          <w:jc w:val="center"/>
        </w:trPr>
        <w:tc>
          <w:tcPr>
            <w:tcW w:w="1414" w:type="pct"/>
            <w:vMerge/>
            <w:vAlign w:val="center"/>
          </w:tcPr>
          <w:p w:rsidR="00D80C78" w:rsidRPr="005A24DB" w:rsidRDefault="00D80C78" w:rsidP="00D80C78">
            <w:pPr>
              <w:pStyle w:val="naisf"/>
              <w:tabs>
                <w:tab w:val="left" w:pos="7993"/>
              </w:tabs>
              <w:spacing w:before="0" w:after="0"/>
              <w:ind w:right="-1" w:firstLine="0"/>
              <w:jc w:val="left"/>
              <w:rPr>
                <w:i/>
              </w:rPr>
            </w:pPr>
          </w:p>
        </w:tc>
        <w:tc>
          <w:tcPr>
            <w:tcW w:w="590" w:type="pct"/>
            <w:vAlign w:val="center"/>
          </w:tcPr>
          <w:p w:rsidR="00D80C78" w:rsidRPr="005A24DB" w:rsidRDefault="00D80C78" w:rsidP="00D80C78">
            <w:pPr>
              <w:pStyle w:val="naisf"/>
              <w:tabs>
                <w:tab w:val="left" w:pos="7993"/>
              </w:tabs>
              <w:spacing w:before="0" w:after="0"/>
              <w:ind w:right="-1" w:firstLine="0"/>
              <w:jc w:val="center"/>
              <w:rPr>
                <w:i/>
              </w:rPr>
            </w:pPr>
            <w:r w:rsidRPr="005A24DB">
              <w:t>Saskaņā ar valsts budžetu kārtējam gadam</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kārtējā gadā, salīdzinot ar budžetu kārtējam gadam</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c>
          <w:tcPr>
            <w:tcW w:w="1028"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r>
      <w:tr w:rsidR="00D80C78" w:rsidRPr="005A24DB" w:rsidTr="00AA1C5A">
        <w:trPr>
          <w:jc w:val="center"/>
        </w:trPr>
        <w:tc>
          <w:tcPr>
            <w:tcW w:w="1414"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1</w:t>
            </w:r>
          </w:p>
        </w:tc>
        <w:tc>
          <w:tcPr>
            <w:tcW w:w="590"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2</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3</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4</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5</w:t>
            </w:r>
          </w:p>
        </w:tc>
        <w:tc>
          <w:tcPr>
            <w:tcW w:w="1028"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6</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right="-1"/>
            </w:pPr>
            <w:r w:rsidRPr="005A24DB">
              <w:t>1. Budžeta ieņēmumi:</w:t>
            </w:r>
          </w:p>
        </w:tc>
        <w:tc>
          <w:tcPr>
            <w:tcW w:w="590"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1028" w:type="pct"/>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left="-14" w:right="-1"/>
            </w:pPr>
            <w:r w:rsidRPr="005A24DB">
              <w:t>1.1. valsts pamatbudžets, tai skaitā ieņēmumi no maksas pakalpojumiem un citi pašu ieņēmumi</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trHeight w:val="445"/>
          <w:jc w:val="center"/>
        </w:trPr>
        <w:tc>
          <w:tcPr>
            <w:tcW w:w="1414" w:type="pct"/>
          </w:tcPr>
          <w:p w:rsidR="00D80C78" w:rsidRPr="005A24DB" w:rsidRDefault="00D80C78" w:rsidP="00D80C78">
            <w:pPr>
              <w:pStyle w:val="naiskr"/>
              <w:tabs>
                <w:tab w:val="left" w:pos="7993"/>
              </w:tabs>
              <w:spacing w:before="0" w:after="0"/>
              <w:ind w:right="-1"/>
            </w:pPr>
            <w:r w:rsidRPr="005A24DB">
              <w:t>1.2. valsts speciālais budžets</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right="-1"/>
            </w:pPr>
            <w:r w:rsidRPr="005A24DB">
              <w:t>1.3. pašvaldību budžets</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2. Budžeta izdevumi:</w:t>
            </w:r>
          </w:p>
        </w:tc>
        <w:tc>
          <w:tcPr>
            <w:tcW w:w="590"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192836" w:rsidRPr="005A24DB" w:rsidTr="00192836">
        <w:trPr>
          <w:trHeight w:val="195"/>
          <w:jc w:val="center"/>
        </w:trPr>
        <w:tc>
          <w:tcPr>
            <w:tcW w:w="1414" w:type="pct"/>
          </w:tcPr>
          <w:p w:rsidR="00192836" w:rsidRPr="005A24DB" w:rsidRDefault="00192836" w:rsidP="00D80C78">
            <w:pPr>
              <w:pStyle w:val="naiskr"/>
              <w:tabs>
                <w:tab w:val="left" w:pos="7993"/>
              </w:tabs>
              <w:spacing w:before="0" w:after="0"/>
              <w:ind w:right="-1"/>
            </w:pPr>
            <w:r w:rsidRPr="005A24DB">
              <w:t>2.1. valsts pamatbudžets</w:t>
            </w:r>
          </w:p>
        </w:tc>
        <w:tc>
          <w:tcPr>
            <w:tcW w:w="590"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2.2. valsts speciālais budžets</w:t>
            </w:r>
          </w:p>
        </w:tc>
        <w:tc>
          <w:tcPr>
            <w:tcW w:w="590" w:type="pct"/>
            <w:vAlign w:val="center"/>
          </w:tcPr>
          <w:p w:rsidR="00192836" w:rsidRPr="005A24DB" w:rsidRDefault="00192836" w:rsidP="00D80C78">
            <w:pPr>
              <w:pStyle w:val="naisf"/>
              <w:tabs>
                <w:tab w:val="left" w:pos="7993"/>
              </w:tabs>
              <w:spacing w:before="0" w:after="0"/>
              <w:ind w:right="-1" w:firstLine="0"/>
              <w:jc w:val="center"/>
              <w:rPr>
                <w:b/>
              </w:rP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 xml:space="preserve">2.3. pašvaldību budžets </w:t>
            </w:r>
          </w:p>
        </w:tc>
        <w:tc>
          <w:tcPr>
            <w:tcW w:w="590" w:type="pct"/>
            <w:vAlign w:val="center"/>
          </w:tcPr>
          <w:p w:rsidR="00192836" w:rsidRPr="005A24DB" w:rsidRDefault="00192836" w:rsidP="00D80C78">
            <w:pPr>
              <w:pStyle w:val="naisf"/>
              <w:tabs>
                <w:tab w:val="left" w:pos="7993"/>
              </w:tabs>
              <w:spacing w:before="0" w:after="0"/>
              <w:ind w:right="-1" w:firstLine="0"/>
              <w:jc w:val="center"/>
              <w:rPr>
                <w:b/>
              </w:rP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3. Finansiālā ietekme:</w:t>
            </w:r>
          </w:p>
        </w:tc>
        <w:tc>
          <w:tcPr>
            <w:tcW w:w="590" w:type="pct"/>
            <w:shd w:val="clear" w:color="auto" w:fill="auto"/>
            <w:vAlign w:val="center"/>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3.1. valsts pamatbudžets</w:t>
            </w:r>
          </w:p>
        </w:tc>
        <w:tc>
          <w:tcPr>
            <w:tcW w:w="590" w:type="pct"/>
            <w:shd w:val="clear" w:color="auto" w:fill="auto"/>
            <w:vAlign w:val="center"/>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3.2. speciālais budžets</w:t>
            </w:r>
          </w:p>
        </w:tc>
        <w:tc>
          <w:tcPr>
            <w:tcW w:w="590" w:type="pct"/>
            <w:shd w:val="clear" w:color="auto" w:fill="auto"/>
            <w:vAlign w:val="center"/>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 xml:space="preserve">3.3. pašvaldību budžets </w:t>
            </w:r>
          </w:p>
        </w:tc>
        <w:tc>
          <w:tcPr>
            <w:tcW w:w="590" w:type="pct"/>
            <w:shd w:val="clear" w:color="auto" w:fill="auto"/>
            <w:vAlign w:val="center"/>
          </w:tcPr>
          <w:p w:rsidR="00192836" w:rsidRPr="005A24DB" w:rsidRDefault="00192836" w:rsidP="00D80C78">
            <w:pPr>
              <w:pStyle w:val="naisf"/>
              <w:tabs>
                <w:tab w:val="left" w:pos="7993"/>
              </w:tabs>
              <w:spacing w:before="0" w:after="0"/>
              <w:ind w:right="-1" w:firstLine="0"/>
              <w:jc w:val="center"/>
            </w:pPr>
            <w:r w:rsidRPr="005A24DB">
              <w:t>0</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vMerge w:val="restart"/>
          </w:tcPr>
          <w:p w:rsidR="00192836" w:rsidRPr="005A24DB" w:rsidRDefault="00192836" w:rsidP="00D80C78">
            <w:pPr>
              <w:pStyle w:val="naiskr"/>
              <w:tabs>
                <w:tab w:val="left" w:pos="7993"/>
              </w:tabs>
              <w:spacing w:before="0" w:after="0"/>
              <w:ind w:right="-1"/>
            </w:pPr>
            <w:r w:rsidRPr="005A24DB">
              <w:t>4. Finanšu līdzekļi papildu izde</w:t>
            </w:r>
            <w:r w:rsidRPr="005A24DB">
              <w:softHyphen/>
              <w:t>vumu finansēšanai (kompensējošu izdevumu samazinājumu norāda ar "+" zīmi)</w:t>
            </w:r>
          </w:p>
        </w:tc>
        <w:tc>
          <w:tcPr>
            <w:tcW w:w="590" w:type="pct"/>
            <w:vMerge w:val="restart"/>
            <w:vAlign w:val="center"/>
          </w:tcPr>
          <w:p w:rsidR="00192836" w:rsidRPr="005A24DB" w:rsidRDefault="00192836" w:rsidP="00D80C78">
            <w:pPr>
              <w:pStyle w:val="naisf"/>
              <w:tabs>
                <w:tab w:val="left" w:pos="7993"/>
              </w:tabs>
              <w:spacing w:before="0" w:after="0"/>
              <w:ind w:right="-1" w:firstLine="0"/>
              <w:jc w:val="center"/>
            </w:pPr>
            <w:r w:rsidRPr="005A24DB">
              <w:t>X</w:t>
            </w:r>
          </w:p>
        </w:tc>
        <w:tc>
          <w:tcPr>
            <w:tcW w:w="656" w:type="pct"/>
            <w:vMerge w:val="restar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vMerge/>
          </w:tcPr>
          <w:p w:rsidR="00192836" w:rsidRPr="005A24DB" w:rsidRDefault="00192836" w:rsidP="00D80C78">
            <w:pPr>
              <w:tabs>
                <w:tab w:val="left" w:pos="7993"/>
              </w:tabs>
              <w:ind w:right="-1"/>
              <w:rPr>
                <w:rFonts w:ascii="Times New Roman" w:hAnsi="Times New Roman"/>
                <w:sz w:val="24"/>
                <w:szCs w:val="24"/>
              </w:rPr>
            </w:pPr>
          </w:p>
        </w:tc>
        <w:tc>
          <w:tcPr>
            <w:tcW w:w="590" w:type="pct"/>
            <w:vMerge/>
          </w:tcPr>
          <w:p w:rsidR="00192836" w:rsidRPr="005A24DB" w:rsidRDefault="00192836" w:rsidP="00D80C78">
            <w:pPr>
              <w:pStyle w:val="Header"/>
              <w:tabs>
                <w:tab w:val="left" w:pos="7993"/>
              </w:tabs>
              <w:ind w:right="-1"/>
              <w:jc w:val="center"/>
              <w:rPr>
                <w:rFonts w:ascii="Times New Roman" w:hAnsi="Times New Roman"/>
                <w:sz w:val="24"/>
                <w:szCs w:val="24"/>
              </w:rPr>
            </w:pPr>
          </w:p>
        </w:tc>
        <w:tc>
          <w:tcPr>
            <w:tcW w:w="656" w:type="pct"/>
            <w:vMerge/>
          </w:tcPr>
          <w:p w:rsidR="00192836" w:rsidRPr="005A24DB" w:rsidRDefault="00192836" w:rsidP="00D80C78">
            <w:pPr>
              <w:pStyle w:val="naisf"/>
              <w:tabs>
                <w:tab w:val="left" w:pos="7993"/>
              </w:tabs>
              <w:spacing w:before="0" w:after="0"/>
              <w:ind w:right="-1" w:firstLine="0"/>
              <w:jc w:val="center"/>
            </w:pPr>
          </w:p>
        </w:tc>
        <w:tc>
          <w:tcPr>
            <w:tcW w:w="656" w:type="pct"/>
            <w:vAlign w:val="center"/>
          </w:tcPr>
          <w:p w:rsidR="00192836" w:rsidRPr="00813EFE" w:rsidRDefault="00192836" w:rsidP="00192836">
            <w:pPr>
              <w:pStyle w:val="naisf"/>
              <w:tabs>
                <w:tab w:val="left" w:pos="7993"/>
              </w:tabs>
              <w:spacing w:before="0" w:after="0"/>
              <w:ind w:right="-1" w:firstLine="0"/>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vMerge/>
          </w:tcPr>
          <w:p w:rsidR="00192836" w:rsidRPr="005A24DB" w:rsidRDefault="00192836" w:rsidP="00D80C78">
            <w:pPr>
              <w:tabs>
                <w:tab w:val="left" w:pos="7993"/>
              </w:tabs>
              <w:ind w:right="-1"/>
              <w:rPr>
                <w:rFonts w:ascii="Times New Roman" w:hAnsi="Times New Roman"/>
                <w:sz w:val="24"/>
                <w:szCs w:val="24"/>
              </w:rPr>
            </w:pPr>
          </w:p>
        </w:tc>
        <w:tc>
          <w:tcPr>
            <w:tcW w:w="590" w:type="pct"/>
            <w:vMerge/>
          </w:tcPr>
          <w:p w:rsidR="00192836" w:rsidRPr="005A24DB" w:rsidRDefault="00192836" w:rsidP="00D80C78">
            <w:pPr>
              <w:pStyle w:val="Header"/>
              <w:tabs>
                <w:tab w:val="left" w:pos="7993"/>
              </w:tabs>
              <w:ind w:right="-1"/>
              <w:jc w:val="center"/>
              <w:rPr>
                <w:rFonts w:ascii="Times New Roman" w:hAnsi="Times New Roman"/>
                <w:sz w:val="24"/>
                <w:szCs w:val="24"/>
              </w:rPr>
            </w:pPr>
          </w:p>
        </w:tc>
        <w:tc>
          <w:tcPr>
            <w:tcW w:w="656" w:type="pct"/>
            <w:vMerge/>
          </w:tcPr>
          <w:p w:rsidR="00192836" w:rsidRPr="005A24DB" w:rsidRDefault="00192836" w:rsidP="00D80C78">
            <w:pPr>
              <w:pStyle w:val="naisf"/>
              <w:tabs>
                <w:tab w:val="left" w:pos="7993"/>
              </w:tabs>
              <w:spacing w:before="0" w:after="0"/>
              <w:ind w:right="-1" w:firstLine="0"/>
              <w:jc w:val="center"/>
            </w:pPr>
          </w:p>
        </w:tc>
        <w:tc>
          <w:tcPr>
            <w:tcW w:w="656" w:type="pct"/>
            <w:vAlign w:val="center"/>
          </w:tcPr>
          <w:p w:rsidR="00192836" w:rsidRPr="00813EFE" w:rsidRDefault="00192836" w:rsidP="00192836">
            <w:pPr>
              <w:pStyle w:val="naislab"/>
              <w:tabs>
                <w:tab w:val="left" w:pos="7993"/>
              </w:tabs>
              <w:spacing w:before="0" w:after="0"/>
              <w:ind w:right="-1"/>
              <w:jc w:val="center"/>
            </w:pPr>
            <w:r w:rsidRPr="00813EFE">
              <w:t>0</w:t>
            </w:r>
          </w:p>
        </w:tc>
        <w:tc>
          <w:tcPr>
            <w:tcW w:w="656" w:type="pct"/>
            <w:vAlign w:val="center"/>
          </w:tcPr>
          <w:p w:rsidR="00192836" w:rsidRPr="005A24DB" w:rsidRDefault="00192836" w:rsidP="00192836">
            <w:pPr>
              <w:pStyle w:val="naisf"/>
              <w:tabs>
                <w:tab w:val="left" w:pos="7993"/>
              </w:tabs>
              <w:spacing w:before="0" w:after="0"/>
              <w:ind w:right="-1" w:firstLine="0"/>
              <w:jc w:val="center"/>
            </w:pPr>
            <w:r w:rsidRPr="005A24DB">
              <w:t>0</w:t>
            </w:r>
          </w:p>
        </w:tc>
        <w:tc>
          <w:tcPr>
            <w:tcW w:w="1028" w:type="pct"/>
            <w:vAlign w:val="center"/>
          </w:tcPr>
          <w:p w:rsidR="00192836" w:rsidRPr="005A24DB" w:rsidRDefault="00192836" w:rsidP="00192836">
            <w:pPr>
              <w:pStyle w:val="naisf"/>
              <w:tabs>
                <w:tab w:val="left" w:pos="7993"/>
              </w:tabs>
              <w:spacing w:before="0" w:after="0"/>
              <w:ind w:right="-1" w:firstLine="0"/>
              <w:jc w:val="center"/>
            </w:pPr>
            <w:r w:rsidRPr="005A24DB">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5. Precizēta finansiālā ietekme:</w:t>
            </w:r>
          </w:p>
        </w:tc>
        <w:tc>
          <w:tcPr>
            <w:tcW w:w="590" w:type="pct"/>
            <w:vMerge w:val="restart"/>
            <w:vAlign w:val="center"/>
          </w:tcPr>
          <w:p w:rsidR="00192836" w:rsidRPr="005A24DB" w:rsidRDefault="00192836" w:rsidP="00D80C78">
            <w:pPr>
              <w:pStyle w:val="Header"/>
              <w:tabs>
                <w:tab w:val="left" w:pos="7993"/>
              </w:tabs>
              <w:ind w:right="-1"/>
              <w:jc w:val="center"/>
              <w:rPr>
                <w:rFonts w:ascii="Times New Roman" w:hAnsi="Times New Roman"/>
                <w:sz w:val="24"/>
                <w:szCs w:val="24"/>
              </w:rPr>
            </w:pPr>
            <w:r w:rsidRPr="005A24DB">
              <w:rPr>
                <w:rFonts w:ascii="Times New Roman" w:hAnsi="Times New Roman"/>
                <w:sz w:val="24"/>
                <w:szCs w:val="24"/>
              </w:rPr>
              <w:t>X</w:t>
            </w: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Pr="0099738D" w:rsidRDefault="00192836" w:rsidP="00192836">
            <w:pPr>
              <w:pStyle w:val="naisf"/>
              <w:tabs>
                <w:tab w:val="left" w:pos="7993"/>
              </w:tabs>
              <w:spacing w:before="0" w:after="0"/>
              <w:ind w:right="-1" w:firstLine="0"/>
              <w:jc w:val="center"/>
            </w:pPr>
            <w:r w:rsidRPr="0099738D">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192836" w:rsidRPr="005A24DB" w:rsidTr="00192836">
        <w:trPr>
          <w:jc w:val="center"/>
        </w:trPr>
        <w:tc>
          <w:tcPr>
            <w:tcW w:w="1414" w:type="pct"/>
          </w:tcPr>
          <w:p w:rsidR="00192836" w:rsidRPr="005A24DB" w:rsidRDefault="00192836" w:rsidP="00D80C78">
            <w:pPr>
              <w:pStyle w:val="naiskr"/>
              <w:tabs>
                <w:tab w:val="left" w:pos="7993"/>
              </w:tabs>
              <w:spacing w:before="0" w:after="0"/>
              <w:ind w:right="-1"/>
            </w:pPr>
            <w:r w:rsidRPr="005A24DB">
              <w:t>5.1. valsts pamatbudžets</w:t>
            </w:r>
          </w:p>
        </w:tc>
        <w:tc>
          <w:tcPr>
            <w:tcW w:w="590" w:type="pct"/>
            <w:vMerge/>
            <w:vAlign w:val="center"/>
          </w:tcPr>
          <w:p w:rsidR="00192836" w:rsidRPr="005A24DB" w:rsidRDefault="00192836" w:rsidP="00D80C78">
            <w:pPr>
              <w:pStyle w:val="naisf"/>
              <w:tabs>
                <w:tab w:val="left" w:pos="7993"/>
              </w:tabs>
              <w:spacing w:before="0" w:after="0"/>
              <w:ind w:right="-1" w:firstLine="0"/>
              <w:jc w:val="center"/>
            </w:pPr>
          </w:p>
        </w:tc>
        <w:tc>
          <w:tcPr>
            <w:tcW w:w="656" w:type="pct"/>
          </w:tcPr>
          <w:p w:rsidR="00192836" w:rsidRPr="005A24DB" w:rsidRDefault="00192836" w:rsidP="00D80C78">
            <w:pPr>
              <w:pStyle w:val="naisf"/>
              <w:tabs>
                <w:tab w:val="left" w:pos="7993"/>
              </w:tabs>
              <w:spacing w:before="0" w:after="0"/>
              <w:ind w:right="-1" w:firstLine="0"/>
              <w:jc w:val="center"/>
            </w:pPr>
            <w:r w:rsidRPr="005A24DB">
              <w:t>0</w:t>
            </w:r>
          </w:p>
        </w:tc>
        <w:tc>
          <w:tcPr>
            <w:tcW w:w="656" w:type="pct"/>
            <w:vAlign w:val="center"/>
          </w:tcPr>
          <w:p w:rsidR="00192836" w:rsidRDefault="00192836" w:rsidP="00192836">
            <w:pPr>
              <w:pStyle w:val="naisf"/>
              <w:tabs>
                <w:tab w:val="left" w:pos="7993"/>
              </w:tabs>
              <w:spacing w:before="0" w:after="0"/>
              <w:ind w:right="-1" w:firstLine="0"/>
              <w:jc w:val="center"/>
            </w:pPr>
            <w:r w:rsidRPr="0099738D">
              <w:t>21 423</w:t>
            </w:r>
          </w:p>
        </w:tc>
        <w:tc>
          <w:tcPr>
            <w:tcW w:w="656" w:type="pct"/>
            <w:vAlign w:val="center"/>
          </w:tcPr>
          <w:p w:rsidR="00192836" w:rsidRPr="005A24DB" w:rsidRDefault="00691D9D" w:rsidP="00192836">
            <w:pPr>
              <w:pStyle w:val="naisf"/>
              <w:tabs>
                <w:tab w:val="left" w:pos="7993"/>
              </w:tabs>
              <w:spacing w:before="0" w:after="0"/>
              <w:ind w:right="-1" w:firstLine="0"/>
              <w:jc w:val="center"/>
            </w:pPr>
            <w:r>
              <w:t>64 267</w:t>
            </w:r>
          </w:p>
        </w:tc>
        <w:tc>
          <w:tcPr>
            <w:tcW w:w="1028" w:type="pct"/>
            <w:vAlign w:val="center"/>
          </w:tcPr>
          <w:p w:rsidR="00192836" w:rsidRPr="005A24DB" w:rsidRDefault="00691D9D" w:rsidP="00192836">
            <w:pPr>
              <w:pStyle w:val="naisf"/>
              <w:tabs>
                <w:tab w:val="left" w:pos="7993"/>
              </w:tabs>
              <w:spacing w:before="0" w:after="0"/>
              <w:ind w:right="-1" w:firstLine="0"/>
              <w:jc w:val="center"/>
            </w:pPr>
            <w:r>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5.2. speciālais budžets</w:t>
            </w:r>
          </w:p>
        </w:tc>
        <w:tc>
          <w:tcPr>
            <w:tcW w:w="590" w:type="pct"/>
            <w:vMerge/>
            <w:vAlign w:val="center"/>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417593">
            <w:pPr>
              <w:pStyle w:val="naisf"/>
              <w:tabs>
                <w:tab w:val="left" w:pos="7993"/>
              </w:tabs>
              <w:spacing w:before="0" w:after="0"/>
              <w:ind w:right="-1" w:firstLine="0"/>
              <w:jc w:val="center"/>
              <w:rPr>
                <w:b/>
              </w:rPr>
            </w:pPr>
            <w:r w:rsidRPr="005A24DB">
              <w:t>0</w:t>
            </w:r>
          </w:p>
        </w:tc>
        <w:tc>
          <w:tcPr>
            <w:tcW w:w="1028"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 xml:space="preserve">5.3. pašvaldību budžets </w:t>
            </w:r>
          </w:p>
        </w:tc>
        <w:tc>
          <w:tcPr>
            <w:tcW w:w="590" w:type="pct"/>
            <w:vMerge/>
            <w:vAlign w:val="center"/>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1028"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r>
      <w:tr w:rsidR="009A4344" w:rsidRPr="005A24DB" w:rsidTr="00AA1C5A">
        <w:trPr>
          <w:trHeight w:val="760"/>
          <w:jc w:val="center"/>
        </w:trPr>
        <w:tc>
          <w:tcPr>
            <w:tcW w:w="1414" w:type="pct"/>
          </w:tcPr>
          <w:p w:rsidR="009A4344" w:rsidRPr="005A24DB" w:rsidRDefault="009A4344" w:rsidP="00D80C78">
            <w:pPr>
              <w:pStyle w:val="naiskr"/>
              <w:tabs>
                <w:tab w:val="left" w:pos="7993"/>
              </w:tabs>
              <w:spacing w:before="0" w:after="0"/>
              <w:ind w:right="-1"/>
            </w:pPr>
            <w:r w:rsidRPr="005A24DB">
              <w:t>6. Detalizēts ieņēmumu un izdevu</w:t>
            </w:r>
            <w:r w:rsidRPr="005A24DB">
              <w:softHyphen/>
              <w:t xml:space="preserve">mu aprēķins (ja nepieciešams, detalizētu </w:t>
            </w:r>
            <w:r w:rsidRPr="005A24DB">
              <w:lastRenderedPageBreak/>
              <w:t>ieņēmumu un izdevumu aprēķinu var pievienot anotācijas pielikumā):</w:t>
            </w:r>
          </w:p>
        </w:tc>
        <w:tc>
          <w:tcPr>
            <w:tcW w:w="3586" w:type="pct"/>
            <w:gridSpan w:val="5"/>
            <w:vMerge w:val="restart"/>
          </w:tcPr>
          <w:p w:rsidR="00192836" w:rsidRPr="00192836" w:rsidRDefault="00192836" w:rsidP="00192836">
            <w:pPr>
              <w:spacing w:after="0" w:line="240" w:lineRule="auto"/>
              <w:ind w:left="44" w:right="147"/>
              <w:jc w:val="both"/>
              <w:rPr>
                <w:rFonts w:ascii="Times New Roman" w:eastAsia="Times New Roman" w:hAnsi="Times New Roman" w:cs="Times New Roman"/>
                <w:sz w:val="24"/>
                <w:szCs w:val="24"/>
              </w:rPr>
            </w:pPr>
            <w:r w:rsidRPr="00192836">
              <w:rPr>
                <w:rFonts w:ascii="Times New Roman" w:eastAsia="Times New Roman" w:hAnsi="Times New Roman" w:cs="Times New Roman"/>
                <w:sz w:val="24"/>
                <w:szCs w:val="24"/>
              </w:rPr>
              <w:lastRenderedPageBreak/>
              <w:t>Informāciju par finansējuma izmaiņām MK</w:t>
            </w:r>
            <w:r>
              <w:rPr>
                <w:rFonts w:ascii="Times New Roman" w:eastAsia="Times New Roman" w:hAnsi="Times New Roman" w:cs="Times New Roman"/>
                <w:sz w:val="24"/>
                <w:szCs w:val="24"/>
              </w:rPr>
              <w:t xml:space="preserve"> </w:t>
            </w:r>
            <w:r w:rsidRPr="00192836">
              <w:rPr>
                <w:rFonts w:ascii="Times New Roman" w:eastAsia="Times New Roman" w:hAnsi="Times New Roman" w:cs="Times New Roman"/>
                <w:sz w:val="24"/>
                <w:szCs w:val="24"/>
              </w:rPr>
              <w:t>rīkojuma Nr.3</w:t>
            </w:r>
            <w:r>
              <w:rPr>
                <w:rFonts w:ascii="Times New Roman" w:eastAsia="Times New Roman" w:hAnsi="Times New Roman" w:cs="Times New Roman"/>
                <w:sz w:val="24"/>
                <w:szCs w:val="24"/>
              </w:rPr>
              <w:t>07</w:t>
            </w:r>
            <w:r w:rsidRPr="00192836">
              <w:rPr>
                <w:rFonts w:ascii="Times New Roman" w:eastAsia="Times New Roman" w:hAnsi="Times New Roman" w:cs="Times New Roman"/>
                <w:sz w:val="24"/>
                <w:szCs w:val="24"/>
              </w:rPr>
              <w:t xml:space="preserve"> īstenošanai skatīt anotācijas I.sadaļas 2.punktā.</w:t>
            </w:r>
          </w:p>
          <w:p w:rsidR="009A4344" w:rsidRPr="005A24DB" w:rsidRDefault="009A4344" w:rsidP="00A42E0B">
            <w:pPr>
              <w:spacing w:after="120" w:line="240" w:lineRule="auto"/>
              <w:ind w:right="102"/>
              <w:jc w:val="both"/>
              <w:rPr>
                <w:rFonts w:ascii="Times New Roman" w:hAnsi="Times New Roman"/>
                <w:sz w:val="24"/>
                <w:szCs w:val="24"/>
              </w:rPr>
            </w:pP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lastRenderedPageBreak/>
              <w:t>6.1. detalizēts ieņēmumu aprēķins</w:t>
            </w:r>
          </w:p>
        </w:tc>
        <w:tc>
          <w:tcPr>
            <w:tcW w:w="3586" w:type="pct"/>
            <w:gridSpan w:val="5"/>
            <w:vMerge/>
          </w:tcPr>
          <w:p w:rsidR="009A4344" w:rsidRPr="005A24DB" w:rsidRDefault="009A4344" w:rsidP="00D80C78">
            <w:pPr>
              <w:pStyle w:val="naisf"/>
              <w:tabs>
                <w:tab w:val="left" w:pos="7993"/>
              </w:tabs>
              <w:spacing w:before="0" w:after="0"/>
              <w:ind w:right="-1" w:firstLine="0"/>
              <w:rPr>
                <w:b/>
                <w:i/>
              </w:rPr>
            </w:pPr>
          </w:p>
        </w:tc>
      </w:tr>
      <w:tr w:rsidR="009A4344" w:rsidRPr="005A24DB" w:rsidTr="00AA1C5A">
        <w:trPr>
          <w:trHeight w:val="373"/>
          <w:jc w:val="center"/>
        </w:trPr>
        <w:tc>
          <w:tcPr>
            <w:tcW w:w="1414" w:type="pct"/>
          </w:tcPr>
          <w:p w:rsidR="009A4344" w:rsidRPr="005A24DB" w:rsidRDefault="009A4344" w:rsidP="00D80C78">
            <w:pPr>
              <w:pStyle w:val="naiskr"/>
              <w:tabs>
                <w:tab w:val="left" w:pos="7993"/>
              </w:tabs>
              <w:spacing w:before="0" w:after="0"/>
              <w:ind w:right="-1"/>
            </w:pPr>
            <w:r w:rsidRPr="005A24DB">
              <w:t>6.2. detalizēts izdevumu aprēķins</w:t>
            </w:r>
          </w:p>
        </w:tc>
        <w:tc>
          <w:tcPr>
            <w:tcW w:w="3586" w:type="pct"/>
            <w:gridSpan w:val="5"/>
            <w:vMerge/>
          </w:tcPr>
          <w:p w:rsidR="009A4344" w:rsidRPr="005A24DB" w:rsidRDefault="009A4344" w:rsidP="00D80C78">
            <w:pPr>
              <w:pStyle w:val="naisf"/>
              <w:tabs>
                <w:tab w:val="left" w:pos="7993"/>
              </w:tabs>
              <w:spacing w:before="0" w:after="0"/>
              <w:ind w:right="-1" w:firstLine="0"/>
              <w:rPr>
                <w:b/>
                <w:i/>
              </w:rPr>
            </w:pPr>
          </w:p>
        </w:tc>
      </w:tr>
      <w:tr w:rsidR="009A4344" w:rsidRPr="005A24DB" w:rsidTr="00AA1C5A">
        <w:trPr>
          <w:jc w:val="center"/>
        </w:trPr>
        <w:tc>
          <w:tcPr>
            <w:tcW w:w="1414" w:type="pct"/>
            <w:tcBorders>
              <w:bottom w:val="single" w:sz="4" w:space="0" w:color="auto"/>
            </w:tcBorders>
          </w:tcPr>
          <w:p w:rsidR="009A4344" w:rsidRPr="005A24DB" w:rsidRDefault="009A4344" w:rsidP="00D80C78">
            <w:pPr>
              <w:pStyle w:val="naiskr"/>
              <w:tabs>
                <w:tab w:val="left" w:pos="7993"/>
              </w:tabs>
              <w:spacing w:before="0" w:after="0"/>
              <w:ind w:right="-1"/>
            </w:pPr>
            <w:r w:rsidRPr="005A24DB">
              <w:t>7. Cita informācija</w:t>
            </w:r>
          </w:p>
        </w:tc>
        <w:tc>
          <w:tcPr>
            <w:tcW w:w="3586" w:type="pct"/>
            <w:gridSpan w:val="5"/>
            <w:tcBorders>
              <w:bottom w:val="single" w:sz="4" w:space="0" w:color="auto"/>
            </w:tcBorders>
          </w:tcPr>
          <w:p w:rsidR="00592FC5" w:rsidRPr="00292315" w:rsidRDefault="00292315" w:rsidP="002C457C">
            <w:pPr>
              <w:pStyle w:val="NormalWeb"/>
              <w:tabs>
                <w:tab w:val="left" w:pos="7993"/>
              </w:tabs>
              <w:spacing w:before="0" w:after="0"/>
              <w:ind w:right="-1"/>
              <w:jc w:val="both"/>
            </w:pPr>
            <w:r w:rsidRPr="00292315">
              <w:rPr>
                <w:bCs/>
              </w:rPr>
              <w:t>Nav.</w:t>
            </w:r>
          </w:p>
        </w:tc>
      </w:tr>
    </w:tbl>
    <w:p w:rsidR="00D80C78" w:rsidRDefault="00D80C78" w:rsidP="00D80C78">
      <w:pPr>
        <w:pStyle w:val="naisf"/>
        <w:tabs>
          <w:tab w:val="left" w:pos="7993"/>
        </w:tabs>
        <w:spacing w:before="0" w:after="0"/>
        <w:ind w:right="-1" w:firstLine="0"/>
      </w:pPr>
    </w:p>
    <w:p w:rsidR="00360490" w:rsidRDefault="00360490" w:rsidP="00D80C78">
      <w:pPr>
        <w:pStyle w:val="naisf"/>
        <w:tabs>
          <w:tab w:val="left" w:pos="7993"/>
        </w:tabs>
        <w:spacing w:before="0" w:after="0"/>
        <w:ind w:right="-1" w:firstLine="0"/>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64"/>
        <w:gridCol w:w="5526"/>
        <w:gridCol w:w="3597"/>
      </w:tblGrid>
      <w:tr w:rsidR="00D80C78" w:rsidRPr="005A24DB" w:rsidTr="00304C12">
        <w:trPr>
          <w:jc w:val="center"/>
        </w:trPr>
        <w:tc>
          <w:tcPr>
            <w:tcW w:w="9687" w:type="dxa"/>
            <w:gridSpan w:val="3"/>
            <w:tcBorders>
              <w:top w:val="single" w:sz="4" w:space="0" w:color="auto"/>
              <w:left w:val="single" w:sz="4" w:space="0" w:color="auto"/>
              <w:bottom w:val="single" w:sz="4" w:space="0" w:color="auto"/>
              <w:right w:val="single" w:sz="4" w:space="0" w:color="auto"/>
            </w:tcBorders>
          </w:tcPr>
          <w:p w:rsidR="00D80C78" w:rsidRPr="005A24DB" w:rsidRDefault="00D80C78" w:rsidP="00D80C78">
            <w:pPr>
              <w:pStyle w:val="naisnod"/>
              <w:tabs>
                <w:tab w:val="left" w:pos="7993"/>
              </w:tabs>
              <w:spacing w:before="0" w:after="60"/>
              <w:ind w:right="-1"/>
              <w:jc w:val="center"/>
              <w:rPr>
                <w:b/>
              </w:rPr>
            </w:pPr>
            <w:r w:rsidRPr="005A24DB">
              <w:rPr>
                <w:b/>
              </w:rPr>
              <w:t>VII. Tiesību akta projekta izpildes nodrošināšana un tās ietekme uz institūcijām</w:t>
            </w:r>
          </w:p>
        </w:tc>
      </w:tr>
      <w:tr w:rsidR="00D80C78" w:rsidRPr="005A24DB" w:rsidTr="00304C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r w:rsidRPr="005A24DB">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pPr>
            <w:r w:rsidRPr="005A24DB">
              <w:t>Projekta izpildē iesaistītās institūcijas</w:t>
            </w:r>
          </w:p>
        </w:tc>
        <w:tc>
          <w:tcPr>
            <w:tcW w:w="3597" w:type="dxa"/>
            <w:tcBorders>
              <w:top w:val="outset" w:sz="6" w:space="0" w:color="000000"/>
              <w:left w:val="outset" w:sz="6" w:space="0" w:color="000000"/>
              <w:bottom w:val="outset" w:sz="6" w:space="0" w:color="000000"/>
              <w:right w:val="outset" w:sz="6" w:space="0" w:color="000000"/>
            </w:tcBorders>
          </w:tcPr>
          <w:p w:rsidR="00D80C78" w:rsidRPr="005A24DB" w:rsidRDefault="00184A2C" w:rsidP="00360490">
            <w:pPr>
              <w:pStyle w:val="NormalWeb"/>
              <w:tabs>
                <w:tab w:val="left" w:pos="7993"/>
              </w:tabs>
              <w:spacing w:before="0" w:after="0"/>
              <w:ind w:right="-1"/>
              <w:jc w:val="both"/>
            </w:pPr>
            <w:r w:rsidRPr="005A24DB">
              <w:rPr>
                <w:bCs/>
              </w:rPr>
              <w:t xml:space="preserve">FM </w:t>
            </w:r>
            <w:r w:rsidR="00595C58" w:rsidRPr="005A24DB">
              <w:rPr>
                <w:bCs/>
              </w:rPr>
              <w:t>(VNĪ</w:t>
            </w:r>
            <w:r w:rsidR="00360490">
              <w:rPr>
                <w:bCs/>
              </w:rPr>
              <w:t>)</w:t>
            </w:r>
            <w:r w:rsidR="00192836">
              <w:rPr>
                <w:bCs/>
              </w:rPr>
              <w:t xml:space="preserve"> un KM</w:t>
            </w:r>
            <w:r w:rsidR="00D80C78" w:rsidRPr="005A24DB">
              <w:rPr>
                <w:iCs/>
              </w:rPr>
              <w:t>.</w:t>
            </w:r>
          </w:p>
        </w:tc>
      </w:tr>
      <w:tr w:rsidR="00D80C78" w:rsidRPr="005A24DB" w:rsidTr="00304C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r w:rsidRPr="005A24DB">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pPr>
            <w:r w:rsidRPr="005A24DB">
              <w:t>Projekta izpildes ietekme uz pārvaldes funkcijām un institucionālo struktūru.</w:t>
            </w:r>
          </w:p>
          <w:p w:rsidR="00D80C78" w:rsidRPr="005A24DB" w:rsidRDefault="00D80C78" w:rsidP="00D80C78">
            <w:pPr>
              <w:pStyle w:val="NormalWeb"/>
              <w:tabs>
                <w:tab w:val="left" w:pos="7993"/>
              </w:tabs>
              <w:spacing w:before="0" w:after="0"/>
              <w:ind w:right="-1"/>
            </w:pPr>
            <w:r w:rsidRPr="005A24DB">
              <w:t>Jaunu institūciju izveide, esošu institūciju likvidācija vai reorganizācija, to ietekme uz institūcijas cilvēkresursiem</w:t>
            </w:r>
          </w:p>
        </w:tc>
        <w:tc>
          <w:tcPr>
            <w:tcW w:w="3597" w:type="dxa"/>
            <w:tcBorders>
              <w:top w:val="outset" w:sz="6" w:space="0" w:color="000000"/>
              <w:left w:val="outset" w:sz="6" w:space="0" w:color="000000"/>
              <w:bottom w:val="outset" w:sz="6" w:space="0" w:color="000000"/>
              <w:right w:val="outset" w:sz="6" w:space="0" w:color="000000"/>
            </w:tcBorders>
          </w:tcPr>
          <w:p w:rsidR="00D80C78" w:rsidRPr="005A24DB" w:rsidRDefault="00D80C78" w:rsidP="00D80C78">
            <w:pPr>
              <w:pStyle w:val="naiskr"/>
              <w:tabs>
                <w:tab w:val="left" w:pos="7993"/>
              </w:tabs>
              <w:spacing w:before="0" w:after="0"/>
              <w:ind w:right="-1"/>
              <w:jc w:val="both"/>
              <w:rPr>
                <w:iCs/>
              </w:rPr>
            </w:pPr>
            <w:r w:rsidRPr="005A24DB">
              <w:t>Projekts šo jomu neskar.</w:t>
            </w:r>
          </w:p>
        </w:tc>
      </w:tr>
      <w:tr w:rsidR="00D80C78" w:rsidRPr="005A24DB" w:rsidTr="00304C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r w:rsidRPr="005A24DB">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60"/>
              <w:ind w:right="-1"/>
            </w:pPr>
            <w:r w:rsidRPr="005A24DB">
              <w:t>Cita informācija</w:t>
            </w:r>
          </w:p>
        </w:tc>
        <w:tc>
          <w:tcPr>
            <w:tcW w:w="3597" w:type="dxa"/>
            <w:tcBorders>
              <w:top w:val="outset" w:sz="6" w:space="0" w:color="000000"/>
              <w:left w:val="outset" w:sz="6" w:space="0" w:color="000000"/>
              <w:bottom w:val="outset" w:sz="6" w:space="0" w:color="000000"/>
              <w:right w:val="outset" w:sz="6" w:space="0" w:color="000000"/>
            </w:tcBorders>
          </w:tcPr>
          <w:p w:rsidR="00D80C78" w:rsidRPr="005A24DB" w:rsidRDefault="00D80C78" w:rsidP="00D80C78">
            <w:pPr>
              <w:pStyle w:val="naiskr"/>
              <w:tabs>
                <w:tab w:val="left" w:pos="7993"/>
              </w:tabs>
              <w:spacing w:before="0" w:after="0"/>
              <w:ind w:right="-1"/>
              <w:jc w:val="both"/>
              <w:rPr>
                <w:iCs/>
              </w:rPr>
            </w:pPr>
            <w:r w:rsidRPr="005A24DB">
              <w:rPr>
                <w:iCs/>
              </w:rPr>
              <w:t>Nav.</w:t>
            </w:r>
          </w:p>
        </w:tc>
      </w:tr>
    </w:tbl>
    <w:p w:rsidR="00D80C78" w:rsidRPr="005A24DB" w:rsidRDefault="00D80C78" w:rsidP="00D80C78">
      <w:pPr>
        <w:tabs>
          <w:tab w:val="left" w:pos="7993"/>
        </w:tabs>
        <w:spacing w:before="75" w:after="75" w:line="240" w:lineRule="auto"/>
        <w:ind w:right="-1"/>
        <w:rPr>
          <w:rFonts w:ascii="Times New Roman" w:eastAsia="Times New Roman" w:hAnsi="Times New Roman"/>
          <w:iCs/>
          <w:sz w:val="24"/>
          <w:szCs w:val="24"/>
        </w:rPr>
      </w:pPr>
      <w:r w:rsidRPr="005A24DB">
        <w:rPr>
          <w:rFonts w:ascii="Times New Roman" w:eastAsia="Times New Roman" w:hAnsi="Times New Roman"/>
          <w:iCs/>
          <w:sz w:val="24"/>
          <w:szCs w:val="24"/>
        </w:rPr>
        <w:t>Anotācijas II,</w:t>
      </w:r>
      <w:r w:rsidR="00192836">
        <w:rPr>
          <w:rFonts w:ascii="Times New Roman" w:eastAsia="Times New Roman" w:hAnsi="Times New Roman"/>
          <w:iCs/>
          <w:sz w:val="24"/>
          <w:szCs w:val="24"/>
        </w:rPr>
        <w:t xml:space="preserve"> IV, </w:t>
      </w:r>
      <w:r w:rsidRPr="005A24DB">
        <w:rPr>
          <w:rFonts w:ascii="Times New Roman" w:eastAsia="Times New Roman" w:hAnsi="Times New Roman"/>
          <w:iCs/>
          <w:sz w:val="24"/>
          <w:szCs w:val="24"/>
        </w:rPr>
        <w:t xml:space="preserve">V un VI sadaļa – projekts šīs jomas neskar. </w:t>
      </w:r>
    </w:p>
    <w:p w:rsidR="00D80C78" w:rsidRPr="005A24DB" w:rsidRDefault="00D80C78" w:rsidP="00D80C78">
      <w:pPr>
        <w:pStyle w:val="naisf"/>
        <w:tabs>
          <w:tab w:val="left" w:pos="6804"/>
          <w:tab w:val="left" w:pos="7993"/>
        </w:tabs>
        <w:spacing w:before="0" w:after="0"/>
        <w:ind w:right="-1" w:firstLine="0"/>
      </w:pPr>
    </w:p>
    <w:p w:rsidR="00516DBB" w:rsidRPr="005A24DB" w:rsidRDefault="00516DBB" w:rsidP="00D80C78">
      <w:pPr>
        <w:pStyle w:val="PlainText"/>
        <w:tabs>
          <w:tab w:val="left" w:pos="7200"/>
          <w:tab w:val="right" w:pos="9072"/>
        </w:tabs>
        <w:jc w:val="both"/>
        <w:rPr>
          <w:rFonts w:ascii="Times New Roman" w:hAnsi="Times New Roman"/>
          <w:sz w:val="24"/>
          <w:szCs w:val="24"/>
          <w:lang w:eastAsia="en-US"/>
        </w:rPr>
      </w:pPr>
    </w:p>
    <w:p w:rsidR="00813EFE" w:rsidRDefault="00813EFE" w:rsidP="00360490">
      <w:pPr>
        <w:pStyle w:val="naisf"/>
        <w:tabs>
          <w:tab w:val="left" w:pos="6804"/>
        </w:tabs>
        <w:spacing w:before="0" w:after="0"/>
        <w:ind w:left="-426" w:firstLine="0"/>
      </w:pPr>
    </w:p>
    <w:p w:rsidR="00813EFE" w:rsidRDefault="00813EFE" w:rsidP="00360490">
      <w:pPr>
        <w:pStyle w:val="naisf"/>
        <w:tabs>
          <w:tab w:val="left" w:pos="6804"/>
        </w:tabs>
        <w:spacing w:before="0" w:after="0"/>
        <w:ind w:left="-426" w:firstLine="0"/>
      </w:pPr>
    </w:p>
    <w:p w:rsidR="00360490" w:rsidRPr="009656DE" w:rsidRDefault="00360490" w:rsidP="00360490">
      <w:pPr>
        <w:pStyle w:val="naisf"/>
        <w:tabs>
          <w:tab w:val="left" w:pos="6804"/>
        </w:tabs>
        <w:spacing w:before="0" w:after="0"/>
        <w:ind w:left="-426" w:firstLine="0"/>
      </w:pPr>
      <w:r w:rsidRPr="00AE6829">
        <w:t>Finanšu ministrs</w:t>
      </w:r>
      <w:r w:rsidRPr="00AE6829">
        <w:tab/>
      </w:r>
      <w:r w:rsidRPr="00AE6829">
        <w:tab/>
      </w:r>
      <w:r w:rsidRPr="00AE6829">
        <w:tab/>
      </w:r>
      <w:r>
        <w:t>J.Reirs</w:t>
      </w:r>
    </w:p>
    <w:p w:rsidR="0001303B" w:rsidRDefault="0001303B" w:rsidP="00360490">
      <w:pPr>
        <w:pStyle w:val="naisf"/>
        <w:tabs>
          <w:tab w:val="left" w:pos="6804"/>
        </w:tabs>
        <w:spacing w:before="0" w:after="0"/>
        <w:ind w:left="-426" w:firstLine="0"/>
        <w:rPr>
          <w:sz w:val="20"/>
          <w:szCs w:val="20"/>
        </w:rPr>
      </w:pPr>
    </w:p>
    <w:p w:rsidR="00813EFE" w:rsidRDefault="00813EFE" w:rsidP="00360490">
      <w:pPr>
        <w:pStyle w:val="naisf"/>
        <w:tabs>
          <w:tab w:val="left" w:pos="6804"/>
        </w:tabs>
        <w:spacing w:before="0" w:after="0"/>
        <w:ind w:left="-426" w:firstLine="0"/>
        <w:rPr>
          <w:sz w:val="20"/>
          <w:szCs w:val="20"/>
        </w:rPr>
      </w:pPr>
    </w:p>
    <w:p w:rsidR="00813EFE" w:rsidRDefault="00813EFE" w:rsidP="00360490">
      <w:pPr>
        <w:pStyle w:val="naisf"/>
        <w:tabs>
          <w:tab w:val="left" w:pos="6804"/>
        </w:tabs>
        <w:spacing w:before="0" w:after="0"/>
        <w:ind w:left="-426" w:firstLine="0"/>
        <w:rPr>
          <w:sz w:val="20"/>
          <w:szCs w:val="20"/>
        </w:rPr>
      </w:pPr>
    </w:p>
    <w:p w:rsidR="00813EFE" w:rsidRDefault="00813EFE" w:rsidP="00360490">
      <w:pPr>
        <w:pStyle w:val="naisf"/>
        <w:tabs>
          <w:tab w:val="left" w:pos="6804"/>
        </w:tabs>
        <w:spacing w:before="0" w:after="0"/>
        <w:ind w:left="-426" w:firstLine="0"/>
        <w:rPr>
          <w:sz w:val="20"/>
          <w:szCs w:val="20"/>
        </w:rPr>
      </w:pPr>
    </w:p>
    <w:p w:rsidR="00813EFE" w:rsidRDefault="00813EFE" w:rsidP="00360490">
      <w:pPr>
        <w:pStyle w:val="naisf"/>
        <w:tabs>
          <w:tab w:val="left" w:pos="6804"/>
        </w:tabs>
        <w:spacing w:before="0" w:after="0"/>
        <w:ind w:left="-426" w:firstLine="0"/>
        <w:rPr>
          <w:sz w:val="20"/>
          <w:szCs w:val="20"/>
        </w:rPr>
      </w:pPr>
    </w:p>
    <w:p w:rsidR="00813EFE" w:rsidRDefault="00813EFE" w:rsidP="00360490">
      <w:pPr>
        <w:pStyle w:val="naisf"/>
        <w:tabs>
          <w:tab w:val="left" w:pos="6804"/>
        </w:tabs>
        <w:spacing w:before="0" w:after="0"/>
        <w:ind w:left="-426" w:firstLine="0"/>
        <w:rPr>
          <w:sz w:val="20"/>
          <w:szCs w:val="20"/>
        </w:rPr>
      </w:pPr>
    </w:p>
    <w:p w:rsidR="0001303B" w:rsidRDefault="0001303B" w:rsidP="00360490">
      <w:pPr>
        <w:pStyle w:val="naisf"/>
        <w:tabs>
          <w:tab w:val="left" w:pos="6804"/>
        </w:tabs>
        <w:spacing w:before="0" w:after="0"/>
        <w:ind w:left="-426" w:firstLine="0"/>
        <w:rPr>
          <w:sz w:val="20"/>
          <w:szCs w:val="20"/>
        </w:rPr>
      </w:pPr>
    </w:p>
    <w:p w:rsidR="00D762F5" w:rsidRDefault="00D762F5" w:rsidP="00360490">
      <w:pPr>
        <w:pStyle w:val="naisf"/>
        <w:tabs>
          <w:tab w:val="left" w:pos="6804"/>
        </w:tabs>
        <w:spacing w:before="0" w:after="0"/>
        <w:ind w:left="-426" w:firstLine="0"/>
        <w:rPr>
          <w:sz w:val="20"/>
          <w:szCs w:val="20"/>
        </w:rPr>
      </w:pPr>
    </w:p>
    <w:p w:rsidR="00D762F5" w:rsidRDefault="00D762F5" w:rsidP="00360490">
      <w:pPr>
        <w:pStyle w:val="naisf"/>
        <w:tabs>
          <w:tab w:val="left" w:pos="6804"/>
        </w:tabs>
        <w:spacing w:before="0" w:after="0"/>
        <w:ind w:left="-426" w:firstLine="0"/>
        <w:rPr>
          <w:sz w:val="20"/>
          <w:szCs w:val="20"/>
        </w:rPr>
      </w:pPr>
    </w:p>
    <w:p w:rsidR="00D762F5" w:rsidRDefault="00D762F5" w:rsidP="00360490">
      <w:pPr>
        <w:pStyle w:val="naisf"/>
        <w:tabs>
          <w:tab w:val="left" w:pos="6804"/>
        </w:tabs>
        <w:spacing w:before="0" w:after="0"/>
        <w:ind w:left="-426" w:firstLine="0"/>
        <w:rPr>
          <w:sz w:val="20"/>
          <w:szCs w:val="20"/>
        </w:rPr>
      </w:pPr>
    </w:p>
    <w:p w:rsidR="0001303B" w:rsidRDefault="0001303B" w:rsidP="00360490">
      <w:pPr>
        <w:pStyle w:val="naisf"/>
        <w:tabs>
          <w:tab w:val="left" w:pos="6804"/>
        </w:tabs>
        <w:spacing w:before="0" w:after="0"/>
        <w:ind w:left="-426" w:firstLine="0"/>
        <w:rPr>
          <w:sz w:val="20"/>
          <w:szCs w:val="20"/>
        </w:rPr>
      </w:pPr>
    </w:p>
    <w:p w:rsidR="00360490" w:rsidRPr="003D1439" w:rsidRDefault="00884629" w:rsidP="00360490">
      <w:pPr>
        <w:pStyle w:val="naisf"/>
        <w:tabs>
          <w:tab w:val="left" w:pos="6804"/>
        </w:tabs>
        <w:spacing w:before="0" w:after="0"/>
        <w:ind w:left="-426" w:firstLine="0"/>
        <w:rPr>
          <w:sz w:val="20"/>
          <w:szCs w:val="20"/>
        </w:rPr>
      </w:pPr>
      <w:r>
        <w:rPr>
          <w:sz w:val="20"/>
          <w:szCs w:val="20"/>
        </w:rPr>
        <w:t>2</w:t>
      </w:r>
      <w:r w:rsidR="00E86278">
        <w:rPr>
          <w:sz w:val="20"/>
          <w:szCs w:val="20"/>
        </w:rPr>
        <w:t>6</w:t>
      </w:r>
      <w:r w:rsidR="00360490" w:rsidRPr="003D1439">
        <w:rPr>
          <w:sz w:val="20"/>
          <w:szCs w:val="20"/>
        </w:rPr>
        <w:t>.</w:t>
      </w:r>
      <w:r w:rsidR="00192836">
        <w:rPr>
          <w:sz w:val="20"/>
          <w:szCs w:val="20"/>
        </w:rPr>
        <w:t>10</w:t>
      </w:r>
      <w:r w:rsidR="00360490" w:rsidRPr="003D1439">
        <w:rPr>
          <w:sz w:val="20"/>
          <w:szCs w:val="20"/>
        </w:rPr>
        <w:t xml:space="preserve">.2015. </w:t>
      </w:r>
      <w:r w:rsidR="00E86278">
        <w:rPr>
          <w:sz w:val="20"/>
          <w:szCs w:val="20"/>
        </w:rPr>
        <w:t>9</w:t>
      </w:r>
      <w:r w:rsidR="00360490" w:rsidRPr="003D1439">
        <w:rPr>
          <w:sz w:val="20"/>
          <w:szCs w:val="20"/>
        </w:rPr>
        <w:t>:</w:t>
      </w:r>
      <w:r>
        <w:rPr>
          <w:sz w:val="20"/>
          <w:szCs w:val="20"/>
        </w:rPr>
        <w:t>1</w:t>
      </w:r>
      <w:r w:rsidR="00E86278">
        <w:rPr>
          <w:sz w:val="20"/>
          <w:szCs w:val="20"/>
        </w:rPr>
        <w:t>6</w:t>
      </w:r>
    </w:p>
    <w:p w:rsidR="00360490" w:rsidRPr="003D1439" w:rsidRDefault="00F044FD" w:rsidP="00360490">
      <w:pPr>
        <w:pStyle w:val="naisf"/>
        <w:tabs>
          <w:tab w:val="left" w:pos="6804"/>
        </w:tabs>
        <w:spacing w:before="0" w:after="0"/>
        <w:ind w:left="-426" w:firstLine="0"/>
        <w:rPr>
          <w:sz w:val="20"/>
          <w:szCs w:val="20"/>
        </w:rPr>
      </w:pPr>
      <w:bookmarkStart w:id="4" w:name="OLE_LINK8"/>
      <w:bookmarkStart w:id="5" w:name="OLE_LINK15"/>
      <w:r>
        <w:rPr>
          <w:sz w:val="20"/>
          <w:szCs w:val="20"/>
        </w:rPr>
        <w:t>1415</w:t>
      </w:r>
      <w:bookmarkStart w:id="6" w:name="_GoBack"/>
      <w:bookmarkEnd w:id="6"/>
    </w:p>
    <w:p w:rsidR="00360490" w:rsidRPr="003D1439" w:rsidRDefault="00360490" w:rsidP="00360490">
      <w:pPr>
        <w:pStyle w:val="naisf"/>
        <w:tabs>
          <w:tab w:val="left" w:pos="6804"/>
        </w:tabs>
        <w:spacing w:before="0" w:after="0"/>
        <w:ind w:left="-426" w:firstLine="0"/>
        <w:rPr>
          <w:sz w:val="20"/>
          <w:szCs w:val="20"/>
        </w:rPr>
      </w:pPr>
      <w:r w:rsidRPr="003D1439">
        <w:rPr>
          <w:sz w:val="20"/>
          <w:szCs w:val="20"/>
        </w:rPr>
        <w:t>A.Gulbe</w:t>
      </w:r>
    </w:p>
    <w:p w:rsidR="00304C12" w:rsidRDefault="00360490" w:rsidP="002361AB">
      <w:pPr>
        <w:pStyle w:val="naisf"/>
        <w:tabs>
          <w:tab w:val="left" w:pos="6804"/>
        </w:tabs>
        <w:spacing w:before="0" w:after="0"/>
        <w:ind w:left="-426" w:firstLine="0"/>
      </w:pPr>
      <w:r w:rsidRPr="003D1439">
        <w:rPr>
          <w:sz w:val="20"/>
          <w:szCs w:val="20"/>
        </w:rPr>
        <w:t>67024698, aiga.gulbe@vni.lv</w:t>
      </w:r>
      <w:bookmarkEnd w:id="4"/>
      <w:bookmarkEnd w:id="5"/>
    </w:p>
    <w:p w:rsidR="00304C12" w:rsidRPr="00304C12" w:rsidRDefault="00304C12" w:rsidP="00304C12"/>
    <w:p w:rsidR="00304C12" w:rsidRPr="00304C12" w:rsidRDefault="00304C12" w:rsidP="00304C12"/>
    <w:p w:rsidR="00304C12" w:rsidRPr="00304C12" w:rsidRDefault="00304C12" w:rsidP="00304C12"/>
    <w:sectPr w:rsidR="00304C12" w:rsidRPr="00304C12" w:rsidSect="00475BF4">
      <w:headerReference w:type="default" r:id="rId9"/>
      <w:footerReference w:type="default" r:id="rId10"/>
      <w:headerReference w:type="first" r:id="rId11"/>
      <w:footerReference w:type="first" r:id="rId12"/>
      <w:pgSz w:w="11906" w:h="16838" w:code="9"/>
      <w:pgMar w:top="993" w:right="1558" w:bottom="993" w:left="1701" w:header="720" w:footer="1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16" w:rsidRDefault="00AD3516" w:rsidP="00AC5C4A">
      <w:pPr>
        <w:spacing w:after="0" w:line="240" w:lineRule="auto"/>
      </w:pPr>
      <w:r>
        <w:separator/>
      </w:r>
    </w:p>
  </w:endnote>
  <w:endnote w:type="continuationSeparator" w:id="0">
    <w:p w:rsidR="00AD3516" w:rsidRDefault="00AD3516"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1" w:rsidRPr="00A3369F" w:rsidRDefault="00207B91" w:rsidP="0076068D">
    <w:pPr>
      <w:pStyle w:val="BodyText"/>
      <w:ind w:left="-426" w:right="-425"/>
      <w:jc w:val="both"/>
      <w:rPr>
        <w:szCs w:val="16"/>
      </w:rPr>
    </w:pPr>
    <w:r w:rsidRPr="00A3369F">
      <w:rPr>
        <w:b w:val="0"/>
        <w:bCs w:val="0"/>
        <w:sz w:val="16"/>
        <w:szCs w:val="16"/>
      </w:rPr>
      <w:fldChar w:fldCharType="begin"/>
    </w:r>
    <w:r w:rsidRPr="00A3369F">
      <w:rPr>
        <w:b w:val="0"/>
        <w:bCs w:val="0"/>
        <w:sz w:val="16"/>
        <w:szCs w:val="16"/>
      </w:rPr>
      <w:instrText xml:space="preserve"> FILENAME </w:instrText>
    </w:r>
    <w:r w:rsidRPr="00A3369F">
      <w:rPr>
        <w:b w:val="0"/>
        <w:bCs w:val="0"/>
        <w:sz w:val="16"/>
        <w:szCs w:val="16"/>
      </w:rPr>
      <w:fldChar w:fldCharType="separate"/>
    </w:r>
    <w:r>
      <w:rPr>
        <w:b w:val="0"/>
        <w:bCs w:val="0"/>
        <w:noProof/>
        <w:sz w:val="16"/>
        <w:szCs w:val="16"/>
      </w:rPr>
      <w:t>FMAnot_141015_GrozMKrik307Okup</w:t>
    </w:r>
    <w:r w:rsidRPr="00A3369F">
      <w:rPr>
        <w:b w:val="0"/>
        <w:bCs w:val="0"/>
        <w:sz w:val="16"/>
        <w:szCs w:val="16"/>
      </w:rPr>
      <w:fldChar w:fldCharType="end"/>
    </w:r>
    <w:r w:rsidRPr="00A3369F">
      <w:rPr>
        <w:b w:val="0"/>
        <w:bCs w:val="0"/>
        <w:sz w:val="16"/>
        <w:szCs w:val="16"/>
      </w:rPr>
      <w:t>; Ministru kabineta rīkojuma projekt</w:t>
    </w:r>
    <w:r>
      <w:rPr>
        <w:b w:val="0"/>
        <w:bCs w:val="0"/>
        <w:sz w:val="16"/>
        <w:szCs w:val="16"/>
      </w:rPr>
      <w:t>a</w:t>
    </w:r>
    <w:r w:rsidRPr="00A3369F">
      <w:rPr>
        <w:b w:val="0"/>
        <w:bCs w:val="0"/>
        <w:sz w:val="16"/>
        <w:szCs w:val="16"/>
      </w:rPr>
      <w:t xml:space="preserve"> „Grozījumi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id" w:val="-1"/>
        <w:attr w:name="baseform" w:val="ziņojums"/>
        <w:attr w:name="text" w:val="ziņojums"/>
      </w:smartTagPr>
      <w:r w:rsidRPr="008B04A2">
        <w:rPr>
          <w:b w:val="0"/>
          <w:bCs w:val="0"/>
          <w:sz w:val="16"/>
          <w:szCs w:val="16"/>
        </w:rPr>
        <w:t>ziņojums</w:t>
      </w:r>
    </w:smartTag>
    <w:r w:rsidRPr="008B04A2">
      <w:rPr>
        <w:b w:val="0"/>
        <w:bCs w:val="0"/>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1" w:rsidRDefault="00207B91">
    <w:pPr>
      <w:pStyle w:val="Footer"/>
      <w:jc w:val="center"/>
    </w:pPr>
  </w:p>
  <w:p w:rsidR="00207B91" w:rsidRPr="00A3369F" w:rsidRDefault="00207B91" w:rsidP="0097491A">
    <w:pPr>
      <w:pStyle w:val="BodyText"/>
      <w:jc w:val="both"/>
      <w:rPr>
        <w:b w:val="0"/>
        <w:bCs w:val="0"/>
        <w:sz w:val="16"/>
        <w:szCs w:val="16"/>
      </w:rPr>
    </w:pPr>
    <w:r w:rsidRPr="00A3369F">
      <w:rPr>
        <w:b w:val="0"/>
        <w:bCs w:val="0"/>
        <w:sz w:val="16"/>
        <w:szCs w:val="16"/>
      </w:rPr>
      <w:fldChar w:fldCharType="begin"/>
    </w:r>
    <w:r w:rsidRPr="00A3369F">
      <w:rPr>
        <w:b w:val="0"/>
        <w:bCs w:val="0"/>
        <w:sz w:val="16"/>
        <w:szCs w:val="16"/>
      </w:rPr>
      <w:instrText xml:space="preserve"> FILENAME </w:instrText>
    </w:r>
    <w:r w:rsidRPr="00A3369F">
      <w:rPr>
        <w:b w:val="0"/>
        <w:bCs w:val="0"/>
        <w:sz w:val="16"/>
        <w:szCs w:val="16"/>
      </w:rPr>
      <w:fldChar w:fldCharType="separate"/>
    </w:r>
    <w:r>
      <w:rPr>
        <w:b w:val="0"/>
        <w:bCs w:val="0"/>
        <w:noProof/>
        <w:sz w:val="16"/>
        <w:szCs w:val="16"/>
      </w:rPr>
      <w:t>FMAnot_141015_GrozMKrik307Okup</w:t>
    </w:r>
    <w:r w:rsidRPr="00A3369F">
      <w:rPr>
        <w:b w:val="0"/>
        <w:bCs w:val="0"/>
        <w:sz w:val="16"/>
        <w:szCs w:val="16"/>
      </w:rPr>
      <w:fldChar w:fldCharType="end"/>
    </w:r>
    <w:r w:rsidRPr="00A3369F">
      <w:rPr>
        <w:b w:val="0"/>
        <w:bCs w:val="0"/>
        <w:sz w:val="16"/>
        <w:szCs w:val="16"/>
      </w:rPr>
      <w:t>; Ministru kabineta rīkojuma projekt</w:t>
    </w:r>
    <w:r>
      <w:rPr>
        <w:b w:val="0"/>
        <w:bCs w:val="0"/>
        <w:sz w:val="16"/>
        <w:szCs w:val="16"/>
      </w:rPr>
      <w:t xml:space="preserve">a </w:t>
    </w:r>
    <w:r w:rsidRPr="00A3369F">
      <w:rPr>
        <w:b w:val="0"/>
        <w:bCs w:val="0"/>
        <w:sz w:val="16"/>
        <w:szCs w:val="16"/>
      </w:rPr>
      <w:t xml:space="preserve">„Grozījumi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id" w:val="-1"/>
        <w:attr w:name="baseform" w:val="ziņojums"/>
        <w:attr w:name="text" w:val="ziņojums"/>
      </w:smartTagPr>
      <w:r w:rsidRPr="008B04A2">
        <w:rPr>
          <w:b w:val="0"/>
          <w:bCs w:val="0"/>
          <w:sz w:val="16"/>
          <w:szCs w:val="16"/>
        </w:rPr>
        <w:t>ziņojums</w:t>
      </w:r>
    </w:smartTag>
    <w:r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16" w:rsidRDefault="00AD3516" w:rsidP="00AC5C4A">
      <w:pPr>
        <w:spacing w:after="0" w:line="240" w:lineRule="auto"/>
      </w:pPr>
      <w:r>
        <w:separator/>
      </w:r>
    </w:p>
  </w:footnote>
  <w:footnote w:type="continuationSeparator" w:id="0">
    <w:p w:rsidR="00AD3516" w:rsidRDefault="00AD3516"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207B91" w:rsidRPr="0097491A" w:rsidRDefault="00207B91">
            <w:pPr>
              <w:pStyle w:val="Header"/>
              <w:jc w:val="center"/>
              <w:rPr>
                <w:rFonts w:ascii="Times New Roman" w:hAnsi="Times New Roman"/>
              </w:rPr>
            </w:pPr>
            <w:r w:rsidRPr="0097491A">
              <w:rPr>
                <w:rFonts w:ascii="Times New Roman" w:hAnsi="Times New Roman"/>
              </w:rPr>
              <w:fldChar w:fldCharType="begin"/>
            </w:r>
            <w:r w:rsidRPr="0097491A">
              <w:rPr>
                <w:rFonts w:ascii="Times New Roman" w:hAnsi="Times New Roman"/>
              </w:rPr>
              <w:instrText xml:space="preserve"> PAGE   \* MERGEFORMAT </w:instrText>
            </w:r>
            <w:r w:rsidRPr="0097491A">
              <w:rPr>
                <w:rFonts w:ascii="Times New Roman" w:hAnsi="Times New Roman"/>
              </w:rPr>
              <w:fldChar w:fldCharType="separate"/>
            </w:r>
            <w:r w:rsidR="00F044FD">
              <w:rPr>
                <w:rFonts w:ascii="Times New Roman" w:hAnsi="Times New Roman"/>
                <w:noProof/>
              </w:rPr>
              <w:t>5</w:t>
            </w:r>
            <w:r w:rsidRPr="0097491A">
              <w:rPr>
                <w:rFonts w:ascii="Times New Roman" w:hAnsi="Times New Roman"/>
              </w:rPr>
              <w:fldChar w:fldCharType="end"/>
            </w:r>
          </w:p>
        </w:sdtContent>
      </w:sdt>
    </w:sdtContent>
  </w:sdt>
  <w:p w:rsidR="00207B91" w:rsidRPr="0097491A" w:rsidRDefault="00207B91" w:rsidP="0097491A">
    <w:pPr>
      <w:pStyle w:val="Header"/>
    </w:pPr>
  </w:p>
  <w:p w:rsidR="00207B91" w:rsidRDefault="00207B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1" w:rsidRDefault="00207B91">
    <w:pPr>
      <w:pStyle w:val="Header"/>
      <w:jc w:val="center"/>
    </w:pPr>
  </w:p>
  <w:p w:rsidR="00207B91" w:rsidRDefault="00207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3">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4">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5">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6">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1">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5">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6">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17">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8">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5"/>
  </w:num>
  <w:num w:numId="5">
    <w:abstractNumId w:val="1"/>
  </w:num>
  <w:num w:numId="6">
    <w:abstractNumId w:val="17"/>
  </w:num>
  <w:num w:numId="7">
    <w:abstractNumId w:val="7"/>
  </w:num>
  <w:num w:numId="8">
    <w:abstractNumId w:val="4"/>
  </w:num>
  <w:num w:numId="9">
    <w:abstractNumId w:val="0"/>
  </w:num>
  <w:num w:numId="10">
    <w:abstractNumId w:val="2"/>
  </w:num>
  <w:num w:numId="11">
    <w:abstractNumId w:val="18"/>
  </w:num>
  <w:num w:numId="12">
    <w:abstractNumId w:val="12"/>
  </w:num>
  <w:num w:numId="13">
    <w:abstractNumId w:val="5"/>
  </w:num>
  <w:num w:numId="14">
    <w:abstractNumId w:val="16"/>
  </w:num>
  <w:num w:numId="15">
    <w:abstractNumId w:val="11"/>
  </w:num>
  <w:num w:numId="16">
    <w:abstractNumId w:val="9"/>
  </w:num>
  <w:num w:numId="17">
    <w:abstractNumId w:val="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A"/>
    <w:rsid w:val="00001DF2"/>
    <w:rsid w:val="000043CC"/>
    <w:rsid w:val="00004BB1"/>
    <w:rsid w:val="00006AC8"/>
    <w:rsid w:val="00012465"/>
    <w:rsid w:val="0001303B"/>
    <w:rsid w:val="000206FE"/>
    <w:rsid w:val="00036D16"/>
    <w:rsid w:val="00044A20"/>
    <w:rsid w:val="000477BC"/>
    <w:rsid w:val="00052D64"/>
    <w:rsid w:val="000565DE"/>
    <w:rsid w:val="00061467"/>
    <w:rsid w:val="00063D59"/>
    <w:rsid w:val="000675EB"/>
    <w:rsid w:val="0008174A"/>
    <w:rsid w:val="000837A3"/>
    <w:rsid w:val="00090DD1"/>
    <w:rsid w:val="00097B34"/>
    <w:rsid w:val="000A1036"/>
    <w:rsid w:val="000A7AFF"/>
    <w:rsid w:val="000B29EA"/>
    <w:rsid w:val="000C4FF6"/>
    <w:rsid w:val="000D24AB"/>
    <w:rsid w:val="000E07D2"/>
    <w:rsid w:val="000F4E1A"/>
    <w:rsid w:val="00115C4B"/>
    <w:rsid w:val="0012048D"/>
    <w:rsid w:val="00123817"/>
    <w:rsid w:val="00126EF6"/>
    <w:rsid w:val="00133F2F"/>
    <w:rsid w:val="00160AB5"/>
    <w:rsid w:val="00163DBE"/>
    <w:rsid w:val="00170EB9"/>
    <w:rsid w:val="0017338A"/>
    <w:rsid w:val="00177481"/>
    <w:rsid w:val="001800E0"/>
    <w:rsid w:val="00184A2C"/>
    <w:rsid w:val="00186128"/>
    <w:rsid w:val="00190C3C"/>
    <w:rsid w:val="00192836"/>
    <w:rsid w:val="001A16D1"/>
    <w:rsid w:val="001A3B43"/>
    <w:rsid w:val="001B271E"/>
    <w:rsid w:val="001D137E"/>
    <w:rsid w:val="001D3ABA"/>
    <w:rsid w:val="001E09B6"/>
    <w:rsid w:val="001E133F"/>
    <w:rsid w:val="001F21D2"/>
    <w:rsid w:val="00207B91"/>
    <w:rsid w:val="00210BF4"/>
    <w:rsid w:val="00220EDE"/>
    <w:rsid w:val="00224CB2"/>
    <w:rsid w:val="00226809"/>
    <w:rsid w:val="00234C8D"/>
    <w:rsid w:val="002361AB"/>
    <w:rsid w:val="00237BD1"/>
    <w:rsid w:val="00245EE9"/>
    <w:rsid w:val="00246E8A"/>
    <w:rsid w:val="0024797E"/>
    <w:rsid w:val="002531B5"/>
    <w:rsid w:val="002600E0"/>
    <w:rsid w:val="00260EBF"/>
    <w:rsid w:val="0026528B"/>
    <w:rsid w:val="00265440"/>
    <w:rsid w:val="0027152E"/>
    <w:rsid w:val="00272C4A"/>
    <w:rsid w:val="00272E93"/>
    <w:rsid w:val="002745E6"/>
    <w:rsid w:val="002806E5"/>
    <w:rsid w:val="00282608"/>
    <w:rsid w:val="0028389B"/>
    <w:rsid w:val="00287311"/>
    <w:rsid w:val="00287AE4"/>
    <w:rsid w:val="00292080"/>
    <w:rsid w:val="00292315"/>
    <w:rsid w:val="002A66EE"/>
    <w:rsid w:val="002A7B0D"/>
    <w:rsid w:val="002B0F39"/>
    <w:rsid w:val="002C0BBA"/>
    <w:rsid w:val="002C443B"/>
    <w:rsid w:val="002C457C"/>
    <w:rsid w:val="002C4F7E"/>
    <w:rsid w:val="002C6108"/>
    <w:rsid w:val="002D167D"/>
    <w:rsid w:val="002F3029"/>
    <w:rsid w:val="002F4518"/>
    <w:rsid w:val="002F5B39"/>
    <w:rsid w:val="00303031"/>
    <w:rsid w:val="00303ECB"/>
    <w:rsid w:val="00304C12"/>
    <w:rsid w:val="003062CF"/>
    <w:rsid w:val="00306AB4"/>
    <w:rsid w:val="00312C2F"/>
    <w:rsid w:val="00313CBA"/>
    <w:rsid w:val="003217B4"/>
    <w:rsid w:val="00322140"/>
    <w:rsid w:val="00330341"/>
    <w:rsid w:val="00330B3E"/>
    <w:rsid w:val="00332653"/>
    <w:rsid w:val="00351EEE"/>
    <w:rsid w:val="00354070"/>
    <w:rsid w:val="00355D4B"/>
    <w:rsid w:val="00360490"/>
    <w:rsid w:val="003718DC"/>
    <w:rsid w:val="00377BC2"/>
    <w:rsid w:val="003819E2"/>
    <w:rsid w:val="0039060C"/>
    <w:rsid w:val="003A1F15"/>
    <w:rsid w:val="003A284A"/>
    <w:rsid w:val="003B1B6E"/>
    <w:rsid w:val="003B2514"/>
    <w:rsid w:val="003B71F3"/>
    <w:rsid w:val="003D66BE"/>
    <w:rsid w:val="003E34C7"/>
    <w:rsid w:val="003F38BC"/>
    <w:rsid w:val="003F6F40"/>
    <w:rsid w:val="00404607"/>
    <w:rsid w:val="00413792"/>
    <w:rsid w:val="00416061"/>
    <w:rsid w:val="00416F88"/>
    <w:rsid w:val="00417593"/>
    <w:rsid w:val="00417925"/>
    <w:rsid w:val="00422AE6"/>
    <w:rsid w:val="00422BFB"/>
    <w:rsid w:val="00422EF4"/>
    <w:rsid w:val="0042467F"/>
    <w:rsid w:val="00444B0B"/>
    <w:rsid w:val="00446DF3"/>
    <w:rsid w:val="004525A3"/>
    <w:rsid w:val="004635FC"/>
    <w:rsid w:val="00475BF4"/>
    <w:rsid w:val="00476E9D"/>
    <w:rsid w:val="00482D67"/>
    <w:rsid w:val="004917F9"/>
    <w:rsid w:val="00494D4B"/>
    <w:rsid w:val="00496E09"/>
    <w:rsid w:val="004B4F67"/>
    <w:rsid w:val="004C20EE"/>
    <w:rsid w:val="004C24CA"/>
    <w:rsid w:val="004C3822"/>
    <w:rsid w:val="004C473F"/>
    <w:rsid w:val="004E07B6"/>
    <w:rsid w:val="004E0E61"/>
    <w:rsid w:val="004E1C0C"/>
    <w:rsid w:val="004E26F4"/>
    <w:rsid w:val="004F1F17"/>
    <w:rsid w:val="004F6778"/>
    <w:rsid w:val="0050159F"/>
    <w:rsid w:val="00512D1C"/>
    <w:rsid w:val="00516791"/>
    <w:rsid w:val="005167EC"/>
    <w:rsid w:val="00516DBB"/>
    <w:rsid w:val="0053702E"/>
    <w:rsid w:val="00541BB2"/>
    <w:rsid w:val="00550C38"/>
    <w:rsid w:val="005572DD"/>
    <w:rsid w:val="00557DA3"/>
    <w:rsid w:val="00560D8A"/>
    <w:rsid w:val="00572B5C"/>
    <w:rsid w:val="00575E3C"/>
    <w:rsid w:val="00580C21"/>
    <w:rsid w:val="00582538"/>
    <w:rsid w:val="00585A93"/>
    <w:rsid w:val="00592FC5"/>
    <w:rsid w:val="00593F8B"/>
    <w:rsid w:val="0059499E"/>
    <w:rsid w:val="00595C58"/>
    <w:rsid w:val="00597A53"/>
    <w:rsid w:val="005A24DB"/>
    <w:rsid w:val="005A4BE8"/>
    <w:rsid w:val="005B0D3A"/>
    <w:rsid w:val="005C6465"/>
    <w:rsid w:val="005D3A13"/>
    <w:rsid w:val="005E5070"/>
    <w:rsid w:val="005E5EE4"/>
    <w:rsid w:val="005F038F"/>
    <w:rsid w:val="005F125B"/>
    <w:rsid w:val="005F1F59"/>
    <w:rsid w:val="00600635"/>
    <w:rsid w:val="0060312B"/>
    <w:rsid w:val="00607BC3"/>
    <w:rsid w:val="006138C2"/>
    <w:rsid w:val="00620968"/>
    <w:rsid w:val="00623903"/>
    <w:rsid w:val="00624A25"/>
    <w:rsid w:val="00637110"/>
    <w:rsid w:val="00643FB3"/>
    <w:rsid w:val="00654131"/>
    <w:rsid w:val="00682092"/>
    <w:rsid w:val="00683B69"/>
    <w:rsid w:val="00691D9D"/>
    <w:rsid w:val="006A39D7"/>
    <w:rsid w:val="006A4F76"/>
    <w:rsid w:val="006B4BD1"/>
    <w:rsid w:val="006C0411"/>
    <w:rsid w:val="006D0494"/>
    <w:rsid w:val="006E11E5"/>
    <w:rsid w:val="006E26A6"/>
    <w:rsid w:val="006E66A7"/>
    <w:rsid w:val="006F04B3"/>
    <w:rsid w:val="006F6C80"/>
    <w:rsid w:val="006F78DA"/>
    <w:rsid w:val="007072C9"/>
    <w:rsid w:val="00715DE4"/>
    <w:rsid w:val="00727270"/>
    <w:rsid w:val="0073224E"/>
    <w:rsid w:val="00757849"/>
    <w:rsid w:val="0076068D"/>
    <w:rsid w:val="00776D01"/>
    <w:rsid w:val="00781BB5"/>
    <w:rsid w:val="007906A2"/>
    <w:rsid w:val="007955DF"/>
    <w:rsid w:val="00796C95"/>
    <w:rsid w:val="007A79AA"/>
    <w:rsid w:val="007C0142"/>
    <w:rsid w:val="007C084E"/>
    <w:rsid w:val="007C1D57"/>
    <w:rsid w:val="007C40B8"/>
    <w:rsid w:val="007C5DFE"/>
    <w:rsid w:val="007E20A4"/>
    <w:rsid w:val="007E2479"/>
    <w:rsid w:val="007E27E4"/>
    <w:rsid w:val="007E4920"/>
    <w:rsid w:val="007F5480"/>
    <w:rsid w:val="008045B9"/>
    <w:rsid w:val="00813EFE"/>
    <w:rsid w:val="00817B86"/>
    <w:rsid w:val="00820424"/>
    <w:rsid w:val="00833ABA"/>
    <w:rsid w:val="00842C93"/>
    <w:rsid w:val="00843C3E"/>
    <w:rsid w:val="00850715"/>
    <w:rsid w:val="00856C91"/>
    <w:rsid w:val="00861823"/>
    <w:rsid w:val="00861D6F"/>
    <w:rsid w:val="00862C37"/>
    <w:rsid w:val="00866B17"/>
    <w:rsid w:val="00866EFA"/>
    <w:rsid w:val="0087448A"/>
    <w:rsid w:val="00875DD5"/>
    <w:rsid w:val="00884629"/>
    <w:rsid w:val="008864F2"/>
    <w:rsid w:val="00893C60"/>
    <w:rsid w:val="008A4837"/>
    <w:rsid w:val="008B04A2"/>
    <w:rsid w:val="008E1D34"/>
    <w:rsid w:val="008E3794"/>
    <w:rsid w:val="008E44B9"/>
    <w:rsid w:val="008E59AF"/>
    <w:rsid w:val="008E6E67"/>
    <w:rsid w:val="00902536"/>
    <w:rsid w:val="00906DA2"/>
    <w:rsid w:val="00906F29"/>
    <w:rsid w:val="009148C7"/>
    <w:rsid w:val="00917486"/>
    <w:rsid w:val="00920EB8"/>
    <w:rsid w:val="00925014"/>
    <w:rsid w:val="00931B1C"/>
    <w:rsid w:val="009469B3"/>
    <w:rsid w:val="009512DA"/>
    <w:rsid w:val="0095297F"/>
    <w:rsid w:val="00953931"/>
    <w:rsid w:val="00954FCF"/>
    <w:rsid w:val="00957211"/>
    <w:rsid w:val="009674AF"/>
    <w:rsid w:val="00973070"/>
    <w:rsid w:val="0097491A"/>
    <w:rsid w:val="00977151"/>
    <w:rsid w:val="00980779"/>
    <w:rsid w:val="00987E92"/>
    <w:rsid w:val="00990F90"/>
    <w:rsid w:val="00991AE1"/>
    <w:rsid w:val="00993517"/>
    <w:rsid w:val="00994535"/>
    <w:rsid w:val="00997340"/>
    <w:rsid w:val="009A4344"/>
    <w:rsid w:val="009B23FE"/>
    <w:rsid w:val="009B26BF"/>
    <w:rsid w:val="009C0F8C"/>
    <w:rsid w:val="009C1888"/>
    <w:rsid w:val="009C35B2"/>
    <w:rsid w:val="009C743A"/>
    <w:rsid w:val="009E1512"/>
    <w:rsid w:val="009E7E9E"/>
    <w:rsid w:val="00A23594"/>
    <w:rsid w:val="00A3369F"/>
    <w:rsid w:val="00A336AB"/>
    <w:rsid w:val="00A3628A"/>
    <w:rsid w:val="00A36BA3"/>
    <w:rsid w:val="00A420A2"/>
    <w:rsid w:val="00A42E0B"/>
    <w:rsid w:val="00A4482A"/>
    <w:rsid w:val="00A65503"/>
    <w:rsid w:val="00A6559E"/>
    <w:rsid w:val="00A655FC"/>
    <w:rsid w:val="00A778A5"/>
    <w:rsid w:val="00A837A0"/>
    <w:rsid w:val="00A84506"/>
    <w:rsid w:val="00A9391E"/>
    <w:rsid w:val="00AA1C5A"/>
    <w:rsid w:val="00AA2099"/>
    <w:rsid w:val="00AA6B62"/>
    <w:rsid w:val="00AB0E64"/>
    <w:rsid w:val="00AB16AA"/>
    <w:rsid w:val="00AB4726"/>
    <w:rsid w:val="00AC5C4A"/>
    <w:rsid w:val="00AD3516"/>
    <w:rsid w:val="00AD3E3D"/>
    <w:rsid w:val="00AD7683"/>
    <w:rsid w:val="00AE173D"/>
    <w:rsid w:val="00AE2D3F"/>
    <w:rsid w:val="00AE4A03"/>
    <w:rsid w:val="00B112B1"/>
    <w:rsid w:val="00B2564E"/>
    <w:rsid w:val="00B26A25"/>
    <w:rsid w:val="00B33C8E"/>
    <w:rsid w:val="00B34B3A"/>
    <w:rsid w:val="00B36792"/>
    <w:rsid w:val="00B402B3"/>
    <w:rsid w:val="00B4488F"/>
    <w:rsid w:val="00B45610"/>
    <w:rsid w:val="00B47D98"/>
    <w:rsid w:val="00B563D9"/>
    <w:rsid w:val="00B5695A"/>
    <w:rsid w:val="00B60429"/>
    <w:rsid w:val="00B6076C"/>
    <w:rsid w:val="00B60F37"/>
    <w:rsid w:val="00B65715"/>
    <w:rsid w:val="00B738A4"/>
    <w:rsid w:val="00B82127"/>
    <w:rsid w:val="00B934E9"/>
    <w:rsid w:val="00B9667F"/>
    <w:rsid w:val="00BA0C59"/>
    <w:rsid w:val="00BA675F"/>
    <w:rsid w:val="00BA732D"/>
    <w:rsid w:val="00BB033B"/>
    <w:rsid w:val="00BB51DF"/>
    <w:rsid w:val="00BE0AC0"/>
    <w:rsid w:val="00BE1AF8"/>
    <w:rsid w:val="00BE79A1"/>
    <w:rsid w:val="00BF2F28"/>
    <w:rsid w:val="00C031E6"/>
    <w:rsid w:val="00C0799C"/>
    <w:rsid w:val="00C10115"/>
    <w:rsid w:val="00C13C76"/>
    <w:rsid w:val="00C21CA6"/>
    <w:rsid w:val="00C24448"/>
    <w:rsid w:val="00C31FD7"/>
    <w:rsid w:val="00C4524D"/>
    <w:rsid w:val="00C56981"/>
    <w:rsid w:val="00C71AE1"/>
    <w:rsid w:val="00C74067"/>
    <w:rsid w:val="00C82A70"/>
    <w:rsid w:val="00C8719C"/>
    <w:rsid w:val="00C879CF"/>
    <w:rsid w:val="00C941B8"/>
    <w:rsid w:val="00CA1976"/>
    <w:rsid w:val="00CA51B7"/>
    <w:rsid w:val="00CB394C"/>
    <w:rsid w:val="00CB5ADF"/>
    <w:rsid w:val="00CC3CDF"/>
    <w:rsid w:val="00CC6B4A"/>
    <w:rsid w:val="00CD494E"/>
    <w:rsid w:val="00CD6D10"/>
    <w:rsid w:val="00CF462B"/>
    <w:rsid w:val="00D006F2"/>
    <w:rsid w:val="00D01EEF"/>
    <w:rsid w:val="00D118F6"/>
    <w:rsid w:val="00D143D7"/>
    <w:rsid w:val="00D2230E"/>
    <w:rsid w:val="00D2448C"/>
    <w:rsid w:val="00D33276"/>
    <w:rsid w:val="00D43527"/>
    <w:rsid w:val="00D6075C"/>
    <w:rsid w:val="00D64D07"/>
    <w:rsid w:val="00D73C9B"/>
    <w:rsid w:val="00D75B73"/>
    <w:rsid w:val="00D762F5"/>
    <w:rsid w:val="00D80C78"/>
    <w:rsid w:val="00D87FCE"/>
    <w:rsid w:val="00D91391"/>
    <w:rsid w:val="00D936F7"/>
    <w:rsid w:val="00D950A0"/>
    <w:rsid w:val="00DA430B"/>
    <w:rsid w:val="00DA5463"/>
    <w:rsid w:val="00DC7E63"/>
    <w:rsid w:val="00E019DF"/>
    <w:rsid w:val="00E14BD7"/>
    <w:rsid w:val="00E21256"/>
    <w:rsid w:val="00E36A02"/>
    <w:rsid w:val="00E420FD"/>
    <w:rsid w:val="00E44AC2"/>
    <w:rsid w:val="00E45329"/>
    <w:rsid w:val="00E50861"/>
    <w:rsid w:val="00E562F1"/>
    <w:rsid w:val="00E570D0"/>
    <w:rsid w:val="00E57BD2"/>
    <w:rsid w:val="00E64647"/>
    <w:rsid w:val="00E73658"/>
    <w:rsid w:val="00E74647"/>
    <w:rsid w:val="00E75798"/>
    <w:rsid w:val="00E759E3"/>
    <w:rsid w:val="00E8249E"/>
    <w:rsid w:val="00E83BD9"/>
    <w:rsid w:val="00E86278"/>
    <w:rsid w:val="00EB2B05"/>
    <w:rsid w:val="00EB3002"/>
    <w:rsid w:val="00EB4E86"/>
    <w:rsid w:val="00EB56B8"/>
    <w:rsid w:val="00EC1091"/>
    <w:rsid w:val="00EC127B"/>
    <w:rsid w:val="00EC2C61"/>
    <w:rsid w:val="00EC464C"/>
    <w:rsid w:val="00EC791A"/>
    <w:rsid w:val="00ED1283"/>
    <w:rsid w:val="00ED1E43"/>
    <w:rsid w:val="00ED2A9C"/>
    <w:rsid w:val="00ED4F8C"/>
    <w:rsid w:val="00EF02E5"/>
    <w:rsid w:val="00EF359A"/>
    <w:rsid w:val="00EF4F23"/>
    <w:rsid w:val="00F01747"/>
    <w:rsid w:val="00F044FD"/>
    <w:rsid w:val="00F054D7"/>
    <w:rsid w:val="00F123C8"/>
    <w:rsid w:val="00F12547"/>
    <w:rsid w:val="00F17E09"/>
    <w:rsid w:val="00F208D2"/>
    <w:rsid w:val="00F21194"/>
    <w:rsid w:val="00F24158"/>
    <w:rsid w:val="00F42C36"/>
    <w:rsid w:val="00F51A5F"/>
    <w:rsid w:val="00F5340F"/>
    <w:rsid w:val="00F74519"/>
    <w:rsid w:val="00F74632"/>
    <w:rsid w:val="00F82279"/>
    <w:rsid w:val="00F85CE4"/>
    <w:rsid w:val="00F8781B"/>
    <w:rsid w:val="00F93A0C"/>
    <w:rsid w:val="00FA195D"/>
    <w:rsid w:val="00FA4BDA"/>
    <w:rsid w:val="00FA7655"/>
    <w:rsid w:val="00FB5EB0"/>
    <w:rsid w:val="00FB5F8B"/>
    <w:rsid w:val="00FC0EA9"/>
    <w:rsid w:val="00FC2012"/>
    <w:rsid w:val="00FC2A5B"/>
    <w:rsid w:val="00FC3140"/>
    <w:rsid w:val="00FD2518"/>
    <w:rsid w:val="00FD746C"/>
    <w:rsid w:val="00FE4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6A5700ED-2293-42E5-9676-E4C72651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 w:type="table" w:styleId="TableGrid">
    <w:name w:val="Table Grid"/>
    <w:basedOn w:val="TableNormal"/>
    <w:uiPriority w:val="59"/>
    <w:rsid w:val="004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834C4-A9DE-48FE-9804-ACB41D8EA634}">
  <ds:schemaRefs>
    <ds:schemaRef ds:uri="http://schemas.openxmlformats.org/officeDocument/2006/bibliography"/>
  </ds:schemaRefs>
</ds:datastoreItem>
</file>

<file path=customXml/itemProps2.xml><?xml version="1.0" encoding="utf-8"?>
<ds:datastoreItem xmlns:ds="http://schemas.openxmlformats.org/officeDocument/2006/customXml" ds:itemID="{EF6DB432-B512-4570-A7BD-DA86CA8B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5</Pages>
  <Words>6887</Words>
  <Characters>3927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S.Bajāre</Manager>
  <Company>Finanšu ministrija (VNĪ)</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sākotnējās ietekmes novērtējuma ziņojums (anotācija)</dc:title>
  <dc:subject>Anotācija</dc:subject>
  <dc:creator>A.Gulbe</dc:creator>
  <dc:description>A.Gulbe
67024698, aiga.gulbe@vni.lv</dc:description>
  <cp:lastModifiedBy>Finanšu ministrija</cp:lastModifiedBy>
  <cp:revision>34</cp:revision>
  <cp:lastPrinted>2015-10-23T09:06:00Z</cp:lastPrinted>
  <dcterms:created xsi:type="dcterms:W3CDTF">2015-10-14T08:55:00Z</dcterms:created>
  <dcterms:modified xsi:type="dcterms:W3CDTF">2015-10-30T13:28:00Z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