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498FA" w14:textId="77777777" w:rsidR="00E55504" w:rsidRPr="00645C5E" w:rsidRDefault="00E55504" w:rsidP="00D1706B">
      <w:pPr>
        <w:pStyle w:val="Typedudocument"/>
        <w:spacing w:before="100" w:beforeAutospacing="1" w:after="100" w:afterAutospacing="1" w:line="240" w:lineRule="auto"/>
        <w:rPr>
          <w:noProof/>
        </w:rPr>
      </w:pPr>
      <w:bookmarkStart w:id="0" w:name="_GoBack"/>
      <w:bookmarkEnd w:id="0"/>
      <w:r w:rsidRPr="00645C5E">
        <w:rPr>
          <w:noProof/>
        </w:rPr>
        <w:t>PADOMES LĒMUMS</w:t>
      </w:r>
    </w:p>
    <w:p w14:paraId="2FA498FB" w14:textId="77777777" w:rsidR="00E55504" w:rsidRPr="00645C5E" w:rsidRDefault="00E55504" w:rsidP="00D1706B">
      <w:pPr>
        <w:pStyle w:val="Default"/>
        <w:spacing w:before="100" w:beforeAutospacing="1" w:after="100" w:afterAutospacing="1"/>
        <w:jc w:val="center"/>
        <w:rPr>
          <w:rFonts w:ascii="Times New Roman" w:hAnsi="Times New Roman" w:cs="Times New Roman"/>
        </w:rPr>
      </w:pPr>
      <w:r w:rsidRPr="00645C5E">
        <w:rPr>
          <w:rFonts w:ascii="Times New Roman" w:hAnsi="Times New Roman" w:cs="Times New Roman"/>
        </w:rPr>
        <w:t>(</w:t>
      </w:r>
      <w:r w:rsidR="00645C5E">
        <w:rPr>
          <w:rFonts w:ascii="Times New Roman" w:hAnsi="Times New Roman" w:cs="Times New Roman"/>
        </w:rPr>
        <w:t>2014.gada 26.maijs</w:t>
      </w:r>
      <w:r w:rsidRPr="00645C5E">
        <w:rPr>
          <w:rFonts w:ascii="Times New Roman" w:hAnsi="Times New Roman" w:cs="Times New Roman"/>
        </w:rPr>
        <w:t>)</w:t>
      </w:r>
    </w:p>
    <w:p w14:paraId="2FA498FC" w14:textId="77777777" w:rsidR="00FF74EF" w:rsidRPr="00645C5E" w:rsidRDefault="00E55504" w:rsidP="00D1706B">
      <w:pPr>
        <w:pStyle w:val="Titreobjet"/>
        <w:spacing w:before="100" w:beforeAutospacing="1" w:after="100" w:afterAutospacing="1" w:line="240" w:lineRule="auto"/>
        <w:rPr>
          <w:noProof/>
        </w:rPr>
      </w:pPr>
      <w:r w:rsidRPr="00645C5E">
        <w:rPr>
          <w:noProof/>
        </w:rPr>
        <w:t>par Eiropas Savienības pašu resursu sistēmu</w:t>
      </w:r>
    </w:p>
    <w:p w14:paraId="2FA498FD" w14:textId="77777777" w:rsidR="00E55504" w:rsidRPr="00645C5E" w:rsidRDefault="00B36AD8" w:rsidP="00D1706B">
      <w:pPr>
        <w:pStyle w:val="Sous-titreobjet"/>
        <w:spacing w:before="100" w:beforeAutospacing="1" w:after="100" w:afterAutospacing="1" w:line="240" w:lineRule="auto"/>
        <w:rPr>
          <w:bCs/>
        </w:rPr>
      </w:pPr>
      <w:r w:rsidRPr="00645C5E">
        <w:rPr>
          <w:noProof/>
        </w:rPr>
        <w:t>(2014</w:t>
      </w:r>
      <w:r w:rsidR="00FF74EF" w:rsidRPr="00645C5E">
        <w:rPr>
          <w:noProof/>
        </w:rPr>
        <w:t>/</w:t>
      </w:r>
      <w:r w:rsidRPr="00645C5E">
        <w:rPr>
          <w:noProof/>
        </w:rPr>
        <w:t>335/</w:t>
      </w:r>
      <w:r w:rsidR="00FF74EF" w:rsidRPr="00645C5E">
        <w:rPr>
          <w:noProof/>
        </w:rPr>
        <w:t>ES, Euratom)</w:t>
      </w:r>
    </w:p>
    <w:p w14:paraId="2FA498FE" w14:textId="77777777" w:rsidR="00A6253C" w:rsidRPr="00645C5E" w:rsidRDefault="00A6253C" w:rsidP="00902EBB">
      <w:pPr>
        <w:pStyle w:val="Institutionquiagit"/>
        <w:spacing w:before="100" w:beforeAutospacing="1" w:after="100" w:afterAutospacing="1" w:line="240" w:lineRule="auto"/>
        <w:jc w:val="both"/>
      </w:pPr>
    </w:p>
    <w:p w14:paraId="2FA498FF" w14:textId="77777777" w:rsidR="00E55504" w:rsidRPr="00645C5E" w:rsidRDefault="00E55504" w:rsidP="00902EBB">
      <w:pPr>
        <w:pStyle w:val="Institutionquiagit"/>
        <w:spacing w:before="100" w:beforeAutospacing="1" w:after="100" w:afterAutospacing="1" w:line="240" w:lineRule="auto"/>
        <w:jc w:val="both"/>
        <w:rPr>
          <w:color w:val="000000"/>
        </w:rPr>
      </w:pPr>
      <w:r w:rsidRPr="00645C5E">
        <w:t>EIROPAS SAVIENĪBAS PADOME,</w:t>
      </w:r>
    </w:p>
    <w:p w14:paraId="2FA49900" w14:textId="77777777" w:rsidR="003F41F0" w:rsidRPr="00645C5E" w:rsidRDefault="00E55504" w:rsidP="00902EBB">
      <w:pPr>
        <w:spacing w:before="100" w:beforeAutospacing="1" w:after="100" w:afterAutospacing="1" w:line="240" w:lineRule="auto"/>
        <w:jc w:val="both"/>
      </w:pPr>
      <w:r w:rsidRPr="00645C5E">
        <w:t>ņemot vērā Līgumu par Eiropas Savienības darbību</w:t>
      </w:r>
      <w:r w:rsidR="003F41F0" w:rsidRPr="00645C5E">
        <w:t xml:space="preserve"> un</w:t>
      </w:r>
      <w:r w:rsidRPr="00645C5E">
        <w:t xml:space="preserve"> jo īpaši tā 311. panta trešo daļu, </w:t>
      </w:r>
    </w:p>
    <w:p w14:paraId="2FA49901" w14:textId="77777777" w:rsidR="00E55504" w:rsidRPr="00645C5E" w:rsidRDefault="003F41F0" w:rsidP="00902EBB">
      <w:pPr>
        <w:spacing w:before="100" w:beforeAutospacing="1" w:after="100" w:afterAutospacing="1" w:line="240" w:lineRule="auto"/>
        <w:jc w:val="both"/>
      </w:pPr>
      <w:r w:rsidRPr="00645C5E">
        <w:t xml:space="preserve">ņemot vērā </w:t>
      </w:r>
      <w:r w:rsidR="00E55504" w:rsidRPr="00645C5E">
        <w:t>Eiropas Atomenerģijas kopienas dibināšanas līgumu</w:t>
      </w:r>
      <w:r w:rsidRPr="00645C5E">
        <w:t xml:space="preserve"> un</w:t>
      </w:r>
      <w:r w:rsidR="00E55504" w:rsidRPr="00645C5E">
        <w:t xml:space="preserve"> jo īpaši tā 106.a pantu,</w:t>
      </w:r>
    </w:p>
    <w:p w14:paraId="2FA49902" w14:textId="77777777" w:rsidR="00E55504" w:rsidRPr="00645C5E" w:rsidRDefault="00E55504" w:rsidP="00902EBB">
      <w:pPr>
        <w:spacing w:before="100" w:beforeAutospacing="1" w:after="100" w:afterAutospacing="1" w:line="240" w:lineRule="auto"/>
        <w:jc w:val="both"/>
        <w:rPr>
          <w:color w:val="000000"/>
        </w:rPr>
      </w:pPr>
      <w:r w:rsidRPr="00645C5E">
        <w:rPr>
          <w:color w:val="000000"/>
        </w:rPr>
        <w:t xml:space="preserve">ņemot vērā Eiropas Komisijas priekšlikumu, </w:t>
      </w:r>
    </w:p>
    <w:p w14:paraId="2FA49903" w14:textId="77777777" w:rsidR="00E55504" w:rsidRPr="00645C5E" w:rsidRDefault="00E55504" w:rsidP="00902EBB">
      <w:pPr>
        <w:spacing w:before="100" w:beforeAutospacing="1" w:after="100" w:afterAutospacing="1" w:line="240" w:lineRule="auto"/>
        <w:jc w:val="both"/>
      </w:pPr>
      <w:r w:rsidRPr="00645C5E">
        <w:t>pēc leģislatīvā akta projekta nosūtīšanas valstu parlamentiem,</w:t>
      </w:r>
    </w:p>
    <w:p w14:paraId="2FA49904" w14:textId="77777777" w:rsidR="00E55504" w:rsidRPr="00645C5E" w:rsidRDefault="00E55504" w:rsidP="00902EBB">
      <w:pPr>
        <w:spacing w:before="100" w:beforeAutospacing="1" w:after="100" w:afterAutospacing="1" w:line="240" w:lineRule="auto"/>
        <w:jc w:val="both"/>
      </w:pPr>
      <w:r w:rsidRPr="00645C5E">
        <w:t>ņemot vērā Eiropas Parlamenta atzinumu </w:t>
      </w:r>
    </w:p>
    <w:p w14:paraId="2FA49905" w14:textId="77777777" w:rsidR="00E55504" w:rsidRPr="00645C5E" w:rsidRDefault="00E55504" w:rsidP="00902EBB">
      <w:pPr>
        <w:spacing w:before="100" w:beforeAutospacing="1" w:after="100" w:afterAutospacing="1" w:line="240" w:lineRule="auto"/>
        <w:jc w:val="both"/>
        <w:rPr>
          <w:noProof/>
        </w:rPr>
      </w:pPr>
      <w:r w:rsidRPr="00645C5E">
        <w:t>saskaņā ar īpašu likumdošanas procedūru,</w:t>
      </w:r>
      <w:r w:rsidR="00DD284F">
        <w:t xml:space="preserve"> </w:t>
      </w:r>
      <w:r w:rsidRPr="00645C5E">
        <w:t>tā kā:</w:t>
      </w:r>
    </w:p>
    <w:p w14:paraId="2FA49906" w14:textId="77777777" w:rsidR="00E55504" w:rsidRPr="00645C5E" w:rsidRDefault="00E55504" w:rsidP="00902EBB">
      <w:pPr>
        <w:pStyle w:val="ManualConsidrant"/>
        <w:spacing w:before="100" w:beforeAutospacing="1" w:after="100" w:afterAutospacing="1" w:line="240" w:lineRule="auto"/>
        <w:jc w:val="both"/>
        <w:rPr>
          <w:noProof/>
        </w:rPr>
      </w:pPr>
      <w:r w:rsidRPr="00645C5E">
        <w:t>(1)</w:t>
      </w:r>
      <w:r w:rsidRPr="00645C5E">
        <w:tab/>
        <w:t xml:space="preserve">Ar Savienības pašu resursu sistēmu ir jānodrošina pietiekami resursi Savienības politikas pastāvīgai izstrādei, ņemot vērā nepieciešamību ievērot stingru budžeta disciplīnu. Pašu resursu sistēmas izveide var un tai </w:t>
      </w:r>
      <w:r w:rsidR="00CF004F" w:rsidRPr="00645C5E">
        <w:t xml:space="preserve">arī </w:t>
      </w:r>
      <w:r w:rsidR="003F41F0" w:rsidRPr="00645C5E">
        <w:t>būtu jāveicina gan</w:t>
      </w:r>
      <w:r w:rsidRPr="00645C5E">
        <w:t xml:space="preserve"> dalībvalstīs īstenot</w:t>
      </w:r>
      <w:r w:rsidR="003F41F0" w:rsidRPr="00645C5E">
        <w:t>ie</w:t>
      </w:r>
      <w:r w:rsidRPr="00645C5E">
        <w:t xml:space="preserve"> plašāka mēroga centien</w:t>
      </w:r>
      <w:r w:rsidR="003F41F0" w:rsidRPr="00645C5E">
        <w:t>i</w:t>
      </w:r>
      <w:r w:rsidRPr="00645C5E">
        <w:t xml:space="preserve"> konsolidēt budžetu, gan pēc iespējas lielākā mērā piedalīties Savienības politikas izstrādē.</w:t>
      </w:r>
    </w:p>
    <w:p w14:paraId="2FA49907" w14:textId="77777777" w:rsidR="00E55504" w:rsidRPr="00645C5E" w:rsidRDefault="00E55504" w:rsidP="00902EBB">
      <w:pPr>
        <w:pStyle w:val="ManualConsidrant"/>
        <w:spacing w:before="100" w:beforeAutospacing="1" w:after="100" w:afterAutospacing="1" w:line="240" w:lineRule="auto"/>
        <w:jc w:val="both"/>
        <w:rPr>
          <w:noProof/>
        </w:rPr>
      </w:pPr>
      <w:r w:rsidRPr="00645C5E">
        <w:t>(2)</w:t>
      </w:r>
      <w:r w:rsidRPr="00645C5E">
        <w:tab/>
      </w:r>
      <w:r w:rsidR="003F41F0" w:rsidRPr="00645C5E">
        <w:t>Šim l</w:t>
      </w:r>
      <w:r w:rsidRPr="00645C5E">
        <w:t>ēmum</w:t>
      </w:r>
      <w:r w:rsidR="003F41F0" w:rsidRPr="00645C5E">
        <w:t>am būtu</w:t>
      </w:r>
      <w:r w:rsidRPr="00645C5E">
        <w:t xml:space="preserve"> </w:t>
      </w:r>
      <w:r w:rsidR="003F41F0" w:rsidRPr="00645C5E">
        <w:t>jā</w:t>
      </w:r>
      <w:r w:rsidRPr="00645C5E">
        <w:t>stā</w:t>
      </w:r>
      <w:r w:rsidR="003F41F0" w:rsidRPr="00645C5E">
        <w:t>jas</w:t>
      </w:r>
      <w:r w:rsidRPr="00645C5E">
        <w:t xml:space="preserve"> spēkā tikai pēc tam, kad to ir </w:t>
      </w:r>
      <w:r w:rsidR="003F41F0" w:rsidRPr="00645C5E">
        <w:t xml:space="preserve">apstiprinājušas </w:t>
      </w:r>
      <w:r w:rsidRPr="00645C5E">
        <w:t>visas dalībvalstis saskaņā ar savām attiecīgajām konstitucionālajām prasībām, tādējādi pilnībā ievērojot valstu suverenitāti.</w:t>
      </w:r>
    </w:p>
    <w:p w14:paraId="2FA49908" w14:textId="77777777" w:rsidR="00E55504" w:rsidRPr="00645C5E" w:rsidRDefault="00E55504" w:rsidP="00902EBB">
      <w:pPr>
        <w:pStyle w:val="ManualConsidrant"/>
        <w:spacing w:before="100" w:beforeAutospacing="1" w:after="100" w:afterAutospacing="1" w:line="240" w:lineRule="auto"/>
        <w:jc w:val="both"/>
        <w:rPr>
          <w:noProof/>
        </w:rPr>
      </w:pPr>
      <w:r w:rsidRPr="00645C5E">
        <w:t>(3)</w:t>
      </w:r>
      <w:r w:rsidRPr="00645C5E">
        <w:tab/>
      </w:r>
      <w:r w:rsidRPr="00645C5E">
        <w:rPr>
          <w:rStyle w:val="Deleted"/>
          <w:strike w:val="0"/>
          <w:noProof/>
        </w:rPr>
        <w:t>Eiropadome 2013. gada 7. un 8. februāra sanāksmē cita starpā secināja, ka pašu resursu mehānisma pamatā vajadzētu būt vispārējiem mērķiem – vienkāršībai, pārredzamībai un vienlīdzībai.</w:t>
      </w:r>
      <w:r w:rsidRPr="00645C5E">
        <w:rPr>
          <w:rStyle w:val="Deleted"/>
          <w:b/>
          <w:i/>
          <w:strike w:val="0"/>
          <w:noProof/>
        </w:rPr>
        <w:t xml:space="preserve"> </w:t>
      </w:r>
      <w:r w:rsidRPr="00645C5E">
        <w:t xml:space="preserve">Ar minēto mehānismu, ievērojot attiecīgos Eiropadomes 1984. gada Fontenblo sanāksmes secinājumus, tādējādi būtu jānodrošina, ka nevienai dalībvalstij netiek uzlikts tāds budžeta slogs, kas ir pārmērīgs attiecībā pret konkrētās valsts relatīvo labklājību. </w:t>
      </w:r>
      <w:r w:rsidRPr="00645C5E">
        <w:rPr>
          <w:noProof/>
        </w:rPr>
        <w:t xml:space="preserve">Tādēļ </w:t>
      </w:r>
      <w:r w:rsidR="00C723FE" w:rsidRPr="00645C5E">
        <w:rPr>
          <w:noProof/>
        </w:rPr>
        <w:t xml:space="preserve">ir </w:t>
      </w:r>
      <w:r w:rsidRPr="00645C5E">
        <w:rPr>
          <w:noProof/>
        </w:rPr>
        <w:t>lietderīgi ieviest noteikumus, kas attiektos uz konkrētām dalībvalstīm.</w:t>
      </w:r>
    </w:p>
    <w:p w14:paraId="2FA49909" w14:textId="77777777" w:rsidR="00B36AD8" w:rsidRPr="00645C5E" w:rsidRDefault="00E55504" w:rsidP="00902EBB">
      <w:pPr>
        <w:pStyle w:val="ManualConsidrant"/>
        <w:spacing w:before="100" w:beforeAutospacing="1" w:after="100" w:afterAutospacing="1" w:line="240" w:lineRule="auto"/>
        <w:jc w:val="both"/>
        <w:rPr>
          <w:noProof/>
        </w:rPr>
      </w:pPr>
      <w:r w:rsidRPr="00645C5E">
        <w:t>(4)</w:t>
      </w:r>
      <w:r w:rsidRPr="00645C5E">
        <w:tab/>
        <w:t>Eiropadome 2013. gada 7. un 8. februāra sanāksmē secināja, ka tikai laikposmā no 2014.</w:t>
      </w:r>
      <w:r w:rsidR="00FE3971" w:rsidRPr="00645C5E">
        <w:t> </w:t>
      </w:r>
      <w:r w:rsidRPr="00645C5E">
        <w:t xml:space="preserve">līdz 2020. gadam Vācijai, Nīderlandei un Zviedrijai </w:t>
      </w:r>
      <w:r w:rsidR="003F41F0" w:rsidRPr="00645C5E">
        <w:t>jā</w:t>
      </w:r>
      <w:r w:rsidRPr="00645C5E">
        <w:t>piemēro samazinātas pievienotās vērtības nodokļa (PVN) pašu resursu piesaistīšanas likmes.</w:t>
      </w:r>
      <w:r w:rsidRPr="00645C5E">
        <w:rPr>
          <w:b/>
          <w:i/>
          <w:noProof/>
        </w:rPr>
        <w:t xml:space="preserve"> </w:t>
      </w:r>
      <w:r w:rsidRPr="00645C5E">
        <w:rPr>
          <w:noProof/>
        </w:rPr>
        <w:t xml:space="preserve">Vienlaikus tā secināja, ka tikai laikposmā no 2014. līdz 2020. gadam Dānijai, Nīderlandei un Zviedrijai </w:t>
      </w:r>
      <w:r w:rsidR="003F41F0" w:rsidRPr="00645C5E">
        <w:rPr>
          <w:noProof/>
        </w:rPr>
        <w:t>jā</w:t>
      </w:r>
      <w:r w:rsidRPr="00645C5E">
        <w:rPr>
          <w:noProof/>
        </w:rPr>
        <w:t xml:space="preserve">piemēro bruto samazinājumus to ikgadējām iemaksām, kuru pamatā ir nacionālais kopienākums (NKI), un ka tikai laikposmā no 2014. līdz 2016. gadam Austrijai </w:t>
      </w:r>
      <w:r w:rsidR="003F41F0" w:rsidRPr="00645C5E">
        <w:rPr>
          <w:noProof/>
        </w:rPr>
        <w:t>jā</w:t>
      </w:r>
      <w:r w:rsidRPr="00645C5E">
        <w:rPr>
          <w:noProof/>
        </w:rPr>
        <w:t>piemēro bruto samazinājumus tās ikgadējai NKI iemaksai.</w:t>
      </w:r>
      <w:r w:rsidRPr="00645C5E">
        <w:rPr>
          <w:b/>
          <w:i/>
          <w:noProof/>
        </w:rPr>
        <w:t xml:space="preserve"> </w:t>
      </w:r>
      <w:r w:rsidRPr="00645C5E">
        <w:rPr>
          <w:noProof/>
        </w:rPr>
        <w:t xml:space="preserve">Eiropadome 2013. gada 7. un 8. februāra sanāksmē secināja, ka Apvienotajai Karalistei </w:t>
      </w:r>
      <w:r w:rsidR="003F41F0" w:rsidRPr="00645C5E">
        <w:rPr>
          <w:noProof/>
        </w:rPr>
        <w:t>jā</w:t>
      </w:r>
      <w:r w:rsidRPr="00645C5E">
        <w:rPr>
          <w:noProof/>
        </w:rPr>
        <w:t>turpin</w:t>
      </w:r>
      <w:r w:rsidR="003F41F0" w:rsidRPr="00645C5E">
        <w:rPr>
          <w:noProof/>
        </w:rPr>
        <w:t>a</w:t>
      </w:r>
      <w:r w:rsidRPr="00645C5E">
        <w:rPr>
          <w:noProof/>
        </w:rPr>
        <w:t xml:space="preserve"> piemērot spēkā esoš</w:t>
      </w:r>
      <w:r w:rsidR="003F41F0" w:rsidRPr="00645C5E">
        <w:rPr>
          <w:noProof/>
        </w:rPr>
        <w:t>ais</w:t>
      </w:r>
      <w:r w:rsidRPr="00645C5E">
        <w:rPr>
          <w:noProof/>
        </w:rPr>
        <w:t xml:space="preserve"> korekcijas mehānism</w:t>
      </w:r>
      <w:r w:rsidR="003F41F0" w:rsidRPr="00645C5E">
        <w:rPr>
          <w:noProof/>
        </w:rPr>
        <w:t>s</w:t>
      </w:r>
      <w:r w:rsidRPr="00645C5E">
        <w:rPr>
          <w:noProof/>
        </w:rPr>
        <w:t>.</w:t>
      </w:r>
    </w:p>
    <w:p w14:paraId="2FA4990A" w14:textId="77777777" w:rsidR="00E55504" w:rsidRPr="00645C5E" w:rsidRDefault="00E55504" w:rsidP="00902EBB">
      <w:pPr>
        <w:pStyle w:val="ManualConsidrant"/>
        <w:spacing w:before="100" w:beforeAutospacing="1" w:after="100" w:afterAutospacing="1" w:line="240" w:lineRule="auto"/>
        <w:jc w:val="both"/>
        <w:rPr>
          <w:noProof/>
        </w:rPr>
      </w:pPr>
      <w:r w:rsidRPr="00645C5E">
        <w:lastRenderedPageBreak/>
        <w:t>(5)</w:t>
      </w:r>
      <w:r w:rsidRPr="00645C5E">
        <w:tab/>
        <w:t xml:space="preserve">Eiropadome 2013. gada 7. un 8. februāra sanāksmē secināja, ka tradicionālo pašu resursu iekasēšanas sistēma </w:t>
      </w:r>
      <w:r w:rsidR="006A6514" w:rsidRPr="00645C5E">
        <w:t>nav jā</w:t>
      </w:r>
      <w:r w:rsidRPr="00645C5E">
        <w:t>main</w:t>
      </w:r>
      <w:r w:rsidR="006A6514" w:rsidRPr="00645C5E">
        <w:t>a</w:t>
      </w:r>
      <w:r w:rsidRPr="00645C5E">
        <w:t>.</w:t>
      </w:r>
      <w:r w:rsidRPr="00645C5E">
        <w:rPr>
          <w:b/>
          <w:i/>
          <w:noProof/>
        </w:rPr>
        <w:t xml:space="preserve"> </w:t>
      </w:r>
      <w:r w:rsidRPr="00645C5E">
        <w:t>Tomēr no 2014. gada 1. janvāra dalībvalstis iekasēšanas izmaksu veidā paturēs 20 % no summām, ko tās iekasējušas.</w:t>
      </w:r>
    </w:p>
    <w:p w14:paraId="2FA4990B" w14:textId="77777777" w:rsidR="00B36AD8" w:rsidRPr="00645C5E" w:rsidRDefault="00E55504" w:rsidP="00902EBB">
      <w:pPr>
        <w:pStyle w:val="ManualConsidrant"/>
        <w:spacing w:before="100" w:beforeAutospacing="1" w:after="100" w:afterAutospacing="1" w:line="240" w:lineRule="auto"/>
        <w:jc w:val="both"/>
      </w:pPr>
      <w:r w:rsidRPr="00645C5E">
        <w:rPr>
          <w:noProof/>
        </w:rPr>
        <w:t>(6)</w:t>
      </w:r>
      <w:r w:rsidRPr="00645C5E">
        <w:tab/>
        <w:t>Lai nodrošinātu stingru budžeta disciplīnu un ņemot vērā Komisijas 2010. gada 16. aprīļa paziņojumu "Pašu resursu maksimālās robežas un saistību apropriāciju maksimālās robežas pielāgošana pēc lēmuma par finanšu starpniecības pakalpojumu netiešu novērtēšanu (</w:t>
      </w:r>
      <w:r w:rsidRPr="00645C5E">
        <w:rPr>
          <w:i/>
        </w:rPr>
        <w:t>FISIM</w:t>
      </w:r>
      <w:r w:rsidRPr="00645C5E">
        <w:t xml:space="preserve">) piemērošanu pašu resursu nolūkos", pašu resursu maksimālajai robežai attiecībā uz maksājumu apropriācijām vajadzētu būt vienādai ar 1,23 % no tirgus cenās izteiktā dalībvalstu NKI, un attiecībā uz saistību apropriācijām maksimālā robeža būtu jānosaka 1,29 % apmērā no dalībvalstu NKI. </w:t>
      </w:r>
      <w:r w:rsidR="006A6514" w:rsidRPr="00645C5E">
        <w:t>Minēto</w:t>
      </w:r>
      <w:r w:rsidRPr="00645C5E">
        <w:t xml:space="preserve"> maksimālo robežu pamatā ir EKS 95, kurā ietverti netieši novērtētie finanšu starpniecības pakalpojumi (</w:t>
      </w:r>
      <w:r w:rsidRPr="00645C5E">
        <w:rPr>
          <w:i/>
        </w:rPr>
        <w:t>FISIM</w:t>
      </w:r>
      <w:r w:rsidRPr="00645C5E">
        <w:t>), jo šā lēmuma pieņemšanas brīdī n</w:t>
      </w:r>
      <w:r w:rsidR="006A6514" w:rsidRPr="00645C5E">
        <w:t>ebija</w:t>
      </w:r>
      <w:r w:rsidRPr="00645C5E">
        <w:t xml:space="preserve"> pieejami dati, kuru pamatā ir pārskatītā Eiropas Kontu sistēma, kas izveidota ar Eiropas Parlamenta un Padomes Regulu (ES) Nr. 549/2013 </w:t>
      </w:r>
      <w:r w:rsidRPr="00645C5E">
        <w:rPr>
          <w:rStyle w:val="FootnoteReference"/>
          <w:noProof/>
        </w:rPr>
        <w:footnoteReference w:id="1"/>
      </w:r>
      <w:r w:rsidRPr="00645C5E">
        <w:t xml:space="preserve"> ("EKS 2010").</w:t>
      </w:r>
      <w:r w:rsidRPr="00645C5E">
        <w:rPr>
          <w:noProof/>
        </w:rPr>
        <w:t xml:space="preserve"> </w:t>
      </w:r>
      <w:r w:rsidRPr="00645C5E">
        <w:t>Lai Savienības rīcībā nodoto finanšu resursu summa paliktu nemainīga, šīs maksimālās robežas, kas izteiktas procentuāli no NKI, būtu jāpielāgo.</w:t>
      </w:r>
      <w:r w:rsidRPr="00645C5E">
        <w:rPr>
          <w:noProof/>
        </w:rPr>
        <w:t xml:space="preserve"> Minētās robežas būtu jāpielāgo, tiklīdz visas dalībvalstis, balstoties uz EKS 2010, ir nosūtījušas savus datus. </w:t>
      </w:r>
      <w:r w:rsidR="006A6514" w:rsidRPr="00645C5E">
        <w:rPr>
          <w:noProof/>
        </w:rPr>
        <w:t>Gadījumā, ja</w:t>
      </w:r>
      <w:r w:rsidRPr="00645C5E">
        <w:t xml:space="preserve"> EKS 2010 tiek veikti grozījumi, kas ietver būtiskas izmaiņas NKI apmērā, ir atkal jāpielāgo gan pašu resursu maksimālā robeža, gan saistību apropriāciju maksimālā robeža.</w:t>
      </w:r>
    </w:p>
    <w:p w14:paraId="2FA4990C" w14:textId="77777777" w:rsidR="00E55504" w:rsidRPr="00645C5E" w:rsidRDefault="00E55504" w:rsidP="00902EBB">
      <w:pPr>
        <w:pStyle w:val="ManualConsidrant"/>
        <w:spacing w:before="100" w:beforeAutospacing="1" w:after="100" w:afterAutospacing="1" w:line="240" w:lineRule="auto"/>
        <w:jc w:val="both"/>
        <w:rPr>
          <w:b/>
          <w:bCs/>
          <w:i/>
          <w:iCs/>
          <w:noProof/>
        </w:rPr>
      </w:pPr>
      <w:r w:rsidRPr="00645C5E">
        <w:rPr>
          <w:noProof/>
        </w:rPr>
        <w:t>(7)</w:t>
      </w:r>
      <w:r w:rsidRPr="00645C5E">
        <w:tab/>
      </w:r>
      <w:r w:rsidRPr="00645C5E">
        <w:rPr>
          <w:noProof/>
        </w:rPr>
        <w:t>Eiropadome 2013. gada 7. un 8. februāra sanāksmē aicināja Padomi turpināt darbu ar Komisijas priekšlikumu par jauniem pašu resursiem, kas iegūti no PVN, nolūkā tos darīt cik vien iespējams vienkāršus un pārredzamus, stiprināt saikni ar ES PVN politiku un faktiskajiem PVN ieņēmumiem un nodrošināt vienādu attieksmi pret nodokļu maksātājiem visās dalībvalstīs.</w:t>
      </w:r>
      <w:r w:rsidRPr="00645C5E">
        <w:rPr>
          <w:b/>
          <w:i/>
          <w:noProof/>
        </w:rPr>
        <w:t xml:space="preserve"> </w:t>
      </w:r>
      <w:r w:rsidRPr="00645C5E">
        <w:rPr>
          <w:noProof/>
        </w:rPr>
        <w:t>Eiropadome secināja, ka jaunie PVN pašu resursi varētu aizvietot spēkā esošos no PVN iegūtos pašu resursus.</w:t>
      </w:r>
      <w:r w:rsidRPr="00645C5E">
        <w:rPr>
          <w:b/>
          <w:i/>
          <w:noProof/>
        </w:rPr>
        <w:t xml:space="preserve"> </w:t>
      </w:r>
      <w:r w:rsidRPr="00645C5E">
        <w:rPr>
          <w:noProof/>
        </w:rPr>
        <w:t>Eiropadome arī ņēma vērā, ka Padome 2013. gada 22. janvārī pieņēma Padomes lēmumu, ar ko atļauj ciešāku sadarbību finanšu darījuma nodokļa jomā</w:t>
      </w:r>
      <w:r w:rsidR="00B762FB" w:rsidRPr="00645C5E">
        <w:rPr>
          <w:rStyle w:val="FootnoteReference"/>
          <w:bCs/>
          <w:noProof/>
          <w:lang w:eastAsia="en-GB"/>
        </w:rPr>
        <w:footnoteReference w:id="2"/>
      </w:r>
      <w:r w:rsidRPr="00645C5E">
        <w:rPr>
          <w:noProof/>
        </w:rPr>
        <w:t>.</w:t>
      </w:r>
      <w:r w:rsidRPr="00645C5E">
        <w:rPr>
          <w:b/>
          <w:i/>
          <w:noProof/>
        </w:rPr>
        <w:t xml:space="preserve"> </w:t>
      </w:r>
      <w:r w:rsidRPr="00645C5E">
        <w:rPr>
          <w:noProof/>
        </w:rPr>
        <w:t>Tā aicināja iesaistītās dalībvalstis izskatīt, vai tas varētu kļūt par pamatu jauniem ES budžeta pašu resursiem.</w:t>
      </w:r>
      <w:r w:rsidRPr="00645C5E">
        <w:rPr>
          <w:b/>
          <w:i/>
          <w:noProof/>
        </w:rPr>
        <w:t xml:space="preserve"> </w:t>
      </w:r>
      <w:r w:rsidRPr="00645C5E">
        <w:rPr>
          <w:noProof/>
        </w:rPr>
        <w:t>Eiropadome secināja, ka tas neskartu neiesaistītās dalībvalstis un neskartu Apvienotās Karalistes korekcijas aprēķināšanu.</w:t>
      </w:r>
    </w:p>
    <w:p w14:paraId="2FA4990D" w14:textId="77777777" w:rsidR="00B36AD8" w:rsidRPr="00645C5E" w:rsidRDefault="00E55504" w:rsidP="00902EBB">
      <w:pPr>
        <w:pStyle w:val="ManualConsidrant"/>
        <w:spacing w:before="100" w:beforeAutospacing="1" w:after="100" w:afterAutospacing="1" w:line="240" w:lineRule="auto"/>
        <w:jc w:val="both"/>
      </w:pPr>
      <w:r w:rsidRPr="00645C5E">
        <w:rPr>
          <w:noProof/>
        </w:rPr>
        <w:t>(8)</w:t>
      </w:r>
      <w:r w:rsidRPr="00645C5E">
        <w:tab/>
        <w:t xml:space="preserve">Eiropadome 2013. gada 7. un 8. februāra sanāksmē secināja, ka saskaņā ar Līguma </w:t>
      </w:r>
      <w:r w:rsidR="00B762FB" w:rsidRPr="00645C5E">
        <w:t xml:space="preserve">par Eiropas Savienības darbību (LESD) </w:t>
      </w:r>
      <w:r w:rsidRPr="00645C5E">
        <w:t>311. panta ceturto daļu tiks izstrādāta Padomes regula, ar ko nosaka Savienības pašu resursu sistēmas īstenošanas pasākumus. Minētajā regulā attiecīgi būtu jāiekļauj vispārēja rakstura noteikumi, kas būtu piemērojami visa veida pašu resursiem un kam ir vajadzīga atbilstīga parlamentāra uzraudzība, kā noteikts Līgumos</w:t>
      </w:r>
      <w:r w:rsidR="006A6514" w:rsidRPr="00645C5E">
        <w:t xml:space="preserve">, piemēram, </w:t>
      </w:r>
      <w:r w:rsidRPr="00645C5E">
        <w:t xml:space="preserve">jo īpaši gada budžeta bilances aprēķināšanas un sadales procedūru un ienākumu kontroles un uzraudzības aspektus. </w:t>
      </w:r>
    </w:p>
    <w:p w14:paraId="2FA4990E" w14:textId="77777777" w:rsidR="00E55504" w:rsidRPr="00645C5E" w:rsidRDefault="00E55504" w:rsidP="00902EBB">
      <w:pPr>
        <w:pStyle w:val="ManualConsidrant"/>
        <w:spacing w:before="100" w:beforeAutospacing="1" w:after="100" w:afterAutospacing="1" w:line="240" w:lineRule="auto"/>
        <w:jc w:val="both"/>
        <w:rPr>
          <w:noProof/>
        </w:rPr>
      </w:pPr>
      <w:r w:rsidRPr="00645C5E">
        <w:rPr>
          <w:noProof/>
        </w:rPr>
        <w:t>(9)</w:t>
      </w:r>
      <w:r w:rsidRPr="00645C5E">
        <w:tab/>
        <w:t xml:space="preserve">Saskaņotības, nepārtrauktības un juridiskās noteiktības labad </w:t>
      </w:r>
      <w:r w:rsidR="006A6514" w:rsidRPr="00645C5E">
        <w:t>būtu</w:t>
      </w:r>
      <w:r w:rsidRPr="00645C5E">
        <w:t xml:space="preserve"> jāparedz noteikumi, ko piemēro, pārejot no sistēmas, ko ieviesa ar </w:t>
      </w:r>
      <w:r w:rsidR="00B762FB" w:rsidRPr="00645C5E">
        <w:t xml:space="preserve">Padomes </w:t>
      </w:r>
      <w:r w:rsidRPr="00645C5E">
        <w:t xml:space="preserve">Lēmumu 2007/436/EK, </w:t>
      </w:r>
      <w:r w:rsidRPr="00645C5E">
        <w:rPr>
          <w:i/>
          <w:iCs/>
        </w:rPr>
        <w:t>Euratom</w:t>
      </w:r>
      <w:r w:rsidRPr="00645C5E">
        <w:t> </w:t>
      </w:r>
      <w:r w:rsidRPr="00645C5E">
        <w:rPr>
          <w:rStyle w:val="FootnoteReference"/>
          <w:bCs/>
          <w:noProof/>
        </w:rPr>
        <w:footnoteReference w:id="3"/>
      </w:r>
      <w:r w:rsidRPr="00645C5E">
        <w:t xml:space="preserve">, uz sistēmu, kas tiks izveidota ar šo lēmumu. </w:t>
      </w:r>
    </w:p>
    <w:p w14:paraId="2FA4990F" w14:textId="77777777" w:rsidR="00E55504" w:rsidRPr="00645C5E" w:rsidRDefault="00E55504" w:rsidP="00902EBB">
      <w:pPr>
        <w:pStyle w:val="ManualConsidrant"/>
        <w:spacing w:before="100" w:beforeAutospacing="1" w:after="100" w:afterAutospacing="1" w:line="240" w:lineRule="auto"/>
        <w:jc w:val="both"/>
        <w:rPr>
          <w:noProof/>
        </w:rPr>
      </w:pPr>
      <w:r w:rsidRPr="00645C5E">
        <w:rPr>
          <w:noProof/>
        </w:rPr>
        <w:t>(10)</w:t>
      </w:r>
      <w:r w:rsidRPr="00645C5E">
        <w:tab/>
        <w:t xml:space="preserve">Lēmums 2007/436/EK, </w:t>
      </w:r>
      <w:r w:rsidRPr="00645C5E">
        <w:rPr>
          <w:i/>
          <w:iCs/>
        </w:rPr>
        <w:t>Euratom</w:t>
      </w:r>
      <w:r w:rsidRPr="00645C5E">
        <w:t xml:space="preserve"> būtu jāatceļ.</w:t>
      </w:r>
    </w:p>
    <w:p w14:paraId="2FA49910" w14:textId="77777777" w:rsidR="00E55504" w:rsidRPr="00645C5E" w:rsidRDefault="00E55504" w:rsidP="00902EBB">
      <w:pPr>
        <w:pStyle w:val="ManualConsidrant"/>
        <w:spacing w:before="100" w:beforeAutospacing="1" w:after="100" w:afterAutospacing="1" w:line="240" w:lineRule="auto"/>
        <w:jc w:val="both"/>
      </w:pPr>
      <w:r w:rsidRPr="00645C5E">
        <w:rPr>
          <w:noProof/>
        </w:rPr>
        <w:lastRenderedPageBreak/>
        <w:t>(11)</w:t>
      </w:r>
      <w:r w:rsidRPr="00645C5E">
        <w:tab/>
        <w:t>Šajā lēmumā visas naudas summas būtu jāizsaka euro.</w:t>
      </w:r>
    </w:p>
    <w:p w14:paraId="2FA49911" w14:textId="77777777" w:rsidR="00B762FB" w:rsidRPr="00645C5E" w:rsidRDefault="00B762FB" w:rsidP="00902EBB">
      <w:pPr>
        <w:pStyle w:val="ManualConsidrant"/>
        <w:spacing w:before="100" w:beforeAutospacing="1" w:after="100" w:afterAutospacing="1" w:line="240" w:lineRule="auto"/>
        <w:jc w:val="both"/>
        <w:rPr>
          <w:noProof/>
        </w:rPr>
      </w:pPr>
      <w:r w:rsidRPr="00645C5E">
        <w:t>(12)</w:t>
      </w:r>
      <w:r w:rsidRPr="00645C5E">
        <w:tab/>
      </w:r>
      <w:r w:rsidR="006A6514" w:rsidRPr="00645C5E">
        <w:t>Ir notikusi konsultēšanās ar Eiropas Revīzijas palātu un Eiropas Ekonomikas un sociālo lietu komiteju, kuras ir sniegušas atzinumus</w:t>
      </w:r>
      <w:r w:rsidRPr="00645C5E">
        <w:rPr>
          <w:rStyle w:val="FootnoteReference"/>
          <w:noProof/>
        </w:rPr>
        <w:footnoteReference w:id="4"/>
      </w:r>
      <w:r w:rsidRPr="00645C5E">
        <w:t>.</w:t>
      </w:r>
    </w:p>
    <w:p w14:paraId="2FA49912" w14:textId="77777777" w:rsidR="00E55504" w:rsidRPr="00645C5E" w:rsidRDefault="00E55504" w:rsidP="00902EBB">
      <w:pPr>
        <w:pStyle w:val="ManualConsidrant"/>
        <w:spacing w:before="100" w:beforeAutospacing="1" w:after="100" w:afterAutospacing="1" w:line="240" w:lineRule="auto"/>
        <w:jc w:val="both"/>
      </w:pPr>
      <w:r w:rsidRPr="00645C5E">
        <w:rPr>
          <w:noProof/>
        </w:rPr>
        <w:t>(1</w:t>
      </w:r>
      <w:r w:rsidR="00B762FB" w:rsidRPr="00645C5E">
        <w:rPr>
          <w:noProof/>
        </w:rPr>
        <w:t>3</w:t>
      </w:r>
      <w:r w:rsidRPr="00645C5E">
        <w:rPr>
          <w:noProof/>
        </w:rPr>
        <w:t>)</w:t>
      </w:r>
      <w:r w:rsidRPr="00645C5E">
        <w:tab/>
        <w:t>Lai nodrošinātu pāreju uz pārskatīto pašu resursu sistēmu un panāktu sakritību ar finanšu gadu, šis lēmums būtu jāpiemēro no 2014. gada 1. janvāra,</w:t>
      </w:r>
    </w:p>
    <w:p w14:paraId="2FA49913" w14:textId="77777777" w:rsidR="00B36AD8" w:rsidRPr="00645C5E" w:rsidRDefault="00B36AD8" w:rsidP="00902EBB">
      <w:pPr>
        <w:pStyle w:val="Formuledadoption"/>
        <w:spacing w:before="100" w:beforeAutospacing="1" w:after="100" w:afterAutospacing="1" w:line="240" w:lineRule="auto"/>
        <w:jc w:val="both"/>
      </w:pPr>
    </w:p>
    <w:p w14:paraId="2FA49914" w14:textId="77777777" w:rsidR="00E55504" w:rsidRPr="00645C5E" w:rsidRDefault="00E55504" w:rsidP="00902EBB">
      <w:pPr>
        <w:pStyle w:val="Formuledadoption"/>
        <w:spacing w:before="100" w:beforeAutospacing="1" w:after="100" w:afterAutospacing="1" w:line="240" w:lineRule="auto"/>
        <w:jc w:val="both"/>
        <w:rPr>
          <w:noProof/>
        </w:rPr>
      </w:pPr>
      <w:r w:rsidRPr="00645C5E">
        <w:t>IR PIEŅĒMUSI ŠO LĒMUMU.</w:t>
      </w:r>
    </w:p>
    <w:p w14:paraId="2FA49915" w14:textId="77777777" w:rsidR="00E55504" w:rsidRPr="00645C5E" w:rsidRDefault="00E55504" w:rsidP="00902EBB">
      <w:pPr>
        <w:pStyle w:val="Titrearticle"/>
        <w:spacing w:before="100" w:beforeAutospacing="1" w:after="100" w:afterAutospacing="1" w:line="240" w:lineRule="auto"/>
      </w:pPr>
      <w:r w:rsidRPr="00645C5E">
        <w:t>1. pants</w:t>
      </w:r>
      <w:r w:rsidR="00FE3971" w:rsidRPr="00645C5E">
        <w:br/>
      </w:r>
      <w:r w:rsidRPr="00645C5E">
        <w:t>Darbības joma</w:t>
      </w:r>
    </w:p>
    <w:p w14:paraId="2FA49916" w14:textId="77777777" w:rsidR="00E55504" w:rsidRPr="00645C5E" w:rsidRDefault="00E55504" w:rsidP="00902EBB">
      <w:pPr>
        <w:spacing w:before="100" w:beforeAutospacing="1" w:after="100" w:afterAutospacing="1" w:line="240" w:lineRule="auto"/>
        <w:jc w:val="both"/>
        <w:rPr>
          <w:color w:val="000000"/>
        </w:rPr>
      </w:pPr>
      <w:r w:rsidRPr="00645C5E">
        <w:rPr>
          <w:color w:val="000000"/>
        </w:rPr>
        <w:t xml:space="preserve">Šajā lēmumā paredz noteikumus par Savienības pašu resursu piešķiršanu, lai saskaņā ar Līguma </w:t>
      </w:r>
      <w:r w:rsidR="00B762FB" w:rsidRPr="00645C5E">
        <w:rPr>
          <w:color w:val="000000"/>
        </w:rPr>
        <w:t xml:space="preserve">par Eiropas Savienības darbību (LESD) </w:t>
      </w:r>
      <w:r w:rsidRPr="00645C5E">
        <w:rPr>
          <w:color w:val="000000"/>
        </w:rPr>
        <w:t>311. pantu nodrošinātu Savienības gada budžeta finansēšanu.</w:t>
      </w:r>
    </w:p>
    <w:p w14:paraId="2FA49917" w14:textId="77777777" w:rsidR="00E55504" w:rsidRPr="00645C5E" w:rsidRDefault="00E55504" w:rsidP="00902EBB">
      <w:pPr>
        <w:pStyle w:val="Titrearticle"/>
        <w:spacing w:before="100" w:beforeAutospacing="1" w:after="100" w:afterAutospacing="1" w:line="240" w:lineRule="auto"/>
      </w:pPr>
      <w:r w:rsidRPr="00645C5E">
        <w:t>2. pants</w:t>
      </w:r>
      <w:r w:rsidR="00FE3971" w:rsidRPr="00645C5E">
        <w:br/>
      </w:r>
      <w:r w:rsidRPr="00645C5E">
        <w:t>Pašu resursu kategorijas un īpaši to aprēķināšanas paņēmieni</w:t>
      </w:r>
    </w:p>
    <w:p w14:paraId="2FA49918" w14:textId="77777777" w:rsidR="00E55504" w:rsidRPr="00645C5E" w:rsidRDefault="00E55504" w:rsidP="00902EBB">
      <w:pPr>
        <w:pStyle w:val="Point0"/>
        <w:spacing w:before="100" w:beforeAutospacing="1" w:after="100" w:afterAutospacing="1" w:line="240" w:lineRule="auto"/>
        <w:jc w:val="both"/>
      </w:pPr>
      <w:r w:rsidRPr="00645C5E">
        <w:t>1.</w:t>
      </w:r>
      <w:r w:rsidRPr="00645C5E">
        <w:tab/>
        <w:t>Pašu resursus, ko iekļauj Savienības budžetā, veido šādi ieņēmumi:</w:t>
      </w:r>
    </w:p>
    <w:p w14:paraId="2FA49919" w14:textId="77777777" w:rsidR="00B36AD8" w:rsidRPr="00645C5E" w:rsidRDefault="00E55504" w:rsidP="00902EBB">
      <w:pPr>
        <w:pStyle w:val="Point1"/>
        <w:spacing w:before="100" w:beforeAutospacing="1" w:after="100" w:afterAutospacing="1" w:line="240" w:lineRule="auto"/>
        <w:jc w:val="both"/>
      </w:pPr>
      <w:r w:rsidRPr="00645C5E">
        <w:t>a)</w:t>
      </w:r>
      <w:r w:rsidRPr="00645C5E">
        <w:tab/>
        <w:t>tradicionālie pašu resursi, kurus veido maksājumi, prēmijas, papildu vai kompensācijas summas, papildu summas vai koeficienti, kopējā muitas tarifa nodokļi un citi nodokļi, kurus noteikušas vai noteiks Savienības iestādes attiecībā uz tirdzniecību ar trešām valstīm, muitas nodokļi par izstrādājumiem saskaņā ar spēku zaudējušo Eiropas Ogļu un tērauda kopienas līgumu, kā arī iemaksas un citi nodokļi, kas ir paredzēti saskaņā ar cukura tirgus kopīgo organizāciju;</w:t>
      </w:r>
    </w:p>
    <w:p w14:paraId="2FA4991A" w14:textId="77777777" w:rsidR="00E55504" w:rsidRPr="00645C5E" w:rsidRDefault="00E55504" w:rsidP="00902EBB">
      <w:pPr>
        <w:pStyle w:val="Point1"/>
        <w:spacing w:before="100" w:beforeAutospacing="1" w:after="100" w:afterAutospacing="1" w:line="240" w:lineRule="auto"/>
        <w:jc w:val="both"/>
      </w:pPr>
      <w:r w:rsidRPr="00645C5E">
        <w:t>b)</w:t>
      </w:r>
      <w:r w:rsidRPr="00645C5E">
        <w:tab/>
        <w:t>neskarot 4. punkta otro daļu, visās dalībvalstīs spēkā esošas vienotas likmes piemērošana saskaņotajai PVN aprēķina bāzei, kas noteikta saskaņā ar Savienības noteikumiem.</w:t>
      </w:r>
      <w:r w:rsidRPr="00645C5E">
        <w:rPr>
          <w:b/>
          <w:i/>
        </w:rPr>
        <w:t xml:space="preserve"> </w:t>
      </w:r>
      <w:r w:rsidRPr="00645C5E">
        <w:t xml:space="preserve">Šajā nolūkā izmantotā aprēķina bāze </w:t>
      </w:r>
      <w:r w:rsidR="00FE5EB8" w:rsidRPr="00645C5E">
        <w:t xml:space="preserve">katrai dalībvalstij </w:t>
      </w:r>
      <w:r w:rsidRPr="00645C5E">
        <w:t>nepārsniedz 50 % no nacionālā kopienākuma (NKI), kā noteikts 7. punktā;</w:t>
      </w:r>
    </w:p>
    <w:p w14:paraId="2FA4991B" w14:textId="77777777" w:rsidR="00E55504" w:rsidRPr="00645C5E" w:rsidRDefault="00E55504" w:rsidP="00902EBB">
      <w:pPr>
        <w:pStyle w:val="Point1"/>
        <w:spacing w:before="100" w:beforeAutospacing="1" w:after="100" w:afterAutospacing="1" w:line="240" w:lineRule="auto"/>
        <w:jc w:val="both"/>
        <w:rPr>
          <w:noProof/>
        </w:rPr>
      </w:pPr>
      <w:r w:rsidRPr="00645C5E">
        <w:t>c)</w:t>
      </w:r>
      <w:r w:rsidRPr="00645C5E">
        <w:tab/>
        <w:t>neskarot 5. punkta otro daļu, vienotas likmes – ko nosaka saskaņā ar budžeta procedūru, ņemot vērā kopējos citus ieņēmumus – piemērošana visu dalībvalstu NKI summai.</w:t>
      </w:r>
    </w:p>
    <w:p w14:paraId="2FA4991C" w14:textId="77777777" w:rsidR="00E55504" w:rsidRPr="00645C5E" w:rsidRDefault="00E55504" w:rsidP="00902EBB">
      <w:pPr>
        <w:pStyle w:val="Point0"/>
        <w:spacing w:before="100" w:beforeAutospacing="1" w:after="100" w:afterAutospacing="1" w:line="240" w:lineRule="auto"/>
        <w:jc w:val="both"/>
        <w:rPr>
          <w:noProof/>
        </w:rPr>
      </w:pPr>
      <w:r w:rsidRPr="00645C5E">
        <w:t>2.</w:t>
      </w:r>
      <w:r w:rsidRPr="00645C5E">
        <w:tab/>
        <w:t xml:space="preserve">Pašu resursus, ko iekļauj Savienības budžetā, veido arī ieņēmumi, kas ir saņemti no jauniem maksājumiem, kuri ieviesti saskaņā ar kopējo politiku atbilstoši </w:t>
      </w:r>
      <w:r w:rsidR="00B762FB" w:rsidRPr="00645C5E">
        <w:t>LESD</w:t>
      </w:r>
      <w:r w:rsidRPr="00645C5E">
        <w:t xml:space="preserve">, ar noteikumu, ka tiek ievērota </w:t>
      </w:r>
      <w:r w:rsidR="00B762FB" w:rsidRPr="00645C5E">
        <w:t xml:space="preserve">LESD </w:t>
      </w:r>
      <w:r w:rsidRPr="00645C5E">
        <w:t>311. pantā noteiktā procedūra.</w:t>
      </w:r>
    </w:p>
    <w:p w14:paraId="2FA4991D" w14:textId="77777777" w:rsidR="00E55504" w:rsidRPr="00645C5E" w:rsidRDefault="00E55504" w:rsidP="00902EBB">
      <w:pPr>
        <w:pStyle w:val="Point0"/>
        <w:spacing w:before="100" w:beforeAutospacing="1" w:after="100" w:afterAutospacing="1" w:line="240" w:lineRule="auto"/>
        <w:jc w:val="both"/>
        <w:rPr>
          <w:noProof/>
        </w:rPr>
      </w:pPr>
      <w:r w:rsidRPr="00645C5E">
        <w:t>3.</w:t>
      </w:r>
      <w:r w:rsidRPr="00645C5E">
        <w:tab/>
        <w:t>Dalībvalstis iekasēšanas izmaksu veidā patur 20 % no summām, kas minētas 1. punkta a) apakšpunktā.</w:t>
      </w:r>
    </w:p>
    <w:p w14:paraId="2FA4991E" w14:textId="77777777" w:rsidR="00E55504" w:rsidRPr="00645C5E" w:rsidRDefault="00E55504" w:rsidP="00902EBB">
      <w:pPr>
        <w:pStyle w:val="Point0"/>
        <w:spacing w:before="100" w:beforeAutospacing="1" w:after="100" w:afterAutospacing="1" w:line="240" w:lineRule="auto"/>
        <w:jc w:val="both"/>
        <w:rPr>
          <w:b/>
          <w:bCs/>
          <w:i/>
          <w:iCs/>
        </w:rPr>
      </w:pPr>
      <w:r w:rsidRPr="00645C5E">
        <w:t>4.</w:t>
      </w:r>
      <w:r w:rsidRPr="00645C5E">
        <w:tab/>
        <w:t>Vienoto likmi, kas minēta 1. punkta b) apakšpunktā, nosaka 0,30 % apmērā.</w:t>
      </w:r>
    </w:p>
    <w:p w14:paraId="2FA4991F" w14:textId="77777777" w:rsidR="00B36AD8" w:rsidRPr="00645C5E" w:rsidRDefault="00E55504" w:rsidP="00902EBB">
      <w:pPr>
        <w:pStyle w:val="Text1"/>
        <w:spacing w:before="100" w:beforeAutospacing="1" w:after="100" w:afterAutospacing="1" w:line="240" w:lineRule="auto"/>
        <w:jc w:val="both"/>
      </w:pPr>
      <w:r w:rsidRPr="00645C5E">
        <w:t>Tikai laikposmam no 2014. līdz 2020. gadam PVN pašu resursu piesaistīšanas likmi Vācijai, Nīderlandei un Zviedrijai nosaka 0,15 % apmērā.</w:t>
      </w:r>
    </w:p>
    <w:p w14:paraId="2FA49920" w14:textId="77777777" w:rsidR="00E55504" w:rsidRPr="00645C5E" w:rsidRDefault="00E55504" w:rsidP="00902EBB">
      <w:pPr>
        <w:pStyle w:val="Text1"/>
        <w:spacing w:before="100" w:beforeAutospacing="1" w:after="100" w:afterAutospacing="1" w:line="240" w:lineRule="auto"/>
        <w:ind w:left="0"/>
        <w:jc w:val="both"/>
        <w:rPr>
          <w:b/>
          <w:bCs/>
          <w:i/>
          <w:iCs/>
        </w:rPr>
      </w:pPr>
      <w:r w:rsidRPr="00645C5E">
        <w:rPr>
          <w:spacing w:val="-4"/>
        </w:rPr>
        <w:t>5.</w:t>
      </w:r>
      <w:r w:rsidRPr="00645C5E">
        <w:tab/>
      </w:r>
      <w:r w:rsidRPr="00645C5E">
        <w:rPr>
          <w:spacing w:val="-4"/>
        </w:rPr>
        <w:t>Vienoto likmi, kas minēta 1. punkta c) apakšpunktā, piemēro katras dalībvalsts NKI.</w:t>
      </w:r>
    </w:p>
    <w:p w14:paraId="2FA49921" w14:textId="77777777" w:rsidR="00E55504" w:rsidRPr="00645C5E" w:rsidRDefault="00E55504" w:rsidP="00902EBB">
      <w:pPr>
        <w:pStyle w:val="Text1"/>
        <w:spacing w:before="100" w:beforeAutospacing="1" w:after="100" w:afterAutospacing="1" w:line="240" w:lineRule="auto"/>
        <w:jc w:val="both"/>
      </w:pPr>
      <w:r w:rsidRPr="00645C5E">
        <w:t>Tikai laikposmā no 2014. līdz 2020. gadam Dānijas, Nīderlandes un Zviedrijas ikgadējām NKI iemaksām piemēro bruto samazinājumu attiecīgi EUR 130 miljonu, EUR 695 miljonu un EUR 185 miljonu apmērā.</w:t>
      </w:r>
      <w:r w:rsidRPr="00645C5E">
        <w:rPr>
          <w:i/>
        </w:rPr>
        <w:t xml:space="preserve"> </w:t>
      </w:r>
      <w:r w:rsidRPr="00645C5E">
        <w:t>Austrijas ikgadējai NKI iemaksai piemēro bruto samazinājumu EUR 30 miljonu apmērā 2014. gadā, EUR 20 miljonu apmērā 2015. gadā un EUR 10 miljonu apmērā 2016. gadā.</w:t>
      </w:r>
      <w:r w:rsidRPr="00645C5E">
        <w:rPr>
          <w:i/>
        </w:rPr>
        <w:t xml:space="preserve"> </w:t>
      </w:r>
      <w:r w:rsidRPr="00645C5E">
        <w:t>Visas šīs summas aprēķina atbilstīgi 2011. gada cenām un koriģē atbilstīgi kārtējām cenām, piemērojot jaunāko Komisijas noteikto ES IKP deflatoru, izteiktu euro, kas pieejams provizoriskā budžeta sagatavošanas laikā.</w:t>
      </w:r>
      <w:r w:rsidRPr="00645C5E">
        <w:rPr>
          <w:i/>
        </w:rPr>
        <w:t xml:space="preserve"> </w:t>
      </w:r>
      <w:r w:rsidRPr="00645C5E">
        <w:t>Šos bruto samazinājumus piemēro pēc tam, kad aprēķināta un finansēta Apvienotās Karalistes korekcija, kā izklāstīts šā lēmuma 4. un 5. pantā, un tie nekādi neietekmē korekciju.</w:t>
      </w:r>
      <w:r w:rsidRPr="00645C5E">
        <w:rPr>
          <w:b/>
          <w:i/>
        </w:rPr>
        <w:t xml:space="preserve"> </w:t>
      </w:r>
      <w:r w:rsidRPr="00645C5E">
        <w:t>Šos bruto samazinājumus finansē visas dalībvalstis.</w:t>
      </w:r>
    </w:p>
    <w:p w14:paraId="2FA49922" w14:textId="77777777" w:rsidR="00B36AD8" w:rsidRPr="00645C5E" w:rsidRDefault="00E55504" w:rsidP="00902EBB">
      <w:pPr>
        <w:pStyle w:val="Point0"/>
        <w:spacing w:before="100" w:beforeAutospacing="1" w:after="100" w:afterAutospacing="1" w:line="240" w:lineRule="auto"/>
        <w:jc w:val="both"/>
      </w:pPr>
      <w:r w:rsidRPr="00645C5E">
        <w:rPr>
          <w:noProof/>
        </w:rPr>
        <w:t>6.</w:t>
      </w:r>
      <w:r w:rsidRPr="00645C5E">
        <w:tab/>
        <w:t>Ja finanšu gada sākumā budžets nav pieņemts, turpina piemērot esošās PVN un NKI resursu piesaistīšanas likmes, līdz stājas spēkā jaunās likmes.</w:t>
      </w:r>
    </w:p>
    <w:p w14:paraId="2FA49923" w14:textId="77777777" w:rsidR="00E55504" w:rsidRPr="00645C5E" w:rsidRDefault="00E55504" w:rsidP="00902EBB">
      <w:pPr>
        <w:pStyle w:val="Point0"/>
        <w:spacing w:before="100" w:beforeAutospacing="1" w:after="100" w:afterAutospacing="1" w:line="240" w:lineRule="auto"/>
        <w:jc w:val="both"/>
        <w:rPr>
          <w:b/>
          <w:bCs/>
          <w:i/>
          <w:iCs/>
          <w:noProof/>
        </w:rPr>
      </w:pPr>
      <w:r w:rsidRPr="00645C5E">
        <w:rPr>
          <w:noProof/>
        </w:rPr>
        <w:t>7.</w:t>
      </w:r>
      <w:r w:rsidRPr="00645C5E">
        <w:tab/>
      </w:r>
      <w:r w:rsidRPr="00645C5E">
        <w:rPr>
          <w:noProof/>
        </w:rPr>
        <w:t>Šā panta 1. punkta c) apakšpunktā minētais NKI ir gada NKI tirgus cenās, ko noteikusi Komisija, piemērojot Eiropas Parlamenta un Padomes Regulu (ES) Nr. 549/2013 ("EKS 2010").</w:t>
      </w:r>
    </w:p>
    <w:p w14:paraId="2FA49924" w14:textId="77777777" w:rsidR="00E55504" w:rsidRPr="00645C5E" w:rsidRDefault="00E55504" w:rsidP="00902EBB">
      <w:pPr>
        <w:pStyle w:val="Text1"/>
        <w:spacing w:before="100" w:beforeAutospacing="1" w:after="100" w:afterAutospacing="1" w:line="240" w:lineRule="auto"/>
        <w:jc w:val="both"/>
        <w:rPr>
          <w:noProof/>
        </w:rPr>
      </w:pPr>
      <w:r w:rsidRPr="00645C5E">
        <w:rPr>
          <w:noProof/>
        </w:rPr>
        <w:t>Ja EKS 2010 grozījumi radītu būtiskas izmaiņas attiecībā uz 1. punkta c) apakšpunktā minēto NKI, Padome pēc Komisijas priekšlikuma saņemšanas un apspriešanās ar Eiropas Parlamentu vienprātīgi pieņem lēmumu par to, vai šie grozījumi attiecas uz šā lēmuma piemērošanu.</w:t>
      </w:r>
    </w:p>
    <w:p w14:paraId="2FA49925" w14:textId="77777777" w:rsidR="00E55504" w:rsidRPr="00645C5E" w:rsidRDefault="00E55504" w:rsidP="00902EBB">
      <w:pPr>
        <w:pStyle w:val="Titrearticle"/>
        <w:spacing w:before="100" w:beforeAutospacing="1" w:after="100" w:afterAutospacing="1" w:line="240" w:lineRule="auto"/>
      </w:pPr>
      <w:r w:rsidRPr="00645C5E">
        <w:t>3. pants</w:t>
      </w:r>
      <w:r w:rsidR="00FE3971" w:rsidRPr="00645C5E">
        <w:br/>
      </w:r>
      <w:r w:rsidRPr="00645C5E">
        <w:t>Pašu resursu maksimālā robeža</w:t>
      </w:r>
    </w:p>
    <w:p w14:paraId="2FA49926" w14:textId="77777777" w:rsidR="00E55504" w:rsidRPr="00645C5E" w:rsidRDefault="00E55504" w:rsidP="00902EBB">
      <w:pPr>
        <w:pStyle w:val="Point0"/>
        <w:spacing w:before="100" w:beforeAutospacing="1" w:after="100" w:afterAutospacing="1" w:line="240" w:lineRule="auto"/>
        <w:jc w:val="both"/>
        <w:rPr>
          <w:noProof/>
        </w:rPr>
      </w:pPr>
      <w:r w:rsidRPr="00645C5E">
        <w:t>1.</w:t>
      </w:r>
      <w:r w:rsidRPr="00645C5E">
        <w:tab/>
        <w:t>Kopējā pašu resursu summa, kas Savienībai piešķirta gada maksājumu apropriāciju segšanai, nepārsniedz 1,23 % no visu dalībvalstu NKI summas.</w:t>
      </w:r>
    </w:p>
    <w:p w14:paraId="2FA49927" w14:textId="77777777" w:rsidR="00E55504" w:rsidRPr="00645C5E" w:rsidRDefault="00E55504" w:rsidP="00902EBB">
      <w:pPr>
        <w:pStyle w:val="Point0"/>
        <w:spacing w:before="100" w:beforeAutospacing="1" w:after="100" w:afterAutospacing="1" w:line="240" w:lineRule="auto"/>
        <w:jc w:val="both"/>
        <w:rPr>
          <w:noProof/>
        </w:rPr>
      </w:pPr>
      <w:r w:rsidRPr="00645C5E">
        <w:t>2.</w:t>
      </w:r>
      <w:r w:rsidRPr="00645C5E">
        <w:tab/>
        <w:t>Savienības budžetā iekļauto saistību apropriāciju kopsumma gadā nepārsniedz 1,29 % no visu dalībvalstu NKI summas.</w:t>
      </w:r>
    </w:p>
    <w:p w14:paraId="2FA49928" w14:textId="77777777" w:rsidR="00B36AD8" w:rsidRPr="00645C5E" w:rsidRDefault="00E55504" w:rsidP="00902EBB">
      <w:pPr>
        <w:pStyle w:val="Text1"/>
        <w:spacing w:before="100" w:beforeAutospacing="1" w:after="100" w:afterAutospacing="1" w:line="240" w:lineRule="auto"/>
        <w:jc w:val="both"/>
        <w:rPr>
          <w:noProof/>
        </w:rPr>
      </w:pPr>
      <w:r w:rsidRPr="00645C5E">
        <w:t>Tiek saglabāta pastāvīga attiecība starp saistību apropriācijām un maksājumu apropriācijām, lai nodrošinātu to savstarpēju atbilstību un ļautu turpmākajos gados ievērot 1. punktā minēto maksimālo robežu.</w:t>
      </w:r>
    </w:p>
    <w:p w14:paraId="2FA49929" w14:textId="77777777" w:rsidR="00E55504" w:rsidRDefault="00E55504" w:rsidP="007B20BB">
      <w:pPr>
        <w:pStyle w:val="Text1"/>
        <w:spacing w:before="100" w:beforeAutospacing="1" w:after="100" w:afterAutospacing="1" w:line="240" w:lineRule="auto"/>
        <w:ind w:left="720" w:hanging="720"/>
        <w:jc w:val="both"/>
        <w:rPr>
          <w:noProof/>
        </w:rPr>
      </w:pPr>
      <w:r w:rsidRPr="00645C5E">
        <w:rPr>
          <w:noProof/>
        </w:rPr>
        <w:t>3.</w:t>
      </w:r>
      <w:r w:rsidRPr="00645C5E">
        <w:tab/>
      </w:r>
      <w:r w:rsidRPr="00645C5E">
        <w:rPr>
          <w:noProof/>
        </w:rPr>
        <w:t>Tiklīdz visas dalībvalstis, balstoties uz EKS 2010, ir nosūtījušas savus datus, Komisija šā lēmuma vajadzībām pārrēķina 1. un 2. punktā noteiktās maksimālās robežas, izmantojot šādu formulu:</w:t>
      </w:r>
    </w:p>
    <w:tbl>
      <w:tblPr>
        <w:tblW w:w="0" w:type="auto"/>
        <w:tblLook w:val="04A0" w:firstRow="1" w:lastRow="0" w:firstColumn="1" w:lastColumn="0" w:noHBand="0" w:noVBand="1"/>
      </w:tblPr>
      <w:tblGrid>
        <w:gridCol w:w="4817"/>
        <w:gridCol w:w="4822"/>
      </w:tblGrid>
      <w:tr w:rsidR="007B20BB" w:rsidRPr="00B72ACA" w14:paraId="2FA4992C" w14:textId="77777777" w:rsidTr="00C518CB">
        <w:tc>
          <w:tcPr>
            <w:tcW w:w="4927" w:type="dxa"/>
            <w:shd w:val="clear" w:color="auto" w:fill="auto"/>
          </w:tcPr>
          <w:p w14:paraId="2FA4992A" w14:textId="77777777" w:rsidR="007B20BB" w:rsidRPr="00B72ACA" w:rsidRDefault="007B20BB" w:rsidP="00C518CB">
            <w:pPr>
              <w:spacing w:before="0" w:after="0"/>
              <w:jc w:val="right"/>
              <w:rPr>
                <w:bCs/>
                <w:iCs/>
              </w:rPr>
            </w:pPr>
            <w:r w:rsidRPr="00B72ACA">
              <w:rPr>
                <w:bCs/>
                <w:iCs/>
              </w:rPr>
              <w:t>1,23</w:t>
            </w:r>
            <w:r>
              <w:rPr>
                <w:bCs/>
                <w:iCs/>
              </w:rPr>
              <w:t> </w:t>
            </w:r>
            <w:r w:rsidRPr="00B72ACA">
              <w:rPr>
                <w:bCs/>
                <w:iCs/>
              </w:rPr>
              <w:t>% (1,29</w:t>
            </w:r>
            <w:r>
              <w:rPr>
                <w:bCs/>
                <w:iCs/>
              </w:rPr>
              <w:t> </w:t>
            </w:r>
            <w:r w:rsidRPr="00B72ACA">
              <w:rPr>
                <w:bCs/>
                <w:iCs/>
              </w:rPr>
              <w:t>%)</w:t>
            </w:r>
            <w:r>
              <w:rPr>
                <w:bCs/>
                <w:iCs/>
              </w:rPr>
              <w:t xml:space="preserve"> </w:t>
            </w:r>
            <w:r w:rsidRPr="00B72ACA">
              <w:rPr>
                <w:bCs/>
                <w:iCs/>
              </w:rPr>
              <w:t>×</w:t>
            </w:r>
          </w:p>
        </w:tc>
        <w:tc>
          <w:tcPr>
            <w:tcW w:w="4928" w:type="dxa"/>
            <w:shd w:val="clear" w:color="auto" w:fill="auto"/>
          </w:tcPr>
          <w:p w14:paraId="2FA4992B" w14:textId="77777777" w:rsidR="007B20BB" w:rsidRPr="00B72ACA" w:rsidRDefault="007B20BB" w:rsidP="00C518CB">
            <w:pPr>
              <w:spacing w:before="0" w:after="0"/>
              <w:rPr>
                <w:bCs/>
                <w:iCs/>
              </w:rPr>
            </w:pPr>
            <w:r>
              <w:rPr>
                <w:u w:val="single"/>
              </w:rPr>
              <w:t xml:space="preserve">NKIt–2 + NKIt–1 + </w:t>
            </w:r>
            <w:r w:rsidRPr="00FE5EB8">
              <w:rPr>
                <w:u w:val="single"/>
              </w:rPr>
              <w:t>NKIt</w:t>
            </w:r>
            <w:r w:rsidRPr="002D622B">
              <w:rPr>
                <w:u w:val="single"/>
              </w:rPr>
              <w:t xml:space="preserve"> EKS 95</w:t>
            </w:r>
          </w:p>
        </w:tc>
      </w:tr>
      <w:tr w:rsidR="007B20BB" w:rsidRPr="00B72ACA" w14:paraId="2FA4992F" w14:textId="77777777" w:rsidTr="00C518CB">
        <w:tc>
          <w:tcPr>
            <w:tcW w:w="4927" w:type="dxa"/>
            <w:shd w:val="clear" w:color="auto" w:fill="auto"/>
          </w:tcPr>
          <w:p w14:paraId="2FA4992D" w14:textId="77777777" w:rsidR="007B20BB" w:rsidRPr="00B72ACA" w:rsidRDefault="007B20BB" w:rsidP="00C518CB">
            <w:pPr>
              <w:spacing w:before="0" w:after="0"/>
              <w:jc w:val="center"/>
              <w:rPr>
                <w:bCs/>
                <w:iCs/>
              </w:rPr>
            </w:pPr>
          </w:p>
        </w:tc>
        <w:tc>
          <w:tcPr>
            <w:tcW w:w="4928" w:type="dxa"/>
            <w:shd w:val="clear" w:color="auto" w:fill="auto"/>
          </w:tcPr>
          <w:p w14:paraId="2FA4992E" w14:textId="77777777" w:rsidR="007B20BB" w:rsidRPr="00B72ACA" w:rsidRDefault="007B20BB" w:rsidP="00C518CB">
            <w:pPr>
              <w:spacing w:before="0" w:after="0"/>
              <w:rPr>
                <w:bCs/>
                <w:iCs/>
              </w:rPr>
            </w:pPr>
            <w:r>
              <w:t>NKIt–2 + NKIt–1 + NKIt EKS 2010</w:t>
            </w:r>
          </w:p>
        </w:tc>
      </w:tr>
    </w:tbl>
    <w:p w14:paraId="2FA49930" w14:textId="77777777" w:rsidR="00E55504" w:rsidRPr="00645C5E" w:rsidRDefault="00E55504" w:rsidP="00902EBB">
      <w:pPr>
        <w:pStyle w:val="Text1"/>
        <w:spacing w:before="100" w:beforeAutospacing="1" w:after="100" w:afterAutospacing="1" w:line="240" w:lineRule="auto"/>
        <w:jc w:val="both"/>
        <w:rPr>
          <w:b/>
          <w:bCs/>
          <w:i/>
          <w:iCs/>
        </w:rPr>
      </w:pPr>
      <w:r w:rsidRPr="00645C5E">
        <w:t>Minētajā formulā "t" ir pēdējais pilnais gads, par kuru ir pieejami NKI aprēķināšanai vajadzīgie dati.</w:t>
      </w:r>
    </w:p>
    <w:p w14:paraId="2FA49931" w14:textId="77777777" w:rsidR="00E55504" w:rsidRPr="00645C5E" w:rsidRDefault="00E55504" w:rsidP="00902EBB">
      <w:pPr>
        <w:pStyle w:val="Point0"/>
        <w:spacing w:before="100" w:beforeAutospacing="1" w:after="100" w:afterAutospacing="1" w:line="240" w:lineRule="auto"/>
        <w:jc w:val="both"/>
        <w:rPr>
          <w:b/>
          <w:bCs/>
          <w:i/>
          <w:iCs/>
          <w:noProof/>
        </w:rPr>
      </w:pPr>
      <w:r w:rsidRPr="00645C5E">
        <w:rPr>
          <w:noProof/>
        </w:rPr>
        <w:t>4.</w:t>
      </w:r>
      <w:r w:rsidRPr="00645C5E">
        <w:tab/>
      </w:r>
      <w:r w:rsidRPr="00645C5E">
        <w:rPr>
          <w:noProof/>
        </w:rPr>
        <w:t>Ja EKS 2010 izmaiņas būtiski maina NKI apmēru, Komisija 1. un 2. punktā noteiktās maksimālās robežas, kas pārrēķinātas saskaņā ar 3. punktu, pārrēķina, izmantojot šādu formulu:</w:t>
      </w:r>
    </w:p>
    <w:tbl>
      <w:tblPr>
        <w:tblW w:w="0" w:type="auto"/>
        <w:tblLook w:val="04A0" w:firstRow="1" w:lastRow="0" w:firstColumn="1" w:lastColumn="0" w:noHBand="0" w:noVBand="1"/>
      </w:tblPr>
      <w:tblGrid>
        <w:gridCol w:w="4805"/>
        <w:gridCol w:w="4834"/>
      </w:tblGrid>
      <w:tr w:rsidR="007B20BB" w:rsidRPr="00B72ACA" w14:paraId="2FA49934" w14:textId="77777777" w:rsidTr="00C518CB">
        <w:tc>
          <w:tcPr>
            <w:tcW w:w="4927" w:type="dxa"/>
            <w:shd w:val="clear" w:color="auto" w:fill="auto"/>
          </w:tcPr>
          <w:p w14:paraId="2FA49932" w14:textId="77777777" w:rsidR="007B20BB" w:rsidRPr="00B72ACA" w:rsidRDefault="007B20BB" w:rsidP="00C518CB">
            <w:pPr>
              <w:spacing w:before="0" w:after="0"/>
              <w:jc w:val="right"/>
              <w:rPr>
                <w:bCs/>
                <w:iCs/>
                <w:lang w:val="fr-BE"/>
              </w:rPr>
            </w:pPr>
            <w:r w:rsidRPr="00B72ACA">
              <w:rPr>
                <w:bCs/>
                <w:iCs/>
                <w:lang w:val="fr-BE"/>
              </w:rPr>
              <w:t>x % (y %) ×</w:t>
            </w:r>
          </w:p>
        </w:tc>
        <w:tc>
          <w:tcPr>
            <w:tcW w:w="4928" w:type="dxa"/>
            <w:shd w:val="clear" w:color="auto" w:fill="auto"/>
          </w:tcPr>
          <w:p w14:paraId="2FA49933" w14:textId="77777777" w:rsidR="007B20BB" w:rsidRPr="00B72ACA" w:rsidRDefault="007B20BB" w:rsidP="00C518CB">
            <w:pPr>
              <w:spacing w:before="0" w:after="0"/>
              <w:rPr>
                <w:bCs/>
                <w:iCs/>
                <w:lang w:val="fr-BE"/>
              </w:rPr>
            </w:pPr>
            <w:r>
              <w:rPr>
                <w:u w:val="single"/>
              </w:rPr>
              <w:t>NKIt–2 + NKIt–1 + NKIt</w:t>
            </w:r>
            <w:r>
              <w:t xml:space="preserve"> </w:t>
            </w:r>
            <w:r w:rsidRPr="002D622B">
              <w:rPr>
                <w:u w:val="single"/>
              </w:rPr>
              <w:t>pašreizējā EKS</w:t>
            </w:r>
          </w:p>
        </w:tc>
      </w:tr>
      <w:tr w:rsidR="007B20BB" w:rsidRPr="00FD24A7" w14:paraId="2FA49937" w14:textId="77777777" w:rsidTr="00C518CB">
        <w:tc>
          <w:tcPr>
            <w:tcW w:w="4927" w:type="dxa"/>
            <w:shd w:val="clear" w:color="auto" w:fill="auto"/>
          </w:tcPr>
          <w:p w14:paraId="2FA49935" w14:textId="77777777" w:rsidR="007B20BB" w:rsidRPr="00B72ACA" w:rsidRDefault="007B20BB" w:rsidP="00C518CB">
            <w:pPr>
              <w:spacing w:before="0" w:after="0"/>
              <w:jc w:val="center"/>
              <w:rPr>
                <w:bCs/>
                <w:iCs/>
                <w:lang w:val="fr-BE"/>
              </w:rPr>
            </w:pPr>
          </w:p>
        </w:tc>
        <w:tc>
          <w:tcPr>
            <w:tcW w:w="4928" w:type="dxa"/>
            <w:shd w:val="clear" w:color="auto" w:fill="auto"/>
          </w:tcPr>
          <w:p w14:paraId="2FA49936" w14:textId="77777777" w:rsidR="007B20BB" w:rsidRPr="00FD24A7" w:rsidRDefault="007B20BB" w:rsidP="00C518CB">
            <w:pPr>
              <w:spacing w:before="0" w:after="0"/>
              <w:rPr>
                <w:bCs/>
                <w:iCs/>
                <w:lang w:val="fr-BE" w:eastAsia="en-GB"/>
              </w:rPr>
            </w:pPr>
            <w:r>
              <w:t>NKIt–2 + NKIt–1 + NKIt grozītā EKS</w:t>
            </w:r>
          </w:p>
        </w:tc>
      </w:tr>
    </w:tbl>
    <w:p w14:paraId="2FA49938" w14:textId="77777777" w:rsidR="00E55504" w:rsidRPr="00645C5E" w:rsidRDefault="00E55504" w:rsidP="00902EBB">
      <w:pPr>
        <w:pStyle w:val="Text1"/>
        <w:spacing w:before="100" w:beforeAutospacing="1" w:after="100" w:afterAutospacing="1" w:line="240" w:lineRule="auto"/>
        <w:jc w:val="both"/>
        <w:rPr>
          <w:b/>
          <w:bCs/>
          <w:i/>
          <w:iCs/>
        </w:rPr>
      </w:pPr>
      <w:r w:rsidRPr="00645C5E">
        <w:t>Minētajā formulā "t" ir pēdējais pilnais gads, par kuru ir pieejami NKI aprēķināšanai vajadzīgie dati.</w:t>
      </w:r>
    </w:p>
    <w:p w14:paraId="2FA49939" w14:textId="77777777" w:rsidR="00B36AD8" w:rsidRPr="00645C5E" w:rsidRDefault="00E55504" w:rsidP="00902EBB">
      <w:pPr>
        <w:pStyle w:val="Text1"/>
        <w:spacing w:before="100" w:beforeAutospacing="1" w:after="100" w:afterAutospacing="1" w:line="240" w:lineRule="auto"/>
        <w:jc w:val="both"/>
      </w:pPr>
      <w:r w:rsidRPr="00645C5E">
        <w:t>Minētajā formulā "x" un "y" ir attiecīgās maksimālās robežas, kas pā</w:t>
      </w:r>
      <w:r w:rsidR="00B36AD8" w:rsidRPr="00645C5E">
        <w:t>rrēķinātas saskaņā ar 3. punktu</w:t>
      </w:r>
    </w:p>
    <w:p w14:paraId="2FA4993A" w14:textId="77777777" w:rsidR="00E55504" w:rsidRPr="00645C5E" w:rsidRDefault="00E55504" w:rsidP="00902EBB">
      <w:pPr>
        <w:pStyle w:val="Text1"/>
        <w:spacing w:before="100" w:beforeAutospacing="1" w:after="100" w:afterAutospacing="1" w:line="240" w:lineRule="auto"/>
        <w:ind w:left="0"/>
        <w:jc w:val="center"/>
      </w:pPr>
      <w:r w:rsidRPr="00645C5E">
        <w:t>4. pants</w:t>
      </w:r>
      <w:r w:rsidR="00FE3971" w:rsidRPr="00645C5E">
        <w:br/>
      </w:r>
      <w:r w:rsidRPr="00645C5E">
        <w:t>Apvienotās Karalistes korekcijas mehānisms</w:t>
      </w:r>
    </w:p>
    <w:p w14:paraId="2FA4993B" w14:textId="77777777" w:rsidR="00E55504" w:rsidRPr="00645C5E" w:rsidRDefault="00E55504" w:rsidP="00902EBB">
      <w:pPr>
        <w:spacing w:before="100" w:beforeAutospacing="1" w:after="100" w:afterAutospacing="1" w:line="240" w:lineRule="auto"/>
        <w:jc w:val="both"/>
        <w:rPr>
          <w:b/>
          <w:bCs/>
          <w:i/>
          <w:iCs/>
        </w:rPr>
      </w:pPr>
      <w:r w:rsidRPr="00645C5E">
        <w:t>Apvienotajai Karalistei piešķir korekciju budžeta līdzsvarošanai.</w:t>
      </w:r>
    </w:p>
    <w:p w14:paraId="2FA4993C" w14:textId="77777777" w:rsidR="00E55504" w:rsidRPr="00645C5E" w:rsidRDefault="00E55504" w:rsidP="00902EBB">
      <w:pPr>
        <w:spacing w:before="100" w:beforeAutospacing="1" w:after="100" w:afterAutospacing="1" w:line="240" w:lineRule="auto"/>
        <w:jc w:val="both"/>
        <w:rPr>
          <w:b/>
          <w:bCs/>
          <w:i/>
          <w:iCs/>
        </w:rPr>
      </w:pPr>
      <w:r w:rsidRPr="00645C5E">
        <w:t>Šo korekciju nosaka:</w:t>
      </w:r>
    </w:p>
    <w:p w14:paraId="2FA4993D" w14:textId="77777777" w:rsidR="00E55504" w:rsidRPr="00645C5E" w:rsidRDefault="00E55504" w:rsidP="00902EBB">
      <w:pPr>
        <w:pStyle w:val="Point0"/>
        <w:spacing w:before="100" w:beforeAutospacing="1" w:after="100" w:afterAutospacing="1" w:line="240" w:lineRule="auto"/>
        <w:jc w:val="both"/>
        <w:rPr>
          <w:b/>
          <w:bCs/>
          <w:i/>
          <w:iCs/>
        </w:rPr>
      </w:pPr>
      <w:r w:rsidRPr="00645C5E">
        <w:t>a)</w:t>
      </w:r>
      <w:r w:rsidRPr="00645C5E">
        <w:tab/>
        <w:t>aprēķinot starpību iepriekšējā finanšu gadā starp:</w:t>
      </w:r>
    </w:p>
    <w:p w14:paraId="2FA4993E" w14:textId="77777777" w:rsidR="00E55504" w:rsidRPr="00645C5E" w:rsidRDefault="00E55504" w:rsidP="00902EBB">
      <w:pPr>
        <w:pStyle w:val="Tiret1"/>
        <w:spacing w:before="100" w:beforeAutospacing="1" w:after="100" w:afterAutospacing="1" w:line="240" w:lineRule="auto"/>
        <w:jc w:val="both"/>
        <w:rPr>
          <w:b/>
          <w:bCs/>
          <w:i/>
          <w:iCs/>
        </w:rPr>
      </w:pPr>
      <w:r w:rsidRPr="00645C5E">
        <w:t>Apvienotās Karalistes procentuālo daļu no neierobežotās PVN aprēķina bāzes summas un</w:t>
      </w:r>
    </w:p>
    <w:p w14:paraId="2FA4993F" w14:textId="77777777" w:rsidR="00E55504" w:rsidRPr="00645C5E" w:rsidRDefault="00E55504" w:rsidP="00902EBB">
      <w:pPr>
        <w:pStyle w:val="Tiret1"/>
        <w:spacing w:before="100" w:beforeAutospacing="1" w:after="100" w:afterAutospacing="1" w:line="240" w:lineRule="auto"/>
        <w:jc w:val="both"/>
        <w:rPr>
          <w:b/>
          <w:bCs/>
          <w:i/>
          <w:iCs/>
        </w:rPr>
      </w:pPr>
      <w:r w:rsidRPr="00645C5E">
        <w:t>Apvienotās Karalistes procentuālo daļu iedalīto izdevumu kopsummā;</w:t>
      </w:r>
    </w:p>
    <w:p w14:paraId="2FA49940" w14:textId="77777777" w:rsidR="00E55504" w:rsidRPr="00645C5E" w:rsidRDefault="00E55504" w:rsidP="00902EBB">
      <w:pPr>
        <w:pStyle w:val="Point0"/>
        <w:spacing w:before="100" w:beforeAutospacing="1" w:after="100" w:afterAutospacing="1" w:line="240" w:lineRule="auto"/>
        <w:jc w:val="both"/>
        <w:rPr>
          <w:b/>
          <w:bCs/>
          <w:i/>
          <w:iCs/>
        </w:rPr>
      </w:pPr>
      <w:r w:rsidRPr="00645C5E">
        <w:t>b)</w:t>
      </w:r>
      <w:r w:rsidRPr="00645C5E">
        <w:tab/>
        <w:t>šādi iegūto starpību reizinot ar iedalīto izdevumu kopsummu;</w:t>
      </w:r>
    </w:p>
    <w:p w14:paraId="2FA49941" w14:textId="77777777" w:rsidR="00E55504" w:rsidRPr="00645C5E" w:rsidRDefault="00E55504" w:rsidP="00902EBB">
      <w:pPr>
        <w:pStyle w:val="Point0"/>
        <w:spacing w:before="100" w:beforeAutospacing="1" w:after="100" w:afterAutospacing="1" w:line="240" w:lineRule="auto"/>
        <w:jc w:val="both"/>
        <w:rPr>
          <w:b/>
          <w:bCs/>
          <w:i/>
          <w:iCs/>
        </w:rPr>
      </w:pPr>
      <w:r w:rsidRPr="00645C5E">
        <w:t>c)</w:t>
      </w:r>
      <w:r w:rsidRPr="00645C5E">
        <w:tab/>
        <w:t>rezultātu, kas iegūts saskaņā ar b) apakšpunktu, reizinot ar 0,66;</w:t>
      </w:r>
    </w:p>
    <w:p w14:paraId="2FA49942" w14:textId="77777777" w:rsidR="00E55504" w:rsidRPr="00645C5E" w:rsidRDefault="00E55504" w:rsidP="00902EBB">
      <w:pPr>
        <w:pStyle w:val="Point0"/>
        <w:spacing w:before="100" w:beforeAutospacing="1" w:after="100" w:afterAutospacing="1" w:line="240" w:lineRule="auto"/>
        <w:jc w:val="both"/>
        <w:rPr>
          <w:b/>
          <w:bCs/>
          <w:i/>
          <w:iCs/>
        </w:rPr>
      </w:pPr>
      <w:r w:rsidRPr="00645C5E">
        <w:t>d)</w:t>
      </w:r>
      <w:r w:rsidRPr="00645C5E">
        <w:tab/>
        <w:t>no saskaņā ar c) apakšpunktu iegūtā rezultāta atņemot summu, par kādu Apvienoto Karalisti ietekmē pāreja uz nepārsniedzamo PVN resursu bāzi, un 2. panta 1. punkta c) apakšpunktā minētos maksājumus, proti, starpību starp:</w:t>
      </w:r>
    </w:p>
    <w:p w14:paraId="2FA49943" w14:textId="77777777" w:rsidR="00E55504" w:rsidRPr="00645C5E" w:rsidRDefault="00E55504" w:rsidP="00902EBB">
      <w:pPr>
        <w:pStyle w:val="Tiret1"/>
        <w:spacing w:before="100" w:beforeAutospacing="1" w:after="100" w:afterAutospacing="1" w:line="240" w:lineRule="auto"/>
        <w:jc w:val="both"/>
      </w:pPr>
      <w:r w:rsidRPr="00645C5E">
        <w:t>summu, kas Apvienotajai Karalistei būtu jāmaksā par summām, kuras finansētas no 2. panta 1. punkta b) un c) apakšpunktā minētajiem resursiem, ja vienoto likmi piemērotu neierobežotajai PVN bāzei, un</w:t>
      </w:r>
    </w:p>
    <w:p w14:paraId="2FA49944" w14:textId="77777777" w:rsidR="00B36AD8" w:rsidRPr="00645C5E" w:rsidRDefault="00E55504" w:rsidP="00902EBB">
      <w:pPr>
        <w:pStyle w:val="Tiret1"/>
        <w:spacing w:before="100" w:beforeAutospacing="1" w:after="100" w:afterAutospacing="1" w:line="240" w:lineRule="auto"/>
        <w:jc w:val="both"/>
        <w:rPr>
          <w:b/>
          <w:bCs/>
          <w:i/>
          <w:iCs/>
        </w:rPr>
      </w:pPr>
      <w:r w:rsidRPr="00645C5E">
        <w:t>Apvienotās Karalistes maksājumiem saskaņā ar 2. panta 1. punkta b) un c) apakšpunktu;</w:t>
      </w:r>
    </w:p>
    <w:p w14:paraId="2FA49945" w14:textId="77777777" w:rsidR="00E55504" w:rsidRPr="00645C5E" w:rsidRDefault="00E55504" w:rsidP="00902EBB">
      <w:pPr>
        <w:pStyle w:val="Point0"/>
        <w:spacing w:before="100" w:beforeAutospacing="1" w:after="100" w:afterAutospacing="1" w:line="240" w:lineRule="auto"/>
        <w:ind w:left="720" w:hanging="720"/>
        <w:jc w:val="both"/>
        <w:rPr>
          <w:b/>
          <w:bCs/>
          <w:i/>
          <w:iCs/>
        </w:rPr>
      </w:pPr>
      <w:r w:rsidRPr="00645C5E">
        <w:t>e)</w:t>
      </w:r>
      <w:r w:rsidRPr="00645C5E">
        <w:tab/>
        <w:t>no saskaņā ar d) apakšpunktu iegūtā rezultāta atņemot Apvienotās Karalistes neto ieguvumu, kas radies, palielinot 2. panta 1. punkta a) apakšpunktā minēto resursu procentuālo daļu, ko dalībvalstis patur ar resursu iekasēšanu saistīto izmaksu segšanai;</w:t>
      </w:r>
    </w:p>
    <w:p w14:paraId="2FA49946" w14:textId="77777777" w:rsidR="00E55504" w:rsidRPr="00645C5E" w:rsidRDefault="00E55504" w:rsidP="00902EBB">
      <w:pPr>
        <w:pStyle w:val="Point0"/>
        <w:spacing w:before="100" w:beforeAutospacing="1" w:after="100" w:afterAutospacing="1" w:line="240" w:lineRule="auto"/>
        <w:jc w:val="both"/>
      </w:pPr>
      <w:r w:rsidRPr="00645C5E">
        <w:t>f)</w:t>
      </w:r>
      <w:r w:rsidRPr="00645C5E">
        <w:tab/>
        <w:t xml:space="preserve">aprēķinu pielāgojot tādējādi, ka no kopējiem iedalītajiem izdevumiem atņem kopējos iedalītos izdevumus tajās dalībvalstīs, kuras </w:t>
      </w:r>
      <w:r w:rsidR="00B762FB" w:rsidRPr="00645C5E">
        <w:t xml:space="preserve">Savienībai </w:t>
      </w:r>
      <w:r w:rsidRPr="00645C5E">
        <w:t>pievienojušās pēc 2004. gada 30. aprīļa, izņemot lauksaimniecības tiešos maksājumus un ar tirgu saistītos izdevumus, kā arī tos lauku attīstības izdevumus, ko finansē ELVGF Garantiju nodaļa.</w:t>
      </w:r>
    </w:p>
    <w:p w14:paraId="2FA49947" w14:textId="77777777" w:rsidR="00E55504" w:rsidRPr="00645C5E" w:rsidRDefault="00E55504" w:rsidP="00902EBB">
      <w:pPr>
        <w:pStyle w:val="Titrearticle"/>
        <w:spacing w:before="100" w:beforeAutospacing="1" w:after="100" w:afterAutospacing="1" w:line="240" w:lineRule="auto"/>
      </w:pPr>
      <w:r w:rsidRPr="00645C5E">
        <w:t>5. pants</w:t>
      </w:r>
      <w:r w:rsidR="00FE3971" w:rsidRPr="00645C5E">
        <w:br/>
      </w:r>
      <w:r w:rsidRPr="00645C5E">
        <w:t>Apvienotās Karalistes korekcijas mehānisma finansēšana</w:t>
      </w:r>
    </w:p>
    <w:p w14:paraId="2FA49948" w14:textId="77777777" w:rsidR="00E55504" w:rsidRPr="00645C5E" w:rsidRDefault="00E55504" w:rsidP="00902EBB">
      <w:pPr>
        <w:pStyle w:val="Point0"/>
        <w:spacing w:before="100" w:beforeAutospacing="1" w:after="100" w:afterAutospacing="1" w:line="240" w:lineRule="auto"/>
        <w:jc w:val="both"/>
        <w:rPr>
          <w:noProof/>
        </w:rPr>
      </w:pPr>
      <w:r w:rsidRPr="00645C5E">
        <w:rPr>
          <w:noProof/>
        </w:rPr>
        <w:t>1.</w:t>
      </w:r>
      <w:r w:rsidRPr="00645C5E">
        <w:tab/>
        <w:t>Šā lēmuma 4. pantā minētās korekcijas izmaksas sedz dalībvalstis</w:t>
      </w:r>
      <w:r w:rsidR="00FE5EB8" w:rsidRPr="00645C5E">
        <w:t>, kas nav Apvienotā Karaliste,</w:t>
      </w:r>
      <w:r w:rsidRPr="00645C5E">
        <w:t xml:space="preserve"> saskaņā ar šādu kārtību:</w:t>
      </w:r>
    </w:p>
    <w:p w14:paraId="2FA49949" w14:textId="77777777" w:rsidR="00E55504" w:rsidRPr="00645C5E" w:rsidRDefault="00E55504" w:rsidP="00902EBB">
      <w:pPr>
        <w:pStyle w:val="Point1"/>
        <w:spacing w:before="100" w:beforeAutospacing="1" w:after="100" w:afterAutospacing="1" w:line="240" w:lineRule="auto"/>
        <w:jc w:val="both"/>
        <w:rPr>
          <w:b/>
          <w:bCs/>
          <w:i/>
          <w:iCs/>
        </w:rPr>
      </w:pPr>
      <w:r w:rsidRPr="00645C5E">
        <w:t>a)</w:t>
      </w:r>
      <w:r w:rsidRPr="00645C5E">
        <w:tab/>
        <w:t>izmaksu sadali vispirms aprēķina pēc katras dalībvalsts daļas 2. panta 1. punkta c) apakšpunktā minētajos maksājumos, no aprēķina izslēdzot Apvienoto Karalisti un neņemot vērā 2. panta 5. punktā minētos bruto samazinājumus, ko piemēro Dānijas, Nīderlandes</w:t>
      </w:r>
      <w:r w:rsidR="00C731C2" w:rsidRPr="00645C5E">
        <w:t>,</w:t>
      </w:r>
      <w:r w:rsidRPr="00645C5E">
        <w:t xml:space="preserve"> </w:t>
      </w:r>
      <w:r w:rsidR="00C731C2" w:rsidRPr="00645C5E">
        <w:t xml:space="preserve">Austrijas </w:t>
      </w:r>
      <w:r w:rsidRPr="00645C5E">
        <w:t>un Zviedrijas NKI resursu iemaksām;</w:t>
      </w:r>
    </w:p>
    <w:p w14:paraId="2FA4994A" w14:textId="77777777" w:rsidR="00A961FE" w:rsidRPr="00645C5E" w:rsidRDefault="00E55504" w:rsidP="00902EBB">
      <w:pPr>
        <w:pStyle w:val="Point1"/>
        <w:spacing w:before="100" w:beforeAutospacing="1" w:after="100" w:afterAutospacing="1" w:line="240" w:lineRule="auto"/>
        <w:jc w:val="both"/>
      </w:pPr>
      <w:r w:rsidRPr="00645C5E">
        <w:t>b)</w:t>
      </w:r>
      <w:r w:rsidRPr="00645C5E">
        <w:tab/>
        <w:t>pēc tam to pielāgo tā, lai Vācijas, Nīderlandes</w:t>
      </w:r>
      <w:r w:rsidR="00C731C2" w:rsidRPr="00645C5E">
        <w:t>, Austrijas</w:t>
      </w:r>
      <w:r w:rsidRPr="00645C5E">
        <w:t xml:space="preserve"> un Zviedrijas finansējuma daļa būtu viena ceturtā daļa no to parastās finansējuma daļas, kas iegūta šā aprēķina rezultātā.</w:t>
      </w:r>
    </w:p>
    <w:p w14:paraId="2FA4994B" w14:textId="77777777" w:rsidR="00E55504" w:rsidRPr="00645C5E" w:rsidRDefault="00E55504" w:rsidP="007B20BB">
      <w:pPr>
        <w:pStyle w:val="Point1"/>
        <w:spacing w:before="100" w:beforeAutospacing="1" w:after="100" w:afterAutospacing="1" w:line="240" w:lineRule="auto"/>
        <w:ind w:left="720" w:hanging="720"/>
        <w:jc w:val="both"/>
        <w:rPr>
          <w:b/>
          <w:bCs/>
          <w:i/>
          <w:iCs/>
        </w:rPr>
      </w:pPr>
      <w:r w:rsidRPr="00645C5E">
        <w:t>2.</w:t>
      </w:r>
      <w:r w:rsidRPr="00645C5E">
        <w:tab/>
        <w:t>Korekciju Apvienotajai Karalistei piešķir, samazinot tās maksājumus, kas izriet no 2. panta 1. punkta c) apakšpunkta piemērošanas.</w:t>
      </w:r>
      <w:r w:rsidRPr="00645C5E">
        <w:rPr>
          <w:b/>
          <w:i/>
        </w:rPr>
        <w:t xml:space="preserve"> </w:t>
      </w:r>
      <w:r w:rsidRPr="00645C5E">
        <w:t>Izmaksas, ko sedz pārējās dalībvalstis, pieskaita maksājumiem, ko katra dalībvalsts veic saskaņā ar 2. panta 1. punkta c) apakšpunktu.</w:t>
      </w:r>
    </w:p>
    <w:p w14:paraId="2FA4994C" w14:textId="77777777" w:rsidR="00E55504" w:rsidRPr="00645C5E" w:rsidRDefault="00E55504" w:rsidP="00902EBB">
      <w:pPr>
        <w:pStyle w:val="Point0"/>
        <w:spacing w:before="100" w:beforeAutospacing="1" w:after="100" w:afterAutospacing="1" w:line="240" w:lineRule="auto"/>
        <w:jc w:val="both"/>
        <w:rPr>
          <w:b/>
          <w:bCs/>
          <w:i/>
          <w:iCs/>
        </w:rPr>
      </w:pPr>
      <w:r w:rsidRPr="00645C5E">
        <w:t>3.</w:t>
      </w:r>
      <w:r w:rsidRPr="00645C5E">
        <w:tab/>
        <w:t>Komisija veic 2. panta 5. punkta, 4. panta un šā panta piemērošanai nepieciešamos aprēķinus.</w:t>
      </w:r>
    </w:p>
    <w:p w14:paraId="2FA4994D" w14:textId="77777777" w:rsidR="00E55504" w:rsidRPr="00645C5E" w:rsidRDefault="00E55504" w:rsidP="00902EBB">
      <w:pPr>
        <w:pStyle w:val="Point0"/>
        <w:spacing w:before="100" w:beforeAutospacing="1" w:after="100" w:afterAutospacing="1" w:line="240" w:lineRule="auto"/>
        <w:jc w:val="both"/>
        <w:rPr>
          <w:b/>
          <w:bCs/>
          <w:i/>
          <w:iCs/>
        </w:rPr>
      </w:pPr>
      <w:r w:rsidRPr="00645C5E">
        <w:t>4.</w:t>
      </w:r>
      <w:r w:rsidRPr="00645C5E">
        <w:tab/>
        <w:t>Ja finanšu gada sākumā budžets nav pieņemts, turpina piemērot to Apvienotajai Karalistei piešķirto korekciju un citām dalībvalstīm sedzamās izmaksas, kas iekļautas pēdējā galīgi pieņemtajā budžetā.</w:t>
      </w:r>
    </w:p>
    <w:p w14:paraId="2FA4994E" w14:textId="77777777" w:rsidR="00E55504" w:rsidRPr="00645C5E" w:rsidRDefault="00E55504" w:rsidP="00902EBB">
      <w:pPr>
        <w:pStyle w:val="Titrearticle"/>
        <w:spacing w:before="100" w:beforeAutospacing="1" w:after="100" w:afterAutospacing="1" w:line="240" w:lineRule="auto"/>
      </w:pPr>
      <w:r w:rsidRPr="00645C5E">
        <w:t>6. pants</w:t>
      </w:r>
      <w:r w:rsidR="00FE3971" w:rsidRPr="00645C5E">
        <w:br/>
      </w:r>
      <w:r w:rsidRPr="00645C5E">
        <w:t>Universāluma princips</w:t>
      </w:r>
    </w:p>
    <w:p w14:paraId="2FA4994F" w14:textId="77777777" w:rsidR="00E55504" w:rsidRPr="00645C5E" w:rsidRDefault="00E55504" w:rsidP="00902EBB">
      <w:pPr>
        <w:spacing w:before="100" w:beforeAutospacing="1" w:after="100" w:afterAutospacing="1" w:line="240" w:lineRule="auto"/>
        <w:jc w:val="both"/>
        <w:rPr>
          <w:noProof/>
        </w:rPr>
      </w:pPr>
      <w:r w:rsidRPr="00645C5E">
        <w:t>Šā lēmuma 2. pantā minētos ieņēmumus bez izšķirības izmanto visu Savienības gada budžetā iekļauto izdevumu finansēšanai.</w:t>
      </w:r>
    </w:p>
    <w:p w14:paraId="2FA49950" w14:textId="77777777" w:rsidR="00E55504" w:rsidRPr="00645C5E" w:rsidRDefault="00E55504" w:rsidP="00902EBB">
      <w:pPr>
        <w:pStyle w:val="Titrearticle"/>
        <w:spacing w:before="100" w:beforeAutospacing="1" w:after="100" w:afterAutospacing="1" w:line="240" w:lineRule="auto"/>
      </w:pPr>
      <w:r w:rsidRPr="00645C5E">
        <w:t>7. pants</w:t>
      </w:r>
      <w:r w:rsidR="00FE3971" w:rsidRPr="00645C5E">
        <w:br/>
      </w:r>
      <w:r w:rsidRPr="00645C5E">
        <w:t>Atlikuma pārnešana</w:t>
      </w:r>
    </w:p>
    <w:p w14:paraId="2FA49951" w14:textId="77777777" w:rsidR="00EC1C55" w:rsidRPr="00645C5E" w:rsidRDefault="00E55504" w:rsidP="00902EBB">
      <w:pPr>
        <w:spacing w:before="100" w:beforeAutospacing="1" w:after="100" w:afterAutospacing="1" w:line="240" w:lineRule="auto"/>
        <w:jc w:val="both"/>
      </w:pPr>
      <w:r w:rsidRPr="00645C5E">
        <w:t>Savienības ieņēmumu atlikumu, kas pārsniedz finanšu gada faktisko izdevumu kopsummu, pārnes uz nākamo finanšu gadu.</w:t>
      </w:r>
    </w:p>
    <w:p w14:paraId="2FA49952" w14:textId="77777777" w:rsidR="00E55504" w:rsidRPr="00645C5E" w:rsidRDefault="00E55504" w:rsidP="00902EBB">
      <w:pPr>
        <w:spacing w:before="100" w:beforeAutospacing="1" w:after="100" w:afterAutospacing="1" w:line="240" w:lineRule="auto"/>
        <w:jc w:val="center"/>
      </w:pPr>
      <w:r w:rsidRPr="00645C5E">
        <w:t>8. pants</w:t>
      </w:r>
      <w:r w:rsidR="00FE3971" w:rsidRPr="00645C5E">
        <w:br/>
      </w:r>
      <w:r w:rsidRPr="00645C5E">
        <w:t>Pašu resursu iekasēšana un nodošana Komisijai</w:t>
      </w:r>
    </w:p>
    <w:p w14:paraId="2FA49953" w14:textId="77777777" w:rsidR="00E55504" w:rsidRPr="00645C5E" w:rsidRDefault="00E55504" w:rsidP="00902EBB">
      <w:pPr>
        <w:pStyle w:val="Point0"/>
        <w:spacing w:before="100" w:beforeAutospacing="1" w:after="100" w:afterAutospacing="1" w:line="240" w:lineRule="auto"/>
        <w:jc w:val="both"/>
        <w:rPr>
          <w:noProof/>
        </w:rPr>
      </w:pPr>
      <w:r w:rsidRPr="00645C5E">
        <w:t>1.</w:t>
      </w:r>
      <w:r w:rsidRPr="00645C5E">
        <w:tab/>
        <w:t>Savienības pašu resursus, kas minēti 2. panta 1. punkta a) apakšpunktā, dalībvalstis iekasē saskaņā ar valsts normatīvo vai administratīvo aktu noteikumiem, kurus vajadzības gadījumā pielāgo, lai panāktu atbilstību Savienības noteikumu prasībām.</w:t>
      </w:r>
    </w:p>
    <w:p w14:paraId="2FA49954" w14:textId="77777777" w:rsidR="00E55504" w:rsidRPr="00645C5E" w:rsidRDefault="00E55504" w:rsidP="00902EBB">
      <w:pPr>
        <w:pStyle w:val="Text1"/>
        <w:spacing w:before="100" w:beforeAutospacing="1" w:after="100" w:afterAutospacing="1" w:line="240" w:lineRule="auto"/>
        <w:jc w:val="both"/>
        <w:rPr>
          <w:noProof/>
        </w:rPr>
      </w:pPr>
      <w:r w:rsidRPr="00645C5E">
        <w:t>Komisija izskata dalībvalstu tai paziņotos attiecīgos valsts noteikumus, iesniedz dalībvalstīm pielāgojumus, kurus tā uzskata par vajadzīgiem, lai nodrošinātu valsts noteikumu atbilstību Savienības noteikumiem, un vajadzības gadījumā iesniedz ziņojumu budžeta lēmējinstitūcijai.</w:t>
      </w:r>
    </w:p>
    <w:p w14:paraId="2FA49955" w14:textId="77777777" w:rsidR="00EC1C55" w:rsidRPr="00645C5E" w:rsidRDefault="00E55504" w:rsidP="00902EBB">
      <w:pPr>
        <w:pStyle w:val="Point0"/>
        <w:spacing w:before="100" w:beforeAutospacing="1" w:after="100" w:afterAutospacing="1" w:line="240" w:lineRule="auto"/>
        <w:jc w:val="both"/>
      </w:pPr>
      <w:r w:rsidRPr="00645C5E">
        <w:t>2.</w:t>
      </w:r>
      <w:r w:rsidRPr="00645C5E">
        <w:tab/>
        <w:t xml:space="preserve">Dalībvalstis 2. panta 1. punkta a), b) un c) apakšpunktā minētos resursus nodod Komisijas rīcībā saskaņā ar regulām, kas pieņemtas atbilstīgi </w:t>
      </w:r>
      <w:r w:rsidR="00C731C2" w:rsidRPr="00645C5E">
        <w:t xml:space="preserve">LESD </w:t>
      </w:r>
      <w:r w:rsidRPr="00645C5E">
        <w:t>322. panta 2. punktam.</w:t>
      </w:r>
    </w:p>
    <w:p w14:paraId="2FA49956" w14:textId="77777777" w:rsidR="004959B9" w:rsidRPr="00645C5E" w:rsidRDefault="004959B9" w:rsidP="004959B9">
      <w:pPr>
        <w:pStyle w:val="Point0"/>
        <w:spacing w:before="100" w:beforeAutospacing="1" w:after="100" w:afterAutospacing="1" w:line="240" w:lineRule="auto"/>
        <w:jc w:val="center"/>
      </w:pPr>
      <w:r>
        <w:t>9</w:t>
      </w:r>
      <w:r w:rsidRPr="00645C5E">
        <w:t>. pants</w:t>
      </w:r>
      <w:r w:rsidRPr="00645C5E">
        <w:br/>
      </w:r>
      <w:r>
        <w:t>Īstenošanas pasākumi</w:t>
      </w:r>
    </w:p>
    <w:p w14:paraId="2FA49957" w14:textId="77777777" w:rsidR="00E55504" w:rsidRPr="00645C5E" w:rsidRDefault="00E55504" w:rsidP="00902EBB">
      <w:pPr>
        <w:spacing w:before="100" w:beforeAutospacing="1" w:after="100" w:afterAutospacing="1" w:line="240" w:lineRule="auto"/>
        <w:jc w:val="both"/>
        <w:rPr>
          <w:noProof/>
        </w:rPr>
      </w:pPr>
      <w:r w:rsidRPr="00645C5E">
        <w:t xml:space="preserve">Padome saskaņā ar </w:t>
      </w:r>
      <w:r w:rsidR="00C731C2" w:rsidRPr="00645C5E">
        <w:t>LESD</w:t>
      </w:r>
      <w:r w:rsidR="00C731C2" w:rsidRPr="00645C5E" w:rsidDel="00C731C2">
        <w:t xml:space="preserve"> </w:t>
      </w:r>
      <w:r w:rsidRPr="00645C5E">
        <w:t>311. panta ceturtajā daļā noteikto procedūru paredz īstenošanas pasākumus attiecībā uz šādiem pašu resursu sistēmas elementiem:</w:t>
      </w:r>
    </w:p>
    <w:p w14:paraId="2FA49958" w14:textId="77777777" w:rsidR="00E55504" w:rsidRPr="00645C5E" w:rsidRDefault="00E55504" w:rsidP="00902EBB">
      <w:pPr>
        <w:pStyle w:val="Point0"/>
        <w:spacing w:before="100" w:beforeAutospacing="1" w:after="100" w:afterAutospacing="1" w:line="240" w:lineRule="auto"/>
        <w:jc w:val="both"/>
        <w:rPr>
          <w:noProof/>
        </w:rPr>
      </w:pPr>
      <w:r w:rsidRPr="00645C5E">
        <w:t>a)</w:t>
      </w:r>
      <w:r w:rsidRPr="00645C5E">
        <w:tab/>
        <w:t>gada budžeta bilances aprēķināšanas un sadales procedūra saskaņā ar 7. pantu;</w:t>
      </w:r>
    </w:p>
    <w:p w14:paraId="2FA49959" w14:textId="77777777" w:rsidR="00EC1C55" w:rsidRPr="00645C5E" w:rsidRDefault="00E55504" w:rsidP="00902EBB">
      <w:pPr>
        <w:pStyle w:val="Point0"/>
        <w:spacing w:before="100" w:beforeAutospacing="1" w:after="100" w:afterAutospacing="1" w:line="240" w:lineRule="auto"/>
        <w:jc w:val="both"/>
      </w:pPr>
      <w:r w:rsidRPr="00645C5E">
        <w:rPr>
          <w:noProof/>
        </w:rPr>
        <w:t>b)</w:t>
      </w:r>
      <w:r w:rsidRPr="00645C5E">
        <w:tab/>
        <w:t>noteikumi un kārtība, kas vajadzīgi 2. pantā minēto ieņēmumu kontrolēšanai un uzraudzībai, tostarp attiecīgas ziņošanas prasības.</w:t>
      </w:r>
    </w:p>
    <w:p w14:paraId="2FA4995A" w14:textId="77777777" w:rsidR="00E55504" w:rsidRPr="00645C5E" w:rsidRDefault="00E55504" w:rsidP="004959B9">
      <w:pPr>
        <w:pStyle w:val="Point0"/>
        <w:spacing w:before="100" w:beforeAutospacing="1" w:after="100" w:afterAutospacing="1" w:line="240" w:lineRule="auto"/>
        <w:jc w:val="center"/>
      </w:pPr>
      <w:r w:rsidRPr="00645C5E">
        <w:t>10. pants</w:t>
      </w:r>
      <w:r w:rsidR="00FE3971" w:rsidRPr="00645C5E">
        <w:br/>
      </w:r>
      <w:r w:rsidRPr="00645C5E">
        <w:t>Nobeiguma un pārejas noteikumi</w:t>
      </w:r>
    </w:p>
    <w:p w14:paraId="2FA4995B" w14:textId="77777777" w:rsidR="00E55504" w:rsidRPr="00645C5E" w:rsidRDefault="00E55504" w:rsidP="00902EBB">
      <w:pPr>
        <w:pStyle w:val="Point0"/>
        <w:spacing w:before="100" w:beforeAutospacing="1" w:after="100" w:afterAutospacing="1" w:line="240" w:lineRule="auto"/>
        <w:jc w:val="both"/>
        <w:rPr>
          <w:noProof/>
        </w:rPr>
      </w:pPr>
      <w:r w:rsidRPr="00645C5E">
        <w:t>1.</w:t>
      </w:r>
      <w:r w:rsidRPr="00645C5E">
        <w:tab/>
        <w:t xml:space="preserve">Ievērojot 2. punktu, atceļ Lēmumu 2007/436/EK, </w:t>
      </w:r>
      <w:r w:rsidRPr="00645C5E">
        <w:rPr>
          <w:i/>
          <w:iCs/>
        </w:rPr>
        <w:t>Euratom</w:t>
      </w:r>
      <w:r w:rsidRPr="00645C5E">
        <w:t>. Visas atsauces uz Padomes Lēmumu </w:t>
      </w:r>
      <w:r w:rsidR="00C731C2" w:rsidRPr="00645C5E">
        <w:rPr>
          <w:noProof/>
        </w:rPr>
        <w:t xml:space="preserve">70/243/ECSC, EEK, </w:t>
      </w:r>
      <w:r w:rsidR="00C731C2" w:rsidRPr="00645C5E">
        <w:rPr>
          <w:i/>
          <w:iCs/>
          <w:noProof/>
        </w:rPr>
        <w:t>Euratom</w:t>
      </w:r>
      <w:r w:rsidRPr="00645C5E">
        <w:t> </w:t>
      </w:r>
      <w:r w:rsidRPr="00645C5E">
        <w:rPr>
          <w:rStyle w:val="FootnoteReference"/>
          <w:bCs/>
          <w:noProof/>
        </w:rPr>
        <w:footnoteReference w:id="5"/>
      </w:r>
      <w:r w:rsidRPr="00645C5E">
        <w:t xml:space="preserve">, Padomes Lēmumu 85/257/EEK, </w:t>
      </w:r>
      <w:r w:rsidRPr="00645C5E">
        <w:rPr>
          <w:i/>
          <w:iCs/>
        </w:rPr>
        <w:t>Euratom</w:t>
      </w:r>
      <w:r w:rsidRPr="00645C5E">
        <w:t> </w:t>
      </w:r>
      <w:r w:rsidRPr="00645C5E">
        <w:rPr>
          <w:rStyle w:val="FootnoteReference"/>
          <w:bCs/>
          <w:noProof/>
        </w:rPr>
        <w:footnoteReference w:id="6"/>
      </w:r>
      <w:r w:rsidRPr="00645C5E">
        <w:t xml:space="preserve">, Padomes Lēmumu 88/376/EEK, </w:t>
      </w:r>
      <w:r w:rsidRPr="00645C5E">
        <w:rPr>
          <w:i/>
          <w:iCs/>
        </w:rPr>
        <w:t>Euratom </w:t>
      </w:r>
      <w:r w:rsidRPr="00645C5E">
        <w:rPr>
          <w:rStyle w:val="FootnoteReference"/>
          <w:bCs/>
          <w:noProof/>
        </w:rPr>
        <w:footnoteReference w:id="7"/>
      </w:r>
      <w:r w:rsidRPr="00645C5E">
        <w:t xml:space="preserve">, Padomes Lēmumu 94/728/EK, </w:t>
      </w:r>
      <w:r w:rsidRPr="00645C5E">
        <w:rPr>
          <w:i/>
          <w:iCs/>
        </w:rPr>
        <w:t>Euratom</w:t>
      </w:r>
      <w:r w:rsidRPr="00645C5E">
        <w:t> </w:t>
      </w:r>
      <w:r w:rsidRPr="00645C5E">
        <w:rPr>
          <w:rStyle w:val="FootnoteReference"/>
          <w:bCs/>
          <w:noProof/>
        </w:rPr>
        <w:footnoteReference w:id="8"/>
      </w:r>
      <w:r w:rsidRPr="00645C5E">
        <w:t xml:space="preserve">, Padomes Lēmumu 2000/597/EK, </w:t>
      </w:r>
      <w:r w:rsidRPr="00645C5E">
        <w:rPr>
          <w:i/>
          <w:iCs/>
        </w:rPr>
        <w:t>Euratom</w:t>
      </w:r>
      <w:r w:rsidRPr="00645C5E">
        <w:t> </w:t>
      </w:r>
      <w:r w:rsidRPr="00645C5E">
        <w:rPr>
          <w:rStyle w:val="FootnoteReference"/>
          <w:bCs/>
          <w:noProof/>
        </w:rPr>
        <w:footnoteReference w:id="9"/>
      </w:r>
      <w:r w:rsidRPr="00645C5E">
        <w:t xml:space="preserve"> vai Lēmumu 2007/436/EK, </w:t>
      </w:r>
      <w:r w:rsidRPr="00645C5E">
        <w:rPr>
          <w:i/>
          <w:iCs/>
        </w:rPr>
        <w:t xml:space="preserve">Euratom </w:t>
      </w:r>
      <w:r w:rsidRPr="00645C5E">
        <w:t>uzskata par atsaucēm uz šo lēmumu</w:t>
      </w:r>
      <w:r w:rsidR="002D622B" w:rsidRPr="00645C5E">
        <w:t>,</w:t>
      </w:r>
      <w:r w:rsidRPr="00645C5E">
        <w:t xml:space="preserve"> un</w:t>
      </w:r>
      <w:r w:rsidR="002D622B" w:rsidRPr="00645C5E">
        <w:t xml:space="preserve"> tās</w:t>
      </w:r>
      <w:r w:rsidRPr="00645C5E">
        <w:t xml:space="preserve"> lasa saskaņā ar šā lēmuma pielikumā iekļauto atbilstības tabulu.</w:t>
      </w:r>
    </w:p>
    <w:p w14:paraId="2FA4995C" w14:textId="77777777" w:rsidR="00A961FE" w:rsidRPr="00645C5E" w:rsidRDefault="00E55504" w:rsidP="00902EBB">
      <w:pPr>
        <w:pStyle w:val="Point0"/>
        <w:spacing w:before="100" w:beforeAutospacing="1" w:after="100" w:afterAutospacing="1" w:line="240" w:lineRule="auto"/>
        <w:jc w:val="both"/>
      </w:pPr>
      <w:r w:rsidRPr="00645C5E">
        <w:t>2.</w:t>
      </w:r>
      <w:r w:rsidRPr="00645C5E">
        <w:tab/>
        <w:t xml:space="preserve">Lēmumu 94/728/EK, </w:t>
      </w:r>
      <w:r w:rsidRPr="00645C5E">
        <w:rPr>
          <w:i/>
          <w:iCs/>
        </w:rPr>
        <w:t>Euratom</w:t>
      </w:r>
      <w:r w:rsidRPr="00645C5E">
        <w:t xml:space="preserve">, 2000/597/EK, </w:t>
      </w:r>
      <w:r w:rsidRPr="00645C5E">
        <w:rPr>
          <w:i/>
          <w:iCs/>
        </w:rPr>
        <w:t>Euratom</w:t>
      </w:r>
      <w:r w:rsidRPr="00645C5E">
        <w:t xml:space="preserve"> un 2007/436/EK, </w:t>
      </w:r>
      <w:r w:rsidRPr="00645C5E">
        <w:rPr>
          <w:i/>
          <w:iCs/>
        </w:rPr>
        <w:t>Euratom</w:t>
      </w:r>
      <w:r w:rsidRPr="00645C5E">
        <w:t xml:space="preserve"> 2., 4. un 5. pantu turpina piemērot, lai aprēķinātu un koriģētu ieņēmumus, kuri noteikti, piemērojot vienotu likmi PVN bāzei, kas noteikta saskaņotā veidā un ierobežota starp 50 % un 55 % no katras dalībvalsts NKP vai NKI, atkarībā no attiecīgā gada, un lai aprēķinātu budžeta nelīdzsvarotības korekciju, kas Apvienotajai Karalistei piešķirta </w:t>
      </w:r>
      <w:r w:rsidR="00FE5EB8" w:rsidRPr="00645C5E">
        <w:t xml:space="preserve">no 1995. gada </w:t>
      </w:r>
      <w:r w:rsidRPr="00645C5E">
        <w:t>līdz 2013. gadam.</w:t>
      </w:r>
    </w:p>
    <w:p w14:paraId="2FA4995D" w14:textId="77777777" w:rsidR="00E55504" w:rsidRPr="00645C5E" w:rsidRDefault="00E55504" w:rsidP="00902EBB">
      <w:pPr>
        <w:pStyle w:val="Point0"/>
        <w:spacing w:before="100" w:beforeAutospacing="1" w:after="100" w:afterAutospacing="1" w:line="240" w:lineRule="auto"/>
        <w:jc w:val="both"/>
        <w:rPr>
          <w:noProof/>
        </w:rPr>
      </w:pPr>
      <w:r w:rsidRPr="00645C5E">
        <w:t>3.</w:t>
      </w:r>
      <w:r w:rsidRPr="00645C5E">
        <w:tab/>
        <w:t>Arī turpmāk dalībvalstis iekasēšanas izmaksu veidā patur 10 % no summām, kas minētas 2. panta 1. punkta a) apakšpunktā un kas dalībvalstīm saskaņā ar piemērojamiem Savienības noteikumiem bija jānodod līdz 2001. gada 28. februārim.</w:t>
      </w:r>
    </w:p>
    <w:p w14:paraId="2FA4995E" w14:textId="77777777" w:rsidR="00E55504" w:rsidRPr="00645C5E" w:rsidRDefault="00E55504" w:rsidP="00902EBB">
      <w:pPr>
        <w:pStyle w:val="Text1"/>
        <w:spacing w:before="100" w:beforeAutospacing="1" w:after="100" w:afterAutospacing="1" w:line="240" w:lineRule="auto"/>
        <w:jc w:val="both"/>
        <w:rPr>
          <w:noProof/>
        </w:rPr>
      </w:pPr>
      <w:r w:rsidRPr="00645C5E">
        <w:t>Arī turpmāk dalībvalstis iekasēšanas izmaksu veidā patur 25 % no summām, kas minētas 2. panta 1. punkta a) apakšpunktā un kas dalībvalstīm saskaņā ar piemērojamiem Savienības noteikumiem bija jānodod laikposmā no 2001. gada 1. marta līdz 2014. gada 28. februārim.</w:t>
      </w:r>
    </w:p>
    <w:p w14:paraId="2FA4995F" w14:textId="77777777" w:rsidR="00E55504" w:rsidRPr="00645C5E" w:rsidRDefault="00E55504" w:rsidP="00902EBB">
      <w:pPr>
        <w:pStyle w:val="Point0"/>
        <w:spacing w:before="100" w:beforeAutospacing="1" w:after="100" w:afterAutospacing="1" w:line="240" w:lineRule="auto"/>
        <w:jc w:val="both"/>
        <w:rPr>
          <w:noProof/>
        </w:rPr>
      </w:pPr>
      <w:r w:rsidRPr="00645C5E">
        <w:t>4.</w:t>
      </w:r>
      <w:r w:rsidRPr="00645C5E">
        <w:tab/>
        <w:t>Šajā lēmumā visas naudas summas tiek izteiktas euro.</w:t>
      </w:r>
    </w:p>
    <w:p w14:paraId="2FA49960" w14:textId="77777777" w:rsidR="00E55504" w:rsidRPr="00645C5E" w:rsidRDefault="00E55504" w:rsidP="004959B9">
      <w:pPr>
        <w:pStyle w:val="Titrearticle"/>
        <w:spacing w:before="100" w:beforeAutospacing="1" w:after="100" w:afterAutospacing="1" w:line="240" w:lineRule="auto"/>
      </w:pPr>
      <w:r w:rsidRPr="00645C5E">
        <w:t>11. pants</w:t>
      </w:r>
      <w:r w:rsidR="00FE3971" w:rsidRPr="00645C5E">
        <w:br/>
      </w:r>
      <w:r w:rsidRPr="00645C5E">
        <w:t>Stāšanās spēkā</w:t>
      </w:r>
    </w:p>
    <w:p w14:paraId="2FA49961" w14:textId="77777777" w:rsidR="00E55504" w:rsidRPr="00645C5E" w:rsidRDefault="00E55504" w:rsidP="00902EBB">
      <w:pPr>
        <w:spacing w:before="100" w:beforeAutospacing="1" w:after="100" w:afterAutospacing="1" w:line="240" w:lineRule="auto"/>
        <w:jc w:val="both"/>
        <w:rPr>
          <w:noProof/>
        </w:rPr>
      </w:pPr>
      <w:r w:rsidRPr="00645C5E">
        <w:t xml:space="preserve">Padomes </w:t>
      </w:r>
      <w:r w:rsidR="002D622B" w:rsidRPr="00645C5E">
        <w:t>Ģ</w:t>
      </w:r>
      <w:r w:rsidRPr="00645C5E">
        <w:t>enerālsekretārs šo lēmumu dara zināmu dalībvalstīm.</w:t>
      </w:r>
    </w:p>
    <w:p w14:paraId="2FA49962" w14:textId="77777777" w:rsidR="00E55504" w:rsidRPr="00645C5E" w:rsidRDefault="00E55504" w:rsidP="00902EBB">
      <w:pPr>
        <w:spacing w:before="100" w:beforeAutospacing="1" w:after="100" w:afterAutospacing="1" w:line="240" w:lineRule="auto"/>
        <w:jc w:val="both"/>
        <w:rPr>
          <w:noProof/>
        </w:rPr>
      </w:pPr>
      <w:r w:rsidRPr="00645C5E">
        <w:t xml:space="preserve">Dalībvalstis Padomes </w:t>
      </w:r>
      <w:r w:rsidR="002D622B" w:rsidRPr="00645C5E">
        <w:t>Ģ</w:t>
      </w:r>
      <w:r w:rsidRPr="00645C5E">
        <w:t>enerālsekretāram nekavējoties paziņo par to procedūru pabeigšanu, kas saskaņā ar to attiecīgajām konstitucionālajām prasībām ir vajadzīgas, lai pieņemtu šo lēmumu.</w:t>
      </w:r>
    </w:p>
    <w:p w14:paraId="2FA49963" w14:textId="77777777" w:rsidR="00E55504" w:rsidRPr="00645C5E" w:rsidRDefault="00E55504" w:rsidP="00902EBB">
      <w:pPr>
        <w:spacing w:before="100" w:beforeAutospacing="1" w:after="100" w:afterAutospacing="1" w:line="240" w:lineRule="auto"/>
        <w:jc w:val="both"/>
        <w:rPr>
          <w:noProof/>
        </w:rPr>
      </w:pPr>
      <w:r w:rsidRPr="00645C5E">
        <w:t>Šis lēmums stājas spēkā nākamā mēneša pirmajā dienā pēc tam, kad saņemts pēdējais no otrajā daļā minētajiem paziņojumiem.</w:t>
      </w:r>
    </w:p>
    <w:p w14:paraId="2FA49964" w14:textId="77777777" w:rsidR="00A6253C" w:rsidRPr="00645C5E" w:rsidRDefault="00E55504" w:rsidP="00902EBB">
      <w:pPr>
        <w:spacing w:before="100" w:beforeAutospacing="1" w:after="100" w:afterAutospacing="1" w:line="240" w:lineRule="auto"/>
        <w:jc w:val="both"/>
      </w:pPr>
      <w:r w:rsidRPr="00645C5E">
        <w:t>Šo lēmumu piemēro no 2014. gada 1. janvāra.</w:t>
      </w:r>
    </w:p>
    <w:p w14:paraId="2FA49965" w14:textId="77777777" w:rsidR="00E55504" w:rsidRPr="00645C5E" w:rsidRDefault="00E55504" w:rsidP="004959B9">
      <w:pPr>
        <w:spacing w:before="100" w:beforeAutospacing="1" w:after="100" w:afterAutospacing="1" w:line="240" w:lineRule="auto"/>
        <w:jc w:val="center"/>
      </w:pPr>
      <w:r w:rsidRPr="00645C5E">
        <w:t>12. pants</w:t>
      </w:r>
      <w:r w:rsidR="00FE3971" w:rsidRPr="00645C5E">
        <w:br/>
      </w:r>
      <w:r w:rsidRPr="00645C5E">
        <w:t>Publicēšana</w:t>
      </w:r>
    </w:p>
    <w:p w14:paraId="2FA49966" w14:textId="77777777" w:rsidR="00E55504" w:rsidRPr="00645C5E" w:rsidRDefault="00E55504" w:rsidP="00902EBB">
      <w:pPr>
        <w:spacing w:before="100" w:beforeAutospacing="1" w:after="100" w:afterAutospacing="1" w:line="240" w:lineRule="auto"/>
        <w:jc w:val="both"/>
        <w:rPr>
          <w:noProof/>
        </w:rPr>
      </w:pPr>
      <w:r w:rsidRPr="00645C5E">
        <w:t xml:space="preserve">Šo lēmumu publicē </w:t>
      </w:r>
      <w:r w:rsidRPr="00645C5E">
        <w:rPr>
          <w:i/>
        </w:rPr>
        <w:t>Eiropas Savienības Oficiālajā Vēstnesī</w:t>
      </w:r>
      <w:r w:rsidRPr="00645C5E">
        <w:t>.,</w:t>
      </w:r>
    </w:p>
    <w:p w14:paraId="2FA49967" w14:textId="77777777" w:rsidR="00A961FE" w:rsidRPr="00645C5E" w:rsidRDefault="00E55504" w:rsidP="00902EBB">
      <w:pPr>
        <w:pStyle w:val="Institutionquisigne"/>
        <w:spacing w:before="100" w:beforeAutospacing="1" w:after="100" w:afterAutospacing="1" w:line="240" w:lineRule="auto"/>
        <w:jc w:val="both"/>
      </w:pPr>
      <w:r w:rsidRPr="00645C5E">
        <w:tab/>
      </w:r>
    </w:p>
    <w:p w14:paraId="2FA49968" w14:textId="77777777" w:rsidR="00E55504" w:rsidRPr="00645C5E" w:rsidRDefault="00E55504" w:rsidP="00902EBB">
      <w:pPr>
        <w:pStyle w:val="Institutionquisigne"/>
        <w:spacing w:before="100" w:beforeAutospacing="1" w:after="100" w:afterAutospacing="1" w:line="240" w:lineRule="auto"/>
        <w:jc w:val="both"/>
        <w:rPr>
          <w:iCs/>
          <w:noProof/>
        </w:rPr>
      </w:pPr>
      <w:r w:rsidRPr="00645C5E">
        <w:rPr>
          <w:noProof/>
        </w:rPr>
        <w:t>Padomes vārdā –</w:t>
      </w:r>
    </w:p>
    <w:p w14:paraId="2FA49969" w14:textId="77777777" w:rsidR="00E55504" w:rsidRPr="00645C5E" w:rsidRDefault="00E55504" w:rsidP="00902EBB">
      <w:pPr>
        <w:pStyle w:val="Personnequisigne"/>
        <w:spacing w:before="100" w:beforeAutospacing="1" w:after="100" w:afterAutospacing="1" w:line="240" w:lineRule="auto"/>
        <w:jc w:val="both"/>
        <w:rPr>
          <w:noProof/>
        </w:rPr>
      </w:pPr>
      <w:r w:rsidRPr="00645C5E">
        <w:tab/>
      </w:r>
      <w:r w:rsidRPr="00645C5E">
        <w:rPr>
          <w:noProof/>
        </w:rPr>
        <w:t>priekšsēdētājs</w:t>
      </w:r>
    </w:p>
    <w:p w14:paraId="2FA4996A" w14:textId="77777777" w:rsidR="00A6253C" w:rsidRPr="00645C5E" w:rsidRDefault="00A6253C" w:rsidP="00902EBB">
      <w:pPr>
        <w:pStyle w:val="Annexetitre"/>
        <w:spacing w:before="100" w:beforeAutospacing="1" w:after="100" w:afterAutospacing="1" w:line="240" w:lineRule="auto"/>
        <w:jc w:val="both"/>
        <w:rPr>
          <w:lang w:bidi="lv-LV"/>
        </w:rPr>
      </w:pPr>
    </w:p>
    <w:p w14:paraId="2FA4996B" w14:textId="77777777" w:rsidR="00A961FE" w:rsidRPr="00645C5E" w:rsidRDefault="00A961FE" w:rsidP="00902EBB">
      <w:pPr>
        <w:pStyle w:val="Annexetitre"/>
        <w:spacing w:before="100" w:beforeAutospacing="1" w:after="100" w:afterAutospacing="1" w:line="240" w:lineRule="auto"/>
        <w:jc w:val="both"/>
        <w:rPr>
          <w:lang w:bidi="lv-LV"/>
        </w:rPr>
      </w:pPr>
    </w:p>
    <w:p w14:paraId="2FA4996C" w14:textId="77777777" w:rsidR="00A961FE" w:rsidRDefault="00A961FE" w:rsidP="00902EBB">
      <w:pPr>
        <w:pStyle w:val="Annexetitre"/>
        <w:spacing w:before="100" w:beforeAutospacing="1" w:after="100" w:afterAutospacing="1" w:line="240" w:lineRule="auto"/>
        <w:jc w:val="both"/>
        <w:rPr>
          <w:lang w:bidi="lv-LV"/>
        </w:rPr>
      </w:pPr>
    </w:p>
    <w:p w14:paraId="2FA4996D" w14:textId="77777777" w:rsidR="004959B9" w:rsidRPr="004959B9" w:rsidRDefault="004959B9" w:rsidP="004959B9">
      <w:pPr>
        <w:rPr>
          <w:lang w:bidi="lv-LV"/>
        </w:rPr>
      </w:pPr>
    </w:p>
    <w:p w14:paraId="2FA4996E" w14:textId="77777777" w:rsidR="00FE211D" w:rsidRPr="00645C5E" w:rsidRDefault="00CF2F67" w:rsidP="004959B9">
      <w:pPr>
        <w:pStyle w:val="Annexetitre"/>
        <w:spacing w:before="100" w:beforeAutospacing="1" w:after="100" w:afterAutospacing="1" w:line="240" w:lineRule="auto"/>
        <w:rPr>
          <w:lang w:bidi="lv-LV"/>
        </w:rPr>
      </w:pPr>
      <w:r w:rsidRPr="00645C5E">
        <w:rPr>
          <w:lang w:bidi="lv-LV"/>
        </w:rPr>
        <w:t>PIELIKUMS</w:t>
      </w:r>
    </w:p>
    <w:p w14:paraId="2FA4996F" w14:textId="77777777" w:rsidR="00FE211D" w:rsidRPr="00645C5E" w:rsidRDefault="00FE211D" w:rsidP="004959B9">
      <w:pPr>
        <w:spacing w:before="100" w:beforeAutospacing="1" w:after="100" w:afterAutospacing="1" w:line="240" w:lineRule="auto"/>
        <w:jc w:val="center"/>
        <w:rPr>
          <w:b/>
          <w:lang w:bidi="lv-LV"/>
        </w:rPr>
      </w:pPr>
      <w:r w:rsidRPr="00645C5E">
        <w:rPr>
          <w:b/>
          <w:lang w:bidi="lv-LV"/>
        </w:rPr>
        <w:t>Atbilstības tabula</w:t>
      </w:r>
    </w:p>
    <w:tbl>
      <w:tblPr>
        <w:tblW w:w="5000" w:type="pct"/>
        <w:tblBorders>
          <w:top w:val="single" w:sz="4" w:space="0" w:color="auto"/>
          <w:bottom w:val="single" w:sz="4" w:space="0" w:color="auto"/>
        </w:tblBorders>
        <w:tblLook w:val="0000" w:firstRow="0" w:lastRow="0" w:firstColumn="0" w:lastColumn="0" w:noHBand="0" w:noVBand="0"/>
      </w:tblPr>
      <w:tblGrid>
        <w:gridCol w:w="5087"/>
        <w:gridCol w:w="4552"/>
      </w:tblGrid>
      <w:tr w:rsidR="00FE211D" w:rsidRPr="00645C5E" w14:paraId="2FA49972" w14:textId="77777777" w:rsidTr="00CF2F67">
        <w:trPr>
          <w:tblHeader/>
        </w:trPr>
        <w:tc>
          <w:tcPr>
            <w:tcW w:w="2639" w:type="pct"/>
            <w:tcBorders>
              <w:top w:val="single" w:sz="4" w:space="0" w:color="auto"/>
              <w:bottom w:val="single" w:sz="4" w:space="0" w:color="auto"/>
              <w:right w:val="single" w:sz="4" w:space="0" w:color="auto"/>
            </w:tcBorders>
          </w:tcPr>
          <w:p w14:paraId="2FA49970" w14:textId="77777777" w:rsidR="00FE211D" w:rsidRPr="00645C5E" w:rsidRDefault="00FE211D" w:rsidP="00902EBB">
            <w:pPr>
              <w:spacing w:before="100" w:beforeAutospacing="1" w:after="100" w:afterAutospacing="1" w:line="240" w:lineRule="auto"/>
              <w:jc w:val="both"/>
              <w:rPr>
                <w:lang w:bidi="lv-LV"/>
              </w:rPr>
            </w:pPr>
            <w:r w:rsidRPr="00645C5E">
              <w:rPr>
                <w:lang w:bidi="lv-LV"/>
              </w:rPr>
              <w:t>Lēmums 2007/436/EK</w:t>
            </w:r>
          </w:p>
        </w:tc>
        <w:tc>
          <w:tcPr>
            <w:tcW w:w="2361" w:type="pct"/>
            <w:tcBorders>
              <w:top w:val="single" w:sz="4" w:space="0" w:color="auto"/>
              <w:left w:val="single" w:sz="4" w:space="0" w:color="auto"/>
              <w:bottom w:val="single" w:sz="4" w:space="0" w:color="auto"/>
            </w:tcBorders>
          </w:tcPr>
          <w:p w14:paraId="2FA49971" w14:textId="77777777" w:rsidR="00FE211D" w:rsidRPr="00645C5E" w:rsidRDefault="00FE211D" w:rsidP="00902EBB">
            <w:pPr>
              <w:spacing w:before="100" w:beforeAutospacing="1" w:after="100" w:afterAutospacing="1" w:line="240" w:lineRule="auto"/>
              <w:jc w:val="both"/>
              <w:rPr>
                <w:lang w:bidi="lv-LV"/>
              </w:rPr>
            </w:pPr>
            <w:r w:rsidRPr="00645C5E">
              <w:rPr>
                <w:lang w:bidi="lv-LV"/>
              </w:rPr>
              <w:t>Šis lēmums</w:t>
            </w:r>
          </w:p>
        </w:tc>
      </w:tr>
      <w:tr w:rsidR="00FE211D" w:rsidRPr="00645C5E" w14:paraId="2FA49975" w14:textId="77777777" w:rsidTr="00CF2F67">
        <w:tc>
          <w:tcPr>
            <w:tcW w:w="2639" w:type="pct"/>
            <w:tcBorders>
              <w:top w:val="single" w:sz="4" w:space="0" w:color="auto"/>
              <w:right w:val="single" w:sz="4" w:space="0" w:color="auto"/>
            </w:tcBorders>
          </w:tcPr>
          <w:p w14:paraId="2FA49973" w14:textId="77777777" w:rsidR="00FE211D" w:rsidRPr="00645C5E" w:rsidRDefault="00FE211D" w:rsidP="00902EBB">
            <w:pPr>
              <w:spacing w:before="100" w:beforeAutospacing="1" w:after="100" w:afterAutospacing="1" w:line="240" w:lineRule="auto"/>
              <w:jc w:val="both"/>
              <w:rPr>
                <w:lang w:bidi="lv-LV"/>
              </w:rPr>
            </w:pPr>
            <w:r w:rsidRPr="00645C5E">
              <w:rPr>
                <w:lang w:bidi="lv-LV"/>
              </w:rPr>
              <w:t>1. pants</w:t>
            </w:r>
          </w:p>
        </w:tc>
        <w:tc>
          <w:tcPr>
            <w:tcW w:w="2361" w:type="pct"/>
            <w:tcBorders>
              <w:top w:val="single" w:sz="4" w:space="0" w:color="auto"/>
              <w:left w:val="single" w:sz="4" w:space="0" w:color="auto"/>
            </w:tcBorders>
          </w:tcPr>
          <w:p w14:paraId="2FA49974" w14:textId="77777777" w:rsidR="00FE211D" w:rsidRPr="00645C5E" w:rsidRDefault="00FE211D" w:rsidP="00902EBB">
            <w:pPr>
              <w:spacing w:before="100" w:beforeAutospacing="1" w:after="100" w:afterAutospacing="1" w:line="240" w:lineRule="auto"/>
              <w:jc w:val="both"/>
              <w:rPr>
                <w:lang w:bidi="lv-LV"/>
              </w:rPr>
            </w:pPr>
            <w:r w:rsidRPr="00645C5E">
              <w:rPr>
                <w:lang w:bidi="lv-LV"/>
              </w:rPr>
              <w:t>1. pants</w:t>
            </w:r>
          </w:p>
        </w:tc>
      </w:tr>
      <w:tr w:rsidR="00FE211D" w:rsidRPr="00645C5E" w14:paraId="2FA49978" w14:textId="77777777" w:rsidTr="00CF2F67">
        <w:tc>
          <w:tcPr>
            <w:tcW w:w="2639" w:type="pct"/>
            <w:tcBorders>
              <w:right w:val="single" w:sz="4" w:space="0" w:color="auto"/>
            </w:tcBorders>
          </w:tcPr>
          <w:p w14:paraId="2FA49976" w14:textId="77777777" w:rsidR="00FE211D" w:rsidRPr="00645C5E" w:rsidRDefault="00FE211D" w:rsidP="00902EBB">
            <w:pPr>
              <w:spacing w:before="100" w:beforeAutospacing="1" w:after="100" w:afterAutospacing="1" w:line="240" w:lineRule="auto"/>
              <w:jc w:val="both"/>
              <w:rPr>
                <w:lang w:bidi="lv-LV"/>
              </w:rPr>
            </w:pPr>
            <w:r w:rsidRPr="00645C5E">
              <w:rPr>
                <w:lang w:bidi="lv-LV"/>
              </w:rPr>
              <w:t>2. pants</w:t>
            </w:r>
          </w:p>
        </w:tc>
        <w:tc>
          <w:tcPr>
            <w:tcW w:w="2361" w:type="pct"/>
            <w:tcBorders>
              <w:left w:val="single" w:sz="4" w:space="0" w:color="auto"/>
            </w:tcBorders>
          </w:tcPr>
          <w:p w14:paraId="2FA49977" w14:textId="77777777" w:rsidR="00FE211D" w:rsidRPr="00645C5E" w:rsidRDefault="00FE211D" w:rsidP="00902EBB">
            <w:pPr>
              <w:spacing w:before="100" w:beforeAutospacing="1" w:after="100" w:afterAutospacing="1" w:line="240" w:lineRule="auto"/>
              <w:jc w:val="both"/>
              <w:rPr>
                <w:lang w:bidi="lv-LV"/>
              </w:rPr>
            </w:pPr>
            <w:r w:rsidRPr="00645C5E">
              <w:rPr>
                <w:lang w:bidi="lv-LV"/>
              </w:rPr>
              <w:t>2. pants</w:t>
            </w:r>
          </w:p>
        </w:tc>
      </w:tr>
      <w:tr w:rsidR="00FE211D" w:rsidRPr="00645C5E" w14:paraId="2FA4997B" w14:textId="77777777" w:rsidTr="00CF2F67">
        <w:tc>
          <w:tcPr>
            <w:tcW w:w="2639" w:type="pct"/>
            <w:tcBorders>
              <w:right w:val="single" w:sz="4" w:space="0" w:color="auto"/>
            </w:tcBorders>
          </w:tcPr>
          <w:p w14:paraId="2FA49979"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1. punkts</w:t>
            </w:r>
          </w:p>
        </w:tc>
        <w:tc>
          <w:tcPr>
            <w:tcW w:w="2361" w:type="pct"/>
            <w:tcBorders>
              <w:left w:val="single" w:sz="4" w:space="0" w:color="auto"/>
            </w:tcBorders>
          </w:tcPr>
          <w:p w14:paraId="2FA4997A"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1. punkts</w:t>
            </w:r>
          </w:p>
        </w:tc>
      </w:tr>
      <w:tr w:rsidR="00FE211D" w:rsidRPr="00645C5E" w14:paraId="2FA4997E" w14:textId="77777777" w:rsidTr="00CF2F67">
        <w:tc>
          <w:tcPr>
            <w:tcW w:w="2639" w:type="pct"/>
            <w:tcBorders>
              <w:right w:val="single" w:sz="4" w:space="0" w:color="auto"/>
            </w:tcBorders>
          </w:tcPr>
          <w:p w14:paraId="2FA4997C"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2. punkts</w:t>
            </w:r>
          </w:p>
        </w:tc>
        <w:tc>
          <w:tcPr>
            <w:tcW w:w="2361" w:type="pct"/>
            <w:tcBorders>
              <w:left w:val="single" w:sz="4" w:space="0" w:color="auto"/>
            </w:tcBorders>
          </w:tcPr>
          <w:p w14:paraId="2FA4997D"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2. punkts</w:t>
            </w:r>
          </w:p>
        </w:tc>
      </w:tr>
      <w:tr w:rsidR="00FE211D" w:rsidRPr="00645C5E" w14:paraId="2FA49981" w14:textId="77777777" w:rsidTr="00CF2F67">
        <w:tc>
          <w:tcPr>
            <w:tcW w:w="2639" w:type="pct"/>
            <w:tcBorders>
              <w:right w:val="single" w:sz="4" w:space="0" w:color="auto"/>
            </w:tcBorders>
          </w:tcPr>
          <w:p w14:paraId="2FA4997F" w14:textId="77777777" w:rsidR="00FE211D" w:rsidRPr="00645C5E" w:rsidRDefault="00FE211D" w:rsidP="00902EBB">
            <w:pPr>
              <w:spacing w:before="100" w:beforeAutospacing="1" w:after="100" w:afterAutospacing="1" w:line="240" w:lineRule="auto"/>
              <w:jc w:val="both"/>
              <w:rPr>
                <w:lang w:bidi="lv-LV"/>
              </w:rPr>
            </w:pPr>
            <w:r w:rsidRPr="00645C5E">
              <w:rPr>
                <w:lang w:bidi="lv-LV"/>
              </w:rPr>
              <w:t>-</w:t>
            </w:r>
          </w:p>
        </w:tc>
        <w:tc>
          <w:tcPr>
            <w:tcW w:w="2361" w:type="pct"/>
            <w:tcBorders>
              <w:left w:val="single" w:sz="4" w:space="0" w:color="auto"/>
            </w:tcBorders>
          </w:tcPr>
          <w:p w14:paraId="2FA49980"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3. punkts</w:t>
            </w:r>
          </w:p>
        </w:tc>
      </w:tr>
      <w:tr w:rsidR="00FE211D" w:rsidRPr="00645C5E" w14:paraId="2FA49984" w14:textId="77777777" w:rsidTr="00CF2F67">
        <w:tc>
          <w:tcPr>
            <w:tcW w:w="2639" w:type="pct"/>
            <w:tcBorders>
              <w:right w:val="single" w:sz="4" w:space="0" w:color="auto"/>
            </w:tcBorders>
          </w:tcPr>
          <w:p w14:paraId="2FA49982"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3. punkts</w:t>
            </w:r>
          </w:p>
        </w:tc>
        <w:tc>
          <w:tcPr>
            <w:tcW w:w="2361" w:type="pct"/>
            <w:tcBorders>
              <w:left w:val="single" w:sz="4" w:space="0" w:color="auto"/>
            </w:tcBorders>
          </w:tcPr>
          <w:p w14:paraId="2FA49983" w14:textId="77777777" w:rsidR="00FE211D" w:rsidRPr="00645C5E" w:rsidRDefault="00FE211D" w:rsidP="00902EBB">
            <w:pPr>
              <w:spacing w:before="100" w:beforeAutospacing="1" w:after="100" w:afterAutospacing="1" w:line="240" w:lineRule="auto"/>
              <w:jc w:val="both"/>
              <w:rPr>
                <w:lang w:bidi="lv-LV"/>
              </w:rPr>
            </w:pPr>
            <w:r w:rsidRPr="00645C5E">
              <w:rPr>
                <w:lang w:bidi="lv-LV"/>
              </w:rPr>
              <w:t>3. panta 4. punkts</w:t>
            </w:r>
          </w:p>
        </w:tc>
      </w:tr>
      <w:tr w:rsidR="00FE211D" w:rsidRPr="00645C5E" w14:paraId="2FA49987" w14:textId="77777777" w:rsidTr="00CF2F67">
        <w:tc>
          <w:tcPr>
            <w:tcW w:w="2639" w:type="pct"/>
            <w:tcBorders>
              <w:right w:val="single" w:sz="4" w:space="0" w:color="auto"/>
            </w:tcBorders>
          </w:tcPr>
          <w:p w14:paraId="2FA49985"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1. punkta pirmā daļa</w:t>
            </w:r>
          </w:p>
        </w:tc>
        <w:tc>
          <w:tcPr>
            <w:tcW w:w="2361" w:type="pct"/>
            <w:tcBorders>
              <w:left w:val="single" w:sz="4" w:space="0" w:color="auto"/>
            </w:tcBorders>
          </w:tcPr>
          <w:p w14:paraId="2FA49986" w14:textId="77777777" w:rsidR="00FE211D" w:rsidRPr="00645C5E" w:rsidDel="000030D7" w:rsidRDefault="00FE211D" w:rsidP="00902EBB">
            <w:pPr>
              <w:spacing w:before="100" w:beforeAutospacing="1" w:after="100" w:afterAutospacing="1" w:line="240" w:lineRule="auto"/>
              <w:jc w:val="both"/>
              <w:rPr>
                <w:lang w:bidi="lv-LV"/>
              </w:rPr>
            </w:pPr>
            <w:r w:rsidRPr="00645C5E">
              <w:rPr>
                <w:lang w:bidi="lv-LV"/>
              </w:rPr>
              <w:t>4. panta pirmā daļa</w:t>
            </w:r>
          </w:p>
        </w:tc>
      </w:tr>
      <w:tr w:rsidR="00FE211D" w:rsidRPr="00645C5E" w14:paraId="2FA4998A" w14:textId="77777777" w:rsidTr="00CF2F67">
        <w:tc>
          <w:tcPr>
            <w:tcW w:w="2639" w:type="pct"/>
            <w:tcBorders>
              <w:right w:val="single" w:sz="4" w:space="0" w:color="auto"/>
            </w:tcBorders>
          </w:tcPr>
          <w:p w14:paraId="2FA49988"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1. punkta otrās daļas a) līdz e) apakšpunkts</w:t>
            </w:r>
          </w:p>
        </w:tc>
        <w:tc>
          <w:tcPr>
            <w:tcW w:w="2361" w:type="pct"/>
            <w:tcBorders>
              <w:left w:val="single" w:sz="4" w:space="0" w:color="auto"/>
            </w:tcBorders>
          </w:tcPr>
          <w:p w14:paraId="2FA49989"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otrās daļas a) līdz e) punkts</w:t>
            </w:r>
          </w:p>
        </w:tc>
      </w:tr>
      <w:tr w:rsidR="00FE211D" w:rsidRPr="00645C5E" w14:paraId="2FA4998D" w14:textId="77777777" w:rsidTr="00CF2F67">
        <w:tc>
          <w:tcPr>
            <w:tcW w:w="2639" w:type="pct"/>
            <w:tcBorders>
              <w:right w:val="single" w:sz="4" w:space="0" w:color="auto"/>
            </w:tcBorders>
          </w:tcPr>
          <w:p w14:paraId="2FA4998B"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1. punkta otrās daļas f) apakšpunkts</w:t>
            </w:r>
          </w:p>
        </w:tc>
        <w:tc>
          <w:tcPr>
            <w:tcW w:w="2361" w:type="pct"/>
            <w:tcBorders>
              <w:left w:val="single" w:sz="4" w:space="0" w:color="auto"/>
            </w:tcBorders>
          </w:tcPr>
          <w:p w14:paraId="2FA4998C" w14:textId="77777777" w:rsidR="00FE211D" w:rsidRPr="00645C5E" w:rsidDel="000030D7" w:rsidRDefault="00FE211D" w:rsidP="00902EBB">
            <w:pPr>
              <w:spacing w:before="100" w:beforeAutospacing="1" w:after="100" w:afterAutospacing="1" w:line="240" w:lineRule="auto"/>
              <w:jc w:val="both"/>
              <w:rPr>
                <w:lang w:bidi="lv-LV"/>
              </w:rPr>
            </w:pPr>
            <w:r w:rsidRPr="00645C5E">
              <w:rPr>
                <w:lang w:bidi="lv-LV"/>
              </w:rPr>
              <w:t>-</w:t>
            </w:r>
          </w:p>
        </w:tc>
      </w:tr>
      <w:tr w:rsidR="00FE211D" w:rsidRPr="00645C5E" w14:paraId="2FA49990" w14:textId="77777777" w:rsidTr="00CF2F67">
        <w:tc>
          <w:tcPr>
            <w:tcW w:w="2639" w:type="pct"/>
            <w:tcBorders>
              <w:right w:val="single" w:sz="4" w:space="0" w:color="auto"/>
            </w:tcBorders>
          </w:tcPr>
          <w:p w14:paraId="2FA4998E"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1. punkta otrās daļas g) apakšpunkts</w:t>
            </w:r>
          </w:p>
        </w:tc>
        <w:tc>
          <w:tcPr>
            <w:tcW w:w="2361" w:type="pct"/>
            <w:tcBorders>
              <w:left w:val="single" w:sz="4" w:space="0" w:color="auto"/>
            </w:tcBorders>
          </w:tcPr>
          <w:p w14:paraId="2FA4998F"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otrās daļas f) punkts</w:t>
            </w:r>
          </w:p>
        </w:tc>
      </w:tr>
      <w:tr w:rsidR="00FE211D" w:rsidRPr="00645C5E" w14:paraId="2FA49993" w14:textId="77777777" w:rsidTr="00CF2F67">
        <w:tc>
          <w:tcPr>
            <w:tcW w:w="2639" w:type="pct"/>
            <w:tcBorders>
              <w:right w:val="single" w:sz="4" w:space="0" w:color="auto"/>
            </w:tcBorders>
          </w:tcPr>
          <w:p w14:paraId="2FA49991" w14:textId="77777777" w:rsidR="00FE211D" w:rsidRPr="00645C5E" w:rsidRDefault="00FE211D" w:rsidP="00902EBB">
            <w:pPr>
              <w:spacing w:before="100" w:beforeAutospacing="1" w:after="100" w:afterAutospacing="1" w:line="240" w:lineRule="auto"/>
              <w:jc w:val="both"/>
              <w:rPr>
                <w:lang w:bidi="lv-LV"/>
              </w:rPr>
            </w:pPr>
            <w:r w:rsidRPr="00645C5E">
              <w:rPr>
                <w:lang w:bidi="lv-LV"/>
              </w:rPr>
              <w:t>4. panta 2. punkts</w:t>
            </w:r>
          </w:p>
        </w:tc>
        <w:tc>
          <w:tcPr>
            <w:tcW w:w="2361" w:type="pct"/>
            <w:tcBorders>
              <w:left w:val="single" w:sz="4" w:space="0" w:color="auto"/>
            </w:tcBorders>
          </w:tcPr>
          <w:p w14:paraId="2FA49992" w14:textId="77777777" w:rsidR="00FE211D" w:rsidRPr="00645C5E" w:rsidRDefault="00FE211D" w:rsidP="00902EBB">
            <w:pPr>
              <w:spacing w:before="100" w:beforeAutospacing="1" w:after="100" w:afterAutospacing="1" w:line="240" w:lineRule="auto"/>
              <w:jc w:val="both"/>
              <w:rPr>
                <w:lang w:bidi="lv-LV"/>
              </w:rPr>
            </w:pPr>
            <w:r w:rsidRPr="00645C5E">
              <w:rPr>
                <w:lang w:bidi="lv-LV"/>
              </w:rPr>
              <w:t>-</w:t>
            </w:r>
          </w:p>
        </w:tc>
      </w:tr>
      <w:tr w:rsidR="00FE211D" w:rsidRPr="00645C5E" w14:paraId="2FA49996" w14:textId="77777777" w:rsidTr="00CF2F67">
        <w:tc>
          <w:tcPr>
            <w:tcW w:w="2639" w:type="pct"/>
            <w:tcBorders>
              <w:right w:val="single" w:sz="4" w:space="0" w:color="auto"/>
            </w:tcBorders>
          </w:tcPr>
          <w:p w14:paraId="2FA49994" w14:textId="77777777" w:rsidR="00FE211D" w:rsidRPr="00645C5E" w:rsidRDefault="00FE211D" w:rsidP="00902EBB">
            <w:pPr>
              <w:spacing w:before="100" w:beforeAutospacing="1" w:after="100" w:afterAutospacing="1" w:line="240" w:lineRule="auto"/>
              <w:jc w:val="both"/>
              <w:rPr>
                <w:lang w:bidi="lv-LV"/>
              </w:rPr>
            </w:pPr>
            <w:r w:rsidRPr="00645C5E">
              <w:rPr>
                <w:lang w:bidi="lv-LV"/>
              </w:rPr>
              <w:t>5. pants</w:t>
            </w:r>
          </w:p>
        </w:tc>
        <w:tc>
          <w:tcPr>
            <w:tcW w:w="2361" w:type="pct"/>
            <w:tcBorders>
              <w:left w:val="single" w:sz="4" w:space="0" w:color="auto"/>
            </w:tcBorders>
          </w:tcPr>
          <w:p w14:paraId="2FA49995" w14:textId="77777777" w:rsidR="00FE211D" w:rsidRPr="00645C5E" w:rsidRDefault="00FE211D" w:rsidP="00902EBB">
            <w:pPr>
              <w:spacing w:before="100" w:beforeAutospacing="1" w:after="100" w:afterAutospacing="1" w:line="240" w:lineRule="auto"/>
              <w:jc w:val="both"/>
              <w:rPr>
                <w:lang w:bidi="lv-LV"/>
              </w:rPr>
            </w:pPr>
            <w:r w:rsidRPr="00645C5E">
              <w:rPr>
                <w:lang w:bidi="lv-LV"/>
              </w:rPr>
              <w:t>5. pants</w:t>
            </w:r>
          </w:p>
        </w:tc>
      </w:tr>
      <w:tr w:rsidR="00FE211D" w:rsidRPr="00645C5E" w14:paraId="2FA49999" w14:textId="77777777" w:rsidTr="00CF2F67">
        <w:tc>
          <w:tcPr>
            <w:tcW w:w="2639" w:type="pct"/>
            <w:tcBorders>
              <w:right w:val="single" w:sz="4" w:space="0" w:color="auto"/>
            </w:tcBorders>
          </w:tcPr>
          <w:p w14:paraId="2FA49997" w14:textId="77777777" w:rsidR="00FE211D" w:rsidRPr="00645C5E" w:rsidRDefault="00FE211D" w:rsidP="00902EBB">
            <w:pPr>
              <w:spacing w:before="100" w:beforeAutospacing="1" w:after="100" w:afterAutospacing="1" w:line="240" w:lineRule="auto"/>
              <w:jc w:val="both"/>
              <w:rPr>
                <w:lang w:bidi="lv-LV"/>
              </w:rPr>
            </w:pPr>
            <w:r w:rsidRPr="00645C5E">
              <w:rPr>
                <w:lang w:bidi="lv-LV"/>
              </w:rPr>
              <w:t>6. pants</w:t>
            </w:r>
          </w:p>
        </w:tc>
        <w:tc>
          <w:tcPr>
            <w:tcW w:w="2361" w:type="pct"/>
            <w:tcBorders>
              <w:left w:val="single" w:sz="4" w:space="0" w:color="auto"/>
            </w:tcBorders>
          </w:tcPr>
          <w:p w14:paraId="2FA49998" w14:textId="77777777" w:rsidR="00FE211D" w:rsidRPr="00645C5E" w:rsidRDefault="00FE211D" w:rsidP="00902EBB">
            <w:pPr>
              <w:spacing w:before="100" w:beforeAutospacing="1" w:after="100" w:afterAutospacing="1" w:line="240" w:lineRule="auto"/>
              <w:jc w:val="both"/>
              <w:rPr>
                <w:lang w:bidi="lv-LV"/>
              </w:rPr>
            </w:pPr>
            <w:r w:rsidRPr="00645C5E">
              <w:rPr>
                <w:lang w:bidi="lv-LV"/>
              </w:rPr>
              <w:t>6. pants</w:t>
            </w:r>
          </w:p>
        </w:tc>
      </w:tr>
      <w:tr w:rsidR="00FE211D" w:rsidRPr="00645C5E" w14:paraId="2FA4999C" w14:textId="77777777" w:rsidTr="00CF2F67">
        <w:tc>
          <w:tcPr>
            <w:tcW w:w="2639" w:type="pct"/>
            <w:tcBorders>
              <w:right w:val="single" w:sz="4" w:space="0" w:color="auto"/>
            </w:tcBorders>
          </w:tcPr>
          <w:p w14:paraId="2FA4999A" w14:textId="77777777" w:rsidR="00FE211D" w:rsidRPr="00645C5E" w:rsidRDefault="00FE211D" w:rsidP="00902EBB">
            <w:pPr>
              <w:spacing w:before="100" w:beforeAutospacing="1" w:after="100" w:afterAutospacing="1" w:line="240" w:lineRule="auto"/>
              <w:jc w:val="both"/>
              <w:rPr>
                <w:lang w:bidi="lv-LV"/>
              </w:rPr>
            </w:pPr>
            <w:r w:rsidRPr="00645C5E">
              <w:rPr>
                <w:lang w:bidi="lv-LV"/>
              </w:rPr>
              <w:t>7. pants</w:t>
            </w:r>
          </w:p>
        </w:tc>
        <w:tc>
          <w:tcPr>
            <w:tcW w:w="2361" w:type="pct"/>
            <w:tcBorders>
              <w:left w:val="single" w:sz="4" w:space="0" w:color="auto"/>
            </w:tcBorders>
          </w:tcPr>
          <w:p w14:paraId="2FA4999B" w14:textId="77777777" w:rsidR="00FE211D" w:rsidRPr="00645C5E" w:rsidRDefault="00FE211D" w:rsidP="00902EBB">
            <w:pPr>
              <w:spacing w:before="100" w:beforeAutospacing="1" w:after="100" w:afterAutospacing="1" w:line="240" w:lineRule="auto"/>
              <w:jc w:val="both"/>
              <w:rPr>
                <w:lang w:bidi="lv-LV"/>
              </w:rPr>
            </w:pPr>
            <w:r w:rsidRPr="00645C5E">
              <w:rPr>
                <w:lang w:bidi="lv-LV"/>
              </w:rPr>
              <w:t>7. pants</w:t>
            </w:r>
          </w:p>
        </w:tc>
      </w:tr>
      <w:tr w:rsidR="00FE211D" w:rsidRPr="00645C5E" w14:paraId="2FA4999F" w14:textId="77777777" w:rsidTr="00CF2F67">
        <w:tc>
          <w:tcPr>
            <w:tcW w:w="2639" w:type="pct"/>
            <w:tcBorders>
              <w:right w:val="single" w:sz="4" w:space="0" w:color="auto"/>
            </w:tcBorders>
          </w:tcPr>
          <w:p w14:paraId="2FA4999D" w14:textId="77777777" w:rsidR="00FE211D" w:rsidRPr="00645C5E" w:rsidRDefault="00FE211D" w:rsidP="00902EBB">
            <w:pPr>
              <w:spacing w:before="100" w:beforeAutospacing="1" w:after="100" w:afterAutospacing="1" w:line="240" w:lineRule="auto"/>
              <w:jc w:val="both"/>
              <w:rPr>
                <w:lang w:bidi="lv-LV"/>
              </w:rPr>
            </w:pPr>
            <w:r w:rsidRPr="00645C5E">
              <w:rPr>
                <w:lang w:bidi="lv-LV"/>
              </w:rPr>
              <w:t>8. panta 1. punkta pirmā un otrā daļa</w:t>
            </w:r>
          </w:p>
        </w:tc>
        <w:tc>
          <w:tcPr>
            <w:tcW w:w="2361" w:type="pct"/>
            <w:tcBorders>
              <w:left w:val="single" w:sz="4" w:space="0" w:color="auto"/>
            </w:tcBorders>
          </w:tcPr>
          <w:p w14:paraId="2FA4999E" w14:textId="77777777" w:rsidR="00FE211D" w:rsidRPr="00645C5E" w:rsidRDefault="00FE211D" w:rsidP="00902EBB">
            <w:pPr>
              <w:spacing w:before="100" w:beforeAutospacing="1" w:after="100" w:afterAutospacing="1" w:line="240" w:lineRule="auto"/>
              <w:jc w:val="both"/>
              <w:rPr>
                <w:lang w:bidi="lv-LV"/>
              </w:rPr>
            </w:pPr>
            <w:r w:rsidRPr="00645C5E">
              <w:rPr>
                <w:lang w:bidi="lv-LV"/>
              </w:rPr>
              <w:t>8. panta 1. punkts</w:t>
            </w:r>
          </w:p>
        </w:tc>
      </w:tr>
      <w:tr w:rsidR="00FE211D" w:rsidRPr="00645C5E" w14:paraId="2FA499B1" w14:textId="77777777" w:rsidTr="00F95882">
        <w:trPr>
          <w:trHeight w:val="2354"/>
        </w:trPr>
        <w:tc>
          <w:tcPr>
            <w:tcW w:w="2639" w:type="pct"/>
            <w:tcBorders>
              <w:right w:val="single" w:sz="4" w:space="0" w:color="auto"/>
            </w:tcBorders>
          </w:tcPr>
          <w:p w14:paraId="2FA499A0" w14:textId="77777777" w:rsidR="002B42AD" w:rsidRPr="00645C5E" w:rsidRDefault="00FE211D" w:rsidP="00902EBB">
            <w:pPr>
              <w:spacing w:before="100" w:beforeAutospacing="1" w:after="100" w:afterAutospacing="1" w:line="240" w:lineRule="auto"/>
              <w:jc w:val="both"/>
              <w:rPr>
                <w:lang w:bidi="lv-LV"/>
              </w:rPr>
            </w:pPr>
            <w:r w:rsidRPr="00645C5E">
              <w:rPr>
                <w:lang w:bidi="lv-LV"/>
              </w:rPr>
              <w:t>8. panta 1. punkta trešā daļa</w:t>
            </w:r>
          </w:p>
          <w:p w14:paraId="2FA499A1" w14:textId="77777777" w:rsidR="00FE211D" w:rsidRPr="00645C5E" w:rsidRDefault="002B42AD" w:rsidP="00902EBB">
            <w:pPr>
              <w:spacing w:before="100" w:beforeAutospacing="1" w:after="100" w:afterAutospacing="1" w:line="240" w:lineRule="auto"/>
              <w:jc w:val="both"/>
              <w:rPr>
                <w:lang w:bidi="lv-LV"/>
              </w:rPr>
            </w:pPr>
            <w:r w:rsidRPr="00645C5E">
              <w:rPr>
                <w:lang w:bidi="lv-LV"/>
              </w:rPr>
              <w:t>8. panta 2. punkts</w:t>
            </w:r>
          </w:p>
          <w:p w14:paraId="2FA499A2" w14:textId="77777777" w:rsidR="002B42AD" w:rsidRPr="00645C5E" w:rsidRDefault="002B42AD" w:rsidP="00902EBB">
            <w:pPr>
              <w:spacing w:before="100" w:beforeAutospacing="1" w:after="100" w:afterAutospacing="1" w:line="240" w:lineRule="auto"/>
              <w:jc w:val="both"/>
              <w:rPr>
                <w:lang w:bidi="lv-LV"/>
              </w:rPr>
            </w:pPr>
            <w:r w:rsidRPr="00645C5E">
              <w:rPr>
                <w:lang w:bidi="lv-LV"/>
              </w:rPr>
              <w:t>-</w:t>
            </w:r>
          </w:p>
          <w:p w14:paraId="2FA499A3" w14:textId="77777777" w:rsidR="002B42AD" w:rsidRPr="00645C5E" w:rsidRDefault="002B42AD" w:rsidP="00902EBB">
            <w:pPr>
              <w:spacing w:before="100" w:beforeAutospacing="1" w:after="100" w:afterAutospacing="1" w:line="240" w:lineRule="auto"/>
              <w:jc w:val="both"/>
              <w:rPr>
                <w:lang w:bidi="lv-LV"/>
              </w:rPr>
            </w:pPr>
            <w:r w:rsidRPr="00645C5E">
              <w:rPr>
                <w:lang w:bidi="lv-LV"/>
              </w:rPr>
              <w:t>10. pants</w:t>
            </w:r>
          </w:p>
          <w:p w14:paraId="2FA499A4" w14:textId="77777777" w:rsidR="00F95882" w:rsidRPr="00645C5E" w:rsidRDefault="00F95882" w:rsidP="00902EBB">
            <w:pPr>
              <w:spacing w:before="100" w:beforeAutospacing="1" w:after="100" w:afterAutospacing="1" w:line="240" w:lineRule="auto"/>
              <w:jc w:val="both"/>
              <w:rPr>
                <w:lang w:bidi="lv-LV"/>
              </w:rPr>
            </w:pPr>
            <w:r w:rsidRPr="00645C5E">
              <w:rPr>
                <w:lang w:bidi="lv-LV"/>
              </w:rPr>
              <w:t>-</w:t>
            </w:r>
          </w:p>
          <w:p w14:paraId="2FA499A5" w14:textId="77777777" w:rsidR="002B42AD" w:rsidRPr="00645C5E" w:rsidRDefault="002B42AD" w:rsidP="00902EBB">
            <w:pPr>
              <w:spacing w:before="100" w:beforeAutospacing="1" w:after="100" w:afterAutospacing="1" w:line="240" w:lineRule="auto"/>
              <w:jc w:val="both"/>
              <w:rPr>
                <w:lang w:bidi="lv-LV"/>
              </w:rPr>
            </w:pPr>
            <w:r w:rsidRPr="00645C5E">
              <w:rPr>
                <w:lang w:bidi="lv-LV"/>
              </w:rPr>
              <w:t>11.pants</w:t>
            </w:r>
          </w:p>
          <w:p w14:paraId="2FA499A6" w14:textId="77777777" w:rsidR="00F95882" w:rsidRPr="00645C5E" w:rsidRDefault="00F95882" w:rsidP="00902EBB">
            <w:pPr>
              <w:spacing w:before="100" w:beforeAutospacing="1" w:after="100" w:afterAutospacing="1" w:line="240" w:lineRule="auto"/>
              <w:jc w:val="both"/>
              <w:rPr>
                <w:lang w:bidi="lv-LV"/>
              </w:rPr>
            </w:pPr>
            <w:r w:rsidRPr="00645C5E">
              <w:rPr>
                <w:lang w:bidi="lv-LV"/>
              </w:rPr>
              <w:t>-</w:t>
            </w:r>
          </w:p>
          <w:p w14:paraId="2FA499A7" w14:textId="77777777" w:rsidR="00F95882" w:rsidRPr="00645C5E" w:rsidRDefault="00F95882" w:rsidP="00902EBB">
            <w:pPr>
              <w:spacing w:before="100" w:beforeAutospacing="1" w:after="100" w:afterAutospacing="1" w:line="240" w:lineRule="auto"/>
              <w:jc w:val="both"/>
              <w:rPr>
                <w:lang w:bidi="lv-LV"/>
              </w:rPr>
            </w:pPr>
            <w:r w:rsidRPr="00645C5E">
              <w:rPr>
                <w:lang w:bidi="lv-LV"/>
              </w:rPr>
              <w:t>12.pants</w:t>
            </w:r>
          </w:p>
          <w:p w14:paraId="2FA499A8" w14:textId="77777777" w:rsidR="00F95882" w:rsidRPr="00645C5E" w:rsidRDefault="00F95882" w:rsidP="00902EBB">
            <w:pPr>
              <w:spacing w:before="100" w:beforeAutospacing="1" w:after="100" w:afterAutospacing="1" w:line="240" w:lineRule="auto"/>
              <w:jc w:val="both"/>
              <w:rPr>
                <w:lang w:bidi="lv-LV"/>
              </w:rPr>
            </w:pPr>
          </w:p>
        </w:tc>
        <w:tc>
          <w:tcPr>
            <w:tcW w:w="2361" w:type="pct"/>
            <w:tcBorders>
              <w:left w:val="single" w:sz="4" w:space="0" w:color="auto"/>
            </w:tcBorders>
          </w:tcPr>
          <w:p w14:paraId="2FA499A9" w14:textId="77777777" w:rsidR="00FE211D" w:rsidRPr="00645C5E" w:rsidRDefault="00FE211D" w:rsidP="00902EBB">
            <w:pPr>
              <w:spacing w:before="100" w:beforeAutospacing="1" w:after="100" w:afterAutospacing="1" w:line="240" w:lineRule="auto"/>
              <w:jc w:val="both"/>
              <w:rPr>
                <w:lang w:bidi="lv-LV"/>
              </w:rPr>
            </w:pPr>
            <w:r w:rsidRPr="00645C5E">
              <w:rPr>
                <w:lang w:bidi="lv-LV"/>
              </w:rPr>
              <w:t>8. panta 2. punkts</w:t>
            </w:r>
          </w:p>
          <w:p w14:paraId="2FA499AA" w14:textId="77777777" w:rsidR="002B42AD" w:rsidRPr="00645C5E" w:rsidRDefault="002B42AD" w:rsidP="00902EBB">
            <w:pPr>
              <w:spacing w:before="100" w:beforeAutospacing="1" w:after="100" w:afterAutospacing="1" w:line="240" w:lineRule="auto"/>
              <w:jc w:val="both"/>
              <w:rPr>
                <w:lang w:bidi="lv-LV"/>
              </w:rPr>
            </w:pPr>
            <w:r w:rsidRPr="00645C5E">
              <w:rPr>
                <w:lang w:bidi="lv-LV"/>
              </w:rPr>
              <w:t>-</w:t>
            </w:r>
          </w:p>
          <w:p w14:paraId="2FA499AB" w14:textId="77777777" w:rsidR="002B42AD" w:rsidRPr="00645C5E" w:rsidRDefault="002B42AD" w:rsidP="00902EBB">
            <w:pPr>
              <w:spacing w:before="100" w:beforeAutospacing="1" w:after="100" w:afterAutospacing="1" w:line="240" w:lineRule="auto"/>
              <w:jc w:val="both"/>
              <w:rPr>
                <w:lang w:bidi="lv-LV"/>
              </w:rPr>
            </w:pPr>
            <w:r w:rsidRPr="00645C5E">
              <w:rPr>
                <w:lang w:bidi="lv-LV"/>
              </w:rPr>
              <w:t>9. pants</w:t>
            </w:r>
          </w:p>
          <w:p w14:paraId="2FA499AC" w14:textId="77777777" w:rsidR="002B42AD" w:rsidRPr="00645C5E" w:rsidRDefault="002B42AD" w:rsidP="00902EBB">
            <w:pPr>
              <w:spacing w:before="100" w:beforeAutospacing="1" w:after="100" w:afterAutospacing="1" w:line="240" w:lineRule="auto"/>
              <w:jc w:val="both"/>
              <w:rPr>
                <w:lang w:bidi="lv-LV"/>
              </w:rPr>
            </w:pPr>
            <w:r w:rsidRPr="00645C5E">
              <w:rPr>
                <w:lang w:bidi="lv-LV"/>
              </w:rPr>
              <w:t>-</w:t>
            </w:r>
          </w:p>
          <w:p w14:paraId="2FA499AD" w14:textId="77777777" w:rsidR="00F95882" w:rsidRPr="00645C5E" w:rsidRDefault="00F95882" w:rsidP="00902EBB">
            <w:pPr>
              <w:spacing w:before="100" w:beforeAutospacing="1" w:after="100" w:afterAutospacing="1" w:line="240" w:lineRule="auto"/>
              <w:jc w:val="both"/>
              <w:rPr>
                <w:lang w:bidi="lv-LV"/>
              </w:rPr>
            </w:pPr>
            <w:r w:rsidRPr="00645C5E">
              <w:rPr>
                <w:lang w:bidi="lv-LV"/>
              </w:rPr>
              <w:t>10. pants</w:t>
            </w:r>
          </w:p>
          <w:p w14:paraId="2FA499AE" w14:textId="77777777" w:rsidR="002B42AD" w:rsidRPr="00645C5E" w:rsidRDefault="00F95882" w:rsidP="00902EBB">
            <w:pPr>
              <w:spacing w:before="100" w:beforeAutospacing="1" w:after="100" w:afterAutospacing="1" w:line="240" w:lineRule="auto"/>
              <w:jc w:val="both"/>
              <w:rPr>
                <w:lang w:bidi="lv-LV"/>
              </w:rPr>
            </w:pPr>
            <w:r w:rsidRPr="00645C5E">
              <w:rPr>
                <w:lang w:bidi="lv-LV"/>
              </w:rPr>
              <w:t>-</w:t>
            </w:r>
          </w:p>
          <w:p w14:paraId="2FA499AF" w14:textId="77777777" w:rsidR="00F95882" w:rsidRPr="00645C5E" w:rsidRDefault="00F95882" w:rsidP="00902EBB">
            <w:pPr>
              <w:spacing w:before="100" w:beforeAutospacing="1" w:after="100" w:afterAutospacing="1" w:line="240" w:lineRule="auto"/>
              <w:jc w:val="both"/>
              <w:rPr>
                <w:lang w:bidi="lv-LV"/>
              </w:rPr>
            </w:pPr>
            <w:r w:rsidRPr="00645C5E">
              <w:rPr>
                <w:lang w:bidi="lv-LV"/>
              </w:rPr>
              <w:t>11.pants</w:t>
            </w:r>
          </w:p>
          <w:p w14:paraId="2FA499B0" w14:textId="77777777" w:rsidR="00F95882" w:rsidRPr="00645C5E" w:rsidRDefault="00F95882" w:rsidP="00902EBB">
            <w:pPr>
              <w:spacing w:before="100" w:beforeAutospacing="1" w:after="100" w:afterAutospacing="1" w:line="240" w:lineRule="auto"/>
              <w:jc w:val="both"/>
              <w:rPr>
                <w:lang w:bidi="lv-LV"/>
              </w:rPr>
            </w:pPr>
            <w:r w:rsidRPr="00645C5E">
              <w:rPr>
                <w:lang w:bidi="lv-LV"/>
              </w:rPr>
              <w:t>12.pants</w:t>
            </w:r>
          </w:p>
        </w:tc>
      </w:tr>
    </w:tbl>
    <w:p w14:paraId="2FA499B2" w14:textId="77777777" w:rsidR="00CF2F67" w:rsidRPr="00645C5E" w:rsidRDefault="00CF2F67" w:rsidP="00902EBB">
      <w:pPr>
        <w:pStyle w:val="Lignefinal"/>
        <w:spacing w:before="100" w:beforeAutospacing="1" w:after="100" w:afterAutospacing="1" w:line="240" w:lineRule="auto"/>
        <w:jc w:val="both"/>
      </w:pPr>
    </w:p>
    <w:sectPr w:rsidR="00CF2F67" w:rsidRPr="00645C5E" w:rsidSect="00EA3028">
      <w:headerReference w:type="default" r:id="rId10"/>
      <w:footerReference w:type="default" r:id="rId11"/>
      <w:footnotePr>
        <w:numRestart w:val="eachPage"/>
      </w:footnotePr>
      <w:pgSz w:w="11907" w:h="1683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499B5" w14:textId="77777777" w:rsidR="004113EF" w:rsidRDefault="004113EF" w:rsidP="00191C51">
      <w:pPr>
        <w:spacing w:before="0" w:after="0" w:line="240" w:lineRule="auto"/>
      </w:pPr>
      <w:r>
        <w:separator/>
      </w:r>
    </w:p>
  </w:endnote>
  <w:endnote w:type="continuationSeparator" w:id="0">
    <w:p w14:paraId="2FA499B6" w14:textId="77777777" w:rsidR="004113EF" w:rsidRDefault="004113EF" w:rsidP="00191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99B9" w14:textId="77777777" w:rsidR="00A961FE" w:rsidRPr="00644FCD" w:rsidRDefault="00644FCD">
    <w:pPr>
      <w:rPr>
        <w:sz w:val="20"/>
        <w:szCs w:val="20"/>
      </w:rPr>
    </w:pPr>
    <w:r w:rsidRPr="00644FCD">
      <w:rPr>
        <w:sz w:val="20"/>
        <w:szCs w:val="20"/>
      </w:rPr>
      <w:t>FMLēm_30.10.2015_Padomes 2014.gada 26.maija lēmums 2014/335/ES par Eiropas Savienības pašu resursu sistēmu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99B3" w14:textId="77777777" w:rsidR="004113EF" w:rsidRDefault="004113EF" w:rsidP="00191C51">
      <w:pPr>
        <w:spacing w:before="0" w:after="0" w:line="240" w:lineRule="auto"/>
      </w:pPr>
      <w:r>
        <w:separator/>
      </w:r>
    </w:p>
  </w:footnote>
  <w:footnote w:type="continuationSeparator" w:id="0">
    <w:p w14:paraId="2FA499B4" w14:textId="77777777" w:rsidR="004113EF" w:rsidRDefault="004113EF" w:rsidP="00191C51">
      <w:pPr>
        <w:spacing w:before="0" w:after="0" w:line="240" w:lineRule="auto"/>
      </w:pPr>
      <w:r>
        <w:continuationSeparator/>
      </w:r>
    </w:p>
  </w:footnote>
  <w:footnote w:id="1">
    <w:p w14:paraId="2FA499BA" w14:textId="77777777" w:rsidR="00E55504" w:rsidRPr="00A961FE" w:rsidRDefault="00E55504" w:rsidP="003F41F0">
      <w:pPr>
        <w:pStyle w:val="FootnoteText"/>
        <w:rPr>
          <w:sz w:val="18"/>
          <w:szCs w:val="18"/>
        </w:rPr>
      </w:pPr>
      <w:r w:rsidRPr="00A961FE">
        <w:rPr>
          <w:rStyle w:val="FootnoteReference"/>
          <w:bCs/>
          <w:iCs/>
          <w:sz w:val="18"/>
          <w:szCs w:val="18"/>
        </w:rPr>
        <w:footnoteRef/>
      </w:r>
      <w:r w:rsidRPr="00A961FE">
        <w:rPr>
          <w:sz w:val="18"/>
          <w:szCs w:val="18"/>
        </w:rPr>
        <w:tab/>
      </w:r>
      <w:r w:rsidR="00B762FB" w:rsidRPr="00A961FE">
        <w:rPr>
          <w:sz w:val="18"/>
          <w:szCs w:val="18"/>
        </w:rPr>
        <w:t>Eiropas Parlamenta un Padomes Regula (ES) Nr. 549/2013 (2013. gada 21. maijs) par Eiropas nacionālo un reģionālo kontu sistēmu Eiropas Savienībā</w:t>
      </w:r>
      <w:r w:rsidR="00B762FB" w:rsidRPr="00A961FE">
        <w:rPr>
          <w:bCs/>
          <w:iCs/>
          <w:sz w:val="18"/>
          <w:szCs w:val="18"/>
        </w:rPr>
        <w:t xml:space="preserve"> (</w:t>
      </w:r>
      <w:r w:rsidRPr="00A961FE">
        <w:rPr>
          <w:bCs/>
          <w:iCs/>
          <w:sz w:val="18"/>
          <w:szCs w:val="18"/>
        </w:rPr>
        <w:t>OV L 174, 26.6.2013., 1. lpp.</w:t>
      </w:r>
      <w:r w:rsidR="00B762FB" w:rsidRPr="00A961FE">
        <w:rPr>
          <w:bCs/>
          <w:iCs/>
          <w:sz w:val="18"/>
          <w:szCs w:val="18"/>
        </w:rPr>
        <w:t>).</w:t>
      </w:r>
    </w:p>
  </w:footnote>
  <w:footnote w:id="2">
    <w:p w14:paraId="2FA499BB" w14:textId="77777777" w:rsidR="00B762FB" w:rsidRPr="00A961FE" w:rsidRDefault="00B762FB" w:rsidP="003F41F0">
      <w:pPr>
        <w:pStyle w:val="FootnoteText"/>
        <w:rPr>
          <w:sz w:val="18"/>
          <w:szCs w:val="18"/>
        </w:rPr>
      </w:pPr>
      <w:r w:rsidRPr="00A961FE">
        <w:rPr>
          <w:rStyle w:val="FootnoteReference"/>
          <w:sz w:val="18"/>
          <w:szCs w:val="18"/>
        </w:rPr>
        <w:footnoteRef/>
      </w:r>
      <w:r w:rsidRPr="00A961FE">
        <w:rPr>
          <w:sz w:val="18"/>
          <w:szCs w:val="18"/>
        </w:rPr>
        <w:tab/>
        <w:t>OV L 22, 25.1.2013., 11. lpp.</w:t>
      </w:r>
    </w:p>
  </w:footnote>
  <w:footnote w:id="3">
    <w:p w14:paraId="2FA499BC" w14:textId="77777777" w:rsidR="00E55504" w:rsidRPr="00A961FE" w:rsidRDefault="00E55504" w:rsidP="003F41F0">
      <w:pPr>
        <w:pStyle w:val="FootnoteText"/>
        <w:rPr>
          <w:sz w:val="18"/>
          <w:szCs w:val="18"/>
        </w:rPr>
      </w:pPr>
      <w:r w:rsidRPr="00A961FE">
        <w:rPr>
          <w:rStyle w:val="FootnoteReference"/>
          <w:bCs/>
          <w:sz w:val="18"/>
          <w:szCs w:val="18"/>
        </w:rPr>
        <w:footnoteRef/>
      </w:r>
      <w:r w:rsidRPr="00A961FE">
        <w:rPr>
          <w:sz w:val="18"/>
          <w:szCs w:val="18"/>
        </w:rPr>
        <w:tab/>
      </w:r>
      <w:r w:rsidR="00B762FB" w:rsidRPr="00A961FE">
        <w:rPr>
          <w:sz w:val="18"/>
          <w:szCs w:val="18"/>
        </w:rPr>
        <w:t xml:space="preserve">Padomes Lēmums 2007/436/EK, </w:t>
      </w:r>
      <w:r w:rsidR="00B762FB" w:rsidRPr="00A961FE">
        <w:rPr>
          <w:i/>
          <w:iCs/>
          <w:sz w:val="18"/>
          <w:szCs w:val="18"/>
        </w:rPr>
        <w:t>Euratom </w:t>
      </w:r>
      <w:r w:rsidR="00B762FB" w:rsidRPr="00A961FE">
        <w:rPr>
          <w:sz w:val="18"/>
          <w:szCs w:val="18"/>
        </w:rPr>
        <w:t>(2007. gada 7. jūnijs) par Eiropas Kopienu pašu resursu sistēmu (</w:t>
      </w:r>
      <w:r w:rsidRPr="00A961FE">
        <w:rPr>
          <w:sz w:val="18"/>
          <w:szCs w:val="18"/>
        </w:rPr>
        <w:t>OV L 163, 23.6.2007., 17. lpp.</w:t>
      </w:r>
      <w:r w:rsidR="00B762FB" w:rsidRPr="00A961FE">
        <w:rPr>
          <w:sz w:val="18"/>
          <w:szCs w:val="18"/>
        </w:rPr>
        <w:t>).</w:t>
      </w:r>
    </w:p>
  </w:footnote>
  <w:footnote w:id="4">
    <w:p w14:paraId="2FA499BD" w14:textId="77777777" w:rsidR="00B762FB" w:rsidRPr="00A961FE" w:rsidRDefault="00B762FB" w:rsidP="003F41F0">
      <w:pPr>
        <w:pStyle w:val="FootnoteText"/>
        <w:rPr>
          <w:sz w:val="18"/>
          <w:szCs w:val="18"/>
        </w:rPr>
      </w:pPr>
      <w:r w:rsidRPr="00A961FE">
        <w:rPr>
          <w:rStyle w:val="FootnoteReference"/>
          <w:sz w:val="18"/>
          <w:szCs w:val="18"/>
        </w:rPr>
        <w:footnoteRef/>
      </w:r>
      <w:r w:rsidRPr="00A961FE">
        <w:rPr>
          <w:sz w:val="18"/>
          <w:szCs w:val="18"/>
        </w:rPr>
        <w:tab/>
        <w:t xml:space="preserve">Eiropas Revīzijas palātas 2012. gada 20. marta atzinums Nr. 2/2012 (OV C 112, 18.4.2012., 1. lpp.) un Eiropas Ekonomikas un sociālo lietu komitejas 2012. gada 29. marta atzinums (OV C 181, 21.6.2012,, 45. lpp.). </w:t>
      </w:r>
    </w:p>
  </w:footnote>
  <w:footnote w:id="5">
    <w:p w14:paraId="2FA499BE" w14:textId="77777777" w:rsidR="00E55504" w:rsidRPr="00A961FE" w:rsidRDefault="00E55504" w:rsidP="003F41F0">
      <w:pPr>
        <w:pStyle w:val="FootnoteText"/>
        <w:rPr>
          <w:sz w:val="18"/>
          <w:szCs w:val="18"/>
        </w:rPr>
      </w:pPr>
      <w:r w:rsidRPr="00A961FE">
        <w:rPr>
          <w:rStyle w:val="FootnoteReference"/>
          <w:bCs/>
          <w:sz w:val="18"/>
          <w:szCs w:val="18"/>
        </w:rPr>
        <w:footnoteRef/>
      </w:r>
      <w:r w:rsidRPr="00A961FE">
        <w:rPr>
          <w:sz w:val="18"/>
          <w:szCs w:val="18"/>
        </w:rPr>
        <w:tab/>
      </w:r>
      <w:r w:rsidR="00C731C2" w:rsidRPr="00A961FE">
        <w:rPr>
          <w:sz w:val="18"/>
          <w:szCs w:val="18"/>
        </w:rPr>
        <w:t>Padomes Lēmums </w:t>
      </w:r>
      <w:r w:rsidR="00C731C2" w:rsidRPr="00A961FE">
        <w:rPr>
          <w:noProof/>
          <w:sz w:val="18"/>
          <w:szCs w:val="18"/>
        </w:rPr>
        <w:t xml:space="preserve">70/243/ECSC, EEK, </w:t>
      </w:r>
      <w:r w:rsidR="00C731C2" w:rsidRPr="00A961FE">
        <w:rPr>
          <w:i/>
          <w:iCs/>
          <w:noProof/>
          <w:sz w:val="18"/>
          <w:szCs w:val="18"/>
        </w:rPr>
        <w:t>Euratom</w:t>
      </w:r>
      <w:r w:rsidR="00C731C2" w:rsidRPr="00A961FE">
        <w:rPr>
          <w:noProof/>
          <w:sz w:val="18"/>
          <w:szCs w:val="18"/>
        </w:rPr>
        <w:t xml:space="preserve"> </w:t>
      </w:r>
      <w:r w:rsidR="00C731C2" w:rsidRPr="00A961FE">
        <w:rPr>
          <w:sz w:val="18"/>
          <w:szCs w:val="18"/>
        </w:rPr>
        <w:t>(1970. gada 21. aprīlis) par dalībvalstu finanšu iemaksu aizstāšanu ar Kopienu pašu resursiem (</w:t>
      </w:r>
      <w:r w:rsidRPr="00A961FE">
        <w:rPr>
          <w:sz w:val="18"/>
          <w:szCs w:val="18"/>
        </w:rPr>
        <w:t>OV L 94, 28.4.1970., 19. lpp.</w:t>
      </w:r>
      <w:r w:rsidR="00C731C2" w:rsidRPr="00A961FE">
        <w:rPr>
          <w:sz w:val="18"/>
          <w:szCs w:val="18"/>
        </w:rPr>
        <w:t>).</w:t>
      </w:r>
    </w:p>
  </w:footnote>
  <w:footnote w:id="6">
    <w:p w14:paraId="2FA499BF" w14:textId="77777777" w:rsidR="00E55504" w:rsidRPr="00A961FE" w:rsidRDefault="00E55504" w:rsidP="003F41F0">
      <w:pPr>
        <w:pStyle w:val="FootnoteText"/>
        <w:rPr>
          <w:sz w:val="18"/>
          <w:szCs w:val="18"/>
        </w:rPr>
      </w:pPr>
      <w:r w:rsidRPr="00A961FE">
        <w:rPr>
          <w:rStyle w:val="FootnoteReference"/>
          <w:bCs/>
          <w:sz w:val="18"/>
          <w:szCs w:val="18"/>
        </w:rPr>
        <w:footnoteRef/>
      </w:r>
      <w:r w:rsidRPr="00A961FE">
        <w:rPr>
          <w:sz w:val="18"/>
          <w:szCs w:val="18"/>
        </w:rPr>
        <w:tab/>
      </w:r>
      <w:r w:rsidR="00C731C2" w:rsidRPr="00A961FE">
        <w:rPr>
          <w:sz w:val="18"/>
          <w:szCs w:val="18"/>
        </w:rPr>
        <w:t xml:space="preserve">Padomes Lēmums 85/257/EEK, </w:t>
      </w:r>
      <w:r w:rsidR="00C731C2" w:rsidRPr="00A961FE">
        <w:rPr>
          <w:i/>
          <w:iCs/>
          <w:sz w:val="18"/>
          <w:szCs w:val="18"/>
        </w:rPr>
        <w:t>Euratom</w:t>
      </w:r>
      <w:r w:rsidR="00C731C2" w:rsidRPr="00A961FE">
        <w:rPr>
          <w:sz w:val="18"/>
          <w:szCs w:val="18"/>
        </w:rPr>
        <w:t> (1985. gada 7. maijs) par Kopienu pašu resursu sistēmu (</w:t>
      </w:r>
      <w:r w:rsidRPr="00A961FE">
        <w:rPr>
          <w:sz w:val="18"/>
          <w:szCs w:val="18"/>
        </w:rPr>
        <w:t>OV L 128, 14.5.1985., 15. lpp.</w:t>
      </w:r>
      <w:r w:rsidR="00C731C2" w:rsidRPr="00A961FE">
        <w:rPr>
          <w:sz w:val="18"/>
          <w:szCs w:val="18"/>
        </w:rPr>
        <w:t>).</w:t>
      </w:r>
    </w:p>
  </w:footnote>
  <w:footnote w:id="7">
    <w:p w14:paraId="2FA499C0" w14:textId="77777777" w:rsidR="00E55504" w:rsidRPr="00A961FE" w:rsidRDefault="00E55504" w:rsidP="003F41F0">
      <w:pPr>
        <w:pStyle w:val="FootnoteText"/>
        <w:rPr>
          <w:sz w:val="18"/>
          <w:szCs w:val="18"/>
        </w:rPr>
      </w:pPr>
      <w:r w:rsidRPr="00A961FE">
        <w:rPr>
          <w:rStyle w:val="FootnoteReference"/>
          <w:bCs/>
          <w:sz w:val="18"/>
          <w:szCs w:val="18"/>
        </w:rPr>
        <w:footnoteRef/>
      </w:r>
      <w:r w:rsidRPr="00A961FE">
        <w:rPr>
          <w:sz w:val="18"/>
          <w:szCs w:val="18"/>
        </w:rPr>
        <w:tab/>
      </w:r>
      <w:r w:rsidR="00C731C2" w:rsidRPr="00A961FE">
        <w:rPr>
          <w:sz w:val="18"/>
          <w:szCs w:val="18"/>
        </w:rPr>
        <w:t xml:space="preserve">Padomes Lēmums 88/376/EEK, </w:t>
      </w:r>
      <w:r w:rsidR="00C731C2" w:rsidRPr="00A961FE">
        <w:rPr>
          <w:i/>
          <w:iCs/>
          <w:sz w:val="18"/>
          <w:szCs w:val="18"/>
        </w:rPr>
        <w:t>Euratom</w:t>
      </w:r>
      <w:r w:rsidR="00C731C2" w:rsidRPr="00A961FE">
        <w:rPr>
          <w:sz w:val="18"/>
          <w:szCs w:val="18"/>
        </w:rPr>
        <w:t> (1988. gada 24. jūnijs) par Kopienu pašu resursu sistēmu (</w:t>
      </w:r>
      <w:r w:rsidRPr="00A961FE">
        <w:rPr>
          <w:sz w:val="18"/>
          <w:szCs w:val="18"/>
        </w:rPr>
        <w:t>OV L 185, 15.7.1988., 24. lpp.</w:t>
      </w:r>
      <w:r w:rsidR="00C731C2" w:rsidRPr="00A961FE">
        <w:rPr>
          <w:sz w:val="18"/>
          <w:szCs w:val="18"/>
        </w:rPr>
        <w:t>).</w:t>
      </w:r>
    </w:p>
  </w:footnote>
  <w:footnote w:id="8">
    <w:p w14:paraId="2FA499C1" w14:textId="77777777" w:rsidR="00E55504" w:rsidRPr="00A961FE" w:rsidRDefault="00E55504" w:rsidP="003F41F0">
      <w:pPr>
        <w:pStyle w:val="FootnoteText"/>
        <w:rPr>
          <w:sz w:val="18"/>
          <w:szCs w:val="18"/>
        </w:rPr>
      </w:pPr>
      <w:r w:rsidRPr="00A961FE">
        <w:rPr>
          <w:rStyle w:val="FootnoteReference"/>
          <w:bCs/>
          <w:sz w:val="18"/>
          <w:szCs w:val="18"/>
        </w:rPr>
        <w:footnoteRef/>
      </w:r>
      <w:r w:rsidRPr="00A961FE">
        <w:rPr>
          <w:sz w:val="18"/>
          <w:szCs w:val="18"/>
        </w:rPr>
        <w:tab/>
      </w:r>
      <w:r w:rsidR="00C731C2" w:rsidRPr="00A961FE">
        <w:rPr>
          <w:sz w:val="18"/>
          <w:szCs w:val="18"/>
        </w:rPr>
        <w:t xml:space="preserve">Padomes Lēmums 94/728/EK, </w:t>
      </w:r>
      <w:r w:rsidR="00C731C2" w:rsidRPr="00A961FE">
        <w:rPr>
          <w:i/>
          <w:iCs/>
          <w:sz w:val="18"/>
          <w:szCs w:val="18"/>
        </w:rPr>
        <w:t>Euratom</w:t>
      </w:r>
      <w:r w:rsidR="00C731C2" w:rsidRPr="00A961FE">
        <w:rPr>
          <w:sz w:val="18"/>
          <w:szCs w:val="18"/>
        </w:rPr>
        <w:t> (1994. gada 31. oktobris) par Kopienu pašu resursu sistēmu (</w:t>
      </w:r>
      <w:r w:rsidRPr="00A961FE">
        <w:rPr>
          <w:sz w:val="18"/>
          <w:szCs w:val="18"/>
        </w:rPr>
        <w:t>OV L 293, 12.11.1994., 9. lpp.</w:t>
      </w:r>
      <w:r w:rsidR="00C731C2" w:rsidRPr="00A961FE">
        <w:rPr>
          <w:sz w:val="18"/>
          <w:szCs w:val="18"/>
        </w:rPr>
        <w:t>).</w:t>
      </w:r>
    </w:p>
  </w:footnote>
  <w:footnote w:id="9">
    <w:p w14:paraId="2FA499C2" w14:textId="77777777" w:rsidR="00E55504" w:rsidRDefault="00E55504" w:rsidP="003F41F0">
      <w:pPr>
        <w:pStyle w:val="FootnoteText"/>
      </w:pPr>
      <w:r w:rsidRPr="00A961FE">
        <w:rPr>
          <w:rStyle w:val="FootnoteReference"/>
          <w:bCs/>
          <w:sz w:val="18"/>
          <w:szCs w:val="18"/>
        </w:rPr>
        <w:footnoteRef/>
      </w:r>
      <w:r w:rsidRPr="00A961FE">
        <w:rPr>
          <w:sz w:val="18"/>
          <w:szCs w:val="18"/>
        </w:rPr>
        <w:tab/>
      </w:r>
      <w:r w:rsidR="00C731C2" w:rsidRPr="00A961FE">
        <w:rPr>
          <w:sz w:val="18"/>
          <w:szCs w:val="18"/>
        </w:rPr>
        <w:t xml:space="preserve">Padomes Lēmums 2000/597/EK, </w:t>
      </w:r>
      <w:r w:rsidR="00C731C2" w:rsidRPr="00A961FE">
        <w:rPr>
          <w:i/>
          <w:iCs/>
          <w:sz w:val="18"/>
          <w:szCs w:val="18"/>
        </w:rPr>
        <w:t>Euratom</w:t>
      </w:r>
      <w:r w:rsidR="00C731C2" w:rsidRPr="00A961FE">
        <w:rPr>
          <w:sz w:val="18"/>
          <w:szCs w:val="18"/>
        </w:rPr>
        <w:t> (2000. gada 29. septembris) par Kopienu pašu resursu sistēmu (</w:t>
      </w:r>
      <w:r w:rsidRPr="00A961FE">
        <w:rPr>
          <w:sz w:val="18"/>
          <w:szCs w:val="18"/>
        </w:rPr>
        <w:t>OV L 253, 7.10.2000., 42. lpp.</w:t>
      </w:r>
      <w:r w:rsidR="00C731C2" w:rsidRPr="00A961F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931974"/>
      <w:docPartObj>
        <w:docPartGallery w:val="Page Numbers (Top of Page)"/>
        <w:docPartUnique/>
      </w:docPartObj>
    </w:sdtPr>
    <w:sdtEndPr>
      <w:rPr>
        <w:noProof/>
      </w:rPr>
    </w:sdtEndPr>
    <w:sdtContent>
      <w:p w14:paraId="2FA499B7" w14:textId="77777777" w:rsidR="00862BDF" w:rsidRDefault="00862BDF">
        <w:pPr>
          <w:pStyle w:val="Header"/>
          <w:jc w:val="center"/>
        </w:pPr>
        <w:r>
          <w:fldChar w:fldCharType="begin"/>
        </w:r>
        <w:r>
          <w:instrText xml:space="preserve"> PAGE   \* MERGEFORMAT </w:instrText>
        </w:r>
        <w:r>
          <w:fldChar w:fldCharType="separate"/>
        </w:r>
        <w:r w:rsidR="00D15047">
          <w:rPr>
            <w:noProof/>
          </w:rPr>
          <w:t>1</w:t>
        </w:r>
        <w:r>
          <w:rPr>
            <w:noProof/>
          </w:rPr>
          <w:fldChar w:fldCharType="end"/>
        </w:r>
      </w:p>
    </w:sdtContent>
  </w:sdt>
  <w:p w14:paraId="2FA499B8" w14:textId="77777777" w:rsidR="00862BDF" w:rsidRDefault="0086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E14C9E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409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3ECD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DA858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B9863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2C3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0E4336"/>
    <w:lvl w:ilvl="0">
      <w:start w:val="1"/>
      <w:numFmt w:val="decimal"/>
      <w:pStyle w:val="ListNumber"/>
      <w:lvlText w:val="%1."/>
      <w:lvlJc w:val="left"/>
      <w:pPr>
        <w:tabs>
          <w:tab w:val="num" w:pos="360"/>
        </w:tabs>
        <w:ind w:left="360" w:hanging="360"/>
      </w:pPr>
    </w:lvl>
  </w:abstractNum>
  <w:abstractNum w:abstractNumId="7">
    <w:nsid w:val="FFFFFF89"/>
    <w:multiLevelType w:val="singleLevel"/>
    <w:tmpl w:val="26C844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2">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5">
    <w:nsid w:val="4DAA3654"/>
    <w:multiLevelType w:val="multilevel"/>
    <w:tmpl w:val="D4A2DE5A"/>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7">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8">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21">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3">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7E474D4E"/>
    <w:multiLevelType w:val="singleLevel"/>
    <w:tmpl w:val="1A6608A0"/>
    <w:name w:val="List Number"/>
    <w:lvl w:ilvl="0">
      <w:start w:val="1"/>
      <w:numFmt w:val="decimal"/>
      <w:lvlRestart w:val="0"/>
      <w:lvlText w:val="(%1)"/>
      <w:lvlJc w:val="left"/>
      <w:pPr>
        <w:tabs>
          <w:tab w:val="num" w:pos="709"/>
        </w:tabs>
        <w:ind w:left="709" w:hanging="709"/>
      </w:pPr>
    </w:lvl>
  </w:abstractNum>
  <w:num w:numId="1">
    <w:abstractNumId w:val="11"/>
  </w:num>
  <w:num w:numId="2">
    <w:abstractNumId w:val="14"/>
  </w:num>
  <w:num w:numId="3">
    <w:abstractNumId w:val="17"/>
  </w:num>
  <w:num w:numId="4">
    <w:abstractNumId w:val="16"/>
  </w:num>
  <w:num w:numId="5">
    <w:abstractNumId w:val="22"/>
  </w:num>
  <w:num w:numId="6">
    <w:abstractNumId w:val="12"/>
  </w:num>
  <w:num w:numId="7">
    <w:abstractNumId w:val="8"/>
  </w:num>
  <w:num w:numId="8">
    <w:abstractNumId w:val="23"/>
  </w:num>
  <w:num w:numId="9">
    <w:abstractNumId w:val="13"/>
  </w:num>
  <w:num w:numId="10">
    <w:abstractNumId w:val="10"/>
  </w:num>
  <w:num w:numId="11">
    <w:abstractNumId w:val="9"/>
  </w:num>
  <w:num w:numId="12">
    <w:abstractNumId w:val="21"/>
  </w:num>
  <w:num w:numId="13">
    <w:abstractNumId w:val="19"/>
  </w:num>
  <w:num w:numId="14">
    <w:abstractNumId w:val="20"/>
  </w:num>
  <w:num w:numId="15">
    <w:abstractNumId w:val="24"/>
  </w:num>
  <w:num w:numId="16">
    <w:abstractNumId w:val="14"/>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2.5.6&quot; technicalblockguid=&quot;749f1df9-97b9-444e-a472-146f1f772405&quot;&gt;_x000d__x000a_  &lt;metadata key=&quot;md_DocumentLanguages&quot;&gt;_x000d__x000a_    &lt;basicdatatypelist&gt;_x000d__x000a_      &lt;language key=&quot;LV&quot; text=&quot;LV&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22&quot; text=&quot;LE&amp;#290;ISLAT&amp;#298;VIE AKTI UN CITI DOKUMENTI&quot; /&gt;_x000d__x000a_    &lt;/basicdatatype&gt;_x000d__x000a_  &lt;/metadata&gt;_x000d__x000a_  &lt;metadata key=&quot;md_HeadingText&quot;&gt;_x000d__x000a_    &lt;xaml text=&quot;LE&amp;#290;ISLAT&amp;#298;VIE AKTI UN CITI DOKUMENTI&quot;&gt;&amp;lt;FlowDocument xmlns=&quot;http://schemas.microsoft.com/winfx/2006/xaml/presentation&quot;&amp;gt;&amp;lt;Paragraph&amp;gt;LE&amp;#290;ISLAT&amp;#298;VIE AKTI UN CITI DOKUMENTI&amp;lt;/Paragraph&amp;gt;&amp;lt;/FlowDocument&amp;gt;&lt;/xaml&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IROPAS SAVIEN&amp;#298;BAS PADOM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isel&amp;#275;&quot; /&gt;_x000d__x000a_    &lt;/basicdatatype&gt;_x000d__x000a_  &lt;/metadata&gt;_x000d__x000a_  &lt;metadata key=&quot;md_DocumentDate&quot;&gt;_x000d__x000a_    &lt;text&gt;2014-02-12&lt;/text&gt;_x000d__x000a_  &lt;/metadata&gt;_x000d__x000a_  &lt;metadata key=&quot;md_Prefix&quot;&gt;_x000d__x000a_    &lt;text&gt;&lt;/text&gt;_x000d__x000a_  &lt;/metadata&gt;_x000d__x000a_  &lt;metadata key=&quot;md_DocumentNumber&quot;&gt;_x000d__x000a_    &lt;text&gt;5602&lt;/text&gt;_x000d__x000a_  &lt;/metadata&gt;_x000d__x000a_  &lt;metadata key=&quot;md_YearDocumentNumber&quot;&gt;_x000d__x000a_    &lt;text&gt;2014&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SPR 5&lt;/text&gt;_x000d__x000a_      &lt;text&gt;FIN 53&lt;/text&gt;_x000d__x000a_      &lt;text&gt;CADREFIN 11&lt;/text&gt;_x000d__x000a_      &lt;text&gt;POLGEN 1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1/0183 (CNS)&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ADOMES L&amp;#274;MUMS par Eiropas Savien&amp;#299;bas pa&amp;#353;u resursu sist&amp;#275;mu&quot;&gt;&amp;lt;FlowDocument FontFamily=&quot;Times New Roman&quot; FontSize=&quot;16&quot; PageWidth=&quot;377&quot; PagePadding=&quot;0,0,0,0&quot; AllowDrop=&quot;False&quot; NumberSubstitution.CultureSource=&quot;User&quot; xmlns=&quot;http://schemas.microsoft.com/winfx/2006/xaml/presentation&quot;&amp;gt;&amp;lt;Paragraph&amp;gt;&amp;lt;Span FontFamily=&quot;Times New Roman&quot; FontSize=&quot;16&quot;&amp;gt;PADOMES L&amp;#274;MUMS par Eiropas Savien&amp;#299;bas pa&amp;#353;u resursu sist&amp;#275;mu&amp;lt;/Span&amp;gt;&amp;lt;/Paragraph&amp;gt;&amp;lt;/FlowDocument&amp;gt;&lt;/xaml&gt;_x000d__x000a_  &lt;/metadata&gt;_x000d__x000a_  &lt;metadata key=&quot;md_SubjectFootnote&quot; /&gt;_x000d__x000a_  &lt;metadata key=&quot;md_DG&quot;&gt;_x000d__x000a_    &lt;text&gt;DGG 2A&lt;/text&gt;_x000d__x000a_  &lt;/metadata&gt;_x000d__x000a_  &lt;metadata key=&quot;md_Initials&quot;&gt;_x000d__x000a_    &lt;text&gt;ZB/ica&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lt;/metadataset&gt;"/>
    <w:docVar w:name="DW_DocType" w:val="DW_LEGACTS"/>
    <w:docVar w:name="LW_DocType" w:val="DW_LEGACTS"/>
    <w:docVar w:name="VSSDB_IniPath" w:val="\\at100\user\wovo\SEILEG\vss\srcsafe.ini"/>
    <w:docVar w:name="VSSDB_ProjectPath" w:val="$/DocuWrite/DOT/DW_LEGACTS"/>
  </w:docVars>
  <w:rsids>
    <w:rsidRoot w:val="00191C51"/>
    <w:rsid w:val="000A3553"/>
    <w:rsid w:val="000A74F8"/>
    <w:rsid w:val="000B14AC"/>
    <w:rsid w:val="00187052"/>
    <w:rsid w:val="00191C51"/>
    <w:rsid w:val="001C4A10"/>
    <w:rsid w:val="00224697"/>
    <w:rsid w:val="00250C0B"/>
    <w:rsid w:val="002B42AD"/>
    <w:rsid w:val="002D3E9E"/>
    <w:rsid w:val="002D622B"/>
    <w:rsid w:val="0036128D"/>
    <w:rsid w:val="00366880"/>
    <w:rsid w:val="003A1B24"/>
    <w:rsid w:val="003E7C6E"/>
    <w:rsid w:val="003F41F0"/>
    <w:rsid w:val="004113EF"/>
    <w:rsid w:val="004216DD"/>
    <w:rsid w:val="004959B9"/>
    <w:rsid w:val="004C7380"/>
    <w:rsid w:val="005D6E72"/>
    <w:rsid w:val="006251BB"/>
    <w:rsid w:val="00644FCD"/>
    <w:rsid w:val="00645C5E"/>
    <w:rsid w:val="00695110"/>
    <w:rsid w:val="006A6514"/>
    <w:rsid w:val="007B20BB"/>
    <w:rsid w:val="007C6618"/>
    <w:rsid w:val="00811704"/>
    <w:rsid w:val="00827ED1"/>
    <w:rsid w:val="00862BDF"/>
    <w:rsid w:val="00902EBB"/>
    <w:rsid w:val="00A6253C"/>
    <w:rsid w:val="00A961FE"/>
    <w:rsid w:val="00AC34A0"/>
    <w:rsid w:val="00B315D9"/>
    <w:rsid w:val="00B36AD8"/>
    <w:rsid w:val="00B453E7"/>
    <w:rsid w:val="00B762FB"/>
    <w:rsid w:val="00B82182"/>
    <w:rsid w:val="00BD5E59"/>
    <w:rsid w:val="00C070C1"/>
    <w:rsid w:val="00C518CB"/>
    <w:rsid w:val="00C723FE"/>
    <w:rsid w:val="00C731C2"/>
    <w:rsid w:val="00CA0AC2"/>
    <w:rsid w:val="00CB08DD"/>
    <w:rsid w:val="00CF004F"/>
    <w:rsid w:val="00CF2F67"/>
    <w:rsid w:val="00D15047"/>
    <w:rsid w:val="00D165EC"/>
    <w:rsid w:val="00D1706B"/>
    <w:rsid w:val="00D47313"/>
    <w:rsid w:val="00D701D3"/>
    <w:rsid w:val="00DD284F"/>
    <w:rsid w:val="00DF16FD"/>
    <w:rsid w:val="00E36E8F"/>
    <w:rsid w:val="00E55504"/>
    <w:rsid w:val="00EA3028"/>
    <w:rsid w:val="00EC1C55"/>
    <w:rsid w:val="00EC4E58"/>
    <w:rsid w:val="00F9083E"/>
    <w:rsid w:val="00F95882"/>
    <w:rsid w:val="00FD24A7"/>
    <w:rsid w:val="00FE211D"/>
    <w:rsid w:val="00FE3971"/>
    <w:rsid w:val="00FE5EB8"/>
    <w:rsid w:val="00FF7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498FA"/>
  <w15:chartTrackingRefBased/>
  <w15:docId w15:val="{67A07BB3-5FFB-466C-BAD9-8717965A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eastAsia="en-US"/>
    </w:rPr>
  </w:style>
  <w:style w:type="paragraph" w:styleId="Heading1">
    <w:name w:val="heading 1"/>
    <w:basedOn w:val="Normal"/>
    <w:next w:val="Text1"/>
    <w:qFormat/>
    <w:rsid w:val="00224697"/>
    <w:pPr>
      <w:keepNext/>
      <w:numPr>
        <w:numId w:val="7"/>
      </w:numPr>
      <w:spacing w:before="360"/>
      <w:outlineLvl w:val="0"/>
    </w:pPr>
    <w:rPr>
      <w:b/>
      <w:bCs/>
      <w:smallCaps/>
      <w:szCs w:val="32"/>
    </w:rPr>
  </w:style>
  <w:style w:type="paragraph" w:styleId="Heading2">
    <w:name w:val="heading 2"/>
    <w:basedOn w:val="Normal"/>
    <w:next w:val="Text1"/>
    <w:qFormat/>
    <w:rsid w:val="00224697"/>
    <w:pPr>
      <w:keepNext/>
      <w:numPr>
        <w:ilvl w:val="1"/>
        <w:numId w:val="7"/>
      </w:numPr>
      <w:outlineLvl w:val="1"/>
    </w:pPr>
    <w:rPr>
      <w:b/>
      <w:bCs/>
      <w:iCs/>
      <w:szCs w:val="28"/>
    </w:rPr>
  </w:style>
  <w:style w:type="paragraph" w:styleId="Heading3">
    <w:name w:val="heading 3"/>
    <w:basedOn w:val="Normal"/>
    <w:next w:val="Text1"/>
    <w:qFormat/>
    <w:rsid w:val="00224697"/>
    <w:pPr>
      <w:keepNext/>
      <w:numPr>
        <w:ilvl w:val="2"/>
        <w:numId w:val="7"/>
      </w:numPr>
      <w:outlineLvl w:val="2"/>
    </w:pPr>
    <w:rPr>
      <w:bCs/>
      <w:i/>
      <w:szCs w:val="26"/>
    </w:rPr>
  </w:style>
  <w:style w:type="paragraph" w:styleId="Heading4">
    <w:name w:val="heading 4"/>
    <w:basedOn w:val="Normal"/>
    <w:next w:val="Text1"/>
    <w:qFormat/>
    <w:rsid w:val="00224697"/>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697"/>
    <w:pPr>
      <w:tabs>
        <w:tab w:val="right" w:pos="9638"/>
      </w:tabs>
    </w:pPr>
  </w:style>
  <w:style w:type="paragraph" w:styleId="Footer">
    <w:name w:val="footer"/>
    <w:basedOn w:val="Normal"/>
    <w:link w:val="FooterChar"/>
    <w:uiPriority w:val="99"/>
    <w:rsid w:val="00224697"/>
    <w:pPr>
      <w:tabs>
        <w:tab w:val="center" w:pos="4819"/>
        <w:tab w:val="center" w:pos="7370"/>
        <w:tab w:val="right" w:pos="9638"/>
      </w:tabs>
      <w:spacing w:before="0" w:after="0" w:line="240" w:lineRule="auto"/>
    </w:pPr>
  </w:style>
  <w:style w:type="paragraph" w:styleId="FootnoteText">
    <w:name w:val="footnote text"/>
    <w:basedOn w:val="Normal"/>
    <w:link w:val="FootnoteTextChar"/>
    <w:rsid w:val="00224697"/>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aliases w:val="BVI fnr,Footnote symbol,Footnote,(Footnote Reference),Footnote reference number,Times 10 Point,Exposant 3 Point,Ref,de nota al pie,note TESI,SUPERS,EN Footnote text,EN Footnote Reference,Voetnootverwijzing,Footnote number,fr,o,FR,FR1"/>
    <w:rsid w:val="00C070C1"/>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link w:val="TechnicalBlockChar"/>
    <w:rsid w:val="00224697"/>
    <w:pPr>
      <w:spacing w:before="0" w:after="240" w:line="240" w:lineRule="auto"/>
      <w:jc w:val="center"/>
    </w:pPr>
  </w:style>
  <w:style w:type="character" w:customStyle="1" w:styleId="Marker">
    <w:name w:val="Marker"/>
    <w:rsid w:val="00224697"/>
    <w:rPr>
      <w:color w:val="0000FF"/>
      <w:shd w:val="clear" w:color="auto" w:fill="auto"/>
    </w:rPr>
  </w:style>
  <w:style w:type="character" w:customStyle="1" w:styleId="Marker1">
    <w:name w:val="Marker1"/>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1"/>
      </w:numPr>
    </w:pPr>
  </w:style>
  <w:style w:type="paragraph" w:customStyle="1" w:styleId="Tiret1">
    <w:name w:val="Tiret 1"/>
    <w:basedOn w:val="Normal"/>
    <w:rsid w:val="00224697"/>
    <w:pPr>
      <w:numPr>
        <w:numId w:val="2"/>
      </w:numPr>
      <w:outlineLvl w:val="0"/>
    </w:pPr>
  </w:style>
  <w:style w:type="paragraph" w:customStyle="1" w:styleId="Tiret2">
    <w:name w:val="Tiret 2"/>
    <w:basedOn w:val="Normal"/>
    <w:rsid w:val="00224697"/>
    <w:pPr>
      <w:numPr>
        <w:numId w:val="3"/>
      </w:numPr>
      <w:outlineLvl w:val="1"/>
    </w:pPr>
  </w:style>
  <w:style w:type="paragraph" w:customStyle="1" w:styleId="Tiret3">
    <w:name w:val="Tiret 3"/>
    <w:basedOn w:val="Normal"/>
    <w:rsid w:val="00224697"/>
    <w:pPr>
      <w:numPr>
        <w:numId w:val="4"/>
      </w:numPr>
      <w:outlineLvl w:val="2"/>
    </w:pPr>
  </w:style>
  <w:style w:type="paragraph" w:customStyle="1" w:styleId="Tiret4">
    <w:name w:val="Tiret 4"/>
    <w:basedOn w:val="Normal"/>
    <w:rsid w:val="00224697"/>
    <w:pPr>
      <w:numPr>
        <w:numId w:val="5"/>
      </w:numPr>
      <w:outlineLvl w:val="3"/>
    </w:pPr>
  </w:style>
  <w:style w:type="paragraph" w:customStyle="1" w:styleId="NumPar1">
    <w:name w:val="NumPar 1"/>
    <w:basedOn w:val="Normal"/>
    <w:next w:val="Text1"/>
    <w:rsid w:val="00224697"/>
    <w:pPr>
      <w:numPr>
        <w:numId w:val="6"/>
      </w:numPr>
      <w:outlineLvl w:val="0"/>
    </w:pPr>
  </w:style>
  <w:style w:type="paragraph" w:customStyle="1" w:styleId="NumPar2">
    <w:name w:val="NumPar 2"/>
    <w:basedOn w:val="Normal"/>
    <w:next w:val="Text1"/>
    <w:rsid w:val="00224697"/>
    <w:pPr>
      <w:numPr>
        <w:ilvl w:val="1"/>
        <w:numId w:val="6"/>
      </w:numPr>
      <w:outlineLvl w:val="1"/>
    </w:pPr>
  </w:style>
  <w:style w:type="paragraph" w:customStyle="1" w:styleId="NumPar3">
    <w:name w:val="NumPar 3"/>
    <w:basedOn w:val="Normal"/>
    <w:next w:val="Text1"/>
    <w:rsid w:val="00224697"/>
    <w:pPr>
      <w:numPr>
        <w:ilvl w:val="2"/>
        <w:numId w:val="6"/>
      </w:numPr>
      <w:outlineLvl w:val="2"/>
    </w:pPr>
  </w:style>
  <w:style w:type="paragraph" w:customStyle="1" w:styleId="NumPar4">
    <w:name w:val="NumPar 4"/>
    <w:basedOn w:val="Normal"/>
    <w:next w:val="Text1"/>
    <w:rsid w:val="00224697"/>
    <w:pPr>
      <w:numPr>
        <w:ilvl w:val="3"/>
        <w:numId w:val="6"/>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8"/>
      </w:numPr>
    </w:pPr>
  </w:style>
  <w:style w:type="paragraph" w:customStyle="1" w:styleId="Point1number">
    <w:name w:val="Point 1 (number)"/>
    <w:basedOn w:val="Normal"/>
    <w:rsid w:val="00224697"/>
    <w:pPr>
      <w:numPr>
        <w:ilvl w:val="2"/>
        <w:numId w:val="8"/>
      </w:numPr>
      <w:outlineLvl w:val="0"/>
    </w:pPr>
  </w:style>
  <w:style w:type="paragraph" w:customStyle="1" w:styleId="Point2number">
    <w:name w:val="Point 2 (number)"/>
    <w:basedOn w:val="Normal"/>
    <w:rsid w:val="00224697"/>
    <w:pPr>
      <w:numPr>
        <w:ilvl w:val="4"/>
        <w:numId w:val="8"/>
      </w:numPr>
      <w:outlineLvl w:val="1"/>
    </w:pPr>
  </w:style>
  <w:style w:type="paragraph" w:customStyle="1" w:styleId="Point3number">
    <w:name w:val="Point 3 (number)"/>
    <w:basedOn w:val="Normal"/>
    <w:rsid w:val="00224697"/>
    <w:pPr>
      <w:numPr>
        <w:ilvl w:val="6"/>
        <w:numId w:val="8"/>
      </w:numPr>
      <w:outlineLvl w:val="2"/>
    </w:pPr>
  </w:style>
  <w:style w:type="paragraph" w:customStyle="1" w:styleId="Point0letter">
    <w:name w:val="Point 0 (letter)"/>
    <w:basedOn w:val="Normal"/>
    <w:rsid w:val="00224697"/>
    <w:pPr>
      <w:numPr>
        <w:ilvl w:val="1"/>
        <w:numId w:val="8"/>
      </w:numPr>
    </w:pPr>
  </w:style>
  <w:style w:type="paragraph" w:customStyle="1" w:styleId="Point1letter">
    <w:name w:val="Point 1 (letter)"/>
    <w:basedOn w:val="Normal"/>
    <w:rsid w:val="00224697"/>
    <w:pPr>
      <w:numPr>
        <w:ilvl w:val="3"/>
        <w:numId w:val="8"/>
      </w:numPr>
      <w:outlineLvl w:val="0"/>
    </w:pPr>
  </w:style>
  <w:style w:type="paragraph" w:customStyle="1" w:styleId="Point2letter">
    <w:name w:val="Point 2 (letter)"/>
    <w:basedOn w:val="Normal"/>
    <w:rsid w:val="00224697"/>
    <w:pPr>
      <w:numPr>
        <w:ilvl w:val="5"/>
        <w:numId w:val="8"/>
      </w:numPr>
      <w:outlineLvl w:val="1"/>
    </w:pPr>
  </w:style>
  <w:style w:type="paragraph" w:customStyle="1" w:styleId="Point3letter">
    <w:name w:val="Point 3 (letter)"/>
    <w:basedOn w:val="Normal"/>
    <w:rsid w:val="00224697"/>
    <w:pPr>
      <w:numPr>
        <w:ilvl w:val="7"/>
        <w:numId w:val="8"/>
      </w:numPr>
      <w:outlineLvl w:val="2"/>
    </w:pPr>
  </w:style>
  <w:style w:type="paragraph" w:customStyle="1" w:styleId="Point4letter">
    <w:name w:val="Point 4 (letter)"/>
    <w:basedOn w:val="Normal"/>
    <w:rsid w:val="00224697"/>
    <w:pPr>
      <w:numPr>
        <w:ilvl w:val="8"/>
        <w:numId w:val="8"/>
      </w:numPr>
      <w:outlineLvl w:val="3"/>
    </w:pPr>
  </w:style>
  <w:style w:type="paragraph" w:customStyle="1" w:styleId="Bullet0">
    <w:name w:val="Bullet 0"/>
    <w:basedOn w:val="Normal"/>
    <w:rsid w:val="00224697"/>
    <w:pPr>
      <w:numPr>
        <w:numId w:val="9"/>
      </w:numPr>
    </w:pPr>
  </w:style>
  <w:style w:type="paragraph" w:customStyle="1" w:styleId="Bullet1">
    <w:name w:val="Bullet 1"/>
    <w:basedOn w:val="Normal"/>
    <w:rsid w:val="00224697"/>
    <w:pPr>
      <w:numPr>
        <w:numId w:val="10"/>
      </w:numPr>
      <w:outlineLvl w:val="0"/>
    </w:pPr>
  </w:style>
  <w:style w:type="paragraph" w:customStyle="1" w:styleId="Bullet2">
    <w:name w:val="Bullet 2"/>
    <w:basedOn w:val="Normal"/>
    <w:rsid w:val="00224697"/>
    <w:pPr>
      <w:numPr>
        <w:numId w:val="11"/>
      </w:numPr>
      <w:outlineLvl w:val="1"/>
    </w:pPr>
  </w:style>
  <w:style w:type="paragraph" w:customStyle="1" w:styleId="Bullet3">
    <w:name w:val="Bullet 3"/>
    <w:basedOn w:val="Normal"/>
    <w:rsid w:val="00224697"/>
    <w:pPr>
      <w:numPr>
        <w:numId w:val="12"/>
      </w:numPr>
      <w:outlineLvl w:val="2"/>
    </w:pPr>
  </w:style>
  <w:style w:type="paragraph" w:customStyle="1" w:styleId="Bullet4">
    <w:name w:val="Bullet 4"/>
    <w:basedOn w:val="Normal"/>
    <w:rsid w:val="00224697"/>
    <w:pPr>
      <w:numPr>
        <w:numId w:val="13"/>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4"/>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 w:type="paragraph" w:customStyle="1" w:styleId="Langue">
    <w:name w:val="Langue"/>
    <w:basedOn w:val="Normal"/>
    <w:next w:val="Rfrenceinterne"/>
    <w:rsid w:val="00191C51"/>
    <w:pPr>
      <w:spacing w:before="0" w:after="600" w:line="240" w:lineRule="auto"/>
      <w:jc w:val="center"/>
    </w:pPr>
    <w:rPr>
      <w:b/>
      <w:caps/>
      <w:lang w:eastAsia="de-DE"/>
    </w:rPr>
  </w:style>
  <w:style w:type="paragraph" w:customStyle="1" w:styleId="Rfrenceinterne">
    <w:name w:val="Référence interne"/>
    <w:basedOn w:val="Normal"/>
    <w:next w:val="Normal"/>
    <w:rsid w:val="00191C51"/>
    <w:pPr>
      <w:spacing w:before="0" w:after="600" w:line="240" w:lineRule="auto"/>
      <w:jc w:val="center"/>
    </w:pPr>
    <w:rPr>
      <w:b/>
      <w:lang w:eastAsia="de-DE"/>
    </w:rPr>
  </w:style>
  <w:style w:type="paragraph" w:customStyle="1" w:styleId="HeaderCouncilLarge">
    <w:name w:val="Header Council Large"/>
    <w:basedOn w:val="Normal"/>
    <w:link w:val="HeaderCouncilLargeChar"/>
    <w:rsid w:val="00191C51"/>
    <w:pPr>
      <w:spacing w:before="0" w:after="440"/>
      <w:ind w:left="-1134" w:right="-1134"/>
    </w:pPr>
    <w:rPr>
      <w:sz w:val="2"/>
    </w:rPr>
  </w:style>
  <w:style w:type="character" w:customStyle="1" w:styleId="TechnicalBlockChar">
    <w:name w:val="Technical Block Char"/>
    <w:link w:val="TechnicalBlock"/>
    <w:rsid w:val="00191C51"/>
    <w:rPr>
      <w:sz w:val="24"/>
      <w:szCs w:val="24"/>
      <w:lang w:val="lv-LV" w:eastAsia="en-US"/>
    </w:rPr>
  </w:style>
  <w:style w:type="character" w:customStyle="1" w:styleId="HeaderCouncilLargeChar">
    <w:name w:val="Header Council Large Char"/>
    <w:link w:val="HeaderCouncilLarge"/>
    <w:rsid w:val="00191C51"/>
    <w:rPr>
      <w:sz w:val="2"/>
      <w:szCs w:val="24"/>
      <w:lang w:val="lv-LV" w:eastAsia="en-US"/>
    </w:rPr>
  </w:style>
  <w:style w:type="table" w:styleId="TableGrid">
    <w:name w:val="Table Grid"/>
    <w:basedOn w:val="TableNormal"/>
    <w:rsid w:val="0019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191C51"/>
    <w:pPr>
      <w:spacing w:before="0" w:after="0" w:line="240" w:lineRule="auto"/>
    </w:pPr>
    <w:rPr>
      <w:lang w:val="en-GB"/>
    </w:rPr>
  </w:style>
  <w:style w:type="character" w:customStyle="1" w:styleId="FootnoteTextChar">
    <w:name w:val="Footnote Text Char"/>
    <w:link w:val="FootnoteText"/>
    <w:rsid w:val="00E55504"/>
    <w:rPr>
      <w:sz w:val="24"/>
      <w:lang w:val="lv-LV" w:eastAsia="en-US"/>
    </w:rPr>
  </w:style>
  <w:style w:type="character" w:customStyle="1" w:styleId="Deleted">
    <w:name w:val="Deleted"/>
    <w:rsid w:val="00E55504"/>
    <w:rPr>
      <w:strike/>
      <w:shd w:val="clear" w:color="auto" w:fill="auto"/>
    </w:rPr>
  </w:style>
  <w:style w:type="paragraph" w:styleId="ListBullet">
    <w:name w:val="List Bullet"/>
    <w:basedOn w:val="Normal"/>
    <w:uiPriority w:val="99"/>
    <w:semiHidden/>
    <w:unhideWhenUsed/>
    <w:rsid w:val="00C070C1"/>
    <w:pPr>
      <w:numPr>
        <w:numId w:val="17"/>
      </w:numPr>
      <w:contextualSpacing/>
    </w:pPr>
  </w:style>
  <w:style w:type="paragraph" w:styleId="ListBullet2">
    <w:name w:val="List Bullet 2"/>
    <w:basedOn w:val="Normal"/>
    <w:uiPriority w:val="99"/>
    <w:semiHidden/>
    <w:unhideWhenUsed/>
    <w:rsid w:val="00C070C1"/>
    <w:pPr>
      <w:numPr>
        <w:numId w:val="18"/>
      </w:numPr>
      <w:contextualSpacing/>
    </w:pPr>
  </w:style>
  <w:style w:type="paragraph" w:styleId="ListBullet3">
    <w:name w:val="List Bullet 3"/>
    <w:basedOn w:val="Normal"/>
    <w:uiPriority w:val="99"/>
    <w:semiHidden/>
    <w:unhideWhenUsed/>
    <w:rsid w:val="00C070C1"/>
    <w:pPr>
      <w:numPr>
        <w:numId w:val="19"/>
      </w:numPr>
      <w:contextualSpacing/>
    </w:pPr>
  </w:style>
  <w:style w:type="paragraph" w:styleId="ListBullet4">
    <w:name w:val="List Bullet 4"/>
    <w:basedOn w:val="Normal"/>
    <w:uiPriority w:val="99"/>
    <w:semiHidden/>
    <w:unhideWhenUsed/>
    <w:rsid w:val="00C070C1"/>
    <w:pPr>
      <w:numPr>
        <w:numId w:val="20"/>
      </w:numPr>
      <w:contextualSpacing/>
    </w:pPr>
  </w:style>
  <w:style w:type="paragraph" w:styleId="ListNumber">
    <w:name w:val="List Number"/>
    <w:basedOn w:val="Normal"/>
    <w:uiPriority w:val="99"/>
    <w:semiHidden/>
    <w:unhideWhenUsed/>
    <w:rsid w:val="00C070C1"/>
    <w:pPr>
      <w:numPr>
        <w:numId w:val="21"/>
      </w:numPr>
      <w:contextualSpacing/>
    </w:pPr>
  </w:style>
  <w:style w:type="paragraph" w:styleId="ListNumber2">
    <w:name w:val="List Number 2"/>
    <w:basedOn w:val="Normal"/>
    <w:uiPriority w:val="99"/>
    <w:semiHidden/>
    <w:unhideWhenUsed/>
    <w:rsid w:val="00C070C1"/>
    <w:pPr>
      <w:numPr>
        <w:numId w:val="22"/>
      </w:numPr>
      <w:contextualSpacing/>
    </w:pPr>
  </w:style>
  <w:style w:type="paragraph" w:styleId="ListNumber3">
    <w:name w:val="List Number 3"/>
    <w:basedOn w:val="Normal"/>
    <w:uiPriority w:val="99"/>
    <w:semiHidden/>
    <w:unhideWhenUsed/>
    <w:rsid w:val="00C070C1"/>
    <w:pPr>
      <w:numPr>
        <w:numId w:val="23"/>
      </w:numPr>
      <w:contextualSpacing/>
    </w:pPr>
  </w:style>
  <w:style w:type="paragraph" w:styleId="ListNumber4">
    <w:name w:val="List Number 4"/>
    <w:basedOn w:val="Normal"/>
    <w:uiPriority w:val="99"/>
    <w:semiHidden/>
    <w:unhideWhenUsed/>
    <w:rsid w:val="00C070C1"/>
    <w:pPr>
      <w:numPr>
        <w:numId w:val="24"/>
      </w:numPr>
      <w:contextualSpacing/>
    </w:pPr>
  </w:style>
  <w:style w:type="character" w:styleId="CommentReference">
    <w:name w:val="annotation reference"/>
    <w:uiPriority w:val="99"/>
    <w:semiHidden/>
    <w:unhideWhenUsed/>
    <w:rsid w:val="00C070C1"/>
    <w:rPr>
      <w:sz w:val="16"/>
      <w:szCs w:val="16"/>
    </w:rPr>
  </w:style>
  <w:style w:type="paragraph" w:styleId="CommentText">
    <w:name w:val="annotation text"/>
    <w:basedOn w:val="Normal"/>
    <w:link w:val="CommentTextChar"/>
    <w:uiPriority w:val="99"/>
    <w:semiHidden/>
    <w:unhideWhenUsed/>
    <w:rsid w:val="00C070C1"/>
    <w:rPr>
      <w:sz w:val="20"/>
      <w:szCs w:val="20"/>
    </w:rPr>
  </w:style>
  <w:style w:type="character" w:customStyle="1" w:styleId="CommentTextChar">
    <w:name w:val="Comment Text Char"/>
    <w:link w:val="CommentText"/>
    <w:uiPriority w:val="99"/>
    <w:semiHidden/>
    <w:rsid w:val="00C070C1"/>
    <w:rPr>
      <w:lang w:val="lv-LV" w:eastAsia="en-US"/>
    </w:rPr>
  </w:style>
  <w:style w:type="paragraph" w:styleId="CommentSubject">
    <w:name w:val="annotation subject"/>
    <w:basedOn w:val="CommentText"/>
    <w:next w:val="CommentText"/>
    <w:link w:val="CommentSubjectChar"/>
    <w:uiPriority w:val="99"/>
    <w:semiHidden/>
    <w:unhideWhenUsed/>
    <w:rsid w:val="00C070C1"/>
    <w:rPr>
      <w:b/>
      <w:bCs/>
    </w:rPr>
  </w:style>
  <w:style w:type="character" w:customStyle="1" w:styleId="CommentSubjectChar">
    <w:name w:val="Comment Subject Char"/>
    <w:link w:val="CommentSubject"/>
    <w:uiPriority w:val="99"/>
    <w:semiHidden/>
    <w:rsid w:val="00C070C1"/>
    <w:rPr>
      <w:b/>
      <w:bCs/>
      <w:lang w:val="lv-LV" w:eastAsia="en-US"/>
    </w:rPr>
  </w:style>
  <w:style w:type="character" w:styleId="Hyperlink">
    <w:name w:val="Hyperlink"/>
    <w:uiPriority w:val="99"/>
    <w:unhideWhenUsed/>
    <w:rsid w:val="00C070C1"/>
    <w:rPr>
      <w:color w:val="0000FF"/>
      <w:u w:val="single"/>
    </w:rPr>
  </w:style>
  <w:style w:type="paragraph" w:styleId="BalloonText">
    <w:name w:val="Balloon Text"/>
    <w:basedOn w:val="Normal"/>
    <w:link w:val="BalloonTextChar"/>
    <w:uiPriority w:val="99"/>
    <w:semiHidden/>
    <w:unhideWhenUsed/>
    <w:rsid w:val="003F41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F41F0"/>
    <w:rPr>
      <w:rFonts w:ascii="Tahoma" w:hAnsi="Tahoma" w:cs="Tahoma"/>
      <w:sz w:val="16"/>
      <w:szCs w:val="16"/>
      <w:lang w:val="lv-LV" w:eastAsia="en-US"/>
    </w:rPr>
  </w:style>
  <w:style w:type="paragraph" w:customStyle="1" w:styleId="Default">
    <w:name w:val="Default"/>
    <w:rsid w:val="00645C5E"/>
    <w:pPr>
      <w:autoSpaceDE w:val="0"/>
      <w:autoSpaceDN w:val="0"/>
      <w:adjustRightInd w:val="0"/>
    </w:pPr>
    <w:rPr>
      <w:rFonts w:ascii="EUAlbertina" w:hAnsi="EUAlbertina" w:cs="EUAlbertina"/>
      <w:color w:val="000000"/>
      <w:sz w:val="24"/>
      <w:szCs w:val="24"/>
    </w:rPr>
  </w:style>
  <w:style w:type="character" w:customStyle="1" w:styleId="FooterChar">
    <w:name w:val="Footer Char"/>
    <w:basedOn w:val="DefaultParagraphFont"/>
    <w:link w:val="Footer"/>
    <w:uiPriority w:val="99"/>
    <w:rsid w:val="00862BDF"/>
    <w:rPr>
      <w:sz w:val="24"/>
      <w:szCs w:val="24"/>
      <w:lang w:eastAsia="en-US"/>
    </w:rPr>
  </w:style>
  <w:style w:type="character" w:customStyle="1" w:styleId="HeaderChar">
    <w:name w:val="Header Char"/>
    <w:basedOn w:val="DefaultParagraphFont"/>
    <w:link w:val="Header"/>
    <w:uiPriority w:val="99"/>
    <w:rsid w:val="00862B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A.Apse</Vad_x012b_t_x0101_js>
    <Kategorija xmlns="2e5bb04e-596e-45bd-9003-43ca78b1ba16">Lēmums</Kategorija>
    <DKP xmlns="2e5bb04e-596e-45bd-9003-43ca78b1ba16">126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A36E5-8112-42A4-91D7-8818DBB9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ABFBAF-85C3-4113-8BCA-C1F3CDF10582}">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2e5bb04e-596e-45bd-9003-43ca78b1ba16"/>
    <ds:schemaRef ds:uri="http://schemas.microsoft.com/office/2006/metadata/properties"/>
  </ds:schemaRefs>
</ds:datastoreItem>
</file>

<file path=customXml/itemProps3.xml><?xml version="1.0" encoding="utf-8"?>
<ds:datastoreItem xmlns:ds="http://schemas.openxmlformats.org/officeDocument/2006/customXml" ds:itemID="{9AC5EB04-A74F-48FB-B96F-3C6CBA61C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21</Pages>
  <Words>2507</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Lēmums "Par Padomes 2014.gada 26.maija lēmumu 2014/335/ES, Euratom par Eiropas Savienības pašu resursu sistēmu"</vt:lpstr>
    </vt:vector>
  </TitlesOfParts>
  <Company/>
  <LinksUpToDate>false</LinksUpToDate>
  <CharactersWithSpaces>17641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 "Par Padomes 2014.gada 26.maija lēmumu 2014/335/ES, Euratom par Eiropas Savienības pašu resursu sistēmu"</dc:title>
  <dc:subject/>
  <dc:creator>R.Konstante</dc:creator>
  <cp:keywords/>
  <cp:lastModifiedBy>Inguna Dancīte</cp:lastModifiedBy>
  <cp:revision>2</cp:revision>
  <cp:lastPrinted>2015-09-21T12:33:00Z</cp:lastPrinted>
  <dcterms:created xsi:type="dcterms:W3CDTF">2015-11-10T07:14:00Z</dcterms:created>
  <dcterms:modified xsi:type="dcterms:W3CDTF">2015-11-10T07:14:00Z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2.5.6, Build 20140108</vt:lpwstr>
  </property>
  <property fmtid="{D5CDD505-2E9C-101B-9397-08002B2CF9AE}" pid="4" name="Last edited using">
    <vt:lpwstr>DocuWrite 2.5.6, Build 20140108</vt:lpwstr>
  </property>
  <property fmtid="{D5CDD505-2E9C-101B-9397-08002B2CF9AE}" pid="5" name="ContentTypeId">
    <vt:lpwstr>0x010100B13C17E496EC6C4A9A0A8204C89EE578</vt:lpwstr>
  </property>
</Properties>
</file>