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9B6C42">
        <w:rPr>
          <w:rFonts w:ascii="Times New Roman" w:eastAsia="Calibri" w:hAnsi="Times New Roman" w:cs="Times New Roman"/>
          <w:sz w:val="28"/>
        </w:rPr>
        <w:t>5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Default="00CB416B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„Par Ministru kabineta 201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4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12.novembra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sēdes protokollēmuma (prot. Nr.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62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.§) „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Informatīvais ziņojums “Par iespējām palielināt ieņēmumus”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” (TA-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758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) </w:t>
      </w:r>
      <w:r w:rsidR="009B6C42">
        <w:rPr>
          <w:rFonts w:ascii="Times New Roman" w:hAnsi="Times New Roman" w:cs="Times New Roman"/>
          <w:b/>
          <w:sz w:val="28"/>
          <w:szCs w:val="28"/>
          <w:lang w:eastAsia="lv-LV"/>
        </w:rPr>
        <w:t>2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.punktā dotā uzdevuma izpildes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termiņa 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pagarināšanu”</w:t>
      </w:r>
    </w:p>
    <w:p w:rsidR="008A0380" w:rsidRPr="008A0380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BD3F68">
        <w:rPr>
          <w:rFonts w:ascii="Times New Roman" w:eastAsia="Calibri" w:hAnsi="Times New Roman" w:cs="Times New Roman"/>
          <w:sz w:val="28"/>
          <w:szCs w:val="28"/>
        </w:rPr>
        <w:t>finanšu ministra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sniegto informāciju </w:t>
      </w:r>
      <w:r w:rsidR="00274497">
        <w:rPr>
          <w:rFonts w:ascii="Times New Roman" w:eastAsia="Calibri" w:hAnsi="Times New Roman" w:cs="Times New Roman"/>
          <w:sz w:val="28"/>
          <w:szCs w:val="28"/>
        </w:rPr>
        <w:t>par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Ministru kabineta </w:t>
      </w:r>
      <w:r w:rsidR="009B6C42" w:rsidRPr="009B6C42">
        <w:rPr>
          <w:rFonts w:ascii="Times New Roman" w:eastAsia="Calibri" w:hAnsi="Times New Roman" w:cs="Times New Roman"/>
          <w:sz w:val="28"/>
          <w:szCs w:val="28"/>
        </w:rPr>
        <w:t xml:space="preserve">2014.gada 12.novembra sēdes protokollēmuma (prot. Nr.62 3.§) „Informatīvais ziņojums “Par iespējām palielināt ieņēmumus”” 2.punktā </w:t>
      </w:r>
      <w:r w:rsidR="00274497" w:rsidRPr="00274497">
        <w:rPr>
          <w:rFonts w:ascii="Times New Roman" w:eastAsia="Calibri" w:hAnsi="Times New Roman" w:cs="Times New Roman"/>
          <w:sz w:val="28"/>
          <w:szCs w:val="28"/>
        </w:rPr>
        <w:t>doto uzdevumu, pagarināt tā izpildes termiņu</w:t>
      </w:r>
      <w:r w:rsidR="000A1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4A3">
        <w:rPr>
          <w:rFonts w:ascii="Times New Roman" w:eastAsia="Calibri" w:hAnsi="Times New Roman" w:cs="Times New Roman"/>
          <w:sz w:val="28"/>
          <w:szCs w:val="28"/>
        </w:rPr>
        <w:t>līdz 2016.gada 1.jūl</w:t>
      </w:r>
      <w:r w:rsidR="009B6C42">
        <w:rPr>
          <w:rFonts w:ascii="Times New Roman" w:eastAsia="Calibri" w:hAnsi="Times New Roman" w:cs="Times New Roman"/>
          <w:sz w:val="28"/>
          <w:szCs w:val="28"/>
        </w:rPr>
        <w:t>ijam</w:t>
      </w:r>
      <w:r w:rsidRPr="008A0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9B6C4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B6C42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</w:t>
      </w:r>
      <w:r w:rsidR="00064F3B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proofErr w:type="spellStart"/>
      <w:r w:rsidR="00064F3B">
        <w:rPr>
          <w:rFonts w:ascii="Times New Roman" w:eastAsia="Times New Roman" w:hAnsi="Times New Roman" w:cs="Times New Roman"/>
          <w:sz w:val="28"/>
          <w:szCs w:val="20"/>
        </w:rPr>
        <w:t>M.Krieviņš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600B" w:rsidRPr="00E0600B" w:rsidRDefault="00BD3F68" w:rsidP="00E0600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E0600B">
        <w:rPr>
          <w:rFonts w:ascii="Times New Roman" w:eastAsia="Times New Roman" w:hAnsi="Times New Roman" w:cs="Times New Roman"/>
          <w:sz w:val="28"/>
          <w:szCs w:val="20"/>
        </w:rPr>
        <w:t>a vietā -</w:t>
      </w:r>
      <w:r w:rsidR="008A0380" w:rsidRPr="008A03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CF157D" w:rsidRPr="00CF157D" w:rsidRDefault="00CF157D" w:rsidP="00CF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F157D">
        <w:rPr>
          <w:rFonts w:ascii="Times New Roman" w:eastAsia="Times New Roman" w:hAnsi="Times New Roman" w:cs="Times New Roman"/>
          <w:sz w:val="28"/>
          <w:szCs w:val="20"/>
        </w:rPr>
        <w:t>Iekšlietu ministrs</w:t>
      </w:r>
      <w:r w:rsidRPr="00CF15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CF157D">
        <w:rPr>
          <w:rFonts w:ascii="Times New Roman" w:eastAsia="Times New Roman" w:hAnsi="Times New Roman" w:cs="Times New Roman"/>
          <w:sz w:val="28"/>
          <w:szCs w:val="20"/>
        </w:rPr>
        <w:t>R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F157D">
        <w:rPr>
          <w:rFonts w:ascii="Times New Roman" w:eastAsia="Times New Roman" w:hAnsi="Times New Roman" w:cs="Times New Roman"/>
          <w:sz w:val="28"/>
          <w:szCs w:val="20"/>
        </w:rPr>
        <w:t>Kozlovskis</w:t>
      </w:r>
      <w:proofErr w:type="spellEnd"/>
      <w:r w:rsidRPr="00CF15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A0380" w:rsidRPr="008A0380" w:rsidRDefault="008A0380" w:rsidP="00CF15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1448" w:rsidRDefault="000A1448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Pr="008A0380" w:rsidRDefault="00D758A8" w:rsidP="00D758A8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D3F68" w:rsidRPr="00274404" w:rsidRDefault="00D50402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12.10</w:t>
      </w:r>
      <w:bookmarkStart w:id="0" w:name="_GoBack"/>
      <w:bookmarkEnd w:id="0"/>
      <w:r w:rsidR="009B6C42">
        <w:rPr>
          <w:rFonts w:ascii="Times New Roman" w:eastAsia="Calibri" w:hAnsi="Times New Roman" w:cs="Times New Roman"/>
          <w:sz w:val="20"/>
          <w:szCs w:val="20"/>
        </w:rPr>
        <w:t>.2015</w:t>
      </w:r>
      <w:r w:rsidR="000A1448">
        <w:rPr>
          <w:rFonts w:ascii="Times New Roman" w:eastAsia="Calibri" w:hAnsi="Times New Roman" w:cs="Times New Roman"/>
          <w:sz w:val="20"/>
          <w:szCs w:val="20"/>
        </w:rPr>
        <w:t xml:space="preserve"> 10:26</w:t>
      </w:r>
    </w:p>
    <w:p w:rsidR="00541524" w:rsidRPr="00274497" w:rsidRDefault="00541524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begin"/>
      </w:r>
      <w:r w:rsidRPr="00274497">
        <w:rPr>
          <w:rFonts w:ascii="Times New Roman" w:eastAsia="Calibri" w:hAnsi="Times New Roman" w:cs="Times New Roman"/>
          <w:sz w:val="20"/>
          <w:szCs w:val="20"/>
        </w:rPr>
        <w:instrText xml:space="preserve"> NUMWORDS  </w:instrText>
      </w: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separate"/>
      </w:r>
      <w:r w:rsidR="00F22BDF">
        <w:rPr>
          <w:rFonts w:ascii="Times New Roman" w:eastAsia="Calibri" w:hAnsi="Times New Roman" w:cs="Times New Roman"/>
          <w:noProof/>
          <w:sz w:val="20"/>
          <w:szCs w:val="20"/>
        </w:rPr>
        <w:t>85</w: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8A0380" w:rsidRPr="00274404" w:rsidRDefault="00274497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K.Voiniča</w:t>
      </w:r>
      <w:proofErr w:type="spellEnd"/>
      <w:r w:rsidR="00BD3F68" w:rsidRPr="00274404">
        <w:rPr>
          <w:rFonts w:ascii="Times New Roman" w:eastAsia="Calibri" w:hAnsi="Times New Roman" w:cs="Times New Roman"/>
          <w:sz w:val="20"/>
          <w:szCs w:val="20"/>
        </w:rPr>
        <w:t>, 67</w:t>
      </w:r>
      <w:r>
        <w:rPr>
          <w:rFonts w:ascii="Times New Roman" w:eastAsia="Calibri" w:hAnsi="Times New Roman" w:cs="Times New Roman"/>
          <w:sz w:val="20"/>
          <w:szCs w:val="20"/>
        </w:rPr>
        <w:t>095567</w:t>
      </w:r>
    </w:p>
    <w:p w:rsidR="0004625D" w:rsidRDefault="00274497" w:rsidP="005A3CA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Kristine.Voinica</w:t>
      </w:r>
      <w:r w:rsidR="00BD3F68" w:rsidRPr="00274404">
        <w:rPr>
          <w:rFonts w:ascii="Times New Roman" w:eastAsia="Calibri" w:hAnsi="Times New Roman" w:cs="Times New Roman"/>
          <w:sz w:val="20"/>
          <w:szCs w:val="20"/>
        </w:rPr>
        <w:t>@fm.gov.lv</w:t>
      </w:r>
    </w:p>
    <w:sectPr w:rsidR="0004625D" w:rsidSect="00274404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29" w:rsidRDefault="004D7D29">
      <w:pPr>
        <w:spacing w:after="0" w:line="240" w:lineRule="auto"/>
      </w:pPr>
      <w:r>
        <w:separator/>
      </w:r>
    </w:p>
  </w:endnote>
  <w:endnote w:type="continuationSeparator" w:id="0">
    <w:p w:rsidR="004D7D29" w:rsidRDefault="004D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4D7D29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protokollēmuma </w:t>
    </w:r>
    <w:r w:rsidRPr="006935E9">
      <w:rPr>
        <w:rFonts w:ascii="Times New Roman" w:hAnsi="Times New Roman"/>
      </w:rPr>
      <w:t>„Par Ministru kabineta 2008.gada 15.septembra sēdes protokollēmuma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4D7D29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4D7D29" w:rsidP="00E80697">
    <w:pPr>
      <w:pStyle w:val="Footer"/>
      <w:jc w:val="both"/>
      <w:rPr>
        <w:rFonts w:ascii="Times New Roman" w:hAnsi="Times New Roman"/>
      </w:rPr>
    </w:pPr>
  </w:p>
  <w:p w:rsidR="00E80697" w:rsidRPr="00274404" w:rsidRDefault="00C62D25" w:rsidP="002537F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CF157D">
      <w:rPr>
        <w:rFonts w:ascii="Times New Roman" w:hAnsi="Times New Roman"/>
        <w:sz w:val="20"/>
        <w:szCs w:val="20"/>
      </w:rPr>
      <w:t>1210</w:t>
    </w:r>
    <w:r w:rsidR="009B6C42">
      <w:rPr>
        <w:rFonts w:ascii="Times New Roman" w:hAnsi="Times New Roman"/>
        <w:sz w:val="20"/>
        <w:szCs w:val="20"/>
      </w:rPr>
      <w:t>15</w:t>
    </w:r>
    <w:r w:rsidR="00541524" w:rsidRPr="00274404">
      <w:rPr>
        <w:rFonts w:ascii="Times New Roman" w:hAnsi="Times New Roman"/>
        <w:sz w:val="20"/>
        <w:szCs w:val="20"/>
      </w:rPr>
      <w:t>_</w:t>
    </w:r>
    <w:r w:rsidR="00274497">
      <w:rPr>
        <w:rFonts w:ascii="Times New Roman" w:hAnsi="Times New Roman"/>
        <w:sz w:val="20"/>
        <w:szCs w:val="20"/>
      </w:rPr>
      <w:t>k</w:t>
    </w:r>
    <w:r w:rsidR="009B6C42">
      <w:rPr>
        <w:rFonts w:ascii="Times New Roman" w:hAnsi="Times New Roman"/>
        <w:sz w:val="20"/>
        <w:szCs w:val="20"/>
      </w:rPr>
      <w:t>onti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bookmarkStart w:id="5" w:name="OLE_LINK1"/>
    <w:bookmarkStart w:id="6" w:name="OLE_LINK2"/>
    <w:bookmarkStart w:id="7" w:name="OLE_LINK9"/>
    <w:bookmarkStart w:id="8" w:name="OLE_LINK3"/>
    <w:r w:rsidR="00541524" w:rsidRPr="00274404">
      <w:rPr>
        <w:rFonts w:ascii="Times New Roman" w:hAnsi="Times New Roman"/>
        <w:sz w:val="20"/>
        <w:szCs w:val="20"/>
      </w:rPr>
      <w:t xml:space="preserve">Ministru kabineta sēdes protokollēmuma </w:t>
    </w:r>
    <w:r w:rsidR="00FB6CE9" w:rsidRPr="00274404">
      <w:rPr>
        <w:rFonts w:ascii="Times New Roman" w:hAnsi="Times New Roman"/>
        <w:sz w:val="20"/>
        <w:szCs w:val="20"/>
      </w:rPr>
      <w:t xml:space="preserve">projekts </w:t>
    </w:r>
    <w:bookmarkEnd w:id="5"/>
    <w:bookmarkEnd w:id="6"/>
    <w:bookmarkEnd w:id="7"/>
    <w:bookmarkEnd w:id="8"/>
    <w:r w:rsidR="009B6C42" w:rsidRPr="009B6C42">
      <w:rPr>
        <w:rFonts w:ascii="Times New Roman" w:hAnsi="Times New Roman"/>
        <w:sz w:val="20"/>
        <w:szCs w:val="20"/>
      </w:rPr>
      <w:t>„Par Ministru kabineta 2014.gada 12.novembra sēdes protokollēmuma (prot. Nr.62 3.§) „Informatīvais ziņojums “Par iespējām palielināt ieņēmumus”” (TA-758) 2.punktā dotā uzdevuma izpildes termiņa pagarināšanu”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29" w:rsidRDefault="004D7D29">
      <w:pPr>
        <w:spacing w:after="0" w:line="240" w:lineRule="auto"/>
      </w:pPr>
      <w:r>
        <w:separator/>
      </w:r>
    </w:p>
  </w:footnote>
  <w:footnote w:type="continuationSeparator" w:id="0">
    <w:p w:rsidR="004D7D29" w:rsidRDefault="004D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CF157D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4D7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64F3B"/>
    <w:rsid w:val="0007251F"/>
    <w:rsid w:val="000A1448"/>
    <w:rsid w:val="001D6539"/>
    <w:rsid w:val="0022641B"/>
    <w:rsid w:val="00250078"/>
    <w:rsid w:val="002549B0"/>
    <w:rsid w:val="002721BF"/>
    <w:rsid w:val="00274404"/>
    <w:rsid w:val="00274497"/>
    <w:rsid w:val="003054A3"/>
    <w:rsid w:val="003212AC"/>
    <w:rsid w:val="003367B3"/>
    <w:rsid w:val="004D7D29"/>
    <w:rsid w:val="00541524"/>
    <w:rsid w:val="005A3CAE"/>
    <w:rsid w:val="006444B0"/>
    <w:rsid w:val="00665038"/>
    <w:rsid w:val="00684B57"/>
    <w:rsid w:val="006B7942"/>
    <w:rsid w:val="006F43D4"/>
    <w:rsid w:val="007C3371"/>
    <w:rsid w:val="008834E8"/>
    <w:rsid w:val="008A0380"/>
    <w:rsid w:val="009844F6"/>
    <w:rsid w:val="009B6C42"/>
    <w:rsid w:val="009F4AF9"/>
    <w:rsid w:val="00A366C6"/>
    <w:rsid w:val="00A60365"/>
    <w:rsid w:val="00A70D2C"/>
    <w:rsid w:val="00B01A89"/>
    <w:rsid w:val="00B23E51"/>
    <w:rsid w:val="00B63299"/>
    <w:rsid w:val="00B902F6"/>
    <w:rsid w:val="00BD3F68"/>
    <w:rsid w:val="00C04B8E"/>
    <w:rsid w:val="00C25E41"/>
    <w:rsid w:val="00C626C1"/>
    <w:rsid w:val="00C62D25"/>
    <w:rsid w:val="00C820C4"/>
    <w:rsid w:val="00CB416B"/>
    <w:rsid w:val="00CC46BE"/>
    <w:rsid w:val="00CF157D"/>
    <w:rsid w:val="00D50402"/>
    <w:rsid w:val="00D75817"/>
    <w:rsid w:val="00D758A8"/>
    <w:rsid w:val="00E0600B"/>
    <w:rsid w:val="00E702C3"/>
    <w:rsid w:val="00EA26C8"/>
    <w:rsid w:val="00F22BDF"/>
    <w:rsid w:val="00F43B47"/>
    <w:rsid w:val="00F95EA0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F9C1-E90B-4277-9B26-C3FF477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Ministru kabineta 2014.gada 12.novembra sēdes protokollēmuma (prot. Nr.62 3.§) „Informatīvais ziņojums “Par iespējām palielināt ieņēmumus”” (TA-758) 2.punktā dotā uzdevuma izpildes termiņa pagarināšanu”</vt:lpstr>
    </vt:vector>
  </TitlesOfParts>
  <Company>Finanšu ministrija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2014.gada 12.novembra sēdes protokollēmuma (prot. Nr.62 3.§) „Informatīvais ziņojums “Par iespējām palielināt ieņēmumus”” (TA-758) 2.punktā dotā uzdevuma izpildes termiņa pagarināšanu”</dc:title>
  <dc:subject>MK sēdes protokollēmums</dc:subject>
  <dc:creator>K.Voiniča</dc:creator>
  <cp:keywords/>
  <dc:description>Kristine.Voinica@fm.gov.lv_x000d_
67095567</dc:description>
  <cp:lastModifiedBy>Voiniča Kristīne</cp:lastModifiedBy>
  <cp:revision>4</cp:revision>
  <cp:lastPrinted>2015-10-12T07:44:00Z</cp:lastPrinted>
  <dcterms:created xsi:type="dcterms:W3CDTF">2015-10-12T07:39:00Z</dcterms:created>
  <dcterms:modified xsi:type="dcterms:W3CDTF">2015-10-12T08:50:00Z</dcterms:modified>
  <cp:contentStatus/>
</cp:coreProperties>
</file>