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7720DF">
      <w:pPr>
        <w:pStyle w:val="BodyText"/>
        <w:spacing w:after="0"/>
        <w:jc w:val="center"/>
        <w:rPr>
          <w:b/>
          <w:sz w:val="28"/>
          <w:szCs w:val="28"/>
        </w:rPr>
      </w:pPr>
      <w:r w:rsidRPr="006914B3">
        <w:rPr>
          <w:b/>
          <w:sz w:val="26"/>
          <w:szCs w:val="26"/>
        </w:rPr>
        <w:t>„</w:t>
      </w:r>
      <w:r w:rsidR="00E2145D" w:rsidRPr="00E2145D">
        <w:rPr>
          <w:b/>
          <w:sz w:val="26"/>
          <w:szCs w:val="26"/>
        </w:rPr>
        <w:t>Grozījumi Ministru kabineta 2009.gada 15.jūlija rīkojumā Nr.464 „Par Daugavpils Olimpiskā centra attīstības projekta, Zemgales Olimpiskā centra attīstības projekta un Olimpiskā centra „Ventspils” attīstības projekta „Ventspils peldbaseina rekonstrukcija” īstenošanu”</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EA2797" w:rsidRPr="00CF694A" w:rsidRDefault="00EA2797" w:rsidP="000203D9">
            <w:pPr>
              <w:pStyle w:val="ListParagraph"/>
              <w:numPr>
                <w:ilvl w:val="0"/>
                <w:numId w:val="9"/>
              </w:numPr>
              <w:ind w:right="127"/>
              <w:jc w:val="both"/>
              <w:rPr>
                <w:sz w:val="25"/>
                <w:szCs w:val="25"/>
              </w:rPr>
            </w:pPr>
            <w:r w:rsidRPr="00CF694A">
              <w:rPr>
                <w:sz w:val="25"/>
                <w:szCs w:val="25"/>
              </w:rPr>
              <w:t xml:space="preserve">Nepieciešamība nodrošināt </w:t>
            </w:r>
            <w:r w:rsidRPr="00CF694A">
              <w:rPr>
                <w:rFonts w:eastAsia="Times New Roman"/>
                <w:color w:val="000000"/>
                <w:sz w:val="25"/>
                <w:szCs w:val="25"/>
              </w:rPr>
              <w:t>likumprojektā „Par valsts budžetu 2016.gadam” (</w:t>
            </w:r>
            <w:proofErr w:type="spellStart"/>
            <w:r w:rsidRPr="00CF694A">
              <w:rPr>
                <w:rFonts w:eastAsia="Times New Roman"/>
                <w:color w:val="000000"/>
                <w:sz w:val="25"/>
                <w:szCs w:val="25"/>
              </w:rPr>
              <w:t>Nr</w:t>
            </w:r>
            <w:proofErr w:type="spellEnd"/>
            <w:r w:rsidRPr="00CF694A">
              <w:rPr>
                <w:rFonts w:eastAsia="Times New Roman"/>
                <w:color w:val="000000"/>
                <w:sz w:val="25"/>
                <w:szCs w:val="25"/>
              </w:rPr>
              <w:t xml:space="preserve">: 390/Lp12) </w:t>
            </w:r>
            <w:r w:rsidR="00CF694A" w:rsidRPr="00CF694A">
              <w:rPr>
                <w:rFonts w:eastAsia="Times New Roman"/>
                <w:color w:val="000000"/>
                <w:sz w:val="25"/>
                <w:szCs w:val="25"/>
              </w:rPr>
              <w:t xml:space="preserve">un </w:t>
            </w:r>
            <w:r w:rsidRPr="00CF694A">
              <w:rPr>
                <w:sz w:val="25"/>
                <w:szCs w:val="25"/>
              </w:rPr>
              <w:t>likumprojektā „Par vidēja termiņa budžeta ietvaru 2016., 2017. un 2018.gadam” (</w:t>
            </w:r>
            <w:proofErr w:type="spellStart"/>
            <w:r w:rsidRPr="00CF694A">
              <w:rPr>
                <w:sz w:val="25"/>
                <w:szCs w:val="25"/>
              </w:rPr>
              <w:t>Nr</w:t>
            </w:r>
            <w:proofErr w:type="spellEnd"/>
            <w:r w:rsidRPr="00CF694A">
              <w:rPr>
                <w:sz w:val="25"/>
                <w:szCs w:val="25"/>
              </w:rPr>
              <w:t xml:space="preserve">: 389/Lp12) </w:t>
            </w:r>
            <w:r w:rsidR="000203D9" w:rsidRPr="000203D9">
              <w:rPr>
                <w:sz w:val="25"/>
                <w:szCs w:val="25"/>
              </w:rPr>
              <w:t>Daugavpils Olimpiskā centra attīstības projekta, Zemgales Olimpiskā centra attīstības projekta un Olimpiskā centra „Ventspils” attīstības projekta „Ventspils peldbaseina rekonstrukcija”</w:t>
            </w:r>
            <w:r w:rsidR="00BE31F1">
              <w:rPr>
                <w:sz w:val="25"/>
                <w:szCs w:val="25"/>
              </w:rPr>
              <w:t xml:space="preserve"> (pabeigšanai) </w:t>
            </w:r>
            <w:r w:rsidR="00955AF6">
              <w:rPr>
                <w:sz w:val="25"/>
                <w:szCs w:val="25"/>
              </w:rPr>
              <w:t>īstenošanai paredzēto</w:t>
            </w:r>
            <w:r w:rsidRPr="00CF694A">
              <w:rPr>
                <w:sz w:val="25"/>
                <w:szCs w:val="25"/>
              </w:rPr>
              <w:t xml:space="preserve"> valsts budžeta ilgtermiņa saistību atbilstību </w:t>
            </w:r>
            <w:r w:rsidR="0097189A">
              <w:rPr>
                <w:sz w:val="25"/>
                <w:szCs w:val="25"/>
              </w:rPr>
              <w:t xml:space="preserve"> faktiski nepieciešamajām valsts budžeta </w:t>
            </w:r>
            <w:r w:rsidR="00CF694A">
              <w:rPr>
                <w:sz w:val="25"/>
                <w:szCs w:val="25"/>
              </w:rPr>
              <w:t>ilgtermiņa saistībām;</w:t>
            </w:r>
          </w:p>
          <w:p w:rsidR="00466E6C" w:rsidRPr="000505C1"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w:t>
            </w:r>
            <w:r w:rsidR="00DB17F8" w:rsidRPr="00E14286">
              <w:rPr>
                <w:sz w:val="25"/>
                <w:szCs w:val="25"/>
              </w:rPr>
              <w:t xml:space="preserve"> Izglītības un zinātnes ministrijas (turpmāk – IZM) </w:t>
            </w:r>
            <w:r w:rsidRPr="00E14286">
              <w:rPr>
                <w:sz w:val="25"/>
                <w:szCs w:val="25"/>
              </w:rPr>
              <w:t xml:space="preserve">izstrādāto </w:t>
            </w:r>
            <w:r w:rsidR="00D60813" w:rsidRPr="00E14286">
              <w:rPr>
                <w:sz w:val="25"/>
                <w:szCs w:val="25"/>
              </w:rPr>
              <w:t xml:space="preserve">informatīvo ziņojumu „Par līdzekļu </w:t>
            </w:r>
            <w:r w:rsidR="00F53178" w:rsidRPr="00E14286">
              <w:rPr>
                <w:sz w:val="25"/>
                <w:szCs w:val="25"/>
              </w:rPr>
              <w:t xml:space="preserve">iekšējo </w:t>
            </w:r>
            <w:r w:rsidR="00D60813" w:rsidRPr="00E14286">
              <w:rPr>
                <w:sz w:val="25"/>
                <w:szCs w:val="25"/>
              </w:rPr>
              <w:t>pārdali 2016.gada valsts budžeta programmā 09.00.00 „Sports”” un attiecīgu Ministru kabinet</w:t>
            </w:r>
            <w:r w:rsidR="00CF694A">
              <w:rPr>
                <w:sz w:val="25"/>
                <w:szCs w:val="25"/>
              </w:rPr>
              <w:t>a sēdes protokollēmuma projektu.</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BE31F1" w:rsidRDefault="00BC10F5" w:rsidP="00EC5AE4">
            <w:pPr>
              <w:ind w:left="132" w:right="127"/>
              <w:jc w:val="both"/>
              <w:rPr>
                <w:rFonts w:eastAsia="Times New Roman"/>
                <w:color w:val="000000"/>
                <w:sz w:val="25"/>
                <w:szCs w:val="25"/>
              </w:rPr>
            </w:pPr>
            <w:r w:rsidRPr="00E14286">
              <w:rPr>
                <w:rFonts w:eastAsia="Times New Roman"/>
                <w:color w:val="000000"/>
                <w:sz w:val="25"/>
                <w:szCs w:val="25"/>
              </w:rPr>
              <w:tab/>
            </w:r>
            <w:r w:rsidR="002E09A5">
              <w:rPr>
                <w:rFonts w:eastAsia="Times New Roman"/>
                <w:color w:val="000000"/>
                <w:sz w:val="25"/>
                <w:szCs w:val="25"/>
              </w:rPr>
              <w:t>I</w:t>
            </w:r>
            <w:r w:rsidR="00BF2F07" w:rsidRPr="00BF2F07">
              <w:rPr>
                <w:rFonts w:eastAsia="Times New Roman"/>
                <w:color w:val="000000"/>
                <w:sz w:val="25"/>
                <w:szCs w:val="25"/>
              </w:rPr>
              <w:t xml:space="preserve">zvērtējot biedrības </w:t>
            </w:r>
            <w:r w:rsidR="002E09A5">
              <w:rPr>
                <w:rFonts w:eastAsia="Times New Roman"/>
                <w:color w:val="000000"/>
                <w:sz w:val="25"/>
                <w:szCs w:val="25"/>
              </w:rPr>
              <w:t>„</w:t>
            </w:r>
            <w:r w:rsidR="00BF2F07" w:rsidRPr="00BF2F07">
              <w:rPr>
                <w:rFonts w:eastAsia="Times New Roman"/>
                <w:color w:val="000000"/>
                <w:sz w:val="25"/>
                <w:szCs w:val="25"/>
              </w:rPr>
              <w:t xml:space="preserve">Latvijas Olimpiskā komiteja” 2015.gada 25.augusta vēstulē Nr.175 sniegto informāciju par 2016.gadā atmaksājamām summām kredītiestādēm, kuras izsniegušas valsts galvotos aizdevumus, </w:t>
            </w:r>
            <w:r w:rsidR="00593291">
              <w:rPr>
                <w:rFonts w:eastAsia="Times New Roman"/>
                <w:color w:val="000000"/>
                <w:sz w:val="25"/>
                <w:szCs w:val="25"/>
              </w:rPr>
              <w:t>secināts, ka</w:t>
            </w:r>
            <w:r w:rsidR="00BE31F1">
              <w:rPr>
                <w:rFonts w:eastAsia="Times New Roman"/>
                <w:color w:val="000000"/>
                <w:sz w:val="25"/>
                <w:szCs w:val="25"/>
              </w:rPr>
              <w:t xml:space="preserve">, lai gan </w:t>
            </w:r>
            <w:r w:rsidR="00593291">
              <w:rPr>
                <w:rFonts w:eastAsia="Times New Roman"/>
                <w:color w:val="000000"/>
                <w:sz w:val="25"/>
                <w:szCs w:val="25"/>
              </w:rPr>
              <w:t>2016.gadā 7 no 10 plānoto</w:t>
            </w:r>
            <w:r w:rsidR="00BF2F07" w:rsidRPr="00BF2F07">
              <w:rPr>
                <w:rFonts w:eastAsia="Times New Roman"/>
                <w:color w:val="000000"/>
                <w:sz w:val="25"/>
                <w:szCs w:val="25"/>
              </w:rPr>
              <w:t xml:space="preserve"> valsts galvoto aizdevumu atmaksai nepieciešams mazāks finansējums</w:t>
            </w:r>
            <w:r w:rsidR="00BE31F1">
              <w:rPr>
                <w:rFonts w:eastAsia="Times New Roman"/>
                <w:color w:val="000000"/>
                <w:sz w:val="25"/>
                <w:szCs w:val="25"/>
              </w:rPr>
              <w:t>, kas</w:t>
            </w:r>
            <w:r w:rsidR="00BF2F07" w:rsidRPr="00BF2F07">
              <w:rPr>
                <w:rFonts w:eastAsia="Times New Roman"/>
                <w:color w:val="000000"/>
                <w:sz w:val="25"/>
                <w:szCs w:val="25"/>
              </w:rPr>
              <w:t xml:space="preserve"> saistīts ar faktu, ka laikā, kad tika izsniegti attiecīgie valsts galvotie aizdevumi, prognozes, uz kuru pamata tika uzņemtas valsts budžeta ilgtermiņa saistības, lai nodrošinātu valsts galvoto aizdevumu atmaksu, būtiski atšķiras no faktiskās situācijas (aizdevumu konvertācija no latiem uz </w:t>
            </w:r>
            <w:r w:rsidR="00BF2F07" w:rsidRPr="0057274A">
              <w:rPr>
                <w:rFonts w:eastAsia="Times New Roman"/>
                <w:i/>
                <w:color w:val="000000"/>
                <w:sz w:val="25"/>
                <w:szCs w:val="25"/>
              </w:rPr>
              <w:t>euro</w:t>
            </w:r>
            <w:r w:rsidR="00BF2F07" w:rsidRPr="00BF2F07">
              <w:rPr>
                <w:rFonts w:eastAsia="Times New Roman"/>
                <w:color w:val="000000"/>
                <w:sz w:val="25"/>
                <w:szCs w:val="25"/>
              </w:rPr>
              <w:t>; aizdevumu pievienotās likmes (šobrīd EURIBOR) būtisks samazinājums, kā arī 2014.gada nogalē veikto aizdevumu ātrākas atmaksas pozitīvā ietekme)</w:t>
            </w:r>
            <w:r w:rsidR="00BE31F1">
              <w:rPr>
                <w:rFonts w:eastAsia="Times New Roman"/>
                <w:color w:val="000000"/>
                <w:sz w:val="25"/>
                <w:szCs w:val="25"/>
              </w:rPr>
              <w:t>, tomēr 3 no 10  plānoto</w:t>
            </w:r>
            <w:r w:rsidR="00BE31F1" w:rsidRPr="00BF2F07">
              <w:rPr>
                <w:rFonts w:eastAsia="Times New Roman"/>
                <w:color w:val="000000"/>
                <w:sz w:val="25"/>
                <w:szCs w:val="25"/>
              </w:rPr>
              <w:t xml:space="preserve"> valsts galvoto aizdevumu atmaksai nepieciešams </w:t>
            </w:r>
            <w:r w:rsidR="00BE31F1">
              <w:rPr>
                <w:rFonts w:eastAsia="Times New Roman"/>
                <w:color w:val="000000"/>
                <w:sz w:val="25"/>
                <w:szCs w:val="25"/>
              </w:rPr>
              <w:t>lielāks</w:t>
            </w:r>
            <w:r w:rsidR="00BE31F1" w:rsidRPr="00BF2F07">
              <w:rPr>
                <w:rFonts w:eastAsia="Times New Roman"/>
                <w:color w:val="000000"/>
                <w:sz w:val="25"/>
                <w:szCs w:val="25"/>
              </w:rPr>
              <w:t xml:space="preserve"> finansējums</w:t>
            </w:r>
            <w:r w:rsidR="00BE31F1">
              <w:rPr>
                <w:rFonts w:eastAsia="Times New Roman"/>
                <w:color w:val="000000"/>
                <w:sz w:val="25"/>
                <w:szCs w:val="25"/>
              </w:rPr>
              <w:t>.</w:t>
            </w:r>
          </w:p>
          <w:p w:rsidR="004F5EB9" w:rsidRDefault="00BE31F1" w:rsidP="00EC5AE4">
            <w:pPr>
              <w:ind w:left="132" w:right="127"/>
              <w:jc w:val="both"/>
              <w:rPr>
                <w:rFonts w:eastAsia="Times New Roman"/>
                <w:color w:val="000000"/>
                <w:sz w:val="25"/>
                <w:szCs w:val="25"/>
              </w:rPr>
            </w:pPr>
            <w:r>
              <w:rPr>
                <w:rFonts w:eastAsia="Times New Roman"/>
                <w:color w:val="000000"/>
                <w:sz w:val="25"/>
                <w:szCs w:val="25"/>
              </w:rPr>
              <w:tab/>
            </w:r>
            <w:r w:rsidRPr="00877B2E">
              <w:rPr>
                <w:rFonts w:eastAsia="Times New Roman"/>
                <w:color w:val="000000"/>
                <w:sz w:val="25"/>
                <w:szCs w:val="25"/>
              </w:rPr>
              <w:t xml:space="preserve">No </w:t>
            </w:r>
            <w:r>
              <w:t xml:space="preserve"> </w:t>
            </w:r>
            <w:r w:rsidRPr="00C13BBA">
              <w:rPr>
                <w:rFonts w:eastAsia="Times New Roman"/>
                <w:color w:val="000000"/>
                <w:sz w:val="25"/>
                <w:szCs w:val="25"/>
              </w:rPr>
              <w:t>Ministru kabineta</w:t>
            </w:r>
            <w:r>
              <w:rPr>
                <w:rFonts w:eastAsia="Times New Roman"/>
                <w:color w:val="000000"/>
                <w:sz w:val="25"/>
                <w:szCs w:val="25"/>
              </w:rPr>
              <w:t xml:space="preserve"> </w:t>
            </w:r>
            <w:r w:rsidRPr="00BE31F1">
              <w:rPr>
                <w:rFonts w:eastAsia="Times New Roman"/>
                <w:color w:val="000000"/>
                <w:sz w:val="25"/>
                <w:szCs w:val="25"/>
              </w:rPr>
              <w:t>2009.gada 15.jūlija rīkojumā Nr.464 „Par Daugavpils Olimpiskā centra attīstības projekta, Zemgales Olimpiskā centra attīstības projekta un Olimpiskā centra „Ventspils” attīstības projekta „Ventspils peldbaseina rekonstrukcija” īstenošanu””</w:t>
            </w:r>
            <w:r>
              <w:rPr>
                <w:rFonts w:eastAsia="Times New Roman"/>
                <w:color w:val="000000"/>
                <w:sz w:val="25"/>
                <w:szCs w:val="25"/>
              </w:rPr>
              <w:t xml:space="preserve"> </w:t>
            </w:r>
            <w:r w:rsidR="00877B2E" w:rsidRPr="00877B2E">
              <w:rPr>
                <w:rFonts w:eastAsia="Times New Roman"/>
                <w:color w:val="000000"/>
                <w:sz w:val="25"/>
                <w:szCs w:val="25"/>
              </w:rPr>
              <w:t xml:space="preserve">apstiprinātajām valsts budžeta ilgtermiņa saistībām </w:t>
            </w:r>
            <w:r>
              <w:rPr>
                <w:rFonts w:eastAsia="Times New Roman"/>
                <w:color w:val="000000"/>
                <w:sz w:val="25"/>
                <w:szCs w:val="25"/>
              </w:rPr>
              <w:t>finansējuma palielinājums</w:t>
            </w:r>
            <w:r w:rsidR="004F5EB9">
              <w:rPr>
                <w:rFonts w:eastAsia="Times New Roman"/>
                <w:color w:val="000000"/>
                <w:sz w:val="25"/>
                <w:szCs w:val="25"/>
              </w:rPr>
              <w:t xml:space="preserve"> ir attiecināms uz </w:t>
            </w:r>
            <w:r w:rsidR="00F71FBD">
              <w:rPr>
                <w:rFonts w:eastAsia="Times New Roman"/>
                <w:color w:val="000000"/>
                <w:sz w:val="25"/>
                <w:szCs w:val="25"/>
              </w:rPr>
              <w:t>visiem</w:t>
            </w:r>
            <w:r w:rsidR="004F5EB9">
              <w:rPr>
                <w:rFonts w:eastAsia="Times New Roman"/>
                <w:color w:val="000000"/>
                <w:sz w:val="25"/>
                <w:szCs w:val="25"/>
              </w:rPr>
              <w:t xml:space="preserve"> Ministru kabineta rīkojumā minētajiem projektiem:</w:t>
            </w:r>
          </w:p>
          <w:p w:rsidR="001326B5" w:rsidRDefault="00BE31F1" w:rsidP="00C13BBA">
            <w:pPr>
              <w:pStyle w:val="ListParagraph"/>
              <w:numPr>
                <w:ilvl w:val="0"/>
                <w:numId w:val="19"/>
              </w:numPr>
              <w:ind w:right="127"/>
              <w:jc w:val="both"/>
              <w:rPr>
                <w:rFonts w:eastAsia="Times New Roman"/>
                <w:color w:val="000000"/>
                <w:sz w:val="25"/>
                <w:szCs w:val="25"/>
              </w:rPr>
            </w:pPr>
            <w:r w:rsidRPr="00BE31F1">
              <w:rPr>
                <w:rFonts w:eastAsia="Times New Roman"/>
                <w:color w:val="000000"/>
                <w:sz w:val="25"/>
                <w:szCs w:val="25"/>
              </w:rPr>
              <w:t>Daugavpils Olimpiskā centra attīstības projekta</w:t>
            </w:r>
            <w:r>
              <w:rPr>
                <w:rFonts w:eastAsia="Times New Roman"/>
                <w:color w:val="000000"/>
                <w:sz w:val="25"/>
                <w:szCs w:val="25"/>
              </w:rPr>
              <w:t xml:space="preserve"> </w:t>
            </w:r>
            <w:r w:rsidR="001326B5">
              <w:rPr>
                <w:rFonts w:eastAsia="Times New Roman"/>
                <w:color w:val="000000"/>
                <w:sz w:val="25"/>
                <w:szCs w:val="25"/>
              </w:rPr>
              <w:t xml:space="preserve">īstenošanai izsniegtā valsts galvotā aizdevuma atmaksai 2016.gadā nepieciešami </w:t>
            </w:r>
            <w:r>
              <w:rPr>
                <w:rFonts w:eastAsia="Times New Roman"/>
                <w:color w:val="000000"/>
                <w:sz w:val="25"/>
                <w:szCs w:val="25"/>
              </w:rPr>
              <w:t>6</w:t>
            </w:r>
            <w:r w:rsidR="007F10B9">
              <w:rPr>
                <w:rFonts w:eastAsia="Times New Roman"/>
                <w:color w:val="000000"/>
                <w:sz w:val="25"/>
                <w:szCs w:val="25"/>
              </w:rPr>
              <w:t>6</w:t>
            </w:r>
            <w:r>
              <w:rPr>
                <w:rFonts w:eastAsia="Times New Roman"/>
                <w:color w:val="000000"/>
                <w:sz w:val="25"/>
                <w:szCs w:val="25"/>
              </w:rPr>
              <w:t>2 590</w:t>
            </w:r>
            <w:r w:rsidR="001326B5">
              <w:rPr>
                <w:rFonts w:eastAsia="Times New Roman"/>
                <w:color w:val="000000"/>
                <w:sz w:val="25"/>
                <w:szCs w:val="25"/>
              </w:rPr>
              <w:t xml:space="preserve"> </w:t>
            </w:r>
            <w:r w:rsidR="001326B5" w:rsidRPr="001326B5">
              <w:rPr>
                <w:rFonts w:eastAsia="Times New Roman"/>
                <w:i/>
                <w:color w:val="000000"/>
                <w:sz w:val="25"/>
                <w:szCs w:val="25"/>
              </w:rPr>
              <w:t>euro</w:t>
            </w:r>
            <w:r w:rsidR="001326B5">
              <w:rPr>
                <w:rFonts w:eastAsia="Times New Roman"/>
                <w:color w:val="000000"/>
                <w:sz w:val="25"/>
                <w:szCs w:val="25"/>
              </w:rPr>
              <w:t xml:space="preserve"> (valsts budžeta ilgtermiņa saistībās šim mērķim paredzēti </w:t>
            </w:r>
            <w:r>
              <w:rPr>
                <w:rFonts w:eastAsia="Times New Roman"/>
                <w:color w:val="000000"/>
                <w:sz w:val="25"/>
                <w:szCs w:val="25"/>
              </w:rPr>
              <w:t>429 061</w:t>
            </w:r>
            <w:r w:rsidR="001326B5">
              <w:rPr>
                <w:rFonts w:eastAsia="Times New Roman"/>
                <w:color w:val="000000"/>
                <w:sz w:val="25"/>
                <w:szCs w:val="25"/>
              </w:rPr>
              <w:t xml:space="preserve"> </w:t>
            </w:r>
            <w:r w:rsidR="001326B5" w:rsidRPr="001326B5">
              <w:rPr>
                <w:rFonts w:eastAsia="Times New Roman"/>
                <w:i/>
                <w:color w:val="000000"/>
                <w:sz w:val="25"/>
                <w:szCs w:val="25"/>
              </w:rPr>
              <w:t>euro</w:t>
            </w:r>
            <w:r w:rsidR="001326B5">
              <w:rPr>
                <w:rFonts w:eastAsia="Times New Roman"/>
                <w:color w:val="000000"/>
                <w:sz w:val="25"/>
                <w:szCs w:val="25"/>
              </w:rPr>
              <w:t xml:space="preserve">), kā rezultātā </w:t>
            </w:r>
            <w:r>
              <w:rPr>
                <w:rFonts w:eastAsia="Times New Roman"/>
                <w:color w:val="000000"/>
                <w:sz w:val="25"/>
                <w:szCs w:val="25"/>
              </w:rPr>
              <w:lastRenderedPageBreak/>
              <w:t xml:space="preserve">saistību izpildei nepieciešams papildus finansējums 233 529 </w:t>
            </w:r>
            <w:r w:rsidRPr="00BE31F1">
              <w:rPr>
                <w:rFonts w:eastAsia="Times New Roman"/>
                <w:i/>
                <w:color w:val="000000"/>
                <w:sz w:val="25"/>
                <w:szCs w:val="25"/>
              </w:rPr>
              <w:t>euro</w:t>
            </w:r>
            <w:r>
              <w:rPr>
                <w:rFonts w:eastAsia="Times New Roman"/>
                <w:color w:val="000000"/>
                <w:sz w:val="25"/>
                <w:szCs w:val="25"/>
              </w:rPr>
              <w:t xml:space="preserve"> apmērā</w:t>
            </w:r>
            <w:r w:rsidR="001326B5">
              <w:rPr>
                <w:rFonts w:eastAsia="Times New Roman"/>
                <w:color w:val="000000"/>
                <w:sz w:val="25"/>
                <w:szCs w:val="25"/>
              </w:rPr>
              <w:t>;</w:t>
            </w:r>
            <w:bookmarkStart w:id="3" w:name="_GoBack"/>
            <w:bookmarkEnd w:id="3"/>
          </w:p>
          <w:p w:rsidR="00877B2E" w:rsidRDefault="00BE31F1" w:rsidP="001326B5">
            <w:pPr>
              <w:pStyle w:val="ListParagraph"/>
              <w:numPr>
                <w:ilvl w:val="0"/>
                <w:numId w:val="19"/>
              </w:numPr>
              <w:ind w:right="127"/>
              <w:jc w:val="both"/>
              <w:rPr>
                <w:rFonts w:eastAsia="Times New Roman"/>
                <w:color w:val="000000"/>
                <w:sz w:val="25"/>
                <w:szCs w:val="25"/>
              </w:rPr>
            </w:pPr>
            <w:r w:rsidRPr="00BE31F1">
              <w:rPr>
                <w:rFonts w:eastAsia="Times New Roman"/>
                <w:color w:val="000000"/>
                <w:sz w:val="25"/>
                <w:szCs w:val="25"/>
              </w:rPr>
              <w:t xml:space="preserve">Zemgales Olimpiskā centra attīstības projekta </w:t>
            </w:r>
            <w:r w:rsidR="00877B2E" w:rsidRPr="002E09A5">
              <w:rPr>
                <w:rFonts w:eastAsia="Times New Roman"/>
                <w:color w:val="000000"/>
                <w:sz w:val="25"/>
                <w:szCs w:val="25"/>
              </w:rPr>
              <w:t>īstenošanai</w:t>
            </w:r>
            <w:r w:rsidR="001326B5">
              <w:rPr>
                <w:rFonts w:eastAsia="Times New Roman"/>
                <w:color w:val="000000"/>
                <w:sz w:val="25"/>
                <w:szCs w:val="25"/>
              </w:rPr>
              <w:t xml:space="preserve"> izsniegtā valsts galvotā aizdevuma atmaksai 2016.gadā nepieciešami </w:t>
            </w:r>
            <w:r w:rsidR="00AC4DE2">
              <w:rPr>
                <w:rFonts w:eastAsia="Times New Roman"/>
                <w:color w:val="000000"/>
                <w:sz w:val="25"/>
                <w:szCs w:val="25"/>
              </w:rPr>
              <w:t>573 490</w:t>
            </w:r>
            <w:r w:rsidR="001326B5">
              <w:rPr>
                <w:rFonts w:eastAsia="Times New Roman"/>
                <w:color w:val="000000"/>
                <w:sz w:val="25"/>
                <w:szCs w:val="25"/>
              </w:rPr>
              <w:t xml:space="preserve"> </w:t>
            </w:r>
            <w:r w:rsidR="001326B5" w:rsidRPr="001326B5">
              <w:rPr>
                <w:rFonts w:eastAsia="Times New Roman"/>
                <w:i/>
                <w:color w:val="000000"/>
                <w:sz w:val="25"/>
                <w:szCs w:val="25"/>
              </w:rPr>
              <w:t>euro</w:t>
            </w:r>
            <w:r w:rsidR="001326B5">
              <w:rPr>
                <w:rFonts w:eastAsia="Times New Roman"/>
                <w:color w:val="000000"/>
                <w:sz w:val="25"/>
                <w:szCs w:val="25"/>
              </w:rPr>
              <w:t xml:space="preserve"> (valsts budžeta ilgtermiņa saistībās šim mērķim paredzēti </w:t>
            </w:r>
            <w:r w:rsidR="00AC4DE2">
              <w:rPr>
                <w:rFonts w:eastAsia="Times New Roman"/>
                <w:color w:val="000000"/>
                <w:sz w:val="25"/>
                <w:szCs w:val="25"/>
              </w:rPr>
              <w:t>380 456</w:t>
            </w:r>
            <w:r w:rsidR="001326B5">
              <w:rPr>
                <w:rFonts w:eastAsia="Times New Roman"/>
                <w:color w:val="000000"/>
                <w:sz w:val="25"/>
                <w:szCs w:val="25"/>
              </w:rPr>
              <w:t xml:space="preserve"> </w:t>
            </w:r>
            <w:r w:rsidR="001326B5" w:rsidRPr="001326B5">
              <w:rPr>
                <w:rFonts w:eastAsia="Times New Roman"/>
                <w:i/>
                <w:color w:val="000000"/>
                <w:sz w:val="25"/>
                <w:szCs w:val="25"/>
              </w:rPr>
              <w:t>euro</w:t>
            </w:r>
            <w:r w:rsidR="001326B5">
              <w:rPr>
                <w:rFonts w:eastAsia="Times New Roman"/>
                <w:color w:val="000000"/>
                <w:sz w:val="25"/>
                <w:szCs w:val="25"/>
              </w:rPr>
              <w:t xml:space="preserve">), </w:t>
            </w:r>
            <w:r w:rsidR="00AC4DE2">
              <w:rPr>
                <w:rFonts w:eastAsia="Times New Roman"/>
                <w:color w:val="000000"/>
                <w:sz w:val="25"/>
                <w:szCs w:val="25"/>
              </w:rPr>
              <w:t xml:space="preserve"> kā rezultātā saistību izpildei nepieciešams papildus finansējums </w:t>
            </w:r>
            <w:r w:rsidR="00AC4DE2">
              <w:rPr>
                <w:rFonts w:eastAsia="Times New Roman"/>
                <w:color w:val="000000"/>
                <w:sz w:val="25"/>
                <w:szCs w:val="25"/>
              </w:rPr>
              <w:br/>
              <w:t xml:space="preserve">193 034 </w:t>
            </w:r>
            <w:r w:rsidR="00AC4DE2" w:rsidRPr="00BE31F1">
              <w:rPr>
                <w:rFonts w:eastAsia="Times New Roman"/>
                <w:i/>
                <w:color w:val="000000"/>
                <w:sz w:val="25"/>
                <w:szCs w:val="25"/>
              </w:rPr>
              <w:t>euro</w:t>
            </w:r>
            <w:r w:rsidR="00AC4DE2">
              <w:rPr>
                <w:rFonts w:eastAsia="Times New Roman"/>
                <w:color w:val="000000"/>
                <w:sz w:val="25"/>
                <w:szCs w:val="25"/>
              </w:rPr>
              <w:t xml:space="preserve"> apmērā;</w:t>
            </w:r>
          </w:p>
          <w:p w:rsidR="00F71FBD" w:rsidRDefault="00BE31F1" w:rsidP="00F71FBD">
            <w:pPr>
              <w:pStyle w:val="ListParagraph"/>
              <w:numPr>
                <w:ilvl w:val="0"/>
                <w:numId w:val="19"/>
              </w:numPr>
              <w:ind w:right="127"/>
              <w:jc w:val="both"/>
              <w:rPr>
                <w:rFonts w:eastAsia="Times New Roman"/>
                <w:color w:val="000000"/>
                <w:sz w:val="25"/>
                <w:szCs w:val="25"/>
              </w:rPr>
            </w:pPr>
            <w:r w:rsidRPr="000203D9">
              <w:rPr>
                <w:sz w:val="25"/>
                <w:szCs w:val="25"/>
              </w:rPr>
              <w:t>projekta „Ventspils peldbaseina rekonstrukcija”</w:t>
            </w:r>
            <w:r>
              <w:rPr>
                <w:sz w:val="25"/>
                <w:szCs w:val="25"/>
              </w:rPr>
              <w:t xml:space="preserve"> (pabeigšanai) </w:t>
            </w:r>
            <w:r w:rsidR="00F71FBD" w:rsidRPr="002E09A5">
              <w:rPr>
                <w:rFonts w:eastAsia="Times New Roman"/>
                <w:color w:val="000000"/>
                <w:sz w:val="25"/>
                <w:szCs w:val="25"/>
              </w:rPr>
              <w:t>īstenošanai</w:t>
            </w:r>
            <w:r w:rsidR="00F71FBD">
              <w:rPr>
                <w:rFonts w:eastAsia="Times New Roman"/>
                <w:color w:val="000000"/>
                <w:sz w:val="25"/>
                <w:szCs w:val="25"/>
              </w:rPr>
              <w:t xml:space="preserve"> izsniegtā valsts galvotā aizdevuma atmaksai 2016.gadā nepieciešami </w:t>
            </w:r>
            <w:r w:rsidR="00093721">
              <w:rPr>
                <w:rFonts w:eastAsia="Times New Roman"/>
                <w:color w:val="000000"/>
                <w:sz w:val="25"/>
                <w:szCs w:val="25"/>
              </w:rPr>
              <w:t>105 625</w:t>
            </w:r>
            <w:r w:rsidR="00F71FBD">
              <w:rPr>
                <w:rFonts w:eastAsia="Times New Roman"/>
                <w:color w:val="000000"/>
                <w:sz w:val="25"/>
                <w:szCs w:val="25"/>
              </w:rPr>
              <w:t xml:space="preserve"> </w:t>
            </w:r>
            <w:r w:rsidR="00F71FBD" w:rsidRPr="001326B5">
              <w:rPr>
                <w:rFonts w:eastAsia="Times New Roman"/>
                <w:i/>
                <w:color w:val="000000"/>
                <w:sz w:val="25"/>
                <w:szCs w:val="25"/>
              </w:rPr>
              <w:t>euro</w:t>
            </w:r>
            <w:r w:rsidR="00F71FBD">
              <w:rPr>
                <w:rFonts w:eastAsia="Times New Roman"/>
                <w:color w:val="000000"/>
                <w:sz w:val="25"/>
                <w:szCs w:val="25"/>
              </w:rPr>
              <w:t xml:space="preserve"> (valsts budžeta ilgtermiņa saistībās šim mērķim paredzēti </w:t>
            </w:r>
            <w:r w:rsidR="00093721">
              <w:rPr>
                <w:rFonts w:eastAsia="Times New Roman"/>
                <w:color w:val="000000"/>
                <w:sz w:val="25"/>
                <w:szCs w:val="25"/>
              </w:rPr>
              <w:t>102 470</w:t>
            </w:r>
            <w:r w:rsidR="00F71FBD">
              <w:rPr>
                <w:rFonts w:eastAsia="Times New Roman"/>
                <w:color w:val="000000"/>
                <w:sz w:val="25"/>
                <w:szCs w:val="25"/>
              </w:rPr>
              <w:t xml:space="preserve"> </w:t>
            </w:r>
            <w:r w:rsidR="00F71FBD" w:rsidRPr="001326B5">
              <w:rPr>
                <w:rFonts w:eastAsia="Times New Roman"/>
                <w:i/>
                <w:color w:val="000000"/>
                <w:sz w:val="25"/>
                <w:szCs w:val="25"/>
              </w:rPr>
              <w:t>euro</w:t>
            </w:r>
            <w:r w:rsidR="00F71FBD">
              <w:rPr>
                <w:rFonts w:eastAsia="Times New Roman"/>
                <w:color w:val="000000"/>
                <w:sz w:val="25"/>
                <w:szCs w:val="25"/>
              </w:rPr>
              <w:t xml:space="preserve">), </w:t>
            </w:r>
            <w:r w:rsidR="00AC4DE2">
              <w:rPr>
                <w:rFonts w:eastAsia="Times New Roman"/>
                <w:color w:val="000000"/>
                <w:sz w:val="25"/>
                <w:szCs w:val="25"/>
              </w:rPr>
              <w:t xml:space="preserve"> kā rezultātā saistību izpildei nepieciešams papildus finansējums </w:t>
            </w:r>
            <w:r w:rsidR="00093721">
              <w:rPr>
                <w:rFonts w:eastAsia="Times New Roman"/>
                <w:color w:val="000000"/>
                <w:sz w:val="25"/>
                <w:szCs w:val="25"/>
              </w:rPr>
              <w:t>3 155</w:t>
            </w:r>
            <w:r w:rsidR="00AC4DE2">
              <w:rPr>
                <w:rFonts w:eastAsia="Times New Roman"/>
                <w:color w:val="000000"/>
                <w:sz w:val="25"/>
                <w:szCs w:val="25"/>
              </w:rPr>
              <w:t xml:space="preserve"> </w:t>
            </w:r>
            <w:r w:rsidR="00AC4DE2" w:rsidRPr="00BE31F1">
              <w:rPr>
                <w:rFonts w:eastAsia="Times New Roman"/>
                <w:i/>
                <w:color w:val="000000"/>
                <w:sz w:val="25"/>
                <w:szCs w:val="25"/>
              </w:rPr>
              <w:t>euro</w:t>
            </w:r>
            <w:r w:rsidR="00AC4DE2">
              <w:rPr>
                <w:rFonts w:eastAsia="Times New Roman"/>
                <w:color w:val="000000"/>
                <w:sz w:val="25"/>
                <w:szCs w:val="25"/>
              </w:rPr>
              <w:t xml:space="preserve"> apmērā.</w:t>
            </w:r>
          </w:p>
          <w:p w:rsidR="00BE31BF" w:rsidRDefault="00BE31BF" w:rsidP="00EC5AE4">
            <w:pPr>
              <w:ind w:left="132" w:right="127"/>
              <w:jc w:val="both"/>
              <w:rPr>
                <w:rFonts w:eastAsia="Times New Roman"/>
                <w:color w:val="000000"/>
                <w:sz w:val="25"/>
                <w:szCs w:val="25"/>
              </w:rPr>
            </w:pPr>
            <w:r>
              <w:rPr>
                <w:rFonts w:eastAsia="Times New Roman"/>
                <w:color w:val="000000"/>
                <w:sz w:val="25"/>
                <w:szCs w:val="25"/>
              </w:rPr>
              <w:tab/>
            </w:r>
          </w:p>
          <w:p w:rsidR="003E2CDE" w:rsidRPr="003E2CDE" w:rsidRDefault="00F71FBD" w:rsidP="003E2CDE">
            <w:pPr>
              <w:ind w:left="132" w:right="127"/>
              <w:jc w:val="both"/>
              <w:rPr>
                <w:rFonts w:eastAsia="Times New Roman"/>
                <w:color w:val="000000"/>
                <w:sz w:val="25"/>
                <w:szCs w:val="25"/>
              </w:rPr>
            </w:pPr>
            <w:r>
              <w:rPr>
                <w:sz w:val="25"/>
                <w:szCs w:val="25"/>
              </w:rPr>
              <w:tab/>
            </w:r>
            <w:r w:rsidR="008A0C7D">
              <w:rPr>
                <w:sz w:val="25"/>
                <w:szCs w:val="25"/>
              </w:rPr>
              <w:t>Analizējot radušos situāciju,</w:t>
            </w:r>
            <w:r w:rsidR="00864626">
              <w:rPr>
                <w:sz w:val="25"/>
                <w:szCs w:val="25"/>
              </w:rPr>
              <w:t xml:space="preserve"> secināms, ka </w:t>
            </w:r>
            <w:r w:rsidR="00C9149D">
              <w:rPr>
                <w:sz w:val="25"/>
                <w:szCs w:val="25"/>
              </w:rPr>
              <w:t xml:space="preserve">2009.gadā, kad minēto projektu īstenošanai tika uzņemtas valsts budžeta ilgtermiņa saistības, </w:t>
            </w:r>
            <w:r w:rsidR="00C9149D" w:rsidRPr="00BF2F07">
              <w:rPr>
                <w:rFonts w:eastAsia="Times New Roman"/>
                <w:color w:val="000000"/>
                <w:sz w:val="25"/>
                <w:szCs w:val="25"/>
              </w:rPr>
              <w:t xml:space="preserve">biedrības </w:t>
            </w:r>
            <w:r w:rsidR="00C9149D">
              <w:rPr>
                <w:rFonts w:eastAsia="Times New Roman"/>
                <w:color w:val="000000"/>
                <w:sz w:val="25"/>
                <w:szCs w:val="25"/>
              </w:rPr>
              <w:t>„</w:t>
            </w:r>
            <w:r w:rsidR="00C9149D" w:rsidRPr="00BF2F07">
              <w:rPr>
                <w:rFonts w:eastAsia="Times New Roman"/>
                <w:color w:val="000000"/>
                <w:sz w:val="25"/>
                <w:szCs w:val="25"/>
              </w:rPr>
              <w:t>Latvijas Olimpiskā komiteja”</w:t>
            </w:r>
            <w:r w:rsidR="00C9149D">
              <w:rPr>
                <w:rFonts w:eastAsia="Times New Roman"/>
                <w:color w:val="000000"/>
                <w:sz w:val="25"/>
                <w:szCs w:val="25"/>
              </w:rPr>
              <w:t xml:space="preserve"> sagatavotā un IZM iesniegtā prognoze par valsts galvoto aizdevumu atmaksai nepieciešamo finansējumu tieši attiecībā uz</w:t>
            </w:r>
            <w:r w:rsidR="003B47FC">
              <w:rPr>
                <w:rFonts w:eastAsia="Times New Roman"/>
                <w:color w:val="000000"/>
                <w:sz w:val="25"/>
                <w:szCs w:val="25"/>
              </w:rPr>
              <w:t xml:space="preserve"> šo projektu īstenošanai </w:t>
            </w:r>
            <w:r w:rsidR="00C9149D">
              <w:rPr>
                <w:rFonts w:eastAsia="Times New Roman"/>
                <w:color w:val="000000"/>
                <w:sz w:val="25"/>
                <w:szCs w:val="25"/>
              </w:rPr>
              <w:t xml:space="preserve">2016.gadā atmaksājamām summām ir bijusi </w:t>
            </w:r>
            <w:r w:rsidR="002D5BA6">
              <w:rPr>
                <w:rFonts w:eastAsia="Times New Roman"/>
                <w:color w:val="000000"/>
                <w:sz w:val="25"/>
                <w:szCs w:val="25"/>
              </w:rPr>
              <w:t>neprecīza</w:t>
            </w:r>
            <w:r w:rsidR="00370484">
              <w:rPr>
                <w:rFonts w:eastAsia="Times New Roman"/>
                <w:color w:val="000000"/>
                <w:sz w:val="25"/>
                <w:szCs w:val="25"/>
              </w:rPr>
              <w:t xml:space="preserve">. Tam par pamatu varētu būt iemesls, ka </w:t>
            </w:r>
            <w:r w:rsidR="00C9149D">
              <w:rPr>
                <w:rFonts w:eastAsia="Times New Roman"/>
                <w:color w:val="000000"/>
                <w:sz w:val="25"/>
                <w:szCs w:val="25"/>
              </w:rPr>
              <w:t>minētā prognoze izteikta vēl pirms atbilstoši noteiktai procedūrai tika izvēlētas kredītiestādes, kuras izsniegs</w:t>
            </w:r>
            <w:r w:rsidR="00370484">
              <w:rPr>
                <w:rFonts w:eastAsia="Times New Roman"/>
                <w:color w:val="000000"/>
                <w:sz w:val="25"/>
                <w:szCs w:val="25"/>
              </w:rPr>
              <w:t xml:space="preserve"> attiecīgos</w:t>
            </w:r>
            <w:r w:rsidR="00C9149D">
              <w:rPr>
                <w:rFonts w:eastAsia="Times New Roman"/>
                <w:color w:val="000000"/>
                <w:sz w:val="25"/>
                <w:szCs w:val="25"/>
              </w:rPr>
              <w:t xml:space="preserve"> valsts galvotos aizdevumus. </w:t>
            </w:r>
            <w:r w:rsidR="003E2CDE">
              <w:rPr>
                <w:rFonts w:eastAsia="Times New Roman"/>
                <w:color w:val="000000"/>
                <w:sz w:val="25"/>
                <w:szCs w:val="25"/>
              </w:rPr>
              <w:t xml:space="preserve">Analizējot situāciju perspektīvā (attiecībā uz nākamiem gadiem), secināms, ka šāda situācija, kad saistību izpildei valsts budžeta ilgtermiņa saistībās paredzētais finansējums ir būtiski nepietiekams, vairs neizveidosies. Piemēram, izvērtējot </w:t>
            </w:r>
            <w:r w:rsidR="00426233" w:rsidRPr="00BF2F07">
              <w:rPr>
                <w:rFonts w:eastAsia="Times New Roman"/>
                <w:color w:val="000000"/>
                <w:sz w:val="25"/>
                <w:szCs w:val="25"/>
              </w:rPr>
              <w:t xml:space="preserve">biedrības </w:t>
            </w:r>
            <w:r w:rsidR="00426233">
              <w:rPr>
                <w:rFonts w:eastAsia="Times New Roman"/>
                <w:color w:val="000000"/>
                <w:sz w:val="25"/>
                <w:szCs w:val="25"/>
              </w:rPr>
              <w:t>„</w:t>
            </w:r>
            <w:r w:rsidR="00426233" w:rsidRPr="00BF2F07">
              <w:rPr>
                <w:rFonts w:eastAsia="Times New Roman"/>
                <w:color w:val="000000"/>
                <w:sz w:val="25"/>
                <w:szCs w:val="25"/>
              </w:rPr>
              <w:t>Latvijas Olimpiskā komiteja” 2015.gada 25.augusta vēstulē Nr.175 sniegto informāciju</w:t>
            </w:r>
            <w:r w:rsidR="003E2CDE">
              <w:rPr>
                <w:rFonts w:eastAsia="Times New Roman"/>
                <w:color w:val="000000"/>
                <w:sz w:val="25"/>
                <w:szCs w:val="25"/>
              </w:rPr>
              <w:t xml:space="preserve">,  konstatējams, ka </w:t>
            </w:r>
            <w:r w:rsidR="003E2CDE" w:rsidRPr="003E2CDE">
              <w:rPr>
                <w:rFonts w:eastAsia="Times New Roman"/>
                <w:color w:val="000000"/>
                <w:sz w:val="25"/>
                <w:szCs w:val="25"/>
              </w:rPr>
              <w:t>Daugavpils Olimpiskā centra attīstības projekta īstenošanai izsniegtā valsts galvotā aizdevuma atmaksai 201</w:t>
            </w:r>
            <w:r w:rsidR="003E2CDE">
              <w:rPr>
                <w:rFonts w:eastAsia="Times New Roman"/>
                <w:color w:val="000000"/>
                <w:sz w:val="25"/>
                <w:szCs w:val="25"/>
              </w:rPr>
              <w:t>7</w:t>
            </w:r>
            <w:r w:rsidR="003E2CDE" w:rsidRPr="003E2CDE">
              <w:rPr>
                <w:rFonts w:eastAsia="Times New Roman"/>
                <w:color w:val="000000"/>
                <w:sz w:val="25"/>
                <w:szCs w:val="25"/>
              </w:rPr>
              <w:t xml:space="preserve">.gadā </w:t>
            </w:r>
            <w:r w:rsidR="003E2CDE">
              <w:rPr>
                <w:rFonts w:eastAsia="Times New Roman"/>
                <w:color w:val="000000"/>
                <w:sz w:val="25"/>
                <w:szCs w:val="25"/>
              </w:rPr>
              <w:t xml:space="preserve">būs </w:t>
            </w:r>
            <w:r w:rsidR="003E2CDE" w:rsidRPr="003E2CDE">
              <w:rPr>
                <w:rFonts w:eastAsia="Times New Roman"/>
                <w:color w:val="000000"/>
                <w:sz w:val="25"/>
                <w:szCs w:val="25"/>
              </w:rPr>
              <w:t>nepieciešami</w:t>
            </w:r>
            <w:r w:rsidR="003E2CDE">
              <w:rPr>
                <w:rFonts w:eastAsia="Times New Roman"/>
                <w:color w:val="000000"/>
                <w:sz w:val="25"/>
                <w:szCs w:val="25"/>
              </w:rPr>
              <w:t xml:space="preserve"> (pie patreizējās 6 mēneši EURIBOR likmes</w:t>
            </w:r>
            <w:r w:rsidR="008A4FBE">
              <w:rPr>
                <w:rFonts w:eastAsia="Times New Roman"/>
                <w:color w:val="000000"/>
                <w:sz w:val="25"/>
                <w:szCs w:val="25"/>
              </w:rPr>
              <w:t>, neieskaitot Valsts kasei maksājamo apkalpošanas maksu, kas ir salīdzinoši neliela</w:t>
            </w:r>
            <w:r w:rsidR="003E2CDE">
              <w:rPr>
                <w:rFonts w:eastAsia="Times New Roman"/>
                <w:color w:val="000000"/>
                <w:sz w:val="25"/>
                <w:szCs w:val="25"/>
              </w:rPr>
              <w:t xml:space="preserve">) </w:t>
            </w:r>
            <w:r w:rsidR="003E2CDE" w:rsidRPr="003E2CDE">
              <w:rPr>
                <w:rFonts w:eastAsia="Times New Roman"/>
                <w:color w:val="000000"/>
                <w:sz w:val="25"/>
                <w:szCs w:val="25"/>
              </w:rPr>
              <w:t>633</w:t>
            </w:r>
            <w:r w:rsidR="003E2CDE">
              <w:rPr>
                <w:rFonts w:eastAsia="Times New Roman"/>
                <w:color w:val="000000"/>
                <w:sz w:val="25"/>
                <w:szCs w:val="25"/>
              </w:rPr>
              <w:t xml:space="preserve"> </w:t>
            </w:r>
            <w:r w:rsidR="003E2CDE" w:rsidRPr="003E2CDE">
              <w:rPr>
                <w:rFonts w:eastAsia="Times New Roman"/>
                <w:color w:val="000000"/>
                <w:sz w:val="25"/>
                <w:szCs w:val="25"/>
              </w:rPr>
              <w:t>685</w:t>
            </w:r>
            <w:r w:rsidR="003E2CDE">
              <w:rPr>
                <w:rFonts w:eastAsia="Times New Roman"/>
                <w:color w:val="000000"/>
                <w:sz w:val="25"/>
                <w:szCs w:val="25"/>
              </w:rPr>
              <w:t xml:space="preserve"> </w:t>
            </w:r>
            <w:r w:rsidR="003E2CDE" w:rsidRPr="003E2CDE">
              <w:rPr>
                <w:rFonts w:eastAsia="Times New Roman"/>
                <w:i/>
                <w:color w:val="000000"/>
                <w:sz w:val="25"/>
                <w:szCs w:val="25"/>
              </w:rPr>
              <w:t>euro</w:t>
            </w:r>
            <w:r w:rsidR="003E2CDE">
              <w:rPr>
                <w:rFonts w:eastAsia="Times New Roman"/>
                <w:color w:val="000000"/>
                <w:sz w:val="25"/>
                <w:szCs w:val="25"/>
              </w:rPr>
              <w:t xml:space="preserve">, savukārt </w:t>
            </w:r>
            <w:r w:rsidR="003E2CDE" w:rsidRPr="003E2CDE">
              <w:rPr>
                <w:rFonts w:eastAsia="Times New Roman"/>
                <w:color w:val="000000"/>
                <w:sz w:val="25"/>
                <w:szCs w:val="25"/>
              </w:rPr>
              <w:t xml:space="preserve">valsts budžeta ilgtermiņa saistībās šim mērķim </w:t>
            </w:r>
            <w:r w:rsidR="003E2CDE">
              <w:rPr>
                <w:rFonts w:eastAsia="Times New Roman"/>
                <w:color w:val="000000"/>
                <w:sz w:val="25"/>
                <w:szCs w:val="25"/>
              </w:rPr>
              <w:t xml:space="preserve">2017.gadā </w:t>
            </w:r>
            <w:r w:rsidR="003E2CDE" w:rsidRPr="003E2CDE">
              <w:rPr>
                <w:rFonts w:eastAsia="Times New Roman"/>
                <w:color w:val="000000"/>
                <w:sz w:val="25"/>
                <w:szCs w:val="25"/>
              </w:rPr>
              <w:t xml:space="preserve">paredzēti </w:t>
            </w:r>
            <w:r w:rsidR="003E2CDE">
              <w:rPr>
                <w:rFonts w:eastAsia="Times New Roman"/>
                <w:color w:val="000000"/>
                <w:sz w:val="25"/>
                <w:szCs w:val="25"/>
              </w:rPr>
              <w:t xml:space="preserve">632 620 </w:t>
            </w:r>
            <w:r w:rsidR="003E2CDE" w:rsidRPr="003E2CDE">
              <w:rPr>
                <w:rFonts w:eastAsia="Times New Roman"/>
                <w:i/>
                <w:color w:val="000000"/>
                <w:sz w:val="25"/>
                <w:szCs w:val="25"/>
              </w:rPr>
              <w:t>euro</w:t>
            </w:r>
            <w:r w:rsidR="003E2CDE">
              <w:rPr>
                <w:rFonts w:eastAsia="Times New Roman"/>
                <w:color w:val="000000"/>
                <w:sz w:val="25"/>
                <w:szCs w:val="25"/>
              </w:rPr>
              <w:t>. Minētā starpība ir nebūtiska un to bez papildus valsts budžeta līdzekļu piešķiršanas no saviem līdzekļiem varēs nosegt biedrība „Latvijas Olimpiskā komiteja”.</w:t>
            </w:r>
          </w:p>
          <w:p w:rsidR="00093721" w:rsidRPr="00E14286" w:rsidRDefault="00751B07" w:rsidP="00093721">
            <w:pPr>
              <w:ind w:left="132" w:right="127"/>
              <w:jc w:val="both"/>
              <w:rPr>
                <w:rFonts w:eastAsia="Times New Roman"/>
                <w:color w:val="000000"/>
                <w:sz w:val="25"/>
                <w:szCs w:val="25"/>
              </w:rPr>
            </w:pPr>
            <w:r>
              <w:rPr>
                <w:rFonts w:eastAsia="Times New Roman"/>
                <w:color w:val="000000"/>
                <w:sz w:val="25"/>
                <w:szCs w:val="25"/>
              </w:rPr>
              <w:tab/>
            </w:r>
            <w:r w:rsidR="00093721" w:rsidRPr="00E14286">
              <w:rPr>
                <w:rFonts w:eastAsia="Times New Roman"/>
                <w:color w:val="000000"/>
                <w:sz w:val="25"/>
                <w:szCs w:val="25"/>
              </w:rPr>
              <w:t xml:space="preserve">Apzinoties reālo budžeta situāciju (t.i., ka papildus finansējuma piešķiršana sporta nozarei nav iespējama), IZM kopīgi ar sporta nozares sociālajiem partneriem (t.sk. biedrību „Latvijas Olimpiskā komiteja” un biedrību „Latvija Sporta federāciju padome”) detalizēti ir izvērtējusi iespēju valsts budžeta programmā 09.00.00 „Sports” veikt līdzekļu  iekšējo pārdali, lai nodrošinātu sporta nozares budžeta prioritāšu īstenošanu, </w:t>
            </w:r>
            <w:r>
              <w:rPr>
                <w:rFonts w:eastAsia="Times New Roman"/>
                <w:color w:val="000000"/>
                <w:sz w:val="25"/>
                <w:szCs w:val="25"/>
              </w:rPr>
              <w:t>t.sk., arī nodrošināt</w:t>
            </w:r>
            <w:r w:rsidR="00BC1FF4">
              <w:rPr>
                <w:rFonts w:eastAsia="Times New Roman"/>
                <w:color w:val="000000"/>
                <w:sz w:val="25"/>
                <w:szCs w:val="25"/>
              </w:rPr>
              <w:t>u</w:t>
            </w:r>
            <w:r>
              <w:rPr>
                <w:rFonts w:eastAsia="Times New Roman"/>
                <w:color w:val="000000"/>
                <w:sz w:val="25"/>
                <w:szCs w:val="25"/>
              </w:rPr>
              <w:t xml:space="preserve"> iepriekšminēto saistību </w:t>
            </w:r>
            <w:r>
              <w:rPr>
                <w:rFonts w:eastAsia="Times New Roman"/>
                <w:color w:val="000000"/>
                <w:sz w:val="25"/>
                <w:szCs w:val="25"/>
              </w:rPr>
              <w:lastRenderedPageBreak/>
              <w:t xml:space="preserve">izpildei nepieciešamo papildus finansējumu, </w:t>
            </w:r>
            <w:r w:rsidR="00093721" w:rsidRPr="00E14286">
              <w:rPr>
                <w:rFonts w:eastAsia="Times New Roman"/>
                <w:color w:val="000000"/>
                <w:sz w:val="25"/>
                <w:szCs w:val="25"/>
              </w:rPr>
              <w:t>kā rezultātā ir sagatavoti vairāki priekšlikumi līdzekļu iekšējai pārdalei.</w:t>
            </w:r>
          </w:p>
          <w:p w:rsidR="00913AF7" w:rsidRPr="00E14286" w:rsidRDefault="008A0C7D" w:rsidP="00EC5AE4">
            <w:pPr>
              <w:ind w:left="132" w:right="127"/>
              <w:jc w:val="both"/>
              <w:rPr>
                <w:rFonts w:eastAsia="Times New Roman"/>
                <w:color w:val="000000"/>
                <w:sz w:val="25"/>
                <w:szCs w:val="25"/>
              </w:rPr>
            </w:pPr>
            <w:r>
              <w:rPr>
                <w:sz w:val="25"/>
                <w:szCs w:val="25"/>
              </w:rPr>
              <w:tab/>
            </w:r>
            <w:r w:rsidR="00EC5AE4" w:rsidRPr="00E14286">
              <w:rPr>
                <w:sz w:val="25"/>
                <w:szCs w:val="25"/>
              </w:rPr>
              <w:t xml:space="preserve">Ņemot vērā </w:t>
            </w:r>
            <w:r w:rsidR="00EC5AE4" w:rsidRPr="00E14286">
              <w:rPr>
                <w:rFonts w:eastAsia="Times New Roman"/>
                <w:color w:val="000000"/>
                <w:sz w:val="25"/>
                <w:szCs w:val="25"/>
              </w:rPr>
              <w:t xml:space="preserve">Ministru kabineta 2015.gada 29.septembra sēdes protokollēmuma „Likumprojekts „Par valsts budžetu 2016.gadam”” (prot. Nr.51 42.§) 10.1.apakšpunktā noteikto, </w:t>
            </w:r>
            <w:r w:rsidR="00EC5AE4" w:rsidRPr="00E14286">
              <w:rPr>
                <w:sz w:val="25"/>
                <w:szCs w:val="25"/>
              </w:rPr>
              <w:t xml:space="preserve"> lai nodrošinātu attiecīgu līdzekļu pārdali,</w:t>
            </w:r>
            <w:r w:rsidR="00EC5AE4" w:rsidRPr="00E14286">
              <w:rPr>
                <w:rFonts w:eastAsia="Times New Roman"/>
                <w:color w:val="000000"/>
                <w:sz w:val="25"/>
                <w:szCs w:val="25"/>
              </w:rPr>
              <w:t xml:space="preserve"> attiecīgus priekšlikumus </w:t>
            </w:r>
            <w:r w:rsidR="00EC5AE4" w:rsidRPr="00E14286">
              <w:rPr>
                <w:sz w:val="25"/>
                <w:szCs w:val="25"/>
              </w:rPr>
              <w:t>likumprojekta „Par valsts budžetu 2016.gadam” izskatīšanai Saeimā otrajā lasījumā IZM iesniegs Finanšu ministrijā termiņā, kādu Saeima noteiks otrā lasījuma priekšlikumu iesniegšanai. Uzdevums IZM iesniegt attiecīgus priekšlikumus</w:t>
            </w:r>
            <w:r w:rsidR="00BE31BF">
              <w:rPr>
                <w:sz w:val="25"/>
                <w:szCs w:val="25"/>
              </w:rPr>
              <w:t xml:space="preserve"> ir noteikts, </w:t>
            </w:r>
            <w:r w:rsidR="00BE31BF">
              <w:rPr>
                <w:rFonts w:eastAsia="Times New Roman"/>
                <w:color w:val="000000"/>
                <w:sz w:val="25"/>
                <w:szCs w:val="25"/>
              </w:rPr>
              <w:t xml:space="preserve">kā arī detalizēta informācija par ietaupīto līdzekļu pārdales mērķiem ir norādīta </w:t>
            </w:r>
            <w:r w:rsidR="00EC5AE4"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1326B5" w:rsidRDefault="00EC5AE4" w:rsidP="00913AF7">
            <w:pPr>
              <w:ind w:left="132" w:right="127"/>
              <w:jc w:val="both"/>
              <w:rPr>
                <w:sz w:val="25"/>
                <w:szCs w:val="25"/>
              </w:rPr>
            </w:pPr>
            <w:r w:rsidRPr="00E14286">
              <w:rPr>
                <w:sz w:val="25"/>
                <w:szCs w:val="25"/>
              </w:rPr>
              <w:tab/>
            </w:r>
            <w:r w:rsidR="00913AF7" w:rsidRPr="00E14286">
              <w:rPr>
                <w:sz w:val="25"/>
                <w:szCs w:val="25"/>
              </w:rPr>
              <w:t xml:space="preserve">Tomēr, ņemot vērā, ka </w:t>
            </w:r>
            <w:r w:rsidR="001326B5">
              <w:rPr>
                <w:sz w:val="25"/>
                <w:szCs w:val="25"/>
              </w:rPr>
              <w:t>valsts budžeta ilgtermiņa s</w:t>
            </w:r>
            <w:r w:rsidR="00C13BBA">
              <w:rPr>
                <w:sz w:val="25"/>
                <w:szCs w:val="25"/>
              </w:rPr>
              <w:t xml:space="preserve">aistības ir uzņemtas saskaņā ar </w:t>
            </w:r>
            <w:r w:rsidR="00751B07" w:rsidRPr="00C13BBA">
              <w:rPr>
                <w:rFonts w:eastAsia="Times New Roman"/>
                <w:color w:val="000000"/>
                <w:sz w:val="25"/>
                <w:szCs w:val="25"/>
              </w:rPr>
              <w:t>Ministru kabineta</w:t>
            </w:r>
            <w:r w:rsidR="00751B07">
              <w:rPr>
                <w:rFonts w:eastAsia="Times New Roman"/>
                <w:color w:val="000000"/>
                <w:sz w:val="25"/>
                <w:szCs w:val="25"/>
              </w:rPr>
              <w:t xml:space="preserve"> </w:t>
            </w:r>
            <w:r w:rsidR="00751B07" w:rsidRPr="00BE31F1">
              <w:rPr>
                <w:rFonts w:eastAsia="Times New Roman"/>
                <w:color w:val="000000"/>
                <w:sz w:val="25"/>
                <w:szCs w:val="25"/>
              </w:rPr>
              <w:t>2009.gada 15.jūlija rīkojumā Nr.464 „Par Daugavpils Olimpiskā centra attīstības projekta, Zemgales Olimpiskā centra attīstības projekta un Olimpiskā centra „Ventspils” attīstības projekta „Ventspils peldbaseina rekonstrukcija” īstenošanu””</w:t>
            </w:r>
            <w:r w:rsidR="001326B5" w:rsidRPr="00877B2E">
              <w:rPr>
                <w:rFonts w:eastAsia="Times New Roman"/>
                <w:color w:val="000000"/>
                <w:sz w:val="25"/>
                <w:szCs w:val="25"/>
              </w:rPr>
              <w:t xml:space="preserve"> </w:t>
            </w:r>
            <w:r w:rsidR="001326B5">
              <w:rPr>
                <w:rFonts w:eastAsia="Times New Roman"/>
                <w:color w:val="000000"/>
                <w:sz w:val="25"/>
                <w:szCs w:val="25"/>
              </w:rPr>
              <w:t xml:space="preserve">noteikto, </w:t>
            </w:r>
            <w:r w:rsidR="0097189A">
              <w:rPr>
                <w:rFonts w:eastAsia="Times New Roman"/>
                <w:color w:val="000000"/>
                <w:sz w:val="25"/>
                <w:szCs w:val="25"/>
              </w:rPr>
              <w:t xml:space="preserve">tajā ir </w:t>
            </w:r>
            <w:r w:rsidR="00913AF7" w:rsidRPr="00E14286">
              <w:rPr>
                <w:sz w:val="25"/>
                <w:szCs w:val="25"/>
              </w:rPr>
              <w:t>nepieciešams izdarīt grozījumu</w:t>
            </w:r>
            <w:r w:rsidR="001326B5">
              <w:rPr>
                <w:sz w:val="25"/>
                <w:szCs w:val="25"/>
              </w:rPr>
              <w:t>s</w:t>
            </w:r>
            <w:r w:rsidR="00913AF7" w:rsidRPr="00E14286">
              <w:rPr>
                <w:sz w:val="25"/>
                <w:szCs w:val="25"/>
              </w:rPr>
              <w:t xml:space="preserve">, </w:t>
            </w:r>
            <w:r w:rsidR="001326B5">
              <w:rPr>
                <w:sz w:val="25"/>
                <w:szCs w:val="25"/>
              </w:rPr>
              <w:t xml:space="preserve">lai nodrošinātu </w:t>
            </w:r>
            <w:r w:rsidR="00C13BBA" w:rsidRPr="00C13BBA">
              <w:rPr>
                <w:sz w:val="25"/>
                <w:szCs w:val="25"/>
              </w:rPr>
              <w:t xml:space="preserve"> </w:t>
            </w:r>
            <w:r w:rsidR="000203D9" w:rsidRPr="000203D9">
              <w:rPr>
                <w:sz w:val="25"/>
                <w:szCs w:val="25"/>
              </w:rPr>
              <w:t xml:space="preserve"> Daugavpils Olimpiskā centra attīstības projekta, Zemgales Olimpiskā centra attīstības projekta un Olimpiskā centra „Ventspils” attīstības projekta „Ventspils peldbaseina rekonstrukcija”</w:t>
            </w:r>
            <w:r w:rsidR="008A0C7D">
              <w:rPr>
                <w:sz w:val="25"/>
                <w:szCs w:val="25"/>
              </w:rPr>
              <w:t xml:space="preserve"> (pabeigšanai)</w:t>
            </w:r>
            <w:r w:rsidR="000203D9" w:rsidRPr="000203D9">
              <w:rPr>
                <w:sz w:val="25"/>
                <w:szCs w:val="25"/>
              </w:rPr>
              <w:t xml:space="preserve"> </w:t>
            </w:r>
            <w:r w:rsidR="001326B5">
              <w:rPr>
                <w:sz w:val="25"/>
                <w:szCs w:val="25"/>
              </w:rPr>
              <w:t>īstenošanai paredzēto</w:t>
            </w:r>
            <w:r w:rsidR="001326B5" w:rsidRPr="00CF694A">
              <w:rPr>
                <w:sz w:val="25"/>
                <w:szCs w:val="25"/>
              </w:rPr>
              <w:t xml:space="preserve"> valsts budžeta ilgtermiņa saistību </w:t>
            </w:r>
            <w:r w:rsidR="0097189A" w:rsidRPr="00CF694A">
              <w:rPr>
                <w:sz w:val="25"/>
                <w:szCs w:val="25"/>
              </w:rPr>
              <w:t xml:space="preserve">atbilstību </w:t>
            </w:r>
            <w:r w:rsidR="0097189A">
              <w:rPr>
                <w:sz w:val="25"/>
                <w:szCs w:val="25"/>
              </w:rPr>
              <w:t>faktiski nepieciešamajām valsts budžeta ilgtermiņa saistībām.</w:t>
            </w:r>
          </w:p>
          <w:p w:rsidR="00C0400D" w:rsidRPr="00E14286" w:rsidRDefault="00913AF7" w:rsidP="00E2145D">
            <w:pPr>
              <w:ind w:left="132" w:right="127"/>
              <w:jc w:val="both"/>
              <w:rPr>
                <w:rFonts w:eastAsia="Times New Roman"/>
                <w:color w:val="000000"/>
                <w:sz w:val="25"/>
                <w:szCs w:val="25"/>
              </w:rPr>
            </w:pPr>
            <w:r w:rsidRPr="00E14286">
              <w:rPr>
                <w:rFonts w:eastAsia="Times New Roman"/>
                <w:color w:val="000000"/>
                <w:sz w:val="25"/>
                <w:szCs w:val="25"/>
              </w:rPr>
              <w:tab/>
              <w:t xml:space="preserve">Ievērojot minēto,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E2145D" w:rsidRPr="00E2145D">
              <w:rPr>
                <w:rFonts w:eastAsia="Times New Roman"/>
                <w:color w:val="000000"/>
                <w:sz w:val="25"/>
                <w:szCs w:val="25"/>
              </w:rPr>
              <w:t>Grozījumi Ministru kabineta 2009.gada 15.jūlija rīkojumā Nr.464 „Par Daugavpils Olimpiskā centra attīstības projekta, Zemgales Olimpiskā centra attīstības projekta un Olimpiskā centra „Ventspils” attīstības projekta „Ventspils peldbaseina rekonstrukcija” īstenošanu””</w:t>
            </w:r>
            <w:r w:rsidR="00C13BBA">
              <w:rPr>
                <w:rFonts w:eastAsia="Times New Roman"/>
                <w:color w:val="000000"/>
                <w:sz w:val="25"/>
                <w:szCs w:val="25"/>
              </w:rPr>
              <w:t xml:space="preserve"> </w:t>
            </w:r>
            <w:r w:rsidR="00991845" w:rsidRPr="00E14286">
              <w:rPr>
                <w:rFonts w:eastAsia="Times New Roman"/>
                <w:color w:val="000000"/>
                <w:sz w:val="25"/>
                <w:szCs w:val="25"/>
              </w:rPr>
              <w:t>(turpmāk – Ministru kabineta rīkojuma projekts)</w:t>
            </w:r>
            <w:r w:rsidR="0047568D" w:rsidRPr="00E14286">
              <w:rPr>
                <w:rFonts w:eastAsia="Times New Roman"/>
                <w:color w:val="000000"/>
                <w:sz w:val="25"/>
                <w:szCs w:val="25"/>
              </w:rPr>
              <w:t>.</w:t>
            </w:r>
            <w:r w:rsidR="00C0400D">
              <w:rPr>
                <w:rFonts w:eastAsia="Times New Roman"/>
                <w:color w:val="000000"/>
                <w:sz w:val="25"/>
                <w:szCs w:val="25"/>
              </w:rPr>
              <w:tab/>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C206E8">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 xml:space="preserve">izstrādāja IZM. </w:t>
            </w:r>
            <w:r w:rsidR="00C206E8">
              <w:rPr>
                <w:sz w:val="25"/>
                <w:szCs w:val="25"/>
              </w:rPr>
              <w:t>Ievērojot to</w:t>
            </w:r>
            <w:r w:rsidR="008C68D2" w:rsidRPr="00E14286">
              <w:rPr>
                <w:sz w:val="25"/>
                <w:szCs w:val="25"/>
              </w:rPr>
              <w:t xml:space="preserve">, ka Ministru kabineta rīkojuma projekts 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 xml:space="preserve">(t.sk. biedrību „Latvijas Olimpiskā komiteja” un biedrību „Latvija Sporta federāciju padome”),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Pr="00E14286" w:rsidRDefault="00291AF4" w:rsidP="00C13BBA">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tc>
      </w:tr>
    </w:tbl>
    <w:p w:rsidR="00CD6134" w:rsidRDefault="00CD613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lastRenderedPageBreak/>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3E1F5B">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r w:rsidRPr="00E14286">
              <w:rPr>
                <w:i/>
                <w:sz w:val="25"/>
                <w:szCs w:val="25"/>
              </w:rPr>
              <w:t>euro</w:t>
            </w:r>
            <w:r w:rsidRPr="00E14286">
              <w:rPr>
                <w:sz w:val="25"/>
                <w:szCs w:val="25"/>
              </w:rPr>
              <w:t>)</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3E1F5B">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3E1F5B">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47568D" w:rsidRPr="00E14286">
              <w:rPr>
                <w:sz w:val="25"/>
                <w:szCs w:val="25"/>
              </w:rPr>
              <w:t xml:space="preserve">.gada izdevumu ietvaros, </w:t>
            </w:r>
            <w:r w:rsidR="00991845" w:rsidRPr="00E14286">
              <w:rPr>
                <w:sz w:val="25"/>
                <w:szCs w:val="25"/>
              </w:rPr>
              <w:t>iekšējās pārdales rezultātā 2016</w:t>
            </w:r>
            <w:r w:rsidR="0047568D" w:rsidRPr="00E14286">
              <w:rPr>
                <w:sz w:val="25"/>
                <w:szCs w:val="25"/>
              </w:rPr>
              <w:t xml:space="preserve">.gada valsts budžeta programmas 09.00.00 </w:t>
            </w:r>
            <w:r w:rsidR="005D66E2" w:rsidRPr="00E14286">
              <w:rPr>
                <w:sz w:val="25"/>
                <w:szCs w:val="25"/>
              </w:rPr>
              <w:t>„</w:t>
            </w:r>
            <w:r w:rsidR="0047568D" w:rsidRPr="00E14286">
              <w:rPr>
                <w:sz w:val="25"/>
                <w:szCs w:val="25"/>
              </w:rPr>
              <w:t>Sports” izdevumi nemainās.</w:t>
            </w:r>
          </w:p>
          <w:p w:rsidR="00C0400D" w:rsidRPr="00C0400D" w:rsidRDefault="00CD6134" w:rsidP="00972383">
            <w:pPr>
              <w:jc w:val="both"/>
              <w:rPr>
                <w:rFonts w:eastAsia="Times New Roman"/>
                <w:color w:val="000000"/>
                <w:sz w:val="25"/>
                <w:szCs w:val="25"/>
              </w:rPr>
            </w:pPr>
            <w:r w:rsidRPr="00E14286">
              <w:rPr>
                <w:sz w:val="25"/>
                <w:szCs w:val="25"/>
              </w:rPr>
              <w:tab/>
            </w:r>
            <w:r w:rsidR="00BC1FF4">
              <w:rPr>
                <w:sz w:val="25"/>
                <w:szCs w:val="25"/>
              </w:rPr>
              <w:t>Ievērojot to</w:t>
            </w:r>
            <w:r w:rsidR="001119E5">
              <w:rPr>
                <w:sz w:val="25"/>
                <w:szCs w:val="25"/>
              </w:rPr>
              <w:t xml:space="preserve">, ka </w:t>
            </w:r>
            <w:r w:rsidR="001119E5">
              <w:rPr>
                <w:rFonts w:eastAsia="Times New Roman"/>
                <w:color w:val="000000"/>
                <w:sz w:val="25"/>
                <w:szCs w:val="25"/>
              </w:rPr>
              <w:t>2016.gadā 7 no 10 plānoto</w:t>
            </w:r>
            <w:r w:rsidR="001119E5" w:rsidRPr="00BF2F07">
              <w:rPr>
                <w:rFonts w:eastAsia="Times New Roman"/>
                <w:color w:val="000000"/>
                <w:sz w:val="25"/>
                <w:szCs w:val="25"/>
              </w:rPr>
              <w:t xml:space="preserve"> valsts galvoto aizdevumu atmaksai nepieciešams mazāks finansējums</w:t>
            </w:r>
            <w:r w:rsidR="001119E5">
              <w:rPr>
                <w:rFonts w:eastAsia="Times New Roman"/>
                <w:color w:val="000000"/>
                <w:sz w:val="25"/>
                <w:szCs w:val="25"/>
              </w:rPr>
              <w:t xml:space="preserve">, kā rezultātā šo saistību izpildei </w:t>
            </w:r>
            <w:r w:rsidR="001119E5" w:rsidRPr="00E14286">
              <w:rPr>
                <w:sz w:val="25"/>
                <w:szCs w:val="25"/>
              </w:rPr>
              <w:t xml:space="preserve">2016.gada valsts budžeta programmas 09.00.00 „Sports” apakšprogrammā </w:t>
            </w:r>
            <w:r w:rsidR="001119E5">
              <w:rPr>
                <w:sz w:val="25"/>
                <w:szCs w:val="25"/>
              </w:rPr>
              <w:t>09.23.00 „</w:t>
            </w:r>
            <w:r w:rsidR="001119E5" w:rsidRPr="00BE31BF">
              <w:rPr>
                <w:sz w:val="25"/>
                <w:szCs w:val="25"/>
              </w:rPr>
              <w:t>Valsts ilgtermiņa saistības sportā – Dotācija Latvijas Olimpiskajai komitejai (LOK) – valsts galvoto aizdevumu atmaksai</w:t>
            </w:r>
            <w:r w:rsidR="001119E5">
              <w:rPr>
                <w:sz w:val="25"/>
                <w:szCs w:val="25"/>
              </w:rPr>
              <w:t xml:space="preserve">” paredzētais finansējums samazināsies, </w:t>
            </w:r>
            <w:r w:rsidR="001119E5" w:rsidRPr="000203D9">
              <w:rPr>
                <w:sz w:val="25"/>
                <w:szCs w:val="25"/>
              </w:rPr>
              <w:t xml:space="preserve">Daugavpils Olimpiskā centra attīstības projekta, Zemgales Olimpiskā centra </w:t>
            </w:r>
            <w:r w:rsidR="001119E5" w:rsidRPr="000203D9">
              <w:rPr>
                <w:sz w:val="25"/>
                <w:szCs w:val="25"/>
              </w:rPr>
              <w:lastRenderedPageBreak/>
              <w:t>attīstības projekta un Olimpiskā centra „Ventspils” attīstības projekta „Ventspils peldbaseina rekonstrukcija”</w:t>
            </w:r>
            <w:r w:rsidR="001119E5">
              <w:rPr>
                <w:sz w:val="25"/>
                <w:szCs w:val="25"/>
              </w:rPr>
              <w:t xml:space="preserve"> (pabeigšanai) īstenošanai paredzēto</w:t>
            </w:r>
            <w:r w:rsidR="001119E5" w:rsidRPr="00CF694A">
              <w:rPr>
                <w:sz w:val="25"/>
                <w:szCs w:val="25"/>
              </w:rPr>
              <w:t xml:space="preserve"> saistību </w:t>
            </w:r>
            <w:r w:rsidR="001119E5">
              <w:rPr>
                <w:sz w:val="25"/>
                <w:szCs w:val="25"/>
              </w:rPr>
              <w:t>izpildei nepieciešamā finansējuma palielinājuma rezultātā jebkurā gadījumā i</w:t>
            </w:r>
            <w:r w:rsidR="001119E5" w:rsidRPr="00E14286">
              <w:rPr>
                <w:sz w:val="25"/>
                <w:szCs w:val="25"/>
              </w:rPr>
              <w:t xml:space="preserve">zdevumi 2016.gada valsts budžeta programmas 09.00.00 „Sports” apakšprogrammā </w:t>
            </w:r>
            <w:r w:rsidR="001119E5">
              <w:rPr>
                <w:sz w:val="25"/>
                <w:szCs w:val="25"/>
              </w:rPr>
              <w:t>09.23.00 „</w:t>
            </w:r>
            <w:r w:rsidR="001119E5" w:rsidRPr="00BE31BF">
              <w:rPr>
                <w:sz w:val="25"/>
                <w:szCs w:val="25"/>
              </w:rPr>
              <w:t>Valsts ilgtermiņa saistības sportā – Dotācija Latvijas Olimpiskajai komitejai (LOK) – valsts galvoto aizdevumu atmaksai</w:t>
            </w:r>
            <w:r w:rsidR="001119E5">
              <w:rPr>
                <w:sz w:val="25"/>
                <w:szCs w:val="25"/>
              </w:rPr>
              <w:t xml:space="preserve">” samazināsies, </w:t>
            </w:r>
            <w:r w:rsidR="00BE31BF">
              <w:rPr>
                <w:sz w:val="25"/>
                <w:szCs w:val="25"/>
              </w:rPr>
              <w:t xml:space="preserve">savukārt attiecīgi palielināsies citās </w:t>
            </w:r>
            <w:r w:rsidR="00BE31BF" w:rsidRPr="00E14286">
              <w:rPr>
                <w:sz w:val="25"/>
                <w:szCs w:val="25"/>
              </w:rPr>
              <w:t>2016.gada valsts budžeta programmas 09.00.00 „Sports” apakšprogrammā</w:t>
            </w:r>
            <w:r w:rsidR="00BE31BF">
              <w:rPr>
                <w:sz w:val="25"/>
                <w:szCs w:val="25"/>
              </w:rPr>
              <w:t>s paredzētie izdevumi.</w:t>
            </w:r>
            <w:r w:rsidR="00C0400D">
              <w:rPr>
                <w:sz w:val="25"/>
                <w:szCs w:val="25"/>
              </w:rPr>
              <w:t xml:space="preserve"> D</w:t>
            </w:r>
            <w:r w:rsidR="00C0400D">
              <w:rPr>
                <w:rFonts w:eastAsia="Times New Roman"/>
                <w:color w:val="000000"/>
                <w:sz w:val="25"/>
                <w:szCs w:val="25"/>
              </w:rPr>
              <w:t>etalizēta informācija par līdzekļu pārdal</w:t>
            </w:r>
            <w:r w:rsidR="00972383">
              <w:rPr>
                <w:rFonts w:eastAsia="Times New Roman"/>
                <w:color w:val="000000"/>
                <w:sz w:val="25"/>
                <w:szCs w:val="25"/>
              </w:rPr>
              <w:t>i</w:t>
            </w:r>
            <w:r w:rsidR="00C0400D">
              <w:rPr>
                <w:rFonts w:eastAsia="Times New Roman"/>
                <w:color w:val="000000"/>
                <w:sz w:val="25"/>
                <w:szCs w:val="25"/>
              </w:rPr>
              <w:t xml:space="preserve"> ir norādīta </w:t>
            </w:r>
            <w:r w:rsidR="00C0400D" w:rsidRPr="00E14286">
              <w:rPr>
                <w:sz w:val="25"/>
                <w:szCs w:val="25"/>
              </w:rPr>
              <w:t>IZM izstrādātajā informatīvajā ziņojumā „Par līdzekļu iekšējo pārdali 2016.gada valsts budžeta programmā 09.00.00 „Sports”” un ar to saistītajā Ministru kabineta sēdes protokollēmum</w:t>
            </w:r>
            <w:r w:rsidR="009E06F9">
              <w:rPr>
                <w:sz w:val="25"/>
                <w:szCs w:val="25"/>
              </w:rPr>
              <w:t>a projektā</w:t>
            </w:r>
            <w:r w:rsidR="00C0400D" w:rsidRPr="00E14286">
              <w:rPr>
                <w:sz w:val="25"/>
                <w:szCs w:val="25"/>
              </w:rPr>
              <w:t>,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trHeight w:val="399"/>
          <w:jc w:val="center"/>
        </w:trPr>
        <w:tc>
          <w:tcPr>
            <w:tcW w:w="3507" w:type="dxa"/>
          </w:tcPr>
          <w:p w:rsidR="009B774A" w:rsidRPr="00E14286" w:rsidRDefault="009B774A" w:rsidP="001A0506">
            <w:pPr>
              <w:rPr>
                <w:sz w:val="25"/>
                <w:szCs w:val="25"/>
              </w:rPr>
            </w:pPr>
            <w:r w:rsidRPr="00E14286">
              <w:rPr>
                <w:sz w:val="25"/>
                <w:szCs w:val="25"/>
              </w:rPr>
              <w:lastRenderedPageBreak/>
              <w:t>7. Cita informācija</w:t>
            </w:r>
          </w:p>
        </w:tc>
        <w:tc>
          <w:tcPr>
            <w:tcW w:w="6553" w:type="dxa"/>
            <w:gridSpan w:val="5"/>
            <w:shd w:val="clear" w:color="auto" w:fill="auto"/>
          </w:tcPr>
          <w:p w:rsidR="009B774A" w:rsidRPr="00E14286" w:rsidRDefault="00E14286" w:rsidP="00F53178">
            <w:pPr>
              <w:jc w:val="both"/>
              <w:rPr>
                <w:sz w:val="25"/>
                <w:szCs w:val="25"/>
              </w:rPr>
            </w:pPr>
            <w:r w:rsidRPr="00E14286">
              <w:rPr>
                <w:sz w:val="25"/>
                <w:szCs w:val="25"/>
              </w:rPr>
              <w:t>Nav.</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520B00" w:rsidRDefault="00520B00" w:rsidP="00E244D0">
      <w:pPr>
        <w:ind w:left="720"/>
      </w:pPr>
    </w:p>
    <w:p w:rsidR="00E94769" w:rsidRDefault="00E94769" w:rsidP="00E244D0">
      <w:pPr>
        <w:ind w:left="720"/>
      </w:pPr>
    </w:p>
    <w:p w:rsidR="002D62A9" w:rsidRDefault="002D62A9" w:rsidP="00E244D0">
      <w:pPr>
        <w:ind w:left="720"/>
      </w:pPr>
    </w:p>
    <w:p w:rsidR="00DD63F3" w:rsidRDefault="00DD63F3" w:rsidP="00E244D0">
      <w:pPr>
        <w:ind w:left="720"/>
        <w:rPr>
          <w:sz w:val="22"/>
          <w:szCs w:val="22"/>
        </w:rPr>
      </w:pPr>
    </w:p>
    <w:p w:rsidR="001119E5" w:rsidRDefault="001119E5" w:rsidP="00E244D0">
      <w:pPr>
        <w:ind w:left="720"/>
        <w:rPr>
          <w:sz w:val="22"/>
          <w:szCs w:val="22"/>
        </w:rPr>
      </w:pPr>
    </w:p>
    <w:p w:rsidR="001119E5" w:rsidRDefault="001119E5" w:rsidP="00E244D0">
      <w:pPr>
        <w:ind w:left="720"/>
        <w:rPr>
          <w:sz w:val="22"/>
          <w:szCs w:val="22"/>
        </w:rPr>
      </w:pPr>
    </w:p>
    <w:p w:rsidR="001119E5" w:rsidRDefault="001119E5" w:rsidP="00E244D0">
      <w:pPr>
        <w:ind w:left="720"/>
        <w:rPr>
          <w:sz w:val="22"/>
          <w:szCs w:val="22"/>
        </w:rPr>
      </w:pPr>
    </w:p>
    <w:p w:rsidR="004C297E" w:rsidRDefault="004C297E" w:rsidP="00E244D0">
      <w:pPr>
        <w:ind w:left="720"/>
        <w:rPr>
          <w:sz w:val="22"/>
          <w:szCs w:val="22"/>
        </w:rPr>
      </w:pPr>
    </w:p>
    <w:p w:rsidR="004C297E" w:rsidRDefault="004C297E" w:rsidP="00E244D0">
      <w:pPr>
        <w:ind w:left="720"/>
        <w:rPr>
          <w:sz w:val="22"/>
          <w:szCs w:val="22"/>
        </w:rPr>
      </w:pPr>
    </w:p>
    <w:p w:rsidR="004C297E" w:rsidRDefault="004C297E" w:rsidP="00E244D0">
      <w:pPr>
        <w:ind w:left="720"/>
        <w:rPr>
          <w:sz w:val="22"/>
          <w:szCs w:val="22"/>
        </w:rPr>
      </w:pPr>
    </w:p>
    <w:p w:rsidR="001119E5" w:rsidRDefault="001119E5" w:rsidP="00E244D0">
      <w:pPr>
        <w:ind w:left="720"/>
        <w:rPr>
          <w:sz w:val="22"/>
          <w:szCs w:val="22"/>
        </w:rPr>
      </w:pPr>
    </w:p>
    <w:p w:rsidR="00DD63F3" w:rsidRDefault="00DD63F3" w:rsidP="00E244D0">
      <w:pPr>
        <w:ind w:left="720"/>
        <w:rPr>
          <w:sz w:val="22"/>
          <w:szCs w:val="22"/>
        </w:rPr>
      </w:pPr>
    </w:p>
    <w:p w:rsidR="00E244D0" w:rsidRPr="002D62A9" w:rsidRDefault="00DD63F3" w:rsidP="00E244D0">
      <w:pPr>
        <w:ind w:left="720"/>
        <w:rPr>
          <w:sz w:val="22"/>
          <w:szCs w:val="22"/>
        </w:rPr>
      </w:pPr>
      <w:r>
        <w:rPr>
          <w:sz w:val="22"/>
          <w:szCs w:val="22"/>
        </w:rPr>
        <w:t>2</w:t>
      </w:r>
      <w:r w:rsidR="00B613D8">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972383" w:rsidP="00E244D0">
      <w:pPr>
        <w:ind w:left="720"/>
        <w:rPr>
          <w:sz w:val="22"/>
          <w:szCs w:val="22"/>
        </w:rPr>
      </w:pPr>
      <w:r>
        <w:rPr>
          <w:sz w:val="22"/>
          <w:szCs w:val="22"/>
        </w:rPr>
        <w:t>1395</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 xml:space="preserve">Sporta departamenta direktora vietnieks </w:t>
      </w:r>
      <w:proofErr w:type="spellStart"/>
      <w:r w:rsidRPr="002D62A9">
        <w:rPr>
          <w:sz w:val="22"/>
          <w:szCs w:val="22"/>
        </w:rPr>
        <w:t>E.Severs</w:t>
      </w:r>
      <w:proofErr w:type="spellEnd"/>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8A" w:rsidRDefault="0027098A" w:rsidP="00123E9B">
      <w:r>
        <w:separator/>
      </w:r>
    </w:p>
  </w:endnote>
  <w:endnote w:type="continuationSeparator" w:id="0">
    <w:p w:rsidR="0027098A" w:rsidRDefault="0027098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E2145D" w:rsidRDefault="00E2145D" w:rsidP="00E2145D">
    <w:pPr>
      <w:ind w:left="-567" w:right="-568"/>
      <w:jc w:val="both"/>
    </w:pPr>
    <w:r>
      <w:rPr>
        <w:sz w:val="22"/>
        <w:szCs w:val="22"/>
      </w:rPr>
      <w:t>IZMAnot_</w:t>
    </w:r>
    <w:r w:rsidR="00DD63F3">
      <w:rPr>
        <w:sz w:val="22"/>
        <w:szCs w:val="22"/>
      </w:rPr>
      <w:t>2</w:t>
    </w:r>
    <w:r w:rsidR="00B613D8">
      <w:rPr>
        <w:sz w:val="22"/>
        <w:szCs w:val="22"/>
      </w:rPr>
      <w:t>6</w:t>
    </w:r>
    <w:r>
      <w:rPr>
        <w:sz w:val="22"/>
        <w:szCs w:val="22"/>
      </w:rPr>
      <w:t>1015_groz-464</w:t>
    </w:r>
    <w:r w:rsidRPr="004816F6">
      <w:rPr>
        <w:sz w:val="22"/>
        <w:szCs w:val="22"/>
      </w:rPr>
      <w:t xml:space="preserve">; Ministru kabineta rīkojuma projekta </w:t>
    </w:r>
    <w:r>
      <w:rPr>
        <w:sz w:val="22"/>
        <w:szCs w:val="22"/>
      </w:rPr>
      <w:t>„</w:t>
    </w:r>
    <w:r w:rsidRPr="00E2145D">
      <w:rPr>
        <w:sz w:val="22"/>
        <w:szCs w:val="22"/>
      </w:rPr>
      <w:t>Grozījumi Ministru kabineta 2009.gada 15.jūlija rīkojumā Nr.464 „Par Daugavpils Olimpiskā centra attīstības projekta, Zemgales Olimpiskā centra attīstības projekta un Olimpiskā centra „Ventspils” attīstības projekta „Ventspils peldbaseina rekonstrukcija” īstenošanu”</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A51C5">
    <w:pPr>
      <w:ind w:left="-567" w:right="-568"/>
      <w:jc w:val="both"/>
      <w:rPr>
        <w:sz w:val="22"/>
        <w:szCs w:val="22"/>
      </w:rPr>
    </w:pPr>
    <w:r>
      <w:rPr>
        <w:sz w:val="22"/>
        <w:szCs w:val="22"/>
      </w:rPr>
      <w:t>IZMAnot_</w:t>
    </w:r>
    <w:r w:rsidR="00DD63F3">
      <w:rPr>
        <w:sz w:val="22"/>
        <w:szCs w:val="22"/>
      </w:rPr>
      <w:t>2</w:t>
    </w:r>
    <w:r w:rsidR="00B613D8">
      <w:rPr>
        <w:sz w:val="22"/>
        <w:szCs w:val="22"/>
      </w:rPr>
      <w:t>6</w:t>
    </w:r>
    <w:r w:rsidR="0014095C">
      <w:rPr>
        <w:sz w:val="22"/>
        <w:szCs w:val="22"/>
      </w:rPr>
      <w:t>10</w:t>
    </w:r>
    <w:r w:rsidR="004B0E92">
      <w:rPr>
        <w:sz w:val="22"/>
        <w:szCs w:val="22"/>
      </w:rPr>
      <w:t>15</w:t>
    </w:r>
    <w:r>
      <w:rPr>
        <w:sz w:val="22"/>
        <w:szCs w:val="22"/>
      </w:rPr>
      <w:t>_</w:t>
    </w:r>
    <w:r w:rsidR="00CA693C">
      <w:rPr>
        <w:sz w:val="22"/>
        <w:szCs w:val="22"/>
      </w:rPr>
      <w:t>groz-</w:t>
    </w:r>
    <w:r w:rsidR="00E2145D">
      <w:rPr>
        <w:sz w:val="22"/>
        <w:szCs w:val="22"/>
      </w:rPr>
      <w:t>464</w:t>
    </w:r>
    <w:r w:rsidRPr="004816F6">
      <w:rPr>
        <w:sz w:val="22"/>
        <w:szCs w:val="22"/>
      </w:rPr>
      <w:t xml:space="preserve">; Ministru kabineta rīkojuma projekta </w:t>
    </w:r>
    <w:r w:rsidR="005D66E2">
      <w:rPr>
        <w:sz w:val="22"/>
        <w:szCs w:val="22"/>
      </w:rPr>
      <w:t>„</w:t>
    </w:r>
    <w:r w:rsidR="00E2145D" w:rsidRPr="00E2145D">
      <w:rPr>
        <w:sz w:val="22"/>
        <w:szCs w:val="22"/>
      </w:rPr>
      <w:t>Grozījumi Ministru kabineta 2009.gada 15.jūlija rīkojumā Nr.464 „Par Daugavpils Olimpiskā centra attīstības projekta, Zemgales Olimpiskā centra attīstības projekta un Olimpiskā centra „Ventspils” attīstības projekta „Ventspils peldbaseina rekonstrukcija” īstenošanu”</w:t>
    </w:r>
    <w:r w:rsidR="00CA693C"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8A" w:rsidRDefault="0027098A" w:rsidP="00123E9B">
      <w:r>
        <w:separator/>
      </w:r>
    </w:p>
  </w:footnote>
  <w:footnote w:type="continuationSeparator" w:id="0">
    <w:p w:rsidR="0027098A" w:rsidRDefault="0027098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7F10B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3D9"/>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212"/>
    <w:rsid w:val="00070F02"/>
    <w:rsid w:val="00071C49"/>
    <w:rsid w:val="00072B98"/>
    <w:rsid w:val="00072F6C"/>
    <w:rsid w:val="000730C8"/>
    <w:rsid w:val="00073118"/>
    <w:rsid w:val="000732D1"/>
    <w:rsid w:val="00074405"/>
    <w:rsid w:val="00074B8C"/>
    <w:rsid w:val="00076F56"/>
    <w:rsid w:val="000777A0"/>
    <w:rsid w:val="000777F6"/>
    <w:rsid w:val="00080CC1"/>
    <w:rsid w:val="00081477"/>
    <w:rsid w:val="00081CEB"/>
    <w:rsid w:val="00082C6B"/>
    <w:rsid w:val="000849C2"/>
    <w:rsid w:val="00084C38"/>
    <w:rsid w:val="0008599C"/>
    <w:rsid w:val="00090BFF"/>
    <w:rsid w:val="000912B2"/>
    <w:rsid w:val="0009162F"/>
    <w:rsid w:val="00091E26"/>
    <w:rsid w:val="000934D5"/>
    <w:rsid w:val="00093721"/>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7AB"/>
    <w:rsid w:val="000F3894"/>
    <w:rsid w:val="0010198A"/>
    <w:rsid w:val="00101C45"/>
    <w:rsid w:val="00103760"/>
    <w:rsid w:val="00103A3D"/>
    <w:rsid w:val="001106D1"/>
    <w:rsid w:val="00111709"/>
    <w:rsid w:val="001119E5"/>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408"/>
    <w:rsid w:val="0027098A"/>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1AC"/>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BA6"/>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484"/>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47FC"/>
    <w:rsid w:val="003B5F90"/>
    <w:rsid w:val="003B6D50"/>
    <w:rsid w:val="003C1075"/>
    <w:rsid w:val="003C2496"/>
    <w:rsid w:val="003C691E"/>
    <w:rsid w:val="003D01AF"/>
    <w:rsid w:val="003D4908"/>
    <w:rsid w:val="003D5EAB"/>
    <w:rsid w:val="003D7335"/>
    <w:rsid w:val="003E1F5B"/>
    <w:rsid w:val="003E2CDE"/>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26233"/>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297E"/>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4DBF"/>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4CB0"/>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291"/>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1F3D"/>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6F7B19"/>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1B07"/>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0B9"/>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043"/>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4626"/>
    <w:rsid w:val="00865F4A"/>
    <w:rsid w:val="0086671A"/>
    <w:rsid w:val="0087128F"/>
    <w:rsid w:val="00871CB3"/>
    <w:rsid w:val="008723BF"/>
    <w:rsid w:val="008736C0"/>
    <w:rsid w:val="00873AFB"/>
    <w:rsid w:val="00873ED2"/>
    <w:rsid w:val="00877B2E"/>
    <w:rsid w:val="00880012"/>
    <w:rsid w:val="00882419"/>
    <w:rsid w:val="0088273C"/>
    <w:rsid w:val="00884A65"/>
    <w:rsid w:val="00887353"/>
    <w:rsid w:val="0089266F"/>
    <w:rsid w:val="008928E8"/>
    <w:rsid w:val="00892CEB"/>
    <w:rsid w:val="00892DC2"/>
    <w:rsid w:val="0089323C"/>
    <w:rsid w:val="00893CD2"/>
    <w:rsid w:val="008957F2"/>
    <w:rsid w:val="008A0C7D"/>
    <w:rsid w:val="008A17E9"/>
    <w:rsid w:val="008A4FBE"/>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D62"/>
    <w:rsid w:val="00970D16"/>
    <w:rsid w:val="0097189A"/>
    <w:rsid w:val="0097200A"/>
    <w:rsid w:val="00972383"/>
    <w:rsid w:val="00976CDB"/>
    <w:rsid w:val="009848C9"/>
    <w:rsid w:val="009849CF"/>
    <w:rsid w:val="009879C2"/>
    <w:rsid w:val="00987CF4"/>
    <w:rsid w:val="00990076"/>
    <w:rsid w:val="00991790"/>
    <w:rsid w:val="00991845"/>
    <w:rsid w:val="0099370A"/>
    <w:rsid w:val="009950B3"/>
    <w:rsid w:val="00995D97"/>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1138"/>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4DE2"/>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3D8"/>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B5E34"/>
    <w:rsid w:val="00BC0B52"/>
    <w:rsid w:val="00BC0D9F"/>
    <w:rsid w:val="00BC10F5"/>
    <w:rsid w:val="00BC1FF4"/>
    <w:rsid w:val="00BC4D7B"/>
    <w:rsid w:val="00BC605E"/>
    <w:rsid w:val="00BC6786"/>
    <w:rsid w:val="00BC7009"/>
    <w:rsid w:val="00BC7743"/>
    <w:rsid w:val="00BD0B17"/>
    <w:rsid w:val="00BD1AD6"/>
    <w:rsid w:val="00BD1DB2"/>
    <w:rsid w:val="00BD3E66"/>
    <w:rsid w:val="00BD41A8"/>
    <w:rsid w:val="00BD4D0B"/>
    <w:rsid w:val="00BD696A"/>
    <w:rsid w:val="00BD6CDF"/>
    <w:rsid w:val="00BE01B3"/>
    <w:rsid w:val="00BE072E"/>
    <w:rsid w:val="00BE13F2"/>
    <w:rsid w:val="00BE1B08"/>
    <w:rsid w:val="00BE2B40"/>
    <w:rsid w:val="00BE31BF"/>
    <w:rsid w:val="00BE31F1"/>
    <w:rsid w:val="00BE3D54"/>
    <w:rsid w:val="00BE70E1"/>
    <w:rsid w:val="00BF0939"/>
    <w:rsid w:val="00BF0C10"/>
    <w:rsid w:val="00BF1719"/>
    <w:rsid w:val="00BF196F"/>
    <w:rsid w:val="00BF29D7"/>
    <w:rsid w:val="00BF2F07"/>
    <w:rsid w:val="00BF3073"/>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149D"/>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5672"/>
    <w:rsid w:val="00CD6134"/>
    <w:rsid w:val="00CD7C93"/>
    <w:rsid w:val="00CE0B01"/>
    <w:rsid w:val="00CE133F"/>
    <w:rsid w:val="00CE2B81"/>
    <w:rsid w:val="00CE5307"/>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17F8"/>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63F3"/>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2145D"/>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1FBD"/>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1797-64F3-426B-9BED-499A084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7456</Words>
  <Characters>4251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2009.gada 15.jūlija rīkojumā Nr.464 „Par Daugavpils Olimpiskā centra attīstības projekta, Zemgales Olimpiskā centra attīstības projekta un Olimpiskā centra „Ventspils” attīstības projekta „V</vt:lpstr>
    </vt:vector>
  </TitlesOfParts>
  <Company>Izglītības un zinātnes ministrija, Sporta departaments</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2009.gada 15.jūlija rīkojumā Nr.464 „Par Daugavpils Olimpiskā centra attīstības projekta, Zemgales Olimpiskā centra attīstības projekta un Olimpiskā centra „Ventspils” attīstības projekta „Ventspils peldbaseina rekonstrukcija”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83</cp:revision>
  <cp:lastPrinted>2014-08-11T11:23:00Z</cp:lastPrinted>
  <dcterms:created xsi:type="dcterms:W3CDTF">2015-10-18T16:28:00Z</dcterms:created>
  <dcterms:modified xsi:type="dcterms:W3CDTF">2015-10-26T08:35:00Z</dcterms:modified>
</cp:coreProperties>
</file>