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EBCD6" w14:textId="150A4ACC" w:rsidR="003A170B" w:rsidRPr="004041F4" w:rsidRDefault="005D4795" w:rsidP="00D37E56">
      <w:pPr>
        <w:jc w:val="center"/>
        <w:rPr>
          <w:b/>
          <w:sz w:val="28"/>
          <w:szCs w:val="28"/>
        </w:rPr>
      </w:pPr>
      <w:r w:rsidRPr="005D4795">
        <w:rPr>
          <w:b/>
          <w:sz w:val="28"/>
          <w:szCs w:val="28"/>
        </w:rPr>
        <w:t>Ministru kabineta rīkojuma projekt</w:t>
      </w:r>
      <w:r>
        <w:rPr>
          <w:b/>
          <w:sz w:val="28"/>
          <w:szCs w:val="28"/>
        </w:rPr>
        <w:t>a</w:t>
      </w:r>
      <w:r w:rsidRPr="005D4795">
        <w:rPr>
          <w:b/>
          <w:sz w:val="28"/>
          <w:szCs w:val="28"/>
        </w:rPr>
        <w:t xml:space="preserve"> “Grozījumi Darbības programmā pārtikas un pamata materiālās palīdzības sniegšanai vistrūcīgākajām personām 2014.-2020.gada plānošanas periodā”</w:t>
      </w:r>
    </w:p>
    <w:p w14:paraId="4F8BACEF" w14:textId="338F625E" w:rsidR="00B76D85" w:rsidRPr="004041F4" w:rsidRDefault="00B76D85" w:rsidP="00D751F0">
      <w:pPr>
        <w:jc w:val="center"/>
        <w:rPr>
          <w:b/>
          <w:sz w:val="28"/>
          <w:szCs w:val="28"/>
        </w:rPr>
      </w:pPr>
    </w:p>
    <w:p w14:paraId="3C76386C" w14:textId="77777777" w:rsidR="00B445F0" w:rsidRPr="004041F4" w:rsidRDefault="00B76D85" w:rsidP="00D751F0">
      <w:pPr>
        <w:jc w:val="center"/>
        <w:rPr>
          <w:b/>
          <w:sz w:val="28"/>
          <w:szCs w:val="28"/>
        </w:rPr>
      </w:pPr>
      <w:r w:rsidRPr="004041F4">
        <w:rPr>
          <w:b/>
          <w:sz w:val="28"/>
          <w:szCs w:val="28"/>
        </w:rPr>
        <w:t>sākotnējās ietekmes novērtējuma ziņojums (anotācija)</w:t>
      </w:r>
    </w:p>
    <w:p w14:paraId="1E5F5AC8" w14:textId="77777777" w:rsidR="00B76D85" w:rsidRPr="004041F4" w:rsidRDefault="00B76D85" w:rsidP="00B76D85">
      <w:pPr>
        <w:jc w:val="center"/>
        <w:rPr>
          <w:b/>
          <w:sz w:val="28"/>
          <w:szCs w:val="28"/>
        </w:rPr>
      </w:pPr>
    </w:p>
    <w:tbl>
      <w:tblPr>
        <w:tblW w:w="574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2277"/>
        <w:gridCol w:w="7278"/>
      </w:tblGrid>
      <w:tr w:rsidR="00194614" w:rsidRPr="004041F4" w14:paraId="36750CFA" w14:textId="77777777" w:rsidTr="009A562B">
        <w:tc>
          <w:tcPr>
            <w:tcW w:w="5000" w:type="pct"/>
            <w:gridSpan w:val="3"/>
            <w:shd w:val="clear" w:color="auto" w:fill="auto"/>
          </w:tcPr>
          <w:p w14:paraId="4B2A7270" w14:textId="77777777" w:rsidR="00194614" w:rsidRPr="004041F4" w:rsidRDefault="00C01716" w:rsidP="006A7D0B">
            <w:pPr>
              <w:jc w:val="center"/>
              <w:rPr>
                <w:b/>
                <w:sz w:val="28"/>
                <w:szCs w:val="28"/>
              </w:rPr>
            </w:pPr>
            <w:r w:rsidRPr="004041F4">
              <w:rPr>
                <w:b/>
                <w:sz w:val="28"/>
                <w:szCs w:val="28"/>
              </w:rPr>
              <w:t>I</w:t>
            </w:r>
            <w:r w:rsidR="00DC37D9" w:rsidRPr="004041F4">
              <w:rPr>
                <w:b/>
                <w:sz w:val="28"/>
                <w:szCs w:val="28"/>
              </w:rPr>
              <w:t>.</w:t>
            </w:r>
            <w:r w:rsidRPr="004041F4">
              <w:rPr>
                <w:b/>
                <w:sz w:val="28"/>
                <w:szCs w:val="28"/>
              </w:rPr>
              <w:t xml:space="preserve"> Tiesību akta projekta izstrādes nepieciešamība</w:t>
            </w:r>
          </w:p>
        </w:tc>
      </w:tr>
      <w:tr w:rsidR="00B76D85" w:rsidRPr="004041F4" w14:paraId="3655F01D" w14:textId="77777777" w:rsidTr="009A562B">
        <w:tc>
          <w:tcPr>
            <w:tcW w:w="266" w:type="pct"/>
            <w:shd w:val="clear" w:color="auto" w:fill="auto"/>
          </w:tcPr>
          <w:p w14:paraId="437FA7F0" w14:textId="77777777" w:rsidR="00B76D85" w:rsidRPr="004041F4" w:rsidRDefault="00B76D85" w:rsidP="00B76D85">
            <w:pPr>
              <w:rPr>
                <w:sz w:val="28"/>
                <w:szCs w:val="28"/>
              </w:rPr>
            </w:pPr>
            <w:r w:rsidRPr="004041F4">
              <w:rPr>
                <w:sz w:val="28"/>
                <w:szCs w:val="28"/>
              </w:rPr>
              <w:t>1.</w:t>
            </w:r>
          </w:p>
        </w:tc>
        <w:tc>
          <w:tcPr>
            <w:tcW w:w="1128" w:type="pct"/>
            <w:shd w:val="clear" w:color="auto" w:fill="auto"/>
          </w:tcPr>
          <w:p w14:paraId="135A8938" w14:textId="77777777" w:rsidR="00B76D85" w:rsidRPr="004041F4" w:rsidRDefault="00B76D85" w:rsidP="00B76D85">
            <w:pPr>
              <w:rPr>
                <w:sz w:val="28"/>
                <w:szCs w:val="28"/>
              </w:rPr>
            </w:pPr>
            <w:r w:rsidRPr="004041F4">
              <w:rPr>
                <w:sz w:val="28"/>
                <w:szCs w:val="28"/>
              </w:rPr>
              <w:t>Pamatojums</w:t>
            </w:r>
          </w:p>
        </w:tc>
        <w:tc>
          <w:tcPr>
            <w:tcW w:w="3606" w:type="pct"/>
            <w:shd w:val="clear" w:color="auto" w:fill="auto"/>
          </w:tcPr>
          <w:p w14:paraId="1545EB06" w14:textId="6D65ED38" w:rsidR="005037E7" w:rsidRPr="005D4795" w:rsidRDefault="005D4795" w:rsidP="00BA3CAC">
            <w:pPr>
              <w:autoSpaceDE w:val="0"/>
              <w:autoSpaceDN w:val="0"/>
              <w:adjustRightInd w:val="0"/>
              <w:ind w:right="51"/>
              <w:jc w:val="both"/>
              <w:rPr>
                <w:sz w:val="28"/>
                <w:szCs w:val="28"/>
              </w:rPr>
            </w:pPr>
            <w:r w:rsidRPr="005D4795">
              <w:rPr>
                <w:spacing w:val="-4"/>
                <w:sz w:val="28"/>
                <w:szCs w:val="28"/>
              </w:rPr>
              <w:t>Ministru kabineta rīkojuma projekts “Grozījumi Darbības programmā pārtikas un pamata materiālās palīdzības sniegšanai vistrūcīgākajām personām 2014.-2020.gada plānošanas periodā”</w:t>
            </w:r>
            <w:r w:rsidRPr="005D4795">
              <w:rPr>
                <w:color w:val="000000"/>
                <w:spacing w:val="-4"/>
                <w:sz w:val="28"/>
                <w:szCs w:val="28"/>
              </w:rPr>
              <w:t xml:space="preserve"> izstrādāts, pamatojoties uz Ministru kabineta 2014. gada 3. septembra rīkojuma Nr. 475 „Par Darbības programmu pārtikas un pamata materiālās palīdzības sniegšanai vistrūcīgākajām personām 2014.-2020. gada plānošanas periodā” </w:t>
            </w:r>
            <w:r w:rsidR="00321BE1">
              <w:rPr>
                <w:color w:val="000000"/>
                <w:spacing w:val="-4"/>
                <w:sz w:val="28"/>
                <w:szCs w:val="28"/>
              </w:rPr>
              <w:t xml:space="preserve">(turpmāk – Rīkojums) </w:t>
            </w:r>
            <w:r w:rsidRPr="005D4795">
              <w:rPr>
                <w:color w:val="000000"/>
                <w:spacing w:val="-4"/>
                <w:sz w:val="28"/>
                <w:szCs w:val="28"/>
              </w:rPr>
              <w:t>3. punkt</w:t>
            </w:r>
            <w:r w:rsidR="00BA3CAC">
              <w:rPr>
                <w:color w:val="000000"/>
                <w:spacing w:val="-4"/>
                <w:sz w:val="28"/>
                <w:szCs w:val="28"/>
              </w:rPr>
              <w:t>u</w:t>
            </w:r>
            <w:r w:rsidRPr="005D4795">
              <w:rPr>
                <w:color w:val="000000"/>
                <w:spacing w:val="-4"/>
                <w:sz w:val="28"/>
                <w:szCs w:val="28"/>
              </w:rPr>
              <w:t>.</w:t>
            </w:r>
          </w:p>
        </w:tc>
      </w:tr>
      <w:tr w:rsidR="00B76D85" w:rsidRPr="004041F4" w14:paraId="06543E68" w14:textId="77777777" w:rsidTr="009A562B">
        <w:tc>
          <w:tcPr>
            <w:tcW w:w="266" w:type="pct"/>
            <w:shd w:val="clear" w:color="auto" w:fill="auto"/>
          </w:tcPr>
          <w:p w14:paraId="19E96573" w14:textId="77777777" w:rsidR="00B76D85" w:rsidRPr="004041F4" w:rsidRDefault="00B76D85" w:rsidP="00B76D85">
            <w:pPr>
              <w:rPr>
                <w:sz w:val="28"/>
                <w:szCs w:val="28"/>
              </w:rPr>
            </w:pPr>
            <w:r w:rsidRPr="004041F4">
              <w:rPr>
                <w:sz w:val="28"/>
                <w:szCs w:val="28"/>
              </w:rPr>
              <w:t xml:space="preserve">2. </w:t>
            </w:r>
          </w:p>
        </w:tc>
        <w:tc>
          <w:tcPr>
            <w:tcW w:w="1128" w:type="pct"/>
            <w:shd w:val="clear" w:color="auto" w:fill="auto"/>
          </w:tcPr>
          <w:p w14:paraId="29E5A93F" w14:textId="77777777" w:rsidR="00B76D85" w:rsidRPr="004041F4" w:rsidRDefault="004373E9" w:rsidP="00B76D85">
            <w:pPr>
              <w:rPr>
                <w:sz w:val="28"/>
                <w:szCs w:val="28"/>
              </w:rPr>
            </w:pPr>
            <w:r w:rsidRPr="004041F4">
              <w:rPr>
                <w:sz w:val="28"/>
                <w:szCs w:val="28"/>
              </w:rPr>
              <w:t>Pašreizējā situācija un problēmas, kuru risināšanai tiesību akta projekts izstrādāts, tiesiskā regulējuma mērķis un būtība</w:t>
            </w:r>
          </w:p>
        </w:tc>
        <w:tc>
          <w:tcPr>
            <w:tcW w:w="3606" w:type="pct"/>
            <w:shd w:val="clear" w:color="auto" w:fill="auto"/>
          </w:tcPr>
          <w:p w14:paraId="62925978" w14:textId="000C4547" w:rsidR="00D45D7C" w:rsidRDefault="00D45D7C" w:rsidP="00AB7C51">
            <w:pPr>
              <w:autoSpaceDE w:val="0"/>
              <w:autoSpaceDN w:val="0"/>
              <w:adjustRightInd w:val="0"/>
              <w:ind w:right="51"/>
              <w:jc w:val="both"/>
              <w:rPr>
                <w:color w:val="000000"/>
                <w:spacing w:val="-4"/>
                <w:sz w:val="28"/>
                <w:szCs w:val="28"/>
              </w:rPr>
            </w:pPr>
            <w:r w:rsidRPr="00D611CC">
              <w:rPr>
                <w:color w:val="000000"/>
                <w:spacing w:val="-4"/>
                <w:sz w:val="28"/>
                <w:szCs w:val="28"/>
              </w:rPr>
              <w:t>Atbilstoši Rīkojum</w:t>
            </w:r>
            <w:r>
              <w:rPr>
                <w:color w:val="000000"/>
                <w:spacing w:val="-4"/>
                <w:sz w:val="28"/>
                <w:szCs w:val="28"/>
              </w:rPr>
              <w:t>am,</w:t>
            </w:r>
            <w:r w:rsidRPr="00D611CC">
              <w:rPr>
                <w:color w:val="000000"/>
                <w:spacing w:val="-4"/>
                <w:sz w:val="28"/>
                <w:szCs w:val="28"/>
              </w:rPr>
              <w:t xml:space="preserve"> Labklājības ministrija ir pārstāvējusi Latvijas intereses sarunās ar Eiropas Komisiju (turpmāk – EK) par darbības programmas apstiprināšanu</w:t>
            </w:r>
            <w:r>
              <w:rPr>
                <w:color w:val="000000"/>
                <w:spacing w:val="-4"/>
                <w:sz w:val="28"/>
                <w:szCs w:val="28"/>
              </w:rPr>
              <w:t>.</w:t>
            </w:r>
            <w:r w:rsidRPr="00D611CC">
              <w:rPr>
                <w:color w:val="000000"/>
                <w:spacing w:val="-4"/>
                <w:sz w:val="28"/>
                <w:szCs w:val="28"/>
              </w:rPr>
              <w:t xml:space="preserve"> </w:t>
            </w:r>
            <w:r>
              <w:rPr>
                <w:color w:val="000000"/>
                <w:spacing w:val="-4"/>
                <w:sz w:val="28"/>
                <w:szCs w:val="28"/>
              </w:rPr>
              <w:t>P</w:t>
            </w:r>
            <w:r w:rsidRPr="00D611CC">
              <w:rPr>
                <w:color w:val="000000"/>
                <w:spacing w:val="-4"/>
                <w:sz w:val="28"/>
                <w:szCs w:val="28"/>
              </w:rPr>
              <w:t>ēc sarunām ar EK</w:t>
            </w:r>
            <w:r>
              <w:rPr>
                <w:color w:val="000000"/>
                <w:spacing w:val="-4"/>
                <w:sz w:val="28"/>
                <w:szCs w:val="28"/>
              </w:rPr>
              <w:t>,</w:t>
            </w:r>
            <w:r w:rsidRPr="00D611CC">
              <w:rPr>
                <w:color w:val="000000"/>
                <w:spacing w:val="-4"/>
                <w:sz w:val="28"/>
                <w:szCs w:val="28"/>
              </w:rPr>
              <w:t xml:space="preserve"> darbības programmā veikt</w:t>
            </w:r>
            <w:r>
              <w:rPr>
                <w:color w:val="000000"/>
                <w:spacing w:val="-4"/>
                <w:sz w:val="28"/>
                <w:szCs w:val="28"/>
              </w:rPr>
              <w:t>i precizējumi</w:t>
            </w:r>
            <w:r w:rsidRPr="00D611CC">
              <w:rPr>
                <w:color w:val="000000"/>
                <w:spacing w:val="-4"/>
                <w:sz w:val="28"/>
                <w:szCs w:val="28"/>
              </w:rPr>
              <w:t xml:space="preserve"> un </w:t>
            </w:r>
            <w:r w:rsidR="00B95C2D">
              <w:rPr>
                <w:color w:val="000000"/>
                <w:spacing w:val="-4"/>
                <w:sz w:val="28"/>
                <w:szCs w:val="28"/>
              </w:rPr>
              <w:t xml:space="preserve">EK </w:t>
            </w:r>
            <w:r w:rsidRPr="00D611CC">
              <w:rPr>
                <w:color w:val="000000"/>
                <w:spacing w:val="-4"/>
                <w:sz w:val="28"/>
                <w:szCs w:val="28"/>
              </w:rPr>
              <w:t>t</w:t>
            </w:r>
            <w:r w:rsidR="00B95C2D">
              <w:rPr>
                <w:color w:val="000000"/>
                <w:spacing w:val="-4"/>
                <w:sz w:val="28"/>
                <w:szCs w:val="28"/>
              </w:rPr>
              <w:t>o</w:t>
            </w:r>
            <w:r w:rsidRPr="00D611CC">
              <w:rPr>
                <w:color w:val="000000"/>
                <w:spacing w:val="-4"/>
                <w:sz w:val="28"/>
                <w:szCs w:val="28"/>
              </w:rPr>
              <w:t xml:space="preserve"> apstiprinā</w:t>
            </w:r>
            <w:r w:rsidR="00B95C2D">
              <w:rPr>
                <w:color w:val="000000"/>
                <w:spacing w:val="-4"/>
                <w:sz w:val="28"/>
                <w:szCs w:val="28"/>
              </w:rPr>
              <w:t>jusi</w:t>
            </w:r>
            <w:r w:rsidRPr="00D611CC">
              <w:rPr>
                <w:color w:val="000000"/>
                <w:spacing w:val="-4"/>
                <w:sz w:val="28"/>
                <w:szCs w:val="28"/>
              </w:rPr>
              <w:t xml:space="preserve"> 30.10.2014.</w:t>
            </w:r>
            <w:r>
              <w:rPr>
                <w:color w:val="000000"/>
                <w:spacing w:val="-4"/>
                <w:sz w:val="28"/>
                <w:szCs w:val="28"/>
              </w:rPr>
              <w:t xml:space="preserve"> </w:t>
            </w:r>
          </w:p>
          <w:p w14:paraId="69FE9EDA" w14:textId="3A36C78E" w:rsidR="00AB7C51" w:rsidRDefault="00321BE1" w:rsidP="00D45D7C">
            <w:pPr>
              <w:autoSpaceDE w:val="0"/>
              <w:autoSpaceDN w:val="0"/>
              <w:adjustRightInd w:val="0"/>
              <w:spacing w:before="120"/>
              <w:ind w:right="51"/>
              <w:jc w:val="both"/>
              <w:rPr>
                <w:color w:val="000000"/>
                <w:spacing w:val="-4"/>
                <w:sz w:val="28"/>
                <w:szCs w:val="28"/>
              </w:rPr>
            </w:pPr>
            <w:r w:rsidRPr="00321BE1">
              <w:rPr>
                <w:color w:val="000000"/>
                <w:spacing w:val="-4"/>
                <w:sz w:val="28"/>
                <w:szCs w:val="28"/>
              </w:rPr>
              <w:t>Saskaņā ar Rīkojumu</w:t>
            </w:r>
            <w:r w:rsidR="004C607E">
              <w:rPr>
                <w:color w:val="000000"/>
                <w:spacing w:val="-4"/>
                <w:sz w:val="28"/>
                <w:szCs w:val="28"/>
              </w:rPr>
              <w:t>,</w:t>
            </w:r>
            <w:r w:rsidRPr="00321BE1">
              <w:rPr>
                <w:color w:val="000000"/>
                <w:spacing w:val="-4"/>
                <w:sz w:val="28"/>
                <w:szCs w:val="28"/>
              </w:rPr>
              <w:t xml:space="preserve"> Labklājības ministrijai jāiesniedz Ministru kabine</w:t>
            </w:r>
            <w:r>
              <w:rPr>
                <w:color w:val="000000"/>
                <w:spacing w:val="-4"/>
                <w:sz w:val="28"/>
                <w:szCs w:val="28"/>
              </w:rPr>
              <w:t>tā precizētā darbības programma, ja tajā veiktas būtiskas izmaiņas.</w:t>
            </w:r>
          </w:p>
          <w:p w14:paraId="4D11CF48" w14:textId="630B5586" w:rsidR="00AB7C51" w:rsidRDefault="00D45D7C" w:rsidP="00BE5D22">
            <w:pPr>
              <w:autoSpaceDE w:val="0"/>
              <w:autoSpaceDN w:val="0"/>
              <w:adjustRightInd w:val="0"/>
              <w:spacing w:before="120"/>
              <w:ind w:right="51"/>
              <w:jc w:val="both"/>
              <w:rPr>
                <w:color w:val="000000"/>
                <w:spacing w:val="-4"/>
                <w:sz w:val="28"/>
                <w:szCs w:val="28"/>
              </w:rPr>
            </w:pPr>
            <w:r>
              <w:rPr>
                <w:color w:val="000000"/>
                <w:spacing w:val="-4"/>
                <w:sz w:val="28"/>
                <w:szCs w:val="28"/>
              </w:rPr>
              <w:t xml:space="preserve">EK ierosinātie precizējumi </w:t>
            </w:r>
            <w:r w:rsidR="00321BE1" w:rsidRPr="00321BE1">
              <w:rPr>
                <w:color w:val="000000"/>
                <w:spacing w:val="-4"/>
                <w:sz w:val="28"/>
                <w:szCs w:val="28"/>
              </w:rPr>
              <w:t>pamatā attiec</w:t>
            </w:r>
            <w:r>
              <w:rPr>
                <w:color w:val="000000"/>
                <w:spacing w:val="-4"/>
                <w:sz w:val="28"/>
                <w:szCs w:val="28"/>
              </w:rPr>
              <w:t>ā</w:t>
            </w:r>
            <w:r w:rsidR="00321BE1" w:rsidRPr="00321BE1">
              <w:rPr>
                <w:color w:val="000000"/>
                <w:spacing w:val="-4"/>
                <w:sz w:val="28"/>
                <w:szCs w:val="28"/>
              </w:rPr>
              <w:t>s uz redakcionāliem precizējumiem</w:t>
            </w:r>
            <w:r w:rsidR="00321BE1">
              <w:rPr>
                <w:color w:val="000000"/>
                <w:spacing w:val="-4"/>
                <w:sz w:val="28"/>
                <w:szCs w:val="28"/>
              </w:rPr>
              <w:t xml:space="preserve"> un </w:t>
            </w:r>
            <w:r w:rsidR="00321BE1" w:rsidRPr="00321BE1">
              <w:rPr>
                <w:color w:val="000000"/>
                <w:spacing w:val="-4"/>
                <w:sz w:val="28"/>
                <w:szCs w:val="28"/>
              </w:rPr>
              <w:t>teksta saīsināšanu. Iekļaut</w:t>
            </w:r>
            <w:r w:rsidR="007A7262">
              <w:rPr>
                <w:color w:val="000000"/>
                <w:spacing w:val="-4"/>
                <w:sz w:val="28"/>
                <w:szCs w:val="28"/>
              </w:rPr>
              <w:t>i</w:t>
            </w:r>
            <w:r w:rsidR="00321BE1" w:rsidRPr="00321BE1">
              <w:rPr>
                <w:color w:val="000000"/>
                <w:spacing w:val="-4"/>
                <w:sz w:val="28"/>
                <w:szCs w:val="28"/>
              </w:rPr>
              <w:t xml:space="preserve"> arī jaun</w:t>
            </w:r>
            <w:r w:rsidR="007A7262">
              <w:rPr>
                <w:color w:val="000000"/>
                <w:spacing w:val="-4"/>
                <w:sz w:val="28"/>
                <w:szCs w:val="28"/>
              </w:rPr>
              <w:t>i</w:t>
            </w:r>
            <w:r w:rsidR="00321BE1" w:rsidRPr="00321BE1">
              <w:rPr>
                <w:color w:val="000000"/>
                <w:spacing w:val="-4"/>
                <w:sz w:val="28"/>
                <w:szCs w:val="28"/>
              </w:rPr>
              <w:t xml:space="preserve"> Fonda atbalsta ieviešanu skaidrojoš</w:t>
            </w:r>
            <w:r w:rsidR="007A7262">
              <w:rPr>
                <w:color w:val="000000"/>
                <w:spacing w:val="-4"/>
                <w:sz w:val="28"/>
                <w:szCs w:val="28"/>
              </w:rPr>
              <w:t>i</w:t>
            </w:r>
            <w:r w:rsidR="00321BE1" w:rsidRPr="00321BE1">
              <w:rPr>
                <w:color w:val="000000"/>
                <w:spacing w:val="-4"/>
                <w:sz w:val="28"/>
                <w:szCs w:val="28"/>
              </w:rPr>
              <w:t xml:space="preserve"> </w:t>
            </w:r>
            <w:r w:rsidR="007A7262">
              <w:rPr>
                <w:color w:val="000000"/>
                <w:spacing w:val="-4"/>
                <w:sz w:val="28"/>
                <w:szCs w:val="28"/>
              </w:rPr>
              <w:t>punkti</w:t>
            </w:r>
            <w:r w:rsidR="00321BE1" w:rsidRPr="00321BE1">
              <w:rPr>
                <w:color w:val="000000"/>
                <w:spacing w:val="-4"/>
                <w:sz w:val="28"/>
                <w:szCs w:val="28"/>
              </w:rPr>
              <w:t xml:space="preserve">, pamatā par Sadarbības iestādes īstenotajām darbībām un funkciju nošķiršanu no finansējuma saņēmēja darbībām. </w:t>
            </w:r>
          </w:p>
          <w:p w14:paraId="0AA0740F" w14:textId="3F49D8A5" w:rsidR="00AB7C51" w:rsidRDefault="00321BE1" w:rsidP="00AB7C51">
            <w:pPr>
              <w:autoSpaceDE w:val="0"/>
              <w:autoSpaceDN w:val="0"/>
              <w:adjustRightInd w:val="0"/>
              <w:spacing w:before="120"/>
              <w:ind w:right="51"/>
              <w:jc w:val="both"/>
              <w:rPr>
                <w:color w:val="000000"/>
                <w:spacing w:val="-4"/>
                <w:sz w:val="28"/>
                <w:szCs w:val="28"/>
              </w:rPr>
            </w:pPr>
            <w:r w:rsidRPr="00321BE1">
              <w:rPr>
                <w:color w:val="000000"/>
                <w:spacing w:val="-4"/>
                <w:sz w:val="28"/>
                <w:szCs w:val="28"/>
              </w:rPr>
              <w:t xml:space="preserve">Būtiskākie </w:t>
            </w:r>
            <w:r>
              <w:rPr>
                <w:color w:val="000000"/>
                <w:spacing w:val="-4"/>
                <w:sz w:val="28"/>
                <w:szCs w:val="28"/>
              </w:rPr>
              <w:t xml:space="preserve">darbības programmas </w:t>
            </w:r>
            <w:r w:rsidRPr="00321BE1">
              <w:rPr>
                <w:color w:val="000000"/>
                <w:spacing w:val="-4"/>
                <w:sz w:val="28"/>
                <w:szCs w:val="28"/>
              </w:rPr>
              <w:t>precizējumi attiecas uz:</w:t>
            </w:r>
          </w:p>
          <w:p w14:paraId="0D642A29" w14:textId="2F36881F" w:rsidR="00AB7C51" w:rsidRDefault="00AB7C51" w:rsidP="00AB7C51">
            <w:pPr>
              <w:autoSpaceDE w:val="0"/>
              <w:autoSpaceDN w:val="0"/>
              <w:adjustRightInd w:val="0"/>
              <w:spacing w:before="120"/>
              <w:ind w:right="51"/>
              <w:jc w:val="both"/>
              <w:rPr>
                <w:color w:val="000000"/>
                <w:spacing w:val="-4"/>
                <w:sz w:val="28"/>
                <w:szCs w:val="28"/>
              </w:rPr>
            </w:pPr>
            <w:r>
              <w:rPr>
                <w:color w:val="000000"/>
                <w:spacing w:val="-4"/>
                <w:sz w:val="28"/>
                <w:szCs w:val="28"/>
              </w:rPr>
              <w:t xml:space="preserve">1) </w:t>
            </w:r>
            <w:r w:rsidR="00321BE1" w:rsidRPr="00AB7C51">
              <w:rPr>
                <w:color w:val="000000"/>
                <w:spacing w:val="-4"/>
                <w:sz w:val="28"/>
                <w:szCs w:val="28"/>
              </w:rPr>
              <w:t xml:space="preserve">31. </w:t>
            </w:r>
            <w:r>
              <w:rPr>
                <w:color w:val="000000"/>
                <w:spacing w:val="-4"/>
                <w:sz w:val="28"/>
                <w:szCs w:val="28"/>
              </w:rPr>
              <w:t>punktu</w:t>
            </w:r>
            <w:r w:rsidR="00321BE1" w:rsidRPr="00AB7C51">
              <w:rPr>
                <w:color w:val="000000"/>
                <w:spacing w:val="-4"/>
                <w:sz w:val="28"/>
                <w:szCs w:val="28"/>
              </w:rPr>
              <w:t>, kas paredz Eiropas Atbalsta fonda vistrūcīgākajām personām rādītāju svītrošanu (EK neatbalsta Fonda rādītāju izvirzīšanu nevienā dalībvalstī);</w:t>
            </w:r>
          </w:p>
          <w:p w14:paraId="1E1D3C5A" w14:textId="79017528" w:rsidR="00AB7C51" w:rsidRDefault="00AB7C51" w:rsidP="00AB7C51">
            <w:pPr>
              <w:autoSpaceDE w:val="0"/>
              <w:autoSpaceDN w:val="0"/>
              <w:adjustRightInd w:val="0"/>
              <w:spacing w:before="120"/>
              <w:ind w:right="51"/>
              <w:jc w:val="both"/>
              <w:rPr>
                <w:color w:val="000000"/>
                <w:spacing w:val="-4"/>
                <w:sz w:val="28"/>
                <w:szCs w:val="28"/>
              </w:rPr>
            </w:pPr>
            <w:r>
              <w:rPr>
                <w:color w:val="000000"/>
                <w:spacing w:val="-4"/>
                <w:sz w:val="28"/>
                <w:szCs w:val="28"/>
              </w:rPr>
              <w:t xml:space="preserve">2) </w:t>
            </w:r>
            <w:r w:rsidR="00321BE1" w:rsidRPr="00AB7C51">
              <w:rPr>
                <w:color w:val="000000"/>
                <w:spacing w:val="-4"/>
                <w:sz w:val="28"/>
                <w:szCs w:val="28"/>
              </w:rPr>
              <w:t xml:space="preserve">29. </w:t>
            </w:r>
            <w:r>
              <w:rPr>
                <w:color w:val="000000"/>
                <w:spacing w:val="-4"/>
                <w:sz w:val="28"/>
                <w:szCs w:val="28"/>
              </w:rPr>
              <w:t>punktu</w:t>
            </w:r>
            <w:r w:rsidR="00321BE1" w:rsidRPr="00AB7C51">
              <w:rPr>
                <w:color w:val="000000"/>
                <w:spacing w:val="-4"/>
                <w:sz w:val="28"/>
                <w:szCs w:val="28"/>
              </w:rPr>
              <w:t>, kas paredz no Fonda komplektu iegādes kritērijiem svītrot kritēriju attiecībā uz saimniecisko izdevīgumu (EK norādījusi, ka kritērijs nav attiecināms uz Fonda darbību, bet raksturo piegādātāju atlases metodoloģiju. Ir saglabāta vispārīga atsauce uz prasību organizēt atlasi, ievērojot normatīvos aktus publisko iepirkumu jomā);</w:t>
            </w:r>
          </w:p>
          <w:p w14:paraId="50B95A0B" w14:textId="2351C0BC" w:rsidR="00321BE1" w:rsidRPr="00AB7C51" w:rsidRDefault="00AB7C51" w:rsidP="00AB7C51">
            <w:pPr>
              <w:autoSpaceDE w:val="0"/>
              <w:autoSpaceDN w:val="0"/>
              <w:adjustRightInd w:val="0"/>
              <w:spacing w:before="120"/>
              <w:ind w:right="51"/>
              <w:jc w:val="both"/>
              <w:rPr>
                <w:color w:val="000000"/>
                <w:spacing w:val="-4"/>
                <w:sz w:val="28"/>
                <w:szCs w:val="28"/>
              </w:rPr>
            </w:pPr>
            <w:r>
              <w:rPr>
                <w:color w:val="000000"/>
                <w:spacing w:val="-4"/>
                <w:sz w:val="28"/>
                <w:szCs w:val="28"/>
              </w:rPr>
              <w:t xml:space="preserve">3) </w:t>
            </w:r>
            <w:r w:rsidR="00321BE1" w:rsidRPr="00AB7C51">
              <w:rPr>
                <w:color w:val="000000"/>
                <w:spacing w:val="-4"/>
                <w:sz w:val="28"/>
                <w:szCs w:val="28"/>
              </w:rPr>
              <w:t xml:space="preserve">40. </w:t>
            </w:r>
            <w:r>
              <w:rPr>
                <w:color w:val="000000"/>
                <w:spacing w:val="-4"/>
                <w:sz w:val="28"/>
                <w:szCs w:val="28"/>
              </w:rPr>
              <w:t>punktu</w:t>
            </w:r>
            <w:r w:rsidR="00321BE1" w:rsidRPr="00AB7C51">
              <w:rPr>
                <w:color w:val="000000"/>
                <w:spacing w:val="-4"/>
                <w:sz w:val="28"/>
                <w:szCs w:val="28"/>
              </w:rPr>
              <w:t xml:space="preserve">, kas paredz papildināt programmu ar jauniem komplektu izdales un papildpasākumu īstenošanas kritērijiem – </w:t>
            </w:r>
            <w:r w:rsidR="00321BE1" w:rsidRPr="00AB7C51">
              <w:rPr>
                <w:color w:val="000000"/>
                <w:spacing w:val="-4"/>
                <w:sz w:val="28"/>
                <w:szCs w:val="28"/>
              </w:rPr>
              <w:lastRenderedPageBreak/>
              <w:t>darbības īsteno konkursa kārtībā atlasītas partnerorganizācijas, kurām ir pietiekama kapacitāte un nosacījumu – kritēriji piemērojami pieejamā budžeta ietvaros;</w:t>
            </w:r>
          </w:p>
          <w:p w14:paraId="7AA22368" w14:textId="6F80F667" w:rsidR="00AB7C51" w:rsidRPr="004C607E" w:rsidRDefault="004C607E" w:rsidP="004C607E">
            <w:pPr>
              <w:autoSpaceDE w:val="0"/>
              <w:autoSpaceDN w:val="0"/>
              <w:adjustRightInd w:val="0"/>
              <w:ind w:right="51"/>
              <w:jc w:val="both"/>
              <w:rPr>
                <w:spacing w:val="-4"/>
                <w:sz w:val="28"/>
                <w:szCs w:val="28"/>
              </w:rPr>
            </w:pPr>
            <w:r>
              <w:rPr>
                <w:spacing w:val="-4"/>
                <w:sz w:val="28"/>
                <w:szCs w:val="28"/>
              </w:rPr>
              <w:t xml:space="preserve">4) </w:t>
            </w:r>
            <w:r w:rsidR="00321BE1" w:rsidRPr="004C607E">
              <w:rPr>
                <w:spacing w:val="-4"/>
                <w:sz w:val="28"/>
                <w:szCs w:val="28"/>
              </w:rPr>
              <w:t xml:space="preserve">45. </w:t>
            </w:r>
            <w:r w:rsidR="00AB7C51" w:rsidRPr="004C607E">
              <w:rPr>
                <w:color w:val="000000"/>
                <w:spacing w:val="-4"/>
                <w:sz w:val="28"/>
                <w:szCs w:val="28"/>
              </w:rPr>
              <w:t>punktu</w:t>
            </w:r>
            <w:r w:rsidR="00321BE1" w:rsidRPr="004C607E">
              <w:rPr>
                <w:spacing w:val="-4"/>
                <w:sz w:val="28"/>
                <w:szCs w:val="28"/>
              </w:rPr>
              <w:t>, kas paredz, ka partnerorganizāciju atlases kvalitātes vērtēšanas kritērijos iekļaujams kritērijs attiecībā uz tiešu vai netiešu pieredzi iesniegumā plānoto papildpasākumu īstenošanā;</w:t>
            </w:r>
          </w:p>
          <w:p w14:paraId="0B9ECB4C" w14:textId="17C2665C" w:rsidR="00AB7C51" w:rsidRPr="004C607E" w:rsidRDefault="004C607E" w:rsidP="004C607E">
            <w:pPr>
              <w:autoSpaceDE w:val="0"/>
              <w:autoSpaceDN w:val="0"/>
              <w:adjustRightInd w:val="0"/>
              <w:ind w:right="51"/>
              <w:jc w:val="both"/>
              <w:rPr>
                <w:spacing w:val="-4"/>
                <w:sz w:val="28"/>
                <w:szCs w:val="28"/>
              </w:rPr>
            </w:pPr>
            <w:r>
              <w:rPr>
                <w:spacing w:val="-4"/>
                <w:sz w:val="28"/>
                <w:szCs w:val="28"/>
              </w:rPr>
              <w:t xml:space="preserve">5) </w:t>
            </w:r>
            <w:r w:rsidR="00321BE1" w:rsidRPr="004C607E">
              <w:rPr>
                <w:spacing w:val="-4"/>
                <w:sz w:val="28"/>
                <w:szCs w:val="28"/>
              </w:rPr>
              <w:t xml:space="preserve">46. </w:t>
            </w:r>
            <w:r w:rsidR="00AB7C51" w:rsidRPr="004C607E">
              <w:rPr>
                <w:color w:val="000000"/>
                <w:spacing w:val="-4"/>
                <w:sz w:val="28"/>
                <w:szCs w:val="28"/>
              </w:rPr>
              <w:t>punktu</w:t>
            </w:r>
            <w:r w:rsidR="00321BE1" w:rsidRPr="004C607E">
              <w:rPr>
                <w:spacing w:val="-4"/>
                <w:sz w:val="28"/>
                <w:szCs w:val="28"/>
              </w:rPr>
              <w:t>, kas paredz, ka vismaz vienu reizi programmas īstenošanas periodā jāveic atlasīto partnerorganizāciju pārskatīšanu (attiecīgi – jaunas atlases sludināšana);</w:t>
            </w:r>
          </w:p>
          <w:p w14:paraId="14B0257D" w14:textId="4F7CC0D1" w:rsidR="00AB7C51" w:rsidRPr="004C607E" w:rsidRDefault="004C607E" w:rsidP="004C607E">
            <w:pPr>
              <w:autoSpaceDE w:val="0"/>
              <w:autoSpaceDN w:val="0"/>
              <w:adjustRightInd w:val="0"/>
              <w:ind w:right="51"/>
              <w:jc w:val="both"/>
              <w:rPr>
                <w:spacing w:val="-4"/>
                <w:sz w:val="28"/>
                <w:szCs w:val="28"/>
              </w:rPr>
            </w:pPr>
            <w:r>
              <w:rPr>
                <w:spacing w:val="-4"/>
                <w:sz w:val="28"/>
                <w:szCs w:val="28"/>
              </w:rPr>
              <w:t xml:space="preserve">6) </w:t>
            </w:r>
            <w:r w:rsidR="00321BE1" w:rsidRPr="004C607E">
              <w:rPr>
                <w:spacing w:val="-4"/>
                <w:sz w:val="28"/>
                <w:szCs w:val="28"/>
              </w:rPr>
              <w:t xml:space="preserve">47. </w:t>
            </w:r>
            <w:r w:rsidR="00AB7C51" w:rsidRPr="004C607E">
              <w:rPr>
                <w:color w:val="000000"/>
                <w:spacing w:val="-4"/>
                <w:sz w:val="28"/>
                <w:szCs w:val="28"/>
              </w:rPr>
              <w:t>punktu</w:t>
            </w:r>
            <w:r w:rsidR="00321BE1" w:rsidRPr="004C607E">
              <w:rPr>
                <w:spacing w:val="-4"/>
                <w:sz w:val="28"/>
                <w:szCs w:val="28"/>
              </w:rPr>
              <w:t>, kas paredz, ka iesnieguma partnerorganizāciju atlasei iesniedzējiem būs tiesības apvienoties savā starpā, lai nodrošinātu teritoriālo pārklājumu vai īstenotu papildpasākumus;</w:t>
            </w:r>
          </w:p>
          <w:p w14:paraId="126D1836" w14:textId="1AFC9987" w:rsidR="00321BE1" w:rsidRPr="004C607E" w:rsidRDefault="004C607E" w:rsidP="004C607E">
            <w:pPr>
              <w:autoSpaceDE w:val="0"/>
              <w:autoSpaceDN w:val="0"/>
              <w:adjustRightInd w:val="0"/>
              <w:ind w:right="51"/>
              <w:jc w:val="both"/>
              <w:rPr>
                <w:spacing w:val="-4"/>
                <w:sz w:val="28"/>
                <w:szCs w:val="28"/>
              </w:rPr>
            </w:pPr>
            <w:r>
              <w:rPr>
                <w:spacing w:val="-4"/>
                <w:sz w:val="28"/>
                <w:szCs w:val="28"/>
              </w:rPr>
              <w:t xml:space="preserve">7) </w:t>
            </w:r>
            <w:r w:rsidR="00321BE1" w:rsidRPr="004C607E">
              <w:rPr>
                <w:spacing w:val="-4"/>
                <w:sz w:val="28"/>
                <w:szCs w:val="28"/>
              </w:rPr>
              <w:t xml:space="preserve">61. </w:t>
            </w:r>
            <w:r w:rsidR="00AB7C51" w:rsidRPr="004C607E">
              <w:rPr>
                <w:color w:val="000000"/>
                <w:spacing w:val="-4"/>
                <w:sz w:val="28"/>
                <w:szCs w:val="28"/>
              </w:rPr>
              <w:t>punktu</w:t>
            </w:r>
            <w:r w:rsidR="00321BE1" w:rsidRPr="004C607E">
              <w:rPr>
                <w:spacing w:val="-4"/>
                <w:sz w:val="28"/>
                <w:szCs w:val="28"/>
              </w:rPr>
              <w:t>, kas paredz, ka sadarbības iestāde rīkos partnerorganizāciju kapacitātes paaugstināšanas pasākumus.</w:t>
            </w:r>
          </w:p>
          <w:p w14:paraId="0470F1B1" w14:textId="62629E0D" w:rsidR="00120F5F" w:rsidRDefault="00321BE1" w:rsidP="00C4775D">
            <w:pPr>
              <w:spacing w:before="120"/>
              <w:jc w:val="both"/>
              <w:rPr>
                <w:sz w:val="28"/>
                <w:szCs w:val="28"/>
              </w:rPr>
            </w:pPr>
            <w:r w:rsidRPr="00321BE1">
              <w:rPr>
                <w:sz w:val="28"/>
                <w:szCs w:val="28"/>
              </w:rPr>
              <w:t xml:space="preserve">Grozījumi </w:t>
            </w:r>
            <w:r w:rsidR="00487646">
              <w:rPr>
                <w:sz w:val="28"/>
                <w:szCs w:val="28"/>
              </w:rPr>
              <w:t>darbības programmā neskar finanšu plānu</w:t>
            </w:r>
            <w:r w:rsidR="00FF4EC6">
              <w:rPr>
                <w:sz w:val="28"/>
                <w:szCs w:val="28"/>
              </w:rPr>
              <w:t>,</w:t>
            </w:r>
            <w:r w:rsidR="00487646">
              <w:rPr>
                <w:sz w:val="28"/>
                <w:szCs w:val="28"/>
              </w:rPr>
              <w:t xml:space="preserve"> un tiem nav finansiālas ietekmes. </w:t>
            </w:r>
          </w:p>
          <w:p w14:paraId="55F07F66" w14:textId="13E2F266" w:rsidR="00487646" w:rsidRPr="00321BE1" w:rsidRDefault="00487646" w:rsidP="00BA3CAC">
            <w:pPr>
              <w:spacing w:before="120"/>
              <w:jc w:val="both"/>
              <w:rPr>
                <w:color w:val="FF0000"/>
                <w:sz w:val="28"/>
                <w:szCs w:val="28"/>
              </w:rPr>
            </w:pPr>
            <w:r>
              <w:rPr>
                <w:sz w:val="28"/>
                <w:szCs w:val="28"/>
              </w:rPr>
              <w:t xml:space="preserve">Visi precizējumi darbības programmā ņemti vērā </w:t>
            </w:r>
            <w:r w:rsidRPr="00487646">
              <w:rPr>
                <w:sz w:val="28"/>
                <w:szCs w:val="28"/>
              </w:rPr>
              <w:t>Eiropas Atbalsta fonda vistrūcīgākajām personām</w:t>
            </w:r>
            <w:r>
              <w:rPr>
                <w:sz w:val="28"/>
                <w:szCs w:val="28"/>
              </w:rPr>
              <w:t xml:space="preserve"> atbalsta </w:t>
            </w:r>
            <w:r w:rsidR="00952E72">
              <w:rPr>
                <w:sz w:val="28"/>
                <w:szCs w:val="28"/>
              </w:rPr>
              <w:t xml:space="preserve">plānošanā, </w:t>
            </w:r>
            <w:r>
              <w:rPr>
                <w:sz w:val="28"/>
                <w:szCs w:val="28"/>
              </w:rPr>
              <w:t>īstenošanā</w:t>
            </w:r>
            <w:r w:rsidR="00952E72">
              <w:rPr>
                <w:sz w:val="28"/>
                <w:szCs w:val="28"/>
              </w:rPr>
              <w:t xml:space="preserve"> un uzraudzībā</w:t>
            </w:r>
            <w:r>
              <w:rPr>
                <w:sz w:val="28"/>
                <w:szCs w:val="28"/>
              </w:rPr>
              <w:t xml:space="preserve">, tai skaitā, iestrādāti </w:t>
            </w:r>
            <w:r w:rsidR="00C53A43" w:rsidRPr="00C53A43">
              <w:rPr>
                <w:sz w:val="28"/>
                <w:szCs w:val="28"/>
              </w:rPr>
              <w:t xml:space="preserve">Ministru kabineta </w:t>
            </w:r>
            <w:r w:rsidR="00C53A43">
              <w:rPr>
                <w:sz w:val="28"/>
                <w:szCs w:val="28"/>
              </w:rPr>
              <w:t>25.11.</w:t>
            </w:r>
            <w:r w:rsidR="00C53A43" w:rsidRPr="00C53A43">
              <w:rPr>
                <w:sz w:val="28"/>
                <w:szCs w:val="28"/>
              </w:rPr>
              <w:t>2014.</w:t>
            </w:r>
            <w:r w:rsidR="00C53A43">
              <w:rPr>
                <w:sz w:val="28"/>
                <w:szCs w:val="28"/>
              </w:rPr>
              <w:t xml:space="preserve"> n</w:t>
            </w:r>
            <w:r w:rsidR="00C53A43" w:rsidRPr="00C53A43">
              <w:rPr>
                <w:sz w:val="28"/>
                <w:szCs w:val="28"/>
              </w:rPr>
              <w:t>oteikum</w:t>
            </w:r>
            <w:r w:rsidR="00C53A43">
              <w:rPr>
                <w:sz w:val="28"/>
                <w:szCs w:val="28"/>
              </w:rPr>
              <w:t>os</w:t>
            </w:r>
            <w:r w:rsidR="00C53A43" w:rsidRPr="00C53A43">
              <w:rPr>
                <w:sz w:val="28"/>
                <w:szCs w:val="28"/>
              </w:rPr>
              <w:t xml:space="preserve"> Nr.727 </w:t>
            </w:r>
            <w:r w:rsidR="00C53A43">
              <w:rPr>
                <w:sz w:val="28"/>
                <w:szCs w:val="28"/>
              </w:rPr>
              <w:t>“</w:t>
            </w:r>
            <w:r w:rsidR="00C53A43" w:rsidRPr="00C53A43">
              <w:rPr>
                <w:sz w:val="28"/>
                <w:szCs w:val="28"/>
              </w:rPr>
              <w:t>Darbības programmas "Pārtikas un pamata materiālās palīdzības sniegšana vistrūcīgākajām personām 2014.–2020.</w:t>
            </w:r>
            <w:r w:rsidR="00952E72">
              <w:rPr>
                <w:sz w:val="28"/>
                <w:szCs w:val="28"/>
              </w:rPr>
              <w:t xml:space="preserve"> </w:t>
            </w:r>
            <w:r w:rsidR="00C53A43" w:rsidRPr="00C53A43">
              <w:rPr>
                <w:sz w:val="28"/>
                <w:szCs w:val="28"/>
              </w:rPr>
              <w:t>gada plānošanas periodā" īstenošanas noteikumi</w:t>
            </w:r>
            <w:r w:rsidR="00C53A43">
              <w:rPr>
                <w:sz w:val="28"/>
                <w:szCs w:val="28"/>
              </w:rPr>
              <w:t xml:space="preserve">”, </w:t>
            </w:r>
            <w:r w:rsidR="00C53A43" w:rsidRPr="00C53A43">
              <w:rPr>
                <w:sz w:val="28"/>
                <w:szCs w:val="28"/>
              </w:rPr>
              <w:t xml:space="preserve">Ministru kabineta </w:t>
            </w:r>
            <w:r w:rsidR="00C53A43">
              <w:rPr>
                <w:sz w:val="28"/>
                <w:szCs w:val="28"/>
              </w:rPr>
              <w:t xml:space="preserve">23.12.2014. </w:t>
            </w:r>
            <w:r w:rsidR="00C53A43" w:rsidRPr="00C53A43">
              <w:rPr>
                <w:sz w:val="28"/>
                <w:szCs w:val="28"/>
              </w:rPr>
              <w:t>noteikum</w:t>
            </w:r>
            <w:r w:rsidR="00BA3CAC">
              <w:rPr>
                <w:sz w:val="28"/>
                <w:szCs w:val="28"/>
              </w:rPr>
              <w:t>os</w:t>
            </w:r>
            <w:r w:rsidR="00C53A43" w:rsidRPr="00C53A43">
              <w:rPr>
                <w:sz w:val="28"/>
                <w:szCs w:val="28"/>
              </w:rPr>
              <w:t xml:space="preserve"> Nr.833 </w:t>
            </w:r>
            <w:r w:rsidR="00C53A43">
              <w:rPr>
                <w:sz w:val="28"/>
                <w:szCs w:val="28"/>
              </w:rPr>
              <w:t>“</w:t>
            </w:r>
            <w:r w:rsidR="00C53A43" w:rsidRPr="00C53A43">
              <w:rPr>
                <w:sz w:val="28"/>
                <w:szCs w:val="28"/>
              </w:rPr>
              <w:t>Darbības programmas "Pārtikas un pamata materiālās palīdzības sniegšana vistrūcīgākajām personām 2014.–2020.</w:t>
            </w:r>
            <w:r w:rsidR="00952E72">
              <w:rPr>
                <w:sz w:val="28"/>
                <w:szCs w:val="28"/>
              </w:rPr>
              <w:t xml:space="preserve"> </w:t>
            </w:r>
            <w:r w:rsidR="00C53A43" w:rsidRPr="00C53A43">
              <w:rPr>
                <w:sz w:val="28"/>
                <w:szCs w:val="28"/>
              </w:rPr>
              <w:t>gada plānošanas periodā" īstenošanas uzraudzības noteikumi</w:t>
            </w:r>
            <w:r w:rsidR="00C53A43">
              <w:rPr>
                <w:sz w:val="28"/>
                <w:szCs w:val="28"/>
              </w:rPr>
              <w:t>”</w:t>
            </w:r>
            <w:r w:rsidR="00952E72">
              <w:rPr>
                <w:sz w:val="28"/>
                <w:szCs w:val="28"/>
              </w:rPr>
              <w:t>, partnerorganizāciju atlasē un piegādātāju iepirkumā.</w:t>
            </w:r>
          </w:p>
        </w:tc>
      </w:tr>
      <w:tr w:rsidR="00B76D85" w:rsidRPr="004041F4" w14:paraId="438C60C1" w14:textId="77777777" w:rsidTr="009A562B">
        <w:tc>
          <w:tcPr>
            <w:tcW w:w="266" w:type="pct"/>
            <w:shd w:val="clear" w:color="auto" w:fill="auto"/>
          </w:tcPr>
          <w:p w14:paraId="68EAC0CB" w14:textId="237F2F74" w:rsidR="00B76D85" w:rsidRPr="004041F4" w:rsidRDefault="004373E9" w:rsidP="00B76D85">
            <w:pPr>
              <w:rPr>
                <w:sz w:val="28"/>
                <w:szCs w:val="28"/>
              </w:rPr>
            </w:pPr>
            <w:r w:rsidRPr="004041F4">
              <w:rPr>
                <w:sz w:val="28"/>
                <w:szCs w:val="28"/>
              </w:rPr>
              <w:lastRenderedPageBreak/>
              <w:t>3</w:t>
            </w:r>
            <w:r w:rsidR="00B76D85" w:rsidRPr="004041F4">
              <w:rPr>
                <w:sz w:val="28"/>
                <w:szCs w:val="28"/>
              </w:rPr>
              <w:t>.</w:t>
            </w:r>
          </w:p>
        </w:tc>
        <w:tc>
          <w:tcPr>
            <w:tcW w:w="1128" w:type="pct"/>
            <w:shd w:val="clear" w:color="auto" w:fill="auto"/>
          </w:tcPr>
          <w:p w14:paraId="10F3219D" w14:textId="77777777" w:rsidR="00B76D85" w:rsidRPr="004041F4" w:rsidRDefault="00B76D85" w:rsidP="00B76D85">
            <w:pPr>
              <w:rPr>
                <w:sz w:val="28"/>
                <w:szCs w:val="28"/>
              </w:rPr>
            </w:pPr>
            <w:r w:rsidRPr="004041F4">
              <w:rPr>
                <w:sz w:val="28"/>
                <w:szCs w:val="28"/>
              </w:rPr>
              <w:t>Projekta izstrādē iesaistītās institūcijas</w:t>
            </w:r>
          </w:p>
        </w:tc>
        <w:tc>
          <w:tcPr>
            <w:tcW w:w="3606" w:type="pct"/>
            <w:shd w:val="clear" w:color="auto" w:fill="auto"/>
          </w:tcPr>
          <w:p w14:paraId="5A5D2CCB" w14:textId="14E3E25C" w:rsidR="00B76D85" w:rsidRPr="004041F4" w:rsidRDefault="00321BE1" w:rsidP="00321BE1">
            <w:pPr>
              <w:jc w:val="both"/>
              <w:rPr>
                <w:sz w:val="28"/>
                <w:szCs w:val="28"/>
              </w:rPr>
            </w:pPr>
            <w:r>
              <w:rPr>
                <w:sz w:val="28"/>
                <w:szCs w:val="28"/>
              </w:rPr>
              <w:t>Labklājības ministrija</w:t>
            </w:r>
          </w:p>
        </w:tc>
      </w:tr>
      <w:tr w:rsidR="00B76D85" w:rsidRPr="004041F4" w14:paraId="075A0D9C" w14:textId="77777777" w:rsidTr="009A562B">
        <w:tc>
          <w:tcPr>
            <w:tcW w:w="266" w:type="pct"/>
            <w:shd w:val="clear" w:color="auto" w:fill="auto"/>
          </w:tcPr>
          <w:p w14:paraId="7B68B35C" w14:textId="77777777" w:rsidR="00B76D85" w:rsidRPr="004041F4" w:rsidRDefault="004373E9" w:rsidP="004373E9">
            <w:pPr>
              <w:rPr>
                <w:sz w:val="28"/>
                <w:szCs w:val="28"/>
              </w:rPr>
            </w:pPr>
            <w:r w:rsidRPr="004041F4">
              <w:rPr>
                <w:sz w:val="28"/>
                <w:szCs w:val="28"/>
              </w:rPr>
              <w:t>4</w:t>
            </w:r>
            <w:r w:rsidR="00B76D85" w:rsidRPr="004041F4">
              <w:rPr>
                <w:sz w:val="28"/>
                <w:szCs w:val="28"/>
              </w:rPr>
              <w:t xml:space="preserve">. </w:t>
            </w:r>
          </w:p>
        </w:tc>
        <w:tc>
          <w:tcPr>
            <w:tcW w:w="1128" w:type="pct"/>
            <w:shd w:val="clear" w:color="auto" w:fill="auto"/>
          </w:tcPr>
          <w:p w14:paraId="7AB5DC29" w14:textId="77777777" w:rsidR="00B76D85" w:rsidRPr="004041F4" w:rsidRDefault="00B76D85" w:rsidP="00B76D85">
            <w:pPr>
              <w:rPr>
                <w:sz w:val="28"/>
                <w:szCs w:val="28"/>
              </w:rPr>
            </w:pPr>
            <w:r w:rsidRPr="004041F4">
              <w:rPr>
                <w:sz w:val="28"/>
                <w:szCs w:val="28"/>
              </w:rPr>
              <w:t>Cita informācija</w:t>
            </w:r>
          </w:p>
        </w:tc>
        <w:tc>
          <w:tcPr>
            <w:tcW w:w="3606" w:type="pct"/>
            <w:shd w:val="clear" w:color="auto" w:fill="auto"/>
          </w:tcPr>
          <w:p w14:paraId="2DCC07F5" w14:textId="77777777" w:rsidR="00B76D85" w:rsidRPr="004041F4" w:rsidRDefault="00D9520F" w:rsidP="00D9520F">
            <w:pPr>
              <w:rPr>
                <w:sz w:val="28"/>
                <w:szCs w:val="28"/>
              </w:rPr>
            </w:pPr>
            <w:r w:rsidRPr="004041F4">
              <w:rPr>
                <w:sz w:val="28"/>
                <w:szCs w:val="28"/>
              </w:rPr>
              <w:t>Nav</w:t>
            </w:r>
          </w:p>
        </w:tc>
      </w:tr>
    </w:tbl>
    <w:p w14:paraId="24C8D7B7" w14:textId="77777777" w:rsidR="00B76D85" w:rsidRPr="004041F4" w:rsidRDefault="00B76D85" w:rsidP="00B76D85">
      <w:pPr>
        <w:jc w:val="center"/>
        <w:rPr>
          <w:sz w:val="28"/>
          <w:szCs w:val="28"/>
        </w:rPr>
      </w:pPr>
    </w:p>
    <w:p w14:paraId="6A3E7C46" w14:textId="77777777" w:rsidR="009A562B" w:rsidRPr="004041F4" w:rsidRDefault="009A562B" w:rsidP="00B76D85">
      <w:pPr>
        <w:jc w:val="center"/>
        <w:rPr>
          <w:sz w:val="28"/>
          <w:szCs w:val="28"/>
        </w:rPr>
      </w:pPr>
    </w:p>
    <w:p w14:paraId="0DFA1350" w14:textId="77777777" w:rsidR="00E2097D" w:rsidRDefault="00E2097D">
      <w:r>
        <w:rPr>
          <w:b/>
          <w:bCs/>
        </w:rPr>
        <w:br w:type="page"/>
      </w:r>
      <w:bookmarkStart w:id="0" w:name="_GoBack"/>
      <w:bookmarkEnd w:id="0"/>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7230"/>
      </w:tblGrid>
      <w:tr w:rsidR="00C01716" w:rsidRPr="004041F4" w14:paraId="1DB919EF" w14:textId="77777777" w:rsidTr="00E35C10">
        <w:tc>
          <w:tcPr>
            <w:tcW w:w="10065" w:type="dxa"/>
            <w:gridSpan w:val="3"/>
            <w:shd w:val="clear" w:color="auto" w:fill="auto"/>
          </w:tcPr>
          <w:p w14:paraId="48084A3E" w14:textId="35E78585" w:rsidR="00230730" w:rsidRPr="004041F4" w:rsidRDefault="00C01716" w:rsidP="006A7D0B">
            <w:pPr>
              <w:pStyle w:val="naisnod"/>
              <w:spacing w:before="0" w:after="0"/>
              <w:ind w:left="57" w:right="57"/>
              <w:rPr>
                <w:b w:val="0"/>
                <w:sz w:val="28"/>
                <w:szCs w:val="28"/>
              </w:rPr>
            </w:pPr>
            <w:r w:rsidRPr="004041F4">
              <w:rPr>
                <w:sz w:val="28"/>
                <w:szCs w:val="28"/>
              </w:rPr>
              <w:lastRenderedPageBreak/>
              <w:t>II</w:t>
            </w:r>
            <w:r w:rsidR="00DC37D9" w:rsidRPr="004041F4">
              <w:rPr>
                <w:sz w:val="28"/>
                <w:szCs w:val="28"/>
              </w:rPr>
              <w:t>.</w:t>
            </w:r>
            <w:r w:rsidRPr="004041F4">
              <w:rPr>
                <w:b w:val="0"/>
                <w:sz w:val="28"/>
                <w:szCs w:val="28"/>
              </w:rPr>
              <w:t xml:space="preserve"> </w:t>
            </w:r>
            <w:r w:rsidR="00230730" w:rsidRPr="004041F4">
              <w:rPr>
                <w:sz w:val="28"/>
                <w:szCs w:val="28"/>
              </w:rPr>
              <w:t>Tiesību akta projekta ietekme uz sabiedrību, tautsaimniecības attīstību</w:t>
            </w:r>
          </w:p>
          <w:p w14:paraId="0115004C" w14:textId="77777777" w:rsidR="00C01716" w:rsidRPr="004041F4" w:rsidRDefault="00230730" w:rsidP="006A7D0B">
            <w:pPr>
              <w:jc w:val="center"/>
              <w:rPr>
                <w:b/>
                <w:sz w:val="28"/>
                <w:szCs w:val="28"/>
              </w:rPr>
            </w:pPr>
            <w:r w:rsidRPr="004041F4">
              <w:rPr>
                <w:b/>
                <w:sz w:val="28"/>
                <w:szCs w:val="28"/>
              </w:rPr>
              <w:t>un administratīvo slogu</w:t>
            </w:r>
          </w:p>
        </w:tc>
      </w:tr>
      <w:tr w:rsidR="00B76D85" w:rsidRPr="004041F4" w14:paraId="4631B6E3" w14:textId="77777777" w:rsidTr="002B34B5">
        <w:tc>
          <w:tcPr>
            <w:tcW w:w="567" w:type="dxa"/>
            <w:shd w:val="clear" w:color="auto" w:fill="auto"/>
          </w:tcPr>
          <w:p w14:paraId="6124B3C0" w14:textId="77777777" w:rsidR="00B76D85" w:rsidRPr="004041F4" w:rsidRDefault="00B76D85" w:rsidP="00242D7D">
            <w:pPr>
              <w:rPr>
                <w:sz w:val="28"/>
                <w:szCs w:val="28"/>
              </w:rPr>
            </w:pPr>
            <w:r w:rsidRPr="004041F4">
              <w:rPr>
                <w:sz w:val="28"/>
                <w:szCs w:val="28"/>
              </w:rPr>
              <w:t>1.</w:t>
            </w:r>
          </w:p>
        </w:tc>
        <w:tc>
          <w:tcPr>
            <w:tcW w:w="2268" w:type="dxa"/>
            <w:shd w:val="clear" w:color="auto" w:fill="auto"/>
          </w:tcPr>
          <w:p w14:paraId="5810AE7E" w14:textId="77777777" w:rsidR="00B76D85" w:rsidRPr="004041F4" w:rsidRDefault="00230730" w:rsidP="00242D7D">
            <w:pPr>
              <w:rPr>
                <w:sz w:val="28"/>
                <w:szCs w:val="28"/>
              </w:rPr>
            </w:pPr>
            <w:r w:rsidRPr="004041F4">
              <w:rPr>
                <w:sz w:val="28"/>
                <w:szCs w:val="28"/>
              </w:rPr>
              <w:t>Sabiedrības mērķgrupas, kuras tiesiskais regulējums ietekmē vai varētu ietekmēt</w:t>
            </w:r>
          </w:p>
        </w:tc>
        <w:tc>
          <w:tcPr>
            <w:tcW w:w="7230" w:type="dxa"/>
            <w:shd w:val="clear" w:color="auto" w:fill="auto"/>
          </w:tcPr>
          <w:p w14:paraId="133D8CE9" w14:textId="77777777" w:rsidR="003051FF" w:rsidRDefault="00577AE9" w:rsidP="003051FF">
            <w:pPr>
              <w:jc w:val="both"/>
              <w:rPr>
                <w:sz w:val="28"/>
                <w:szCs w:val="28"/>
              </w:rPr>
            </w:pPr>
            <w:r w:rsidRPr="004041F4">
              <w:rPr>
                <w:sz w:val="28"/>
                <w:szCs w:val="28"/>
              </w:rPr>
              <w:t xml:space="preserve">Tieša </w:t>
            </w:r>
            <w:r w:rsidR="004A4E86" w:rsidRPr="004041F4">
              <w:rPr>
                <w:sz w:val="28"/>
                <w:szCs w:val="28"/>
              </w:rPr>
              <w:t xml:space="preserve">ietekme – </w:t>
            </w:r>
            <w:r w:rsidR="00DD3303">
              <w:rPr>
                <w:sz w:val="28"/>
                <w:szCs w:val="28"/>
              </w:rPr>
              <w:t>Fonda vadībā iesaistītās institūcijas, tostarp, Labklājības ministrija, Sabiedrības integrācijas fonds, kuras ir atbildīgas par Fonda īstenošanas normatīvā regulējuma izstrādi, aktualizēšanu</w:t>
            </w:r>
            <w:r w:rsidR="003051FF">
              <w:rPr>
                <w:sz w:val="28"/>
                <w:szCs w:val="28"/>
              </w:rPr>
              <w:t>, partnerorganizāciju atlasi</w:t>
            </w:r>
            <w:r w:rsidR="00DD3303">
              <w:rPr>
                <w:sz w:val="28"/>
                <w:szCs w:val="28"/>
              </w:rPr>
              <w:t xml:space="preserve"> un Fonda atbalsta īstenošanas uzraudzību. </w:t>
            </w:r>
          </w:p>
          <w:p w14:paraId="7593E7D4" w14:textId="3BC02A75" w:rsidR="00411AC9" w:rsidRPr="004041F4" w:rsidRDefault="00411AC9" w:rsidP="003051FF">
            <w:pPr>
              <w:jc w:val="both"/>
              <w:rPr>
                <w:sz w:val="28"/>
                <w:szCs w:val="28"/>
              </w:rPr>
            </w:pPr>
            <w:r w:rsidRPr="004041F4">
              <w:rPr>
                <w:sz w:val="28"/>
                <w:szCs w:val="28"/>
              </w:rPr>
              <w:t xml:space="preserve">Netieša </w:t>
            </w:r>
            <w:r w:rsidR="004A4E86" w:rsidRPr="004041F4">
              <w:rPr>
                <w:sz w:val="28"/>
                <w:szCs w:val="28"/>
              </w:rPr>
              <w:t xml:space="preserve">ietekme – </w:t>
            </w:r>
            <w:r w:rsidR="00DD3303">
              <w:rPr>
                <w:sz w:val="28"/>
                <w:szCs w:val="28"/>
              </w:rPr>
              <w:t>Fonda ieviešanā iesaistītās</w:t>
            </w:r>
            <w:r w:rsidR="003051FF">
              <w:rPr>
                <w:sz w:val="28"/>
                <w:szCs w:val="28"/>
              </w:rPr>
              <w:t>, tostarp, partnerorganizācijas, kas piedalījušās partnerorganizāciju atlasē un finansējuma saņēmējs, kas iepērk</w:t>
            </w:r>
            <w:r w:rsidR="00DD3303">
              <w:rPr>
                <w:sz w:val="28"/>
                <w:szCs w:val="28"/>
              </w:rPr>
              <w:t xml:space="preserve"> </w:t>
            </w:r>
            <w:r w:rsidR="004A4E86" w:rsidRPr="004041F4">
              <w:rPr>
                <w:sz w:val="28"/>
                <w:szCs w:val="28"/>
              </w:rPr>
              <w:t>p</w:t>
            </w:r>
            <w:r w:rsidRPr="004041F4">
              <w:rPr>
                <w:sz w:val="28"/>
                <w:szCs w:val="28"/>
              </w:rPr>
              <w:t xml:space="preserve">ārtikas </w:t>
            </w:r>
            <w:r w:rsidR="003051FF">
              <w:rPr>
                <w:sz w:val="28"/>
                <w:szCs w:val="28"/>
              </w:rPr>
              <w:t>un</w:t>
            </w:r>
            <w:r w:rsidRPr="004041F4">
              <w:rPr>
                <w:sz w:val="28"/>
                <w:szCs w:val="28"/>
              </w:rPr>
              <w:t xml:space="preserve"> pamata materiālās palīdzības preču piegādātāj</w:t>
            </w:r>
            <w:r w:rsidR="003051FF">
              <w:rPr>
                <w:sz w:val="28"/>
                <w:szCs w:val="28"/>
              </w:rPr>
              <w:t>us</w:t>
            </w:r>
            <w:r w:rsidRPr="004041F4">
              <w:rPr>
                <w:sz w:val="28"/>
                <w:szCs w:val="28"/>
              </w:rPr>
              <w:t xml:space="preserve"> atbilstoši normatīvam regulējumam publisko iepirkumu jomā</w:t>
            </w:r>
            <w:r w:rsidR="003051FF">
              <w:rPr>
                <w:sz w:val="28"/>
                <w:szCs w:val="28"/>
              </w:rPr>
              <w:t>.</w:t>
            </w:r>
          </w:p>
        </w:tc>
      </w:tr>
      <w:tr w:rsidR="00230730" w:rsidRPr="004041F4" w14:paraId="2B19B6E5" w14:textId="77777777" w:rsidTr="002B34B5">
        <w:tc>
          <w:tcPr>
            <w:tcW w:w="567" w:type="dxa"/>
            <w:shd w:val="clear" w:color="auto" w:fill="auto"/>
          </w:tcPr>
          <w:p w14:paraId="7C41FA81" w14:textId="77777777" w:rsidR="00230730" w:rsidRPr="004041F4" w:rsidRDefault="00230730" w:rsidP="00242D7D">
            <w:pPr>
              <w:rPr>
                <w:sz w:val="28"/>
                <w:szCs w:val="28"/>
              </w:rPr>
            </w:pPr>
            <w:r w:rsidRPr="004041F4">
              <w:rPr>
                <w:sz w:val="28"/>
                <w:szCs w:val="28"/>
              </w:rPr>
              <w:t xml:space="preserve">2. </w:t>
            </w:r>
          </w:p>
        </w:tc>
        <w:tc>
          <w:tcPr>
            <w:tcW w:w="2268" w:type="dxa"/>
            <w:shd w:val="clear" w:color="auto" w:fill="auto"/>
          </w:tcPr>
          <w:p w14:paraId="0A34111D" w14:textId="77777777" w:rsidR="00230730" w:rsidRPr="004041F4" w:rsidRDefault="00230730" w:rsidP="00242D7D">
            <w:pPr>
              <w:rPr>
                <w:sz w:val="28"/>
                <w:szCs w:val="28"/>
              </w:rPr>
            </w:pPr>
            <w:r w:rsidRPr="004041F4">
              <w:rPr>
                <w:sz w:val="28"/>
                <w:szCs w:val="28"/>
              </w:rPr>
              <w:t>Tiesiskā regulējuma ietekme uz tautsaimniecību un administratīvo slogu</w:t>
            </w:r>
          </w:p>
        </w:tc>
        <w:tc>
          <w:tcPr>
            <w:tcW w:w="7230" w:type="dxa"/>
            <w:shd w:val="clear" w:color="auto" w:fill="auto"/>
          </w:tcPr>
          <w:p w14:paraId="63C22BDD" w14:textId="5E6647FB" w:rsidR="00411AC9" w:rsidRPr="004041F4" w:rsidRDefault="00BE618A" w:rsidP="00BE618A">
            <w:pPr>
              <w:pStyle w:val="ListParagraph"/>
              <w:numPr>
                <w:ilvl w:val="0"/>
                <w:numId w:val="14"/>
              </w:numPr>
              <w:spacing w:before="120" w:after="120"/>
              <w:ind w:left="33"/>
              <w:jc w:val="both"/>
              <w:rPr>
                <w:sz w:val="28"/>
                <w:szCs w:val="28"/>
              </w:rPr>
            </w:pPr>
            <w:r>
              <w:rPr>
                <w:sz w:val="28"/>
                <w:szCs w:val="28"/>
              </w:rPr>
              <w:t>Rīkojuma projekts nerada papildus ietekmi uz tautsaimniecību un administratīvo slogu, jo institūcijām projekta tiesiskais regulējums nemaina tiesības un pienākumus, kā arī veicamās darbības.</w:t>
            </w:r>
          </w:p>
        </w:tc>
      </w:tr>
      <w:tr w:rsidR="00230730" w:rsidRPr="004041F4" w14:paraId="4AA2DA6D" w14:textId="77777777" w:rsidTr="002B34B5">
        <w:tc>
          <w:tcPr>
            <w:tcW w:w="567" w:type="dxa"/>
            <w:shd w:val="clear" w:color="auto" w:fill="auto"/>
          </w:tcPr>
          <w:p w14:paraId="148A4177" w14:textId="77777777" w:rsidR="00230730" w:rsidRPr="004041F4" w:rsidRDefault="00230730" w:rsidP="00230730">
            <w:pPr>
              <w:rPr>
                <w:sz w:val="28"/>
                <w:szCs w:val="28"/>
              </w:rPr>
            </w:pPr>
            <w:r w:rsidRPr="004041F4">
              <w:rPr>
                <w:sz w:val="28"/>
                <w:szCs w:val="28"/>
              </w:rPr>
              <w:t>3.</w:t>
            </w:r>
          </w:p>
        </w:tc>
        <w:tc>
          <w:tcPr>
            <w:tcW w:w="2268" w:type="dxa"/>
            <w:shd w:val="clear" w:color="auto" w:fill="auto"/>
          </w:tcPr>
          <w:p w14:paraId="16FE36A5" w14:textId="77777777" w:rsidR="00230730" w:rsidRPr="004041F4" w:rsidRDefault="00230730" w:rsidP="00242D7D">
            <w:pPr>
              <w:rPr>
                <w:sz w:val="28"/>
                <w:szCs w:val="28"/>
              </w:rPr>
            </w:pPr>
            <w:r w:rsidRPr="004041F4">
              <w:rPr>
                <w:sz w:val="28"/>
                <w:szCs w:val="28"/>
              </w:rPr>
              <w:t>Administratīvo izmaksu monetārs novērtējums</w:t>
            </w:r>
          </w:p>
        </w:tc>
        <w:tc>
          <w:tcPr>
            <w:tcW w:w="7230" w:type="dxa"/>
            <w:shd w:val="clear" w:color="auto" w:fill="auto"/>
          </w:tcPr>
          <w:p w14:paraId="0A1B0BDD" w14:textId="147AC9B5" w:rsidR="00D46415" w:rsidRPr="004041F4" w:rsidRDefault="00BE618A" w:rsidP="001F1E68">
            <w:pPr>
              <w:jc w:val="both"/>
              <w:rPr>
                <w:sz w:val="28"/>
                <w:szCs w:val="28"/>
              </w:rPr>
            </w:pPr>
            <w:r>
              <w:rPr>
                <w:sz w:val="28"/>
                <w:szCs w:val="28"/>
              </w:rPr>
              <w:t>Nav</w:t>
            </w:r>
          </w:p>
        </w:tc>
      </w:tr>
      <w:tr w:rsidR="00230730" w:rsidRPr="004041F4" w14:paraId="2A2BB980" w14:textId="77777777" w:rsidTr="002B34B5">
        <w:tc>
          <w:tcPr>
            <w:tcW w:w="567" w:type="dxa"/>
            <w:shd w:val="clear" w:color="auto" w:fill="auto"/>
          </w:tcPr>
          <w:p w14:paraId="64A269D4" w14:textId="77777777" w:rsidR="00230730" w:rsidRPr="004041F4" w:rsidRDefault="00230730" w:rsidP="00242D7D">
            <w:pPr>
              <w:rPr>
                <w:sz w:val="28"/>
                <w:szCs w:val="28"/>
              </w:rPr>
            </w:pPr>
            <w:r w:rsidRPr="004041F4">
              <w:rPr>
                <w:sz w:val="28"/>
                <w:szCs w:val="28"/>
              </w:rPr>
              <w:t xml:space="preserve">4. </w:t>
            </w:r>
          </w:p>
        </w:tc>
        <w:tc>
          <w:tcPr>
            <w:tcW w:w="2268" w:type="dxa"/>
            <w:shd w:val="clear" w:color="auto" w:fill="auto"/>
          </w:tcPr>
          <w:p w14:paraId="45C2C8E0" w14:textId="77777777" w:rsidR="00230730" w:rsidRPr="004041F4" w:rsidRDefault="00230730" w:rsidP="00242D7D">
            <w:pPr>
              <w:rPr>
                <w:sz w:val="28"/>
                <w:szCs w:val="28"/>
              </w:rPr>
            </w:pPr>
            <w:r w:rsidRPr="004041F4">
              <w:rPr>
                <w:sz w:val="28"/>
                <w:szCs w:val="28"/>
              </w:rPr>
              <w:t>Cita informācija</w:t>
            </w:r>
          </w:p>
        </w:tc>
        <w:tc>
          <w:tcPr>
            <w:tcW w:w="7230" w:type="dxa"/>
            <w:shd w:val="clear" w:color="auto" w:fill="auto"/>
          </w:tcPr>
          <w:p w14:paraId="5CA11190" w14:textId="77777777" w:rsidR="00230730" w:rsidRPr="00BE618A" w:rsidRDefault="00230730" w:rsidP="00D65388">
            <w:pPr>
              <w:rPr>
                <w:sz w:val="28"/>
                <w:szCs w:val="28"/>
              </w:rPr>
            </w:pPr>
            <w:r w:rsidRPr="00BE618A">
              <w:rPr>
                <w:sz w:val="28"/>
                <w:szCs w:val="28"/>
              </w:rPr>
              <w:t>Nav</w:t>
            </w:r>
          </w:p>
        </w:tc>
      </w:tr>
    </w:tbl>
    <w:p w14:paraId="663414E6" w14:textId="77777777" w:rsidR="004542D9" w:rsidRPr="004041F4" w:rsidRDefault="004542D9" w:rsidP="00B76D85">
      <w:pPr>
        <w:jc w:val="center"/>
        <w:rPr>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322"/>
        <w:gridCol w:w="6034"/>
      </w:tblGrid>
      <w:tr w:rsidR="00194614" w:rsidRPr="004041F4" w14:paraId="28B7273D" w14:textId="77777777" w:rsidTr="0022171B">
        <w:tc>
          <w:tcPr>
            <w:tcW w:w="9923" w:type="dxa"/>
            <w:gridSpan w:val="3"/>
            <w:shd w:val="clear" w:color="auto" w:fill="auto"/>
          </w:tcPr>
          <w:p w14:paraId="0B933078" w14:textId="77777777" w:rsidR="00194614" w:rsidRPr="004041F4" w:rsidRDefault="00194614" w:rsidP="006A7D0B">
            <w:pPr>
              <w:jc w:val="center"/>
              <w:rPr>
                <w:b/>
                <w:sz w:val="28"/>
                <w:szCs w:val="28"/>
              </w:rPr>
            </w:pPr>
            <w:r w:rsidRPr="004041F4">
              <w:rPr>
                <w:b/>
                <w:sz w:val="28"/>
                <w:szCs w:val="28"/>
              </w:rPr>
              <w:t>VII</w:t>
            </w:r>
            <w:r w:rsidR="00DC37D9" w:rsidRPr="004041F4">
              <w:rPr>
                <w:b/>
                <w:sz w:val="28"/>
                <w:szCs w:val="28"/>
              </w:rPr>
              <w:t>.</w:t>
            </w:r>
            <w:r w:rsidRPr="004041F4">
              <w:rPr>
                <w:b/>
                <w:sz w:val="28"/>
                <w:szCs w:val="28"/>
              </w:rPr>
              <w:t xml:space="preserve"> Tiesību akta projekta izpildes nodrošināšana un tās ietekme uz institūcijām</w:t>
            </w:r>
          </w:p>
        </w:tc>
      </w:tr>
      <w:tr w:rsidR="00B76D85" w:rsidRPr="004041F4" w14:paraId="79109DAF" w14:textId="77777777" w:rsidTr="0022171B">
        <w:tc>
          <w:tcPr>
            <w:tcW w:w="567" w:type="dxa"/>
            <w:shd w:val="clear" w:color="auto" w:fill="auto"/>
          </w:tcPr>
          <w:p w14:paraId="1569191E" w14:textId="77777777" w:rsidR="00B76D85" w:rsidRPr="004041F4" w:rsidRDefault="00194614" w:rsidP="00242D7D">
            <w:pPr>
              <w:rPr>
                <w:sz w:val="28"/>
                <w:szCs w:val="28"/>
              </w:rPr>
            </w:pPr>
            <w:r w:rsidRPr="004041F4">
              <w:rPr>
                <w:sz w:val="28"/>
                <w:szCs w:val="28"/>
              </w:rPr>
              <w:t>1</w:t>
            </w:r>
            <w:r w:rsidR="00B76D85" w:rsidRPr="004041F4">
              <w:rPr>
                <w:sz w:val="28"/>
                <w:szCs w:val="28"/>
              </w:rPr>
              <w:t xml:space="preserve">. </w:t>
            </w:r>
          </w:p>
        </w:tc>
        <w:tc>
          <w:tcPr>
            <w:tcW w:w="3322" w:type="dxa"/>
            <w:shd w:val="clear" w:color="auto" w:fill="auto"/>
          </w:tcPr>
          <w:p w14:paraId="7BF55216" w14:textId="77777777" w:rsidR="00B76D85" w:rsidRPr="004041F4" w:rsidRDefault="00194614" w:rsidP="00242D7D">
            <w:pPr>
              <w:rPr>
                <w:sz w:val="28"/>
                <w:szCs w:val="28"/>
              </w:rPr>
            </w:pPr>
            <w:r w:rsidRPr="004041F4">
              <w:rPr>
                <w:sz w:val="28"/>
                <w:szCs w:val="28"/>
              </w:rPr>
              <w:t>Projekta izpildē iesaistītās institūcijas</w:t>
            </w:r>
          </w:p>
        </w:tc>
        <w:tc>
          <w:tcPr>
            <w:tcW w:w="6034" w:type="dxa"/>
            <w:shd w:val="clear" w:color="auto" w:fill="auto"/>
          </w:tcPr>
          <w:p w14:paraId="0D5B0D0F" w14:textId="40AD9139" w:rsidR="00B76D85" w:rsidRPr="004041F4" w:rsidRDefault="00416B2F" w:rsidP="00762AC0">
            <w:pPr>
              <w:jc w:val="both"/>
              <w:rPr>
                <w:sz w:val="28"/>
                <w:szCs w:val="28"/>
              </w:rPr>
            </w:pPr>
            <w:r w:rsidRPr="004041F4">
              <w:rPr>
                <w:sz w:val="28"/>
                <w:szCs w:val="28"/>
              </w:rPr>
              <w:t>Sabiedrības integrācijas fonds</w:t>
            </w:r>
            <w:r w:rsidR="00124132" w:rsidRPr="004041F4">
              <w:rPr>
                <w:sz w:val="28"/>
                <w:szCs w:val="28"/>
              </w:rPr>
              <w:t xml:space="preserve">, </w:t>
            </w:r>
            <w:r w:rsidR="00762AC0">
              <w:rPr>
                <w:sz w:val="28"/>
                <w:szCs w:val="28"/>
              </w:rPr>
              <w:t>Labklājības ministrija</w:t>
            </w:r>
          </w:p>
        </w:tc>
      </w:tr>
      <w:tr w:rsidR="00C610A2" w:rsidRPr="004041F4" w14:paraId="43E070B1" w14:textId="77777777" w:rsidTr="0022171B">
        <w:tc>
          <w:tcPr>
            <w:tcW w:w="567" w:type="dxa"/>
            <w:shd w:val="clear" w:color="auto" w:fill="auto"/>
          </w:tcPr>
          <w:p w14:paraId="0D7E4D58" w14:textId="77777777" w:rsidR="00C610A2" w:rsidRPr="004041F4" w:rsidRDefault="00C610A2" w:rsidP="00242D7D">
            <w:pPr>
              <w:rPr>
                <w:sz w:val="28"/>
                <w:szCs w:val="28"/>
              </w:rPr>
            </w:pPr>
            <w:r w:rsidRPr="004041F4">
              <w:rPr>
                <w:sz w:val="28"/>
                <w:szCs w:val="28"/>
              </w:rPr>
              <w:t xml:space="preserve">2. </w:t>
            </w:r>
          </w:p>
        </w:tc>
        <w:tc>
          <w:tcPr>
            <w:tcW w:w="3322" w:type="dxa"/>
            <w:shd w:val="clear" w:color="auto" w:fill="auto"/>
          </w:tcPr>
          <w:p w14:paraId="4169EBBB" w14:textId="77777777" w:rsidR="00C610A2" w:rsidRPr="004041F4" w:rsidRDefault="00C610A2" w:rsidP="006A7D0B">
            <w:pPr>
              <w:rPr>
                <w:sz w:val="28"/>
                <w:szCs w:val="28"/>
              </w:rPr>
            </w:pPr>
            <w:r w:rsidRPr="004041F4">
              <w:rPr>
                <w:sz w:val="28"/>
                <w:szCs w:val="28"/>
              </w:rPr>
              <w:t>Projekta izpildes ietekme uz pār</w:t>
            </w:r>
            <w:r w:rsidRPr="004041F4">
              <w:rPr>
                <w:sz w:val="28"/>
                <w:szCs w:val="28"/>
              </w:rPr>
              <w:softHyphen/>
              <w:t>valdes funkcijām un institucionālo struktūru.</w:t>
            </w:r>
          </w:p>
          <w:p w14:paraId="178538B5" w14:textId="77777777" w:rsidR="00C610A2" w:rsidRPr="004041F4" w:rsidRDefault="00C610A2" w:rsidP="00606F3D">
            <w:pPr>
              <w:rPr>
                <w:sz w:val="28"/>
                <w:szCs w:val="28"/>
              </w:rPr>
            </w:pPr>
            <w:r w:rsidRPr="004041F4">
              <w:rPr>
                <w:sz w:val="28"/>
                <w:szCs w:val="28"/>
              </w:rPr>
              <w:t>Jaunu institūciju izveide, esošu institūciju likvidācija vai reorga</w:t>
            </w:r>
            <w:r w:rsidRPr="004041F4">
              <w:rPr>
                <w:sz w:val="28"/>
                <w:szCs w:val="28"/>
              </w:rPr>
              <w:softHyphen/>
              <w:t>nizācija, to ietekme uz institūcijas cilvēkresursiem</w:t>
            </w:r>
          </w:p>
        </w:tc>
        <w:tc>
          <w:tcPr>
            <w:tcW w:w="6034" w:type="dxa"/>
            <w:shd w:val="clear" w:color="auto" w:fill="auto"/>
          </w:tcPr>
          <w:p w14:paraId="42940714" w14:textId="25161D15" w:rsidR="00B446BD" w:rsidRPr="004041F4" w:rsidRDefault="00762AC0" w:rsidP="00B446BD">
            <w:pPr>
              <w:shd w:val="clear" w:color="auto" w:fill="FFFFFF"/>
              <w:ind w:right="57"/>
              <w:jc w:val="both"/>
              <w:rPr>
                <w:sz w:val="28"/>
                <w:szCs w:val="28"/>
              </w:rPr>
            </w:pPr>
            <w:r>
              <w:rPr>
                <w:sz w:val="28"/>
                <w:szCs w:val="28"/>
              </w:rPr>
              <w:t>Projekts neietekmē funkcijas un institucionālo ietvaru, nerada jaunas institūcijas.</w:t>
            </w:r>
          </w:p>
        </w:tc>
      </w:tr>
      <w:tr w:rsidR="00C610A2" w:rsidRPr="004041F4" w14:paraId="453A3BBB" w14:textId="77777777" w:rsidTr="0022171B">
        <w:tc>
          <w:tcPr>
            <w:tcW w:w="567" w:type="dxa"/>
            <w:shd w:val="clear" w:color="auto" w:fill="auto"/>
          </w:tcPr>
          <w:p w14:paraId="14501BC2" w14:textId="77777777" w:rsidR="00C610A2" w:rsidRPr="004041F4" w:rsidRDefault="00C610A2" w:rsidP="00606F3D">
            <w:pPr>
              <w:rPr>
                <w:sz w:val="28"/>
                <w:szCs w:val="28"/>
              </w:rPr>
            </w:pPr>
            <w:r w:rsidRPr="004041F4">
              <w:rPr>
                <w:sz w:val="28"/>
                <w:szCs w:val="28"/>
              </w:rPr>
              <w:t xml:space="preserve">3. </w:t>
            </w:r>
          </w:p>
        </w:tc>
        <w:tc>
          <w:tcPr>
            <w:tcW w:w="3322" w:type="dxa"/>
            <w:shd w:val="clear" w:color="auto" w:fill="auto"/>
          </w:tcPr>
          <w:p w14:paraId="604592B4" w14:textId="77777777" w:rsidR="00C610A2" w:rsidRPr="004041F4" w:rsidRDefault="00C610A2" w:rsidP="00242D7D">
            <w:pPr>
              <w:rPr>
                <w:sz w:val="28"/>
                <w:szCs w:val="28"/>
              </w:rPr>
            </w:pPr>
            <w:r w:rsidRPr="004041F4">
              <w:rPr>
                <w:sz w:val="28"/>
                <w:szCs w:val="28"/>
              </w:rPr>
              <w:t>Cita informācija</w:t>
            </w:r>
          </w:p>
        </w:tc>
        <w:tc>
          <w:tcPr>
            <w:tcW w:w="6034" w:type="dxa"/>
            <w:shd w:val="clear" w:color="auto" w:fill="auto"/>
          </w:tcPr>
          <w:p w14:paraId="6819EA31" w14:textId="77777777" w:rsidR="00C610A2" w:rsidRPr="004041F4" w:rsidRDefault="00C610A2" w:rsidP="0039168F">
            <w:pPr>
              <w:rPr>
                <w:sz w:val="28"/>
                <w:szCs w:val="28"/>
              </w:rPr>
            </w:pPr>
            <w:r w:rsidRPr="004041F4">
              <w:rPr>
                <w:sz w:val="28"/>
                <w:szCs w:val="28"/>
              </w:rPr>
              <w:t>Nav</w:t>
            </w:r>
          </w:p>
        </w:tc>
      </w:tr>
    </w:tbl>
    <w:p w14:paraId="7A235606" w14:textId="5473B76E" w:rsidR="004542D9" w:rsidRPr="00593AC8" w:rsidRDefault="004542D9" w:rsidP="004542D9">
      <w:pPr>
        <w:spacing w:before="100" w:beforeAutospacing="1"/>
        <w:jc w:val="center"/>
        <w:rPr>
          <w:sz w:val="28"/>
          <w:szCs w:val="28"/>
        </w:rPr>
      </w:pPr>
      <w:r w:rsidRPr="00593AC8">
        <w:rPr>
          <w:sz w:val="28"/>
          <w:szCs w:val="28"/>
        </w:rPr>
        <w:t>Anotācijas III</w:t>
      </w:r>
      <w:r>
        <w:rPr>
          <w:sz w:val="28"/>
          <w:szCs w:val="28"/>
        </w:rPr>
        <w:t>.,</w:t>
      </w:r>
      <w:r w:rsidRPr="00593AC8">
        <w:rPr>
          <w:sz w:val="28"/>
          <w:szCs w:val="28"/>
        </w:rPr>
        <w:t xml:space="preserve"> IV</w:t>
      </w:r>
      <w:r>
        <w:rPr>
          <w:sz w:val="28"/>
          <w:szCs w:val="28"/>
        </w:rPr>
        <w:t>.</w:t>
      </w:r>
      <w:r w:rsidR="00762AC0">
        <w:rPr>
          <w:sz w:val="28"/>
          <w:szCs w:val="28"/>
        </w:rPr>
        <w:t>,</w:t>
      </w:r>
      <w:r>
        <w:rPr>
          <w:sz w:val="28"/>
          <w:szCs w:val="28"/>
        </w:rPr>
        <w:t xml:space="preserve"> V.</w:t>
      </w:r>
      <w:r w:rsidR="00762AC0">
        <w:rPr>
          <w:sz w:val="28"/>
          <w:szCs w:val="28"/>
        </w:rPr>
        <w:t xml:space="preserve"> un VI.</w:t>
      </w:r>
      <w:r>
        <w:rPr>
          <w:sz w:val="28"/>
          <w:szCs w:val="28"/>
        </w:rPr>
        <w:t xml:space="preserve"> </w:t>
      </w:r>
      <w:r w:rsidRPr="00593AC8">
        <w:rPr>
          <w:sz w:val="28"/>
          <w:szCs w:val="28"/>
        </w:rPr>
        <w:t>sadaļa - MK</w:t>
      </w:r>
      <w:r w:rsidR="00FF4EC6">
        <w:rPr>
          <w:sz w:val="28"/>
          <w:szCs w:val="28"/>
        </w:rPr>
        <w:t xml:space="preserve"> rīkojuma</w:t>
      </w:r>
      <w:r w:rsidRPr="00593AC8">
        <w:rPr>
          <w:sz w:val="28"/>
          <w:szCs w:val="28"/>
        </w:rPr>
        <w:t xml:space="preserve"> projekts šo jomu neskar.</w:t>
      </w:r>
    </w:p>
    <w:p w14:paraId="69B7D8D4" w14:textId="77777777" w:rsidR="00F5353C" w:rsidRPr="004041F4" w:rsidRDefault="00F5353C" w:rsidP="00194614">
      <w:pPr>
        <w:rPr>
          <w:sz w:val="28"/>
          <w:szCs w:val="28"/>
        </w:rPr>
      </w:pPr>
    </w:p>
    <w:p w14:paraId="01FA4F72" w14:textId="12C7844C" w:rsidR="00194614" w:rsidRPr="004041F4" w:rsidRDefault="00194614" w:rsidP="00194614">
      <w:pPr>
        <w:rPr>
          <w:sz w:val="28"/>
          <w:szCs w:val="28"/>
        </w:rPr>
      </w:pPr>
      <w:r w:rsidRPr="004041F4">
        <w:rPr>
          <w:sz w:val="28"/>
          <w:szCs w:val="28"/>
        </w:rPr>
        <w:t>Labklājības ministr</w:t>
      </w:r>
      <w:r w:rsidR="00762AC0">
        <w:rPr>
          <w:sz w:val="28"/>
          <w:szCs w:val="28"/>
        </w:rPr>
        <w:t>s</w:t>
      </w:r>
      <w:r w:rsidR="003D3D8D" w:rsidRPr="004041F4">
        <w:rPr>
          <w:sz w:val="28"/>
          <w:szCs w:val="28"/>
        </w:rPr>
        <w:t xml:space="preserve"> </w:t>
      </w:r>
      <w:r w:rsidR="00762AC0">
        <w:rPr>
          <w:sz w:val="28"/>
          <w:szCs w:val="28"/>
        </w:rPr>
        <w:tab/>
      </w:r>
      <w:r w:rsidR="00762AC0">
        <w:rPr>
          <w:sz w:val="28"/>
          <w:szCs w:val="28"/>
        </w:rPr>
        <w:tab/>
      </w:r>
      <w:r w:rsidR="00762AC0">
        <w:rPr>
          <w:sz w:val="28"/>
          <w:szCs w:val="28"/>
        </w:rPr>
        <w:tab/>
      </w:r>
      <w:r w:rsidR="00762AC0">
        <w:rPr>
          <w:sz w:val="28"/>
          <w:szCs w:val="28"/>
        </w:rPr>
        <w:tab/>
      </w:r>
      <w:r w:rsidR="00762AC0">
        <w:rPr>
          <w:sz w:val="28"/>
          <w:szCs w:val="28"/>
        </w:rPr>
        <w:tab/>
      </w:r>
      <w:r w:rsidR="00762AC0">
        <w:rPr>
          <w:sz w:val="28"/>
          <w:szCs w:val="28"/>
        </w:rPr>
        <w:tab/>
      </w:r>
      <w:r w:rsidR="00762AC0">
        <w:rPr>
          <w:sz w:val="28"/>
          <w:szCs w:val="28"/>
        </w:rPr>
        <w:tab/>
        <w:t>U.Augulis</w:t>
      </w:r>
    </w:p>
    <w:p w14:paraId="296C63F2" w14:textId="77777777" w:rsidR="00330E6E" w:rsidRPr="004041F4" w:rsidRDefault="00330E6E" w:rsidP="00194614">
      <w:pPr>
        <w:pStyle w:val="Footer"/>
        <w:rPr>
          <w:sz w:val="28"/>
          <w:szCs w:val="28"/>
        </w:rPr>
      </w:pPr>
    </w:p>
    <w:p w14:paraId="3E43108F" w14:textId="77777777" w:rsidR="00194614" w:rsidRPr="004041F4" w:rsidRDefault="001D6A08" w:rsidP="00961B00">
      <w:pPr>
        <w:rPr>
          <w:sz w:val="20"/>
          <w:szCs w:val="20"/>
        </w:rPr>
      </w:pPr>
      <w:r w:rsidRPr="004041F4">
        <w:rPr>
          <w:sz w:val="20"/>
          <w:szCs w:val="20"/>
        </w:rPr>
        <w:fldChar w:fldCharType="begin"/>
      </w:r>
      <w:r w:rsidRPr="004041F4">
        <w:rPr>
          <w:sz w:val="20"/>
          <w:szCs w:val="20"/>
        </w:rPr>
        <w:instrText xml:space="preserve"> TIME \@ "dd.MM.yyyy H:mm" </w:instrText>
      </w:r>
      <w:r w:rsidRPr="004041F4">
        <w:rPr>
          <w:sz w:val="20"/>
          <w:szCs w:val="20"/>
        </w:rPr>
        <w:fldChar w:fldCharType="separate"/>
      </w:r>
      <w:r w:rsidR="00C61080">
        <w:rPr>
          <w:noProof/>
          <w:sz w:val="20"/>
          <w:szCs w:val="20"/>
        </w:rPr>
        <w:t>09.10.2015 16:09</w:t>
      </w:r>
      <w:r w:rsidRPr="004041F4">
        <w:rPr>
          <w:sz w:val="20"/>
          <w:szCs w:val="20"/>
        </w:rPr>
        <w:fldChar w:fldCharType="end"/>
      </w:r>
    </w:p>
    <w:p w14:paraId="2DDF0907" w14:textId="5A576780" w:rsidR="007054BD" w:rsidRPr="004041F4" w:rsidRDefault="00E2097D" w:rsidP="00961B00">
      <w:pPr>
        <w:rPr>
          <w:sz w:val="20"/>
          <w:szCs w:val="20"/>
        </w:rPr>
      </w:pPr>
      <w:r>
        <w:rPr>
          <w:sz w:val="20"/>
          <w:szCs w:val="20"/>
        </w:rPr>
        <w:t>6</w:t>
      </w:r>
      <w:r w:rsidR="005A33A4">
        <w:rPr>
          <w:sz w:val="20"/>
          <w:szCs w:val="20"/>
        </w:rPr>
        <w:t>48</w:t>
      </w:r>
    </w:p>
    <w:p w14:paraId="606A2B88" w14:textId="672278C3" w:rsidR="001D6A08" w:rsidRPr="004041F4" w:rsidRDefault="00B86822" w:rsidP="00961B00">
      <w:pPr>
        <w:rPr>
          <w:sz w:val="20"/>
          <w:szCs w:val="20"/>
        </w:rPr>
      </w:pPr>
      <w:r w:rsidRPr="004041F4">
        <w:rPr>
          <w:sz w:val="20"/>
          <w:szCs w:val="20"/>
        </w:rPr>
        <w:t>Z</w:t>
      </w:r>
      <w:r w:rsidR="00490A6C">
        <w:rPr>
          <w:sz w:val="20"/>
          <w:szCs w:val="20"/>
        </w:rPr>
        <w:t>.</w:t>
      </w:r>
      <w:r w:rsidR="00762AC0">
        <w:rPr>
          <w:sz w:val="20"/>
          <w:szCs w:val="20"/>
        </w:rPr>
        <w:t>Kaljo</w:t>
      </w:r>
    </w:p>
    <w:p w14:paraId="0A8344EC" w14:textId="03E69E9A" w:rsidR="001D6A08" w:rsidRPr="004041F4" w:rsidRDefault="001D6A08" w:rsidP="00961B00">
      <w:pPr>
        <w:rPr>
          <w:sz w:val="20"/>
          <w:szCs w:val="20"/>
        </w:rPr>
      </w:pPr>
      <w:r w:rsidRPr="004041F4">
        <w:rPr>
          <w:sz w:val="20"/>
          <w:szCs w:val="20"/>
        </w:rPr>
        <w:t>672016</w:t>
      </w:r>
      <w:r w:rsidR="00B86822" w:rsidRPr="004041F4">
        <w:rPr>
          <w:sz w:val="20"/>
          <w:szCs w:val="20"/>
        </w:rPr>
        <w:t>53</w:t>
      </w:r>
      <w:r w:rsidR="00490A6C">
        <w:rPr>
          <w:sz w:val="20"/>
          <w:szCs w:val="20"/>
        </w:rPr>
        <w:t xml:space="preserve">, </w:t>
      </w:r>
      <w:r w:rsidR="00B86822" w:rsidRPr="004041F4">
        <w:rPr>
          <w:sz w:val="20"/>
          <w:szCs w:val="20"/>
        </w:rPr>
        <w:t>zane</w:t>
      </w:r>
      <w:r w:rsidRPr="004041F4">
        <w:rPr>
          <w:sz w:val="20"/>
          <w:szCs w:val="20"/>
        </w:rPr>
        <w:t>.</w:t>
      </w:r>
      <w:r w:rsidR="00762AC0">
        <w:rPr>
          <w:sz w:val="20"/>
          <w:szCs w:val="20"/>
        </w:rPr>
        <w:t>kaljo</w:t>
      </w:r>
      <w:r w:rsidRPr="004041F4">
        <w:rPr>
          <w:sz w:val="20"/>
          <w:szCs w:val="20"/>
        </w:rPr>
        <w:t>@lm.gov.lv</w:t>
      </w:r>
    </w:p>
    <w:sectPr w:rsidR="001D6A08" w:rsidRPr="004041F4" w:rsidSect="00671AF9">
      <w:headerReference w:type="even" r:id="rId8"/>
      <w:headerReference w:type="default" r:id="rId9"/>
      <w:footerReference w:type="default" r:id="rId10"/>
      <w:footerReference w:type="first" r:id="rId11"/>
      <w:endnotePr>
        <w:numFmt w:val="decimal"/>
      </w:endnotePr>
      <w:pgSz w:w="11906" w:h="16838"/>
      <w:pgMar w:top="1418" w:right="141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07359" w14:textId="77777777" w:rsidR="00586F79" w:rsidRDefault="00586F79">
      <w:r>
        <w:separator/>
      </w:r>
    </w:p>
  </w:endnote>
  <w:endnote w:type="continuationSeparator" w:id="0">
    <w:p w14:paraId="790B5B8B" w14:textId="77777777" w:rsidR="00586F79" w:rsidRDefault="0058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E0113" w14:textId="1AC59C76" w:rsidR="0022092E" w:rsidRPr="00217C35" w:rsidRDefault="0022092E" w:rsidP="0022092E">
    <w:pPr>
      <w:jc w:val="both"/>
      <w:rPr>
        <w:sz w:val="20"/>
        <w:szCs w:val="20"/>
      </w:rPr>
    </w:pPr>
    <w:r w:rsidRPr="00217C35">
      <w:rPr>
        <w:sz w:val="20"/>
        <w:szCs w:val="20"/>
      </w:rPr>
      <w:t>LMAnot_</w:t>
    </w:r>
    <w:r w:rsidR="005A33A4">
      <w:rPr>
        <w:sz w:val="20"/>
        <w:szCs w:val="20"/>
      </w:rPr>
      <w:t>0</w:t>
    </w:r>
    <w:r w:rsidR="00620187">
      <w:rPr>
        <w:sz w:val="20"/>
        <w:szCs w:val="20"/>
      </w:rPr>
      <w:t>9</w:t>
    </w:r>
    <w:r w:rsidR="005A33A4">
      <w:rPr>
        <w:sz w:val="20"/>
        <w:szCs w:val="20"/>
      </w:rPr>
      <w:t>10</w:t>
    </w:r>
    <w:r w:rsidR="00D25B10">
      <w:rPr>
        <w:sz w:val="20"/>
        <w:szCs w:val="20"/>
      </w:rPr>
      <w:t>15</w:t>
    </w:r>
    <w:r w:rsidRPr="00217C35">
      <w:rPr>
        <w:sz w:val="20"/>
        <w:szCs w:val="20"/>
      </w:rPr>
      <w:t>;</w:t>
    </w:r>
    <w:r>
      <w:rPr>
        <w:sz w:val="20"/>
        <w:szCs w:val="20"/>
      </w:rPr>
      <w:t xml:space="preserve"> </w:t>
    </w:r>
    <w:r w:rsidRPr="0022092E">
      <w:rPr>
        <w:sz w:val="20"/>
        <w:szCs w:val="20"/>
      </w:rPr>
      <w:t>Ministru kabineta rīkojuma projekta “Grozījumi Darbības programmā pārtikas un pamata materiālās palīdzības sniegšanai vistrūcīgākajām personām 2014.-2020.gada plānošanas periodā”</w:t>
    </w:r>
    <w:r>
      <w:rPr>
        <w:sz w:val="20"/>
        <w:szCs w:val="20"/>
      </w:rPr>
      <w:t xml:space="preserve"> </w:t>
    </w:r>
    <w:r w:rsidRPr="0022092E">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85514" w14:textId="77777777" w:rsidR="00671AF9" w:rsidRPr="00217C35" w:rsidRDefault="00671AF9" w:rsidP="00671AF9">
    <w:pPr>
      <w:jc w:val="both"/>
      <w:rPr>
        <w:sz w:val="20"/>
        <w:szCs w:val="20"/>
      </w:rPr>
    </w:pPr>
    <w:r w:rsidRPr="00217C35">
      <w:rPr>
        <w:sz w:val="20"/>
        <w:szCs w:val="20"/>
      </w:rPr>
      <w:t>LMAnot_</w:t>
    </w:r>
    <w:r>
      <w:rPr>
        <w:sz w:val="20"/>
        <w:szCs w:val="20"/>
      </w:rPr>
      <w:t>091015</w:t>
    </w:r>
    <w:r w:rsidRPr="00217C35">
      <w:rPr>
        <w:sz w:val="20"/>
        <w:szCs w:val="20"/>
      </w:rPr>
      <w:t>;</w:t>
    </w:r>
    <w:r>
      <w:rPr>
        <w:sz w:val="20"/>
        <w:szCs w:val="20"/>
      </w:rPr>
      <w:t xml:space="preserve"> </w:t>
    </w:r>
    <w:r w:rsidRPr="0022092E">
      <w:rPr>
        <w:sz w:val="20"/>
        <w:szCs w:val="20"/>
      </w:rPr>
      <w:t>Ministru kabineta rīkojuma projekta “Grozījumi Darbības programmā pārtikas un pamata materiālās palīdzības sniegšanai vistrūcīgākajām personām 2014.-2020.gada plānošanas periodā”</w:t>
    </w:r>
    <w:r>
      <w:rPr>
        <w:sz w:val="20"/>
        <w:szCs w:val="20"/>
      </w:rPr>
      <w:t xml:space="preserve"> </w:t>
    </w:r>
    <w:r w:rsidRPr="0022092E">
      <w:rPr>
        <w:sz w:val="20"/>
        <w:szCs w:val="20"/>
      </w:rPr>
      <w:t>sākotnējās ietekmes novērtējuma ziņojums (anotācija)</w:t>
    </w:r>
  </w:p>
  <w:p w14:paraId="41B0A4C0" w14:textId="266904C2" w:rsidR="0022092E" w:rsidRPr="00671AF9" w:rsidRDefault="0022092E" w:rsidP="00671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02789" w14:textId="77777777" w:rsidR="00586F79" w:rsidRDefault="00586F79">
      <w:r>
        <w:separator/>
      </w:r>
    </w:p>
  </w:footnote>
  <w:footnote w:type="continuationSeparator" w:id="0">
    <w:p w14:paraId="0FB76472" w14:textId="77777777" w:rsidR="00586F79" w:rsidRDefault="00586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4A060" w14:textId="77777777" w:rsidR="0022092E" w:rsidRDefault="0022092E"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594664" w14:textId="77777777" w:rsidR="0022092E" w:rsidRDefault="002209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4834D" w14:textId="6CB8FD6B" w:rsidR="00C61080" w:rsidRDefault="00C61080">
    <w:pPr>
      <w:pStyle w:val="Header"/>
      <w:jc w:val="center"/>
    </w:pPr>
    <w:sdt>
      <w:sdtPr>
        <w:id w:val="6602099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71AF9">
          <w:rPr>
            <w:noProof/>
          </w:rPr>
          <w:t>3</w:t>
        </w:r>
        <w:r>
          <w:rPr>
            <w:noProof/>
          </w:rPr>
          <w:fldChar w:fldCharType="end"/>
        </w:r>
      </w:sdtContent>
    </w:sdt>
  </w:p>
  <w:p w14:paraId="505AB536" w14:textId="77777777" w:rsidR="0022092E" w:rsidRDefault="00220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F21"/>
    <w:multiLevelType w:val="hybridMultilevel"/>
    <w:tmpl w:val="766EFAC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07236F2A"/>
    <w:multiLevelType w:val="hybridMultilevel"/>
    <w:tmpl w:val="0C2A01A6"/>
    <w:lvl w:ilvl="0" w:tplc="B79A0E58">
      <w:start w:val="1"/>
      <w:numFmt w:val="decimal"/>
      <w:lvlText w:val="(%1)"/>
      <w:lvlJc w:val="left"/>
      <w:pPr>
        <w:ind w:left="360" w:hanging="360"/>
      </w:pPr>
      <w:rPr>
        <w:rFonts w:ascii="Times New Roman" w:eastAsia="Times New Roman" w:hAnsi="Times New Roman" w:cs="Times New Roman"/>
        <w:i w:val="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9390F70"/>
    <w:multiLevelType w:val="hybridMultilevel"/>
    <w:tmpl w:val="F11E97EE"/>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0BB12B49"/>
    <w:multiLevelType w:val="hybridMultilevel"/>
    <w:tmpl w:val="CCB2532A"/>
    <w:lvl w:ilvl="0" w:tplc="71E019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BD262C"/>
    <w:multiLevelType w:val="hybridMultilevel"/>
    <w:tmpl w:val="D124DFD2"/>
    <w:lvl w:ilvl="0" w:tplc="421E00BC">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862873"/>
    <w:multiLevelType w:val="hybridMultilevel"/>
    <w:tmpl w:val="F4A88ECA"/>
    <w:lvl w:ilvl="0" w:tplc="421E00BC">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6521B7"/>
    <w:multiLevelType w:val="hybridMultilevel"/>
    <w:tmpl w:val="B1BC1B42"/>
    <w:lvl w:ilvl="0" w:tplc="421E00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7D2686"/>
    <w:multiLevelType w:val="hybridMultilevel"/>
    <w:tmpl w:val="486A5EF8"/>
    <w:lvl w:ilvl="0" w:tplc="04260001">
      <w:start w:val="1"/>
      <w:numFmt w:val="bullet"/>
      <w:lvlText w:val=""/>
      <w:lvlJc w:val="left"/>
      <w:pPr>
        <w:ind w:left="792" w:hanging="360"/>
      </w:pPr>
      <w:rPr>
        <w:rFonts w:ascii="Symbol" w:hAnsi="Symbol"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8" w15:restartNumberingAfterBreak="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512E4A"/>
    <w:multiLevelType w:val="hybridMultilevel"/>
    <w:tmpl w:val="147073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6F6668"/>
    <w:multiLevelType w:val="hybridMultilevel"/>
    <w:tmpl w:val="1432105E"/>
    <w:lvl w:ilvl="0" w:tplc="421E00BC">
      <w:start w:val="1"/>
      <w:numFmt w:val="decimal"/>
      <w:lvlText w:val="%1."/>
      <w:lvlJc w:val="left"/>
      <w:pPr>
        <w:ind w:left="36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1B5FAF"/>
    <w:multiLevelType w:val="hybridMultilevel"/>
    <w:tmpl w:val="31D632C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5C4E13"/>
    <w:multiLevelType w:val="hybridMultilevel"/>
    <w:tmpl w:val="C00E77C6"/>
    <w:lvl w:ilvl="0" w:tplc="04260001">
      <w:start w:val="218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BF7338B"/>
    <w:multiLevelType w:val="multilevel"/>
    <w:tmpl w:val="0426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B5115A"/>
    <w:multiLevelType w:val="hybridMultilevel"/>
    <w:tmpl w:val="DEF01F18"/>
    <w:lvl w:ilvl="0" w:tplc="421E00BC">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FF56A1"/>
    <w:multiLevelType w:val="hybridMultilevel"/>
    <w:tmpl w:val="0D0CC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802479E"/>
    <w:multiLevelType w:val="hybridMultilevel"/>
    <w:tmpl w:val="F3C2FA34"/>
    <w:lvl w:ilvl="0" w:tplc="04260019">
      <w:start w:val="1"/>
      <w:numFmt w:val="lowerLetter"/>
      <w:lvlText w:val="%1."/>
      <w:lvlJc w:val="left"/>
      <w:pPr>
        <w:ind w:left="398" w:hanging="360"/>
      </w:pPr>
      <w:rPr>
        <w:rFonts w:hint="default"/>
      </w:rPr>
    </w:lvl>
    <w:lvl w:ilvl="1" w:tplc="04260019">
      <w:start w:val="1"/>
      <w:numFmt w:val="lowerLetter"/>
      <w:lvlText w:val="%2."/>
      <w:lvlJc w:val="left"/>
      <w:pPr>
        <w:ind w:left="1118" w:hanging="360"/>
      </w:pPr>
    </w:lvl>
    <w:lvl w:ilvl="2" w:tplc="0426001B" w:tentative="1">
      <w:start w:val="1"/>
      <w:numFmt w:val="lowerRoman"/>
      <w:lvlText w:val="%3."/>
      <w:lvlJc w:val="right"/>
      <w:pPr>
        <w:ind w:left="1838" w:hanging="180"/>
      </w:pPr>
    </w:lvl>
    <w:lvl w:ilvl="3" w:tplc="0426000F" w:tentative="1">
      <w:start w:val="1"/>
      <w:numFmt w:val="decimal"/>
      <w:lvlText w:val="%4."/>
      <w:lvlJc w:val="left"/>
      <w:pPr>
        <w:ind w:left="2558" w:hanging="360"/>
      </w:pPr>
    </w:lvl>
    <w:lvl w:ilvl="4" w:tplc="04260019" w:tentative="1">
      <w:start w:val="1"/>
      <w:numFmt w:val="lowerLetter"/>
      <w:lvlText w:val="%5."/>
      <w:lvlJc w:val="left"/>
      <w:pPr>
        <w:ind w:left="3278" w:hanging="360"/>
      </w:pPr>
    </w:lvl>
    <w:lvl w:ilvl="5" w:tplc="0426001B" w:tentative="1">
      <w:start w:val="1"/>
      <w:numFmt w:val="lowerRoman"/>
      <w:lvlText w:val="%6."/>
      <w:lvlJc w:val="right"/>
      <w:pPr>
        <w:ind w:left="3998" w:hanging="180"/>
      </w:pPr>
    </w:lvl>
    <w:lvl w:ilvl="6" w:tplc="0426000F" w:tentative="1">
      <w:start w:val="1"/>
      <w:numFmt w:val="decimal"/>
      <w:lvlText w:val="%7."/>
      <w:lvlJc w:val="left"/>
      <w:pPr>
        <w:ind w:left="4718" w:hanging="360"/>
      </w:pPr>
    </w:lvl>
    <w:lvl w:ilvl="7" w:tplc="04260019" w:tentative="1">
      <w:start w:val="1"/>
      <w:numFmt w:val="lowerLetter"/>
      <w:lvlText w:val="%8."/>
      <w:lvlJc w:val="left"/>
      <w:pPr>
        <w:ind w:left="5438" w:hanging="360"/>
      </w:pPr>
    </w:lvl>
    <w:lvl w:ilvl="8" w:tplc="0426001B" w:tentative="1">
      <w:start w:val="1"/>
      <w:numFmt w:val="lowerRoman"/>
      <w:lvlText w:val="%9."/>
      <w:lvlJc w:val="right"/>
      <w:pPr>
        <w:ind w:left="6158" w:hanging="180"/>
      </w:pPr>
    </w:lvl>
  </w:abstractNum>
  <w:abstractNum w:abstractNumId="17" w15:restartNumberingAfterBreak="0">
    <w:nsid w:val="48E9696D"/>
    <w:multiLevelType w:val="hybridMultilevel"/>
    <w:tmpl w:val="73C6EFB0"/>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BA043D"/>
    <w:multiLevelType w:val="hybridMultilevel"/>
    <w:tmpl w:val="B44A2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7327E5"/>
    <w:multiLevelType w:val="hybridMultilevel"/>
    <w:tmpl w:val="DBAC00E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323B0E"/>
    <w:multiLevelType w:val="hybridMultilevel"/>
    <w:tmpl w:val="60701F1A"/>
    <w:lvl w:ilvl="0" w:tplc="84B6A51A">
      <w:start w:val="1"/>
      <w:numFmt w:val="decimal"/>
      <w:lvlText w:val="%1."/>
      <w:lvlJc w:val="left"/>
      <w:pPr>
        <w:ind w:left="888" w:hanging="528"/>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4185B94"/>
    <w:multiLevelType w:val="hybridMultilevel"/>
    <w:tmpl w:val="A808DF66"/>
    <w:lvl w:ilvl="0" w:tplc="421E00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CF0FAB"/>
    <w:multiLevelType w:val="hybridMultilevel"/>
    <w:tmpl w:val="68CE2C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2677CC"/>
    <w:multiLevelType w:val="hybridMultilevel"/>
    <w:tmpl w:val="3FD064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3B0292B"/>
    <w:multiLevelType w:val="hybridMultilevel"/>
    <w:tmpl w:val="0E648A60"/>
    <w:lvl w:ilvl="0" w:tplc="84B6A51A">
      <w:start w:val="1"/>
      <w:numFmt w:val="decimal"/>
      <w:lvlText w:val="%1."/>
      <w:lvlJc w:val="left"/>
      <w:pPr>
        <w:ind w:left="888" w:hanging="528"/>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8670127"/>
    <w:multiLevelType w:val="hybridMultilevel"/>
    <w:tmpl w:val="DBA016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4965CFB"/>
    <w:multiLevelType w:val="hybridMultilevel"/>
    <w:tmpl w:val="9E1E77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9C97049"/>
    <w:multiLevelType w:val="hybridMultilevel"/>
    <w:tmpl w:val="FBC8BEA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BB63AED"/>
    <w:multiLevelType w:val="hybridMultilevel"/>
    <w:tmpl w:val="CCB2532A"/>
    <w:lvl w:ilvl="0" w:tplc="71E019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5"/>
  </w:num>
  <w:num w:numId="3">
    <w:abstractNumId w:val="15"/>
  </w:num>
  <w:num w:numId="4">
    <w:abstractNumId w:val="12"/>
  </w:num>
  <w:num w:numId="5">
    <w:abstractNumId w:val="9"/>
  </w:num>
  <w:num w:numId="6">
    <w:abstractNumId w:val="23"/>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20"/>
  </w:num>
  <w:num w:numId="12">
    <w:abstractNumId w:val="24"/>
  </w:num>
  <w:num w:numId="13">
    <w:abstractNumId w:val="22"/>
  </w:num>
  <w:num w:numId="14">
    <w:abstractNumId w:val="18"/>
  </w:num>
  <w:num w:numId="15">
    <w:abstractNumId w:val="4"/>
  </w:num>
  <w:num w:numId="16">
    <w:abstractNumId w:val="5"/>
  </w:num>
  <w:num w:numId="17">
    <w:abstractNumId w:val="14"/>
  </w:num>
  <w:num w:numId="18">
    <w:abstractNumId w:val="2"/>
  </w:num>
  <w:num w:numId="19">
    <w:abstractNumId w:val="27"/>
  </w:num>
  <w:num w:numId="20">
    <w:abstractNumId w:val="21"/>
  </w:num>
  <w:num w:numId="21">
    <w:abstractNumId w:val="26"/>
  </w:num>
  <w:num w:numId="22">
    <w:abstractNumId w:val="6"/>
  </w:num>
  <w:num w:numId="23">
    <w:abstractNumId w:val="13"/>
  </w:num>
  <w:num w:numId="24">
    <w:abstractNumId w:val="28"/>
  </w:num>
  <w:num w:numId="25">
    <w:abstractNumId w:val="3"/>
  </w:num>
  <w:num w:numId="26">
    <w:abstractNumId w:val="16"/>
  </w:num>
  <w:num w:numId="27">
    <w:abstractNumId w:val="19"/>
  </w:num>
  <w:num w:numId="28">
    <w:abstractNumId w:val="1"/>
  </w:num>
  <w:num w:numId="29">
    <w:abstractNumId w:val="1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85"/>
    <w:rsid w:val="0001361E"/>
    <w:rsid w:val="00014889"/>
    <w:rsid w:val="000166CE"/>
    <w:rsid w:val="00021438"/>
    <w:rsid w:val="000217F5"/>
    <w:rsid w:val="00022098"/>
    <w:rsid w:val="00035556"/>
    <w:rsid w:val="0004323E"/>
    <w:rsid w:val="00043389"/>
    <w:rsid w:val="000434B3"/>
    <w:rsid w:val="000434E7"/>
    <w:rsid w:val="00043710"/>
    <w:rsid w:val="000459B4"/>
    <w:rsid w:val="000541AF"/>
    <w:rsid w:val="0006002A"/>
    <w:rsid w:val="000636B6"/>
    <w:rsid w:val="00065FDF"/>
    <w:rsid w:val="00084CB0"/>
    <w:rsid w:val="0009346E"/>
    <w:rsid w:val="000B09E8"/>
    <w:rsid w:val="000C6010"/>
    <w:rsid w:val="000E3E52"/>
    <w:rsid w:val="000E4031"/>
    <w:rsid w:val="000E5E65"/>
    <w:rsid w:val="000E7AFE"/>
    <w:rsid w:val="000E7D72"/>
    <w:rsid w:val="00101C5A"/>
    <w:rsid w:val="001107BA"/>
    <w:rsid w:val="00112DAA"/>
    <w:rsid w:val="00115437"/>
    <w:rsid w:val="001162BD"/>
    <w:rsid w:val="00120F5F"/>
    <w:rsid w:val="0012151E"/>
    <w:rsid w:val="00121628"/>
    <w:rsid w:val="00124132"/>
    <w:rsid w:val="0012440B"/>
    <w:rsid w:val="001305E9"/>
    <w:rsid w:val="001345EA"/>
    <w:rsid w:val="00134F03"/>
    <w:rsid w:val="0014330F"/>
    <w:rsid w:val="00143C1E"/>
    <w:rsid w:val="0016258C"/>
    <w:rsid w:val="00163BBD"/>
    <w:rsid w:val="00170E63"/>
    <w:rsid w:val="00172F55"/>
    <w:rsid w:val="00194614"/>
    <w:rsid w:val="00194AD3"/>
    <w:rsid w:val="00197E7F"/>
    <w:rsid w:val="001A2E7D"/>
    <w:rsid w:val="001A660E"/>
    <w:rsid w:val="001B191D"/>
    <w:rsid w:val="001B7475"/>
    <w:rsid w:val="001C02B4"/>
    <w:rsid w:val="001C3006"/>
    <w:rsid w:val="001C3208"/>
    <w:rsid w:val="001C3C14"/>
    <w:rsid w:val="001C67A6"/>
    <w:rsid w:val="001C6843"/>
    <w:rsid w:val="001D6A08"/>
    <w:rsid w:val="001E418D"/>
    <w:rsid w:val="001E5379"/>
    <w:rsid w:val="001E60EE"/>
    <w:rsid w:val="001E6967"/>
    <w:rsid w:val="001E6B34"/>
    <w:rsid w:val="001F1E68"/>
    <w:rsid w:val="00204581"/>
    <w:rsid w:val="00207888"/>
    <w:rsid w:val="00217494"/>
    <w:rsid w:val="002175D9"/>
    <w:rsid w:val="00217C08"/>
    <w:rsid w:val="00217C35"/>
    <w:rsid w:val="0022092E"/>
    <w:rsid w:val="0022171B"/>
    <w:rsid w:val="002248A3"/>
    <w:rsid w:val="00225BD4"/>
    <w:rsid w:val="0022653F"/>
    <w:rsid w:val="0022698A"/>
    <w:rsid w:val="00230730"/>
    <w:rsid w:val="00242D7D"/>
    <w:rsid w:val="00245E19"/>
    <w:rsid w:val="00247722"/>
    <w:rsid w:val="00252213"/>
    <w:rsid w:val="00253C72"/>
    <w:rsid w:val="00260C4A"/>
    <w:rsid w:val="002634BB"/>
    <w:rsid w:val="0027383E"/>
    <w:rsid w:val="00273C45"/>
    <w:rsid w:val="00273F99"/>
    <w:rsid w:val="00275C69"/>
    <w:rsid w:val="00284F65"/>
    <w:rsid w:val="00285384"/>
    <w:rsid w:val="002902F8"/>
    <w:rsid w:val="00293747"/>
    <w:rsid w:val="00297AA5"/>
    <w:rsid w:val="002A1E73"/>
    <w:rsid w:val="002A4DB8"/>
    <w:rsid w:val="002B34B5"/>
    <w:rsid w:val="002B3F5F"/>
    <w:rsid w:val="002B6664"/>
    <w:rsid w:val="002C0D0E"/>
    <w:rsid w:val="002C10A9"/>
    <w:rsid w:val="002C1742"/>
    <w:rsid w:val="002C40AB"/>
    <w:rsid w:val="002C4B9A"/>
    <w:rsid w:val="002D402C"/>
    <w:rsid w:val="002D40F7"/>
    <w:rsid w:val="002E1BBD"/>
    <w:rsid w:val="002E224D"/>
    <w:rsid w:val="002E2AE3"/>
    <w:rsid w:val="002E4018"/>
    <w:rsid w:val="002F168D"/>
    <w:rsid w:val="002F1A5C"/>
    <w:rsid w:val="002F339E"/>
    <w:rsid w:val="002F7616"/>
    <w:rsid w:val="003021F4"/>
    <w:rsid w:val="003051FF"/>
    <w:rsid w:val="00310C04"/>
    <w:rsid w:val="0031355C"/>
    <w:rsid w:val="00313746"/>
    <w:rsid w:val="00320C59"/>
    <w:rsid w:val="00321BE1"/>
    <w:rsid w:val="003221E7"/>
    <w:rsid w:val="00323081"/>
    <w:rsid w:val="00326E98"/>
    <w:rsid w:val="00330913"/>
    <w:rsid w:val="00330ACE"/>
    <w:rsid w:val="00330E6E"/>
    <w:rsid w:val="003324FF"/>
    <w:rsid w:val="00347D9D"/>
    <w:rsid w:val="00351CDF"/>
    <w:rsid w:val="0035361C"/>
    <w:rsid w:val="00362461"/>
    <w:rsid w:val="00363730"/>
    <w:rsid w:val="003706A5"/>
    <w:rsid w:val="00371AB1"/>
    <w:rsid w:val="00374680"/>
    <w:rsid w:val="0037629D"/>
    <w:rsid w:val="003860D2"/>
    <w:rsid w:val="00386C10"/>
    <w:rsid w:val="00390349"/>
    <w:rsid w:val="0039168F"/>
    <w:rsid w:val="0039274E"/>
    <w:rsid w:val="003949A7"/>
    <w:rsid w:val="003A170B"/>
    <w:rsid w:val="003B384B"/>
    <w:rsid w:val="003B629D"/>
    <w:rsid w:val="003C0DCF"/>
    <w:rsid w:val="003D0EF0"/>
    <w:rsid w:val="003D314C"/>
    <w:rsid w:val="003D3D8D"/>
    <w:rsid w:val="003D739F"/>
    <w:rsid w:val="003E0A83"/>
    <w:rsid w:val="003E67E2"/>
    <w:rsid w:val="003F27FC"/>
    <w:rsid w:val="003F5C32"/>
    <w:rsid w:val="004041F4"/>
    <w:rsid w:val="00407324"/>
    <w:rsid w:val="00410ED0"/>
    <w:rsid w:val="00411494"/>
    <w:rsid w:val="00411AC9"/>
    <w:rsid w:val="00415B57"/>
    <w:rsid w:val="00416B2F"/>
    <w:rsid w:val="00421529"/>
    <w:rsid w:val="00425506"/>
    <w:rsid w:val="00427D6F"/>
    <w:rsid w:val="004305EC"/>
    <w:rsid w:val="004373E9"/>
    <w:rsid w:val="004542D9"/>
    <w:rsid w:val="00455C52"/>
    <w:rsid w:val="00476801"/>
    <w:rsid w:val="0048116F"/>
    <w:rsid w:val="00485D38"/>
    <w:rsid w:val="00487646"/>
    <w:rsid w:val="00490A6C"/>
    <w:rsid w:val="004A037B"/>
    <w:rsid w:val="004A1651"/>
    <w:rsid w:val="004A2ABD"/>
    <w:rsid w:val="004A4E86"/>
    <w:rsid w:val="004B61E8"/>
    <w:rsid w:val="004C2202"/>
    <w:rsid w:val="004C607E"/>
    <w:rsid w:val="004D0BC7"/>
    <w:rsid w:val="004D7A97"/>
    <w:rsid w:val="004E30E0"/>
    <w:rsid w:val="004F41BB"/>
    <w:rsid w:val="004F4CAF"/>
    <w:rsid w:val="004F782C"/>
    <w:rsid w:val="005037E7"/>
    <w:rsid w:val="00510DE6"/>
    <w:rsid w:val="00511F37"/>
    <w:rsid w:val="0051235A"/>
    <w:rsid w:val="00515C80"/>
    <w:rsid w:val="005170C6"/>
    <w:rsid w:val="00517FEF"/>
    <w:rsid w:val="00520D70"/>
    <w:rsid w:val="005414F3"/>
    <w:rsid w:val="00542C64"/>
    <w:rsid w:val="005438FE"/>
    <w:rsid w:val="00555BC7"/>
    <w:rsid w:val="00557EA8"/>
    <w:rsid w:val="00561EDF"/>
    <w:rsid w:val="005665B8"/>
    <w:rsid w:val="0057035A"/>
    <w:rsid w:val="00577AE9"/>
    <w:rsid w:val="005805BC"/>
    <w:rsid w:val="0058231B"/>
    <w:rsid w:val="0058337E"/>
    <w:rsid w:val="00586F79"/>
    <w:rsid w:val="005901B5"/>
    <w:rsid w:val="00595E53"/>
    <w:rsid w:val="005A1C58"/>
    <w:rsid w:val="005A33A4"/>
    <w:rsid w:val="005A59D3"/>
    <w:rsid w:val="005A6C35"/>
    <w:rsid w:val="005B31E8"/>
    <w:rsid w:val="005B3B52"/>
    <w:rsid w:val="005C064B"/>
    <w:rsid w:val="005C6E40"/>
    <w:rsid w:val="005D4795"/>
    <w:rsid w:val="005D4EA0"/>
    <w:rsid w:val="005F662F"/>
    <w:rsid w:val="005F6ED3"/>
    <w:rsid w:val="006000B6"/>
    <w:rsid w:val="00601A32"/>
    <w:rsid w:val="0060233C"/>
    <w:rsid w:val="00606F3D"/>
    <w:rsid w:val="00607EE0"/>
    <w:rsid w:val="00611121"/>
    <w:rsid w:val="00613CC1"/>
    <w:rsid w:val="00614A78"/>
    <w:rsid w:val="00620187"/>
    <w:rsid w:val="006249E3"/>
    <w:rsid w:val="00630B60"/>
    <w:rsid w:val="00632DC6"/>
    <w:rsid w:val="00653C31"/>
    <w:rsid w:val="00661319"/>
    <w:rsid w:val="00662A5E"/>
    <w:rsid w:val="006630AF"/>
    <w:rsid w:val="00664883"/>
    <w:rsid w:val="006653C7"/>
    <w:rsid w:val="0067043F"/>
    <w:rsid w:val="00671AF9"/>
    <w:rsid w:val="00680B03"/>
    <w:rsid w:val="0068651F"/>
    <w:rsid w:val="006926F7"/>
    <w:rsid w:val="00695242"/>
    <w:rsid w:val="006A5F1F"/>
    <w:rsid w:val="006A6E7F"/>
    <w:rsid w:val="006A7D0B"/>
    <w:rsid w:val="006C0CCD"/>
    <w:rsid w:val="006C3D90"/>
    <w:rsid w:val="006C7D71"/>
    <w:rsid w:val="006D21CB"/>
    <w:rsid w:val="006D7233"/>
    <w:rsid w:val="006E0170"/>
    <w:rsid w:val="006F0A1E"/>
    <w:rsid w:val="006F2E30"/>
    <w:rsid w:val="006F445E"/>
    <w:rsid w:val="006F6976"/>
    <w:rsid w:val="006F7A45"/>
    <w:rsid w:val="007009B3"/>
    <w:rsid w:val="007024D7"/>
    <w:rsid w:val="00702E41"/>
    <w:rsid w:val="00704C57"/>
    <w:rsid w:val="007054BD"/>
    <w:rsid w:val="007061A0"/>
    <w:rsid w:val="0071151B"/>
    <w:rsid w:val="00714307"/>
    <w:rsid w:val="007200E5"/>
    <w:rsid w:val="00721E02"/>
    <w:rsid w:val="00722AE8"/>
    <w:rsid w:val="00723642"/>
    <w:rsid w:val="007241BD"/>
    <w:rsid w:val="00727E54"/>
    <w:rsid w:val="007323A7"/>
    <w:rsid w:val="00732B08"/>
    <w:rsid w:val="00744BA5"/>
    <w:rsid w:val="00746C83"/>
    <w:rsid w:val="007513BD"/>
    <w:rsid w:val="0075360C"/>
    <w:rsid w:val="00755FA0"/>
    <w:rsid w:val="00761877"/>
    <w:rsid w:val="00762AC0"/>
    <w:rsid w:val="00764815"/>
    <w:rsid w:val="0077241B"/>
    <w:rsid w:val="007750BB"/>
    <w:rsid w:val="00776EB1"/>
    <w:rsid w:val="00786ED5"/>
    <w:rsid w:val="00787E3A"/>
    <w:rsid w:val="007961EA"/>
    <w:rsid w:val="007A5901"/>
    <w:rsid w:val="007A67C7"/>
    <w:rsid w:val="007A7262"/>
    <w:rsid w:val="007D44F3"/>
    <w:rsid w:val="007D648F"/>
    <w:rsid w:val="007E505C"/>
    <w:rsid w:val="007F2DC0"/>
    <w:rsid w:val="007F5DC3"/>
    <w:rsid w:val="00800C63"/>
    <w:rsid w:val="008028B0"/>
    <w:rsid w:val="00810B74"/>
    <w:rsid w:val="0081466E"/>
    <w:rsid w:val="00817955"/>
    <w:rsid w:val="00821AAF"/>
    <w:rsid w:val="008351CF"/>
    <w:rsid w:val="0083525A"/>
    <w:rsid w:val="00840F60"/>
    <w:rsid w:val="008426BE"/>
    <w:rsid w:val="008506BF"/>
    <w:rsid w:val="00856FEA"/>
    <w:rsid w:val="00863B91"/>
    <w:rsid w:val="0086799F"/>
    <w:rsid w:val="00876C07"/>
    <w:rsid w:val="0088523B"/>
    <w:rsid w:val="008877FE"/>
    <w:rsid w:val="00887821"/>
    <w:rsid w:val="00887D7C"/>
    <w:rsid w:val="008925E5"/>
    <w:rsid w:val="00895B62"/>
    <w:rsid w:val="008A1E2A"/>
    <w:rsid w:val="008A2496"/>
    <w:rsid w:val="008B03FE"/>
    <w:rsid w:val="008B384E"/>
    <w:rsid w:val="008B59AC"/>
    <w:rsid w:val="008B7CF2"/>
    <w:rsid w:val="008C1115"/>
    <w:rsid w:val="008C1386"/>
    <w:rsid w:val="008D1BB3"/>
    <w:rsid w:val="008D2FFA"/>
    <w:rsid w:val="008E3B7F"/>
    <w:rsid w:val="008F669C"/>
    <w:rsid w:val="00903124"/>
    <w:rsid w:val="009042AB"/>
    <w:rsid w:val="00904663"/>
    <w:rsid w:val="00914982"/>
    <w:rsid w:val="00916736"/>
    <w:rsid w:val="00926F99"/>
    <w:rsid w:val="00932E51"/>
    <w:rsid w:val="00933F16"/>
    <w:rsid w:val="00941F49"/>
    <w:rsid w:val="009465E8"/>
    <w:rsid w:val="00951FA8"/>
    <w:rsid w:val="00952E72"/>
    <w:rsid w:val="0095440F"/>
    <w:rsid w:val="0095728B"/>
    <w:rsid w:val="00961B00"/>
    <w:rsid w:val="00963FF9"/>
    <w:rsid w:val="00966185"/>
    <w:rsid w:val="00966978"/>
    <w:rsid w:val="00967263"/>
    <w:rsid w:val="00977005"/>
    <w:rsid w:val="009818D8"/>
    <w:rsid w:val="009861A0"/>
    <w:rsid w:val="009A27F8"/>
    <w:rsid w:val="009A562B"/>
    <w:rsid w:val="009A6108"/>
    <w:rsid w:val="009B01C4"/>
    <w:rsid w:val="009B1B7F"/>
    <w:rsid w:val="009B5EE9"/>
    <w:rsid w:val="009C628D"/>
    <w:rsid w:val="009C763B"/>
    <w:rsid w:val="009D087D"/>
    <w:rsid w:val="009D4ABB"/>
    <w:rsid w:val="009D68CC"/>
    <w:rsid w:val="009D796B"/>
    <w:rsid w:val="009E0234"/>
    <w:rsid w:val="009E1F88"/>
    <w:rsid w:val="009E2A09"/>
    <w:rsid w:val="009E54DC"/>
    <w:rsid w:val="009E61A7"/>
    <w:rsid w:val="009F4B1E"/>
    <w:rsid w:val="009F614C"/>
    <w:rsid w:val="009F7A6B"/>
    <w:rsid w:val="00A06C08"/>
    <w:rsid w:val="00A105A1"/>
    <w:rsid w:val="00A10AED"/>
    <w:rsid w:val="00A119C6"/>
    <w:rsid w:val="00A12AFF"/>
    <w:rsid w:val="00A14780"/>
    <w:rsid w:val="00A16892"/>
    <w:rsid w:val="00A210C2"/>
    <w:rsid w:val="00A22402"/>
    <w:rsid w:val="00A23E1F"/>
    <w:rsid w:val="00A27945"/>
    <w:rsid w:val="00A32DD8"/>
    <w:rsid w:val="00A36231"/>
    <w:rsid w:val="00A36979"/>
    <w:rsid w:val="00A3732A"/>
    <w:rsid w:val="00A40CD7"/>
    <w:rsid w:val="00A44286"/>
    <w:rsid w:val="00A44414"/>
    <w:rsid w:val="00A4488C"/>
    <w:rsid w:val="00A54DCE"/>
    <w:rsid w:val="00A67F9D"/>
    <w:rsid w:val="00A81499"/>
    <w:rsid w:val="00A82B84"/>
    <w:rsid w:val="00A86EED"/>
    <w:rsid w:val="00A93810"/>
    <w:rsid w:val="00A94176"/>
    <w:rsid w:val="00A95F46"/>
    <w:rsid w:val="00AB059F"/>
    <w:rsid w:val="00AB45D5"/>
    <w:rsid w:val="00AB7C51"/>
    <w:rsid w:val="00AC5917"/>
    <w:rsid w:val="00AD4126"/>
    <w:rsid w:val="00AD4E04"/>
    <w:rsid w:val="00AD6AF5"/>
    <w:rsid w:val="00AE4024"/>
    <w:rsid w:val="00AE5700"/>
    <w:rsid w:val="00AE5F00"/>
    <w:rsid w:val="00AF2D6D"/>
    <w:rsid w:val="00AF2F25"/>
    <w:rsid w:val="00B00BA0"/>
    <w:rsid w:val="00B046FE"/>
    <w:rsid w:val="00B1249F"/>
    <w:rsid w:val="00B2279A"/>
    <w:rsid w:val="00B27C17"/>
    <w:rsid w:val="00B303E8"/>
    <w:rsid w:val="00B327A1"/>
    <w:rsid w:val="00B37A19"/>
    <w:rsid w:val="00B44193"/>
    <w:rsid w:val="00B44522"/>
    <w:rsid w:val="00B445F0"/>
    <w:rsid w:val="00B446BD"/>
    <w:rsid w:val="00B50F4E"/>
    <w:rsid w:val="00B605CD"/>
    <w:rsid w:val="00B61D11"/>
    <w:rsid w:val="00B76D85"/>
    <w:rsid w:val="00B80A06"/>
    <w:rsid w:val="00B86021"/>
    <w:rsid w:val="00B86822"/>
    <w:rsid w:val="00B873D9"/>
    <w:rsid w:val="00B9225A"/>
    <w:rsid w:val="00B922C8"/>
    <w:rsid w:val="00B92D9C"/>
    <w:rsid w:val="00B93E6E"/>
    <w:rsid w:val="00B95C2D"/>
    <w:rsid w:val="00BA18FE"/>
    <w:rsid w:val="00BA3CAC"/>
    <w:rsid w:val="00BB3CE3"/>
    <w:rsid w:val="00BB50B2"/>
    <w:rsid w:val="00BC4041"/>
    <w:rsid w:val="00BC5596"/>
    <w:rsid w:val="00BD1ED7"/>
    <w:rsid w:val="00BD3F29"/>
    <w:rsid w:val="00BD55CF"/>
    <w:rsid w:val="00BD5E8A"/>
    <w:rsid w:val="00BD70D1"/>
    <w:rsid w:val="00BD7E78"/>
    <w:rsid w:val="00BE3909"/>
    <w:rsid w:val="00BE5D22"/>
    <w:rsid w:val="00BE618A"/>
    <w:rsid w:val="00BE618B"/>
    <w:rsid w:val="00BF317E"/>
    <w:rsid w:val="00C01716"/>
    <w:rsid w:val="00C11DCA"/>
    <w:rsid w:val="00C14A20"/>
    <w:rsid w:val="00C16F61"/>
    <w:rsid w:val="00C2172F"/>
    <w:rsid w:val="00C24196"/>
    <w:rsid w:val="00C24C4C"/>
    <w:rsid w:val="00C25C49"/>
    <w:rsid w:val="00C25FFD"/>
    <w:rsid w:val="00C316D4"/>
    <w:rsid w:val="00C31878"/>
    <w:rsid w:val="00C323E1"/>
    <w:rsid w:val="00C4775D"/>
    <w:rsid w:val="00C51021"/>
    <w:rsid w:val="00C53A43"/>
    <w:rsid w:val="00C53BC2"/>
    <w:rsid w:val="00C61080"/>
    <w:rsid w:val="00C610A2"/>
    <w:rsid w:val="00C63B7E"/>
    <w:rsid w:val="00C653F8"/>
    <w:rsid w:val="00C734FE"/>
    <w:rsid w:val="00C769ED"/>
    <w:rsid w:val="00C85A05"/>
    <w:rsid w:val="00C91AC0"/>
    <w:rsid w:val="00C95931"/>
    <w:rsid w:val="00C979E0"/>
    <w:rsid w:val="00CA6AC9"/>
    <w:rsid w:val="00CB2EEC"/>
    <w:rsid w:val="00CB4B1C"/>
    <w:rsid w:val="00CC33D9"/>
    <w:rsid w:val="00CC3832"/>
    <w:rsid w:val="00CD5355"/>
    <w:rsid w:val="00CF07E0"/>
    <w:rsid w:val="00CF414E"/>
    <w:rsid w:val="00D0766C"/>
    <w:rsid w:val="00D137F8"/>
    <w:rsid w:val="00D25B10"/>
    <w:rsid w:val="00D32A15"/>
    <w:rsid w:val="00D37AD0"/>
    <w:rsid w:val="00D37E56"/>
    <w:rsid w:val="00D4404E"/>
    <w:rsid w:val="00D456A4"/>
    <w:rsid w:val="00D45D7C"/>
    <w:rsid w:val="00D46415"/>
    <w:rsid w:val="00D559F8"/>
    <w:rsid w:val="00D56564"/>
    <w:rsid w:val="00D56B2E"/>
    <w:rsid w:val="00D62119"/>
    <w:rsid w:val="00D6529B"/>
    <w:rsid w:val="00D65388"/>
    <w:rsid w:val="00D66D86"/>
    <w:rsid w:val="00D751F0"/>
    <w:rsid w:val="00D778A3"/>
    <w:rsid w:val="00D77BA1"/>
    <w:rsid w:val="00D85515"/>
    <w:rsid w:val="00D9407C"/>
    <w:rsid w:val="00D9520F"/>
    <w:rsid w:val="00DA144E"/>
    <w:rsid w:val="00DA154F"/>
    <w:rsid w:val="00DA3AD4"/>
    <w:rsid w:val="00DA474F"/>
    <w:rsid w:val="00DB0A0F"/>
    <w:rsid w:val="00DB427F"/>
    <w:rsid w:val="00DB4594"/>
    <w:rsid w:val="00DB5893"/>
    <w:rsid w:val="00DC1301"/>
    <w:rsid w:val="00DC1D36"/>
    <w:rsid w:val="00DC37D9"/>
    <w:rsid w:val="00DD242C"/>
    <w:rsid w:val="00DD3303"/>
    <w:rsid w:val="00DE42E3"/>
    <w:rsid w:val="00DE600A"/>
    <w:rsid w:val="00DF7845"/>
    <w:rsid w:val="00E07CF8"/>
    <w:rsid w:val="00E16BA5"/>
    <w:rsid w:val="00E2097D"/>
    <w:rsid w:val="00E320D3"/>
    <w:rsid w:val="00E33A91"/>
    <w:rsid w:val="00E35C10"/>
    <w:rsid w:val="00E442F2"/>
    <w:rsid w:val="00E5284C"/>
    <w:rsid w:val="00E539F2"/>
    <w:rsid w:val="00E60517"/>
    <w:rsid w:val="00E625B7"/>
    <w:rsid w:val="00E652FE"/>
    <w:rsid w:val="00E70CBA"/>
    <w:rsid w:val="00E71063"/>
    <w:rsid w:val="00E7440C"/>
    <w:rsid w:val="00E7721F"/>
    <w:rsid w:val="00E80735"/>
    <w:rsid w:val="00E83C51"/>
    <w:rsid w:val="00EA1BCF"/>
    <w:rsid w:val="00EA79F4"/>
    <w:rsid w:val="00EB1433"/>
    <w:rsid w:val="00EC3886"/>
    <w:rsid w:val="00ED7453"/>
    <w:rsid w:val="00ED7DB8"/>
    <w:rsid w:val="00EE4734"/>
    <w:rsid w:val="00EE64A9"/>
    <w:rsid w:val="00EF5870"/>
    <w:rsid w:val="00F12210"/>
    <w:rsid w:val="00F1226D"/>
    <w:rsid w:val="00F14304"/>
    <w:rsid w:val="00F169FA"/>
    <w:rsid w:val="00F20152"/>
    <w:rsid w:val="00F21DFF"/>
    <w:rsid w:val="00F308FA"/>
    <w:rsid w:val="00F359A6"/>
    <w:rsid w:val="00F3645E"/>
    <w:rsid w:val="00F41B6A"/>
    <w:rsid w:val="00F44F15"/>
    <w:rsid w:val="00F4692D"/>
    <w:rsid w:val="00F5353C"/>
    <w:rsid w:val="00F5397E"/>
    <w:rsid w:val="00F61274"/>
    <w:rsid w:val="00F622A8"/>
    <w:rsid w:val="00F6766F"/>
    <w:rsid w:val="00F70C92"/>
    <w:rsid w:val="00F71211"/>
    <w:rsid w:val="00F72A36"/>
    <w:rsid w:val="00F73AE9"/>
    <w:rsid w:val="00F73C87"/>
    <w:rsid w:val="00F7546B"/>
    <w:rsid w:val="00F85304"/>
    <w:rsid w:val="00F85CA0"/>
    <w:rsid w:val="00F860F7"/>
    <w:rsid w:val="00F868AE"/>
    <w:rsid w:val="00F93551"/>
    <w:rsid w:val="00FA6292"/>
    <w:rsid w:val="00FB72E6"/>
    <w:rsid w:val="00FC28EC"/>
    <w:rsid w:val="00FC2F4F"/>
    <w:rsid w:val="00FC4C81"/>
    <w:rsid w:val="00FC797D"/>
    <w:rsid w:val="00FD7D38"/>
    <w:rsid w:val="00FE04D5"/>
    <w:rsid w:val="00FE452E"/>
    <w:rsid w:val="00FE4CCF"/>
    <w:rsid w:val="00FE5D00"/>
    <w:rsid w:val="00FE62EB"/>
    <w:rsid w:val="00FF0187"/>
    <w:rsid w:val="00FF13AF"/>
    <w:rsid w:val="00FF2A52"/>
    <w:rsid w:val="00FF2D98"/>
    <w:rsid w:val="00FF4EC6"/>
    <w:rsid w:val="00FF50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850B58B"/>
  <w15:docId w15:val="{AE5F6382-3B31-4893-8EC4-21410C3C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D85"/>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uiPriority w:val="99"/>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uiPriority w:val="99"/>
    <w:rsid w:val="00194614"/>
    <w:pPr>
      <w:tabs>
        <w:tab w:val="center" w:pos="4153"/>
        <w:tab w:val="right" w:pos="8306"/>
      </w:tabs>
    </w:pPr>
  </w:style>
  <w:style w:type="character" w:customStyle="1" w:styleId="FooterChar">
    <w:name w:val="Footer Char"/>
    <w:link w:val="Footer"/>
    <w:uiPriority w:val="99"/>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uiPriority w:val="99"/>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semiHidden/>
    <w:rsid w:val="00DB4594"/>
    <w:rPr>
      <w:sz w:val="20"/>
      <w:szCs w:val="20"/>
    </w:rPr>
  </w:style>
  <w:style w:type="character" w:customStyle="1" w:styleId="CommentTextChar">
    <w:name w:val="Comment Text Char"/>
    <w:link w:val="CommentText"/>
    <w:semiHidden/>
    <w:rsid w:val="00DB4594"/>
    <w:rPr>
      <w:lang w:val="lv-LV" w:eastAsia="lv-LV" w:bidi="ar-SA"/>
    </w:rPr>
  </w:style>
  <w:style w:type="character" w:styleId="Hyperlink">
    <w:name w:val="Hyperlink"/>
    <w:uiPriority w:val="99"/>
    <w:rsid w:val="00320C59"/>
    <w:rPr>
      <w:color w:val="0000FF"/>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
    <w:basedOn w:val="Normal"/>
    <w:link w:val="FootnoteTextChar"/>
    <w:uiPriority w:val="99"/>
    <w:qFormat/>
    <w:rsid w:val="00320C59"/>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f Char"/>
    <w:link w:val="FootnoteText"/>
    <w:uiPriority w:val="99"/>
    <w:rsid w:val="00320C59"/>
    <w:rPr>
      <w:lang w:eastAsia="en-US"/>
    </w:rPr>
  </w:style>
  <w:style w:type="character" w:styleId="FootnoteReference">
    <w:name w:val="footnote reference"/>
    <w:aliases w:val="Footnote Reference Number,Footnote symbol,SUPERS,ftref,Footnote Refernece,stylish,BVI fnr,Fußnotenzeichen_Raxen,callout,Footnote Reference Superscript"/>
    <w:uiPriority w:val="99"/>
    <w:qFormat/>
    <w:rsid w:val="00320C59"/>
    <w:rPr>
      <w:vertAlign w:val="superscript"/>
    </w:rPr>
  </w:style>
  <w:style w:type="paragraph" w:styleId="EndnoteText">
    <w:name w:val="endnote text"/>
    <w:basedOn w:val="Normal"/>
    <w:link w:val="EndnoteTextChar"/>
    <w:rsid w:val="006A6E7F"/>
    <w:rPr>
      <w:sz w:val="20"/>
      <w:szCs w:val="20"/>
    </w:rPr>
  </w:style>
  <w:style w:type="character" w:customStyle="1" w:styleId="EndnoteTextChar">
    <w:name w:val="Endnote Text Char"/>
    <w:basedOn w:val="DefaultParagraphFont"/>
    <w:link w:val="EndnoteText"/>
    <w:rsid w:val="006A6E7F"/>
  </w:style>
  <w:style w:type="character" w:styleId="EndnoteReference">
    <w:name w:val="endnote reference"/>
    <w:rsid w:val="006A6E7F"/>
    <w:rPr>
      <w:vertAlign w:val="superscript"/>
    </w:rPr>
  </w:style>
  <w:style w:type="character" w:styleId="Emphasis">
    <w:name w:val="Emphasis"/>
    <w:qFormat/>
    <w:rsid w:val="001345EA"/>
    <w:rPr>
      <w:i/>
      <w:iCs/>
    </w:rPr>
  </w:style>
  <w:style w:type="character" w:styleId="CommentReference">
    <w:name w:val="annotation reference"/>
    <w:rsid w:val="00E442F2"/>
    <w:rPr>
      <w:sz w:val="16"/>
      <w:szCs w:val="16"/>
    </w:rPr>
  </w:style>
  <w:style w:type="paragraph" w:styleId="CommentSubject">
    <w:name w:val="annotation subject"/>
    <w:basedOn w:val="CommentText"/>
    <w:next w:val="CommentText"/>
    <w:link w:val="CommentSubjectChar"/>
    <w:rsid w:val="00E442F2"/>
    <w:rPr>
      <w:b/>
      <w:bCs/>
    </w:rPr>
  </w:style>
  <w:style w:type="character" w:customStyle="1" w:styleId="CommentSubjectChar">
    <w:name w:val="Comment Subject Char"/>
    <w:link w:val="CommentSubject"/>
    <w:rsid w:val="00E442F2"/>
    <w:rPr>
      <w:b/>
      <w:bCs/>
      <w:lang w:val="lv-LV" w:eastAsia="lv-LV" w:bidi="ar-SA"/>
    </w:rPr>
  </w:style>
  <w:style w:type="paragraph" w:styleId="ListParagraph">
    <w:name w:val="List Paragraph"/>
    <w:basedOn w:val="Normal"/>
    <w:uiPriority w:val="34"/>
    <w:qFormat/>
    <w:rsid w:val="00517FEF"/>
    <w:pPr>
      <w:ind w:left="720"/>
      <w:contextualSpacing/>
    </w:pPr>
  </w:style>
  <w:style w:type="character" w:customStyle="1" w:styleId="hps">
    <w:name w:val="hps"/>
    <w:uiPriority w:val="99"/>
    <w:rsid w:val="00F71211"/>
  </w:style>
  <w:style w:type="paragraph" w:customStyle="1" w:styleId="naisvisr">
    <w:name w:val="naisvisr"/>
    <w:basedOn w:val="Normal"/>
    <w:uiPriority w:val="99"/>
    <w:rsid w:val="002B34B5"/>
    <w:pPr>
      <w:spacing w:before="150" w:after="150"/>
      <w:jc w:val="center"/>
    </w:pPr>
    <w:rPr>
      <w:b/>
      <w:bCs/>
      <w:sz w:val="28"/>
      <w:szCs w:val="28"/>
    </w:rPr>
  </w:style>
  <w:style w:type="paragraph" w:customStyle="1" w:styleId="naisc">
    <w:name w:val="naisc"/>
    <w:basedOn w:val="Normal"/>
    <w:rsid w:val="002B34B5"/>
    <w:pPr>
      <w:spacing w:before="75" w:after="75"/>
      <w:jc w:val="center"/>
    </w:pPr>
  </w:style>
  <w:style w:type="paragraph" w:styleId="BodyText">
    <w:name w:val="Body Text"/>
    <w:basedOn w:val="Normal"/>
    <w:link w:val="BodyTextChar"/>
    <w:rsid w:val="00EA79F4"/>
    <w:pPr>
      <w:jc w:val="center"/>
    </w:pPr>
    <w:rPr>
      <w:bCs/>
      <w:lang w:val="en-GB" w:eastAsia="en-US"/>
    </w:rPr>
  </w:style>
  <w:style w:type="character" w:customStyle="1" w:styleId="BodyTextChar">
    <w:name w:val="Body Text Char"/>
    <w:basedOn w:val="DefaultParagraphFont"/>
    <w:link w:val="BodyText"/>
    <w:rsid w:val="00EA79F4"/>
    <w:rPr>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8557">
      <w:bodyDiv w:val="1"/>
      <w:marLeft w:val="0"/>
      <w:marRight w:val="0"/>
      <w:marTop w:val="0"/>
      <w:marBottom w:val="0"/>
      <w:divBdr>
        <w:top w:val="none" w:sz="0" w:space="0" w:color="auto"/>
        <w:left w:val="none" w:sz="0" w:space="0" w:color="auto"/>
        <w:bottom w:val="none" w:sz="0" w:space="0" w:color="auto"/>
        <w:right w:val="none" w:sz="0" w:space="0" w:color="auto"/>
      </w:divBdr>
    </w:div>
    <w:div w:id="317656545">
      <w:bodyDiv w:val="1"/>
      <w:marLeft w:val="0"/>
      <w:marRight w:val="0"/>
      <w:marTop w:val="0"/>
      <w:marBottom w:val="0"/>
      <w:divBdr>
        <w:top w:val="none" w:sz="0" w:space="0" w:color="auto"/>
        <w:left w:val="none" w:sz="0" w:space="0" w:color="auto"/>
        <w:bottom w:val="none" w:sz="0" w:space="0" w:color="auto"/>
        <w:right w:val="none" w:sz="0" w:space="0" w:color="auto"/>
      </w:divBdr>
    </w:div>
    <w:div w:id="368919443">
      <w:bodyDiv w:val="1"/>
      <w:marLeft w:val="0"/>
      <w:marRight w:val="0"/>
      <w:marTop w:val="0"/>
      <w:marBottom w:val="0"/>
      <w:divBdr>
        <w:top w:val="none" w:sz="0" w:space="0" w:color="auto"/>
        <w:left w:val="none" w:sz="0" w:space="0" w:color="auto"/>
        <w:bottom w:val="none" w:sz="0" w:space="0" w:color="auto"/>
        <w:right w:val="none" w:sz="0" w:space="0" w:color="auto"/>
      </w:divBdr>
    </w:div>
    <w:div w:id="422142649">
      <w:bodyDiv w:val="1"/>
      <w:marLeft w:val="0"/>
      <w:marRight w:val="0"/>
      <w:marTop w:val="0"/>
      <w:marBottom w:val="0"/>
      <w:divBdr>
        <w:top w:val="none" w:sz="0" w:space="0" w:color="auto"/>
        <w:left w:val="none" w:sz="0" w:space="0" w:color="auto"/>
        <w:bottom w:val="none" w:sz="0" w:space="0" w:color="auto"/>
        <w:right w:val="none" w:sz="0" w:space="0" w:color="auto"/>
      </w:divBdr>
    </w:div>
    <w:div w:id="696737803">
      <w:bodyDiv w:val="1"/>
      <w:marLeft w:val="0"/>
      <w:marRight w:val="0"/>
      <w:marTop w:val="0"/>
      <w:marBottom w:val="0"/>
      <w:divBdr>
        <w:top w:val="none" w:sz="0" w:space="0" w:color="auto"/>
        <w:left w:val="none" w:sz="0" w:space="0" w:color="auto"/>
        <w:bottom w:val="none" w:sz="0" w:space="0" w:color="auto"/>
        <w:right w:val="none" w:sz="0" w:space="0" w:color="auto"/>
      </w:divBdr>
    </w:div>
    <w:div w:id="1070035873">
      <w:bodyDiv w:val="1"/>
      <w:marLeft w:val="0"/>
      <w:marRight w:val="0"/>
      <w:marTop w:val="0"/>
      <w:marBottom w:val="0"/>
      <w:divBdr>
        <w:top w:val="none" w:sz="0" w:space="0" w:color="auto"/>
        <w:left w:val="none" w:sz="0" w:space="0" w:color="auto"/>
        <w:bottom w:val="none" w:sz="0" w:space="0" w:color="auto"/>
        <w:right w:val="none" w:sz="0" w:space="0" w:color="auto"/>
      </w:divBdr>
    </w:div>
    <w:div w:id="1304308613">
      <w:bodyDiv w:val="1"/>
      <w:marLeft w:val="0"/>
      <w:marRight w:val="0"/>
      <w:marTop w:val="0"/>
      <w:marBottom w:val="0"/>
      <w:divBdr>
        <w:top w:val="none" w:sz="0" w:space="0" w:color="auto"/>
        <w:left w:val="none" w:sz="0" w:space="0" w:color="auto"/>
        <w:bottom w:val="none" w:sz="0" w:space="0" w:color="auto"/>
        <w:right w:val="none" w:sz="0" w:space="0" w:color="auto"/>
      </w:divBdr>
    </w:div>
    <w:div w:id="1335910679">
      <w:bodyDiv w:val="1"/>
      <w:marLeft w:val="0"/>
      <w:marRight w:val="0"/>
      <w:marTop w:val="0"/>
      <w:marBottom w:val="0"/>
      <w:divBdr>
        <w:top w:val="none" w:sz="0" w:space="0" w:color="auto"/>
        <w:left w:val="none" w:sz="0" w:space="0" w:color="auto"/>
        <w:bottom w:val="none" w:sz="0" w:space="0" w:color="auto"/>
        <w:right w:val="none" w:sz="0" w:space="0" w:color="auto"/>
      </w:divBdr>
    </w:div>
    <w:div w:id="1469594208">
      <w:bodyDiv w:val="1"/>
      <w:marLeft w:val="0"/>
      <w:marRight w:val="0"/>
      <w:marTop w:val="0"/>
      <w:marBottom w:val="0"/>
      <w:divBdr>
        <w:top w:val="none" w:sz="0" w:space="0" w:color="auto"/>
        <w:left w:val="none" w:sz="0" w:space="0" w:color="auto"/>
        <w:bottom w:val="none" w:sz="0" w:space="0" w:color="auto"/>
        <w:right w:val="none" w:sz="0" w:space="0" w:color="auto"/>
      </w:divBdr>
    </w:div>
    <w:div w:id="1605260419">
      <w:bodyDiv w:val="1"/>
      <w:marLeft w:val="0"/>
      <w:marRight w:val="0"/>
      <w:marTop w:val="0"/>
      <w:marBottom w:val="0"/>
      <w:divBdr>
        <w:top w:val="none" w:sz="0" w:space="0" w:color="auto"/>
        <w:left w:val="none" w:sz="0" w:space="0" w:color="auto"/>
        <w:bottom w:val="none" w:sz="0" w:space="0" w:color="auto"/>
        <w:right w:val="none" w:sz="0" w:space="0" w:color="auto"/>
      </w:divBdr>
    </w:div>
    <w:div w:id="183896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E1DB1-7F70-4685-A324-90BD8AB0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648</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Ministru kabineta noteikumu projekta „Darbības programmas “Pārtikas un pamata materiālās palīdzības sniegšanai vistrūcīgākajām personām 2014.-2020.gada plānošanas periodā” īstenošanas noteikumi” sākotnējās ietekmes novērtējuma ziņojums (anotācija)</vt:lpstr>
    </vt:vector>
  </TitlesOfParts>
  <Company>Labklājības ministrija</Company>
  <LinksUpToDate>false</LinksUpToDate>
  <CharactersWithSpaces>5654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“Grozījumi Darbības programmā pārtikas un pamata materiālās palīdzības sniegšanai vistrūcīgākajām personām 2014.-2020.gada plānošanas periodā” sākotnējās ietekmes novērtējuma ziņojums (anotācija)</dc:title>
  <dc:subject>Anotācija</dc:subject>
  <dc:creator>Zane Lasmane</dc:creator>
  <cp:keywords/>
  <dc:description>Zane.Lasmane@lm.gov.lv, 67021653</dc:description>
  <cp:lastModifiedBy>Zane Lasmane</cp:lastModifiedBy>
  <cp:revision>6</cp:revision>
  <cp:lastPrinted>2014-11-21T10:06:00Z</cp:lastPrinted>
  <dcterms:created xsi:type="dcterms:W3CDTF">2015-10-06T10:37:00Z</dcterms:created>
  <dcterms:modified xsi:type="dcterms:W3CDTF">2015-10-09T13:11:00Z</dcterms:modified>
</cp:coreProperties>
</file>