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24" w:rsidRPr="00BA4F03" w:rsidRDefault="00301124" w:rsidP="00301124">
      <w:pPr>
        <w:pStyle w:val="Title"/>
        <w:jc w:val="left"/>
        <w:rPr>
          <w:b w:val="0"/>
          <w:szCs w:val="24"/>
        </w:rPr>
      </w:pPr>
      <w:bookmarkStart w:id="0" w:name="_GoBack"/>
      <w:bookmarkEnd w:id="0"/>
      <w:r w:rsidRPr="00BA4F03">
        <w:rPr>
          <w:b w:val="0"/>
          <w:szCs w:val="24"/>
        </w:rPr>
        <w:t>Budžeta un finanšu (nodokļu) komisija</w:t>
      </w:r>
    </w:p>
    <w:p w:rsidR="00301124" w:rsidRPr="00BA4F03" w:rsidRDefault="00301124" w:rsidP="00301124">
      <w:pPr>
        <w:pStyle w:val="Title"/>
        <w:jc w:val="right"/>
        <w:rPr>
          <w:b w:val="0"/>
          <w:szCs w:val="24"/>
        </w:rPr>
      </w:pPr>
      <w:r w:rsidRPr="00BA4F03">
        <w:rPr>
          <w:b w:val="0"/>
          <w:szCs w:val="24"/>
        </w:rPr>
        <w:tab/>
        <w:t>Likumprojekts (steidzams) otrajam lasījumam</w:t>
      </w:r>
    </w:p>
    <w:p w:rsidR="00301124" w:rsidRPr="00BA4F03" w:rsidRDefault="00301124" w:rsidP="00301124">
      <w:pPr>
        <w:tabs>
          <w:tab w:val="center" w:pos="7568"/>
          <w:tab w:val="left" w:pos="10455"/>
        </w:tabs>
        <w:jc w:val="center"/>
        <w:rPr>
          <w:b/>
          <w:i/>
          <w:sz w:val="26"/>
          <w:szCs w:val="26"/>
        </w:rPr>
      </w:pPr>
      <w:r w:rsidRPr="00BA4F03">
        <w:rPr>
          <w:b/>
          <w:bCs/>
          <w:sz w:val="26"/>
          <w:szCs w:val="26"/>
        </w:rPr>
        <w:t xml:space="preserve">Grozījums Pasta likumā </w:t>
      </w:r>
    </w:p>
    <w:p w:rsidR="00301124" w:rsidRPr="00BA4F03" w:rsidRDefault="00301124" w:rsidP="00301124">
      <w:pPr>
        <w:tabs>
          <w:tab w:val="center" w:pos="7568"/>
          <w:tab w:val="left" w:pos="10455"/>
        </w:tabs>
        <w:jc w:val="center"/>
        <w:rPr>
          <w:b/>
          <w:i/>
          <w:sz w:val="26"/>
          <w:szCs w:val="26"/>
        </w:rPr>
      </w:pPr>
      <w:r w:rsidRPr="00BA4F03">
        <w:rPr>
          <w:b/>
          <w:i/>
          <w:sz w:val="26"/>
          <w:szCs w:val="26"/>
        </w:rPr>
        <w:t>(Nr.368/Lp12)</w:t>
      </w:r>
    </w:p>
    <w:p w:rsidR="00301124" w:rsidRPr="00BA4F03" w:rsidRDefault="00301124" w:rsidP="00301124">
      <w:pPr>
        <w:tabs>
          <w:tab w:val="center" w:pos="7568"/>
          <w:tab w:val="left" w:pos="10455"/>
        </w:tabs>
        <w:rPr>
          <w:b/>
          <w:i/>
          <w:sz w:val="22"/>
        </w:rPr>
      </w:pPr>
      <w:r w:rsidRPr="00BA4F03">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BA4F03" w:rsidRPr="00BA4F03" w:rsidTr="001A7D73">
        <w:tc>
          <w:tcPr>
            <w:tcW w:w="3960" w:type="dxa"/>
            <w:vAlign w:val="center"/>
          </w:tcPr>
          <w:p w:rsidR="00301124" w:rsidRPr="00BA4F03" w:rsidRDefault="00301124" w:rsidP="001A7D73">
            <w:pPr>
              <w:jc w:val="center"/>
              <w:rPr>
                <w:b/>
                <w:bCs/>
                <w:iCs/>
                <w:szCs w:val="24"/>
              </w:rPr>
            </w:pPr>
            <w:r w:rsidRPr="00BA4F03">
              <w:rPr>
                <w:b/>
                <w:bCs/>
                <w:iCs/>
                <w:szCs w:val="24"/>
              </w:rPr>
              <w:t>Spēkā esošā redakcija</w:t>
            </w:r>
          </w:p>
        </w:tc>
        <w:tc>
          <w:tcPr>
            <w:tcW w:w="3960" w:type="dxa"/>
            <w:vAlign w:val="center"/>
          </w:tcPr>
          <w:p w:rsidR="00301124" w:rsidRPr="00BA4F03" w:rsidRDefault="00301124" w:rsidP="001A7D73">
            <w:pPr>
              <w:pStyle w:val="Heading1"/>
            </w:pPr>
            <w:r w:rsidRPr="00BA4F03">
              <w:t>Pirmā lasījuma redakcija</w:t>
            </w:r>
          </w:p>
        </w:tc>
        <w:tc>
          <w:tcPr>
            <w:tcW w:w="567" w:type="dxa"/>
            <w:vAlign w:val="center"/>
          </w:tcPr>
          <w:p w:rsidR="00301124" w:rsidRPr="00BA4F03" w:rsidRDefault="00301124" w:rsidP="001A7D73">
            <w:pPr>
              <w:jc w:val="center"/>
              <w:rPr>
                <w:b/>
                <w:bCs/>
                <w:iCs/>
                <w:szCs w:val="24"/>
              </w:rPr>
            </w:pPr>
            <w:r w:rsidRPr="00BA4F03">
              <w:rPr>
                <w:b/>
                <w:bCs/>
                <w:iCs/>
                <w:szCs w:val="24"/>
              </w:rPr>
              <w:t>Nr.</w:t>
            </w:r>
          </w:p>
        </w:tc>
        <w:tc>
          <w:tcPr>
            <w:tcW w:w="3960" w:type="dxa"/>
            <w:vAlign w:val="center"/>
          </w:tcPr>
          <w:p w:rsidR="00301124" w:rsidRPr="00BA4F03" w:rsidRDefault="00301124" w:rsidP="001A7D73">
            <w:pPr>
              <w:ind w:firstLine="10"/>
              <w:jc w:val="center"/>
              <w:rPr>
                <w:b/>
                <w:bCs/>
                <w:iCs/>
                <w:szCs w:val="24"/>
              </w:rPr>
            </w:pPr>
            <w:r w:rsidRPr="00BA4F03">
              <w:rPr>
                <w:b/>
                <w:bCs/>
                <w:iCs/>
                <w:szCs w:val="24"/>
              </w:rPr>
              <w:t>Priekšlikumi</w:t>
            </w:r>
          </w:p>
          <w:p w:rsidR="00301124" w:rsidRPr="00BA4F03" w:rsidRDefault="00400623" w:rsidP="001A7D73">
            <w:pPr>
              <w:jc w:val="center"/>
              <w:rPr>
                <w:b/>
                <w:bCs/>
                <w:iCs/>
                <w:szCs w:val="24"/>
              </w:rPr>
            </w:pPr>
            <w:r>
              <w:rPr>
                <w:b/>
                <w:bCs/>
                <w:iCs/>
                <w:szCs w:val="24"/>
              </w:rPr>
              <w:t>(1</w:t>
            </w:r>
            <w:r w:rsidR="00301124" w:rsidRPr="00BA4F03">
              <w:rPr>
                <w:b/>
                <w:bCs/>
                <w:iCs/>
                <w:szCs w:val="24"/>
              </w:rPr>
              <w:t>)</w:t>
            </w:r>
          </w:p>
        </w:tc>
        <w:tc>
          <w:tcPr>
            <w:tcW w:w="1420" w:type="dxa"/>
            <w:vAlign w:val="center"/>
          </w:tcPr>
          <w:p w:rsidR="00301124" w:rsidRPr="00BA4F03" w:rsidRDefault="00301124" w:rsidP="001A7D73">
            <w:pPr>
              <w:jc w:val="center"/>
              <w:rPr>
                <w:b/>
                <w:bCs/>
                <w:iCs/>
                <w:szCs w:val="24"/>
              </w:rPr>
            </w:pPr>
            <w:r w:rsidRPr="00BA4F03">
              <w:rPr>
                <w:b/>
                <w:bCs/>
                <w:iCs/>
                <w:szCs w:val="24"/>
              </w:rPr>
              <w:t>Ministru kabineta atzinums</w:t>
            </w:r>
          </w:p>
        </w:tc>
        <w:tc>
          <w:tcPr>
            <w:tcW w:w="1420" w:type="dxa"/>
            <w:vAlign w:val="center"/>
          </w:tcPr>
          <w:p w:rsidR="00301124" w:rsidRPr="00BA4F03" w:rsidRDefault="00301124" w:rsidP="001A7D73">
            <w:pPr>
              <w:jc w:val="center"/>
              <w:rPr>
                <w:b/>
                <w:bCs/>
                <w:iCs/>
                <w:szCs w:val="24"/>
              </w:rPr>
            </w:pPr>
            <w:r w:rsidRPr="00BA4F03">
              <w:rPr>
                <w:b/>
                <w:bCs/>
                <w:iCs/>
                <w:szCs w:val="24"/>
              </w:rPr>
              <w:t>Komisijas atzinums</w:t>
            </w:r>
          </w:p>
        </w:tc>
      </w:tr>
      <w:tr w:rsidR="00BA4F03" w:rsidRPr="00BA4F03" w:rsidTr="001A7D73">
        <w:tc>
          <w:tcPr>
            <w:tcW w:w="3960" w:type="dxa"/>
          </w:tcPr>
          <w:p w:rsidR="00301124" w:rsidRPr="00BA4F03" w:rsidRDefault="00301124" w:rsidP="001A7D73">
            <w:pPr>
              <w:jc w:val="both"/>
              <w:rPr>
                <w:sz w:val="22"/>
              </w:rPr>
            </w:pPr>
          </w:p>
        </w:tc>
        <w:tc>
          <w:tcPr>
            <w:tcW w:w="3960" w:type="dxa"/>
          </w:tcPr>
          <w:p w:rsidR="00301124" w:rsidRPr="00BA4F03" w:rsidRDefault="00301124" w:rsidP="00301124">
            <w:pPr>
              <w:ind w:firstLine="567"/>
              <w:jc w:val="both"/>
              <w:rPr>
                <w:sz w:val="22"/>
              </w:rPr>
            </w:pPr>
            <w:r w:rsidRPr="00BA4F03">
              <w:rPr>
                <w:sz w:val="22"/>
              </w:rPr>
              <w:t>Izdarīt Pasta likumā (Latvijas Republikas Saeimas un Ministru Kabineta Ziņotājs, 2009, 14. nr.; Latvijas Vēstnesis, 2009, 190. nr.; 2012, 100. nr.; 2013, 69. nr.; 2014, 98., 113. nr.) šādu grozījumu:</w:t>
            </w:r>
          </w:p>
        </w:tc>
        <w:tc>
          <w:tcPr>
            <w:tcW w:w="567" w:type="dxa"/>
          </w:tcPr>
          <w:p w:rsidR="00301124" w:rsidRPr="00BA4F03" w:rsidRDefault="00301124" w:rsidP="001A7D73">
            <w:pPr>
              <w:jc w:val="center"/>
              <w:rPr>
                <w:b/>
                <w:sz w:val="22"/>
              </w:rPr>
            </w:pPr>
          </w:p>
        </w:tc>
        <w:tc>
          <w:tcPr>
            <w:tcW w:w="3960" w:type="dxa"/>
          </w:tcPr>
          <w:p w:rsidR="00301124" w:rsidRDefault="00301124" w:rsidP="001A7D73">
            <w:pPr>
              <w:ind w:firstLine="567"/>
              <w:jc w:val="both"/>
              <w:rPr>
                <w:b/>
                <w:sz w:val="22"/>
                <w:u w:val="single"/>
              </w:rPr>
            </w:pPr>
          </w:p>
          <w:p w:rsidR="0088597B" w:rsidRPr="00BA4F03" w:rsidRDefault="0088597B" w:rsidP="001A7D73">
            <w:pPr>
              <w:ind w:firstLine="567"/>
              <w:jc w:val="both"/>
              <w:rPr>
                <w:b/>
                <w:sz w:val="22"/>
                <w:u w:val="single"/>
              </w:rPr>
            </w:pPr>
          </w:p>
        </w:tc>
        <w:tc>
          <w:tcPr>
            <w:tcW w:w="1420" w:type="dxa"/>
          </w:tcPr>
          <w:p w:rsidR="00301124" w:rsidRPr="00BA4F03" w:rsidRDefault="00301124" w:rsidP="001A7D73">
            <w:pPr>
              <w:jc w:val="center"/>
              <w:rPr>
                <w:sz w:val="22"/>
              </w:rPr>
            </w:pPr>
          </w:p>
        </w:tc>
        <w:tc>
          <w:tcPr>
            <w:tcW w:w="1420" w:type="dxa"/>
          </w:tcPr>
          <w:p w:rsidR="00301124" w:rsidRPr="00BA4F03" w:rsidRDefault="00301124" w:rsidP="001A7D73">
            <w:pPr>
              <w:jc w:val="center"/>
              <w:rPr>
                <w:sz w:val="22"/>
              </w:rPr>
            </w:pPr>
          </w:p>
        </w:tc>
      </w:tr>
      <w:tr w:rsidR="00BA4F03" w:rsidRPr="00BA4F03" w:rsidTr="001A7D73">
        <w:tc>
          <w:tcPr>
            <w:tcW w:w="3960" w:type="dxa"/>
          </w:tcPr>
          <w:p w:rsidR="00301124" w:rsidRPr="00BA4F03" w:rsidRDefault="00BA4F03" w:rsidP="001A7D73">
            <w:pPr>
              <w:ind w:firstLine="567"/>
              <w:jc w:val="both"/>
              <w:rPr>
                <w:b/>
                <w:sz w:val="22"/>
                <w:lang w:eastAsia="lv-LV"/>
              </w:rPr>
            </w:pPr>
            <w:r w:rsidRPr="00BA4F03">
              <w:rPr>
                <w:b/>
                <w:sz w:val="22"/>
                <w:lang w:eastAsia="lv-LV"/>
              </w:rPr>
              <w:t>Pārejas noteikumi</w:t>
            </w:r>
          </w:p>
          <w:p w:rsidR="00BA4F03" w:rsidRPr="00BA4F03" w:rsidRDefault="00BA4F03" w:rsidP="00BA4F03">
            <w:pPr>
              <w:ind w:firstLine="567"/>
              <w:jc w:val="both"/>
              <w:rPr>
                <w:rFonts w:eastAsia="Times New Roman"/>
                <w:sz w:val="22"/>
                <w:lang w:eastAsia="lv-LV"/>
              </w:rPr>
            </w:pPr>
            <w:r w:rsidRPr="00BA4F03">
              <w:rPr>
                <w:rFonts w:eastAsia="Times New Roman"/>
                <w:sz w:val="22"/>
                <w:lang w:eastAsia="lv-LV"/>
              </w:rPr>
              <w:t xml:space="preserve">12. Līdz </w:t>
            </w:r>
            <w:proofErr w:type="gramStart"/>
            <w:r w:rsidRPr="00BA4F03">
              <w:rPr>
                <w:rFonts w:eastAsia="Times New Roman"/>
                <w:sz w:val="22"/>
                <w:lang w:eastAsia="lv-LV"/>
              </w:rPr>
              <w:t>2019.gada</w:t>
            </w:r>
            <w:proofErr w:type="gramEnd"/>
            <w:r w:rsidRPr="00BA4F03">
              <w:rPr>
                <w:rFonts w:eastAsia="Times New Roman"/>
                <w:sz w:val="22"/>
                <w:lang w:eastAsia="lv-LV"/>
              </w:rPr>
              <w:t xml:space="preserve"> 31.decembrim uz abonēto preses izdevumu piegādes pakalpojumiem neattiecina universālā pasta pakalpojuma saistības. Līdz </w:t>
            </w:r>
            <w:proofErr w:type="gramStart"/>
            <w:r w:rsidRPr="00BA4F03">
              <w:rPr>
                <w:rFonts w:eastAsia="Times New Roman"/>
                <w:sz w:val="22"/>
                <w:lang w:eastAsia="lv-LV"/>
              </w:rPr>
              <w:t>2019.gada</w:t>
            </w:r>
            <w:proofErr w:type="gramEnd"/>
            <w:r w:rsidRPr="00BA4F03">
              <w:rPr>
                <w:rFonts w:eastAsia="Times New Roman"/>
                <w:sz w:val="22"/>
                <w:lang w:eastAsia="lv-LV"/>
              </w:rPr>
              <w:t xml:space="preserve"> 31.decembrim abonēto preses izdevumu piegādes pakalpojumus visā Latvijas teritorijā sniedz pasta komersants, kuram līdz 2014.gada 31.decembrim ir noteiktas saistības sniegt universālo pasta pakalpojumu, un šim pasta komersantam no valsts budžeta kompensē zaudējumus, kas radušies, sniedzot abonēto preses izdevumu piegādes pakalpojumus laikposmā no 2013.gada 1.janvāra līdz 2019.gada 31.decembrim, ievērojot nosacījumu, ka netiek kompensēti abonētās preses piegādes pakalpojumu tarifu atlaižu dēļ negūtie ienākumi. Zaudējumus, kas radušies, sniedzot abonēto preses izdevumu piegādes </w:t>
            </w:r>
            <w:r w:rsidRPr="00BA4F03">
              <w:rPr>
                <w:rFonts w:eastAsia="Times New Roman"/>
                <w:sz w:val="22"/>
                <w:lang w:eastAsia="lv-LV"/>
              </w:rPr>
              <w:lastRenderedPageBreak/>
              <w:t>pakalpojumus, veido starpība starp abonēto preses izdevumu piegādes pakalpojumu faktiskajām izmaksām un šā likuma 32.</w:t>
            </w:r>
            <w:r w:rsidRPr="00BA4F03">
              <w:rPr>
                <w:rFonts w:eastAsia="Times New Roman"/>
                <w:sz w:val="22"/>
                <w:vertAlign w:val="superscript"/>
                <w:lang w:eastAsia="lv-LV"/>
              </w:rPr>
              <w:t>2</w:t>
            </w:r>
            <w:r w:rsidRPr="00BA4F03">
              <w:rPr>
                <w:rFonts w:eastAsia="Times New Roman"/>
                <w:sz w:val="22"/>
                <w:lang w:eastAsia="lv-LV"/>
              </w:rPr>
              <w:t xml:space="preserve"> pantā minētajā kārtībā noteikto cenu. Universālā pasta pakalpojuma sniedzējs veic zaudējumu aprēķinu saskaņā ar Regulatora noteikto universālā pasta pakalpojuma tarifu aprēķināšanas metodiku un universālā pasta pakalpojuma saistību izpildes tīro izmaksu aprēķināšanas un noteikšanas metodiku un kopā ar auditēto ziņojumu iesniedz to Satiksmes ministrijai. Zaudējumus kompensē divās daļās — pirmo maksājumu veic kārtējā gadā, pamatojoties uz universālā pasta pakalpojuma sniedzēja aprēķinu, kas balstīts uz pirmā pusgada operatīvajiem datiem, kompensējot pilnā apmērā aprēķinā norādītos zaudējumus; otro maksājumu, kompensējot atlikušo zaudējumu daļu, veic nākamajā gadā pēc auditētā ziņojuma iesniegšanas Satiksmes ministrijai.</w:t>
            </w:r>
          </w:p>
          <w:p w:rsidR="00BA4F03" w:rsidRPr="00BA4F03" w:rsidRDefault="00BA4F03" w:rsidP="00BA4F03">
            <w:pPr>
              <w:ind w:firstLine="567"/>
              <w:jc w:val="both"/>
              <w:rPr>
                <w:rFonts w:eastAsia="Times New Roman"/>
                <w:i/>
                <w:vanish/>
                <w:sz w:val="20"/>
                <w:szCs w:val="20"/>
                <w:lang w:eastAsia="lv-LV"/>
              </w:rPr>
            </w:pPr>
            <w:r w:rsidRPr="00BA4F03">
              <w:rPr>
                <w:rFonts w:eastAsia="Times New Roman"/>
                <w:i/>
                <w:vanish/>
                <w:sz w:val="20"/>
                <w:szCs w:val="20"/>
                <w:lang w:eastAsia="lv-LV"/>
              </w:rPr>
              <w:t>80</w:t>
            </w:r>
          </w:p>
          <w:p w:rsidR="00BA4F03" w:rsidRPr="00BA4F03" w:rsidRDefault="00BA4F03" w:rsidP="00BA4F03">
            <w:pPr>
              <w:ind w:firstLine="567"/>
              <w:jc w:val="both"/>
              <w:rPr>
                <w:b/>
                <w:sz w:val="22"/>
                <w:lang w:eastAsia="lv-LV"/>
              </w:rPr>
            </w:pPr>
            <w:r w:rsidRPr="00BA4F03">
              <w:rPr>
                <w:rFonts w:eastAsia="Times New Roman"/>
                <w:i/>
                <w:sz w:val="20"/>
                <w:szCs w:val="20"/>
                <w:lang w:eastAsia="lv-LV"/>
              </w:rPr>
              <w:t>(21.06.2012. likuma redakcijā ar grozījumiem, kas izdarīti ar 21.03.2013., 08.05.2014. un 05.06.2014. likumu, kas stājas spēkā 12.06.2014.)</w:t>
            </w:r>
          </w:p>
        </w:tc>
        <w:tc>
          <w:tcPr>
            <w:tcW w:w="3960" w:type="dxa"/>
          </w:tcPr>
          <w:p w:rsidR="00301124" w:rsidRPr="00BA4F03" w:rsidRDefault="00301124" w:rsidP="00301124">
            <w:pPr>
              <w:ind w:firstLine="567"/>
              <w:jc w:val="both"/>
              <w:rPr>
                <w:rFonts w:eastAsia="Times New Roman"/>
                <w:sz w:val="22"/>
                <w:lang w:eastAsia="lv-LV"/>
              </w:rPr>
            </w:pPr>
            <w:r w:rsidRPr="00BA4F03">
              <w:rPr>
                <w:rFonts w:eastAsia="Times New Roman"/>
                <w:sz w:val="22"/>
                <w:lang w:eastAsia="lv-LV"/>
              </w:rPr>
              <w:lastRenderedPageBreak/>
              <w:t>Papildināt pārejas noteikumus ar 12.</w:t>
            </w:r>
            <w:r w:rsidRPr="00BA4F03">
              <w:rPr>
                <w:rFonts w:eastAsia="Times New Roman"/>
                <w:sz w:val="22"/>
                <w:vertAlign w:val="superscript"/>
                <w:lang w:eastAsia="lv-LV"/>
              </w:rPr>
              <w:t>1</w:t>
            </w:r>
            <w:r w:rsidRPr="00BA4F03">
              <w:rPr>
                <w:rFonts w:eastAsia="Times New Roman"/>
                <w:sz w:val="22"/>
                <w:lang w:eastAsia="lv-LV"/>
              </w:rPr>
              <w:t xml:space="preserve"> punktu šādā redakcijā: </w:t>
            </w:r>
          </w:p>
          <w:p w:rsidR="00301124" w:rsidRPr="00BA4F03" w:rsidRDefault="00301124" w:rsidP="00301124">
            <w:pPr>
              <w:ind w:firstLine="567"/>
              <w:jc w:val="both"/>
              <w:rPr>
                <w:rFonts w:eastAsia="Times New Roman"/>
                <w:sz w:val="22"/>
                <w:lang w:eastAsia="lv-LV"/>
              </w:rPr>
            </w:pPr>
            <w:r w:rsidRPr="00BA4F03">
              <w:rPr>
                <w:rFonts w:eastAsia="Times New Roman"/>
                <w:sz w:val="22"/>
                <w:lang w:eastAsia="lv-LV"/>
              </w:rPr>
              <w:t>"12.</w:t>
            </w:r>
            <w:r w:rsidRPr="00BA4F03">
              <w:rPr>
                <w:rFonts w:eastAsia="Times New Roman"/>
                <w:sz w:val="22"/>
                <w:vertAlign w:val="superscript"/>
                <w:lang w:eastAsia="lv-LV"/>
              </w:rPr>
              <w:t>1</w:t>
            </w:r>
            <w:r w:rsidRPr="00BA4F03">
              <w:rPr>
                <w:rFonts w:eastAsia="Times New Roman"/>
                <w:sz w:val="22"/>
                <w:lang w:eastAsia="lv-LV"/>
              </w:rPr>
              <w:t> Pārejas noteikumu 12. punktā noteikto zaudējumu kompensēšanas kārtību 2016. gadā piemēro, ievērojot nosacījumu, ka 2016. gadā nekompensē zaudējumus, kas radušies, sniedzot abonēto preses izdevumu piegādes pakalpojumus 2016. gada pirmajā pusgadā."</w:t>
            </w:r>
          </w:p>
        </w:tc>
        <w:tc>
          <w:tcPr>
            <w:tcW w:w="567" w:type="dxa"/>
          </w:tcPr>
          <w:p w:rsidR="00301124" w:rsidRPr="00BA4F03" w:rsidRDefault="00400623" w:rsidP="001A7D73">
            <w:pPr>
              <w:jc w:val="center"/>
              <w:rPr>
                <w:b/>
                <w:sz w:val="22"/>
              </w:rPr>
            </w:pPr>
            <w:r>
              <w:rPr>
                <w:b/>
                <w:sz w:val="22"/>
              </w:rPr>
              <w:t>1</w:t>
            </w:r>
          </w:p>
        </w:tc>
        <w:tc>
          <w:tcPr>
            <w:tcW w:w="3960" w:type="dxa"/>
          </w:tcPr>
          <w:p w:rsidR="0088597B" w:rsidRPr="0088597B" w:rsidRDefault="0088597B" w:rsidP="0088597B">
            <w:pPr>
              <w:pStyle w:val="BodyText"/>
              <w:ind w:firstLine="567"/>
              <w:rPr>
                <w:b/>
                <w:sz w:val="22"/>
                <w:szCs w:val="22"/>
                <w:u w:val="single"/>
              </w:rPr>
            </w:pPr>
            <w:r w:rsidRPr="0088597B">
              <w:rPr>
                <w:b/>
                <w:sz w:val="22"/>
                <w:szCs w:val="22"/>
                <w:u w:val="single"/>
              </w:rPr>
              <w:t>Juridiskais birojs</w:t>
            </w:r>
          </w:p>
          <w:p w:rsidR="0088597B" w:rsidRPr="0088597B" w:rsidRDefault="0088597B" w:rsidP="0088597B">
            <w:pPr>
              <w:pStyle w:val="BodyText"/>
              <w:ind w:firstLine="567"/>
              <w:rPr>
                <w:i/>
                <w:sz w:val="22"/>
                <w:szCs w:val="22"/>
              </w:rPr>
            </w:pPr>
            <w:r w:rsidRPr="0088597B">
              <w:rPr>
                <w:i/>
                <w:sz w:val="22"/>
                <w:szCs w:val="22"/>
              </w:rPr>
              <w:t>Likumprojektā piedāvātais Pasta likuma pārejas noteikumu 12.</w:t>
            </w:r>
            <w:r w:rsidRPr="0088597B">
              <w:rPr>
                <w:i/>
                <w:sz w:val="22"/>
                <w:szCs w:val="22"/>
                <w:vertAlign w:val="superscript"/>
              </w:rPr>
              <w:t xml:space="preserve">1 </w:t>
            </w:r>
            <w:r w:rsidRPr="0088597B">
              <w:rPr>
                <w:i/>
                <w:sz w:val="22"/>
                <w:szCs w:val="22"/>
              </w:rPr>
              <w:t>punkts paredz, ka "pārejas noteikumu 12. punktā noteikto zaudējumu kompensēšanas kārtību 2016. gadā piemēro, ievērojot nosacījumu, ka 2016. gadā nekompensē zaudējumus, kas radušies, sniedzot abonēto preses izdevumu piegādes pakalpojumus 2016. gada pirmajā pusgadā."</w:t>
            </w:r>
          </w:p>
          <w:p w:rsidR="0088597B" w:rsidRPr="0088597B" w:rsidRDefault="0088597B" w:rsidP="0088597B">
            <w:pPr>
              <w:pStyle w:val="BodyText"/>
              <w:ind w:firstLine="567"/>
              <w:rPr>
                <w:i/>
                <w:sz w:val="22"/>
                <w:szCs w:val="22"/>
              </w:rPr>
            </w:pPr>
            <w:r w:rsidRPr="0088597B">
              <w:rPr>
                <w:i/>
                <w:sz w:val="22"/>
                <w:szCs w:val="22"/>
              </w:rPr>
              <w:t xml:space="preserve"> No tiesiskās noteiktības viedokļa raugoties, Saeimas Juridiskais birojs aicina komisiju papildināt piedāvāto pārejas noteikumu ar normu, kas noteiktu, kad tiek kompensēti pasta komersantam zaudējumi par </w:t>
            </w:r>
            <w:proofErr w:type="gramStart"/>
            <w:r w:rsidRPr="0088597B">
              <w:rPr>
                <w:i/>
                <w:sz w:val="22"/>
                <w:szCs w:val="22"/>
              </w:rPr>
              <w:t>2016.gada</w:t>
            </w:r>
            <w:proofErr w:type="gramEnd"/>
            <w:r w:rsidRPr="0088597B">
              <w:rPr>
                <w:i/>
                <w:sz w:val="22"/>
                <w:szCs w:val="22"/>
              </w:rPr>
              <w:t xml:space="preserve"> pirmo pusgadu.</w:t>
            </w:r>
          </w:p>
          <w:p w:rsidR="0088597B" w:rsidRDefault="0088597B" w:rsidP="0088597B">
            <w:pPr>
              <w:pStyle w:val="BodyText"/>
              <w:ind w:firstLine="567"/>
              <w:rPr>
                <w:sz w:val="22"/>
                <w:szCs w:val="22"/>
              </w:rPr>
            </w:pPr>
            <w:r w:rsidRPr="0088597B">
              <w:rPr>
                <w:i/>
                <w:sz w:val="22"/>
                <w:szCs w:val="22"/>
              </w:rPr>
              <w:t xml:space="preserve"> Līdz ar to atbilstoši likumprojekta anotācijā norādītajai informācijai par zaudējumu kompensēšanu, sniedzot abonēto preses izdevumu piegādes </w:t>
            </w:r>
            <w:r w:rsidRPr="0088597B">
              <w:rPr>
                <w:i/>
                <w:sz w:val="22"/>
                <w:szCs w:val="22"/>
              </w:rPr>
              <w:lastRenderedPageBreak/>
              <w:t xml:space="preserve">pakalpojumus </w:t>
            </w:r>
            <w:proofErr w:type="gramStart"/>
            <w:r w:rsidRPr="0088597B">
              <w:rPr>
                <w:i/>
                <w:sz w:val="22"/>
                <w:szCs w:val="22"/>
              </w:rPr>
              <w:t>2016.gada</w:t>
            </w:r>
            <w:proofErr w:type="gramEnd"/>
            <w:r w:rsidRPr="0088597B">
              <w:rPr>
                <w:i/>
                <w:sz w:val="22"/>
                <w:szCs w:val="22"/>
              </w:rPr>
              <w:t xml:space="preserve"> pirmajā pusgadā</w:t>
            </w:r>
            <w:r w:rsidRPr="0088597B">
              <w:rPr>
                <w:sz w:val="22"/>
                <w:szCs w:val="22"/>
              </w:rPr>
              <w:t xml:space="preserve">, </w:t>
            </w:r>
          </w:p>
          <w:p w:rsidR="0088597B" w:rsidRPr="0088597B" w:rsidRDefault="0088597B" w:rsidP="0088597B">
            <w:pPr>
              <w:pStyle w:val="BodyText"/>
              <w:ind w:firstLine="567"/>
              <w:rPr>
                <w:sz w:val="22"/>
                <w:szCs w:val="22"/>
              </w:rPr>
            </w:pPr>
            <w:r w:rsidRPr="0088597B">
              <w:rPr>
                <w:sz w:val="22"/>
                <w:szCs w:val="22"/>
              </w:rPr>
              <w:t>piedāvājām papildināt 1.lasījumā atbalstīto pārejas noteikumu 12.</w:t>
            </w:r>
            <w:r w:rsidRPr="0088597B">
              <w:rPr>
                <w:sz w:val="22"/>
                <w:szCs w:val="22"/>
                <w:vertAlign w:val="superscript"/>
              </w:rPr>
              <w:t>1</w:t>
            </w:r>
            <w:r w:rsidRPr="0088597B">
              <w:rPr>
                <w:sz w:val="22"/>
                <w:szCs w:val="22"/>
              </w:rPr>
              <w:t xml:space="preserve"> punktu ar teikumu šādā redakcijā:</w:t>
            </w:r>
          </w:p>
          <w:p w:rsidR="0088597B" w:rsidRPr="0088597B" w:rsidRDefault="0088597B" w:rsidP="0088597B">
            <w:pPr>
              <w:pStyle w:val="BodyText"/>
              <w:ind w:firstLine="567"/>
              <w:rPr>
                <w:sz w:val="22"/>
                <w:szCs w:val="22"/>
              </w:rPr>
            </w:pPr>
            <w:r w:rsidRPr="0088597B">
              <w:rPr>
                <w:sz w:val="22"/>
                <w:szCs w:val="22"/>
              </w:rPr>
              <w:t>„</w:t>
            </w:r>
            <w:r w:rsidRPr="0088597B">
              <w:rPr>
                <w:sz w:val="22"/>
                <w:szCs w:val="22"/>
                <w:u w:val="single"/>
              </w:rPr>
              <w:t xml:space="preserve">Minētos zaudējumus kompensē </w:t>
            </w:r>
            <w:proofErr w:type="gramStart"/>
            <w:r w:rsidRPr="0088597B">
              <w:rPr>
                <w:sz w:val="22"/>
                <w:szCs w:val="22"/>
                <w:u w:val="single"/>
              </w:rPr>
              <w:t>2017.gadā</w:t>
            </w:r>
            <w:proofErr w:type="gramEnd"/>
            <w:r w:rsidRPr="0088597B">
              <w:rPr>
                <w:sz w:val="22"/>
                <w:szCs w:val="22"/>
                <w:u w:val="single"/>
              </w:rPr>
              <w:t xml:space="preserve"> pēc auditētā ziņojuma iesniegšanas Satiksmes ministrijai</w:t>
            </w:r>
            <w:r w:rsidRPr="0088597B">
              <w:rPr>
                <w:sz w:val="22"/>
                <w:szCs w:val="22"/>
              </w:rPr>
              <w:t>.”</w:t>
            </w:r>
          </w:p>
          <w:p w:rsidR="00301124" w:rsidRPr="00BA4F03" w:rsidRDefault="00301124" w:rsidP="001A7D73">
            <w:pPr>
              <w:ind w:firstLine="567"/>
              <w:jc w:val="both"/>
              <w:rPr>
                <w:sz w:val="22"/>
              </w:rPr>
            </w:pPr>
          </w:p>
        </w:tc>
        <w:tc>
          <w:tcPr>
            <w:tcW w:w="1420" w:type="dxa"/>
          </w:tcPr>
          <w:p w:rsidR="00301124" w:rsidRPr="00BA4F03" w:rsidRDefault="00301124" w:rsidP="001A7D73">
            <w:pPr>
              <w:jc w:val="center"/>
              <w:rPr>
                <w:sz w:val="22"/>
              </w:rPr>
            </w:pPr>
          </w:p>
        </w:tc>
        <w:tc>
          <w:tcPr>
            <w:tcW w:w="1420" w:type="dxa"/>
          </w:tcPr>
          <w:p w:rsidR="00301124" w:rsidRPr="00BA4F03" w:rsidRDefault="00301124" w:rsidP="001A7D73">
            <w:pPr>
              <w:jc w:val="center"/>
              <w:rPr>
                <w:sz w:val="22"/>
              </w:rPr>
            </w:pPr>
          </w:p>
        </w:tc>
      </w:tr>
      <w:tr w:rsidR="00301124" w:rsidRPr="00BA4F03" w:rsidTr="001A7D73">
        <w:tc>
          <w:tcPr>
            <w:tcW w:w="3960" w:type="dxa"/>
          </w:tcPr>
          <w:p w:rsidR="00301124" w:rsidRPr="00BA4F03" w:rsidRDefault="00301124" w:rsidP="001A7D73">
            <w:pPr>
              <w:ind w:firstLine="567"/>
              <w:jc w:val="both"/>
              <w:rPr>
                <w:b/>
                <w:bCs/>
                <w:sz w:val="22"/>
                <w:lang w:eastAsia="lv-LV"/>
              </w:rPr>
            </w:pPr>
          </w:p>
        </w:tc>
        <w:tc>
          <w:tcPr>
            <w:tcW w:w="3960" w:type="dxa"/>
          </w:tcPr>
          <w:p w:rsidR="00301124" w:rsidRPr="00BA4F03" w:rsidRDefault="00301124" w:rsidP="00301124">
            <w:pPr>
              <w:ind w:firstLine="567"/>
              <w:jc w:val="both"/>
              <w:rPr>
                <w:rFonts w:eastAsia="Times New Roman"/>
                <w:sz w:val="22"/>
                <w:lang w:eastAsia="lv-LV"/>
              </w:rPr>
            </w:pPr>
            <w:r w:rsidRPr="00BA4F03">
              <w:rPr>
                <w:sz w:val="22"/>
              </w:rPr>
              <w:t>Likums stājas spēkā 2016. gada 1. janvārī.</w:t>
            </w:r>
          </w:p>
        </w:tc>
        <w:tc>
          <w:tcPr>
            <w:tcW w:w="567" w:type="dxa"/>
          </w:tcPr>
          <w:p w:rsidR="00301124" w:rsidRPr="00BA4F03" w:rsidRDefault="00301124" w:rsidP="001A7D73">
            <w:pPr>
              <w:jc w:val="center"/>
              <w:rPr>
                <w:b/>
                <w:sz w:val="22"/>
              </w:rPr>
            </w:pPr>
          </w:p>
        </w:tc>
        <w:tc>
          <w:tcPr>
            <w:tcW w:w="3960" w:type="dxa"/>
          </w:tcPr>
          <w:p w:rsidR="00301124" w:rsidRPr="00BA4F03" w:rsidRDefault="00301124" w:rsidP="001A7D73">
            <w:pPr>
              <w:ind w:firstLine="567"/>
              <w:jc w:val="both"/>
              <w:rPr>
                <w:sz w:val="22"/>
              </w:rPr>
            </w:pPr>
          </w:p>
        </w:tc>
        <w:tc>
          <w:tcPr>
            <w:tcW w:w="1420" w:type="dxa"/>
          </w:tcPr>
          <w:p w:rsidR="00301124" w:rsidRPr="00BA4F03" w:rsidRDefault="00301124" w:rsidP="001A7D73">
            <w:pPr>
              <w:jc w:val="center"/>
              <w:rPr>
                <w:sz w:val="22"/>
              </w:rPr>
            </w:pPr>
          </w:p>
        </w:tc>
        <w:tc>
          <w:tcPr>
            <w:tcW w:w="1420" w:type="dxa"/>
          </w:tcPr>
          <w:p w:rsidR="00301124" w:rsidRPr="00BA4F03" w:rsidRDefault="00301124" w:rsidP="001A7D73">
            <w:pPr>
              <w:jc w:val="center"/>
              <w:rPr>
                <w:sz w:val="22"/>
              </w:rPr>
            </w:pPr>
          </w:p>
        </w:tc>
      </w:tr>
    </w:tbl>
    <w:p w:rsidR="00301124" w:rsidRPr="00BA4F03" w:rsidRDefault="00301124" w:rsidP="00301124">
      <w:pPr>
        <w:rPr>
          <w:sz w:val="22"/>
        </w:rPr>
      </w:pPr>
    </w:p>
    <w:p w:rsidR="00301124" w:rsidRPr="00BA4F03" w:rsidRDefault="00301124" w:rsidP="00301124"/>
    <w:p w:rsidR="00301124" w:rsidRPr="00BA4F03" w:rsidRDefault="00301124" w:rsidP="00301124"/>
    <w:p w:rsidR="007A4333" w:rsidRPr="00BA4F03" w:rsidRDefault="007A4333"/>
    <w:sectPr w:rsidR="007A4333" w:rsidRPr="00BA4F03" w:rsidSect="00C71E28">
      <w:footerReference w:type="even" r:id="rId6"/>
      <w:footerReference w:type="default" r:id="rId7"/>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54" w:rsidRDefault="00BA4F03">
      <w:r>
        <w:separator/>
      </w:r>
    </w:p>
  </w:endnote>
  <w:endnote w:type="continuationSeparator" w:id="0">
    <w:p w:rsidR="00663354" w:rsidRDefault="00B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01124"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BC2214"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01124"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214">
      <w:rPr>
        <w:rStyle w:val="PageNumber"/>
        <w:noProof/>
      </w:rPr>
      <w:t>2</w:t>
    </w:r>
    <w:r>
      <w:rPr>
        <w:rStyle w:val="PageNumber"/>
      </w:rPr>
      <w:fldChar w:fldCharType="end"/>
    </w:r>
  </w:p>
  <w:p w:rsidR="00C71E28" w:rsidRDefault="00BC2214" w:rsidP="00C71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54" w:rsidRDefault="00BA4F03">
      <w:r>
        <w:separator/>
      </w:r>
    </w:p>
  </w:footnote>
  <w:footnote w:type="continuationSeparator" w:id="0">
    <w:p w:rsidR="00663354" w:rsidRDefault="00BA4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24"/>
    <w:rsid w:val="00301124"/>
    <w:rsid w:val="00400623"/>
    <w:rsid w:val="00405509"/>
    <w:rsid w:val="004D7945"/>
    <w:rsid w:val="00663354"/>
    <w:rsid w:val="007A4333"/>
    <w:rsid w:val="0088597B"/>
    <w:rsid w:val="00AA55B8"/>
    <w:rsid w:val="00BA4F03"/>
    <w:rsid w:val="00BC2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61142-E9F8-4037-9FDE-F0DF9FB8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24"/>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301124"/>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124"/>
    <w:rPr>
      <w:rFonts w:ascii="Times New Roman" w:eastAsia="Times New Roman" w:hAnsi="Times New Roman" w:cs="Times New Roman"/>
      <w:b/>
      <w:bCs/>
      <w:iCs/>
      <w:sz w:val="24"/>
      <w:szCs w:val="24"/>
    </w:rPr>
  </w:style>
  <w:style w:type="paragraph" w:styleId="Title">
    <w:name w:val="Title"/>
    <w:basedOn w:val="Normal"/>
    <w:link w:val="TitleChar"/>
    <w:qFormat/>
    <w:rsid w:val="00301124"/>
    <w:pPr>
      <w:jc w:val="center"/>
    </w:pPr>
    <w:rPr>
      <w:rFonts w:eastAsia="Times New Roman"/>
      <w:b/>
      <w:szCs w:val="20"/>
    </w:rPr>
  </w:style>
  <w:style w:type="character" w:customStyle="1" w:styleId="TitleChar">
    <w:name w:val="Title Char"/>
    <w:basedOn w:val="DefaultParagraphFont"/>
    <w:link w:val="Title"/>
    <w:rsid w:val="00301124"/>
    <w:rPr>
      <w:rFonts w:ascii="Times New Roman" w:eastAsia="Times New Roman" w:hAnsi="Times New Roman" w:cs="Times New Roman"/>
      <w:b/>
      <w:sz w:val="24"/>
      <w:szCs w:val="20"/>
    </w:rPr>
  </w:style>
  <w:style w:type="paragraph" w:styleId="Footer">
    <w:name w:val="footer"/>
    <w:basedOn w:val="Normal"/>
    <w:link w:val="FooterChar"/>
    <w:rsid w:val="00301124"/>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01124"/>
    <w:rPr>
      <w:rFonts w:ascii="Times New Roman" w:eastAsia="Times New Roman" w:hAnsi="Times New Roman" w:cs="Times New Roman"/>
      <w:sz w:val="24"/>
      <w:szCs w:val="24"/>
      <w:lang w:val="en-GB"/>
    </w:rPr>
  </w:style>
  <w:style w:type="character" w:styleId="PageNumber">
    <w:name w:val="page number"/>
    <w:rsid w:val="00301124"/>
  </w:style>
  <w:style w:type="paragraph" w:customStyle="1" w:styleId="tv2132">
    <w:name w:val="tv2132"/>
    <w:basedOn w:val="Normal"/>
    <w:rsid w:val="00BA4F03"/>
    <w:pPr>
      <w:spacing w:line="360" w:lineRule="auto"/>
      <w:ind w:firstLine="300"/>
    </w:pPr>
    <w:rPr>
      <w:rFonts w:eastAsia="Times New Roman"/>
      <w:color w:val="414142"/>
      <w:sz w:val="20"/>
      <w:szCs w:val="20"/>
      <w:lang w:eastAsia="lv-LV"/>
    </w:rPr>
  </w:style>
  <w:style w:type="paragraph" w:styleId="BodyText">
    <w:name w:val="Body Text"/>
    <w:basedOn w:val="Normal"/>
    <w:link w:val="BodyTextChar"/>
    <w:unhideWhenUsed/>
    <w:rsid w:val="0088597B"/>
    <w:pPr>
      <w:jc w:val="both"/>
    </w:pPr>
    <w:rPr>
      <w:rFonts w:eastAsia="Times New Roman"/>
      <w:szCs w:val="24"/>
    </w:rPr>
  </w:style>
  <w:style w:type="character" w:customStyle="1" w:styleId="BodyTextChar">
    <w:name w:val="Body Text Char"/>
    <w:basedOn w:val="DefaultParagraphFont"/>
    <w:link w:val="BodyText"/>
    <w:rsid w:val="008859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3087">
      <w:bodyDiv w:val="1"/>
      <w:marLeft w:val="0"/>
      <w:marRight w:val="0"/>
      <w:marTop w:val="0"/>
      <w:marBottom w:val="0"/>
      <w:divBdr>
        <w:top w:val="none" w:sz="0" w:space="0" w:color="auto"/>
        <w:left w:val="none" w:sz="0" w:space="0" w:color="auto"/>
        <w:bottom w:val="none" w:sz="0" w:space="0" w:color="auto"/>
        <w:right w:val="none" w:sz="0" w:space="0" w:color="auto"/>
      </w:divBdr>
      <w:divsChild>
        <w:div w:id="1518276816">
          <w:marLeft w:val="0"/>
          <w:marRight w:val="0"/>
          <w:marTop w:val="0"/>
          <w:marBottom w:val="0"/>
          <w:divBdr>
            <w:top w:val="none" w:sz="0" w:space="0" w:color="auto"/>
            <w:left w:val="none" w:sz="0" w:space="0" w:color="auto"/>
            <w:bottom w:val="none" w:sz="0" w:space="0" w:color="auto"/>
            <w:right w:val="none" w:sz="0" w:space="0" w:color="auto"/>
          </w:divBdr>
          <w:divsChild>
            <w:div w:id="14144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37074">
      <w:bodyDiv w:val="1"/>
      <w:marLeft w:val="0"/>
      <w:marRight w:val="0"/>
      <w:marTop w:val="0"/>
      <w:marBottom w:val="0"/>
      <w:divBdr>
        <w:top w:val="none" w:sz="0" w:space="0" w:color="auto"/>
        <w:left w:val="none" w:sz="0" w:space="0" w:color="auto"/>
        <w:bottom w:val="none" w:sz="0" w:space="0" w:color="auto"/>
        <w:right w:val="none" w:sz="0" w:space="0" w:color="auto"/>
      </w:divBdr>
      <w:divsChild>
        <w:div w:id="707489630">
          <w:marLeft w:val="0"/>
          <w:marRight w:val="0"/>
          <w:marTop w:val="0"/>
          <w:marBottom w:val="0"/>
          <w:divBdr>
            <w:top w:val="none" w:sz="0" w:space="0" w:color="auto"/>
            <w:left w:val="none" w:sz="0" w:space="0" w:color="auto"/>
            <w:bottom w:val="none" w:sz="0" w:space="0" w:color="auto"/>
            <w:right w:val="none" w:sz="0" w:space="0" w:color="auto"/>
          </w:divBdr>
          <w:divsChild>
            <w:div w:id="1952349868">
              <w:marLeft w:val="0"/>
              <w:marRight w:val="0"/>
              <w:marTop w:val="0"/>
              <w:marBottom w:val="0"/>
              <w:divBdr>
                <w:top w:val="none" w:sz="0" w:space="0" w:color="auto"/>
                <w:left w:val="none" w:sz="0" w:space="0" w:color="auto"/>
                <w:bottom w:val="none" w:sz="0" w:space="0" w:color="auto"/>
                <w:right w:val="none" w:sz="0" w:space="0" w:color="auto"/>
              </w:divBdr>
              <w:divsChild>
                <w:div w:id="1009022624">
                  <w:marLeft w:val="0"/>
                  <w:marRight w:val="0"/>
                  <w:marTop w:val="0"/>
                  <w:marBottom w:val="0"/>
                  <w:divBdr>
                    <w:top w:val="none" w:sz="0" w:space="0" w:color="auto"/>
                    <w:left w:val="none" w:sz="0" w:space="0" w:color="auto"/>
                    <w:bottom w:val="none" w:sz="0" w:space="0" w:color="auto"/>
                    <w:right w:val="none" w:sz="0" w:space="0" w:color="auto"/>
                  </w:divBdr>
                  <w:divsChild>
                    <w:div w:id="376776935">
                      <w:marLeft w:val="0"/>
                      <w:marRight w:val="0"/>
                      <w:marTop w:val="0"/>
                      <w:marBottom w:val="0"/>
                      <w:divBdr>
                        <w:top w:val="none" w:sz="0" w:space="0" w:color="auto"/>
                        <w:left w:val="none" w:sz="0" w:space="0" w:color="auto"/>
                        <w:bottom w:val="none" w:sz="0" w:space="0" w:color="auto"/>
                        <w:right w:val="none" w:sz="0" w:space="0" w:color="auto"/>
                      </w:divBdr>
                      <w:divsChild>
                        <w:div w:id="1034773273">
                          <w:marLeft w:val="0"/>
                          <w:marRight w:val="0"/>
                          <w:marTop w:val="0"/>
                          <w:marBottom w:val="0"/>
                          <w:divBdr>
                            <w:top w:val="none" w:sz="0" w:space="0" w:color="auto"/>
                            <w:left w:val="none" w:sz="0" w:space="0" w:color="auto"/>
                            <w:bottom w:val="none" w:sz="0" w:space="0" w:color="auto"/>
                            <w:right w:val="none" w:sz="0" w:space="0" w:color="auto"/>
                          </w:divBdr>
                          <w:divsChild>
                            <w:div w:id="505050906">
                              <w:marLeft w:val="0"/>
                              <w:marRight w:val="0"/>
                              <w:marTop w:val="0"/>
                              <w:marBottom w:val="0"/>
                              <w:divBdr>
                                <w:top w:val="none" w:sz="0" w:space="0" w:color="auto"/>
                                <w:left w:val="none" w:sz="0" w:space="0" w:color="auto"/>
                                <w:bottom w:val="none" w:sz="0" w:space="0" w:color="auto"/>
                                <w:right w:val="none" w:sz="0" w:space="0" w:color="auto"/>
                              </w:divBdr>
                              <w:divsChild>
                                <w:div w:id="10656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2240</Words>
  <Characters>1277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B-782</cp:lastModifiedBy>
  <cp:revision>2</cp:revision>
  <dcterms:created xsi:type="dcterms:W3CDTF">2015-11-10T12:07:00Z</dcterms:created>
  <dcterms:modified xsi:type="dcterms:W3CDTF">2015-11-10T12:07:00Z</dcterms:modified>
</cp:coreProperties>
</file>