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6D" w:rsidRPr="007C0D83" w:rsidRDefault="00725B6D" w:rsidP="00725B6D">
      <w:pPr>
        <w:pStyle w:val="Title"/>
        <w:jc w:val="left"/>
        <w:rPr>
          <w:b w:val="0"/>
          <w:szCs w:val="24"/>
        </w:rPr>
      </w:pPr>
      <w:bookmarkStart w:id="0" w:name="_GoBack"/>
      <w:bookmarkEnd w:id="0"/>
      <w:r w:rsidRPr="007C0D83">
        <w:rPr>
          <w:b w:val="0"/>
          <w:szCs w:val="24"/>
        </w:rPr>
        <w:t>Budžeta un finanšu (nodokļu) komisija</w:t>
      </w:r>
    </w:p>
    <w:p w:rsidR="00725B6D" w:rsidRPr="007C0D83" w:rsidRDefault="00725B6D" w:rsidP="00725B6D">
      <w:pPr>
        <w:pStyle w:val="Title"/>
        <w:jc w:val="right"/>
        <w:rPr>
          <w:b w:val="0"/>
          <w:szCs w:val="24"/>
        </w:rPr>
      </w:pPr>
      <w:r w:rsidRPr="007C0D83">
        <w:rPr>
          <w:b w:val="0"/>
          <w:szCs w:val="24"/>
        </w:rPr>
        <w:tab/>
        <w:t>Likumprojekts (steidzams) otrajam lasījumam</w:t>
      </w:r>
    </w:p>
    <w:p w:rsidR="00725B6D" w:rsidRPr="007C0D83" w:rsidRDefault="00725B6D" w:rsidP="00725B6D">
      <w:pPr>
        <w:tabs>
          <w:tab w:val="center" w:pos="7568"/>
          <w:tab w:val="left" w:pos="10455"/>
        </w:tabs>
        <w:jc w:val="center"/>
        <w:rPr>
          <w:b/>
          <w:i/>
          <w:sz w:val="26"/>
          <w:szCs w:val="26"/>
        </w:rPr>
      </w:pPr>
      <w:r w:rsidRPr="007C0D83">
        <w:rPr>
          <w:b/>
          <w:bCs/>
          <w:sz w:val="26"/>
          <w:szCs w:val="26"/>
        </w:rPr>
        <w:t xml:space="preserve">Grozījums Maksājumu pakalpojumu un elektroniskās naudas likumā </w:t>
      </w:r>
    </w:p>
    <w:p w:rsidR="00725B6D" w:rsidRPr="007C0D83" w:rsidRDefault="00725B6D" w:rsidP="00725B6D">
      <w:pPr>
        <w:tabs>
          <w:tab w:val="center" w:pos="7568"/>
          <w:tab w:val="left" w:pos="10455"/>
        </w:tabs>
        <w:jc w:val="center"/>
        <w:rPr>
          <w:b/>
          <w:i/>
          <w:sz w:val="26"/>
          <w:szCs w:val="26"/>
        </w:rPr>
      </w:pPr>
      <w:r w:rsidRPr="007C0D83">
        <w:rPr>
          <w:b/>
          <w:i/>
          <w:sz w:val="26"/>
          <w:szCs w:val="26"/>
        </w:rPr>
        <w:t>(Nr.370/Lp12)</w:t>
      </w:r>
    </w:p>
    <w:p w:rsidR="00725B6D" w:rsidRPr="007C0D83" w:rsidRDefault="00725B6D" w:rsidP="00725B6D">
      <w:pPr>
        <w:tabs>
          <w:tab w:val="center" w:pos="7568"/>
          <w:tab w:val="left" w:pos="10455"/>
        </w:tabs>
        <w:rPr>
          <w:b/>
          <w:i/>
          <w:sz w:val="22"/>
        </w:rPr>
      </w:pPr>
      <w:r w:rsidRPr="007C0D83">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7C0D83" w:rsidRPr="007C0D83" w:rsidTr="001A7D73">
        <w:tc>
          <w:tcPr>
            <w:tcW w:w="3960" w:type="dxa"/>
            <w:vAlign w:val="center"/>
          </w:tcPr>
          <w:p w:rsidR="00725B6D" w:rsidRPr="007C0D83" w:rsidRDefault="00725B6D" w:rsidP="001A7D73">
            <w:pPr>
              <w:jc w:val="center"/>
              <w:rPr>
                <w:b/>
                <w:bCs/>
                <w:iCs/>
                <w:szCs w:val="24"/>
              </w:rPr>
            </w:pPr>
            <w:r w:rsidRPr="007C0D83">
              <w:rPr>
                <w:b/>
                <w:bCs/>
                <w:iCs/>
                <w:szCs w:val="24"/>
              </w:rPr>
              <w:t>Spēkā esošā redakcija</w:t>
            </w:r>
          </w:p>
        </w:tc>
        <w:tc>
          <w:tcPr>
            <w:tcW w:w="3960" w:type="dxa"/>
            <w:vAlign w:val="center"/>
          </w:tcPr>
          <w:p w:rsidR="00725B6D" w:rsidRPr="007C0D83" w:rsidRDefault="00725B6D" w:rsidP="001A7D73">
            <w:pPr>
              <w:pStyle w:val="Heading1"/>
            </w:pPr>
            <w:r w:rsidRPr="007C0D83">
              <w:t>Pirmā lasījuma redakcija</w:t>
            </w:r>
          </w:p>
        </w:tc>
        <w:tc>
          <w:tcPr>
            <w:tcW w:w="567" w:type="dxa"/>
            <w:vAlign w:val="center"/>
          </w:tcPr>
          <w:p w:rsidR="00725B6D" w:rsidRPr="007C0D83" w:rsidRDefault="00725B6D" w:rsidP="001A7D73">
            <w:pPr>
              <w:jc w:val="center"/>
              <w:rPr>
                <w:b/>
                <w:bCs/>
                <w:iCs/>
                <w:szCs w:val="24"/>
              </w:rPr>
            </w:pPr>
            <w:r w:rsidRPr="007C0D83">
              <w:rPr>
                <w:b/>
                <w:bCs/>
                <w:iCs/>
                <w:szCs w:val="24"/>
              </w:rPr>
              <w:t>Nr.</w:t>
            </w:r>
          </w:p>
        </w:tc>
        <w:tc>
          <w:tcPr>
            <w:tcW w:w="3960" w:type="dxa"/>
            <w:vAlign w:val="center"/>
          </w:tcPr>
          <w:p w:rsidR="00725B6D" w:rsidRPr="007C0D83" w:rsidRDefault="00725B6D" w:rsidP="001A7D73">
            <w:pPr>
              <w:ind w:firstLine="10"/>
              <w:jc w:val="center"/>
              <w:rPr>
                <w:b/>
                <w:bCs/>
                <w:iCs/>
                <w:szCs w:val="24"/>
              </w:rPr>
            </w:pPr>
            <w:r w:rsidRPr="007C0D83">
              <w:rPr>
                <w:b/>
                <w:bCs/>
                <w:iCs/>
                <w:szCs w:val="24"/>
              </w:rPr>
              <w:t>Priekšlikumi</w:t>
            </w:r>
          </w:p>
          <w:p w:rsidR="00725B6D" w:rsidRPr="007C0D83" w:rsidRDefault="00725B6D" w:rsidP="00441BBA">
            <w:pPr>
              <w:jc w:val="center"/>
              <w:rPr>
                <w:b/>
                <w:bCs/>
                <w:iCs/>
                <w:szCs w:val="24"/>
              </w:rPr>
            </w:pPr>
            <w:r w:rsidRPr="007C0D83">
              <w:rPr>
                <w:b/>
                <w:bCs/>
                <w:iCs/>
                <w:szCs w:val="24"/>
              </w:rPr>
              <w:t>(</w:t>
            </w:r>
            <w:r w:rsidR="00441BBA">
              <w:rPr>
                <w:b/>
                <w:bCs/>
                <w:iCs/>
                <w:szCs w:val="24"/>
              </w:rPr>
              <w:t>8</w:t>
            </w:r>
            <w:r w:rsidRPr="007C0D83">
              <w:rPr>
                <w:b/>
                <w:bCs/>
                <w:iCs/>
                <w:szCs w:val="24"/>
              </w:rPr>
              <w:t>)</w:t>
            </w:r>
          </w:p>
        </w:tc>
        <w:tc>
          <w:tcPr>
            <w:tcW w:w="1420" w:type="dxa"/>
            <w:vAlign w:val="center"/>
          </w:tcPr>
          <w:p w:rsidR="00725B6D" w:rsidRPr="007C0D83" w:rsidRDefault="00725B6D" w:rsidP="001A7D73">
            <w:pPr>
              <w:jc w:val="center"/>
              <w:rPr>
                <w:b/>
                <w:bCs/>
                <w:iCs/>
                <w:szCs w:val="24"/>
              </w:rPr>
            </w:pPr>
            <w:r w:rsidRPr="007C0D83">
              <w:rPr>
                <w:b/>
                <w:bCs/>
                <w:iCs/>
                <w:szCs w:val="24"/>
              </w:rPr>
              <w:t>Ministru kabineta atzinums</w:t>
            </w:r>
          </w:p>
        </w:tc>
        <w:tc>
          <w:tcPr>
            <w:tcW w:w="1420" w:type="dxa"/>
            <w:vAlign w:val="center"/>
          </w:tcPr>
          <w:p w:rsidR="00725B6D" w:rsidRPr="007C0D83" w:rsidRDefault="00725B6D" w:rsidP="001A7D73">
            <w:pPr>
              <w:jc w:val="center"/>
              <w:rPr>
                <w:b/>
                <w:bCs/>
                <w:iCs/>
                <w:szCs w:val="24"/>
              </w:rPr>
            </w:pPr>
            <w:r w:rsidRPr="007C0D83">
              <w:rPr>
                <w:b/>
                <w:bCs/>
                <w:iCs/>
                <w:szCs w:val="24"/>
              </w:rPr>
              <w:t>Komisijas atzinums</w:t>
            </w:r>
          </w:p>
        </w:tc>
      </w:tr>
      <w:tr w:rsidR="007C0D83" w:rsidRPr="007C0D83" w:rsidTr="001A7D73">
        <w:tc>
          <w:tcPr>
            <w:tcW w:w="3960" w:type="dxa"/>
          </w:tcPr>
          <w:p w:rsidR="00725B6D" w:rsidRPr="007C0D83" w:rsidRDefault="00725B6D" w:rsidP="001A7D73">
            <w:pPr>
              <w:jc w:val="both"/>
              <w:rPr>
                <w:sz w:val="22"/>
              </w:rPr>
            </w:pPr>
          </w:p>
        </w:tc>
        <w:tc>
          <w:tcPr>
            <w:tcW w:w="3960" w:type="dxa"/>
          </w:tcPr>
          <w:p w:rsidR="00725B6D" w:rsidRPr="007C0D83" w:rsidRDefault="00725B6D" w:rsidP="00725B6D">
            <w:pPr>
              <w:ind w:firstLine="567"/>
              <w:jc w:val="both"/>
              <w:rPr>
                <w:sz w:val="22"/>
              </w:rPr>
            </w:pPr>
            <w:r w:rsidRPr="007C0D83">
              <w:rPr>
                <w:sz w:val="22"/>
              </w:rPr>
              <w:t>Izdarīt Maksājumu pakalpojumu un elektroniskās naudas likumā (Latvijas Vēstnesis, 2010, 43. nr.; 2011, 52., 85. nr.; 2013, 128., 187. nr.; 2014, 92. nr.) šādu grozījumu:</w:t>
            </w:r>
          </w:p>
        </w:tc>
        <w:tc>
          <w:tcPr>
            <w:tcW w:w="567" w:type="dxa"/>
          </w:tcPr>
          <w:p w:rsidR="00725B6D" w:rsidRPr="007C0D83" w:rsidRDefault="00441BBA" w:rsidP="001A7D73">
            <w:pPr>
              <w:jc w:val="center"/>
              <w:rPr>
                <w:b/>
                <w:sz w:val="22"/>
              </w:rPr>
            </w:pPr>
            <w:r>
              <w:rPr>
                <w:b/>
                <w:sz w:val="22"/>
              </w:rPr>
              <w:t>1</w:t>
            </w:r>
          </w:p>
        </w:tc>
        <w:tc>
          <w:tcPr>
            <w:tcW w:w="3960" w:type="dxa"/>
          </w:tcPr>
          <w:p w:rsidR="00725B6D" w:rsidRDefault="004822CA" w:rsidP="001A7D73">
            <w:pPr>
              <w:ind w:firstLine="567"/>
              <w:jc w:val="both"/>
              <w:rPr>
                <w:b/>
                <w:sz w:val="22"/>
                <w:u w:val="single"/>
              </w:rPr>
            </w:pPr>
            <w:r>
              <w:rPr>
                <w:b/>
                <w:sz w:val="22"/>
                <w:u w:val="single"/>
              </w:rPr>
              <w:t>Juridiskais birojs</w:t>
            </w:r>
          </w:p>
          <w:p w:rsidR="004822CA" w:rsidRPr="004822CA" w:rsidRDefault="004822CA" w:rsidP="004822CA">
            <w:pPr>
              <w:ind w:firstLine="567"/>
              <w:jc w:val="both"/>
              <w:rPr>
                <w:i/>
                <w:sz w:val="22"/>
              </w:rPr>
            </w:pPr>
            <w:r w:rsidRPr="004822CA">
              <w:rPr>
                <w:i/>
                <w:sz w:val="22"/>
              </w:rPr>
              <w:t>Ņemot vērā to, ka likumprojekts „Grozījums Maksājumu pakalpojumu un elektroniskās naudas likumā” (reģ. nr. 370/Lp12) ir saistīts ar likumprojektu „Grozījumi likumā „Par nodokļiem un nodevām”” (reģ. nr. 384/Lp12) un likumprojektu „Grozījumi Kredītiestāžu likumā” (reģ. nr. 371/Lp12), ierosinām šos likumprojektus Budžeta un finanšu (nodokļu) komisijā apspriest un vērtēt kopsakarā. Ja tiek atbalstīti priekšlikumi par likumprojekta „Grozījumi likumā „Par nodokļiem un nodevām”” (reģ. nr. 384/Lp12) 22.</w:t>
            </w:r>
            <w:r w:rsidRPr="004822CA">
              <w:rPr>
                <w:i/>
                <w:sz w:val="22"/>
                <w:vertAlign w:val="superscript"/>
              </w:rPr>
              <w:t>1</w:t>
            </w:r>
            <w:r w:rsidRPr="004822CA">
              <w:rPr>
                <w:i/>
                <w:sz w:val="22"/>
              </w:rPr>
              <w:t>pantu, tādā gadījumā ierosinām tos saskaņot ar likumprojektu „Grozījums Maksājumu pakalpojumu un elektroniskās naudas likumā” (44.</w:t>
            </w:r>
            <w:r w:rsidRPr="004822CA">
              <w:rPr>
                <w:i/>
                <w:sz w:val="22"/>
                <w:vertAlign w:val="superscript"/>
              </w:rPr>
              <w:t>1</w:t>
            </w:r>
            <w:r w:rsidRPr="004822CA">
              <w:rPr>
                <w:i/>
                <w:sz w:val="22"/>
              </w:rPr>
              <w:t xml:space="preserve"> panta 1.</w:t>
            </w:r>
            <w:r w:rsidRPr="004822CA">
              <w:rPr>
                <w:i/>
                <w:sz w:val="22"/>
                <w:vertAlign w:val="superscript"/>
              </w:rPr>
              <w:t>1</w:t>
            </w:r>
            <w:r w:rsidRPr="004822CA">
              <w:rPr>
                <w:i/>
                <w:sz w:val="22"/>
              </w:rPr>
              <w:t xml:space="preserve"> daļa) un likumprojektu „Grozījumi Kredītiestāžu likumā” (reģ. nr. 371/Lp12).</w:t>
            </w:r>
          </w:p>
        </w:tc>
        <w:tc>
          <w:tcPr>
            <w:tcW w:w="1420" w:type="dxa"/>
          </w:tcPr>
          <w:p w:rsidR="00725B6D" w:rsidRPr="007C0D83" w:rsidRDefault="00725B6D" w:rsidP="001A7D73">
            <w:pPr>
              <w:jc w:val="center"/>
              <w:rPr>
                <w:sz w:val="22"/>
              </w:rPr>
            </w:pPr>
          </w:p>
        </w:tc>
        <w:tc>
          <w:tcPr>
            <w:tcW w:w="1420" w:type="dxa"/>
          </w:tcPr>
          <w:p w:rsidR="00725B6D" w:rsidRPr="007C0D83" w:rsidRDefault="00725B6D" w:rsidP="001A7D73">
            <w:pPr>
              <w:jc w:val="center"/>
              <w:rPr>
                <w:sz w:val="22"/>
              </w:rPr>
            </w:pPr>
          </w:p>
        </w:tc>
      </w:tr>
      <w:tr w:rsidR="004822CA" w:rsidRPr="007C0D83" w:rsidTr="001A7D73">
        <w:tc>
          <w:tcPr>
            <w:tcW w:w="3960" w:type="dxa"/>
          </w:tcPr>
          <w:p w:rsidR="004822CA" w:rsidRPr="004822CA" w:rsidRDefault="004822CA" w:rsidP="00737A80">
            <w:pPr>
              <w:ind w:firstLine="567"/>
              <w:jc w:val="both"/>
              <w:rPr>
                <w:b/>
                <w:bCs/>
                <w:sz w:val="22"/>
              </w:rPr>
            </w:pPr>
            <w:r w:rsidRPr="00737A80">
              <w:rPr>
                <w:b/>
                <w:bCs/>
                <w:sz w:val="22"/>
              </w:rPr>
              <w:t>2.pants.</w:t>
            </w:r>
            <w:r w:rsidR="00737A80">
              <w:rPr>
                <w:b/>
                <w:bCs/>
                <w:sz w:val="22"/>
              </w:rPr>
              <w:t xml:space="preserve"> </w:t>
            </w:r>
            <w:r w:rsidRPr="004822CA">
              <w:rPr>
                <w:rFonts w:eastAsia="Times New Roman"/>
                <w:color w:val="414142"/>
                <w:sz w:val="22"/>
                <w:lang w:eastAsia="lv-LV"/>
              </w:rPr>
              <w:t>(2) Maksājumu pakalpojumus var sniegt:</w:t>
            </w:r>
          </w:p>
          <w:p w:rsidR="004822CA" w:rsidRPr="007C0D83" w:rsidRDefault="004822CA" w:rsidP="00737A80">
            <w:pPr>
              <w:ind w:firstLine="567"/>
              <w:jc w:val="both"/>
              <w:rPr>
                <w:b/>
                <w:bCs/>
                <w:sz w:val="22"/>
              </w:rPr>
            </w:pPr>
            <w:r w:rsidRPr="00737A80">
              <w:rPr>
                <w:rFonts w:eastAsia="Times New Roman"/>
                <w:sz w:val="22"/>
                <w:lang w:eastAsia="lv-LV"/>
              </w:rPr>
              <w:t>6) tiešās pārvaldes iestāde vai atvasināta publiska persona, kad tā veic darbības, kas nav publiskas personas darbības;</w:t>
            </w:r>
          </w:p>
        </w:tc>
        <w:tc>
          <w:tcPr>
            <w:tcW w:w="3960" w:type="dxa"/>
          </w:tcPr>
          <w:p w:rsidR="004822CA" w:rsidRPr="007C0D83" w:rsidRDefault="004822CA" w:rsidP="00725B6D">
            <w:pPr>
              <w:ind w:firstLine="567"/>
              <w:contextualSpacing/>
              <w:jc w:val="both"/>
              <w:rPr>
                <w:rFonts w:eastAsia="Times New Roman"/>
                <w:sz w:val="22"/>
                <w:lang w:eastAsia="lv-LV"/>
              </w:rPr>
            </w:pPr>
          </w:p>
        </w:tc>
        <w:tc>
          <w:tcPr>
            <w:tcW w:w="567" w:type="dxa"/>
          </w:tcPr>
          <w:p w:rsidR="004822CA" w:rsidRPr="007C0D83" w:rsidRDefault="00441BBA" w:rsidP="001A7D73">
            <w:pPr>
              <w:jc w:val="center"/>
              <w:rPr>
                <w:b/>
                <w:sz w:val="22"/>
              </w:rPr>
            </w:pPr>
            <w:r>
              <w:rPr>
                <w:b/>
                <w:sz w:val="22"/>
              </w:rPr>
              <w:t>2</w:t>
            </w:r>
          </w:p>
        </w:tc>
        <w:tc>
          <w:tcPr>
            <w:tcW w:w="3960" w:type="dxa"/>
          </w:tcPr>
          <w:p w:rsidR="00737A80" w:rsidRDefault="00737A80" w:rsidP="00737A80">
            <w:pPr>
              <w:ind w:firstLine="567"/>
              <w:jc w:val="both"/>
              <w:rPr>
                <w:b/>
                <w:sz w:val="22"/>
                <w:u w:val="single"/>
              </w:rPr>
            </w:pPr>
            <w:r>
              <w:rPr>
                <w:b/>
                <w:sz w:val="22"/>
                <w:u w:val="single"/>
              </w:rPr>
              <w:t>Juridiskais birojs</w:t>
            </w:r>
          </w:p>
          <w:p w:rsidR="004822CA" w:rsidRPr="00737A80" w:rsidRDefault="00737A80" w:rsidP="00737A80">
            <w:pPr>
              <w:ind w:firstLine="567"/>
              <w:jc w:val="both"/>
              <w:rPr>
                <w:i/>
                <w:sz w:val="22"/>
              </w:rPr>
            </w:pPr>
            <w:r w:rsidRPr="00737A80">
              <w:rPr>
                <w:i/>
                <w:sz w:val="22"/>
              </w:rPr>
              <w:t xml:space="preserve">Juridiskais birojs konstatē, ka likumprojektam „Grozījums Maksājumu pakalpojumu un elektroniskās naudas likumā” (reģ. nr. 370/Lp12) pievienotajā sākotnējās ietekmes novērtējuma ziņojuma (anotācijas) II. sadaļā ir minēti </w:t>
            </w:r>
            <w:r w:rsidRPr="00737A80">
              <w:rPr>
                <w:i/>
                <w:sz w:val="22"/>
              </w:rPr>
              <w:lastRenderedPageBreak/>
              <w:t xml:space="preserve">maksājumu pakalpojumu sniedzēji, uz kuriem attiecināms likumprojekta tiesiskais regulējums. To skaitā ir arī Maksājumu pakalpojumu un elektroniskās naudas likuma 2. panta otrās daļas 6.punktā noteiktie maksājumu pakalpojumu sniedzēji- „tiešās pārvaldes iestādes vai atvasināta publiska persona, kad tā veic darbības, kas nav publiskas personas darbības”. </w:t>
            </w:r>
            <w:r w:rsidRPr="00737A80">
              <w:rPr>
                <w:b/>
                <w:i/>
                <w:sz w:val="22"/>
              </w:rPr>
              <w:t>Savukārt likumprojekta tekstā šie subjekti nav nosaukti.</w:t>
            </w:r>
          </w:p>
        </w:tc>
        <w:tc>
          <w:tcPr>
            <w:tcW w:w="1420" w:type="dxa"/>
          </w:tcPr>
          <w:p w:rsidR="004822CA" w:rsidRPr="007C0D83" w:rsidRDefault="004822CA" w:rsidP="001A7D73">
            <w:pPr>
              <w:jc w:val="center"/>
              <w:rPr>
                <w:sz w:val="22"/>
              </w:rPr>
            </w:pPr>
          </w:p>
        </w:tc>
        <w:tc>
          <w:tcPr>
            <w:tcW w:w="1420" w:type="dxa"/>
          </w:tcPr>
          <w:p w:rsidR="004822CA" w:rsidRPr="007C0D83" w:rsidRDefault="004822CA" w:rsidP="001A7D73">
            <w:pPr>
              <w:jc w:val="center"/>
              <w:rPr>
                <w:sz w:val="22"/>
              </w:rPr>
            </w:pPr>
          </w:p>
        </w:tc>
      </w:tr>
      <w:tr w:rsidR="007C0D83" w:rsidRPr="007C0D83" w:rsidTr="001A7D73">
        <w:tc>
          <w:tcPr>
            <w:tcW w:w="3960" w:type="dxa"/>
          </w:tcPr>
          <w:p w:rsidR="00725B6D" w:rsidRPr="007C0D83" w:rsidRDefault="007C0D83" w:rsidP="001A7D73">
            <w:pPr>
              <w:ind w:firstLine="567"/>
              <w:jc w:val="both"/>
              <w:rPr>
                <w:sz w:val="22"/>
                <w:lang w:eastAsia="lv-LV"/>
              </w:rPr>
            </w:pPr>
            <w:r w:rsidRPr="007C0D83">
              <w:rPr>
                <w:b/>
                <w:bCs/>
                <w:sz w:val="22"/>
              </w:rPr>
              <w:lastRenderedPageBreak/>
              <w:t>44.</w:t>
            </w:r>
            <w:r w:rsidRPr="007C0D83">
              <w:rPr>
                <w:b/>
                <w:bCs/>
                <w:sz w:val="22"/>
                <w:vertAlign w:val="superscript"/>
              </w:rPr>
              <w:t>1</w:t>
            </w:r>
            <w:r w:rsidRPr="007C0D83">
              <w:rPr>
                <w:b/>
                <w:bCs/>
                <w:sz w:val="22"/>
              </w:rPr>
              <w:t xml:space="preserve"> pants.</w:t>
            </w:r>
            <w:r w:rsidRPr="007C0D83">
              <w:rPr>
                <w:sz w:val="22"/>
              </w:rPr>
              <w:t xml:space="preserve"> (1) Atverot un slēdzot juridisko personu — Latvijas Republikas rezidentu, kā arī nerezidentu pastāvīgo pārstāvniecību Latvijā — maksājumu kontus, maksājumu pakalpojumu sniedzējiem, kas noteikti šā likuma 2.panta otrās daļas 2., 3., 4. un 7.punktā, ir pienākums sniegt Valsts ieņēmumu dienestam šādu informāciju: klienta nosaukums (firma), vienotais reģistrācijas kods, maksājuma konta numurs un valūta. Kārtību un termiņu, kādā maksājumu pakalpojumu sniedzēji sniedz informāciju Valsts ieņēmumu dienestam par juridisko personu — Latvijas Republikas rezidentu, kā arī nerezidentu pastāvīgo pārstāvniecību Latvijā — atvērtajiem un slēgtajiem maksājumu kontiem, nosaka Ministru kabinets.</w:t>
            </w:r>
          </w:p>
        </w:tc>
        <w:tc>
          <w:tcPr>
            <w:tcW w:w="3960" w:type="dxa"/>
          </w:tcPr>
          <w:p w:rsidR="00725B6D" w:rsidRPr="007C0D83" w:rsidRDefault="00725B6D" w:rsidP="00725B6D">
            <w:pPr>
              <w:ind w:firstLine="567"/>
              <w:contextualSpacing/>
              <w:jc w:val="both"/>
              <w:rPr>
                <w:rFonts w:eastAsia="Times New Roman"/>
                <w:sz w:val="22"/>
                <w:lang w:eastAsia="lv-LV"/>
              </w:rPr>
            </w:pPr>
            <w:r w:rsidRPr="007C0D83">
              <w:rPr>
                <w:rFonts w:eastAsia="Times New Roman"/>
                <w:sz w:val="22"/>
                <w:lang w:eastAsia="lv-LV"/>
              </w:rPr>
              <w:t>Papildināt likuma 44.</w:t>
            </w:r>
            <w:r w:rsidRPr="007C0D83">
              <w:rPr>
                <w:rFonts w:eastAsia="Times New Roman"/>
                <w:sz w:val="22"/>
                <w:vertAlign w:val="superscript"/>
                <w:lang w:eastAsia="lv-LV"/>
              </w:rPr>
              <w:t>1 </w:t>
            </w:r>
            <w:r w:rsidRPr="007C0D83">
              <w:rPr>
                <w:rFonts w:eastAsia="Times New Roman"/>
                <w:sz w:val="22"/>
                <w:lang w:eastAsia="lv-LV"/>
              </w:rPr>
              <w:t>pantu ar 1.</w:t>
            </w:r>
            <w:r w:rsidRPr="007C0D83">
              <w:rPr>
                <w:rFonts w:eastAsia="Times New Roman"/>
                <w:sz w:val="22"/>
                <w:vertAlign w:val="superscript"/>
                <w:lang w:eastAsia="lv-LV"/>
              </w:rPr>
              <w:t>1 </w:t>
            </w:r>
            <w:r w:rsidRPr="007C0D83">
              <w:rPr>
                <w:rFonts w:eastAsia="Times New Roman"/>
                <w:sz w:val="22"/>
                <w:lang w:eastAsia="lv-LV"/>
              </w:rPr>
              <w:t>daļu šādā redakcijā:</w:t>
            </w:r>
          </w:p>
          <w:p w:rsidR="00725B6D" w:rsidRPr="007C0D83" w:rsidRDefault="00725B6D" w:rsidP="00725B6D">
            <w:pPr>
              <w:ind w:firstLine="567"/>
              <w:jc w:val="both"/>
              <w:rPr>
                <w:rFonts w:eastAsia="Times New Roman"/>
                <w:sz w:val="22"/>
                <w:lang w:eastAsia="lv-LV"/>
              </w:rPr>
            </w:pPr>
            <w:r w:rsidRPr="007C0D83">
              <w:rPr>
                <w:rFonts w:eastAsia="Times New Roman"/>
                <w:sz w:val="22"/>
                <w:lang w:eastAsia="lv-LV"/>
              </w:rPr>
              <w:t>"(1</w:t>
            </w:r>
            <w:r w:rsidRPr="007C0D83">
              <w:rPr>
                <w:rFonts w:eastAsia="Times New Roman"/>
                <w:sz w:val="22"/>
                <w:vertAlign w:val="superscript"/>
                <w:lang w:eastAsia="lv-LV"/>
              </w:rPr>
              <w:t>1</w:t>
            </w:r>
            <w:r w:rsidRPr="007C0D83">
              <w:rPr>
                <w:rFonts w:eastAsia="Times New Roman"/>
                <w:sz w:val="22"/>
                <w:lang w:eastAsia="lv-LV"/>
              </w:rPr>
              <w:t>) Maksājumu pakalpojumu sniedzējiem, kas noteikti šā likuma 2. panta otrās daļas 2., 3., 4., 7. un 8. punktā, ir pienākums sniegt</w:t>
            </w:r>
            <w:r w:rsidRPr="007C0D83">
              <w:rPr>
                <w:sz w:val="22"/>
                <w:lang w:eastAsia="lv-LV"/>
              </w:rPr>
              <w:t xml:space="preserve"> </w:t>
            </w:r>
            <w:r w:rsidRPr="007C0D83">
              <w:rPr>
                <w:rFonts w:eastAsia="Times New Roman"/>
                <w:sz w:val="22"/>
                <w:lang w:eastAsia="lv-LV"/>
              </w:rPr>
              <w:t xml:space="preserve">Valsts ieņēmumu dienestam informāciju par </w:t>
            </w:r>
            <w:r w:rsidRPr="002C24FE">
              <w:rPr>
                <w:rFonts w:eastAsia="Times New Roman"/>
                <w:sz w:val="22"/>
                <w:u w:val="single"/>
                <w:lang w:eastAsia="lv-LV"/>
              </w:rPr>
              <w:t>Latvijas Republikas rezidentu veiktiem aizdomīgiem darījumiem (nodokļu jomā)</w:t>
            </w:r>
            <w:r w:rsidRPr="007C0D83">
              <w:rPr>
                <w:rFonts w:eastAsia="Times New Roman"/>
                <w:sz w:val="22"/>
                <w:lang w:eastAsia="lv-LV"/>
              </w:rPr>
              <w:t xml:space="preserve"> likuma "Par nodokļiem un nodevām" izpratnē un minētajā likumā </w:t>
            </w:r>
            <w:r w:rsidRPr="00737A80">
              <w:rPr>
                <w:rFonts w:eastAsia="Times New Roman"/>
                <w:sz w:val="22"/>
                <w:u w:val="single"/>
                <w:lang w:eastAsia="lv-LV"/>
              </w:rPr>
              <w:t>noteiktajā kārtībā un apjomā</w:t>
            </w:r>
            <w:r w:rsidRPr="007C0D83">
              <w:rPr>
                <w:sz w:val="22"/>
                <w:lang w:eastAsia="lv-LV"/>
              </w:rPr>
              <w:t>.</w:t>
            </w:r>
            <w:r w:rsidRPr="007C0D83">
              <w:rPr>
                <w:rFonts w:eastAsia="Times New Roman"/>
                <w:sz w:val="22"/>
                <w:lang w:eastAsia="lv-LV"/>
              </w:rPr>
              <w:t>"</w:t>
            </w:r>
          </w:p>
        </w:tc>
        <w:tc>
          <w:tcPr>
            <w:tcW w:w="567" w:type="dxa"/>
          </w:tcPr>
          <w:p w:rsidR="00725B6D" w:rsidRDefault="00441BBA" w:rsidP="001A7D73">
            <w:pPr>
              <w:jc w:val="center"/>
              <w:rPr>
                <w:b/>
                <w:sz w:val="22"/>
              </w:rPr>
            </w:pPr>
            <w:r>
              <w:rPr>
                <w:b/>
                <w:sz w:val="22"/>
              </w:rPr>
              <w:t>3</w:t>
            </w: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r>
              <w:rPr>
                <w:b/>
                <w:sz w:val="22"/>
              </w:rPr>
              <w:t>4</w:t>
            </w: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r>
              <w:rPr>
                <w:b/>
                <w:sz w:val="22"/>
              </w:rPr>
              <w:t>5</w:t>
            </w: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r>
              <w:rPr>
                <w:b/>
                <w:sz w:val="22"/>
              </w:rPr>
              <w:t>6</w:t>
            </w: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Pr="007C0D83" w:rsidRDefault="00441BBA" w:rsidP="00441BBA">
            <w:pPr>
              <w:jc w:val="center"/>
              <w:rPr>
                <w:b/>
                <w:sz w:val="22"/>
              </w:rPr>
            </w:pPr>
          </w:p>
        </w:tc>
        <w:tc>
          <w:tcPr>
            <w:tcW w:w="3960" w:type="dxa"/>
          </w:tcPr>
          <w:p w:rsidR="004822CA" w:rsidRDefault="004822CA" w:rsidP="004822CA">
            <w:pPr>
              <w:ind w:firstLine="567"/>
              <w:jc w:val="both"/>
              <w:rPr>
                <w:b/>
                <w:sz w:val="22"/>
                <w:u w:val="single"/>
              </w:rPr>
            </w:pPr>
            <w:r>
              <w:rPr>
                <w:b/>
                <w:sz w:val="22"/>
                <w:u w:val="single"/>
              </w:rPr>
              <w:lastRenderedPageBreak/>
              <w:t>Juridiskais birojs</w:t>
            </w:r>
          </w:p>
          <w:p w:rsidR="004822CA" w:rsidRPr="004822CA" w:rsidRDefault="004822CA" w:rsidP="004822CA">
            <w:pPr>
              <w:ind w:firstLine="567"/>
              <w:jc w:val="both"/>
              <w:rPr>
                <w:i/>
                <w:sz w:val="22"/>
              </w:rPr>
            </w:pPr>
            <w:r w:rsidRPr="004822CA">
              <w:rPr>
                <w:i/>
                <w:sz w:val="22"/>
              </w:rPr>
              <w:t>Grozījums Maksājumu pakalpojumu un elektroniskās naudas likumā (likuma 44.</w:t>
            </w:r>
            <w:r w:rsidRPr="004822CA">
              <w:rPr>
                <w:i/>
                <w:sz w:val="22"/>
                <w:vertAlign w:val="superscript"/>
              </w:rPr>
              <w:t>1</w:t>
            </w:r>
            <w:r w:rsidRPr="004822CA">
              <w:rPr>
                <w:i/>
                <w:sz w:val="22"/>
              </w:rPr>
              <w:t xml:space="preserve"> panta papildinājums ar 1.</w:t>
            </w:r>
            <w:r w:rsidRPr="004822CA">
              <w:rPr>
                <w:i/>
                <w:sz w:val="22"/>
                <w:vertAlign w:val="superscript"/>
              </w:rPr>
              <w:t>1</w:t>
            </w:r>
            <w:r w:rsidRPr="004822CA">
              <w:rPr>
                <w:i/>
                <w:sz w:val="22"/>
              </w:rPr>
              <w:t xml:space="preserve"> daļu) paredz, ka maksājumu pakalpojumu sniedzējiem, kas noteikti šā likuma 2. panta otrās daļas 2., 3., 4., 7. un 8. punktā, ir pienākums sniegt Valsts ieņēmumu dienestam informāciju par Latvijas Republikas rezidentu veiktiem aizdomīgiem darījumiem (nodokļu jomā) likuma „Par nodokļiem un nodevām" izpratnē un minētajā likumā noteiktajā kārtībā un apjomā”.</w:t>
            </w:r>
          </w:p>
          <w:p w:rsidR="004822CA" w:rsidRPr="004822CA" w:rsidRDefault="004822CA" w:rsidP="004822CA">
            <w:pPr>
              <w:ind w:firstLine="567"/>
              <w:jc w:val="both"/>
              <w:rPr>
                <w:i/>
                <w:sz w:val="22"/>
              </w:rPr>
            </w:pPr>
            <w:r w:rsidRPr="004822CA">
              <w:rPr>
                <w:i/>
                <w:sz w:val="22"/>
              </w:rPr>
              <w:t xml:space="preserve">Vēršam uzmanību uz to, ka likumprojektā iekļautā tiesību norma nosaka maksājumu pakalpojumu sniedzēju rīcībā esošo tādu neizpaužamo ziņu (Maksājumu pakalpojumu un elektroniskās naudas likuma 43.pants) sniegšanu, kas ietver arī personas datus. Saskaņā ar Latvijas Republikas Satversmes 96.pantu ikvienam ir tiesības uz privātās dzīves neaizskaramību, un </w:t>
            </w:r>
            <w:r w:rsidRPr="004822CA">
              <w:rPr>
                <w:i/>
                <w:sz w:val="22"/>
              </w:rPr>
              <w:lastRenderedPageBreak/>
              <w:t>privātās dzīves neaizskaramība ir saistīta ar personu datu aizsardzības nodrošināšanu (Latvijas Republikas Satversmes komentāri, Rīga, 2011, 241.- 248.lpp.). Savukārt Eiropas Savienības pamattiesību hartas 8.pantā īpaši izdalītas personas tiesības uz datu aizsardzību, nosakot, ka personas „dati ir jāapstrādā godprātīgi, noteiktiem mērķiem un ar attiecīgās personas piekrišanu vai ar citu likumīgu pamatojumu, kas paredzēts tiesību aktos”.</w:t>
            </w:r>
          </w:p>
          <w:p w:rsidR="004822CA" w:rsidRPr="004822CA" w:rsidRDefault="004822CA" w:rsidP="004822CA">
            <w:pPr>
              <w:ind w:firstLine="567"/>
              <w:jc w:val="both"/>
              <w:rPr>
                <w:i/>
                <w:sz w:val="22"/>
              </w:rPr>
            </w:pPr>
            <w:r w:rsidRPr="004822CA">
              <w:rPr>
                <w:i/>
                <w:sz w:val="22"/>
              </w:rPr>
              <w:t xml:space="preserve">Satversmes 116.pants nosaka, ka ierobežot Satversmes 96.pantā noteiktās personas tiesības var „likumā paredzētajos gadījumos, lai aizsargātu citu cilvēku tiesības, demokrātisko valsts iekārtu, sabiedrības drošību, labklājību un tikumību”. Satversmes tiesa ir norādījusi, ka, lai konstatētu, vai ierobežojumi pamattiesību īstenošanai atbilst Satversmes 116.panta prasībām, nepieciešams noskaidrot, vai </w:t>
            </w:r>
          </w:p>
          <w:p w:rsidR="004822CA" w:rsidRPr="004822CA" w:rsidRDefault="004822CA" w:rsidP="004822CA">
            <w:pPr>
              <w:ind w:firstLine="567"/>
              <w:jc w:val="both"/>
              <w:rPr>
                <w:i/>
                <w:sz w:val="22"/>
              </w:rPr>
            </w:pPr>
            <w:r w:rsidRPr="004822CA">
              <w:rPr>
                <w:i/>
                <w:sz w:val="22"/>
              </w:rPr>
              <w:t>1) pamattiesību ierobežojums ir noteikts ar pienācīgā kārtā pieņemtu likumu;</w:t>
            </w:r>
          </w:p>
          <w:p w:rsidR="004822CA" w:rsidRPr="004822CA" w:rsidRDefault="004822CA" w:rsidP="004822CA">
            <w:pPr>
              <w:ind w:firstLine="567"/>
              <w:jc w:val="both"/>
              <w:rPr>
                <w:i/>
                <w:sz w:val="22"/>
              </w:rPr>
            </w:pPr>
            <w:r w:rsidRPr="004822CA">
              <w:rPr>
                <w:i/>
                <w:sz w:val="22"/>
              </w:rPr>
              <w:t>2) ierobežojumam ir leģitīms mērķis;</w:t>
            </w:r>
          </w:p>
          <w:p w:rsidR="004822CA" w:rsidRPr="004822CA" w:rsidRDefault="004822CA" w:rsidP="004822CA">
            <w:pPr>
              <w:ind w:firstLine="567"/>
              <w:jc w:val="both"/>
              <w:rPr>
                <w:i/>
                <w:sz w:val="22"/>
              </w:rPr>
            </w:pPr>
            <w:r w:rsidRPr="004822CA">
              <w:rPr>
                <w:i/>
                <w:sz w:val="22"/>
              </w:rPr>
              <w:t>3) ierobežojums ir samērīgs ar tā leģitīmo mērķi. (Satversmes tiesas lieta Nr. 2000-03-01; lieta Nr. 2001-16-01; lieta Nr.2002-01-03).</w:t>
            </w:r>
          </w:p>
          <w:p w:rsidR="004822CA" w:rsidRPr="004822CA" w:rsidRDefault="004822CA" w:rsidP="004822CA">
            <w:pPr>
              <w:ind w:firstLine="567"/>
              <w:jc w:val="both"/>
              <w:rPr>
                <w:i/>
                <w:sz w:val="22"/>
              </w:rPr>
            </w:pPr>
            <w:r w:rsidRPr="004822CA">
              <w:rPr>
                <w:i/>
                <w:sz w:val="22"/>
              </w:rPr>
              <w:t xml:space="preserve">Savukārt Fizisko personu datu aizsardzības likums (10., 13.pants), lai aizsargātu datu subjekta intereses, paredz personas datu apstrādi tikai atbilstoši </w:t>
            </w:r>
            <w:r w:rsidRPr="004822CA">
              <w:rPr>
                <w:i/>
                <w:sz w:val="22"/>
              </w:rPr>
              <w:lastRenderedPageBreak/>
              <w:t>paredzētajam mērķim un tam nepieciešamajā apjomā.</w:t>
            </w:r>
          </w:p>
          <w:p w:rsidR="004822CA" w:rsidRPr="004822CA" w:rsidRDefault="004822CA" w:rsidP="004822CA">
            <w:pPr>
              <w:ind w:firstLine="567"/>
              <w:jc w:val="both"/>
              <w:rPr>
                <w:i/>
                <w:sz w:val="22"/>
              </w:rPr>
            </w:pPr>
            <w:r w:rsidRPr="004822CA">
              <w:rPr>
                <w:i/>
                <w:sz w:val="22"/>
              </w:rPr>
              <w:t>Likumprojekta „Grozījums Maksājumu pakalpojumu un elektroniskās naudas likumā” sākotnējās ietekmes novērtējuma ziņojumā (anotācijā) fizisko personu datu aizsardzības aspekti un likumprojekta atbilstība Latvijas Republikas Satversmes 96.pantam nav analizēti, kā arī nav sniegta atsauce uz likumprojekta „Grozījumi likumā „Par nodokļiem un nodevām”” (reģ. nr. 384/Lp12) sākotnējās ietekmes novērtējuma ziņojumu (anotāciju). Ir tikai norāde, ka likumprojekts „Grozījums Maksājumu pakalpojumu un elektroniskās naudas likumā”, likumprojekts „Grozījumi likumā „Par nodokļiem un nodevām”” (reģ. nr. 384/Lp12) un likumprojekts „Grozījumi „Kredītiestāžu likumā” (reģ. nr. 371/Lp12) izskatāmi vienlaikus.</w:t>
            </w:r>
          </w:p>
          <w:p w:rsidR="004822CA" w:rsidRPr="004822CA" w:rsidRDefault="004822CA" w:rsidP="004822CA">
            <w:pPr>
              <w:ind w:firstLine="567"/>
              <w:jc w:val="both"/>
              <w:rPr>
                <w:i/>
                <w:sz w:val="22"/>
              </w:rPr>
            </w:pPr>
            <w:r w:rsidRPr="004822CA">
              <w:rPr>
                <w:i/>
                <w:sz w:val="22"/>
              </w:rPr>
              <w:t>Iepazīstoties ar likumprojekta “Grozījumi likumā “Par nodokļiem un nodevām” (reģ. nr. 384/Lp12) 22.</w:t>
            </w:r>
            <w:r w:rsidRPr="004822CA">
              <w:rPr>
                <w:i/>
                <w:sz w:val="22"/>
                <w:vertAlign w:val="superscript"/>
              </w:rPr>
              <w:t>1</w:t>
            </w:r>
            <w:r w:rsidRPr="004822CA">
              <w:rPr>
                <w:i/>
                <w:sz w:val="22"/>
              </w:rPr>
              <w:t xml:space="preserve"> panta redakciju un likumprojektam pievienoto sākotnējās ietekmes novērtējuma ziņojumu (anotāciju), Juridiskais birojs konstatē, ka 22.</w:t>
            </w:r>
            <w:r w:rsidRPr="004822CA">
              <w:rPr>
                <w:i/>
                <w:sz w:val="22"/>
                <w:vertAlign w:val="superscript"/>
              </w:rPr>
              <w:t>1</w:t>
            </w:r>
            <w:r w:rsidRPr="004822CA">
              <w:rPr>
                <w:i/>
                <w:sz w:val="22"/>
              </w:rPr>
              <w:t xml:space="preserve"> pantā nav norādīts skaidrs mērķis, kādam ziņas ir nepieciešamas, kā arī sniedzamo ziņu apjoms. Kā noprotams no likumprojektam pievienotās sākotnējās ietekmes novērtējuma ziņojuma (anotācijas), informācija, kas jau ir maksājumu iestāžu rīcībā un kas saskaņā ar Noziedzīgi iegūtu līdzekļu legalizācijas </w:t>
            </w:r>
            <w:r w:rsidRPr="004822CA">
              <w:rPr>
                <w:i/>
                <w:sz w:val="22"/>
              </w:rPr>
              <w:lastRenderedPageBreak/>
              <w:t>un terorisma finansēšanas novēršanas likumu tiek nodota Noziedzīgi iegūtu līdzekļu legalizācijas novēršanas dienestam (turpmāk- Kontroles dienests), paredzēts izmantot sākotnēji neparedzētiem mērķiem- likumpārkāpumu par izvairīšanos no nodokļu maksāšanas atklāšanai un novēršanai.</w:t>
            </w:r>
          </w:p>
          <w:p w:rsidR="004822CA" w:rsidRPr="004822CA" w:rsidRDefault="004822CA" w:rsidP="004822CA">
            <w:pPr>
              <w:ind w:firstLine="567"/>
              <w:jc w:val="both"/>
              <w:rPr>
                <w:i/>
                <w:sz w:val="22"/>
              </w:rPr>
            </w:pPr>
            <w:r w:rsidRPr="004822CA">
              <w:rPr>
                <w:i/>
                <w:sz w:val="22"/>
              </w:rPr>
              <w:t>Likumprojekta “Grozījumi likumā “Par nodokļiem un nodevām”” (reģ. nr. 384/Lp12) 22.</w:t>
            </w:r>
            <w:r w:rsidRPr="004822CA">
              <w:rPr>
                <w:i/>
                <w:sz w:val="22"/>
                <w:vertAlign w:val="superscript"/>
              </w:rPr>
              <w:t>1</w:t>
            </w:r>
            <w:r w:rsidRPr="004822CA">
              <w:rPr>
                <w:i/>
                <w:sz w:val="22"/>
              </w:rPr>
              <w:t xml:space="preserve"> pantā būtu nosakāms arī saņemtās informācijas uzglabāšanas ilgums, kā arī precizējamas redakcijas attiecībā uz lietvedības nosacījumiem, kredītiestādēm un maksājumu iestādēm piemērojamiem īpašajiem nosacījumiem (22.</w:t>
            </w:r>
            <w:r w:rsidRPr="004822CA">
              <w:rPr>
                <w:i/>
                <w:sz w:val="22"/>
                <w:vertAlign w:val="superscript"/>
              </w:rPr>
              <w:t>1</w:t>
            </w:r>
            <w:r w:rsidRPr="004822CA">
              <w:rPr>
                <w:i/>
                <w:sz w:val="22"/>
              </w:rPr>
              <w:t>panta trešā daļa) un tiesiskās aizsardzības mehānismiem, pildot likuma prasības (22.</w:t>
            </w:r>
            <w:r w:rsidRPr="004822CA">
              <w:rPr>
                <w:i/>
                <w:sz w:val="22"/>
                <w:vertAlign w:val="superscript"/>
              </w:rPr>
              <w:t>1</w:t>
            </w:r>
            <w:r w:rsidRPr="004822CA">
              <w:rPr>
                <w:i/>
                <w:sz w:val="22"/>
              </w:rPr>
              <w:t xml:space="preserve"> panta piektā daļa).</w:t>
            </w:r>
          </w:p>
          <w:p w:rsidR="004822CA" w:rsidRPr="004822CA" w:rsidRDefault="004822CA" w:rsidP="004822CA">
            <w:pPr>
              <w:ind w:firstLine="567"/>
              <w:jc w:val="both"/>
              <w:rPr>
                <w:i/>
                <w:sz w:val="22"/>
              </w:rPr>
            </w:pPr>
            <w:r w:rsidRPr="004822CA">
              <w:rPr>
                <w:i/>
                <w:sz w:val="22"/>
              </w:rPr>
              <w:t xml:space="preserve">Ierosinām Budžeta un finanšu (nodokļu) komisijai sēdē, kurā tiks apspriesti likumprojekts „Grozījumi likumā „Par nodokļiem un nodevām”” (reģ. nr. 384/Lp12), likumprojekts „Grozījums Maksājumu pakalpojumu un elektroniskās naudas likumā” (reģ. nr. 370/Lp12) un likumprojekts „Grozījumi Kredītiestāžu likumā”, uzklausīt Finansu ministrijas, Valsts ieņēmumu dienesta, Tieslietu ministrijas, arī Datu valsts inspekcijas, Finanšu un kapitāla tirgus komisijas un Latvijas Komercbanku asociācijas viedokli par attiecīgo tiesību normu (tostarp, datu apstrādes mērķi, izraudzītā līdzekļa mērķa sasniegšanai piemērotību) un šīs normas piemērošanu </w:t>
            </w:r>
            <w:r w:rsidRPr="004822CA">
              <w:rPr>
                <w:i/>
                <w:sz w:val="22"/>
              </w:rPr>
              <w:lastRenderedPageBreak/>
              <w:t>un pārliecināties par pamattiesību ierobežojuma (personas datu apstrāde) samērīgumu ar mērķi, kura sasniegšanai šis ierobežojums ir noteikts.</w:t>
            </w:r>
          </w:p>
          <w:p w:rsidR="00737A80" w:rsidRDefault="00737A80" w:rsidP="00737A80">
            <w:pPr>
              <w:ind w:firstLine="567"/>
              <w:jc w:val="both"/>
              <w:rPr>
                <w:b/>
                <w:sz w:val="22"/>
                <w:u w:val="single"/>
              </w:rPr>
            </w:pPr>
          </w:p>
          <w:p w:rsidR="00737A80" w:rsidRDefault="00737A80" w:rsidP="00737A80">
            <w:pPr>
              <w:ind w:firstLine="567"/>
              <w:jc w:val="both"/>
              <w:rPr>
                <w:b/>
                <w:sz w:val="22"/>
                <w:u w:val="single"/>
              </w:rPr>
            </w:pPr>
            <w:r>
              <w:rPr>
                <w:b/>
                <w:sz w:val="22"/>
                <w:u w:val="single"/>
              </w:rPr>
              <w:t>Juridiskais birojs</w:t>
            </w:r>
          </w:p>
          <w:p w:rsidR="00737A80" w:rsidRDefault="00737A80" w:rsidP="00737A80">
            <w:pPr>
              <w:ind w:firstLine="567"/>
              <w:jc w:val="both"/>
              <w:rPr>
                <w:sz w:val="22"/>
              </w:rPr>
            </w:pPr>
            <w:r w:rsidRPr="00737A80">
              <w:rPr>
                <w:sz w:val="22"/>
              </w:rPr>
              <w:t>Vienlaikus ierosinām likumprojektā (44.</w:t>
            </w:r>
            <w:r w:rsidRPr="00737A80">
              <w:rPr>
                <w:sz w:val="22"/>
                <w:vertAlign w:val="superscript"/>
              </w:rPr>
              <w:t>1</w:t>
            </w:r>
            <w:r w:rsidRPr="00737A80">
              <w:rPr>
                <w:sz w:val="22"/>
              </w:rPr>
              <w:t>panta 1.</w:t>
            </w:r>
            <w:r w:rsidRPr="00737A80">
              <w:rPr>
                <w:sz w:val="22"/>
                <w:vertAlign w:val="superscript"/>
              </w:rPr>
              <w:t xml:space="preserve">1 </w:t>
            </w:r>
            <w:r w:rsidRPr="00737A80">
              <w:rPr>
                <w:sz w:val="22"/>
              </w:rPr>
              <w:t>daļā) aizstāt vārdus „aizdomīgiem darījumiem (nodokļu jomā)” ar vārdiem „</w:t>
            </w:r>
            <w:r w:rsidRPr="00737A80">
              <w:rPr>
                <w:sz w:val="22"/>
                <w:u w:val="single"/>
              </w:rPr>
              <w:t>aizdomīgiem darījumiem nodokļu jomā</w:t>
            </w:r>
            <w:r w:rsidRPr="00737A80">
              <w:rPr>
                <w:sz w:val="22"/>
              </w:rPr>
              <w:t>”.</w:t>
            </w:r>
          </w:p>
          <w:p w:rsidR="00737A80" w:rsidRPr="00737A80" w:rsidRDefault="00737A80" w:rsidP="00737A80">
            <w:pPr>
              <w:ind w:firstLine="567"/>
              <w:jc w:val="both"/>
              <w:rPr>
                <w:sz w:val="22"/>
              </w:rPr>
            </w:pPr>
          </w:p>
          <w:p w:rsidR="00725B6D" w:rsidRPr="002C24FE" w:rsidRDefault="002C24FE" w:rsidP="001A7D73">
            <w:pPr>
              <w:ind w:firstLine="567"/>
              <w:jc w:val="both"/>
              <w:rPr>
                <w:b/>
                <w:sz w:val="22"/>
                <w:u w:val="single"/>
              </w:rPr>
            </w:pPr>
            <w:r w:rsidRPr="002C24FE">
              <w:rPr>
                <w:b/>
                <w:sz w:val="22"/>
                <w:u w:val="single"/>
              </w:rPr>
              <w:t>Finanšu ministrijas parlamentārais sekretārs A.Ašeradens</w:t>
            </w:r>
          </w:p>
          <w:p w:rsidR="002C24FE" w:rsidRDefault="008B3015" w:rsidP="00737A80">
            <w:pPr>
              <w:ind w:left="23" w:right="23" w:firstLine="567"/>
              <w:jc w:val="both"/>
              <w:rPr>
                <w:sz w:val="22"/>
              </w:rPr>
            </w:pPr>
            <w:r w:rsidRPr="008B3015">
              <w:rPr>
                <w:rFonts w:eastAsia="Times New Roman"/>
                <w:color w:val="000000"/>
                <w:sz w:val="22"/>
                <w:lang w:eastAsia="lv-LV" w:bidi="lv-LV"/>
              </w:rPr>
              <w:t>Aizstāt likumprojektā (attiecībā uz likuma 44.</w:t>
            </w:r>
            <w:r w:rsidRPr="008B3015">
              <w:rPr>
                <w:rFonts w:eastAsia="Times New Roman"/>
                <w:color w:val="000000"/>
                <w:sz w:val="22"/>
                <w:vertAlign w:val="superscript"/>
                <w:lang w:eastAsia="lv-LV" w:bidi="lv-LV"/>
              </w:rPr>
              <w:t>1</w:t>
            </w:r>
            <w:r w:rsidRPr="008B3015">
              <w:rPr>
                <w:rFonts w:eastAsia="Times New Roman"/>
                <w:color w:val="000000"/>
                <w:sz w:val="22"/>
                <w:lang w:eastAsia="lv-LV" w:bidi="lv-LV"/>
              </w:rPr>
              <w:t>panta 1.</w:t>
            </w:r>
            <w:r w:rsidRPr="008B3015">
              <w:rPr>
                <w:rFonts w:eastAsia="Times New Roman"/>
                <w:color w:val="000000"/>
                <w:sz w:val="22"/>
                <w:vertAlign w:val="superscript"/>
                <w:lang w:eastAsia="lv-LV" w:bidi="lv-LV"/>
              </w:rPr>
              <w:t>1</w:t>
            </w:r>
            <w:r w:rsidRPr="008B3015">
              <w:rPr>
                <w:rFonts w:eastAsia="Times New Roman"/>
                <w:color w:val="000000"/>
                <w:sz w:val="22"/>
                <w:lang w:eastAsia="lv-LV" w:bidi="lv-LV"/>
              </w:rPr>
              <w:t>daļu) vārdus “</w:t>
            </w:r>
            <w:r w:rsidRPr="008B3015">
              <w:rPr>
                <w:sz w:val="22"/>
              </w:rPr>
              <w:t>Latvijas Republikas rezidentu veiktiem aizdomīgiem darījumiem (nodokļu jomā)” ar vārdiem “</w:t>
            </w:r>
            <w:r w:rsidRPr="008B3015">
              <w:rPr>
                <w:sz w:val="22"/>
                <w:u w:val="single"/>
              </w:rPr>
              <w:t>tādiem personu, kuru rezidences (reģistrācijas) valsts ir Latvijas Republika, aizdomīgiem darījumiem</w:t>
            </w:r>
            <w:r w:rsidRPr="008B3015">
              <w:rPr>
                <w:sz w:val="22"/>
              </w:rPr>
              <w:t>”.</w:t>
            </w:r>
          </w:p>
          <w:p w:rsidR="00737A80" w:rsidRDefault="00737A80" w:rsidP="00737A80">
            <w:pPr>
              <w:ind w:left="23" w:right="23" w:firstLine="567"/>
              <w:jc w:val="both"/>
              <w:rPr>
                <w:sz w:val="22"/>
              </w:rPr>
            </w:pPr>
          </w:p>
          <w:p w:rsidR="00737A80" w:rsidRDefault="00737A80" w:rsidP="00737A80">
            <w:pPr>
              <w:ind w:firstLine="567"/>
              <w:jc w:val="both"/>
              <w:rPr>
                <w:b/>
                <w:sz w:val="22"/>
                <w:u w:val="single"/>
              </w:rPr>
            </w:pPr>
            <w:r>
              <w:rPr>
                <w:b/>
                <w:sz w:val="22"/>
                <w:u w:val="single"/>
              </w:rPr>
              <w:t>Juridiskais birojs</w:t>
            </w:r>
          </w:p>
          <w:p w:rsidR="00737A80" w:rsidRPr="00737A80" w:rsidRDefault="00737A80" w:rsidP="00737A80">
            <w:pPr>
              <w:ind w:firstLine="567"/>
              <w:jc w:val="both"/>
              <w:rPr>
                <w:b/>
                <w:i/>
                <w:sz w:val="22"/>
              </w:rPr>
            </w:pPr>
            <w:r w:rsidRPr="00737A80">
              <w:rPr>
                <w:i/>
                <w:sz w:val="22"/>
              </w:rPr>
              <w:t>Vēršam uzmanību uz to, ka likumprojektā (44.</w:t>
            </w:r>
            <w:r w:rsidRPr="00737A80">
              <w:rPr>
                <w:i/>
                <w:sz w:val="22"/>
                <w:vertAlign w:val="superscript"/>
              </w:rPr>
              <w:t>1</w:t>
            </w:r>
            <w:r w:rsidRPr="00737A80">
              <w:rPr>
                <w:i/>
                <w:sz w:val="22"/>
              </w:rPr>
              <w:t>panta 1.</w:t>
            </w:r>
            <w:r w:rsidRPr="00737A80">
              <w:rPr>
                <w:i/>
                <w:sz w:val="22"/>
                <w:vertAlign w:val="superscript"/>
              </w:rPr>
              <w:t>1</w:t>
            </w:r>
            <w:r w:rsidRPr="00737A80">
              <w:rPr>
                <w:i/>
                <w:sz w:val="22"/>
              </w:rPr>
              <w:t xml:space="preserve"> daļā) ir noteikts, ka informāciju ir pienākums sniegt likumā „Par nodokļiem un nodevām” (reģ. nr. 384/Lp12) </w:t>
            </w:r>
            <w:r w:rsidRPr="00737A80">
              <w:rPr>
                <w:b/>
                <w:i/>
                <w:sz w:val="22"/>
              </w:rPr>
              <w:t>noteiktajā kārtībā un apjomā</w:t>
            </w:r>
            <w:r w:rsidRPr="00737A80">
              <w:rPr>
                <w:i/>
                <w:sz w:val="22"/>
              </w:rPr>
              <w:t>. Savukārt likumprojektā „Grozījumi likumā „Par nodokļiem un nodevām”” (reģ. nr. 384/Lp12) informācijas sniegšanas kārtība un ziņu apjoms nav noteikts, bet 22.</w:t>
            </w:r>
            <w:r w:rsidRPr="00737A80">
              <w:rPr>
                <w:i/>
                <w:sz w:val="22"/>
                <w:vertAlign w:val="superscript"/>
              </w:rPr>
              <w:t>1</w:t>
            </w:r>
            <w:r w:rsidRPr="00737A80">
              <w:rPr>
                <w:i/>
                <w:sz w:val="22"/>
              </w:rPr>
              <w:t xml:space="preserve">panta ceturtā daļa paredz, ka ziņojuma sniegšanas kārtību noteiks Ministru </w:t>
            </w:r>
            <w:r w:rsidRPr="00737A80">
              <w:rPr>
                <w:i/>
                <w:sz w:val="22"/>
              </w:rPr>
              <w:lastRenderedPageBreak/>
              <w:t xml:space="preserve">kabinets. </w:t>
            </w:r>
            <w:r w:rsidRPr="00737A80">
              <w:rPr>
                <w:b/>
                <w:i/>
                <w:sz w:val="22"/>
              </w:rPr>
              <w:t>Nav zināms, vai ziņojuma sniegšanas kārtība ietvers arī termiņu.</w:t>
            </w:r>
          </w:p>
        </w:tc>
        <w:tc>
          <w:tcPr>
            <w:tcW w:w="1420" w:type="dxa"/>
          </w:tcPr>
          <w:p w:rsidR="00725B6D" w:rsidRPr="007C0D83" w:rsidRDefault="00725B6D" w:rsidP="001A7D73">
            <w:pPr>
              <w:jc w:val="center"/>
              <w:rPr>
                <w:sz w:val="22"/>
              </w:rPr>
            </w:pPr>
          </w:p>
        </w:tc>
        <w:tc>
          <w:tcPr>
            <w:tcW w:w="1420" w:type="dxa"/>
          </w:tcPr>
          <w:p w:rsidR="00725B6D" w:rsidRPr="007C0D83" w:rsidRDefault="00725B6D" w:rsidP="001A7D73">
            <w:pPr>
              <w:jc w:val="center"/>
              <w:rPr>
                <w:sz w:val="22"/>
              </w:rPr>
            </w:pPr>
          </w:p>
        </w:tc>
      </w:tr>
      <w:tr w:rsidR="00725B6D" w:rsidRPr="007C0D83" w:rsidTr="001A7D73">
        <w:tc>
          <w:tcPr>
            <w:tcW w:w="3960" w:type="dxa"/>
          </w:tcPr>
          <w:p w:rsidR="00725B6D" w:rsidRPr="007C0D83" w:rsidRDefault="00725B6D" w:rsidP="001A7D73">
            <w:pPr>
              <w:ind w:firstLine="567"/>
              <w:jc w:val="both"/>
              <w:rPr>
                <w:b/>
                <w:bCs/>
                <w:sz w:val="22"/>
                <w:lang w:eastAsia="lv-LV"/>
              </w:rPr>
            </w:pPr>
          </w:p>
        </w:tc>
        <w:tc>
          <w:tcPr>
            <w:tcW w:w="3960" w:type="dxa"/>
          </w:tcPr>
          <w:p w:rsidR="00725B6D" w:rsidRPr="007C0D83" w:rsidRDefault="00725B6D" w:rsidP="00725B6D">
            <w:pPr>
              <w:ind w:firstLine="567"/>
              <w:jc w:val="both"/>
              <w:rPr>
                <w:rFonts w:eastAsia="Times New Roman"/>
                <w:sz w:val="22"/>
                <w:lang w:eastAsia="lv-LV"/>
              </w:rPr>
            </w:pPr>
            <w:r w:rsidRPr="007C0D83">
              <w:rPr>
                <w:bCs/>
                <w:sz w:val="22"/>
              </w:rPr>
              <w:t xml:space="preserve">Likums stājas spēkā 2016. gada </w:t>
            </w:r>
            <w:r w:rsidRPr="008B3015">
              <w:rPr>
                <w:bCs/>
                <w:sz w:val="22"/>
                <w:u w:val="single"/>
              </w:rPr>
              <w:t>1. janvārī</w:t>
            </w:r>
            <w:r w:rsidRPr="007C0D83">
              <w:rPr>
                <w:bCs/>
                <w:sz w:val="22"/>
              </w:rPr>
              <w:t>.</w:t>
            </w:r>
          </w:p>
        </w:tc>
        <w:tc>
          <w:tcPr>
            <w:tcW w:w="567" w:type="dxa"/>
          </w:tcPr>
          <w:p w:rsidR="00725B6D" w:rsidRDefault="00441BBA" w:rsidP="001A7D73">
            <w:pPr>
              <w:jc w:val="center"/>
              <w:rPr>
                <w:b/>
                <w:sz w:val="22"/>
              </w:rPr>
            </w:pPr>
            <w:r>
              <w:rPr>
                <w:b/>
                <w:sz w:val="22"/>
              </w:rPr>
              <w:t>7</w:t>
            </w: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Default="00441BBA" w:rsidP="001A7D73">
            <w:pPr>
              <w:jc w:val="center"/>
              <w:rPr>
                <w:b/>
                <w:sz w:val="22"/>
              </w:rPr>
            </w:pPr>
          </w:p>
          <w:p w:rsidR="00441BBA" w:rsidRPr="007C0D83" w:rsidRDefault="00441BBA" w:rsidP="001A7D73">
            <w:pPr>
              <w:jc w:val="center"/>
              <w:rPr>
                <w:b/>
                <w:sz w:val="22"/>
              </w:rPr>
            </w:pPr>
            <w:r>
              <w:rPr>
                <w:b/>
                <w:sz w:val="22"/>
              </w:rPr>
              <w:t>8</w:t>
            </w:r>
          </w:p>
        </w:tc>
        <w:tc>
          <w:tcPr>
            <w:tcW w:w="3960" w:type="dxa"/>
          </w:tcPr>
          <w:p w:rsidR="00737A80" w:rsidRDefault="00737A80" w:rsidP="00737A80">
            <w:pPr>
              <w:ind w:firstLine="567"/>
              <w:jc w:val="both"/>
              <w:rPr>
                <w:b/>
                <w:sz w:val="22"/>
                <w:u w:val="single"/>
              </w:rPr>
            </w:pPr>
            <w:r>
              <w:rPr>
                <w:b/>
                <w:sz w:val="22"/>
                <w:u w:val="single"/>
              </w:rPr>
              <w:t>Juridiskais birojs</w:t>
            </w:r>
          </w:p>
          <w:p w:rsidR="00737A80" w:rsidRPr="00C0436E" w:rsidRDefault="00737A80" w:rsidP="00C0436E">
            <w:pPr>
              <w:ind w:firstLine="567"/>
              <w:jc w:val="both"/>
              <w:rPr>
                <w:i/>
                <w:sz w:val="22"/>
              </w:rPr>
            </w:pPr>
            <w:r w:rsidRPr="00C0436E">
              <w:rPr>
                <w:i/>
                <w:sz w:val="22"/>
              </w:rPr>
              <w:t>Ierosinām apspriest, vai, ņemot vērā nepieciešamību izdot Ministru kabineta noteikumus, likumprojektam nebūtu jānosaka vēlāks spēkā stāšanās laiks, saskaņojot to ar likuma „Grozījumi likumā „Par nodokļiem un nodevām”” (reģ. nr. 384/Lp12) 22.</w:t>
            </w:r>
            <w:r w:rsidRPr="00C0436E">
              <w:rPr>
                <w:i/>
                <w:sz w:val="22"/>
                <w:vertAlign w:val="superscript"/>
              </w:rPr>
              <w:t>1</w:t>
            </w:r>
            <w:r w:rsidRPr="00C0436E">
              <w:rPr>
                <w:i/>
                <w:sz w:val="22"/>
              </w:rPr>
              <w:t xml:space="preserve"> panta un likuma „Grozījumi „Kredītiestāžu likumā” (reģ. nr. 371/Lp12) 63.panta pirmās daļas 18.punkta spēkā stāšanās laiku.</w:t>
            </w:r>
          </w:p>
          <w:p w:rsidR="00737A80" w:rsidRDefault="00737A80" w:rsidP="002C24FE">
            <w:pPr>
              <w:ind w:firstLine="567"/>
              <w:jc w:val="both"/>
              <w:rPr>
                <w:b/>
                <w:sz w:val="22"/>
                <w:u w:val="single"/>
              </w:rPr>
            </w:pPr>
          </w:p>
          <w:p w:rsidR="002C24FE" w:rsidRDefault="002C24FE" w:rsidP="002C24FE">
            <w:pPr>
              <w:ind w:firstLine="567"/>
              <w:jc w:val="both"/>
              <w:rPr>
                <w:b/>
                <w:sz w:val="22"/>
                <w:u w:val="single"/>
              </w:rPr>
            </w:pPr>
            <w:r w:rsidRPr="002C24FE">
              <w:rPr>
                <w:b/>
                <w:sz w:val="22"/>
                <w:u w:val="single"/>
              </w:rPr>
              <w:t>Finanšu ministrijas parlamentārais sekretārs A.Ašeradens</w:t>
            </w:r>
          </w:p>
          <w:p w:rsidR="008B3015" w:rsidRPr="008B3015" w:rsidRDefault="008B3015" w:rsidP="008B3015">
            <w:pPr>
              <w:ind w:firstLine="567"/>
              <w:jc w:val="both"/>
              <w:rPr>
                <w:sz w:val="22"/>
              </w:rPr>
            </w:pPr>
            <w:r w:rsidRPr="008B3015">
              <w:rPr>
                <w:sz w:val="22"/>
              </w:rPr>
              <w:t>Izteikt norādi par likuma spēkā stāšanos šādā redakcijā:</w:t>
            </w:r>
          </w:p>
          <w:p w:rsidR="00725B6D" w:rsidRPr="007C0D83" w:rsidRDefault="008B3015" w:rsidP="008B3015">
            <w:pPr>
              <w:ind w:firstLine="567"/>
              <w:jc w:val="both"/>
              <w:rPr>
                <w:sz w:val="22"/>
              </w:rPr>
            </w:pPr>
            <w:r w:rsidRPr="008B3015">
              <w:rPr>
                <w:sz w:val="22"/>
              </w:rPr>
              <w:t xml:space="preserve">“Likums stājas spēkā 2016.gada </w:t>
            </w:r>
            <w:r w:rsidRPr="008B3015">
              <w:rPr>
                <w:sz w:val="22"/>
                <w:u w:val="single"/>
              </w:rPr>
              <w:t>1.aprīlī</w:t>
            </w:r>
            <w:r w:rsidRPr="008B3015">
              <w:rPr>
                <w:sz w:val="22"/>
              </w:rPr>
              <w:t>.”</w:t>
            </w:r>
          </w:p>
        </w:tc>
        <w:tc>
          <w:tcPr>
            <w:tcW w:w="1420" w:type="dxa"/>
          </w:tcPr>
          <w:p w:rsidR="00725B6D" w:rsidRPr="007C0D83" w:rsidRDefault="00725B6D" w:rsidP="001A7D73">
            <w:pPr>
              <w:jc w:val="center"/>
              <w:rPr>
                <w:sz w:val="22"/>
              </w:rPr>
            </w:pPr>
          </w:p>
        </w:tc>
        <w:tc>
          <w:tcPr>
            <w:tcW w:w="1420" w:type="dxa"/>
          </w:tcPr>
          <w:p w:rsidR="00725B6D" w:rsidRPr="007C0D83" w:rsidRDefault="00725B6D" w:rsidP="001A7D73">
            <w:pPr>
              <w:jc w:val="center"/>
              <w:rPr>
                <w:sz w:val="22"/>
              </w:rPr>
            </w:pPr>
          </w:p>
        </w:tc>
      </w:tr>
    </w:tbl>
    <w:p w:rsidR="00725B6D" w:rsidRPr="007C0D83" w:rsidRDefault="00725B6D" w:rsidP="00725B6D">
      <w:pPr>
        <w:rPr>
          <w:sz w:val="22"/>
        </w:rPr>
      </w:pPr>
    </w:p>
    <w:sectPr w:rsidR="00725B6D" w:rsidRPr="007C0D83" w:rsidSect="00C71E28">
      <w:footerReference w:type="even" r:id="rId7"/>
      <w:footerReference w:type="default" r:id="rId8"/>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08" w:rsidRDefault="007C0D83">
      <w:r>
        <w:separator/>
      </w:r>
    </w:p>
  </w:endnote>
  <w:endnote w:type="continuationSeparator" w:id="0">
    <w:p w:rsidR="00A10308" w:rsidRDefault="007C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725B6D"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694693"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725B6D"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693">
      <w:rPr>
        <w:rStyle w:val="PageNumber"/>
        <w:noProof/>
      </w:rPr>
      <w:t>2</w:t>
    </w:r>
    <w:r>
      <w:rPr>
        <w:rStyle w:val="PageNumber"/>
      </w:rPr>
      <w:fldChar w:fldCharType="end"/>
    </w:r>
  </w:p>
  <w:p w:rsidR="00C71E28" w:rsidRDefault="00694693"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08" w:rsidRDefault="007C0D83">
      <w:r>
        <w:separator/>
      </w:r>
    </w:p>
  </w:footnote>
  <w:footnote w:type="continuationSeparator" w:id="0">
    <w:p w:rsidR="00A10308" w:rsidRDefault="007C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D4F73"/>
    <w:multiLevelType w:val="hybridMultilevel"/>
    <w:tmpl w:val="1B0C17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6D"/>
    <w:rsid w:val="002C24FE"/>
    <w:rsid w:val="00405509"/>
    <w:rsid w:val="00441BBA"/>
    <w:rsid w:val="004822CA"/>
    <w:rsid w:val="004D7945"/>
    <w:rsid w:val="00694693"/>
    <w:rsid w:val="00725B6D"/>
    <w:rsid w:val="00737A80"/>
    <w:rsid w:val="007A4333"/>
    <w:rsid w:val="007C0D83"/>
    <w:rsid w:val="008B3015"/>
    <w:rsid w:val="00A10308"/>
    <w:rsid w:val="00AA55B8"/>
    <w:rsid w:val="00C04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72B0-CB6B-46C5-A2C3-ACB70805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6D"/>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725B6D"/>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B6D"/>
    <w:rPr>
      <w:rFonts w:ascii="Times New Roman" w:eastAsia="Times New Roman" w:hAnsi="Times New Roman" w:cs="Times New Roman"/>
      <w:b/>
      <w:bCs/>
      <w:iCs/>
      <w:sz w:val="24"/>
      <w:szCs w:val="24"/>
    </w:rPr>
  </w:style>
  <w:style w:type="paragraph" w:styleId="Title">
    <w:name w:val="Title"/>
    <w:basedOn w:val="Normal"/>
    <w:link w:val="TitleChar"/>
    <w:qFormat/>
    <w:rsid w:val="00725B6D"/>
    <w:pPr>
      <w:jc w:val="center"/>
    </w:pPr>
    <w:rPr>
      <w:rFonts w:eastAsia="Times New Roman"/>
      <w:b/>
      <w:szCs w:val="20"/>
    </w:rPr>
  </w:style>
  <w:style w:type="character" w:customStyle="1" w:styleId="TitleChar">
    <w:name w:val="Title Char"/>
    <w:basedOn w:val="DefaultParagraphFont"/>
    <w:link w:val="Title"/>
    <w:rsid w:val="00725B6D"/>
    <w:rPr>
      <w:rFonts w:ascii="Times New Roman" w:eastAsia="Times New Roman" w:hAnsi="Times New Roman" w:cs="Times New Roman"/>
      <w:b/>
      <w:sz w:val="24"/>
      <w:szCs w:val="20"/>
    </w:rPr>
  </w:style>
  <w:style w:type="paragraph" w:styleId="Footer">
    <w:name w:val="footer"/>
    <w:basedOn w:val="Normal"/>
    <w:link w:val="FooterChar"/>
    <w:rsid w:val="00725B6D"/>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725B6D"/>
    <w:rPr>
      <w:rFonts w:ascii="Times New Roman" w:eastAsia="Times New Roman" w:hAnsi="Times New Roman" w:cs="Times New Roman"/>
      <w:sz w:val="24"/>
      <w:szCs w:val="24"/>
      <w:lang w:val="en-GB"/>
    </w:rPr>
  </w:style>
  <w:style w:type="character" w:styleId="PageNumber">
    <w:name w:val="page number"/>
    <w:rsid w:val="00725B6D"/>
  </w:style>
  <w:style w:type="paragraph" w:styleId="ListParagraph">
    <w:name w:val="List Paragraph"/>
    <w:basedOn w:val="Normal"/>
    <w:uiPriority w:val="34"/>
    <w:qFormat/>
    <w:rsid w:val="00725B6D"/>
    <w:pPr>
      <w:spacing w:before="100" w:beforeAutospacing="1" w:after="100" w:afterAutospacing="1"/>
    </w:pPr>
    <w:rPr>
      <w:rFonts w:eastAsia="Times New Roman"/>
      <w:color w:val="000000"/>
      <w:szCs w:val="24"/>
      <w:lang w:eastAsia="lv-LV"/>
    </w:rPr>
  </w:style>
  <w:style w:type="paragraph" w:customStyle="1" w:styleId="tv2132">
    <w:name w:val="tv2132"/>
    <w:basedOn w:val="Normal"/>
    <w:rsid w:val="004822CA"/>
    <w:pPr>
      <w:spacing w:line="360" w:lineRule="auto"/>
      <w:ind w:firstLine="300"/>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0585">
      <w:bodyDiv w:val="1"/>
      <w:marLeft w:val="0"/>
      <w:marRight w:val="0"/>
      <w:marTop w:val="0"/>
      <w:marBottom w:val="0"/>
      <w:divBdr>
        <w:top w:val="none" w:sz="0" w:space="0" w:color="auto"/>
        <w:left w:val="none" w:sz="0" w:space="0" w:color="auto"/>
        <w:bottom w:val="none" w:sz="0" w:space="0" w:color="auto"/>
        <w:right w:val="none" w:sz="0" w:space="0" w:color="auto"/>
      </w:divBdr>
      <w:divsChild>
        <w:div w:id="184253709">
          <w:marLeft w:val="0"/>
          <w:marRight w:val="0"/>
          <w:marTop w:val="0"/>
          <w:marBottom w:val="0"/>
          <w:divBdr>
            <w:top w:val="none" w:sz="0" w:space="0" w:color="auto"/>
            <w:left w:val="none" w:sz="0" w:space="0" w:color="auto"/>
            <w:bottom w:val="none" w:sz="0" w:space="0" w:color="auto"/>
            <w:right w:val="none" w:sz="0" w:space="0" w:color="auto"/>
          </w:divBdr>
          <w:divsChild>
            <w:div w:id="13855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21701">
      <w:bodyDiv w:val="1"/>
      <w:marLeft w:val="0"/>
      <w:marRight w:val="0"/>
      <w:marTop w:val="0"/>
      <w:marBottom w:val="0"/>
      <w:divBdr>
        <w:top w:val="none" w:sz="0" w:space="0" w:color="auto"/>
        <w:left w:val="none" w:sz="0" w:space="0" w:color="auto"/>
        <w:bottom w:val="none" w:sz="0" w:space="0" w:color="auto"/>
        <w:right w:val="none" w:sz="0" w:space="0" w:color="auto"/>
      </w:divBdr>
      <w:divsChild>
        <w:div w:id="1690907601">
          <w:marLeft w:val="0"/>
          <w:marRight w:val="0"/>
          <w:marTop w:val="0"/>
          <w:marBottom w:val="0"/>
          <w:divBdr>
            <w:top w:val="none" w:sz="0" w:space="0" w:color="auto"/>
            <w:left w:val="none" w:sz="0" w:space="0" w:color="auto"/>
            <w:bottom w:val="none" w:sz="0" w:space="0" w:color="auto"/>
            <w:right w:val="none" w:sz="0" w:space="0" w:color="auto"/>
          </w:divBdr>
          <w:divsChild>
            <w:div w:id="1310330373">
              <w:marLeft w:val="0"/>
              <w:marRight w:val="0"/>
              <w:marTop w:val="0"/>
              <w:marBottom w:val="0"/>
              <w:divBdr>
                <w:top w:val="none" w:sz="0" w:space="0" w:color="auto"/>
                <w:left w:val="none" w:sz="0" w:space="0" w:color="auto"/>
                <w:bottom w:val="none" w:sz="0" w:space="0" w:color="auto"/>
                <w:right w:val="none" w:sz="0" w:space="0" w:color="auto"/>
              </w:divBdr>
              <w:divsChild>
                <w:div w:id="1353144748">
                  <w:marLeft w:val="0"/>
                  <w:marRight w:val="0"/>
                  <w:marTop w:val="0"/>
                  <w:marBottom w:val="0"/>
                  <w:divBdr>
                    <w:top w:val="none" w:sz="0" w:space="0" w:color="auto"/>
                    <w:left w:val="none" w:sz="0" w:space="0" w:color="auto"/>
                    <w:bottom w:val="none" w:sz="0" w:space="0" w:color="auto"/>
                    <w:right w:val="none" w:sz="0" w:space="0" w:color="auto"/>
                  </w:divBdr>
                  <w:divsChild>
                    <w:div w:id="1406298155">
                      <w:marLeft w:val="0"/>
                      <w:marRight w:val="0"/>
                      <w:marTop w:val="0"/>
                      <w:marBottom w:val="0"/>
                      <w:divBdr>
                        <w:top w:val="none" w:sz="0" w:space="0" w:color="auto"/>
                        <w:left w:val="none" w:sz="0" w:space="0" w:color="auto"/>
                        <w:bottom w:val="none" w:sz="0" w:space="0" w:color="auto"/>
                        <w:right w:val="none" w:sz="0" w:space="0" w:color="auto"/>
                      </w:divBdr>
                      <w:divsChild>
                        <w:div w:id="225921963">
                          <w:marLeft w:val="0"/>
                          <w:marRight w:val="0"/>
                          <w:marTop w:val="0"/>
                          <w:marBottom w:val="0"/>
                          <w:divBdr>
                            <w:top w:val="none" w:sz="0" w:space="0" w:color="auto"/>
                            <w:left w:val="none" w:sz="0" w:space="0" w:color="auto"/>
                            <w:bottom w:val="none" w:sz="0" w:space="0" w:color="auto"/>
                            <w:right w:val="none" w:sz="0" w:space="0" w:color="auto"/>
                          </w:divBdr>
                          <w:divsChild>
                            <w:div w:id="16462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6210</Words>
  <Characters>3541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dcterms:created xsi:type="dcterms:W3CDTF">2015-11-10T12:09:00Z</dcterms:created>
  <dcterms:modified xsi:type="dcterms:W3CDTF">2015-11-10T12:09:00Z</dcterms:modified>
</cp:coreProperties>
</file>