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992" w:rsidRPr="008E2AF5" w:rsidRDefault="00F42992" w:rsidP="00F42992">
      <w:pPr>
        <w:pStyle w:val="Title"/>
        <w:jc w:val="left"/>
        <w:rPr>
          <w:b w:val="0"/>
          <w:szCs w:val="24"/>
        </w:rPr>
      </w:pPr>
      <w:r w:rsidRPr="008E2AF5">
        <w:rPr>
          <w:b w:val="0"/>
          <w:szCs w:val="24"/>
        </w:rPr>
        <w:t>Budžeta un finanšu (nodokļu) komisija</w:t>
      </w:r>
    </w:p>
    <w:p w:rsidR="00F42992" w:rsidRPr="008E2AF5" w:rsidRDefault="00F42992" w:rsidP="00F42992">
      <w:pPr>
        <w:pStyle w:val="Title"/>
        <w:jc w:val="right"/>
        <w:rPr>
          <w:b w:val="0"/>
          <w:szCs w:val="24"/>
        </w:rPr>
      </w:pPr>
      <w:r w:rsidRPr="008E2AF5">
        <w:rPr>
          <w:b w:val="0"/>
          <w:szCs w:val="24"/>
        </w:rPr>
        <w:tab/>
        <w:t>Likumprojekts (steidzams) otrajam lasījumam</w:t>
      </w:r>
    </w:p>
    <w:p w:rsidR="0000397E" w:rsidRPr="0000397E" w:rsidRDefault="0000397E" w:rsidP="0000397E">
      <w:pPr>
        <w:jc w:val="center"/>
        <w:rPr>
          <w:b/>
          <w:color w:val="000000"/>
          <w:sz w:val="28"/>
          <w:szCs w:val="28"/>
        </w:rPr>
      </w:pPr>
      <w:r w:rsidRPr="0000397E">
        <w:rPr>
          <w:b/>
          <w:color w:val="000000"/>
          <w:sz w:val="28"/>
          <w:szCs w:val="28"/>
        </w:rPr>
        <w:t xml:space="preserve">Grozījumi Valsts un pašvaldību institūciju amatpersonu </w:t>
      </w:r>
    </w:p>
    <w:p w:rsidR="0000397E" w:rsidRPr="0000397E" w:rsidRDefault="0000397E" w:rsidP="0000397E">
      <w:pPr>
        <w:jc w:val="center"/>
        <w:rPr>
          <w:b/>
          <w:color w:val="000000"/>
          <w:sz w:val="28"/>
          <w:szCs w:val="28"/>
        </w:rPr>
      </w:pPr>
      <w:r w:rsidRPr="0000397E">
        <w:rPr>
          <w:b/>
          <w:color w:val="000000"/>
          <w:sz w:val="28"/>
          <w:szCs w:val="28"/>
        </w:rPr>
        <w:t>un darbinieku atlīdzības likumā</w:t>
      </w:r>
    </w:p>
    <w:p w:rsidR="00F42992" w:rsidRPr="00C176C2" w:rsidRDefault="00172AE2" w:rsidP="00172AE2">
      <w:pPr>
        <w:tabs>
          <w:tab w:val="center" w:pos="7568"/>
          <w:tab w:val="left" w:pos="10455"/>
        </w:tabs>
        <w:jc w:val="center"/>
        <w:rPr>
          <w:b/>
          <w:i/>
          <w:sz w:val="26"/>
          <w:szCs w:val="26"/>
        </w:rPr>
      </w:pPr>
      <w:r w:rsidRPr="00C176C2">
        <w:rPr>
          <w:b/>
          <w:i/>
          <w:sz w:val="26"/>
          <w:szCs w:val="26"/>
        </w:rPr>
        <w:t xml:space="preserve"> </w:t>
      </w:r>
      <w:r w:rsidR="00F42992" w:rsidRPr="00C176C2">
        <w:rPr>
          <w:b/>
          <w:i/>
          <w:sz w:val="26"/>
          <w:szCs w:val="26"/>
        </w:rPr>
        <w:t>(Nr.</w:t>
      </w:r>
      <w:r w:rsidR="00F42992">
        <w:rPr>
          <w:b/>
          <w:i/>
          <w:sz w:val="26"/>
          <w:szCs w:val="26"/>
        </w:rPr>
        <w:t>3</w:t>
      </w:r>
      <w:r w:rsidR="005B5A41">
        <w:rPr>
          <w:b/>
          <w:i/>
          <w:sz w:val="26"/>
          <w:szCs w:val="26"/>
        </w:rPr>
        <w:t>7</w:t>
      </w:r>
      <w:r w:rsidR="0000397E">
        <w:rPr>
          <w:b/>
          <w:i/>
          <w:sz w:val="26"/>
          <w:szCs w:val="26"/>
        </w:rPr>
        <w:t>9</w:t>
      </w:r>
      <w:r w:rsidR="00F42992" w:rsidRPr="00C176C2">
        <w:rPr>
          <w:b/>
          <w:i/>
          <w:sz w:val="26"/>
          <w:szCs w:val="26"/>
        </w:rPr>
        <w:t>/Lp12)</w:t>
      </w:r>
    </w:p>
    <w:p w:rsidR="00F42992" w:rsidRPr="008E2AF5" w:rsidRDefault="00F42992" w:rsidP="00F42992">
      <w:pPr>
        <w:tabs>
          <w:tab w:val="center" w:pos="7568"/>
          <w:tab w:val="left" w:pos="10455"/>
        </w:tabs>
        <w:rPr>
          <w:b/>
          <w:i/>
          <w:sz w:val="22"/>
        </w:rPr>
      </w:pPr>
      <w:r w:rsidRPr="008E2AF5">
        <w:rPr>
          <w:b/>
          <w:i/>
          <w:sz w:val="22"/>
        </w:rPr>
        <w:tab/>
      </w:r>
    </w:p>
    <w:tbl>
      <w:tblPr>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960"/>
        <w:gridCol w:w="567"/>
        <w:gridCol w:w="3960"/>
        <w:gridCol w:w="1420"/>
        <w:gridCol w:w="1420"/>
      </w:tblGrid>
      <w:tr w:rsidR="00F42992" w:rsidRPr="008E2AF5" w:rsidTr="00546540">
        <w:tc>
          <w:tcPr>
            <w:tcW w:w="3960" w:type="dxa"/>
          </w:tcPr>
          <w:p w:rsidR="00F42992" w:rsidRPr="008E2AF5" w:rsidRDefault="00F42992" w:rsidP="001A7D73">
            <w:pPr>
              <w:jc w:val="center"/>
              <w:rPr>
                <w:b/>
                <w:bCs/>
                <w:iCs/>
                <w:szCs w:val="24"/>
              </w:rPr>
            </w:pPr>
            <w:r w:rsidRPr="008E2AF5">
              <w:rPr>
                <w:b/>
                <w:bCs/>
                <w:iCs/>
                <w:szCs w:val="24"/>
              </w:rPr>
              <w:t>Spēkā esošā redakcija</w:t>
            </w:r>
          </w:p>
        </w:tc>
        <w:tc>
          <w:tcPr>
            <w:tcW w:w="3960" w:type="dxa"/>
          </w:tcPr>
          <w:p w:rsidR="00F42992" w:rsidRPr="008E2AF5" w:rsidRDefault="00F42992" w:rsidP="001A7D73">
            <w:pPr>
              <w:pStyle w:val="Heading1"/>
            </w:pPr>
            <w:r w:rsidRPr="008E2AF5">
              <w:t>Pirmā lasījuma redakcija</w:t>
            </w:r>
          </w:p>
        </w:tc>
        <w:tc>
          <w:tcPr>
            <w:tcW w:w="567" w:type="dxa"/>
          </w:tcPr>
          <w:p w:rsidR="00F42992" w:rsidRPr="008E2AF5" w:rsidRDefault="00F42992" w:rsidP="001A7D73">
            <w:pPr>
              <w:jc w:val="center"/>
              <w:rPr>
                <w:b/>
                <w:bCs/>
                <w:iCs/>
                <w:szCs w:val="24"/>
              </w:rPr>
            </w:pPr>
            <w:r w:rsidRPr="008E2AF5">
              <w:rPr>
                <w:b/>
                <w:bCs/>
                <w:iCs/>
                <w:szCs w:val="24"/>
              </w:rPr>
              <w:t>Nr.</w:t>
            </w:r>
          </w:p>
        </w:tc>
        <w:tc>
          <w:tcPr>
            <w:tcW w:w="3960" w:type="dxa"/>
          </w:tcPr>
          <w:p w:rsidR="00F42992" w:rsidRPr="008E2AF5" w:rsidRDefault="00F42992" w:rsidP="001A7D73">
            <w:pPr>
              <w:ind w:firstLine="10"/>
              <w:jc w:val="center"/>
              <w:rPr>
                <w:b/>
                <w:bCs/>
                <w:iCs/>
                <w:szCs w:val="24"/>
              </w:rPr>
            </w:pPr>
            <w:r w:rsidRPr="008E2AF5">
              <w:rPr>
                <w:b/>
                <w:bCs/>
                <w:iCs/>
                <w:szCs w:val="24"/>
              </w:rPr>
              <w:t>Priekšlikumi</w:t>
            </w:r>
          </w:p>
          <w:p w:rsidR="00F42992" w:rsidRPr="008E2AF5" w:rsidRDefault="00F42992" w:rsidP="00810CD3">
            <w:pPr>
              <w:jc w:val="center"/>
              <w:rPr>
                <w:b/>
                <w:bCs/>
                <w:iCs/>
                <w:szCs w:val="24"/>
              </w:rPr>
            </w:pPr>
            <w:r w:rsidRPr="008E2AF5">
              <w:rPr>
                <w:b/>
                <w:bCs/>
                <w:iCs/>
                <w:szCs w:val="24"/>
              </w:rPr>
              <w:t>(</w:t>
            </w:r>
            <w:r w:rsidR="00810CD3">
              <w:rPr>
                <w:b/>
                <w:bCs/>
                <w:iCs/>
                <w:szCs w:val="24"/>
              </w:rPr>
              <w:t>6</w:t>
            </w:r>
            <w:r w:rsidRPr="008E2AF5">
              <w:rPr>
                <w:b/>
                <w:bCs/>
                <w:iCs/>
                <w:szCs w:val="24"/>
              </w:rPr>
              <w:t>)</w:t>
            </w:r>
          </w:p>
        </w:tc>
        <w:tc>
          <w:tcPr>
            <w:tcW w:w="1420" w:type="dxa"/>
          </w:tcPr>
          <w:p w:rsidR="00F42992" w:rsidRPr="008E2AF5" w:rsidRDefault="00F42992" w:rsidP="001A7D73">
            <w:pPr>
              <w:jc w:val="center"/>
              <w:rPr>
                <w:b/>
                <w:bCs/>
                <w:iCs/>
                <w:szCs w:val="24"/>
              </w:rPr>
            </w:pPr>
            <w:r w:rsidRPr="008E2AF5">
              <w:rPr>
                <w:b/>
                <w:bCs/>
                <w:iCs/>
                <w:szCs w:val="24"/>
              </w:rPr>
              <w:t>Ministru kabineta atzinums</w:t>
            </w:r>
          </w:p>
        </w:tc>
        <w:tc>
          <w:tcPr>
            <w:tcW w:w="1420" w:type="dxa"/>
          </w:tcPr>
          <w:p w:rsidR="00F42992" w:rsidRPr="008E2AF5" w:rsidRDefault="00F42992" w:rsidP="001A7D73">
            <w:pPr>
              <w:jc w:val="center"/>
              <w:rPr>
                <w:b/>
                <w:bCs/>
                <w:iCs/>
                <w:szCs w:val="24"/>
              </w:rPr>
            </w:pPr>
            <w:r w:rsidRPr="008E2AF5">
              <w:rPr>
                <w:b/>
                <w:bCs/>
                <w:iCs/>
                <w:szCs w:val="24"/>
              </w:rPr>
              <w:t>Komisijas atzinums</w:t>
            </w:r>
          </w:p>
        </w:tc>
      </w:tr>
      <w:tr w:rsidR="00F42992" w:rsidRPr="008E2AF5" w:rsidTr="001A7D73">
        <w:tc>
          <w:tcPr>
            <w:tcW w:w="3960" w:type="dxa"/>
          </w:tcPr>
          <w:p w:rsidR="00F42992" w:rsidRPr="008E2AF5" w:rsidRDefault="00F42992" w:rsidP="001A7D73">
            <w:pPr>
              <w:jc w:val="both"/>
              <w:rPr>
                <w:sz w:val="22"/>
              </w:rPr>
            </w:pPr>
          </w:p>
        </w:tc>
        <w:tc>
          <w:tcPr>
            <w:tcW w:w="3960" w:type="dxa"/>
          </w:tcPr>
          <w:p w:rsidR="00F42992" w:rsidRPr="00517E3F" w:rsidRDefault="0000397E" w:rsidP="0000397E">
            <w:pPr>
              <w:ind w:firstLine="567"/>
              <w:jc w:val="both"/>
              <w:rPr>
                <w:sz w:val="22"/>
              </w:rPr>
            </w:pPr>
            <w:r w:rsidRPr="0000397E">
              <w:rPr>
                <w:sz w:val="22"/>
              </w:rPr>
              <w:t>Izdarīt Valsts un pašvaldību institūciju amatpersonu un darbinieku atlīdzības likumā (Latvijas Vēstnesis, 2009, 199., 200. nr.; 2010, 12., 66., 99., 174., 206. nr.; 2011, 103., 204. nr.; 2012, 190., 203. nr.; 2013, 51., 191., 232., 234., 252. nr.; 2014, 206., 228., 257. nr.) šādus grozījumus:</w:t>
            </w:r>
          </w:p>
        </w:tc>
        <w:tc>
          <w:tcPr>
            <w:tcW w:w="567" w:type="dxa"/>
          </w:tcPr>
          <w:p w:rsidR="00F42992" w:rsidRPr="008E2AF5" w:rsidRDefault="00F42992" w:rsidP="001A7D73">
            <w:pPr>
              <w:jc w:val="center"/>
              <w:rPr>
                <w:b/>
                <w:sz w:val="22"/>
              </w:rPr>
            </w:pPr>
          </w:p>
        </w:tc>
        <w:tc>
          <w:tcPr>
            <w:tcW w:w="3960" w:type="dxa"/>
          </w:tcPr>
          <w:p w:rsidR="00F42992" w:rsidRPr="008E2AF5" w:rsidRDefault="00F42992" w:rsidP="001A7D73">
            <w:pPr>
              <w:ind w:firstLine="567"/>
              <w:jc w:val="both"/>
              <w:rPr>
                <w:b/>
                <w:sz w:val="22"/>
                <w:u w:val="single"/>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F42992" w:rsidRPr="008E2AF5" w:rsidTr="001A7D73">
        <w:tc>
          <w:tcPr>
            <w:tcW w:w="3960" w:type="dxa"/>
          </w:tcPr>
          <w:p w:rsidR="00653774" w:rsidRDefault="00653774" w:rsidP="00D74F32">
            <w:pPr>
              <w:ind w:firstLine="567"/>
              <w:jc w:val="both"/>
              <w:rPr>
                <w:b/>
                <w:bCs/>
                <w:sz w:val="22"/>
                <w:lang w:eastAsia="lv-LV"/>
              </w:rPr>
            </w:pPr>
            <w:r w:rsidRPr="00653774">
              <w:rPr>
                <w:b/>
                <w:bCs/>
                <w:sz w:val="22"/>
                <w:lang w:eastAsia="lv-LV"/>
              </w:rPr>
              <w:t>3.pants. Atlīdzība</w:t>
            </w:r>
          </w:p>
          <w:p w:rsidR="00653774" w:rsidRDefault="00653774" w:rsidP="00D74F32">
            <w:pPr>
              <w:ind w:firstLine="567"/>
              <w:jc w:val="both"/>
              <w:rPr>
                <w:sz w:val="22"/>
                <w:lang w:eastAsia="lv-LV"/>
              </w:rPr>
            </w:pPr>
            <w:r w:rsidRPr="00653774">
              <w:rPr>
                <w:sz w:val="22"/>
                <w:lang w:eastAsia="lv-LV"/>
              </w:rPr>
              <w:t xml:space="preserve"> (5) Šā panta trešā daļa neattiecas uz gadījumiem, kad:</w:t>
            </w:r>
          </w:p>
          <w:p w:rsidR="00653774" w:rsidRPr="00653774" w:rsidRDefault="00653774" w:rsidP="00D74F32">
            <w:pPr>
              <w:ind w:firstLine="567"/>
              <w:jc w:val="both"/>
              <w:rPr>
                <w:sz w:val="22"/>
                <w:u w:val="single"/>
                <w:lang w:eastAsia="lv-LV"/>
              </w:rPr>
            </w:pPr>
            <w:r w:rsidRPr="000C0903">
              <w:rPr>
                <w:sz w:val="22"/>
                <w:lang w:eastAsia="lv-LV"/>
              </w:rPr>
              <w:t>6) likumā un Ministru kabineta noteikumos paredzētajos gadījumos un noteiktajā apmērā nosaka atlīdzību valsts vai pašvaldības kapitāla daļu turētāja pārstāvim vai atbildīgajam darbiniekam</w:t>
            </w:r>
            <w:r w:rsidRPr="00653774">
              <w:rPr>
                <w:sz w:val="22"/>
                <w:u w:val="single"/>
                <w:lang w:eastAsia="lv-LV"/>
              </w:rPr>
              <w:t>;</w:t>
            </w:r>
          </w:p>
        </w:tc>
        <w:tc>
          <w:tcPr>
            <w:tcW w:w="3960" w:type="dxa"/>
          </w:tcPr>
          <w:p w:rsidR="0000397E" w:rsidRPr="0000397E" w:rsidRDefault="0000397E" w:rsidP="0000397E">
            <w:pPr>
              <w:ind w:firstLine="567"/>
              <w:jc w:val="both"/>
              <w:rPr>
                <w:rFonts w:eastAsia="Times New Roman"/>
                <w:sz w:val="22"/>
                <w:lang w:eastAsia="lv-LV"/>
              </w:rPr>
            </w:pPr>
            <w:r w:rsidRPr="0000397E">
              <w:rPr>
                <w:rFonts w:eastAsia="Times New Roman"/>
                <w:sz w:val="22"/>
                <w:lang w:eastAsia="lv-LV"/>
              </w:rPr>
              <w:t>1.  3. pantā:</w:t>
            </w:r>
          </w:p>
          <w:p w:rsidR="00F42992" w:rsidRPr="00517E3F" w:rsidRDefault="0000397E" w:rsidP="0000397E">
            <w:pPr>
              <w:ind w:firstLine="567"/>
              <w:jc w:val="both"/>
              <w:rPr>
                <w:rFonts w:eastAsia="Times New Roman"/>
                <w:sz w:val="22"/>
                <w:lang w:eastAsia="lv-LV"/>
              </w:rPr>
            </w:pPr>
            <w:r w:rsidRPr="0000397E">
              <w:rPr>
                <w:rFonts w:eastAsia="Times New Roman"/>
                <w:sz w:val="22"/>
                <w:lang w:eastAsia="lv-LV"/>
              </w:rPr>
              <w:t xml:space="preserve">izslēgt piektās daļas 6. punktu; </w:t>
            </w:r>
          </w:p>
        </w:tc>
        <w:tc>
          <w:tcPr>
            <w:tcW w:w="567" w:type="dxa"/>
          </w:tcPr>
          <w:p w:rsidR="00F42992" w:rsidRPr="008E2AF5" w:rsidRDefault="00F42992" w:rsidP="001A7D73">
            <w:pPr>
              <w:jc w:val="center"/>
              <w:rPr>
                <w:b/>
                <w:sz w:val="22"/>
              </w:rPr>
            </w:pPr>
          </w:p>
        </w:tc>
        <w:tc>
          <w:tcPr>
            <w:tcW w:w="3960" w:type="dxa"/>
          </w:tcPr>
          <w:p w:rsidR="00F42992" w:rsidRPr="00647F0B" w:rsidRDefault="00F42992" w:rsidP="001A7D73">
            <w:pPr>
              <w:ind w:firstLine="567"/>
              <w:jc w:val="both"/>
              <w:rPr>
                <w:sz w:val="22"/>
              </w:rPr>
            </w:pP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F42992" w:rsidRPr="008E2AF5" w:rsidTr="001A7D73">
        <w:tc>
          <w:tcPr>
            <w:tcW w:w="3960" w:type="dxa"/>
          </w:tcPr>
          <w:p w:rsidR="00F42992" w:rsidRPr="00517E3F" w:rsidRDefault="00F42992" w:rsidP="00833BE7">
            <w:pPr>
              <w:ind w:firstLine="567"/>
              <w:jc w:val="both"/>
              <w:rPr>
                <w:bCs/>
                <w:sz w:val="22"/>
                <w:lang w:eastAsia="lv-LV"/>
              </w:rPr>
            </w:pPr>
          </w:p>
        </w:tc>
        <w:tc>
          <w:tcPr>
            <w:tcW w:w="3960" w:type="dxa"/>
          </w:tcPr>
          <w:p w:rsidR="0000397E" w:rsidRPr="0000397E" w:rsidRDefault="0000397E" w:rsidP="0000397E">
            <w:pPr>
              <w:ind w:firstLine="567"/>
              <w:jc w:val="both"/>
              <w:rPr>
                <w:rFonts w:eastAsia="Times New Roman"/>
                <w:sz w:val="22"/>
                <w:lang w:eastAsia="lv-LV"/>
              </w:rPr>
            </w:pPr>
            <w:r w:rsidRPr="0000397E">
              <w:rPr>
                <w:rFonts w:eastAsia="Times New Roman"/>
                <w:sz w:val="22"/>
                <w:lang w:eastAsia="lv-LV"/>
              </w:rPr>
              <w:t>papildināt pantu ar vienpadsmito daļu šādā redakcijā:</w:t>
            </w:r>
          </w:p>
          <w:p w:rsidR="00F42992" w:rsidRPr="00517E3F" w:rsidRDefault="0000397E" w:rsidP="00A05759">
            <w:pPr>
              <w:ind w:firstLine="567"/>
              <w:jc w:val="both"/>
              <w:rPr>
                <w:rFonts w:eastAsia="Times New Roman"/>
                <w:color w:val="000000"/>
                <w:sz w:val="22"/>
                <w:lang w:eastAsia="lv-LV"/>
              </w:rPr>
            </w:pPr>
            <w:r w:rsidRPr="0000397E">
              <w:rPr>
                <w:rFonts w:eastAsia="Times New Roman"/>
                <w:sz w:val="22"/>
                <w:lang w:eastAsia="lv-LV"/>
              </w:rPr>
              <w:t>"(11) Ministru kabinets nosaka kārtību, kādā piemēro šā likuma 2. panta ceturtajā, 4.</w:t>
            </w:r>
            <w:r w:rsidRPr="0000397E">
              <w:rPr>
                <w:rFonts w:eastAsia="Times New Roman"/>
                <w:sz w:val="22"/>
                <w:vertAlign w:val="superscript"/>
                <w:lang w:eastAsia="lv-LV"/>
              </w:rPr>
              <w:t>1</w:t>
            </w:r>
            <w:r w:rsidRPr="0000397E">
              <w:rPr>
                <w:rFonts w:eastAsia="Times New Roman"/>
                <w:sz w:val="22"/>
                <w:lang w:eastAsia="lv-LV"/>
              </w:rPr>
              <w:t xml:space="preserve"> un 4.</w:t>
            </w:r>
            <w:r w:rsidRPr="0000397E">
              <w:rPr>
                <w:rFonts w:eastAsia="Times New Roman"/>
                <w:sz w:val="22"/>
                <w:vertAlign w:val="superscript"/>
                <w:lang w:eastAsia="lv-LV"/>
              </w:rPr>
              <w:t>2</w:t>
            </w:r>
            <w:r w:rsidRPr="0000397E">
              <w:rPr>
                <w:rFonts w:eastAsia="Times New Roman"/>
                <w:sz w:val="22"/>
                <w:lang w:eastAsia="lv-LV"/>
              </w:rPr>
              <w:t> daļā, kā arī 3. panta devītajā daļā noteikto."</w:t>
            </w:r>
            <w:r w:rsidR="00A05759" w:rsidRPr="00F801F0">
              <w:rPr>
                <w:rStyle w:val="EndnoteReference"/>
                <w:rFonts w:eastAsia="Times New Roman"/>
                <w:b/>
                <w:sz w:val="22"/>
                <w:lang w:eastAsia="lv-LV"/>
              </w:rPr>
              <w:endnoteReference w:id="1"/>
            </w:r>
          </w:p>
        </w:tc>
        <w:tc>
          <w:tcPr>
            <w:tcW w:w="567" w:type="dxa"/>
          </w:tcPr>
          <w:p w:rsidR="00F42992" w:rsidRPr="008E2AF5" w:rsidRDefault="00810CD3" w:rsidP="001A7D73">
            <w:pPr>
              <w:jc w:val="center"/>
              <w:rPr>
                <w:b/>
                <w:sz w:val="22"/>
              </w:rPr>
            </w:pPr>
            <w:r>
              <w:rPr>
                <w:b/>
                <w:sz w:val="22"/>
              </w:rPr>
              <w:t>1</w:t>
            </w:r>
          </w:p>
        </w:tc>
        <w:tc>
          <w:tcPr>
            <w:tcW w:w="3960" w:type="dxa"/>
          </w:tcPr>
          <w:p w:rsidR="00305C3D" w:rsidRPr="00305C3D" w:rsidRDefault="00305C3D" w:rsidP="00305C3D">
            <w:pPr>
              <w:ind w:firstLine="567"/>
              <w:jc w:val="both"/>
              <w:rPr>
                <w:b/>
                <w:sz w:val="22"/>
                <w:u w:val="single"/>
              </w:rPr>
            </w:pPr>
            <w:r w:rsidRPr="00305C3D">
              <w:rPr>
                <w:b/>
                <w:sz w:val="22"/>
                <w:u w:val="single"/>
              </w:rPr>
              <w:t>Juridiskais birojs</w:t>
            </w:r>
          </w:p>
          <w:p w:rsidR="00305C3D" w:rsidRPr="00305C3D" w:rsidRDefault="00305C3D" w:rsidP="00305C3D">
            <w:pPr>
              <w:ind w:firstLine="567"/>
              <w:jc w:val="both"/>
              <w:rPr>
                <w:sz w:val="22"/>
              </w:rPr>
            </w:pPr>
            <w:r w:rsidRPr="00305C3D">
              <w:rPr>
                <w:sz w:val="22"/>
              </w:rPr>
              <w:t>Izteikt likumprojektā paredzēto 3. panta vienpadsmito daļu šādā redakcijā:</w:t>
            </w:r>
          </w:p>
          <w:p w:rsidR="00F42992" w:rsidRPr="008B4C73" w:rsidRDefault="00305C3D" w:rsidP="00305C3D">
            <w:pPr>
              <w:ind w:firstLine="567"/>
              <w:jc w:val="both"/>
              <w:rPr>
                <w:sz w:val="22"/>
              </w:rPr>
            </w:pPr>
            <w:r w:rsidRPr="00305C3D">
              <w:rPr>
                <w:sz w:val="22"/>
              </w:rPr>
              <w:t>„(11) Ministru kabinets nosaka kārtību, kādā tiek publicēta šā likuma 2. panta ceturtajā, 4.</w:t>
            </w:r>
            <w:r w:rsidRPr="00305C3D">
              <w:rPr>
                <w:sz w:val="22"/>
                <w:vertAlign w:val="superscript"/>
              </w:rPr>
              <w:t>1</w:t>
            </w:r>
            <w:r w:rsidRPr="00305C3D">
              <w:rPr>
                <w:sz w:val="22"/>
              </w:rPr>
              <w:t xml:space="preserve"> un 4.</w:t>
            </w:r>
            <w:r w:rsidRPr="00305C3D">
              <w:rPr>
                <w:sz w:val="22"/>
                <w:vertAlign w:val="superscript"/>
              </w:rPr>
              <w:t>2</w:t>
            </w:r>
            <w:r w:rsidRPr="00305C3D">
              <w:rPr>
                <w:sz w:val="22"/>
              </w:rPr>
              <w:t xml:space="preserve"> daļā, kā arī 3. panta devītajā daļā noteiktā informācija par amatpersonu (darbinieku) atlīdzības noteikšanas kritērijiem un darba samaksas apmēru sadalījumā pa amatu grupām.”;</w:t>
            </w:r>
          </w:p>
        </w:tc>
        <w:tc>
          <w:tcPr>
            <w:tcW w:w="1420" w:type="dxa"/>
          </w:tcPr>
          <w:p w:rsidR="00F42992" w:rsidRPr="008E2AF5" w:rsidRDefault="00F42992" w:rsidP="001A7D73">
            <w:pPr>
              <w:jc w:val="center"/>
              <w:rPr>
                <w:sz w:val="22"/>
              </w:rPr>
            </w:pPr>
          </w:p>
        </w:tc>
        <w:tc>
          <w:tcPr>
            <w:tcW w:w="1420" w:type="dxa"/>
          </w:tcPr>
          <w:p w:rsidR="00F42992" w:rsidRPr="008E2AF5" w:rsidRDefault="00F42992" w:rsidP="001A7D73">
            <w:pPr>
              <w:jc w:val="center"/>
              <w:rPr>
                <w:sz w:val="22"/>
              </w:rPr>
            </w:pPr>
          </w:p>
        </w:tc>
      </w:tr>
      <w:tr w:rsidR="0000397E" w:rsidRPr="008E2AF5" w:rsidTr="001A7D73">
        <w:tc>
          <w:tcPr>
            <w:tcW w:w="3960" w:type="dxa"/>
          </w:tcPr>
          <w:p w:rsidR="0000397E" w:rsidRDefault="009912CB" w:rsidP="00833BE7">
            <w:pPr>
              <w:ind w:firstLine="567"/>
              <w:jc w:val="both"/>
              <w:rPr>
                <w:b/>
                <w:bCs/>
                <w:sz w:val="22"/>
                <w:lang w:eastAsia="lv-LV"/>
              </w:rPr>
            </w:pPr>
            <w:r w:rsidRPr="009912CB">
              <w:rPr>
                <w:b/>
                <w:bCs/>
                <w:sz w:val="22"/>
                <w:lang w:eastAsia="lv-LV"/>
              </w:rPr>
              <w:lastRenderedPageBreak/>
              <w:t>3.</w:t>
            </w:r>
            <w:r w:rsidRPr="009912CB">
              <w:rPr>
                <w:b/>
                <w:bCs/>
                <w:sz w:val="22"/>
                <w:vertAlign w:val="superscript"/>
                <w:lang w:eastAsia="lv-LV"/>
              </w:rPr>
              <w:t>1</w:t>
            </w:r>
            <w:r w:rsidRPr="009912CB">
              <w:rPr>
                <w:b/>
                <w:bCs/>
                <w:sz w:val="22"/>
                <w:lang w:eastAsia="lv-LV"/>
              </w:rPr>
              <w:t xml:space="preserve"> pants. Vidējā izpeļņa</w:t>
            </w:r>
          </w:p>
          <w:p w:rsidR="009912CB" w:rsidRPr="00517E3F" w:rsidRDefault="009912CB" w:rsidP="00833BE7">
            <w:pPr>
              <w:ind w:firstLine="567"/>
              <w:jc w:val="both"/>
              <w:rPr>
                <w:bCs/>
                <w:sz w:val="22"/>
                <w:lang w:eastAsia="lv-LV"/>
              </w:rPr>
            </w:pPr>
            <w:r w:rsidRPr="009912CB">
              <w:rPr>
                <w:bCs/>
                <w:sz w:val="22"/>
                <w:lang w:eastAsia="lv-LV"/>
              </w:rPr>
              <w:t xml:space="preserve">(7) Nostrādāto dienu skaitā neietilpst pārejošas darbnespējas dienas, atvaļinājuma dienas, dienas, kad amatpersona (darbinieks) nav pildījusi amata (dienesta, darba) pienākumus šā likuma 3.panta ceturtās daļas 2., 3. un 4.punktā, 26.panta pirmajā daļā, Darba likuma 74.panta pirmajā un sestajā daļā vai citos ārējos normatīvajos aktos noteiktos attaisnotas prombūtnes gadījumos, kā arī gadījumos, kas minēti šā likuma 3.panta piektās daļas </w:t>
            </w:r>
            <w:r w:rsidRPr="009912CB">
              <w:rPr>
                <w:bCs/>
                <w:sz w:val="22"/>
                <w:u w:val="single"/>
                <w:lang w:eastAsia="lv-LV"/>
              </w:rPr>
              <w:t>6. un</w:t>
            </w:r>
            <w:r w:rsidRPr="009912CB">
              <w:rPr>
                <w:bCs/>
                <w:sz w:val="22"/>
                <w:lang w:eastAsia="lv-LV"/>
              </w:rPr>
              <w:t xml:space="preserve"> 7.punktā. Darba samaksā, no kuras aprēķina vidējo izpeļņu, neieskaita darba devēja izmaksāto slimības naudu, atvaļinājuma apmaksu, atlīdzību šā likuma 3.panta ceturtās daļas 2., 3., 4., 7. un 8.punktā, piektās daļas </w:t>
            </w:r>
            <w:r w:rsidRPr="009912CB">
              <w:rPr>
                <w:bCs/>
                <w:sz w:val="22"/>
                <w:u w:val="single"/>
                <w:lang w:eastAsia="lv-LV"/>
              </w:rPr>
              <w:t>6. un</w:t>
            </w:r>
            <w:r w:rsidRPr="009912CB">
              <w:rPr>
                <w:bCs/>
                <w:sz w:val="22"/>
                <w:lang w:eastAsia="lv-LV"/>
              </w:rPr>
              <w:t xml:space="preserve"> 7.punktā, 26.panta pirmajā daļā, Darba likuma 74.panta pirmajā un sestajā daļā minētajos gadījumos vai citos ārējos normatīvajos aktos noteiktos attaisnotas prombūtnes gadījumos.</w:t>
            </w:r>
          </w:p>
        </w:tc>
        <w:tc>
          <w:tcPr>
            <w:tcW w:w="3960" w:type="dxa"/>
          </w:tcPr>
          <w:p w:rsidR="0000397E" w:rsidRPr="00517E3F" w:rsidRDefault="0000397E" w:rsidP="0000397E">
            <w:pPr>
              <w:tabs>
                <w:tab w:val="left" w:pos="1134"/>
              </w:tabs>
              <w:ind w:firstLine="567"/>
              <w:jc w:val="both"/>
              <w:rPr>
                <w:rFonts w:eastAsia="Times New Roman"/>
                <w:color w:val="000000"/>
                <w:sz w:val="22"/>
                <w:lang w:eastAsia="lv-LV"/>
              </w:rPr>
            </w:pPr>
            <w:r w:rsidRPr="0000397E">
              <w:rPr>
                <w:rFonts w:eastAsia="Times New Roman"/>
                <w:color w:val="000000"/>
                <w:sz w:val="22"/>
                <w:lang w:eastAsia="lv-LV"/>
              </w:rPr>
              <w:t>2. Izslēgt 3.</w:t>
            </w:r>
            <w:r w:rsidRPr="0000397E">
              <w:rPr>
                <w:rFonts w:eastAsia="Times New Roman"/>
                <w:color w:val="000000"/>
                <w:sz w:val="22"/>
                <w:vertAlign w:val="superscript"/>
                <w:lang w:eastAsia="lv-LV"/>
              </w:rPr>
              <w:t>1</w:t>
            </w:r>
            <w:r w:rsidRPr="0000397E">
              <w:rPr>
                <w:rFonts w:eastAsia="Times New Roman"/>
                <w:color w:val="000000"/>
                <w:sz w:val="22"/>
                <w:lang w:eastAsia="lv-LV"/>
              </w:rPr>
              <w:t xml:space="preserve"> panta septītās daļas pirmajā un otrajā teikumā skaitli un vārdu "6. un". </w:t>
            </w:r>
          </w:p>
        </w:tc>
        <w:tc>
          <w:tcPr>
            <w:tcW w:w="567" w:type="dxa"/>
          </w:tcPr>
          <w:p w:rsidR="0000397E" w:rsidRPr="008E2AF5" w:rsidRDefault="0000397E" w:rsidP="001A7D73">
            <w:pPr>
              <w:jc w:val="center"/>
              <w:rPr>
                <w:b/>
                <w:sz w:val="22"/>
              </w:rPr>
            </w:pPr>
          </w:p>
        </w:tc>
        <w:tc>
          <w:tcPr>
            <w:tcW w:w="3960" w:type="dxa"/>
          </w:tcPr>
          <w:p w:rsidR="0000397E" w:rsidRPr="008B4C73" w:rsidRDefault="0000397E" w:rsidP="001A7D73">
            <w:pPr>
              <w:ind w:firstLine="567"/>
              <w:jc w:val="both"/>
              <w:rPr>
                <w:sz w:val="22"/>
              </w:rPr>
            </w:pPr>
          </w:p>
        </w:tc>
        <w:tc>
          <w:tcPr>
            <w:tcW w:w="1420" w:type="dxa"/>
          </w:tcPr>
          <w:p w:rsidR="0000397E" w:rsidRPr="008E2AF5" w:rsidRDefault="0000397E" w:rsidP="001A7D73">
            <w:pPr>
              <w:jc w:val="center"/>
              <w:rPr>
                <w:sz w:val="22"/>
              </w:rPr>
            </w:pPr>
          </w:p>
        </w:tc>
        <w:tc>
          <w:tcPr>
            <w:tcW w:w="1420" w:type="dxa"/>
          </w:tcPr>
          <w:p w:rsidR="0000397E" w:rsidRPr="008E2AF5" w:rsidRDefault="0000397E" w:rsidP="001A7D73">
            <w:pPr>
              <w:jc w:val="center"/>
              <w:rPr>
                <w:sz w:val="22"/>
              </w:rPr>
            </w:pPr>
          </w:p>
        </w:tc>
      </w:tr>
      <w:tr w:rsidR="00DE3480" w:rsidRPr="008E2AF5" w:rsidTr="001A7D73">
        <w:tc>
          <w:tcPr>
            <w:tcW w:w="3960" w:type="dxa"/>
          </w:tcPr>
          <w:p w:rsidR="00DE3480" w:rsidRDefault="00A42C83" w:rsidP="00833BE7">
            <w:pPr>
              <w:ind w:firstLine="567"/>
              <w:jc w:val="both"/>
              <w:rPr>
                <w:b/>
                <w:bCs/>
                <w:sz w:val="22"/>
                <w:lang w:eastAsia="lv-LV"/>
              </w:rPr>
            </w:pPr>
            <w:r w:rsidRPr="00A42C83">
              <w:rPr>
                <w:b/>
                <w:bCs/>
                <w:sz w:val="22"/>
                <w:lang w:eastAsia="lv-LV"/>
              </w:rPr>
              <w:t>6.pants. Saeimas ievēlēto, apstiprināto un iecelto amatpersonu, izņemot Korupcijas novēršanas un apkarošanas biroja priekšnieku, mēnešalga</w:t>
            </w:r>
          </w:p>
          <w:p w:rsidR="00A42C83" w:rsidRDefault="00A42C83" w:rsidP="00833BE7">
            <w:pPr>
              <w:ind w:firstLine="567"/>
              <w:jc w:val="both"/>
              <w:rPr>
                <w:bCs/>
                <w:sz w:val="22"/>
                <w:lang w:eastAsia="lv-LV"/>
              </w:rPr>
            </w:pPr>
            <w:r w:rsidRPr="00A42C83">
              <w:rPr>
                <w:bCs/>
                <w:sz w:val="22"/>
                <w:lang w:eastAsia="lv-LV"/>
              </w:rPr>
              <w:t xml:space="preserve">(2) Saeimas ievēlētajām, apstiprinātajām un ieceltajām amatpersonām — valsts kontrolierim un Valsts kontroles padomes locekļiem, tiesībsargam, Nacionālās elektronisko plašsaziņas līdzekļu padomes priekšsēdētājam un locekļiem, Centrālās </w:t>
            </w:r>
            <w:r w:rsidRPr="00A42C83">
              <w:rPr>
                <w:bCs/>
                <w:sz w:val="22"/>
                <w:lang w:eastAsia="lv-LV"/>
              </w:rPr>
              <w:lastRenderedPageBreak/>
              <w:t xml:space="preserve">vēlēšanu komisijas priekšsēdētājam, viņa vietniekam, komisijas sekretāram un locekļiem, Centrālās zemes komisijas priekšsēdētājam, Augstākās izglītības padomes priekšsēdētājam — mēnešalgu nosaka, mēneša vidējās darba samaksas apmēram, kas noapaļots pilnos </w:t>
            </w:r>
            <w:r w:rsidRPr="00A42C83">
              <w:rPr>
                <w:bCs/>
                <w:i/>
                <w:iCs/>
                <w:sz w:val="22"/>
                <w:lang w:eastAsia="lv-LV"/>
              </w:rPr>
              <w:t>euro</w:t>
            </w:r>
            <w:r w:rsidRPr="00A42C83">
              <w:rPr>
                <w:bCs/>
                <w:sz w:val="22"/>
                <w:lang w:eastAsia="lv-LV"/>
              </w:rPr>
              <w:t>, piemērojot šādu koeficientu:</w:t>
            </w:r>
          </w:p>
          <w:p w:rsidR="00A42C83" w:rsidRPr="008D042F" w:rsidRDefault="00A42C83" w:rsidP="00833BE7">
            <w:pPr>
              <w:ind w:firstLine="567"/>
              <w:jc w:val="both"/>
              <w:rPr>
                <w:bCs/>
                <w:sz w:val="22"/>
                <w:u w:val="single"/>
                <w:lang w:eastAsia="lv-LV"/>
              </w:rPr>
            </w:pPr>
            <w:r w:rsidRPr="008D042F">
              <w:rPr>
                <w:bCs/>
                <w:sz w:val="22"/>
                <w:u w:val="single"/>
                <w:lang w:eastAsia="lv-LV"/>
              </w:rPr>
              <w:t>5) tiesībsargam — 3,41;</w:t>
            </w:r>
          </w:p>
        </w:tc>
        <w:tc>
          <w:tcPr>
            <w:tcW w:w="3960" w:type="dxa"/>
          </w:tcPr>
          <w:p w:rsidR="00DE3480" w:rsidRPr="0000397E" w:rsidRDefault="00DE3480" w:rsidP="0000397E">
            <w:pPr>
              <w:tabs>
                <w:tab w:val="left" w:pos="1134"/>
              </w:tabs>
              <w:ind w:firstLine="567"/>
              <w:jc w:val="both"/>
              <w:rPr>
                <w:rFonts w:eastAsia="Times New Roman"/>
                <w:color w:val="000000"/>
                <w:sz w:val="22"/>
                <w:lang w:eastAsia="lv-LV"/>
              </w:rPr>
            </w:pPr>
          </w:p>
        </w:tc>
        <w:tc>
          <w:tcPr>
            <w:tcW w:w="567" w:type="dxa"/>
          </w:tcPr>
          <w:p w:rsidR="00DE3480" w:rsidRPr="008E2AF5" w:rsidRDefault="00810CD3" w:rsidP="001A7D73">
            <w:pPr>
              <w:jc w:val="center"/>
              <w:rPr>
                <w:b/>
                <w:sz w:val="22"/>
              </w:rPr>
            </w:pPr>
            <w:r>
              <w:rPr>
                <w:b/>
                <w:sz w:val="22"/>
              </w:rPr>
              <w:t>2</w:t>
            </w:r>
          </w:p>
        </w:tc>
        <w:tc>
          <w:tcPr>
            <w:tcW w:w="3960" w:type="dxa"/>
          </w:tcPr>
          <w:p w:rsidR="00DE3480" w:rsidRDefault="00DE3480" w:rsidP="001A7D73">
            <w:pPr>
              <w:ind w:firstLine="567"/>
              <w:jc w:val="both"/>
              <w:rPr>
                <w:b/>
                <w:sz w:val="22"/>
                <w:u w:val="single"/>
              </w:rPr>
            </w:pPr>
            <w:r w:rsidRPr="00DE3480">
              <w:rPr>
                <w:b/>
                <w:sz w:val="22"/>
                <w:u w:val="single"/>
              </w:rPr>
              <w:t>Tiesībsargs J.Jansons</w:t>
            </w:r>
          </w:p>
          <w:p w:rsidR="00DE3480" w:rsidRPr="00DE3480" w:rsidRDefault="00DE3480" w:rsidP="001A7D73">
            <w:pPr>
              <w:ind w:firstLine="567"/>
              <w:jc w:val="both"/>
              <w:rPr>
                <w:sz w:val="22"/>
              </w:rPr>
            </w:pPr>
            <w:r w:rsidRPr="00DE3480">
              <w:rPr>
                <w:sz w:val="22"/>
              </w:rPr>
              <w:t>6.panta otrajā daļā izslēgt 5.punktu;</w:t>
            </w:r>
          </w:p>
        </w:tc>
        <w:tc>
          <w:tcPr>
            <w:tcW w:w="1420" w:type="dxa"/>
          </w:tcPr>
          <w:p w:rsidR="00DE3480" w:rsidRPr="008E2AF5" w:rsidRDefault="00DE3480" w:rsidP="001A7D73">
            <w:pPr>
              <w:jc w:val="center"/>
              <w:rPr>
                <w:sz w:val="22"/>
              </w:rPr>
            </w:pPr>
          </w:p>
        </w:tc>
        <w:tc>
          <w:tcPr>
            <w:tcW w:w="1420" w:type="dxa"/>
          </w:tcPr>
          <w:p w:rsidR="00DE3480" w:rsidRPr="008E2AF5" w:rsidRDefault="00DE3480" w:rsidP="001A7D73">
            <w:pPr>
              <w:jc w:val="center"/>
              <w:rPr>
                <w:sz w:val="22"/>
              </w:rPr>
            </w:pPr>
          </w:p>
        </w:tc>
      </w:tr>
      <w:tr w:rsidR="00DE3480" w:rsidRPr="008E2AF5" w:rsidTr="001A7D73">
        <w:tc>
          <w:tcPr>
            <w:tcW w:w="3960" w:type="dxa"/>
          </w:tcPr>
          <w:p w:rsidR="00DE3480" w:rsidRDefault="00810CD3" w:rsidP="00833BE7">
            <w:pPr>
              <w:ind w:firstLine="567"/>
              <w:jc w:val="both"/>
              <w:rPr>
                <w:b/>
                <w:bCs/>
                <w:sz w:val="22"/>
                <w:lang w:eastAsia="lv-LV"/>
              </w:rPr>
            </w:pPr>
            <w:r w:rsidRPr="00810CD3">
              <w:rPr>
                <w:b/>
                <w:bCs/>
                <w:sz w:val="22"/>
                <w:lang w:eastAsia="lv-LV"/>
              </w:rPr>
              <w:lastRenderedPageBreak/>
              <w:t>6.</w:t>
            </w:r>
            <w:r w:rsidRPr="00810CD3">
              <w:rPr>
                <w:b/>
                <w:bCs/>
                <w:sz w:val="22"/>
                <w:vertAlign w:val="superscript"/>
                <w:lang w:eastAsia="lv-LV"/>
              </w:rPr>
              <w:t xml:space="preserve">2 </w:t>
            </w:r>
            <w:r w:rsidRPr="00810CD3">
              <w:rPr>
                <w:b/>
                <w:bCs/>
                <w:sz w:val="22"/>
                <w:lang w:eastAsia="lv-LV"/>
              </w:rPr>
              <w:t>pants. Prokurora mēnešalga</w:t>
            </w:r>
          </w:p>
          <w:p w:rsidR="00810CD3" w:rsidRPr="00810CD3" w:rsidRDefault="00810CD3" w:rsidP="00810CD3">
            <w:pPr>
              <w:ind w:firstLine="567"/>
              <w:jc w:val="both"/>
              <w:rPr>
                <w:bCs/>
                <w:sz w:val="22"/>
                <w:lang w:eastAsia="lv-LV"/>
              </w:rPr>
            </w:pPr>
            <w:r w:rsidRPr="00810CD3">
              <w:rPr>
                <w:bCs/>
                <w:sz w:val="22"/>
                <w:lang w:eastAsia="lv-LV"/>
              </w:rPr>
              <w:t>(1) Prokurora mēnešalgu nosaka, rajona (pilsētas) tiesas tiesneša mēnešalgai piemērojot šādu koeficientu:</w:t>
            </w:r>
          </w:p>
          <w:p w:rsidR="00810CD3" w:rsidRPr="00810CD3" w:rsidRDefault="00810CD3" w:rsidP="00810CD3">
            <w:pPr>
              <w:ind w:firstLine="567"/>
              <w:jc w:val="both"/>
              <w:rPr>
                <w:bCs/>
                <w:sz w:val="22"/>
                <w:lang w:eastAsia="lv-LV"/>
              </w:rPr>
            </w:pPr>
            <w:r w:rsidRPr="00810CD3">
              <w:rPr>
                <w:bCs/>
                <w:sz w:val="22"/>
                <w:lang w:eastAsia="lv-LV"/>
              </w:rPr>
              <w:t>1) rajona (republikas pilsētas) prokuroram — 0,98;</w:t>
            </w:r>
          </w:p>
          <w:p w:rsidR="00810CD3" w:rsidRPr="00810CD3" w:rsidRDefault="00810CD3" w:rsidP="00810CD3">
            <w:pPr>
              <w:ind w:firstLine="567"/>
              <w:jc w:val="both"/>
              <w:rPr>
                <w:bCs/>
                <w:sz w:val="22"/>
                <w:lang w:eastAsia="lv-LV"/>
              </w:rPr>
            </w:pPr>
            <w:r w:rsidRPr="00810CD3">
              <w:rPr>
                <w:bCs/>
                <w:sz w:val="22"/>
                <w:lang w:eastAsia="lv-LV"/>
              </w:rPr>
              <w:t>2) rajona (republikas pilsētas) prokuratūras virsprokurora vietniekam — 1,05;</w:t>
            </w:r>
          </w:p>
          <w:p w:rsidR="00810CD3" w:rsidRPr="00810CD3" w:rsidRDefault="00810CD3" w:rsidP="00810CD3">
            <w:pPr>
              <w:ind w:firstLine="567"/>
              <w:jc w:val="both"/>
              <w:rPr>
                <w:bCs/>
                <w:sz w:val="22"/>
                <w:lang w:eastAsia="lv-LV"/>
              </w:rPr>
            </w:pPr>
            <w:r w:rsidRPr="00810CD3">
              <w:rPr>
                <w:bCs/>
                <w:sz w:val="22"/>
                <w:lang w:eastAsia="lv-LV"/>
              </w:rPr>
              <w:t>3) rajona (republikas pilsētas) prokuratūras virsprokuroram — 1,14;</w:t>
            </w:r>
          </w:p>
          <w:p w:rsidR="00810CD3" w:rsidRPr="00810CD3" w:rsidRDefault="00810CD3" w:rsidP="00810CD3">
            <w:pPr>
              <w:ind w:firstLine="567"/>
              <w:jc w:val="both"/>
              <w:rPr>
                <w:bCs/>
                <w:sz w:val="22"/>
                <w:lang w:eastAsia="lv-LV"/>
              </w:rPr>
            </w:pPr>
            <w:r w:rsidRPr="00810CD3">
              <w:rPr>
                <w:bCs/>
                <w:sz w:val="22"/>
                <w:lang w:eastAsia="lv-LV"/>
              </w:rPr>
              <w:t>4) tiesu apgabala prokuroram — 1,08;</w:t>
            </w:r>
          </w:p>
          <w:p w:rsidR="00810CD3" w:rsidRPr="00810CD3" w:rsidRDefault="00810CD3" w:rsidP="00810CD3">
            <w:pPr>
              <w:ind w:firstLine="567"/>
              <w:jc w:val="both"/>
              <w:rPr>
                <w:bCs/>
                <w:sz w:val="22"/>
                <w:lang w:eastAsia="lv-LV"/>
              </w:rPr>
            </w:pPr>
            <w:r w:rsidRPr="00810CD3">
              <w:rPr>
                <w:bCs/>
                <w:sz w:val="22"/>
                <w:lang w:eastAsia="lv-LV"/>
              </w:rPr>
              <w:t>5) tiesu apgabala virsprokurora vietniekam — 1,15;</w:t>
            </w:r>
          </w:p>
          <w:p w:rsidR="00810CD3" w:rsidRPr="00810CD3" w:rsidRDefault="00810CD3" w:rsidP="00810CD3">
            <w:pPr>
              <w:ind w:firstLine="567"/>
              <w:jc w:val="both"/>
              <w:rPr>
                <w:bCs/>
                <w:sz w:val="22"/>
                <w:lang w:eastAsia="lv-LV"/>
              </w:rPr>
            </w:pPr>
            <w:r w:rsidRPr="00810CD3">
              <w:rPr>
                <w:bCs/>
                <w:sz w:val="22"/>
                <w:lang w:eastAsia="lv-LV"/>
              </w:rPr>
              <w:t>6) tiesu apgabala virsprokuroram — 1,22;</w:t>
            </w:r>
          </w:p>
          <w:p w:rsidR="00810CD3" w:rsidRPr="00810CD3" w:rsidRDefault="00810CD3" w:rsidP="00810CD3">
            <w:pPr>
              <w:ind w:firstLine="567"/>
              <w:jc w:val="both"/>
              <w:rPr>
                <w:bCs/>
                <w:sz w:val="22"/>
                <w:lang w:eastAsia="lv-LV"/>
              </w:rPr>
            </w:pPr>
            <w:r w:rsidRPr="00810CD3">
              <w:rPr>
                <w:bCs/>
                <w:sz w:val="22"/>
                <w:lang w:eastAsia="lv-LV"/>
              </w:rPr>
              <w:t>7) Ģenerālprokuratūras prokuroram — 1,22;</w:t>
            </w:r>
          </w:p>
          <w:p w:rsidR="00810CD3" w:rsidRPr="00810CD3" w:rsidRDefault="00810CD3" w:rsidP="00810CD3">
            <w:pPr>
              <w:ind w:firstLine="567"/>
              <w:jc w:val="both"/>
              <w:rPr>
                <w:bCs/>
                <w:sz w:val="22"/>
                <w:lang w:eastAsia="lv-LV"/>
              </w:rPr>
            </w:pPr>
            <w:r w:rsidRPr="00810CD3">
              <w:rPr>
                <w:bCs/>
                <w:sz w:val="22"/>
                <w:lang w:eastAsia="lv-LV"/>
              </w:rPr>
              <w:t>8) Ģenerālprokuratūras nodaļas virsprokuroram — 1,42;</w:t>
            </w:r>
          </w:p>
          <w:p w:rsidR="00810CD3" w:rsidRPr="00810CD3" w:rsidRDefault="00810CD3" w:rsidP="00810CD3">
            <w:pPr>
              <w:ind w:firstLine="567"/>
              <w:jc w:val="both"/>
              <w:rPr>
                <w:bCs/>
                <w:sz w:val="22"/>
                <w:lang w:eastAsia="lv-LV"/>
              </w:rPr>
            </w:pPr>
            <w:r w:rsidRPr="00810CD3">
              <w:rPr>
                <w:bCs/>
                <w:sz w:val="22"/>
                <w:lang w:eastAsia="lv-LV"/>
              </w:rPr>
              <w:t>9) Ģenerālprokuratūras departamenta virsprokuroram — 1,52;</w:t>
            </w:r>
          </w:p>
          <w:p w:rsidR="00810CD3" w:rsidRPr="00810CD3" w:rsidRDefault="00810CD3" w:rsidP="00810CD3">
            <w:pPr>
              <w:ind w:firstLine="567"/>
              <w:jc w:val="both"/>
              <w:rPr>
                <w:bCs/>
                <w:sz w:val="22"/>
                <w:lang w:eastAsia="lv-LV"/>
              </w:rPr>
            </w:pPr>
            <w:r w:rsidRPr="00810CD3">
              <w:rPr>
                <w:bCs/>
                <w:sz w:val="22"/>
                <w:lang w:eastAsia="lv-LV"/>
              </w:rPr>
              <w:t>10) ģenerālprokuroram — 1,67.</w:t>
            </w:r>
          </w:p>
          <w:p w:rsidR="00810CD3" w:rsidRPr="00810CD3" w:rsidRDefault="00810CD3" w:rsidP="00810CD3">
            <w:pPr>
              <w:ind w:firstLine="567"/>
              <w:jc w:val="both"/>
              <w:rPr>
                <w:bCs/>
                <w:sz w:val="22"/>
                <w:lang w:eastAsia="lv-LV"/>
              </w:rPr>
            </w:pPr>
            <w:r w:rsidRPr="00810CD3">
              <w:rPr>
                <w:bCs/>
                <w:sz w:val="22"/>
                <w:lang w:eastAsia="lv-LV"/>
              </w:rPr>
              <w:t xml:space="preserve">(2) Prokurora amata kandidāts stažēšanās laikā saņem mēnešalgu 80 procentu apmērā no rajona (republikas </w:t>
            </w:r>
            <w:r w:rsidRPr="00810CD3">
              <w:rPr>
                <w:bCs/>
                <w:sz w:val="22"/>
                <w:lang w:eastAsia="lv-LV"/>
              </w:rPr>
              <w:lastRenderedPageBreak/>
              <w:t>pilsētas) prokurora mēnešalgas.</w:t>
            </w:r>
          </w:p>
        </w:tc>
        <w:tc>
          <w:tcPr>
            <w:tcW w:w="3960" w:type="dxa"/>
          </w:tcPr>
          <w:p w:rsidR="00DE3480" w:rsidRPr="0000397E" w:rsidRDefault="00DE3480" w:rsidP="0000397E">
            <w:pPr>
              <w:tabs>
                <w:tab w:val="left" w:pos="1134"/>
              </w:tabs>
              <w:ind w:firstLine="567"/>
              <w:jc w:val="both"/>
              <w:rPr>
                <w:rFonts w:eastAsia="Times New Roman"/>
                <w:color w:val="000000"/>
                <w:sz w:val="22"/>
                <w:lang w:eastAsia="lv-LV"/>
              </w:rPr>
            </w:pPr>
          </w:p>
        </w:tc>
        <w:tc>
          <w:tcPr>
            <w:tcW w:w="567" w:type="dxa"/>
          </w:tcPr>
          <w:p w:rsidR="00DE3480" w:rsidRPr="008E2AF5" w:rsidRDefault="00810CD3" w:rsidP="001A7D73">
            <w:pPr>
              <w:jc w:val="center"/>
              <w:rPr>
                <w:b/>
                <w:sz w:val="22"/>
              </w:rPr>
            </w:pPr>
            <w:r>
              <w:rPr>
                <w:b/>
                <w:sz w:val="22"/>
              </w:rPr>
              <w:t>3</w:t>
            </w:r>
          </w:p>
        </w:tc>
        <w:tc>
          <w:tcPr>
            <w:tcW w:w="3960" w:type="dxa"/>
          </w:tcPr>
          <w:p w:rsidR="00DE3480" w:rsidRDefault="00DE3480" w:rsidP="00DE3480">
            <w:pPr>
              <w:ind w:firstLine="567"/>
              <w:jc w:val="both"/>
              <w:rPr>
                <w:b/>
                <w:sz w:val="22"/>
                <w:u w:val="single"/>
              </w:rPr>
            </w:pPr>
            <w:r w:rsidRPr="00DE3480">
              <w:rPr>
                <w:b/>
                <w:sz w:val="22"/>
                <w:u w:val="single"/>
              </w:rPr>
              <w:t>Tiesībsargs J.Jansons</w:t>
            </w:r>
          </w:p>
          <w:p w:rsidR="00DE3480" w:rsidRPr="00DE3480" w:rsidRDefault="00DE3480" w:rsidP="00DE3480">
            <w:pPr>
              <w:ind w:firstLine="567"/>
              <w:jc w:val="both"/>
              <w:rPr>
                <w:sz w:val="22"/>
              </w:rPr>
            </w:pPr>
            <w:r w:rsidRPr="00DE3480">
              <w:rPr>
                <w:sz w:val="22"/>
              </w:rPr>
              <w:t>Papildināt likumu ar 6.</w:t>
            </w:r>
            <w:r w:rsidRPr="00DE3480">
              <w:rPr>
                <w:sz w:val="22"/>
                <w:vertAlign w:val="superscript"/>
              </w:rPr>
              <w:t>3</w:t>
            </w:r>
            <w:r w:rsidRPr="00DE3480">
              <w:rPr>
                <w:sz w:val="22"/>
              </w:rPr>
              <w:t xml:space="preserve"> pantu šādā redakcijā:</w:t>
            </w:r>
          </w:p>
          <w:p w:rsidR="00DE3480" w:rsidRPr="00DE3480" w:rsidRDefault="00DE3480" w:rsidP="00DE3480">
            <w:pPr>
              <w:ind w:firstLine="567"/>
              <w:jc w:val="both"/>
              <w:rPr>
                <w:sz w:val="22"/>
              </w:rPr>
            </w:pPr>
            <w:r w:rsidRPr="00DE3480">
              <w:rPr>
                <w:sz w:val="22"/>
              </w:rPr>
              <w:t>6.</w:t>
            </w:r>
            <w:r w:rsidRPr="00DE3480">
              <w:rPr>
                <w:sz w:val="22"/>
                <w:vertAlign w:val="superscript"/>
              </w:rPr>
              <w:t xml:space="preserve">3 </w:t>
            </w:r>
            <w:r w:rsidRPr="00DE3480">
              <w:rPr>
                <w:sz w:val="22"/>
              </w:rPr>
              <w:t>Tiesībsarga mēnešalga.</w:t>
            </w:r>
          </w:p>
          <w:p w:rsidR="00DE3480" w:rsidRPr="00DE3480" w:rsidRDefault="00DE3480" w:rsidP="00DE3480">
            <w:pPr>
              <w:ind w:firstLine="567"/>
              <w:jc w:val="both"/>
              <w:rPr>
                <w:b/>
                <w:sz w:val="22"/>
                <w:u w:val="single"/>
              </w:rPr>
            </w:pPr>
            <w:r w:rsidRPr="00DE3480">
              <w:rPr>
                <w:sz w:val="22"/>
              </w:rPr>
              <w:t xml:space="preserve">Tiesībsarga mēnešalgu nosaka, pielīdzinot to valsts tiešās pārvaldes iestādes juridiskās struktūrvienības vadītāja mēnešalgas maksimālajam apmēram (12.mēnešalgu grupa) saskaņā ar šā likuma 3.pielikumu, kam piemērots koeficients - 2,62. </w:t>
            </w:r>
          </w:p>
        </w:tc>
        <w:tc>
          <w:tcPr>
            <w:tcW w:w="1420" w:type="dxa"/>
          </w:tcPr>
          <w:p w:rsidR="00DE3480" w:rsidRPr="008E2AF5" w:rsidRDefault="00DE3480" w:rsidP="001A7D73">
            <w:pPr>
              <w:jc w:val="center"/>
              <w:rPr>
                <w:sz w:val="22"/>
              </w:rPr>
            </w:pPr>
          </w:p>
        </w:tc>
        <w:tc>
          <w:tcPr>
            <w:tcW w:w="1420" w:type="dxa"/>
          </w:tcPr>
          <w:p w:rsidR="00DE3480" w:rsidRPr="008E2AF5" w:rsidRDefault="00DE3480" w:rsidP="001A7D73">
            <w:pPr>
              <w:jc w:val="center"/>
              <w:rPr>
                <w:sz w:val="22"/>
              </w:rPr>
            </w:pPr>
          </w:p>
        </w:tc>
      </w:tr>
      <w:tr w:rsidR="0000397E" w:rsidRPr="008E2AF5" w:rsidTr="001A7D73">
        <w:tc>
          <w:tcPr>
            <w:tcW w:w="3960" w:type="dxa"/>
          </w:tcPr>
          <w:p w:rsidR="0000397E" w:rsidRDefault="00B25F0E" w:rsidP="00833BE7">
            <w:pPr>
              <w:ind w:firstLine="567"/>
              <w:jc w:val="both"/>
              <w:rPr>
                <w:b/>
                <w:bCs/>
                <w:sz w:val="22"/>
                <w:lang w:eastAsia="lv-LV"/>
              </w:rPr>
            </w:pPr>
            <w:r w:rsidRPr="00B25F0E">
              <w:rPr>
                <w:b/>
                <w:bCs/>
                <w:sz w:val="22"/>
                <w:lang w:eastAsia="lv-LV"/>
              </w:rPr>
              <w:lastRenderedPageBreak/>
              <w:t>7.pants. Valsts un pašvaldību institūciju amatu katalogs un mēnešalgu grupas</w:t>
            </w:r>
          </w:p>
          <w:p w:rsidR="00B25F0E" w:rsidRPr="00517E3F" w:rsidRDefault="00B25F0E" w:rsidP="00833BE7">
            <w:pPr>
              <w:ind w:firstLine="567"/>
              <w:jc w:val="both"/>
              <w:rPr>
                <w:bCs/>
                <w:sz w:val="22"/>
                <w:lang w:eastAsia="lv-LV"/>
              </w:rPr>
            </w:pPr>
            <w:r w:rsidRPr="00B25F0E">
              <w:rPr>
                <w:bCs/>
                <w:sz w:val="22"/>
                <w:lang w:eastAsia="lv-LV"/>
              </w:rPr>
              <w:t xml:space="preserve">(4) Amatu saimes un to līmeņus sadala pa mēnešalgu grupām. Mēnešalgu grupas un to maksimālās mēnešalgas nosaka šā likuma 3.pielikums. Amatu saimēm atbilstošās maksimālās </w:t>
            </w:r>
            <w:r w:rsidRPr="00B25F0E">
              <w:rPr>
                <w:bCs/>
                <w:sz w:val="22"/>
                <w:u w:val="single"/>
                <w:lang w:eastAsia="lv-LV"/>
              </w:rPr>
              <w:t>un minimālās</w:t>
            </w:r>
            <w:r w:rsidRPr="00B25F0E">
              <w:rPr>
                <w:bCs/>
                <w:sz w:val="22"/>
                <w:lang w:eastAsia="lv-LV"/>
              </w:rPr>
              <w:t xml:space="preserve"> mēnešalgu grupas nosaka šā likuma 2.pielikums, bet amatu saimju līmeņu sadalījumu pa mēnešalgu grupām, ievērojot šā likuma 2.pielikumu, nosaka Ministru kabinets. Mēnešalgu grupai var noteikt apakšgrupu, nepārsniedzot attiecīgajai mēnešalgu grupai noteikto maksimālo mēnešalgu.</w:t>
            </w:r>
          </w:p>
        </w:tc>
        <w:tc>
          <w:tcPr>
            <w:tcW w:w="3960" w:type="dxa"/>
          </w:tcPr>
          <w:p w:rsidR="0000397E" w:rsidRPr="00517E3F" w:rsidRDefault="0000397E" w:rsidP="0000397E">
            <w:pPr>
              <w:tabs>
                <w:tab w:val="left" w:pos="1134"/>
              </w:tabs>
              <w:ind w:firstLine="567"/>
              <w:jc w:val="both"/>
              <w:rPr>
                <w:rFonts w:eastAsia="Times New Roman"/>
                <w:color w:val="000000"/>
                <w:sz w:val="22"/>
                <w:lang w:eastAsia="lv-LV"/>
              </w:rPr>
            </w:pPr>
            <w:r w:rsidRPr="0000397E">
              <w:rPr>
                <w:rFonts w:eastAsia="Times New Roman"/>
                <w:color w:val="000000"/>
                <w:sz w:val="22"/>
                <w:lang w:eastAsia="lv-LV"/>
              </w:rPr>
              <w:t xml:space="preserve">3. Izslēgt 7. panta ceturtajā daļā vārdus "un minimālās". </w:t>
            </w:r>
          </w:p>
        </w:tc>
        <w:tc>
          <w:tcPr>
            <w:tcW w:w="567" w:type="dxa"/>
          </w:tcPr>
          <w:p w:rsidR="0000397E" w:rsidRPr="008E2AF5" w:rsidRDefault="0000397E" w:rsidP="001A7D73">
            <w:pPr>
              <w:jc w:val="center"/>
              <w:rPr>
                <w:b/>
                <w:sz w:val="22"/>
              </w:rPr>
            </w:pPr>
          </w:p>
        </w:tc>
        <w:tc>
          <w:tcPr>
            <w:tcW w:w="3960" w:type="dxa"/>
          </w:tcPr>
          <w:p w:rsidR="0000397E" w:rsidRPr="008B4C73" w:rsidRDefault="0000397E" w:rsidP="001A7D73">
            <w:pPr>
              <w:ind w:firstLine="567"/>
              <w:jc w:val="both"/>
              <w:rPr>
                <w:sz w:val="22"/>
              </w:rPr>
            </w:pPr>
          </w:p>
        </w:tc>
        <w:tc>
          <w:tcPr>
            <w:tcW w:w="1420" w:type="dxa"/>
          </w:tcPr>
          <w:p w:rsidR="0000397E" w:rsidRPr="008E2AF5" w:rsidRDefault="0000397E" w:rsidP="001A7D73">
            <w:pPr>
              <w:jc w:val="center"/>
              <w:rPr>
                <w:sz w:val="22"/>
              </w:rPr>
            </w:pPr>
          </w:p>
        </w:tc>
        <w:tc>
          <w:tcPr>
            <w:tcW w:w="1420" w:type="dxa"/>
          </w:tcPr>
          <w:p w:rsidR="0000397E" w:rsidRPr="008E2AF5" w:rsidRDefault="0000397E" w:rsidP="001A7D73">
            <w:pPr>
              <w:jc w:val="center"/>
              <w:rPr>
                <w:sz w:val="22"/>
              </w:rPr>
            </w:pPr>
          </w:p>
        </w:tc>
      </w:tr>
      <w:tr w:rsidR="0071621E" w:rsidRPr="008E2AF5" w:rsidTr="001A7D73">
        <w:tc>
          <w:tcPr>
            <w:tcW w:w="3960" w:type="dxa"/>
          </w:tcPr>
          <w:p w:rsidR="00F96AEB" w:rsidRPr="00F96AEB" w:rsidRDefault="00F96AEB" w:rsidP="00F96AEB">
            <w:pPr>
              <w:ind w:firstLine="567"/>
              <w:jc w:val="both"/>
              <w:rPr>
                <w:bCs/>
                <w:sz w:val="22"/>
                <w:lang w:eastAsia="lv-LV"/>
              </w:rPr>
            </w:pPr>
            <w:r w:rsidRPr="00F96AEB">
              <w:rPr>
                <w:b/>
                <w:bCs/>
                <w:sz w:val="22"/>
                <w:lang w:eastAsia="lv-LV"/>
              </w:rPr>
              <w:t>26.pants. Kompensācija mācību izdevumu segšanai</w:t>
            </w:r>
          </w:p>
          <w:p w:rsidR="0071621E" w:rsidRPr="00461E78" w:rsidRDefault="00F96AEB" w:rsidP="00F96AEB">
            <w:pPr>
              <w:ind w:firstLine="567"/>
              <w:jc w:val="both"/>
              <w:rPr>
                <w:bCs/>
                <w:sz w:val="22"/>
                <w:u w:val="single"/>
                <w:lang w:eastAsia="lv-LV"/>
              </w:rPr>
            </w:pPr>
            <w:r w:rsidRPr="00461E78">
              <w:rPr>
                <w:bCs/>
                <w:sz w:val="22"/>
                <w:u w:val="single"/>
                <w:lang w:eastAsia="lv-LV"/>
              </w:rPr>
              <w:t xml:space="preserve"> (3) Pašvaldību amatpersonām (darbiniekiem) izmaksājamā kompensācija mācību izdevumu segšanai nepārsniedz 30 procentus no gada mācību maksas. Tās piešķiršanas kārtību, kritērijus un apmērus, atmaksāšanas nosacījumus un kārtību, kā arī gadījumus, kad attiecīgos izdevumus neatmaksā, nosaka attiecīgās pašvaldības dome.</w:t>
            </w:r>
          </w:p>
        </w:tc>
        <w:tc>
          <w:tcPr>
            <w:tcW w:w="3960" w:type="dxa"/>
          </w:tcPr>
          <w:p w:rsidR="0071621E" w:rsidRPr="0000397E" w:rsidRDefault="0071621E" w:rsidP="0000397E">
            <w:pPr>
              <w:tabs>
                <w:tab w:val="left" w:pos="1134"/>
              </w:tabs>
              <w:ind w:firstLine="567"/>
              <w:jc w:val="both"/>
              <w:rPr>
                <w:rFonts w:eastAsia="Times New Roman"/>
                <w:color w:val="000000"/>
                <w:sz w:val="22"/>
                <w:lang w:eastAsia="lv-LV"/>
              </w:rPr>
            </w:pPr>
          </w:p>
        </w:tc>
        <w:tc>
          <w:tcPr>
            <w:tcW w:w="567" w:type="dxa"/>
          </w:tcPr>
          <w:p w:rsidR="0071621E" w:rsidRPr="008E2AF5" w:rsidRDefault="00810CD3" w:rsidP="001A7D73">
            <w:pPr>
              <w:jc w:val="center"/>
              <w:rPr>
                <w:b/>
                <w:sz w:val="22"/>
              </w:rPr>
            </w:pPr>
            <w:r>
              <w:rPr>
                <w:b/>
                <w:sz w:val="22"/>
              </w:rPr>
              <w:t>4</w:t>
            </w:r>
          </w:p>
        </w:tc>
        <w:tc>
          <w:tcPr>
            <w:tcW w:w="3960" w:type="dxa"/>
          </w:tcPr>
          <w:p w:rsidR="000B774F" w:rsidRDefault="0071621E" w:rsidP="000B774F">
            <w:pPr>
              <w:ind w:firstLine="567"/>
              <w:jc w:val="both"/>
              <w:rPr>
                <w:b/>
                <w:sz w:val="22"/>
                <w:u w:val="single"/>
              </w:rPr>
            </w:pPr>
            <w:r w:rsidRPr="0071621E">
              <w:rPr>
                <w:b/>
                <w:sz w:val="22"/>
                <w:u w:val="single"/>
              </w:rPr>
              <w:t>Deputāte S.Šimfa</w:t>
            </w:r>
          </w:p>
          <w:p w:rsidR="000B774F" w:rsidRPr="000B774F" w:rsidRDefault="000B774F" w:rsidP="000B774F">
            <w:pPr>
              <w:ind w:firstLine="567"/>
              <w:jc w:val="both"/>
              <w:rPr>
                <w:b/>
                <w:sz w:val="22"/>
              </w:rPr>
            </w:pPr>
            <w:r w:rsidRPr="000B774F">
              <w:rPr>
                <w:sz w:val="22"/>
              </w:rPr>
              <w:t>Izteikt 26. panta trešo daļu šādā redakcijā:</w:t>
            </w:r>
          </w:p>
          <w:p w:rsidR="0071621E" w:rsidRPr="0071621E" w:rsidRDefault="000B774F" w:rsidP="000B774F">
            <w:pPr>
              <w:ind w:firstLine="567"/>
              <w:jc w:val="both"/>
              <w:rPr>
                <w:b/>
                <w:sz w:val="22"/>
                <w:u w:val="single"/>
              </w:rPr>
            </w:pPr>
            <w:r w:rsidRPr="000B774F">
              <w:rPr>
                <w:sz w:val="22"/>
              </w:rPr>
              <w:t>“(3) Pašvaldību amatpersonām (darbiniekiem) izmaksājamās kompensācijas mācību izdevumu segšanai apmēru, tās piešķiršanas kārtību, kritērijus, atmaksāšanas nosacījumus un kārtību, kā arī gadījumus, kad attiecīgos izdevumus neatmaksā, nosaka attiecīgās pašvaldības dome.”</w:t>
            </w:r>
          </w:p>
        </w:tc>
        <w:tc>
          <w:tcPr>
            <w:tcW w:w="1420" w:type="dxa"/>
          </w:tcPr>
          <w:p w:rsidR="0071621E" w:rsidRPr="008E2AF5" w:rsidRDefault="0071621E" w:rsidP="001A7D73">
            <w:pPr>
              <w:jc w:val="center"/>
              <w:rPr>
                <w:sz w:val="22"/>
              </w:rPr>
            </w:pPr>
          </w:p>
        </w:tc>
        <w:tc>
          <w:tcPr>
            <w:tcW w:w="1420" w:type="dxa"/>
          </w:tcPr>
          <w:p w:rsidR="0071621E" w:rsidRPr="008E2AF5" w:rsidRDefault="0071621E" w:rsidP="001A7D73">
            <w:pPr>
              <w:jc w:val="center"/>
              <w:rPr>
                <w:sz w:val="22"/>
              </w:rPr>
            </w:pPr>
          </w:p>
        </w:tc>
      </w:tr>
      <w:tr w:rsidR="0000397E" w:rsidRPr="008E2AF5" w:rsidTr="001A7D73">
        <w:tc>
          <w:tcPr>
            <w:tcW w:w="3960" w:type="dxa"/>
          </w:tcPr>
          <w:p w:rsidR="0000397E" w:rsidRDefault="000109E4" w:rsidP="00833BE7">
            <w:pPr>
              <w:ind w:firstLine="567"/>
              <w:jc w:val="both"/>
              <w:rPr>
                <w:b/>
                <w:bCs/>
                <w:sz w:val="22"/>
                <w:lang w:eastAsia="lv-LV"/>
              </w:rPr>
            </w:pPr>
            <w:r w:rsidRPr="000109E4">
              <w:rPr>
                <w:b/>
                <w:bCs/>
                <w:sz w:val="22"/>
                <w:lang w:eastAsia="lv-LV"/>
              </w:rPr>
              <w:t>41.pants. Ikgadējais apmaksātais atvaļinājums</w:t>
            </w:r>
          </w:p>
          <w:p w:rsidR="000109E4" w:rsidRPr="000109E4" w:rsidRDefault="000109E4" w:rsidP="00833BE7">
            <w:pPr>
              <w:ind w:firstLine="567"/>
              <w:jc w:val="both"/>
              <w:rPr>
                <w:bCs/>
                <w:sz w:val="22"/>
                <w:lang w:eastAsia="lv-LV"/>
              </w:rPr>
            </w:pPr>
            <w:r w:rsidRPr="000109E4">
              <w:rPr>
                <w:bCs/>
                <w:sz w:val="22"/>
                <w:lang w:eastAsia="lv-LV"/>
              </w:rPr>
              <w:t xml:space="preserve">(3) Karavīram piešķir apmaksātu ikgadējo atvaļinājumu — 30 kalendāra dienas, neskaitot svētku dienas. Lidotājam, gaisakuģa apkalpē dienošam karavīram, kuģa apkalpē dienošam jūrniekam un sapierim spridzinātājam, </w:t>
            </w:r>
            <w:r w:rsidRPr="000109E4">
              <w:rPr>
                <w:bCs/>
                <w:sz w:val="22"/>
                <w:lang w:eastAsia="lv-LV"/>
              </w:rPr>
              <w:lastRenderedPageBreak/>
              <w:t xml:space="preserve">kurš veic spridzināšanas darbus, piešķir 40 kalendāra dienas ilgu atvaļinājumu. Pēc katriem pieciem aktīvajā dienestā nepārtraukti nodienētiem gadiem ikgadējo apmaksāto atvaļinājumu pagarina par trim dienām, bet ne vairāk kā par 15 kalendāra dienām kopumā. Nav atļauts ikgadējo atvaļinājumu kompensēt naudā, izņemot gadījumu, kad no profesionālā dienesta atvaļina karavīru, kas nav izmantojis ikgadējo atvaļinājumu. Kompensējot atvaļinājumu naudā, neizmaksā atvaļinājuma pabalstu, nepiešķir uzturdevu natūrā un neizmaksā tās vērtību naudā. </w:t>
            </w:r>
            <w:r w:rsidRPr="000109E4">
              <w:rPr>
                <w:bCs/>
                <w:sz w:val="22"/>
                <w:u w:val="single"/>
                <w:lang w:eastAsia="lv-LV"/>
              </w:rPr>
              <w:t>Karavīram atvaļināšanas gadā atvaļinājuma kompensāciju aprēķina par laikposmu no gada sākuma līdz atvaļināšanas dienai (par katru nodienēto mēnesi — proporcionāli nodienētajam laikam, ievērojot šīs daļas pirmā un otrā teikuma nosacījumus), ja Militārā dienesta likumā nav noteikts citādi.</w:t>
            </w:r>
          </w:p>
        </w:tc>
        <w:tc>
          <w:tcPr>
            <w:tcW w:w="3960" w:type="dxa"/>
          </w:tcPr>
          <w:p w:rsidR="0000397E" w:rsidRPr="0000397E" w:rsidRDefault="0000397E" w:rsidP="0000397E">
            <w:pPr>
              <w:tabs>
                <w:tab w:val="left" w:pos="1134"/>
              </w:tabs>
              <w:ind w:firstLine="567"/>
              <w:jc w:val="both"/>
              <w:rPr>
                <w:rFonts w:eastAsia="Times New Roman"/>
                <w:color w:val="000000"/>
                <w:sz w:val="22"/>
                <w:lang w:eastAsia="lv-LV"/>
              </w:rPr>
            </w:pPr>
            <w:r w:rsidRPr="0000397E">
              <w:rPr>
                <w:rFonts w:eastAsia="Times New Roman"/>
                <w:color w:val="000000"/>
                <w:sz w:val="22"/>
                <w:lang w:eastAsia="lv-LV"/>
              </w:rPr>
              <w:lastRenderedPageBreak/>
              <w:t>4. Izteikt 41. panta trešās daļas pēdējo teikumu šādā redakcijā:</w:t>
            </w:r>
          </w:p>
          <w:p w:rsidR="0000397E" w:rsidRPr="00517E3F" w:rsidRDefault="0000397E" w:rsidP="0000397E">
            <w:pPr>
              <w:tabs>
                <w:tab w:val="left" w:pos="1134"/>
              </w:tabs>
              <w:ind w:firstLine="567"/>
              <w:jc w:val="both"/>
              <w:rPr>
                <w:rFonts w:eastAsia="Times New Roman"/>
                <w:color w:val="000000"/>
                <w:sz w:val="22"/>
                <w:lang w:eastAsia="lv-LV"/>
              </w:rPr>
            </w:pPr>
            <w:r w:rsidRPr="0000397E">
              <w:rPr>
                <w:rFonts w:eastAsia="Times New Roman"/>
                <w:color w:val="000000"/>
                <w:sz w:val="22"/>
                <w:lang w:eastAsia="lv-LV"/>
              </w:rPr>
              <w:t xml:space="preserve">"Karavīram atvaļināšanas gadā atvaļinājuma kompensāciju aprēķina par laikposmu no gada sākuma līdz atvaļināšanas dienai (par katru nodienēto mēnesi proporcionāli nodienētajam laikam, ievērojot šīs daļas pirmajā, otrajā </w:t>
            </w:r>
            <w:r w:rsidRPr="0000397E">
              <w:rPr>
                <w:rFonts w:eastAsia="Times New Roman"/>
                <w:color w:val="000000"/>
                <w:sz w:val="22"/>
                <w:lang w:eastAsia="lv-LV"/>
              </w:rPr>
              <w:lastRenderedPageBreak/>
              <w:t xml:space="preserve">un trešajā teikumā minētos nosacījumus), ja Militārā dienesta likumā nav noteikts citādi." </w:t>
            </w:r>
          </w:p>
        </w:tc>
        <w:tc>
          <w:tcPr>
            <w:tcW w:w="567" w:type="dxa"/>
          </w:tcPr>
          <w:p w:rsidR="0000397E" w:rsidRPr="008E2AF5" w:rsidRDefault="0000397E" w:rsidP="001A7D73">
            <w:pPr>
              <w:jc w:val="center"/>
              <w:rPr>
                <w:b/>
                <w:sz w:val="22"/>
              </w:rPr>
            </w:pPr>
          </w:p>
        </w:tc>
        <w:tc>
          <w:tcPr>
            <w:tcW w:w="3960" w:type="dxa"/>
          </w:tcPr>
          <w:p w:rsidR="0000397E" w:rsidRPr="008B4C73" w:rsidRDefault="0000397E" w:rsidP="001A7D73">
            <w:pPr>
              <w:ind w:firstLine="567"/>
              <w:jc w:val="both"/>
              <w:rPr>
                <w:sz w:val="22"/>
              </w:rPr>
            </w:pPr>
          </w:p>
        </w:tc>
        <w:tc>
          <w:tcPr>
            <w:tcW w:w="1420" w:type="dxa"/>
          </w:tcPr>
          <w:p w:rsidR="0000397E" w:rsidRPr="008E2AF5" w:rsidRDefault="0000397E" w:rsidP="001A7D73">
            <w:pPr>
              <w:jc w:val="center"/>
              <w:rPr>
                <w:sz w:val="22"/>
              </w:rPr>
            </w:pPr>
          </w:p>
        </w:tc>
        <w:tc>
          <w:tcPr>
            <w:tcW w:w="1420" w:type="dxa"/>
          </w:tcPr>
          <w:p w:rsidR="0000397E" w:rsidRPr="008E2AF5" w:rsidRDefault="0000397E" w:rsidP="001A7D73">
            <w:pPr>
              <w:jc w:val="center"/>
              <w:rPr>
                <w:sz w:val="22"/>
              </w:rPr>
            </w:pPr>
          </w:p>
        </w:tc>
      </w:tr>
      <w:tr w:rsidR="0000397E" w:rsidRPr="008E2AF5" w:rsidTr="001A7D73">
        <w:tc>
          <w:tcPr>
            <w:tcW w:w="3960" w:type="dxa"/>
          </w:tcPr>
          <w:p w:rsidR="0000397E" w:rsidRDefault="00F64006" w:rsidP="00833BE7">
            <w:pPr>
              <w:ind w:firstLine="567"/>
              <w:jc w:val="both"/>
              <w:rPr>
                <w:b/>
                <w:bCs/>
                <w:sz w:val="22"/>
                <w:lang w:eastAsia="lv-LV"/>
              </w:rPr>
            </w:pPr>
            <w:r w:rsidRPr="00F64006">
              <w:rPr>
                <w:b/>
                <w:bCs/>
                <w:sz w:val="22"/>
                <w:lang w:eastAsia="lv-LV"/>
              </w:rPr>
              <w:lastRenderedPageBreak/>
              <w:t>Pārejas noteikumi</w:t>
            </w:r>
          </w:p>
          <w:p w:rsidR="00F64006" w:rsidRPr="00F64006" w:rsidRDefault="00F64006" w:rsidP="00833BE7">
            <w:pPr>
              <w:ind w:firstLine="567"/>
              <w:jc w:val="both"/>
              <w:rPr>
                <w:bCs/>
                <w:sz w:val="22"/>
                <w:lang w:eastAsia="lv-LV"/>
              </w:rPr>
            </w:pPr>
            <w:r w:rsidRPr="00F64006">
              <w:rPr>
                <w:bCs/>
                <w:sz w:val="22"/>
                <w:lang w:eastAsia="lv-LV"/>
              </w:rPr>
              <w:t>8.</w:t>
            </w:r>
            <w:r w:rsidRPr="00F64006">
              <w:rPr>
                <w:bCs/>
                <w:sz w:val="22"/>
                <w:vertAlign w:val="superscript"/>
                <w:lang w:eastAsia="lv-LV"/>
              </w:rPr>
              <w:t>15</w:t>
            </w:r>
            <w:r w:rsidRPr="00F64006">
              <w:rPr>
                <w:bCs/>
                <w:sz w:val="22"/>
                <w:lang w:eastAsia="lv-LV"/>
              </w:rPr>
              <w:t xml:space="preserve"> </w:t>
            </w:r>
            <w:r w:rsidRPr="00F64006">
              <w:rPr>
                <w:bCs/>
                <w:sz w:val="22"/>
                <w:u w:val="single"/>
                <w:lang w:eastAsia="lv-LV"/>
              </w:rPr>
              <w:t>2014. un 2015.gadā</w:t>
            </w:r>
            <w:r w:rsidRPr="00F64006">
              <w:rPr>
                <w:bCs/>
                <w:sz w:val="22"/>
                <w:lang w:eastAsia="lv-LV"/>
              </w:rPr>
              <w:t xml:space="preserve"> atbilstoši institūcijā noteiktajai prēmēšanas kārtībai un kritērijiem papildus šā likuma 16.pantā noteiktajam var prēmēt:</w:t>
            </w:r>
          </w:p>
        </w:tc>
        <w:tc>
          <w:tcPr>
            <w:tcW w:w="3960" w:type="dxa"/>
          </w:tcPr>
          <w:p w:rsidR="0000397E" w:rsidRPr="0000397E" w:rsidRDefault="0000397E" w:rsidP="0000397E">
            <w:pPr>
              <w:tabs>
                <w:tab w:val="left" w:pos="1134"/>
              </w:tabs>
              <w:ind w:firstLine="567"/>
              <w:jc w:val="both"/>
              <w:rPr>
                <w:rFonts w:eastAsia="Times New Roman"/>
                <w:color w:val="000000"/>
                <w:sz w:val="22"/>
                <w:lang w:eastAsia="lv-LV"/>
              </w:rPr>
            </w:pPr>
            <w:r w:rsidRPr="0000397E">
              <w:rPr>
                <w:rFonts w:eastAsia="Times New Roman"/>
                <w:color w:val="000000"/>
                <w:sz w:val="22"/>
                <w:lang w:eastAsia="lv-LV"/>
              </w:rPr>
              <w:t>5. Pārejas noteikumos:</w:t>
            </w:r>
          </w:p>
          <w:p w:rsidR="0000397E" w:rsidRPr="00517E3F" w:rsidRDefault="0000397E" w:rsidP="0000397E">
            <w:pPr>
              <w:tabs>
                <w:tab w:val="left" w:pos="1134"/>
              </w:tabs>
              <w:ind w:firstLine="567"/>
              <w:jc w:val="both"/>
              <w:rPr>
                <w:rFonts w:eastAsia="Times New Roman"/>
                <w:color w:val="000000"/>
                <w:sz w:val="22"/>
                <w:lang w:eastAsia="lv-LV"/>
              </w:rPr>
            </w:pPr>
            <w:r w:rsidRPr="0000397E">
              <w:rPr>
                <w:rFonts w:eastAsia="Times New Roman"/>
                <w:color w:val="000000"/>
                <w:sz w:val="22"/>
                <w:lang w:eastAsia="lv-LV"/>
              </w:rPr>
              <w:t>aizstāt 8.</w:t>
            </w:r>
            <w:r w:rsidRPr="0000397E">
              <w:rPr>
                <w:rFonts w:eastAsia="Times New Roman"/>
                <w:color w:val="000000"/>
                <w:sz w:val="22"/>
                <w:vertAlign w:val="superscript"/>
                <w:lang w:eastAsia="lv-LV"/>
              </w:rPr>
              <w:t>15 </w:t>
            </w:r>
            <w:r w:rsidRPr="0000397E">
              <w:rPr>
                <w:rFonts w:eastAsia="Times New Roman"/>
                <w:color w:val="000000"/>
                <w:sz w:val="22"/>
                <w:lang w:eastAsia="lv-LV"/>
              </w:rPr>
              <w:t>punkta ievaddaļā skaitļus un vārdus "2014. un 2015. gadā" ar vārdiem un skaitļiem "</w:t>
            </w:r>
            <w:r w:rsidRPr="00F64006">
              <w:rPr>
                <w:rFonts w:eastAsia="Times New Roman"/>
                <w:color w:val="000000"/>
                <w:sz w:val="22"/>
                <w:u w:val="single"/>
                <w:lang w:eastAsia="lv-LV"/>
              </w:rPr>
              <w:t>No 2014. gada līdz 2018. gadam ieskaitot</w:t>
            </w:r>
            <w:r w:rsidRPr="0000397E">
              <w:rPr>
                <w:rFonts w:eastAsia="Times New Roman"/>
                <w:color w:val="000000"/>
                <w:sz w:val="22"/>
                <w:lang w:eastAsia="lv-LV"/>
              </w:rPr>
              <w:t>";</w:t>
            </w:r>
          </w:p>
        </w:tc>
        <w:tc>
          <w:tcPr>
            <w:tcW w:w="567" w:type="dxa"/>
          </w:tcPr>
          <w:p w:rsidR="0000397E" w:rsidRPr="008E2AF5" w:rsidRDefault="00810CD3" w:rsidP="001A7D73">
            <w:pPr>
              <w:jc w:val="center"/>
              <w:rPr>
                <w:b/>
                <w:sz w:val="22"/>
              </w:rPr>
            </w:pPr>
            <w:r>
              <w:rPr>
                <w:b/>
                <w:sz w:val="22"/>
              </w:rPr>
              <w:t>5</w:t>
            </w:r>
          </w:p>
        </w:tc>
        <w:tc>
          <w:tcPr>
            <w:tcW w:w="3960" w:type="dxa"/>
          </w:tcPr>
          <w:p w:rsidR="00305C3D" w:rsidRPr="00305C3D" w:rsidRDefault="00305C3D" w:rsidP="00305C3D">
            <w:pPr>
              <w:ind w:firstLine="567"/>
              <w:jc w:val="both"/>
              <w:rPr>
                <w:b/>
                <w:sz w:val="22"/>
                <w:u w:val="single"/>
              </w:rPr>
            </w:pPr>
            <w:r w:rsidRPr="00305C3D">
              <w:rPr>
                <w:b/>
                <w:sz w:val="22"/>
                <w:u w:val="single"/>
              </w:rPr>
              <w:t>Juridiskais birojs</w:t>
            </w:r>
          </w:p>
          <w:p w:rsidR="002F0924" w:rsidRPr="002F0924" w:rsidRDefault="002F0924" w:rsidP="002F0924">
            <w:pPr>
              <w:ind w:firstLine="567"/>
              <w:jc w:val="both"/>
              <w:rPr>
                <w:sz w:val="22"/>
              </w:rPr>
            </w:pPr>
            <w:r w:rsidRPr="002F0924">
              <w:rPr>
                <w:sz w:val="22"/>
              </w:rPr>
              <w:t>Izteikt likumprojekta 5. panta pirmo daļu šādā redakcijā:</w:t>
            </w:r>
          </w:p>
          <w:p w:rsidR="0000397E" w:rsidRDefault="002F0924" w:rsidP="000C0903">
            <w:pPr>
              <w:ind w:firstLine="567"/>
              <w:jc w:val="both"/>
              <w:rPr>
                <w:sz w:val="22"/>
              </w:rPr>
            </w:pPr>
            <w:r w:rsidRPr="002F0924">
              <w:rPr>
                <w:sz w:val="22"/>
              </w:rPr>
              <w:t>„aizstāt 8.</w:t>
            </w:r>
            <w:r w:rsidRPr="002F0924">
              <w:rPr>
                <w:sz w:val="22"/>
                <w:vertAlign w:val="superscript"/>
              </w:rPr>
              <w:t>15</w:t>
            </w:r>
            <w:r w:rsidRPr="002F0924">
              <w:rPr>
                <w:sz w:val="22"/>
              </w:rPr>
              <w:t xml:space="preserve"> punkta ievaddaļā skaitļus un vārdus „2014. un 2015. gadā” ar vārdiem un skaitļiem „2014., 2015., 2016., 2017. un 2018. gadā””.</w:t>
            </w:r>
          </w:p>
          <w:p w:rsidR="000C0903" w:rsidRPr="008B4C73" w:rsidRDefault="000C0903" w:rsidP="000C0903">
            <w:pPr>
              <w:ind w:firstLine="567"/>
              <w:jc w:val="both"/>
              <w:rPr>
                <w:sz w:val="22"/>
              </w:rPr>
            </w:pPr>
          </w:p>
        </w:tc>
        <w:tc>
          <w:tcPr>
            <w:tcW w:w="1420" w:type="dxa"/>
          </w:tcPr>
          <w:p w:rsidR="0000397E" w:rsidRPr="008E2AF5" w:rsidRDefault="0000397E" w:rsidP="001A7D73">
            <w:pPr>
              <w:jc w:val="center"/>
              <w:rPr>
                <w:sz w:val="22"/>
              </w:rPr>
            </w:pPr>
          </w:p>
        </w:tc>
        <w:tc>
          <w:tcPr>
            <w:tcW w:w="1420" w:type="dxa"/>
          </w:tcPr>
          <w:p w:rsidR="0000397E" w:rsidRPr="008E2AF5" w:rsidRDefault="0000397E" w:rsidP="001A7D73">
            <w:pPr>
              <w:jc w:val="center"/>
              <w:rPr>
                <w:sz w:val="22"/>
              </w:rPr>
            </w:pPr>
          </w:p>
        </w:tc>
      </w:tr>
      <w:tr w:rsidR="0000397E" w:rsidRPr="008E2AF5" w:rsidTr="001A7D73">
        <w:tc>
          <w:tcPr>
            <w:tcW w:w="3960" w:type="dxa"/>
          </w:tcPr>
          <w:p w:rsidR="0000397E" w:rsidRPr="00517E3F" w:rsidRDefault="00F64006" w:rsidP="00833BE7">
            <w:pPr>
              <w:ind w:firstLine="567"/>
              <w:jc w:val="both"/>
              <w:rPr>
                <w:bCs/>
                <w:sz w:val="22"/>
                <w:lang w:eastAsia="lv-LV"/>
              </w:rPr>
            </w:pPr>
            <w:r w:rsidRPr="00F64006">
              <w:rPr>
                <w:bCs/>
                <w:sz w:val="22"/>
                <w:lang w:eastAsia="lv-LV"/>
              </w:rPr>
              <w:t xml:space="preserve">5) valsts un pašvaldību institūciju amatpersonas (darbiniekus) atbilstoši institūcijā noteiktajai prēmēšanas kārtībai un kritērijiem, ja šo amatpersonu (darbinieku) darbības rezultātā ir nodrošināta valsts vai pašvaldību budžeta </w:t>
            </w:r>
            <w:r w:rsidRPr="00F64006">
              <w:rPr>
                <w:bCs/>
                <w:sz w:val="22"/>
                <w:lang w:eastAsia="lv-LV"/>
              </w:rPr>
              <w:lastRenderedPageBreak/>
              <w:t xml:space="preserve">izdevumu samazināšana vai izdevumu ekonomija, kā arī uzlaboti attiecīgās institūcijas darbības izpildes rādītāji. Lēmumu par valsts institūciju amatpersonu (darbinieku) prēmēšanu pieņem Ministru kabinets par </w:t>
            </w:r>
            <w:r w:rsidRPr="00F64006">
              <w:rPr>
                <w:bCs/>
                <w:sz w:val="22"/>
                <w:u w:val="single"/>
                <w:lang w:eastAsia="lv-LV"/>
              </w:rPr>
              <w:t>attiecīgi 2014. vai 2015.gada</w:t>
            </w:r>
            <w:r w:rsidRPr="00F64006">
              <w:rPr>
                <w:bCs/>
                <w:sz w:val="22"/>
                <w:lang w:eastAsia="lv-LV"/>
              </w:rPr>
              <w:t xml:space="preserve"> pirmo deviņu mēnešu faktisko izpildi, pamatojoties uz informāciju, ko sniedzis par nozari atbildīgais ministrs vai Ministru prezidents. Lēmumu par pašvaldības institūciju amatpersonu (darbinieku) prēmēšanu pieņem pašvaldības dome par </w:t>
            </w:r>
            <w:r w:rsidRPr="00F64006">
              <w:rPr>
                <w:bCs/>
                <w:sz w:val="22"/>
                <w:u w:val="single"/>
                <w:lang w:eastAsia="lv-LV"/>
              </w:rPr>
              <w:t>attiecīgi 2014. vai 2015.gada</w:t>
            </w:r>
            <w:r w:rsidRPr="00F64006">
              <w:rPr>
                <w:bCs/>
                <w:sz w:val="22"/>
                <w:lang w:eastAsia="lv-LV"/>
              </w:rPr>
              <w:t xml:space="preserve"> pirmo deviņu mēnešu faktisko izpildi. Prēmiju izmaksai valsts institūcijas var izmantot ne vairāk kā piecus procentus no gadskārtējā valsts budžeta likumā atlīdzībai paredzētā līdzekļu apjoma, savukārt pašvaldības institūcijas — ne vairāk kā piecus procentus no pašvaldības budžetā atlīdzībai paredzētā līdzekļu apjoma.</w:t>
            </w:r>
          </w:p>
        </w:tc>
        <w:tc>
          <w:tcPr>
            <w:tcW w:w="3960" w:type="dxa"/>
          </w:tcPr>
          <w:p w:rsidR="0000397E" w:rsidRPr="00517E3F" w:rsidRDefault="0000397E" w:rsidP="0000397E">
            <w:pPr>
              <w:tabs>
                <w:tab w:val="left" w:pos="1134"/>
              </w:tabs>
              <w:ind w:firstLine="567"/>
              <w:jc w:val="both"/>
              <w:rPr>
                <w:rFonts w:eastAsia="Times New Roman"/>
                <w:color w:val="000000"/>
                <w:sz w:val="22"/>
                <w:lang w:eastAsia="lv-LV"/>
              </w:rPr>
            </w:pPr>
            <w:r w:rsidRPr="0000397E">
              <w:rPr>
                <w:rFonts w:eastAsia="Times New Roman"/>
                <w:color w:val="000000"/>
                <w:sz w:val="22"/>
                <w:lang w:eastAsia="lv-LV"/>
              </w:rPr>
              <w:lastRenderedPageBreak/>
              <w:t>aizstāt 8.</w:t>
            </w:r>
            <w:r w:rsidRPr="0000397E">
              <w:rPr>
                <w:rFonts w:eastAsia="Times New Roman"/>
                <w:color w:val="000000"/>
                <w:sz w:val="22"/>
                <w:vertAlign w:val="superscript"/>
                <w:lang w:eastAsia="lv-LV"/>
              </w:rPr>
              <w:t>15 </w:t>
            </w:r>
            <w:r w:rsidRPr="0000397E">
              <w:rPr>
                <w:rFonts w:eastAsia="Times New Roman"/>
                <w:color w:val="000000"/>
                <w:sz w:val="22"/>
                <w:lang w:eastAsia="lv-LV"/>
              </w:rPr>
              <w:t>punkta 5. apakšpunktā vārdus un skaitļus "attiecīgi 2014. vai 2015. gada" ar vārdiem "</w:t>
            </w:r>
            <w:r w:rsidRPr="00F64006">
              <w:rPr>
                <w:rFonts w:eastAsia="Times New Roman"/>
                <w:color w:val="000000"/>
                <w:sz w:val="22"/>
                <w:u w:val="single"/>
                <w:lang w:eastAsia="lv-LV"/>
              </w:rPr>
              <w:t>attiecīgā gada</w:t>
            </w:r>
            <w:r w:rsidRPr="0000397E">
              <w:rPr>
                <w:rFonts w:eastAsia="Times New Roman"/>
                <w:color w:val="000000"/>
                <w:sz w:val="22"/>
                <w:lang w:eastAsia="lv-LV"/>
              </w:rPr>
              <w:t>".</w:t>
            </w:r>
          </w:p>
        </w:tc>
        <w:tc>
          <w:tcPr>
            <w:tcW w:w="567" w:type="dxa"/>
          </w:tcPr>
          <w:p w:rsidR="0000397E" w:rsidRPr="008E2AF5" w:rsidRDefault="0000397E" w:rsidP="001A7D73">
            <w:pPr>
              <w:jc w:val="center"/>
              <w:rPr>
                <w:b/>
                <w:sz w:val="22"/>
              </w:rPr>
            </w:pPr>
          </w:p>
        </w:tc>
        <w:tc>
          <w:tcPr>
            <w:tcW w:w="3960" w:type="dxa"/>
          </w:tcPr>
          <w:p w:rsidR="0000397E" w:rsidRPr="008B4C73" w:rsidRDefault="0000397E" w:rsidP="001A7D73">
            <w:pPr>
              <w:ind w:firstLine="567"/>
              <w:jc w:val="both"/>
              <w:rPr>
                <w:sz w:val="22"/>
              </w:rPr>
            </w:pPr>
          </w:p>
        </w:tc>
        <w:tc>
          <w:tcPr>
            <w:tcW w:w="1420" w:type="dxa"/>
          </w:tcPr>
          <w:p w:rsidR="0000397E" w:rsidRPr="008E2AF5" w:rsidRDefault="0000397E" w:rsidP="001A7D73">
            <w:pPr>
              <w:jc w:val="center"/>
              <w:rPr>
                <w:sz w:val="22"/>
              </w:rPr>
            </w:pPr>
          </w:p>
        </w:tc>
        <w:tc>
          <w:tcPr>
            <w:tcW w:w="1420" w:type="dxa"/>
          </w:tcPr>
          <w:p w:rsidR="0000397E" w:rsidRPr="008E2AF5" w:rsidRDefault="0000397E" w:rsidP="001A7D73">
            <w:pPr>
              <w:jc w:val="center"/>
              <w:rPr>
                <w:sz w:val="22"/>
              </w:rPr>
            </w:pPr>
          </w:p>
        </w:tc>
      </w:tr>
      <w:tr w:rsidR="0000397E" w:rsidRPr="008E2AF5" w:rsidTr="001A7D73">
        <w:tc>
          <w:tcPr>
            <w:tcW w:w="3960" w:type="dxa"/>
          </w:tcPr>
          <w:p w:rsidR="000B3F81" w:rsidRPr="000B3F81" w:rsidRDefault="000B3F81" w:rsidP="000B3F81">
            <w:pPr>
              <w:ind w:firstLine="567"/>
              <w:jc w:val="right"/>
              <w:rPr>
                <w:bCs/>
                <w:sz w:val="22"/>
                <w:lang w:eastAsia="lv-LV"/>
              </w:rPr>
            </w:pPr>
            <w:r w:rsidRPr="000B3F81">
              <w:rPr>
                <w:bCs/>
                <w:sz w:val="22"/>
                <w:lang w:eastAsia="lv-LV"/>
              </w:rPr>
              <w:lastRenderedPageBreak/>
              <w:t xml:space="preserve">Valsts un pašvaldību institūciju amatpersonu un </w:t>
            </w:r>
            <w:r w:rsidRPr="000B3F81">
              <w:rPr>
                <w:bCs/>
                <w:sz w:val="22"/>
                <w:lang w:eastAsia="lv-LV"/>
              </w:rPr>
              <w:br/>
              <w:t xml:space="preserve">darbinieku atlīdzības likuma </w:t>
            </w:r>
            <w:r w:rsidRPr="000B3F81">
              <w:rPr>
                <w:bCs/>
                <w:sz w:val="22"/>
                <w:lang w:eastAsia="lv-LV"/>
              </w:rPr>
              <w:br/>
            </w:r>
            <w:bookmarkStart w:id="0" w:name="piel1"/>
            <w:bookmarkEnd w:id="0"/>
            <w:r w:rsidRPr="000B3F81">
              <w:rPr>
                <w:bCs/>
                <w:sz w:val="22"/>
                <w:lang w:eastAsia="lv-LV"/>
              </w:rPr>
              <w:t>1.pielikums</w:t>
            </w:r>
          </w:p>
          <w:p w:rsidR="000B3F81" w:rsidRPr="000B3F81" w:rsidRDefault="000B3F81" w:rsidP="000B3F81">
            <w:pPr>
              <w:ind w:firstLine="567"/>
              <w:jc w:val="both"/>
              <w:rPr>
                <w:b/>
                <w:bCs/>
                <w:sz w:val="22"/>
                <w:lang w:eastAsia="lv-LV"/>
              </w:rPr>
            </w:pPr>
            <w:bookmarkStart w:id="1" w:name="455588"/>
            <w:bookmarkEnd w:id="1"/>
            <w:r w:rsidRPr="000B3F81">
              <w:rPr>
                <w:b/>
                <w:bCs/>
                <w:sz w:val="22"/>
                <w:lang w:eastAsia="lv-LV"/>
              </w:rPr>
              <w:t>Valsts un pašvaldību institūciju amatu saimes, apakšsaimes un to apraksts</w:t>
            </w:r>
          </w:p>
          <w:p w:rsidR="0000397E" w:rsidRPr="00517E3F" w:rsidRDefault="0000397E" w:rsidP="00833BE7">
            <w:pPr>
              <w:ind w:firstLine="567"/>
              <w:jc w:val="both"/>
              <w:rPr>
                <w:bCs/>
                <w:sz w:val="22"/>
                <w:lang w:eastAsia="lv-LV"/>
              </w:rPr>
            </w:pPr>
          </w:p>
        </w:tc>
        <w:tc>
          <w:tcPr>
            <w:tcW w:w="3960" w:type="dxa"/>
          </w:tcPr>
          <w:p w:rsidR="0000397E" w:rsidRPr="0000397E" w:rsidRDefault="0000397E" w:rsidP="0000397E">
            <w:pPr>
              <w:tabs>
                <w:tab w:val="left" w:pos="1134"/>
              </w:tabs>
              <w:ind w:firstLine="567"/>
              <w:jc w:val="both"/>
              <w:rPr>
                <w:rFonts w:eastAsia="Times New Roman"/>
                <w:color w:val="000000"/>
                <w:sz w:val="22"/>
                <w:lang w:eastAsia="lv-LV"/>
              </w:rPr>
            </w:pPr>
            <w:r w:rsidRPr="0000397E">
              <w:rPr>
                <w:rFonts w:eastAsia="Times New Roman"/>
                <w:color w:val="000000"/>
                <w:sz w:val="22"/>
                <w:lang w:eastAsia="lv-LV"/>
              </w:rPr>
              <w:t xml:space="preserve">6. Papildināt 1. pielikumu ar 57. punktu šādā redakcijā: </w:t>
            </w:r>
          </w:p>
          <w:p w:rsidR="0000397E" w:rsidRPr="0000397E" w:rsidRDefault="0000397E" w:rsidP="0000397E">
            <w:pPr>
              <w:tabs>
                <w:tab w:val="left" w:pos="1134"/>
              </w:tabs>
              <w:ind w:firstLine="567"/>
              <w:jc w:val="both"/>
              <w:rPr>
                <w:rFonts w:eastAsia="Times New Roman"/>
                <w:color w:val="000000"/>
                <w:sz w:val="22"/>
                <w:lang w:eastAsia="lv-LV"/>
              </w:rPr>
            </w:pPr>
            <w:r w:rsidRPr="0000397E">
              <w:rPr>
                <w:rFonts w:eastAsia="Times New Roman"/>
                <w:color w:val="000000"/>
                <w:sz w:val="22"/>
                <w:lang w:eastAsia="lv-LV"/>
              </w:rPr>
              <w:t>"</w:t>
            </w:r>
            <w:r w:rsidRPr="0000397E">
              <w:rPr>
                <w:rFonts w:eastAsia="Times New Roman"/>
                <w:b/>
                <w:color w:val="000000"/>
                <w:sz w:val="22"/>
                <w:lang w:eastAsia="lv-LV"/>
              </w:rPr>
              <w:t>57. Tūrisma organizēšana</w:t>
            </w:r>
          </w:p>
          <w:p w:rsidR="0000397E" w:rsidRPr="00517E3F" w:rsidRDefault="0000397E" w:rsidP="0000397E">
            <w:pPr>
              <w:tabs>
                <w:tab w:val="left" w:pos="1134"/>
              </w:tabs>
              <w:ind w:firstLine="567"/>
              <w:jc w:val="both"/>
              <w:rPr>
                <w:rFonts w:eastAsia="Times New Roman"/>
                <w:color w:val="000000"/>
                <w:sz w:val="22"/>
                <w:lang w:eastAsia="lv-LV"/>
              </w:rPr>
            </w:pPr>
            <w:r w:rsidRPr="0000397E">
              <w:rPr>
                <w:rFonts w:eastAsia="Times New Roman"/>
                <w:color w:val="000000"/>
                <w:sz w:val="22"/>
                <w:lang w:eastAsia="lv-LV"/>
              </w:rPr>
              <w:t xml:space="preserve">Šajā saimē ietilpst amati, kuru pildītāji nodrošina tūrisma pakalpojumu informācijas apkopošanu, nodrošina informācijas sniegšanu par tūrisma objektiem un pakalpojumiem un sekmē tūrisma attīstību." </w:t>
            </w:r>
          </w:p>
        </w:tc>
        <w:tc>
          <w:tcPr>
            <w:tcW w:w="567" w:type="dxa"/>
          </w:tcPr>
          <w:p w:rsidR="0000397E" w:rsidRPr="008E2AF5" w:rsidRDefault="0000397E" w:rsidP="001A7D73">
            <w:pPr>
              <w:jc w:val="center"/>
              <w:rPr>
                <w:b/>
                <w:sz w:val="22"/>
              </w:rPr>
            </w:pPr>
          </w:p>
        </w:tc>
        <w:tc>
          <w:tcPr>
            <w:tcW w:w="3960" w:type="dxa"/>
          </w:tcPr>
          <w:p w:rsidR="0000397E" w:rsidRPr="008B4C73" w:rsidRDefault="0000397E" w:rsidP="00CB40DF">
            <w:pPr>
              <w:ind w:firstLine="567"/>
              <w:jc w:val="both"/>
              <w:rPr>
                <w:sz w:val="22"/>
              </w:rPr>
            </w:pPr>
          </w:p>
        </w:tc>
        <w:tc>
          <w:tcPr>
            <w:tcW w:w="1420" w:type="dxa"/>
          </w:tcPr>
          <w:p w:rsidR="0000397E" w:rsidRPr="008E2AF5" w:rsidRDefault="0000397E" w:rsidP="001A7D73">
            <w:pPr>
              <w:jc w:val="center"/>
              <w:rPr>
                <w:sz w:val="22"/>
              </w:rPr>
            </w:pPr>
          </w:p>
        </w:tc>
        <w:tc>
          <w:tcPr>
            <w:tcW w:w="1420" w:type="dxa"/>
          </w:tcPr>
          <w:p w:rsidR="0000397E" w:rsidRPr="008E2AF5" w:rsidRDefault="0000397E" w:rsidP="001A7D73">
            <w:pPr>
              <w:jc w:val="center"/>
              <w:rPr>
                <w:sz w:val="22"/>
              </w:rPr>
            </w:pPr>
          </w:p>
        </w:tc>
      </w:tr>
      <w:tr w:rsidR="0000397E" w:rsidRPr="008E2AF5" w:rsidTr="001A7D73">
        <w:tc>
          <w:tcPr>
            <w:tcW w:w="3960" w:type="dxa"/>
          </w:tcPr>
          <w:p w:rsidR="000B3F81" w:rsidRPr="000B3F81" w:rsidRDefault="000B3F81" w:rsidP="000B3F81">
            <w:pPr>
              <w:ind w:firstLine="567"/>
              <w:jc w:val="right"/>
              <w:rPr>
                <w:bCs/>
                <w:sz w:val="22"/>
                <w:lang w:eastAsia="lv-LV"/>
              </w:rPr>
            </w:pPr>
            <w:bookmarkStart w:id="2" w:name="piel2"/>
            <w:bookmarkEnd w:id="2"/>
            <w:r w:rsidRPr="000B3F81">
              <w:rPr>
                <w:bCs/>
                <w:sz w:val="22"/>
                <w:lang w:eastAsia="lv-LV"/>
              </w:rPr>
              <w:t>2.pielikums</w:t>
            </w:r>
          </w:p>
          <w:p w:rsidR="000B3F81" w:rsidRDefault="000B3F81" w:rsidP="000B3F81">
            <w:pPr>
              <w:ind w:firstLine="567"/>
              <w:jc w:val="both"/>
              <w:rPr>
                <w:b/>
                <w:bCs/>
                <w:sz w:val="22"/>
                <w:lang w:eastAsia="lv-LV"/>
              </w:rPr>
            </w:pPr>
            <w:bookmarkStart w:id="3" w:name="539085"/>
            <w:bookmarkEnd w:id="3"/>
            <w:r w:rsidRPr="000B3F81">
              <w:rPr>
                <w:b/>
                <w:bCs/>
                <w:sz w:val="22"/>
                <w:lang w:eastAsia="lv-LV"/>
              </w:rPr>
              <w:t>Amatu saimei (apakšsaimei) atbilstošā maksimālā mēnešalgu grupa</w:t>
            </w:r>
          </w:p>
          <w:tbl>
            <w:tblPr>
              <w:tblW w:w="5000" w:type="pct"/>
              <w:tblCellSpacing w:w="15" w:type="dxa"/>
              <w:tblBorders>
                <w:top w:val="outset" w:sz="6" w:space="0" w:color="C0C0C0"/>
                <w:left w:val="outset" w:sz="6" w:space="0" w:color="C0C0C0"/>
                <w:bottom w:val="outset" w:sz="6" w:space="0" w:color="C0C0C0"/>
                <w:right w:val="outset" w:sz="6" w:space="0" w:color="C0C0C0"/>
              </w:tblBorders>
              <w:tblLayout w:type="fixed"/>
              <w:tblCellMar>
                <w:top w:w="30" w:type="dxa"/>
                <w:left w:w="30" w:type="dxa"/>
                <w:bottom w:w="30" w:type="dxa"/>
                <w:right w:w="30" w:type="dxa"/>
              </w:tblCellMar>
              <w:tblLook w:val="04A0" w:firstRow="1" w:lastRow="0" w:firstColumn="1" w:lastColumn="0" w:noHBand="0" w:noVBand="1"/>
            </w:tblPr>
            <w:tblGrid>
              <w:gridCol w:w="767"/>
              <w:gridCol w:w="1545"/>
              <w:gridCol w:w="1416"/>
            </w:tblGrid>
            <w:tr w:rsidR="0079362C" w:rsidRPr="0079362C" w:rsidTr="0079362C">
              <w:trPr>
                <w:trHeight w:val="45"/>
                <w:tblCellSpacing w:w="15" w:type="dxa"/>
              </w:trPr>
              <w:tc>
                <w:tcPr>
                  <w:tcW w:w="1000" w:type="pct"/>
                  <w:tcBorders>
                    <w:top w:val="outset" w:sz="6" w:space="0" w:color="C0C0C0"/>
                    <w:left w:val="outset" w:sz="6" w:space="0" w:color="C0C0C0"/>
                    <w:bottom w:val="outset" w:sz="6" w:space="0" w:color="C0C0C0"/>
                    <w:right w:val="outset" w:sz="6" w:space="0" w:color="C0C0C0"/>
                  </w:tcBorders>
                  <w:shd w:val="clear" w:color="auto" w:fill="FFFFFF"/>
                  <w:hideMark/>
                </w:tcPr>
                <w:p w:rsidR="0079362C" w:rsidRPr="0079362C" w:rsidRDefault="0079362C" w:rsidP="0079362C">
                  <w:pPr>
                    <w:spacing w:before="100" w:beforeAutospacing="1" w:after="100" w:afterAutospacing="1" w:line="45" w:lineRule="atLeast"/>
                    <w:jc w:val="center"/>
                    <w:rPr>
                      <w:rFonts w:eastAsia="Times New Roman"/>
                      <w:b/>
                      <w:bCs/>
                      <w:sz w:val="22"/>
                      <w:lang w:eastAsia="lv-LV"/>
                    </w:rPr>
                  </w:pPr>
                  <w:r w:rsidRPr="0079362C">
                    <w:rPr>
                      <w:rFonts w:eastAsia="Times New Roman"/>
                      <w:b/>
                      <w:bCs/>
                      <w:sz w:val="22"/>
                      <w:lang w:eastAsia="lv-LV"/>
                    </w:rPr>
                    <w:t xml:space="preserve">Nr. </w:t>
                  </w:r>
                  <w:r w:rsidRPr="0079362C">
                    <w:rPr>
                      <w:rFonts w:eastAsia="Times New Roman"/>
                      <w:b/>
                      <w:bCs/>
                      <w:sz w:val="22"/>
                      <w:lang w:eastAsia="lv-LV"/>
                    </w:rPr>
                    <w:lastRenderedPageBreak/>
                    <w:t>p.k.</w:t>
                  </w:r>
                </w:p>
              </w:tc>
              <w:tc>
                <w:tcPr>
                  <w:tcW w:w="21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9362C" w:rsidRPr="0079362C" w:rsidRDefault="0079362C" w:rsidP="0079362C">
                  <w:pPr>
                    <w:spacing w:before="100" w:beforeAutospacing="1" w:after="100" w:afterAutospacing="1" w:line="45" w:lineRule="atLeast"/>
                    <w:jc w:val="center"/>
                    <w:rPr>
                      <w:rFonts w:eastAsia="Times New Roman"/>
                      <w:b/>
                      <w:bCs/>
                      <w:sz w:val="22"/>
                      <w:lang w:eastAsia="lv-LV"/>
                    </w:rPr>
                  </w:pPr>
                  <w:r w:rsidRPr="0079362C">
                    <w:rPr>
                      <w:rFonts w:eastAsia="Times New Roman"/>
                      <w:b/>
                      <w:bCs/>
                      <w:sz w:val="22"/>
                      <w:lang w:eastAsia="lv-LV"/>
                    </w:rPr>
                    <w:lastRenderedPageBreak/>
                    <w:t xml:space="preserve">Amatu saimes </w:t>
                  </w:r>
                  <w:r w:rsidRPr="0079362C">
                    <w:rPr>
                      <w:rFonts w:eastAsia="Times New Roman"/>
                      <w:b/>
                      <w:bCs/>
                      <w:sz w:val="22"/>
                      <w:lang w:eastAsia="lv-LV"/>
                    </w:rPr>
                    <w:lastRenderedPageBreak/>
                    <w:t>(apakšsaimes) numurs</w:t>
                  </w:r>
                </w:p>
              </w:tc>
              <w:tc>
                <w:tcPr>
                  <w:tcW w:w="1900"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rsidR="0079362C" w:rsidRPr="0079362C" w:rsidRDefault="0079362C" w:rsidP="0079362C">
                  <w:pPr>
                    <w:spacing w:before="100" w:beforeAutospacing="1" w:after="100" w:afterAutospacing="1" w:line="45" w:lineRule="atLeast"/>
                    <w:jc w:val="center"/>
                    <w:rPr>
                      <w:rFonts w:eastAsia="Times New Roman"/>
                      <w:b/>
                      <w:bCs/>
                      <w:sz w:val="22"/>
                      <w:lang w:eastAsia="lv-LV"/>
                    </w:rPr>
                  </w:pPr>
                  <w:r w:rsidRPr="0079362C">
                    <w:rPr>
                      <w:rFonts w:eastAsia="Times New Roman"/>
                      <w:b/>
                      <w:bCs/>
                      <w:sz w:val="22"/>
                      <w:lang w:eastAsia="lv-LV"/>
                    </w:rPr>
                    <w:lastRenderedPageBreak/>
                    <w:t xml:space="preserve">Maksimālā </w:t>
                  </w:r>
                  <w:r w:rsidRPr="0079362C">
                    <w:rPr>
                      <w:rFonts w:eastAsia="Times New Roman"/>
                      <w:b/>
                      <w:bCs/>
                      <w:sz w:val="22"/>
                      <w:lang w:eastAsia="lv-LV"/>
                    </w:rPr>
                    <w:lastRenderedPageBreak/>
                    <w:t>mēnešalgu grupa</w:t>
                  </w:r>
                </w:p>
              </w:tc>
            </w:tr>
          </w:tbl>
          <w:p w:rsidR="0000397E" w:rsidRPr="00517E3F" w:rsidRDefault="0000397E" w:rsidP="00833BE7">
            <w:pPr>
              <w:ind w:firstLine="567"/>
              <w:jc w:val="both"/>
              <w:rPr>
                <w:bCs/>
                <w:sz w:val="22"/>
                <w:lang w:eastAsia="lv-LV"/>
              </w:rPr>
            </w:pPr>
          </w:p>
        </w:tc>
        <w:tc>
          <w:tcPr>
            <w:tcW w:w="3960" w:type="dxa"/>
          </w:tcPr>
          <w:p w:rsidR="00123349" w:rsidRPr="00123349" w:rsidRDefault="00123349" w:rsidP="00123349">
            <w:pPr>
              <w:ind w:firstLine="567"/>
              <w:jc w:val="both"/>
              <w:rPr>
                <w:rFonts w:eastAsia="Times New Roman"/>
                <w:color w:val="000000"/>
                <w:sz w:val="22"/>
                <w:lang w:eastAsia="lv-LV"/>
              </w:rPr>
            </w:pPr>
            <w:r w:rsidRPr="00123349">
              <w:rPr>
                <w:rFonts w:eastAsia="Times New Roman"/>
                <w:sz w:val="22"/>
                <w:lang w:eastAsia="lv-LV"/>
              </w:rPr>
              <w:lastRenderedPageBreak/>
              <w:t>7. Papildināt 2. pielikumu ar 85. punktu šādā redakcijā:</w:t>
            </w:r>
          </w:p>
          <w:tbl>
            <w:tblPr>
              <w:tblW w:w="3771" w:type="dxa"/>
              <w:jc w:val="center"/>
              <w:tblInd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993"/>
              <w:gridCol w:w="1621"/>
            </w:tblGrid>
            <w:tr w:rsidR="00F23718" w:rsidRPr="00123349" w:rsidTr="00461E78">
              <w:trPr>
                <w:jc w:val="center"/>
              </w:trPr>
              <w:tc>
                <w:tcPr>
                  <w:tcW w:w="1157" w:type="dxa"/>
                  <w:shd w:val="clear" w:color="auto" w:fill="auto"/>
                </w:tcPr>
                <w:p w:rsidR="00123349" w:rsidRPr="00123349" w:rsidRDefault="00123349" w:rsidP="00123349">
                  <w:pPr>
                    <w:jc w:val="both"/>
                    <w:rPr>
                      <w:rFonts w:eastAsia="Times New Roman"/>
                      <w:color w:val="000000"/>
                      <w:sz w:val="22"/>
                      <w:lang w:eastAsia="lv-LV"/>
                    </w:rPr>
                  </w:pPr>
                  <w:r w:rsidRPr="00123349">
                    <w:rPr>
                      <w:rFonts w:eastAsia="Times New Roman"/>
                      <w:color w:val="000000"/>
                      <w:sz w:val="22"/>
                      <w:lang w:eastAsia="lv-LV"/>
                    </w:rPr>
                    <w:t>"85.</w:t>
                  </w:r>
                </w:p>
              </w:tc>
              <w:tc>
                <w:tcPr>
                  <w:tcW w:w="993" w:type="dxa"/>
                  <w:shd w:val="clear" w:color="auto" w:fill="auto"/>
                </w:tcPr>
                <w:p w:rsidR="00123349" w:rsidRPr="00123349" w:rsidRDefault="00123349" w:rsidP="00123349">
                  <w:pPr>
                    <w:jc w:val="both"/>
                    <w:rPr>
                      <w:rFonts w:eastAsia="Times New Roman"/>
                      <w:color w:val="000000"/>
                      <w:sz w:val="22"/>
                      <w:lang w:eastAsia="lv-LV"/>
                    </w:rPr>
                  </w:pPr>
                  <w:r w:rsidRPr="00123349">
                    <w:rPr>
                      <w:rFonts w:eastAsia="Times New Roman"/>
                      <w:color w:val="000000"/>
                      <w:sz w:val="22"/>
                      <w:lang w:eastAsia="lv-LV"/>
                    </w:rPr>
                    <w:t>57</w:t>
                  </w:r>
                </w:p>
              </w:tc>
              <w:tc>
                <w:tcPr>
                  <w:tcW w:w="1621" w:type="dxa"/>
                  <w:shd w:val="clear" w:color="auto" w:fill="auto"/>
                </w:tcPr>
                <w:p w:rsidR="00123349" w:rsidRPr="00123349" w:rsidRDefault="00123349" w:rsidP="00123349">
                  <w:pPr>
                    <w:jc w:val="both"/>
                    <w:rPr>
                      <w:rFonts w:eastAsia="Times New Roman"/>
                      <w:color w:val="000000"/>
                      <w:sz w:val="22"/>
                      <w:lang w:eastAsia="lv-LV"/>
                    </w:rPr>
                  </w:pPr>
                  <w:r w:rsidRPr="00123349">
                    <w:rPr>
                      <w:rFonts w:eastAsia="Times New Roman"/>
                      <w:color w:val="000000"/>
                      <w:sz w:val="22"/>
                      <w:lang w:eastAsia="lv-LV"/>
                    </w:rPr>
                    <w:t>11"</w:t>
                  </w:r>
                </w:p>
              </w:tc>
            </w:tr>
          </w:tbl>
          <w:p w:rsidR="0000397E" w:rsidRPr="00517E3F" w:rsidRDefault="0000397E" w:rsidP="00581185">
            <w:pPr>
              <w:tabs>
                <w:tab w:val="left" w:pos="1134"/>
              </w:tabs>
              <w:ind w:firstLine="567"/>
              <w:jc w:val="both"/>
              <w:rPr>
                <w:rFonts w:eastAsia="Times New Roman"/>
                <w:color w:val="000000"/>
                <w:sz w:val="22"/>
                <w:lang w:eastAsia="lv-LV"/>
              </w:rPr>
            </w:pPr>
          </w:p>
        </w:tc>
        <w:tc>
          <w:tcPr>
            <w:tcW w:w="567" w:type="dxa"/>
          </w:tcPr>
          <w:p w:rsidR="0000397E" w:rsidRPr="008E2AF5" w:rsidRDefault="00810CD3" w:rsidP="001A7D73">
            <w:pPr>
              <w:jc w:val="center"/>
              <w:rPr>
                <w:b/>
                <w:sz w:val="22"/>
              </w:rPr>
            </w:pPr>
            <w:r>
              <w:rPr>
                <w:b/>
                <w:sz w:val="22"/>
              </w:rPr>
              <w:t>6</w:t>
            </w:r>
          </w:p>
        </w:tc>
        <w:tc>
          <w:tcPr>
            <w:tcW w:w="3960" w:type="dxa"/>
          </w:tcPr>
          <w:p w:rsidR="00461E78" w:rsidRDefault="0071621E" w:rsidP="00461E78">
            <w:pPr>
              <w:ind w:firstLine="567"/>
              <w:jc w:val="both"/>
              <w:rPr>
                <w:b/>
                <w:sz w:val="22"/>
                <w:u w:val="single"/>
              </w:rPr>
            </w:pPr>
            <w:r w:rsidRPr="0071621E">
              <w:rPr>
                <w:b/>
                <w:sz w:val="22"/>
                <w:u w:val="single"/>
              </w:rPr>
              <w:t>Deputāte S.Šimfa</w:t>
            </w:r>
          </w:p>
          <w:p w:rsidR="00461E78" w:rsidRPr="00461E78" w:rsidRDefault="00461E78" w:rsidP="00461E78">
            <w:pPr>
              <w:ind w:firstLine="567"/>
              <w:jc w:val="both"/>
              <w:rPr>
                <w:sz w:val="22"/>
              </w:rPr>
            </w:pPr>
            <w:r w:rsidRPr="00461E78">
              <w:rPr>
                <w:sz w:val="22"/>
              </w:rPr>
              <w:t>Izteikt likumprojekta 7.pantu šādā redakcijā:</w:t>
            </w:r>
          </w:p>
          <w:p w:rsidR="00461E78" w:rsidRDefault="00461E78" w:rsidP="00461E78">
            <w:pPr>
              <w:ind w:firstLine="567"/>
              <w:jc w:val="both"/>
              <w:rPr>
                <w:sz w:val="22"/>
              </w:rPr>
            </w:pPr>
            <w:r w:rsidRPr="00461E78">
              <w:rPr>
                <w:sz w:val="22"/>
              </w:rPr>
              <w:t xml:space="preserve">“Papildināt 2. pielikumu ar </w:t>
            </w:r>
            <w:r w:rsidRPr="00461E78">
              <w:rPr>
                <w:sz w:val="22"/>
              </w:rPr>
              <w:lastRenderedPageBreak/>
              <w:t>85. punktu šādā redakcijā:</w:t>
            </w:r>
          </w:p>
          <w:p w:rsidR="000C0903" w:rsidRPr="00461E78" w:rsidRDefault="000C0903" w:rsidP="00461E78">
            <w:pPr>
              <w:ind w:firstLine="567"/>
              <w:jc w:val="both"/>
              <w:rPr>
                <w:sz w:val="22"/>
              </w:rPr>
            </w:pPr>
          </w:p>
          <w:tbl>
            <w:tblPr>
              <w:tblW w:w="3549" w:type="dxa"/>
              <w:jc w:val="center"/>
              <w:tblInd w:w="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1032"/>
              <w:gridCol w:w="1218"/>
            </w:tblGrid>
            <w:tr w:rsidR="00461E78" w:rsidRPr="00123349" w:rsidTr="00461E78">
              <w:trPr>
                <w:jc w:val="center"/>
              </w:trPr>
              <w:tc>
                <w:tcPr>
                  <w:tcW w:w="1299" w:type="dxa"/>
                  <w:shd w:val="clear" w:color="auto" w:fill="auto"/>
                </w:tcPr>
                <w:p w:rsidR="00461E78" w:rsidRPr="00123349" w:rsidRDefault="00461E78" w:rsidP="00016426">
                  <w:pPr>
                    <w:jc w:val="both"/>
                    <w:rPr>
                      <w:rFonts w:eastAsia="Times New Roman"/>
                      <w:color w:val="000000"/>
                      <w:sz w:val="22"/>
                      <w:lang w:eastAsia="lv-LV"/>
                    </w:rPr>
                  </w:pPr>
                  <w:r w:rsidRPr="00123349">
                    <w:rPr>
                      <w:rFonts w:eastAsia="Times New Roman"/>
                      <w:color w:val="000000"/>
                      <w:sz w:val="22"/>
                      <w:lang w:eastAsia="lv-LV"/>
                    </w:rPr>
                    <w:t>"85.</w:t>
                  </w:r>
                </w:p>
              </w:tc>
              <w:tc>
                <w:tcPr>
                  <w:tcW w:w="1032" w:type="dxa"/>
                  <w:shd w:val="clear" w:color="auto" w:fill="auto"/>
                </w:tcPr>
                <w:p w:rsidR="00461E78" w:rsidRPr="00123349" w:rsidRDefault="00461E78" w:rsidP="00016426">
                  <w:pPr>
                    <w:jc w:val="both"/>
                    <w:rPr>
                      <w:rFonts w:eastAsia="Times New Roman"/>
                      <w:color w:val="000000"/>
                      <w:sz w:val="22"/>
                      <w:lang w:eastAsia="lv-LV"/>
                    </w:rPr>
                  </w:pPr>
                  <w:r w:rsidRPr="00123349">
                    <w:rPr>
                      <w:rFonts w:eastAsia="Times New Roman"/>
                      <w:color w:val="000000"/>
                      <w:sz w:val="22"/>
                      <w:lang w:eastAsia="lv-LV"/>
                    </w:rPr>
                    <w:t>57</w:t>
                  </w:r>
                </w:p>
              </w:tc>
              <w:tc>
                <w:tcPr>
                  <w:tcW w:w="1218" w:type="dxa"/>
                  <w:shd w:val="clear" w:color="auto" w:fill="auto"/>
                </w:tcPr>
                <w:p w:rsidR="00461E78" w:rsidRPr="00123349" w:rsidRDefault="00461E78" w:rsidP="00461E78">
                  <w:pPr>
                    <w:jc w:val="both"/>
                    <w:rPr>
                      <w:rFonts w:eastAsia="Times New Roman"/>
                      <w:color w:val="000000"/>
                      <w:sz w:val="22"/>
                      <w:lang w:eastAsia="lv-LV"/>
                    </w:rPr>
                  </w:pPr>
                  <w:r w:rsidRPr="00123349">
                    <w:rPr>
                      <w:rFonts w:eastAsia="Times New Roman"/>
                      <w:color w:val="000000"/>
                      <w:sz w:val="22"/>
                      <w:lang w:eastAsia="lv-LV"/>
                    </w:rPr>
                    <w:t>1</w:t>
                  </w:r>
                  <w:r>
                    <w:rPr>
                      <w:rFonts w:eastAsia="Times New Roman"/>
                      <w:color w:val="000000"/>
                      <w:sz w:val="22"/>
                      <w:lang w:eastAsia="lv-LV"/>
                    </w:rPr>
                    <w:t>2</w:t>
                  </w:r>
                  <w:r w:rsidRPr="00123349">
                    <w:rPr>
                      <w:rFonts w:eastAsia="Times New Roman"/>
                      <w:color w:val="000000"/>
                      <w:sz w:val="22"/>
                      <w:lang w:eastAsia="lv-LV"/>
                    </w:rPr>
                    <w:t>"</w:t>
                  </w:r>
                </w:p>
              </w:tc>
            </w:tr>
          </w:tbl>
          <w:p w:rsidR="00461E78" w:rsidRPr="00461E78" w:rsidRDefault="00461E78" w:rsidP="00461E78">
            <w:pPr>
              <w:ind w:firstLine="567"/>
              <w:jc w:val="both"/>
              <w:rPr>
                <w:sz w:val="22"/>
              </w:rPr>
            </w:pPr>
            <w:r w:rsidRPr="00461E78">
              <w:rPr>
                <w:sz w:val="22"/>
              </w:rPr>
              <w:t> </w:t>
            </w:r>
          </w:p>
          <w:p w:rsidR="00461E78" w:rsidRPr="00461E78" w:rsidRDefault="00461E78" w:rsidP="001A7D73">
            <w:pPr>
              <w:ind w:firstLine="567"/>
              <w:jc w:val="both"/>
              <w:rPr>
                <w:sz w:val="22"/>
              </w:rPr>
            </w:pPr>
          </w:p>
        </w:tc>
        <w:tc>
          <w:tcPr>
            <w:tcW w:w="1420" w:type="dxa"/>
          </w:tcPr>
          <w:p w:rsidR="0000397E" w:rsidRPr="008E2AF5" w:rsidRDefault="0000397E" w:rsidP="001A7D73">
            <w:pPr>
              <w:jc w:val="center"/>
              <w:rPr>
                <w:sz w:val="22"/>
              </w:rPr>
            </w:pPr>
          </w:p>
        </w:tc>
        <w:tc>
          <w:tcPr>
            <w:tcW w:w="1420" w:type="dxa"/>
          </w:tcPr>
          <w:p w:rsidR="0000397E" w:rsidRPr="008E2AF5" w:rsidRDefault="0000397E" w:rsidP="001A7D73">
            <w:pPr>
              <w:jc w:val="center"/>
              <w:rPr>
                <w:sz w:val="22"/>
              </w:rPr>
            </w:pPr>
          </w:p>
        </w:tc>
      </w:tr>
      <w:tr w:rsidR="0000397E" w:rsidRPr="008E2AF5" w:rsidTr="0079362C">
        <w:tc>
          <w:tcPr>
            <w:tcW w:w="3960" w:type="dxa"/>
          </w:tcPr>
          <w:p w:rsidR="0079362C" w:rsidRPr="0079362C" w:rsidRDefault="0079362C" w:rsidP="0079362C">
            <w:pPr>
              <w:jc w:val="right"/>
              <w:rPr>
                <w:rFonts w:eastAsia="Times New Roman"/>
                <w:sz w:val="22"/>
                <w:lang w:eastAsia="lv-LV"/>
              </w:rPr>
            </w:pPr>
            <w:r w:rsidRPr="0079362C">
              <w:rPr>
                <w:rFonts w:eastAsia="Times New Roman"/>
                <w:sz w:val="22"/>
                <w:lang w:eastAsia="lv-LV"/>
              </w:rPr>
              <w:lastRenderedPageBreak/>
              <w:t>3.pielikums</w:t>
            </w:r>
          </w:p>
          <w:p w:rsidR="0079362C" w:rsidRDefault="0079362C" w:rsidP="0079362C">
            <w:pPr>
              <w:jc w:val="right"/>
            </w:pPr>
            <w:bookmarkStart w:id="4" w:name="539101"/>
            <w:bookmarkEnd w:id="4"/>
            <w:r w:rsidRPr="0079362C">
              <w:rPr>
                <w:rFonts w:eastAsia="Times New Roman"/>
                <w:b/>
                <w:sz w:val="22"/>
                <w:lang w:eastAsia="lv-LV"/>
              </w:rPr>
              <w:t>Mēnešalgu grupas un to maksimālās mēnešalgas</w:t>
            </w:r>
          </w:p>
          <w:tbl>
            <w:tblPr>
              <w:tblW w:w="493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851"/>
              <w:gridCol w:w="2268"/>
            </w:tblGrid>
            <w:tr w:rsidR="0079362C" w:rsidRPr="0079362C" w:rsidTr="0079362C">
              <w:trPr>
                <w:tblCellSpacing w:w="15" w:type="dxa"/>
              </w:trPr>
              <w:tc>
                <w:tcPr>
                  <w:tcW w:w="699" w:type="pct"/>
                  <w:tcBorders>
                    <w:top w:val="outset" w:sz="6" w:space="0" w:color="auto"/>
                    <w:left w:val="outset" w:sz="6" w:space="0" w:color="auto"/>
                    <w:bottom w:val="outset" w:sz="6" w:space="0" w:color="auto"/>
                    <w:right w:val="outset" w:sz="6" w:space="0" w:color="auto"/>
                  </w:tcBorders>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Nr. </w:t>
                  </w:r>
                  <w:r w:rsidRPr="00240C3F">
                    <w:rPr>
                      <w:rFonts w:eastAsia="Times New Roman"/>
                      <w:sz w:val="22"/>
                      <w:lang w:eastAsia="lv-LV"/>
                    </w:rPr>
                    <w:br/>
                    <w:t>p. k.</w:t>
                  </w:r>
                </w:p>
              </w:tc>
              <w:tc>
                <w:tcPr>
                  <w:tcW w:w="1116"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Mēneša</w:t>
                  </w:r>
                  <w:r>
                    <w:rPr>
                      <w:rFonts w:eastAsia="Times New Roman"/>
                      <w:sz w:val="22"/>
                      <w:lang w:eastAsia="lv-LV"/>
                    </w:rPr>
                    <w:t>a</w:t>
                  </w:r>
                  <w:r w:rsidRPr="00240C3F">
                    <w:rPr>
                      <w:rFonts w:eastAsia="Times New Roman"/>
                      <w:sz w:val="22"/>
                      <w:lang w:eastAsia="lv-LV"/>
                    </w:rPr>
                    <w:t>lgu grupa</w:t>
                  </w:r>
                </w:p>
              </w:tc>
              <w:tc>
                <w:tcPr>
                  <w:tcW w:w="3022" w:type="pct"/>
                  <w:tcBorders>
                    <w:top w:val="outset" w:sz="6" w:space="0" w:color="auto"/>
                    <w:left w:val="outset" w:sz="6" w:space="0" w:color="auto"/>
                    <w:bottom w:val="outset" w:sz="6" w:space="0" w:color="auto"/>
                    <w:right w:val="outset" w:sz="6" w:space="0" w:color="auto"/>
                  </w:tcBorders>
                  <w:vAlign w:val="center"/>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Mēnešalgas maksimālais apmērs (</w:t>
                  </w:r>
                  <w:r w:rsidRPr="00240C3F">
                    <w:rPr>
                      <w:rFonts w:eastAsia="Times New Roman"/>
                      <w:i/>
                      <w:iCs/>
                      <w:sz w:val="22"/>
                      <w:lang w:eastAsia="lv-LV"/>
                    </w:rPr>
                    <w:t>euro</w:t>
                  </w:r>
                  <w:r w:rsidRPr="00240C3F">
                    <w:rPr>
                      <w:rFonts w:eastAsia="Times New Roman"/>
                      <w:sz w:val="22"/>
                      <w:lang w:eastAsia="lv-LV"/>
                    </w:rPr>
                    <w:t>)</w:t>
                  </w:r>
                </w:p>
              </w:tc>
            </w:tr>
            <w:tr w:rsidR="0079362C" w:rsidRPr="0079362C" w:rsidTr="0079362C">
              <w:trPr>
                <w:tblCellSpacing w:w="15" w:type="dxa"/>
              </w:trPr>
              <w:tc>
                <w:tcPr>
                  <w:tcW w:w="699" w:type="pct"/>
                  <w:tcBorders>
                    <w:top w:val="outset" w:sz="6" w:space="0" w:color="auto"/>
                    <w:left w:val="outset" w:sz="6" w:space="0" w:color="auto"/>
                    <w:bottom w:val="outset" w:sz="6" w:space="0" w:color="auto"/>
                    <w:right w:val="outset" w:sz="6" w:space="0" w:color="auto"/>
                  </w:tcBorders>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7.</w:t>
                  </w:r>
                </w:p>
              </w:tc>
              <w:tc>
                <w:tcPr>
                  <w:tcW w:w="1116"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10</w:t>
                  </w:r>
                </w:p>
              </w:tc>
              <w:tc>
                <w:tcPr>
                  <w:tcW w:w="3022"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ne vairāk kā 1174</w:t>
                  </w:r>
                </w:p>
              </w:tc>
            </w:tr>
            <w:tr w:rsidR="0079362C" w:rsidRPr="0079362C" w:rsidTr="0079362C">
              <w:trPr>
                <w:tblCellSpacing w:w="15" w:type="dxa"/>
              </w:trPr>
              <w:tc>
                <w:tcPr>
                  <w:tcW w:w="699" w:type="pct"/>
                  <w:tcBorders>
                    <w:top w:val="outset" w:sz="6" w:space="0" w:color="auto"/>
                    <w:left w:val="outset" w:sz="6" w:space="0" w:color="auto"/>
                    <w:bottom w:val="outset" w:sz="6" w:space="0" w:color="auto"/>
                    <w:right w:val="outset" w:sz="6" w:space="0" w:color="auto"/>
                  </w:tcBorders>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8.</w:t>
                  </w:r>
                </w:p>
              </w:tc>
              <w:tc>
                <w:tcPr>
                  <w:tcW w:w="1116"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9</w:t>
                  </w:r>
                </w:p>
              </w:tc>
              <w:tc>
                <w:tcPr>
                  <w:tcW w:w="3022"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ne vairāk kā 994</w:t>
                  </w:r>
                </w:p>
              </w:tc>
            </w:tr>
            <w:tr w:rsidR="0079362C" w:rsidRPr="0079362C" w:rsidTr="0079362C">
              <w:trPr>
                <w:tblCellSpacing w:w="15" w:type="dxa"/>
              </w:trPr>
              <w:tc>
                <w:tcPr>
                  <w:tcW w:w="699" w:type="pct"/>
                  <w:tcBorders>
                    <w:top w:val="outset" w:sz="6" w:space="0" w:color="auto"/>
                    <w:left w:val="outset" w:sz="6" w:space="0" w:color="auto"/>
                    <w:bottom w:val="outset" w:sz="6" w:space="0" w:color="auto"/>
                    <w:right w:val="outset" w:sz="6" w:space="0" w:color="auto"/>
                  </w:tcBorders>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9.</w:t>
                  </w:r>
                </w:p>
              </w:tc>
              <w:tc>
                <w:tcPr>
                  <w:tcW w:w="1116"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8</w:t>
                  </w:r>
                </w:p>
              </w:tc>
              <w:tc>
                <w:tcPr>
                  <w:tcW w:w="3022"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ne vairā</w:t>
                  </w:r>
                  <w:bookmarkStart w:id="5" w:name="_GoBack"/>
                  <w:bookmarkEnd w:id="5"/>
                  <w:r w:rsidRPr="00240C3F">
                    <w:rPr>
                      <w:rFonts w:eastAsia="Times New Roman"/>
                      <w:sz w:val="22"/>
                      <w:lang w:eastAsia="lv-LV"/>
                    </w:rPr>
                    <w:t>k kā 874</w:t>
                  </w:r>
                </w:p>
              </w:tc>
            </w:tr>
            <w:tr w:rsidR="0079362C" w:rsidRPr="0079362C" w:rsidTr="0079362C">
              <w:trPr>
                <w:tblCellSpacing w:w="15" w:type="dxa"/>
              </w:trPr>
              <w:tc>
                <w:tcPr>
                  <w:tcW w:w="699" w:type="pct"/>
                  <w:tcBorders>
                    <w:top w:val="outset" w:sz="6" w:space="0" w:color="auto"/>
                    <w:left w:val="outset" w:sz="6" w:space="0" w:color="auto"/>
                    <w:bottom w:val="outset" w:sz="6" w:space="0" w:color="auto"/>
                    <w:right w:val="outset" w:sz="6" w:space="0" w:color="auto"/>
                  </w:tcBorders>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10.</w:t>
                  </w:r>
                </w:p>
              </w:tc>
              <w:tc>
                <w:tcPr>
                  <w:tcW w:w="1116"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7</w:t>
                  </w:r>
                </w:p>
              </w:tc>
              <w:tc>
                <w:tcPr>
                  <w:tcW w:w="3022"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ne vairāk kā 788</w:t>
                  </w:r>
                </w:p>
              </w:tc>
            </w:tr>
            <w:tr w:rsidR="0079362C" w:rsidRPr="0079362C" w:rsidTr="0079362C">
              <w:trPr>
                <w:tblCellSpacing w:w="15" w:type="dxa"/>
              </w:trPr>
              <w:tc>
                <w:tcPr>
                  <w:tcW w:w="699" w:type="pct"/>
                  <w:tcBorders>
                    <w:top w:val="outset" w:sz="6" w:space="0" w:color="auto"/>
                    <w:left w:val="outset" w:sz="6" w:space="0" w:color="auto"/>
                    <w:bottom w:val="outset" w:sz="6" w:space="0" w:color="auto"/>
                    <w:right w:val="outset" w:sz="6" w:space="0" w:color="auto"/>
                  </w:tcBorders>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11.</w:t>
                  </w:r>
                </w:p>
              </w:tc>
              <w:tc>
                <w:tcPr>
                  <w:tcW w:w="1116"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6</w:t>
                  </w:r>
                </w:p>
              </w:tc>
              <w:tc>
                <w:tcPr>
                  <w:tcW w:w="3022"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ne vairāk kā 700</w:t>
                  </w:r>
                </w:p>
              </w:tc>
            </w:tr>
            <w:tr w:rsidR="0079362C" w:rsidRPr="0079362C" w:rsidTr="0079362C">
              <w:trPr>
                <w:tblCellSpacing w:w="15" w:type="dxa"/>
              </w:trPr>
              <w:tc>
                <w:tcPr>
                  <w:tcW w:w="699" w:type="pct"/>
                  <w:tcBorders>
                    <w:top w:val="outset" w:sz="6" w:space="0" w:color="auto"/>
                    <w:left w:val="outset" w:sz="6" w:space="0" w:color="auto"/>
                    <w:bottom w:val="outset" w:sz="6" w:space="0" w:color="auto"/>
                    <w:right w:val="outset" w:sz="6" w:space="0" w:color="auto"/>
                  </w:tcBorders>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12.</w:t>
                  </w:r>
                </w:p>
              </w:tc>
              <w:tc>
                <w:tcPr>
                  <w:tcW w:w="1116"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5</w:t>
                  </w:r>
                </w:p>
              </w:tc>
              <w:tc>
                <w:tcPr>
                  <w:tcW w:w="3022"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ne vairāk kā 620</w:t>
                  </w:r>
                </w:p>
              </w:tc>
            </w:tr>
            <w:tr w:rsidR="0079362C" w:rsidRPr="0079362C" w:rsidTr="0079362C">
              <w:trPr>
                <w:tblCellSpacing w:w="15" w:type="dxa"/>
              </w:trPr>
              <w:tc>
                <w:tcPr>
                  <w:tcW w:w="699" w:type="pct"/>
                  <w:tcBorders>
                    <w:top w:val="outset" w:sz="6" w:space="0" w:color="auto"/>
                    <w:left w:val="outset" w:sz="6" w:space="0" w:color="auto"/>
                    <w:bottom w:val="outset" w:sz="6" w:space="0" w:color="auto"/>
                    <w:right w:val="outset" w:sz="6" w:space="0" w:color="auto"/>
                  </w:tcBorders>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13.</w:t>
                  </w:r>
                </w:p>
              </w:tc>
              <w:tc>
                <w:tcPr>
                  <w:tcW w:w="1116"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4</w:t>
                  </w:r>
                </w:p>
              </w:tc>
              <w:tc>
                <w:tcPr>
                  <w:tcW w:w="3022"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ne vairāk kā 558</w:t>
                  </w:r>
                </w:p>
              </w:tc>
            </w:tr>
            <w:tr w:rsidR="0079362C" w:rsidRPr="0079362C" w:rsidTr="0079362C">
              <w:trPr>
                <w:tblCellSpacing w:w="15" w:type="dxa"/>
              </w:trPr>
              <w:tc>
                <w:tcPr>
                  <w:tcW w:w="699" w:type="pct"/>
                  <w:tcBorders>
                    <w:top w:val="outset" w:sz="6" w:space="0" w:color="auto"/>
                    <w:left w:val="outset" w:sz="6" w:space="0" w:color="auto"/>
                    <w:bottom w:val="outset" w:sz="6" w:space="0" w:color="auto"/>
                    <w:right w:val="outset" w:sz="6" w:space="0" w:color="auto"/>
                  </w:tcBorders>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14.</w:t>
                  </w:r>
                </w:p>
              </w:tc>
              <w:tc>
                <w:tcPr>
                  <w:tcW w:w="1116"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3</w:t>
                  </w:r>
                </w:p>
              </w:tc>
              <w:tc>
                <w:tcPr>
                  <w:tcW w:w="3022"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ne vairāk kā 501</w:t>
                  </w:r>
                </w:p>
              </w:tc>
            </w:tr>
            <w:tr w:rsidR="0079362C" w:rsidRPr="0079362C" w:rsidTr="0079362C">
              <w:trPr>
                <w:tblCellSpacing w:w="15" w:type="dxa"/>
              </w:trPr>
              <w:tc>
                <w:tcPr>
                  <w:tcW w:w="699" w:type="pct"/>
                  <w:tcBorders>
                    <w:top w:val="outset" w:sz="6" w:space="0" w:color="auto"/>
                    <w:left w:val="outset" w:sz="6" w:space="0" w:color="auto"/>
                    <w:bottom w:val="outset" w:sz="6" w:space="0" w:color="auto"/>
                    <w:right w:val="outset" w:sz="6" w:space="0" w:color="auto"/>
                  </w:tcBorders>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15.</w:t>
                  </w:r>
                </w:p>
              </w:tc>
              <w:tc>
                <w:tcPr>
                  <w:tcW w:w="1116"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2</w:t>
                  </w:r>
                </w:p>
              </w:tc>
              <w:tc>
                <w:tcPr>
                  <w:tcW w:w="3022"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ne vairāk kā 450</w:t>
                  </w:r>
                </w:p>
              </w:tc>
            </w:tr>
            <w:tr w:rsidR="0079362C" w:rsidRPr="0079362C" w:rsidTr="0079362C">
              <w:trPr>
                <w:tblCellSpacing w:w="15" w:type="dxa"/>
              </w:trPr>
              <w:tc>
                <w:tcPr>
                  <w:tcW w:w="699" w:type="pct"/>
                  <w:tcBorders>
                    <w:top w:val="outset" w:sz="6" w:space="0" w:color="auto"/>
                    <w:left w:val="outset" w:sz="6" w:space="0" w:color="auto"/>
                    <w:bottom w:val="outset" w:sz="6" w:space="0" w:color="auto"/>
                    <w:right w:val="outset" w:sz="6" w:space="0" w:color="auto"/>
                  </w:tcBorders>
                  <w:hideMark/>
                </w:tcPr>
                <w:p w:rsidR="00240C3F" w:rsidRPr="00240C3F" w:rsidRDefault="0079362C" w:rsidP="00FD341B">
                  <w:pPr>
                    <w:spacing w:before="100" w:beforeAutospacing="1" w:after="100" w:afterAutospacing="1"/>
                    <w:jc w:val="center"/>
                    <w:rPr>
                      <w:rFonts w:eastAsia="Times New Roman"/>
                      <w:sz w:val="22"/>
                      <w:lang w:eastAsia="lv-LV"/>
                    </w:rPr>
                  </w:pPr>
                  <w:r w:rsidRPr="00240C3F">
                    <w:rPr>
                      <w:rFonts w:eastAsia="Times New Roman"/>
                      <w:sz w:val="22"/>
                      <w:lang w:eastAsia="lv-LV"/>
                    </w:rPr>
                    <w:t>16.</w:t>
                  </w:r>
                </w:p>
              </w:tc>
              <w:tc>
                <w:tcPr>
                  <w:tcW w:w="1116"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1</w:t>
                  </w:r>
                </w:p>
              </w:tc>
              <w:tc>
                <w:tcPr>
                  <w:tcW w:w="3022" w:type="pct"/>
                  <w:tcBorders>
                    <w:top w:val="outset" w:sz="6" w:space="0" w:color="auto"/>
                    <w:left w:val="outset" w:sz="6" w:space="0" w:color="auto"/>
                    <w:bottom w:val="outset" w:sz="6" w:space="0" w:color="auto"/>
                    <w:right w:val="outset" w:sz="6" w:space="0" w:color="auto"/>
                  </w:tcBorders>
                  <w:vAlign w:val="center"/>
                  <w:hideMark/>
                </w:tcPr>
                <w:p w:rsidR="0079362C" w:rsidRPr="00240C3F" w:rsidRDefault="0079362C" w:rsidP="00FD341B">
                  <w:pPr>
                    <w:jc w:val="center"/>
                    <w:rPr>
                      <w:rFonts w:eastAsia="Times New Roman"/>
                      <w:sz w:val="22"/>
                      <w:lang w:eastAsia="lv-LV"/>
                    </w:rPr>
                  </w:pPr>
                  <w:r w:rsidRPr="00240C3F">
                    <w:rPr>
                      <w:rFonts w:eastAsia="Times New Roman"/>
                      <w:sz w:val="22"/>
                      <w:lang w:eastAsia="lv-LV"/>
                    </w:rPr>
                    <w:t>ne vairāk kā 403</w:t>
                  </w:r>
                </w:p>
              </w:tc>
            </w:tr>
          </w:tbl>
          <w:p w:rsidR="0000397E" w:rsidRPr="0079362C" w:rsidRDefault="0000397E" w:rsidP="00833BE7">
            <w:pPr>
              <w:ind w:firstLine="567"/>
              <w:jc w:val="both"/>
              <w:rPr>
                <w:bCs/>
                <w:sz w:val="22"/>
                <w:lang w:eastAsia="lv-LV"/>
              </w:rPr>
            </w:pPr>
          </w:p>
        </w:tc>
        <w:tc>
          <w:tcPr>
            <w:tcW w:w="3960" w:type="dxa"/>
          </w:tcPr>
          <w:p w:rsidR="00CB40DF" w:rsidRPr="0079362C" w:rsidRDefault="00F23718" w:rsidP="00CB40DF">
            <w:pPr>
              <w:tabs>
                <w:tab w:val="left" w:pos="1134"/>
              </w:tabs>
              <w:ind w:firstLine="567"/>
              <w:jc w:val="both"/>
              <w:rPr>
                <w:rFonts w:eastAsia="Times New Roman"/>
                <w:color w:val="000000"/>
                <w:sz w:val="22"/>
                <w:lang w:eastAsia="lv-LV"/>
              </w:rPr>
            </w:pPr>
            <w:r w:rsidRPr="0079362C">
              <w:rPr>
                <w:rFonts w:eastAsia="Times New Roman"/>
                <w:color w:val="000000"/>
                <w:sz w:val="22"/>
                <w:lang w:eastAsia="lv-LV"/>
              </w:rPr>
              <w:t>8. Izteikt 3. pielikuma 7., 8., 9., 10., 11., 12., 13., 14., 15. un 16. punktu šādā redakcijā:</w:t>
            </w:r>
          </w:p>
          <w:tbl>
            <w:tblPr>
              <w:tblW w:w="368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7"/>
              <w:gridCol w:w="567"/>
              <w:gridCol w:w="2553"/>
            </w:tblGrid>
            <w:tr w:rsidR="00F23718" w:rsidRPr="0079362C" w:rsidTr="00F23718">
              <w:tc>
                <w:tcPr>
                  <w:tcW w:w="567" w:type="dxa"/>
                  <w:tcBorders>
                    <w:top w:val="outset" w:sz="6" w:space="0" w:color="auto"/>
                    <w:left w:val="outset" w:sz="6" w:space="0" w:color="auto"/>
                    <w:bottom w:val="outset" w:sz="6" w:space="0" w:color="auto"/>
                    <w:right w:val="outset" w:sz="6" w:space="0" w:color="auto"/>
                  </w:tcBorders>
                </w:tcPr>
                <w:p w:rsidR="00F23718" w:rsidRPr="0079362C" w:rsidRDefault="00F23718" w:rsidP="00FD341B">
                  <w:pPr>
                    <w:rPr>
                      <w:sz w:val="22"/>
                    </w:rPr>
                  </w:pPr>
                  <w:r w:rsidRPr="0079362C">
                    <w:rPr>
                      <w:sz w:val="22"/>
                    </w:rPr>
                    <w:t>"7.</w:t>
                  </w:r>
                </w:p>
              </w:tc>
              <w:tc>
                <w:tcPr>
                  <w:tcW w:w="567"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10</w:t>
                  </w:r>
                </w:p>
              </w:tc>
              <w:tc>
                <w:tcPr>
                  <w:tcW w:w="2553"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ne vairāk kā 1287</w:t>
                  </w:r>
                </w:p>
              </w:tc>
            </w:tr>
            <w:tr w:rsidR="00F23718" w:rsidRPr="0079362C" w:rsidTr="00F23718">
              <w:tc>
                <w:tcPr>
                  <w:tcW w:w="567" w:type="dxa"/>
                  <w:tcBorders>
                    <w:top w:val="outset" w:sz="6" w:space="0" w:color="auto"/>
                    <w:left w:val="outset" w:sz="6" w:space="0" w:color="auto"/>
                    <w:bottom w:val="outset" w:sz="6" w:space="0" w:color="auto"/>
                    <w:right w:val="outset" w:sz="6" w:space="0" w:color="auto"/>
                  </w:tcBorders>
                </w:tcPr>
                <w:p w:rsidR="00F23718" w:rsidRPr="0079362C" w:rsidRDefault="00F23718" w:rsidP="00FD341B">
                  <w:pPr>
                    <w:rPr>
                      <w:sz w:val="22"/>
                    </w:rPr>
                  </w:pPr>
                  <w:r w:rsidRPr="0079362C">
                    <w:rPr>
                      <w:sz w:val="22"/>
                    </w:rPr>
                    <w:t>8.</w:t>
                  </w:r>
                </w:p>
              </w:tc>
              <w:tc>
                <w:tcPr>
                  <w:tcW w:w="567"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9</w:t>
                  </w:r>
                </w:p>
              </w:tc>
              <w:tc>
                <w:tcPr>
                  <w:tcW w:w="2553"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ne vairāk kā 1190</w:t>
                  </w:r>
                </w:p>
              </w:tc>
            </w:tr>
            <w:tr w:rsidR="00F23718" w:rsidRPr="0079362C" w:rsidTr="00F23718">
              <w:tc>
                <w:tcPr>
                  <w:tcW w:w="567" w:type="dxa"/>
                  <w:tcBorders>
                    <w:top w:val="outset" w:sz="6" w:space="0" w:color="auto"/>
                    <w:left w:val="outset" w:sz="6" w:space="0" w:color="auto"/>
                    <w:bottom w:val="outset" w:sz="6" w:space="0" w:color="auto"/>
                    <w:right w:val="outset" w:sz="6" w:space="0" w:color="auto"/>
                  </w:tcBorders>
                </w:tcPr>
                <w:p w:rsidR="00F23718" w:rsidRPr="0079362C" w:rsidRDefault="00F23718" w:rsidP="00FD341B">
                  <w:pPr>
                    <w:rPr>
                      <w:sz w:val="22"/>
                    </w:rPr>
                  </w:pPr>
                  <w:r w:rsidRPr="0079362C">
                    <w:rPr>
                      <w:sz w:val="22"/>
                    </w:rPr>
                    <w:t>9.</w:t>
                  </w:r>
                </w:p>
              </w:tc>
              <w:tc>
                <w:tcPr>
                  <w:tcW w:w="567"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8</w:t>
                  </w:r>
                </w:p>
              </w:tc>
              <w:tc>
                <w:tcPr>
                  <w:tcW w:w="2553"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ne vairāk kā 1093</w:t>
                  </w:r>
                </w:p>
              </w:tc>
            </w:tr>
            <w:tr w:rsidR="00F23718" w:rsidRPr="0079362C" w:rsidTr="00F23718">
              <w:tc>
                <w:tcPr>
                  <w:tcW w:w="567" w:type="dxa"/>
                  <w:tcBorders>
                    <w:top w:val="outset" w:sz="6" w:space="0" w:color="auto"/>
                    <w:left w:val="outset" w:sz="6" w:space="0" w:color="auto"/>
                    <w:bottom w:val="outset" w:sz="6" w:space="0" w:color="auto"/>
                    <w:right w:val="outset" w:sz="6" w:space="0" w:color="auto"/>
                  </w:tcBorders>
                </w:tcPr>
                <w:p w:rsidR="00F23718" w:rsidRPr="0079362C" w:rsidRDefault="00F23718" w:rsidP="00FD341B">
                  <w:pPr>
                    <w:rPr>
                      <w:sz w:val="22"/>
                    </w:rPr>
                  </w:pPr>
                  <w:r w:rsidRPr="0079362C">
                    <w:rPr>
                      <w:sz w:val="22"/>
                    </w:rPr>
                    <w:t>10.</w:t>
                  </w:r>
                </w:p>
              </w:tc>
              <w:tc>
                <w:tcPr>
                  <w:tcW w:w="567"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7</w:t>
                  </w:r>
                </w:p>
              </w:tc>
              <w:tc>
                <w:tcPr>
                  <w:tcW w:w="2553"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ne vairāk kā 996</w:t>
                  </w:r>
                </w:p>
              </w:tc>
            </w:tr>
            <w:tr w:rsidR="00F23718" w:rsidRPr="0079362C" w:rsidTr="00F23718">
              <w:tc>
                <w:tcPr>
                  <w:tcW w:w="567" w:type="dxa"/>
                  <w:tcBorders>
                    <w:top w:val="outset" w:sz="6" w:space="0" w:color="auto"/>
                    <w:left w:val="outset" w:sz="6" w:space="0" w:color="auto"/>
                    <w:bottom w:val="outset" w:sz="6" w:space="0" w:color="auto"/>
                    <w:right w:val="outset" w:sz="6" w:space="0" w:color="auto"/>
                  </w:tcBorders>
                </w:tcPr>
                <w:p w:rsidR="00F23718" w:rsidRPr="0079362C" w:rsidRDefault="00F23718" w:rsidP="00FD341B">
                  <w:pPr>
                    <w:rPr>
                      <w:sz w:val="22"/>
                    </w:rPr>
                  </w:pPr>
                  <w:r w:rsidRPr="0079362C">
                    <w:rPr>
                      <w:sz w:val="22"/>
                    </w:rPr>
                    <w:t>11.</w:t>
                  </w:r>
                </w:p>
              </w:tc>
              <w:tc>
                <w:tcPr>
                  <w:tcW w:w="567"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6</w:t>
                  </w:r>
                </w:p>
              </w:tc>
              <w:tc>
                <w:tcPr>
                  <w:tcW w:w="2553"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ne vairāk kā 899</w:t>
                  </w:r>
                </w:p>
              </w:tc>
            </w:tr>
            <w:tr w:rsidR="00F23718" w:rsidRPr="0079362C" w:rsidTr="00F23718">
              <w:tc>
                <w:tcPr>
                  <w:tcW w:w="567" w:type="dxa"/>
                  <w:tcBorders>
                    <w:top w:val="outset" w:sz="6" w:space="0" w:color="auto"/>
                    <w:left w:val="outset" w:sz="6" w:space="0" w:color="auto"/>
                    <w:bottom w:val="outset" w:sz="6" w:space="0" w:color="auto"/>
                    <w:right w:val="outset" w:sz="6" w:space="0" w:color="auto"/>
                  </w:tcBorders>
                </w:tcPr>
                <w:p w:rsidR="00F23718" w:rsidRPr="0079362C" w:rsidRDefault="00F23718" w:rsidP="00FD341B">
                  <w:pPr>
                    <w:rPr>
                      <w:sz w:val="22"/>
                    </w:rPr>
                  </w:pPr>
                  <w:r w:rsidRPr="0079362C">
                    <w:rPr>
                      <w:sz w:val="22"/>
                    </w:rPr>
                    <w:t>12.</w:t>
                  </w:r>
                </w:p>
              </w:tc>
              <w:tc>
                <w:tcPr>
                  <w:tcW w:w="567"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5</w:t>
                  </w:r>
                </w:p>
              </w:tc>
              <w:tc>
                <w:tcPr>
                  <w:tcW w:w="2553" w:type="dxa"/>
                  <w:tcBorders>
                    <w:top w:val="outset" w:sz="6" w:space="0" w:color="auto"/>
                    <w:left w:val="outset" w:sz="6" w:space="0" w:color="auto"/>
                    <w:bottom w:val="outset" w:sz="6" w:space="0" w:color="auto"/>
                    <w:right w:val="outset" w:sz="6" w:space="0" w:color="auto"/>
                  </w:tcBorders>
                  <w:vAlign w:val="center"/>
                </w:tcPr>
                <w:p w:rsidR="00F23718" w:rsidRPr="0079362C" w:rsidRDefault="00F23718" w:rsidP="00FD341B">
                  <w:pPr>
                    <w:rPr>
                      <w:sz w:val="22"/>
                    </w:rPr>
                  </w:pPr>
                  <w:r w:rsidRPr="0079362C">
                    <w:rPr>
                      <w:sz w:val="22"/>
                    </w:rPr>
                    <w:t xml:space="preserve">ne vairāk kā </w:t>
                  </w:r>
                  <w:r w:rsidRPr="0079362C">
                    <w:rPr>
                      <w:sz w:val="22"/>
                      <w:lang w:val="en-AU"/>
                    </w:rPr>
                    <w:t>802</w:t>
                  </w:r>
                </w:p>
              </w:tc>
            </w:tr>
            <w:tr w:rsidR="00F23718" w:rsidRPr="0079362C" w:rsidTr="00F23718">
              <w:tc>
                <w:tcPr>
                  <w:tcW w:w="567" w:type="dxa"/>
                  <w:tcBorders>
                    <w:top w:val="outset" w:sz="6" w:space="0" w:color="auto"/>
                    <w:left w:val="outset" w:sz="6" w:space="0" w:color="auto"/>
                    <w:bottom w:val="outset" w:sz="6" w:space="0" w:color="auto"/>
                    <w:right w:val="outset" w:sz="6" w:space="0" w:color="auto"/>
                  </w:tcBorders>
                </w:tcPr>
                <w:p w:rsidR="00F23718" w:rsidRPr="0079362C" w:rsidRDefault="00F23718" w:rsidP="00FD341B">
                  <w:pPr>
                    <w:rPr>
                      <w:sz w:val="22"/>
                    </w:rPr>
                  </w:pPr>
                  <w:r w:rsidRPr="0079362C">
                    <w:rPr>
                      <w:sz w:val="22"/>
                    </w:rPr>
                    <w:t>13.</w:t>
                  </w:r>
                </w:p>
              </w:tc>
              <w:tc>
                <w:tcPr>
                  <w:tcW w:w="567" w:type="dxa"/>
                  <w:tcBorders>
                    <w:top w:val="outset" w:sz="6" w:space="0" w:color="auto"/>
                    <w:left w:val="outset" w:sz="6" w:space="0" w:color="auto"/>
                    <w:bottom w:val="outset" w:sz="6" w:space="0" w:color="auto"/>
                    <w:right w:val="outset" w:sz="6" w:space="0" w:color="auto"/>
                  </w:tcBorders>
                  <w:vAlign w:val="center"/>
                  <w:hideMark/>
                </w:tcPr>
                <w:p w:rsidR="00F23718" w:rsidRPr="0079362C" w:rsidRDefault="00F23718" w:rsidP="00FD341B">
                  <w:pPr>
                    <w:rPr>
                      <w:sz w:val="22"/>
                    </w:rPr>
                  </w:pPr>
                  <w:r w:rsidRPr="0079362C">
                    <w:rPr>
                      <w:sz w:val="22"/>
                    </w:rPr>
                    <w:t>4</w:t>
                  </w:r>
                </w:p>
              </w:tc>
              <w:tc>
                <w:tcPr>
                  <w:tcW w:w="2553" w:type="dxa"/>
                  <w:tcBorders>
                    <w:top w:val="outset" w:sz="6" w:space="0" w:color="auto"/>
                    <w:left w:val="outset" w:sz="6" w:space="0" w:color="auto"/>
                    <w:bottom w:val="outset" w:sz="6" w:space="0" w:color="auto"/>
                    <w:right w:val="outset" w:sz="6" w:space="0" w:color="auto"/>
                  </w:tcBorders>
                  <w:vAlign w:val="center"/>
                  <w:hideMark/>
                </w:tcPr>
                <w:p w:rsidR="00F23718" w:rsidRPr="0079362C" w:rsidRDefault="00F23718" w:rsidP="00FD341B">
                  <w:pPr>
                    <w:rPr>
                      <w:sz w:val="22"/>
                    </w:rPr>
                  </w:pPr>
                  <w:r w:rsidRPr="0079362C">
                    <w:rPr>
                      <w:sz w:val="22"/>
                    </w:rPr>
                    <w:t xml:space="preserve">ne vairāk kā </w:t>
                  </w:r>
                  <w:r w:rsidRPr="0079362C">
                    <w:rPr>
                      <w:sz w:val="22"/>
                      <w:lang w:val="en-AU"/>
                    </w:rPr>
                    <w:t>705</w:t>
                  </w:r>
                </w:p>
              </w:tc>
            </w:tr>
            <w:tr w:rsidR="00F23718" w:rsidRPr="0079362C" w:rsidTr="00F23718">
              <w:tc>
                <w:tcPr>
                  <w:tcW w:w="567" w:type="dxa"/>
                  <w:tcBorders>
                    <w:top w:val="outset" w:sz="6" w:space="0" w:color="auto"/>
                    <w:left w:val="outset" w:sz="6" w:space="0" w:color="auto"/>
                    <w:bottom w:val="outset" w:sz="6" w:space="0" w:color="auto"/>
                    <w:right w:val="outset" w:sz="6" w:space="0" w:color="auto"/>
                  </w:tcBorders>
                </w:tcPr>
                <w:p w:rsidR="00F23718" w:rsidRPr="0079362C" w:rsidRDefault="00F23718" w:rsidP="00FD341B">
                  <w:pPr>
                    <w:rPr>
                      <w:sz w:val="22"/>
                    </w:rPr>
                  </w:pPr>
                  <w:r w:rsidRPr="0079362C">
                    <w:rPr>
                      <w:sz w:val="22"/>
                    </w:rPr>
                    <w:t>14.</w:t>
                  </w:r>
                </w:p>
              </w:tc>
              <w:tc>
                <w:tcPr>
                  <w:tcW w:w="567" w:type="dxa"/>
                  <w:tcBorders>
                    <w:top w:val="outset" w:sz="6" w:space="0" w:color="auto"/>
                    <w:left w:val="outset" w:sz="6" w:space="0" w:color="auto"/>
                    <w:bottom w:val="outset" w:sz="6" w:space="0" w:color="auto"/>
                    <w:right w:val="outset" w:sz="6" w:space="0" w:color="auto"/>
                  </w:tcBorders>
                  <w:vAlign w:val="center"/>
                  <w:hideMark/>
                </w:tcPr>
                <w:p w:rsidR="00F23718" w:rsidRPr="0079362C" w:rsidRDefault="00F23718" w:rsidP="00FD341B">
                  <w:pPr>
                    <w:rPr>
                      <w:sz w:val="22"/>
                    </w:rPr>
                  </w:pPr>
                  <w:r w:rsidRPr="0079362C">
                    <w:rPr>
                      <w:sz w:val="22"/>
                    </w:rPr>
                    <w:t>3</w:t>
                  </w:r>
                </w:p>
              </w:tc>
              <w:tc>
                <w:tcPr>
                  <w:tcW w:w="2553" w:type="dxa"/>
                  <w:tcBorders>
                    <w:top w:val="outset" w:sz="6" w:space="0" w:color="auto"/>
                    <w:left w:val="outset" w:sz="6" w:space="0" w:color="auto"/>
                    <w:bottom w:val="outset" w:sz="6" w:space="0" w:color="auto"/>
                    <w:right w:val="outset" w:sz="6" w:space="0" w:color="auto"/>
                  </w:tcBorders>
                  <w:vAlign w:val="center"/>
                  <w:hideMark/>
                </w:tcPr>
                <w:p w:rsidR="00F23718" w:rsidRPr="0079362C" w:rsidRDefault="00F23718" w:rsidP="00FD341B">
                  <w:pPr>
                    <w:rPr>
                      <w:sz w:val="22"/>
                    </w:rPr>
                  </w:pPr>
                  <w:r w:rsidRPr="0079362C">
                    <w:rPr>
                      <w:sz w:val="22"/>
                    </w:rPr>
                    <w:t xml:space="preserve">ne vairāk kā </w:t>
                  </w:r>
                  <w:r w:rsidRPr="0079362C">
                    <w:rPr>
                      <w:sz w:val="22"/>
                      <w:lang w:val="en-AU"/>
                    </w:rPr>
                    <w:t>608</w:t>
                  </w:r>
                </w:p>
              </w:tc>
            </w:tr>
            <w:tr w:rsidR="00F23718" w:rsidRPr="0079362C" w:rsidTr="00F23718">
              <w:tc>
                <w:tcPr>
                  <w:tcW w:w="567" w:type="dxa"/>
                  <w:tcBorders>
                    <w:top w:val="outset" w:sz="6" w:space="0" w:color="auto"/>
                    <w:left w:val="outset" w:sz="6" w:space="0" w:color="auto"/>
                    <w:bottom w:val="outset" w:sz="6" w:space="0" w:color="auto"/>
                    <w:right w:val="outset" w:sz="6" w:space="0" w:color="auto"/>
                  </w:tcBorders>
                </w:tcPr>
                <w:p w:rsidR="00F23718" w:rsidRPr="0079362C" w:rsidRDefault="00F23718" w:rsidP="00FD341B">
                  <w:pPr>
                    <w:rPr>
                      <w:sz w:val="22"/>
                    </w:rPr>
                  </w:pPr>
                  <w:r w:rsidRPr="0079362C">
                    <w:rPr>
                      <w:sz w:val="22"/>
                    </w:rPr>
                    <w:t>15.</w:t>
                  </w:r>
                </w:p>
              </w:tc>
              <w:tc>
                <w:tcPr>
                  <w:tcW w:w="567" w:type="dxa"/>
                  <w:tcBorders>
                    <w:top w:val="outset" w:sz="6" w:space="0" w:color="auto"/>
                    <w:left w:val="outset" w:sz="6" w:space="0" w:color="auto"/>
                    <w:bottom w:val="outset" w:sz="6" w:space="0" w:color="auto"/>
                    <w:right w:val="outset" w:sz="6" w:space="0" w:color="auto"/>
                  </w:tcBorders>
                  <w:vAlign w:val="center"/>
                  <w:hideMark/>
                </w:tcPr>
                <w:p w:rsidR="00F23718" w:rsidRPr="0079362C" w:rsidRDefault="00F23718" w:rsidP="00FD341B">
                  <w:pPr>
                    <w:rPr>
                      <w:sz w:val="22"/>
                    </w:rPr>
                  </w:pPr>
                  <w:r w:rsidRPr="0079362C">
                    <w:rPr>
                      <w:sz w:val="22"/>
                    </w:rPr>
                    <w:t>2</w:t>
                  </w:r>
                </w:p>
              </w:tc>
              <w:tc>
                <w:tcPr>
                  <w:tcW w:w="2553" w:type="dxa"/>
                  <w:tcBorders>
                    <w:top w:val="outset" w:sz="6" w:space="0" w:color="auto"/>
                    <w:left w:val="outset" w:sz="6" w:space="0" w:color="auto"/>
                    <w:bottom w:val="outset" w:sz="6" w:space="0" w:color="auto"/>
                    <w:right w:val="outset" w:sz="6" w:space="0" w:color="auto"/>
                  </w:tcBorders>
                  <w:vAlign w:val="center"/>
                  <w:hideMark/>
                </w:tcPr>
                <w:p w:rsidR="00F23718" w:rsidRPr="0079362C" w:rsidRDefault="00F23718" w:rsidP="00FD341B">
                  <w:pPr>
                    <w:rPr>
                      <w:sz w:val="22"/>
                    </w:rPr>
                  </w:pPr>
                  <w:r w:rsidRPr="0079362C">
                    <w:rPr>
                      <w:sz w:val="22"/>
                    </w:rPr>
                    <w:t xml:space="preserve">ne vairāk kā </w:t>
                  </w:r>
                  <w:r w:rsidRPr="0079362C">
                    <w:rPr>
                      <w:sz w:val="22"/>
                      <w:lang w:val="en-AU"/>
                    </w:rPr>
                    <w:t>511</w:t>
                  </w:r>
                </w:p>
              </w:tc>
            </w:tr>
            <w:tr w:rsidR="00F23718" w:rsidRPr="0079362C" w:rsidTr="00F23718">
              <w:tc>
                <w:tcPr>
                  <w:tcW w:w="567" w:type="dxa"/>
                  <w:tcBorders>
                    <w:top w:val="outset" w:sz="6" w:space="0" w:color="auto"/>
                    <w:left w:val="outset" w:sz="6" w:space="0" w:color="auto"/>
                    <w:bottom w:val="outset" w:sz="6" w:space="0" w:color="auto"/>
                    <w:right w:val="outset" w:sz="6" w:space="0" w:color="auto"/>
                  </w:tcBorders>
                </w:tcPr>
                <w:p w:rsidR="00F23718" w:rsidRPr="0079362C" w:rsidRDefault="00F23718" w:rsidP="00FD341B">
                  <w:pPr>
                    <w:rPr>
                      <w:sz w:val="22"/>
                    </w:rPr>
                  </w:pPr>
                  <w:r w:rsidRPr="0079362C">
                    <w:rPr>
                      <w:sz w:val="22"/>
                    </w:rPr>
                    <w:t>16.</w:t>
                  </w:r>
                </w:p>
              </w:tc>
              <w:tc>
                <w:tcPr>
                  <w:tcW w:w="567" w:type="dxa"/>
                  <w:tcBorders>
                    <w:top w:val="outset" w:sz="6" w:space="0" w:color="auto"/>
                    <w:left w:val="outset" w:sz="6" w:space="0" w:color="auto"/>
                    <w:bottom w:val="outset" w:sz="6" w:space="0" w:color="auto"/>
                    <w:right w:val="outset" w:sz="6" w:space="0" w:color="auto"/>
                  </w:tcBorders>
                  <w:vAlign w:val="center"/>
                  <w:hideMark/>
                </w:tcPr>
                <w:p w:rsidR="00F23718" w:rsidRPr="0079362C" w:rsidRDefault="00F23718" w:rsidP="00FD341B">
                  <w:pPr>
                    <w:rPr>
                      <w:sz w:val="22"/>
                    </w:rPr>
                  </w:pPr>
                  <w:r w:rsidRPr="0079362C">
                    <w:rPr>
                      <w:sz w:val="22"/>
                    </w:rPr>
                    <w:t>1</w:t>
                  </w:r>
                </w:p>
              </w:tc>
              <w:tc>
                <w:tcPr>
                  <w:tcW w:w="2553" w:type="dxa"/>
                  <w:tcBorders>
                    <w:top w:val="outset" w:sz="6" w:space="0" w:color="auto"/>
                    <w:left w:val="outset" w:sz="6" w:space="0" w:color="auto"/>
                    <w:bottom w:val="outset" w:sz="6" w:space="0" w:color="auto"/>
                    <w:right w:val="outset" w:sz="6" w:space="0" w:color="auto"/>
                  </w:tcBorders>
                  <w:vAlign w:val="center"/>
                  <w:hideMark/>
                </w:tcPr>
                <w:p w:rsidR="00F23718" w:rsidRPr="0079362C" w:rsidRDefault="00F23718" w:rsidP="00FD341B">
                  <w:pPr>
                    <w:rPr>
                      <w:sz w:val="22"/>
                    </w:rPr>
                  </w:pPr>
                  <w:r w:rsidRPr="0079362C">
                    <w:rPr>
                      <w:sz w:val="22"/>
                    </w:rPr>
                    <w:t xml:space="preserve">ne vairāk kā </w:t>
                  </w:r>
                  <w:r w:rsidRPr="0079362C">
                    <w:rPr>
                      <w:sz w:val="22"/>
                      <w:lang w:val="en-AU"/>
                    </w:rPr>
                    <w:t>413</w:t>
                  </w:r>
                  <w:r w:rsidRPr="0079362C">
                    <w:rPr>
                      <w:sz w:val="22"/>
                    </w:rPr>
                    <w:t>"</w:t>
                  </w:r>
                </w:p>
              </w:tc>
            </w:tr>
          </w:tbl>
          <w:p w:rsidR="0000397E" w:rsidRPr="0079362C" w:rsidRDefault="0000397E" w:rsidP="00581185">
            <w:pPr>
              <w:tabs>
                <w:tab w:val="left" w:pos="1134"/>
              </w:tabs>
              <w:ind w:firstLine="567"/>
              <w:jc w:val="both"/>
              <w:rPr>
                <w:rFonts w:eastAsia="Times New Roman"/>
                <w:color w:val="000000"/>
                <w:sz w:val="22"/>
                <w:lang w:eastAsia="lv-LV"/>
              </w:rPr>
            </w:pPr>
          </w:p>
        </w:tc>
        <w:tc>
          <w:tcPr>
            <w:tcW w:w="567" w:type="dxa"/>
          </w:tcPr>
          <w:p w:rsidR="0000397E" w:rsidRPr="008E2AF5" w:rsidRDefault="0000397E" w:rsidP="001A7D73">
            <w:pPr>
              <w:jc w:val="center"/>
              <w:rPr>
                <w:b/>
                <w:sz w:val="22"/>
              </w:rPr>
            </w:pPr>
          </w:p>
        </w:tc>
        <w:tc>
          <w:tcPr>
            <w:tcW w:w="3960" w:type="dxa"/>
          </w:tcPr>
          <w:p w:rsidR="0000397E" w:rsidRPr="008B4C73" w:rsidRDefault="0000397E" w:rsidP="001A7D73">
            <w:pPr>
              <w:ind w:firstLine="567"/>
              <w:jc w:val="both"/>
              <w:rPr>
                <w:sz w:val="22"/>
              </w:rPr>
            </w:pPr>
          </w:p>
        </w:tc>
        <w:tc>
          <w:tcPr>
            <w:tcW w:w="1420" w:type="dxa"/>
          </w:tcPr>
          <w:p w:rsidR="0000397E" w:rsidRPr="008E2AF5" w:rsidRDefault="0000397E" w:rsidP="001A7D73">
            <w:pPr>
              <w:jc w:val="center"/>
              <w:rPr>
                <w:sz w:val="22"/>
              </w:rPr>
            </w:pPr>
          </w:p>
        </w:tc>
        <w:tc>
          <w:tcPr>
            <w:tcW w:w="1420" w:type="dxa"/>
          </w:tcPr>
          <w:p w:rsidR="0000397E" w:rsidRPr="008E2AF5" w:rsidRDefault="0000397E" w:rsidP="001A7D73">
            <w:pPr>
              <w:jc w:val="center"/>
              <w:rPr>
                <w:sz w:val="22"/>
              </w:rPr>
            </w:pPr>
          </w:p>
        </w:tc>
      </w:tr>
      <w:tr w:rsidR="0000397E" w:rsidRPr="008E2AF5" w:rsidTr="001A7D73">
        <w:tc>
          <w:tcPr>
            <w:tcW w:w="3960" w:type="dxa"/>
          </w:tcPr>
          <w:p w:rsidR="0000397E" w:rsidRPr="00517E3F" w:rsidRDefault="0000397E" w:rsidP="00833BE7">
            <w:pPr>
              <w:ind w:firstLine="567"/>
              <w:jc w:val="both"/>
              <w:rPr>
                <w:bCs/>
                <w:sz w:val="22"/>
                <w:lang w:eastAsia="lv-LV"/>
              </w:rPr>
            </w:pPr>
          </w:p>
        </w:tc>
        <w:tc>
          <w:tcPr>
            <w:tcW w:w="3960" w:type="dxa"/>
          </w:tcPr>
          <w:p w:rsidR="0000397E" w:rsidRPr="00517E3F" w:rsidRDefault="0037366A" w:rsidP="0037366A">
            <w:pPr>
              <w:tabs>
                <w:tab w:val="left" w:pos="1134"/>
              </w:tabs>
              <w:ind w:firstLine="567"/>
              <w:jc w:val="both"/>
              <w:rPr>
                <w:rFonts w:eastAsia="Times New Roman"/>
                <w:color w:val="000000"/>
                <w:sz w:val="22"/>
                <w:lang w:eastAsia="lv-LV"/>
              </w:rPr>
            </w:pPr>
            <w:r w:rsidRPr="0037366A">
              <w:rPr>
                <w:rFonts w:eastAsia="Times New Roman"/>
                <w:color w:val="000000"/>
                <w:sz w:val="22"/>
                <w:lang w:eastAsia="lv-LV"/>
              </w:rPr>
              <w:t>Likums stājas spēkā 2016. gada 1. janvārī.</w:t>
            </w:r>
          </w:p>
        </w:tc>
        <w:tc>
          <w:tcPr>
            <w:tcW w:w="567" w:type="dxa"/>
          </w:tcPr>
          <w:p w:rsidR="0000397E" w:rsidRPr="008E2AF5" w:rsidRDefault="0000397E" w:rsidP="001A7D73">
            <w:pPr>
              <w:jc w:val="center"/>
              <w:rPr>
                <w:b/>
                <w:sz w:val="22"/>
              </w:rPr>
            </w:pPr>
          </w:p>
        </w:tc>
        <w:tc>
          <w:tcPr>
            <w:tcW w:w="3960" w:type="dxa"/>
          </w:tcPr>
          <w:p w:rsidR="0000397E" w:rsidRPr="008B4C73" w:rsidRDefault="0000397E" w:rsidP="001A7D73">
            <w:pPr>
              <w:ind w:firstLine="567"/>
              <w:jc w:val="both"/>
              <w:rPr>
                <w:sz w:val="22"/>
              </w:rPr>
            </w:pPr>
          </w:p>
        </w:tc>
        <w:tc>
          <w:tcPr>
            <w:tcW w:w="1420" w:type="dxa"/>
          </w:tcPr>
          <w:p w:rsidR="0000397E" w:rsidRPr="008E2AF5" w:rsidRDefault="0000397E" w:rsidP="001A7D73">
            <w:pPr>
              <w:jc w:val="center"/>
              <w:rPr>
                <w:sz w:val="22"/>
              </w:rPr>
            </w:pPr>
          </w:p>
        </w:tc>
        <w:tc>
          <w:tcPr>
            <w:tcW w:w="1420" w:type="dxa"/>
          </w:tcPr>
          <w:p w:rsidR="0000397E" w:rsidRPr="008E2AF5" w:rsidRDefault="0000397E" w:rsidP="001A7D73">
            <w:pPr>
              <w:jc w:val="center"/>
              <w:rPr>
                <w:sz w:val="22"/>
              </w:rPr>
            </w:pPr>
          </w:p>
        </w:tc>
      </w:tr>
    </w:tbl>
    <w:p w:rsidR="00F42992" w:rsidRDefault="00F42992" w:rsidP="00F42992"/>
    <w:p w:rsidR="007A4333" w:rsidRDefault="007A4333"/>
    <w:sectPr w:rsidR="007A4333" w:rsidSect="00C71E28">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48" w:rsidRDefault="00415648" w:rsidP="004942FE">
      <w:r>
        <w:separator/>
      </w:r>
    </w:p>
  </w:endnote>
  <w:endnote w:type="continuationSeparator" w:id="0">
    <w:p w:rsidR="00415648" w:rsidRDefault="00415648" w:rsidP="004942FE">
      <w:r>
        <w:continuationSeparator/>
      </w:r>
    </w:p>
  </w:endnote>
  <w:endnote w:id="1">
    <w:p w:rsidR="00A05759" w:rsidRPr="00D829DA" w:rsidRDefault="00A05759" w:rsidP="00F801F0">
      <w:pPr>
        <w:pStyle w:val="tv213"/>
        <w:spacing w:before="0" w:beforeAutospacing="0" w:after="0" w:afterAutospacing="0"/>
        <w:jc w:val="both"/>
        <w:rPr>
          <w:sz w:val="20"/>
          <w:szCs w:val="20"/>
        </w:rPr>
      </w:pPr>
      <w:r>
        <w:rPr>
          <w:rStyle w:val="EndnoteReference"/>
        </w:rPr>
        <w:endnoteRef/>
      </w:r>
      <w:r>
        <w:t xml:space="preserve"> </w:t>
      </w:r>
      <w:r w:rsidRPr="00D829DA">
        <w:rPr>
          <w:b/>
          <w:bCs/>
          <w:sz w:val="20"/>
          <w:szCs w:val="20"/>
        </w:rPr>
        <w:t>2.pants. Likuma darbība</w:t>
      </w:r>
    </w:p>
    <w:p w:rsidR="00A05759" w:rsidRDefault="00A05759" w:rsidP="00A05759">
      <w:pPr>
        <w:pStyle w:val="tv213"/>
        <w:spacing w:before="0" w:beforeAutospacing="0" w:after="0" w:afterAutospacing="0"/>
        <w:ind w:firstLine="720"/>
        <w:jc w:val="both"/>
        <w:rPr>
          <w:sz w:val="20"/>
          <w:szCs w:val="20"/>
        </w:rPr>
      </w:pPr>
      <w:r w:rsidRPr="00D829DA">
        <w:rPr>
          <w:sz w:val="20"/>
          <w:szCs w:val="20"/>
        </w:rPr>
        <w:t xml:space="preserve"> (4) Likums neattiecas uz Latvijas Bankas amatpersonām (darbiniekiem), tomēr šī institūcija nodrošina, ka informācija par tās amatpersonu (darbinieku) atlīdzības noteikšanas kritērijiem un darba samaksas apmēru sadalījumā pa amatu grupām normatīvajos aktos noteiktajā kārtībā tiek publiskota Latvijas Bankas mājaslapā internetā. Latvijas Banka, ņemot vērā valsts ekonomiskās attīstības ciklu, ievēro arī solidaritātes principu un ekonomiskās izaugsmes laikā atlīdzību var pārskatīt, to paaugstinot, bet recesijas laikā atlīdzību samazina solidāri ar citām valsts institūcijām.</w:t>
      </w:r>
    </w:p>
    <w:p w:rsidR="00F801F0" w:rsidRPr="00D829DA" w:rsidRDefault="00F801F0" w:rsidP="00A05759">
      <w:pPr>
        <w:pStyle w:val="tv213"/>
        <w:spacing w:before="0" w:beforeAutospacing="0" w:after="0" w:afterAutospacing="0"/>
        <w:ind w:firstLine="720"/>
        <w:jc w:val="both"/>
        <w:rPr>
          <w:sz w:val="20"/>
          <w:szCs w:val="20"/>
        </w:rPr>
      </w:pPr>
    </w:p>
    <w:p w:rsidR="00A05759" w:rsidRPr="00D829DA" w:rsidRDefault="00A05759" w:rsidP="00A05759">
      <w:pPr>
        <w:pStyle w:val="tv213"/>
        <w:spacing w:before="0" w:beforeAutospacing="0" w:after="0" w:afterAutospacing="0"/>
        <w:ind w:firstLine="720"/>
        <w:jc w:val="both"/>
        <w:rPr>
          <w:sz w:val="20"/>
          <w:szCs w:val="20"/>
        </w:rPr>
      </w:pPr>
      <w:r w:rsidRPr="00D829DA">
        <w:rPr>
          <w:sz w:val="20"/>
          <w:szCs w:val="20"/>
        </w:rPr>
        <w:t>(4</w:t>
      </w:r>
      <w:r w:rsidRPr="00D829DA">
        <w:rPr>
          <w:sz w:val="20"/>
          <w:szCs w:val="20"/>
          <w:vertAlign w:val="superscript"/>
        </w:rPr>
        <w:t>1</w:t>
      </w:r>
      <w:r w:rsidRPr="00D829DA">
        <w:rPr>
          <w:sz w:val="20"/>
          <w:szCs w:val="20"/>
        </w:rPr>
        <w:t>) Uz valsts vai pašvaldības kapitālsabiedrībām, publiski privātajām kapitālsabiedrībām un kapitālsabiedrībām, kurās valsts, pašvaldības vai publiski privātajai kapitālsabiedrībai pieder visas kapitāla daļas, izņemot šā panta otrās daļas 4.punktā minētās kapitālsabiedrības, attiecas tikai šī daļa un šā likuma 3.panta astotā daļa. Citas šā likuma normas attiecībā uz minētajām kapitālsabiedrībām piemēro citos likumos noteiktajos gadījumos un apjomā. Informācija par šīm kapitālsabiedrībām, izņemot kredītiestādes, amatpersonu (darbinieku) atlīdzības noteikšanas kritērijiem un darba samaksas apmēru sadalījumā pa amatu grupām normatīvajos aktos noteiktajā kārtībā tiek publiskota attiecīgās kapitālsabiedrības vai kapitāla daļu turētāja mājaslapā internetā, ja pastāv vismaz viens no šādiem nosacījumiem:</w:t>
      </w:r>
    </w:p>
    <w:p w:rsidR="00A05759" w:rsidRPr="00D829DA" w:rsidRDefault="00A05759" w:rsidP="00A05759">
      <w:pPr>
        <w:pStyle w:val="tv213"/>
        <w:spacing w:before="0" w:beforeAutospacing="0" w:after="0" w:afterAutospacing="0"/>
        <w:ind w:firstLine="720"/>
        <w:jc w:val="both"/>
        <w:rPr>
          <w:sz w:val="20"/>
          <w:szCs w:val="20"/>
        </w:rPr>
      </w:pPr>
      <w:r w:rsidRPr="00D829DA">
        <w:rPr>
          <w:sz w:val="20"/>
          <w:szCs w:val="20"/>
        </w:rPr>
        <w:t>1) kapitālsabiedrība saņem valsts budžeta līdzekļus, valsts budžeta dotāciju vai samaksu par sniegto pakalpojumu valsts deleģēto funkciju veikšanai vai valsts pasūtījuma (sabiedriskā vai nacionālā pasūtījuma) īstenošanai vai kompensāciju par zaudējumiem, sniedzot universālo pakalpojumu, izņemot Eiropas Savienības politiku instrumentu un pārējo ārvalstu finanšu palīdzību;</w:t>
      </w:r>
    </w:p>
    <w:p w:rsidR="00A05759" w:rsidRPr="00D829DA" w:rsidRDefault="00A05759" w:rsidP="00A05759">
      <w:pPr>
        <w:pStyle w:val="tv213"/>
        <w:spacing w:before="0" w:beforeAutospacing="0" w:after="0" w:afterAutospacing="0"/>
        <w:ind w:firstLine="720"/>
        <w:jc w:val="both"/>
        <w:rPr>
          <w:sz w:val="20"/>
          <w:szCs w:val="20"/>
        </w:rPr>
      </w:pPr>
      <w:r w:rsidRPr="00D829DA">
        <w:rPr>
          <w:sz w:val="20"/>
          <w:szCs w:val="20"/>
        </w:rPr>
        <w:t>2) kapitālsabiedrība nesaņem valsts budžeta līdzekļus, bet pilda tai deleģētos valsts pārvaldes uzdevumus vai tās darbība ir saistīta ar maksājumu valsts budžetā administrēšanu;</w:t>
      </w:r>
    </w:p>
    <w:p w:rsidR="00A05759" w:rsidRPr="00D829DA" w:rsidRDefault="00A05759" w:rsidP="00A05759">
      <w:pPr>
        <w:pStyle w:val="tv213"/>
        <w:spacing w:before="0" w:beforeAutospacing="0" w:after="0" w:afterAutospacing="0"/>
        <w:ind w:firstLine="720"/>
        <w:jc w:val="both"/>
        <w:rPr>
          <w:sz w:val="20"/>
          <w:szCs w:val="20"/>
        </w:rPr>
      </w:pPr>
      <w:r w:rsidRPr="00D829DA">
        <w:rPr>
          <w:sz w:val="20"/>
          <w:szCs w:val="20"/>
        </w:rPr>
        <w:t>3) kapitālsabiedrība pilda tai ar likumu uzdotās funkcijas pārvaldīt un apsaimniekot valsts īpašumu vai organizēt valsts īpašuma privatizāciju;</w:t>
      </w:r>
    </w:p>
    <w:p w:rsidR="00A05759" w:rsidRPr="00D829DA" w:rsidRDefault="00A05759" w:rsidP="00A05759">
      <w:pPr>
        <w:pStyle w:val="tv213"/>
        <w:spacing w:before="0" w:beforeAutospacing="0" w:after="0" w:afterAutospacing="0"/>
        <w:ind w:firstLine="720"/>
        <w:jc w:val="both"/>
        <w:rPr>
          <w:sz w:val="20"/>
          <w:szCs w:val="20"/>
        </w:rPr>
      </w:pPr>
      <w:r w:rsidRPr="00D829DA">
        <w:rPr>
          <w:sz w:val="20"/>
          <w:szCs w:val="20"/>
        </w:rPr>
        <w:t>4) kapitālsabiedrība saņem pašvaldību budžetu līdzekļus, pašvaldību budžetu dotāciju, samaksu par sniegto pakalpojumu pašvaldības vai tai deleģēto valsts pārvaldes uzdevumu veikšanai vai kapitālsabiedrībai pašvaldība ir palielinājusi šīs kapitālsabiedrības pamatkapitālu vai sniegusi galvojumu tās aizņēmumam, izņemot Eiropas Savienības politiku instrumentu un pārējo ārvalstu finanšu palīdzību;</w:t>
      </w:r>
    </w:p>
    <w:p w:rsidR="00A05759" w:rsidRDefault="00A05759" w:rsidP="00A05759">
      <w:pPr>
        <w:pStyle w:val="tv213"/>
        <w:spacing w:before="0" w:beforeAutospacing="0" w:after="0" w:afterAutospacing="0"/>
        <w:ind w:firstLine="720"/>
        <w:jc w:val="both"/>
        <w:rPr>
          <w:sz w:val="20"/>
          <w:szCs w:val="20"/>
        </w:rPr>
      </w:pPr>
      <w:r w:rsidRPr="00D829DA">
        <w:rPr>
          <w:sz w:val="20"/>
          <w:szCs w:val="20"/>
        </w:rPr>
        <w:t>5) kapitālsabiedrība izveidota, lai piedalītos pašvaldības autonomo funkciju pildīšanā.</w:t>
      </w:r>
    </w:p>
    <w:p w:rsidR="00F801F0" w:rsidRPr="00D829DA" w:rsidRDefault="00F801F0" w:rsidP="00A05759">
      <w:pPr>
        <w:pStyle w:val="tv213"/>
        <w:spacing w:before="0" w:beforeAutospacing="0" w:after="0" w:afterAutospacing="0"/>
        <w:ind w:firstLine="720"/>
        <w:jc w:val="both"/>
        <w:rPr>
          <w:sz w:val="20"/>
          <w:szCs w:val="20"/>
        </w:rPr>
      </w:pPr>
    </w:p>
    <w:p w:rsidR="00A05759" w:rsidRDefault="00A05759" w:rsidP="00F801F0">
      <w:pPr>
        <w:pStyle w:val="tv213"/>
        <w:spacing w:before="0" w:beforeAutospacing="0" w:after="0" w:afterAutospacing="0"/>
        <w:ind w:firstLine="720"/>
        <w:jc w:val="both"/>
        <w:rPr>
          <w:sz w:val="20"/>
          <w:szCs w:val="20"/>
        </w:rPr>
      </w:pPr>
      <w:r w:rsidRPr="00D829DA">
        <w:rPr>
          <w:sz w:val="20"/>
          <w:szCs w:val="20"/>
        </w:rPr>
        <w:t>(4</w:t>
      </w:r>
      <w:r w:rsidRPr="00D829DA">
        <w:rPr>
          <w:sz w:val="20"/>
          <w:szCs w:val="20"/>
          <w:vertAlign w:val="superscript"/>
        </w:rPr>
        <w:t>2</w:t>
      </w:r>
      <w:r w:rsidRPr="00D829DA">
        <w:rPr>
          <w:sz w:val="20"/>
          <w:szCs w:val="20"/>
        </w:rPr>
        <w:t>) Šā panta 4.</w:t>
      </w:r>
      <w:r w:rsidRPr="00D829DA">
        <w:rPr>
          <w:sz w:val="20"/>
          <w:szCs w:val="20"/>
          <w:vertAlign w:val="superscript"/>
        </w:rPr>
        <w:t>1</w:t>
      </w:r>
      <w:r w:rsidRPr="00D829DA">
        <w:rPr>
          <w:sz w:val="20"/>
          <w:szCs w:val="20"/>
        </w:rPr>
        <w:t xml:space="preserve"> daļā noteiktie pienākumi attiecas arī uz biedrībām un nodibinājumiem, kuri nodrošina valsts pasūtījuma (sabiedriskā vai nacionālā pasūtījuma) īstenošanu un no kuru finansējuma resursiem vairāk nekā 50 procentus veido valsts budžeta finansējums, kas nav Eiropas Savienības politiku instrumentu un pārējo ārvalstu finanšu palīdzības līdzekļi.</w:t>
      </w:r>
    </w:p>
    <w:p w:rsidR="00F801F0" w:rsidRDefault="00F801F0" w:rsidP="00F801F0">
      <w:pPr>
        <w:pStyle w:val="tv213"/>
        <w:spacing w:before="0" w:beforeAutospacing="0" w:after="0" w:afterAutospacing="0"/>
        <w:ind w:firstLine="720"/>
        <w:jc w:val="both"/>
        <w:rPr>
          <w:sz w:val="20"/>
          <w:szCs w:val="20"/>
        </w:rPr>
      </w:pPr>
    </w:p>
    <w:p w:rsidR="00A05759" w:rsidRPr="00D829DA" w:rsidRDefault="00A05759" w:rsidP="00A05759">
      <w:pPr>
        <w:ind w:firstLine="720"/>
        <w:jc w:val="both"/>
        <w:rPr>
          <w:b/>
          <w:bCs/>
          <w:sz w:val="20"/>
          <w:szCs w:val="20"/>
        </w:rPr>
      </w:pPr>
      <w:r w:rsidRPr="00D829DA">
        <w:rPr>
          <w:b/>
          <w:bCs/>
          <w:sz w:val="20"/>
          <w:szCs w:val="20"/>
        </w:rPr>
        <w:t>3.pants. Atlīdzība</w:t>
      </w:r>
    </w:p>
    <w:p w:rsidR="00A05759" w:rsidRPr="00D829DA" w:rsidRDefault="00A05759" w:rsidP="00A05759">
      <w:pPr>
        <w:ind w:firstLine="720"/>
        <w:jc w:val="both"/>
        <w:rPr>
          <w:b/>
          <w:bCs/>
          <w:sz w:val="20"/>
          <w:szCs w:val="20"/>
        </w:rPr>
      </w:pPr>
    </w:p>
    <w:p w:rsidR="00A05759" w:rsidRPr="00D829DA" w:rsidRDefault="00A05759" w:rsidP="00A05759">
      <w:pPr>
        <w:ind w:firstLine="720"/>
        <w:jc w:val="both"/>
        <w:rPr>
          <w:sz w:val="20"/>
          <w:szCs w:val="20"/>
        </w:rPr>
      </w:pPr>
      <w:r w:rsidRPr="00D829DA">
        <w:rPr>
          <w:sz w:val="20"/>
          <w:szCs w:val="20"/>
        </w:rPr>
        <w:t>(9) Valsts vai pašvaldības institūcija tās mājaslapā internetā normatīvajos aktos noteiktajā kārtībā publisko informāciju par amatpersonu (darbinieku), izņemot šā likuma 9. un 10.pantā minētās amatpersonas (darbiniekus), atlīdzības noteikšanas kritērijiem un darba samaksas apmēru sadalījumā pa amatu grupām. Plašāku informāciju par amatpersonas (darbinieka), kā arī šā likuma 9. un 10.pantā minēto amatpersonu (darbinieku) atlīdzību sniedz normatīvajos aktos noteiktajā kārtībā un apjomā.</w:t>
      </w:r>
    </w:p>
    <w:p w:rsidR="00A05759" w:rsidRDefault="00A0575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E28" w:rsidRDefault="00415648" w:rsidP="00C71E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28" w:rsidRDefault="004942FE" w:rsidP="00C71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0903">
      <w:rPr>
        <w:rStyle w:val="PageNumber"/>
        <w:noProof/>
      </w:rPr>
      <w:t>5</w:t>
    </w:r>
    <w:r>
      <w:rPr>
        <w:rStyle w:val="PageNumber"/>
      </w:rPr>
      <w:fldChar w:fldCharType="end"/>
    </w:r>
  </w:p>
  <w:p w:rsidR="00C71E28" w:rsidRDefault="00415648" w:rsidP="00C71E2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48" w:rsidRDefault="00415648" w:rsidP="004942FE">
      <w:r>
        <w:separator/>
      </w:r>
    </w:p>
  </w:footnote>
  <w:footnote w:type="continuationSeparator" w:id="0">
    <w:p w:rsidR="00415648" w:rsidRDefault="00415648" w:rsidP="0049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E" w:rsidRDefault="00494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55A"/>
    <w:multiLevelType w:val="hybridMultilevel"/>
    <w:tmpl w:val="023888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1D53AF0"/>
    <w:multiLevelType w:val="hybridMultilevel"/>
    <w:tmpl w:val="4B2AE878"/>
    <w:lvl w:ilvl="0" w:tplc="73668632">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D8D3F1E"/>
    <w:multiLevelType w:val="hybridMultilevel"/>
    <w:tmpl w:val="C6D43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92"/>
    <w:rsid w:val="0000397E"/>
    <w:rsid w:val="000109E4"/>
    <w:rsid w:val="000B3F81"/>
    <w:rsid w:val="000B774F"/>
    <w:rsid w:val="000C0903"/>
    <w:rsid w:val="00123349"/>
    <w:rsid w:val="00172AE2"/>
    <w:rsid w:val="002776BC"/>
    <w:rsid w:val="002D3ECB"/>
    <w:rsid w:val="002F0924"/>
    <w:rsid w:val="00305C3D"/>
    <w:rsid w:val="003478ED"/>
    <w:rsid w:val="0035641C"/>
    <w:rsid w:val="00362E41"/>
    <w:rsid w:val="0037366A"/>
    <w:rsid w:val="00397F42"/>
    <w:rsid w:val="00405509"/>
    <w:rsid w:val="00413E31"/>
    <w:rsid w:val="00415648"/>
    <w:rsid w:val="00461E78"/>
    <w:rsid w:val="00491803"/>
    <w:rsid w:val="004942FE"/>
    <w:rsid w:val="004D0E5D"/>
    <w:rsid w:val="004D7945"/>
    <w:rsid w:val="00517E3F"/>
    <w:rsid w:val="00546540"/>
    <w:rsid w:val="005660A1"/>
    <w:rsid w:val="00581185"/>
    <w:rsid w:val="005B5A41"/>
    <w:rsid w:val="00601A14"/>
    <w:rsid w:val="00653774"/>
    <w:rsid w:val="0065395D"/>
    <w:rsid w:val="006A5F3C"/>
    <w:rsid w:val="0071621E"/>
    <w:rsid w:val="0072214D"/>
    <w:rsid w:val="00735F88"/>
    <w:rsid w:val="0079362C"/>
    <w:rsid w:val="007A4333"/>
    <w:rsid w:val="00810CD3"/>
    <w:rsid w:val="00833BE7"/>
    <w:rsid w:val="008D042F"/>
    <w:rsid w:val="00901ABE"/>
    <w:rsid w:val="00947AEA"/>
    <w:rsid w:val="00961500"/>
    <w:rsid w:val="009667CE"/>
    <w:rsid w:val="009912CB"/>
    <w:rsid w:val="00A05759"/>
    <w:rsid w:val="00A42C83"/>
    <w:rsid w:val="00A707D6"/>
    <w:rsid w:val="00A85D36"/>
    <w:rsid w:val="00AA55B8"/>
    <w:rsid w:val="00AA62B1"/>
    <w:rsid w:val="00AF04D3"/>
    <w:rsid w:val="00B25F0E"/>
    <w:rsid w:val="00BE4A97"/>
    <w:rsid w:val="00C004A5"/>
    <w:rsid w:val="00C25671"/>
    <w:rsid w:val="00C52093"/>
    <w:rsid w:val="00CB40DF"/>
    <w:rsid w:val="00CF5F17"/>
    <w:rsid w:val="00D23675"/>
    <w:rsid w:val="00D4022E"/>
    <w:rsid w:val="00D74F32"/>
    <w:rsid w:val="00DE3480"/>
    <w:rsid w:val="00E00AFB"/>
    <w:rsid w:val="00E127BE"/>
    <w:rsid w:val="00E1301B"/>
    <w:rsid w:val="00E377B3"/>
    <w:rsid w:val="00F23718"/>
    <w:rsid w:val="00F42992"/>
    <w:rsid w:val="00F64006"/>
    <w:rsid w:val="00F66F3E"/>
    <w:rsid w:val="00F76805"/>
    <w:rsid w:val="00F801F0"/>
    <w:rsid w:val="00F87703"/>
    <w:rsid w:val="00F96AEB"/>
    <w:rsid w:val="00FA1B01"/>
    <w:rsid w:val="00FE4C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92"/>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paragraph" w:styleId="Heading4">
    <w:name w:val="heading 4"/>
    <w:basedOn w:val="Normal"/>
    <w:next w:val="Normal"/>
    <w:link w:val="Heading4Char"/>
    <w:uiPriority w:val="9"/>
    <w:semiHidden/>
    <w:unhideWhenUsed/>
    <w:qFormat/>
    <w:rsid w:val="00901A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character" w:customStyle="1" w:styleId="Heading4Char">
    <w:name w:val="Heading 4 Char"/>
    <w:basedOn w:val="DefaultParagraphFont"/>
    <w:link w:val="Heading4"/>
    <w:uiPriority w:val="9"/>
    <w:semiHidden/>
    <w:rsid w:val="00901ABE"/>
    <w:rPr>
      <w:rFonts w:asciiTheme="majorHAnsi" w:eastAsiaTheme="majorEastAsia" w:hAnsiTheme="majorHAnsi" w:cstheme="majorBidi"/>
      <w:b/>
      <w:bCs/>
      <w:i/>
      <w:iCs/>
      <w:color w:val="5B9BD5" w:themeColor="accent1"/>
      <w:sz w:val="24"/>
    </w:rPr>
  </w:style>
  <w:style w:type="paragraph" w:styleId="EndnoteText">
    <w:name w:val="endnote text"/>
    <w:basedOn w:val="Normal"/>
    <w:link w:val="EndnoteTextChar"/>
    <w:uiPriority w:val="99"/>
    <w:unhideWhenUsed/>
    <w:rsid w:val="00833BE7"/>
    <w:rPr>
      <w:sz w:val="20"/>
      <w:szCs w:val="20"/>
    </w:rPr>
  </w:style>
  <w:style w:type="character" w:customStyle="1" w:styleId="EndnoteTextChar">
    <w:name w:val="Endnote Text Char"/>
    <w:basedOn w:val="DefaultParagraphFont"/>
    <w:link w:val="EndnoteText"/>
    <w:uiPriority w:val="99"/>
    <w:rsid w:val="00833BE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3BE7"/>
    <w:rPr>
      <w:vertAlign w:val="superscript"/>
    </w:rPr>
  </w:style>
  <w:style w:type="paragraph" w:customStyle="1" w:styleId="tvhtml">
    <w:name w:val="tv_html"/>
    <w:basedOn w:val="Normal"/>
    <w:rsid w:val="0079362C"/>
    <w:pPr>
      <w:spacing w:before="100" w:beforeAutospacing="1" w:after="100" w:afterAutospacing="1"/>
    </w:pPr>
    <w:rPr>
      <w:rFonts w:eastAsia="Times New Roman"/>
      <w:szCs w:val="24"/>
      <w:lang w:eastAsia="lv-LV"/>
    </w:rPr>
  </w:style>
  <w:style w:type="paragraph" w:styleId="FootnoteText">
    <w:name w:val="footnote text"/>
    <w:basedOn w:val="Normal"/>
    <w:link w:val="FootnoteTextChar"/>
    <w:uiPriority w:val="99"/>
    <w:semiHidden/>
    <w:unhideWhenUsed/>
    <w:rsid w:val="00A05759"/>
    <w:rPr>
      <w:sz w:val="20"/>
      <w:szCs w:val="20"/>
    </w:rPr>
  </w:style>
  <w:style w:type="character" w:customStyle="1" w:styleId="FootnoteTextChar">
    <w:name w:val="Footnote Text Char"/>
    <w:basedOn w:val="DefaultParagraphFont"/>
    <w:link w:val="FootnoteText"/>
    <w:uiPriority w:val="99"/>
    <w:semiHidden/>
    <w:rsid w:val="00A0575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A05759"/>
    <w:rPr>
      <w:vertAlign w:val="superscript"/>
    </w:rPr>
  </w:style>
  <w:style w:type="paragraph" w:customStyle="1" w:styleId="tv213">
    <w:name w:val="tv213"/>
    <w:basedOn w:val="Normal"/>
    <w:rsid w:val="00A05759"/>
    <w:pPr>
      <w:spacing w:before="100" w:beforeAutospacing="1" w:after="100" w:afterAutospacing="1"/>
    </w:pPr>
    <w:rPr>
      <w:rFonts w:eastAsia="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92"/>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F42992"/>
    <w:pPr>
      <w:keepNext/>
      <w:jc w:val="center"/>
      <w:outlineLvl w:val="0"/>
    </w:pPr>
    <w:rPr>
      <w:rFonts w:eastAsia="Times New Roman"/>
      <w:b/>
      <w:bCs/>
      <w:iCs/>
      <w:szCs w:val="24"/>
    </w:rPr>
  </w:style>
  <w:style w:type="paragraph" w:styleId="Heading4">
    <w:name w:val="heading 4"/>
    <w:basedOn w:val="Normal"/>
    <w:next w:val="Normal"/>
    <w:link w:val="Heading4Char"/>
    <w:uiPriority w:val="9"/>
    <w:semiHidden/>
    <w:unhideWhenUsed/>
    <w:qFormat/>
    <w:rsid w:val="00901ABE"/>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992"/>
    <w:rPr>
      <w:rFonts w:ascii="Times New Roman" w:eastAsia="Times New Roman" w:hAnsi="Times New Roman" w:cs="Times New Roman"/>
      <w:b/>
      <w:bCs/>
      <w:iCs/>
      <w:sz w:val="24"/>
      <w:szCs w:val="24"/>
    </w:rPr>
  </w:style>
  <w:style w:type="paragraph" w:styleId="Title">
    <w:name w:val="Title"/>
    <w:basedOn w:val="Normal"/>
    <w:link w:val="TitleChar"/>
    <w:qFormat/>
    <w:rsid w:val="00F42992"/>
    <w:pPr>
      <w:jc w:val="center"/>
    </w:pPr>
    <w:rPr>
      <w:rFonts w:eastAsia="Times New Roman"/>
      <w:b/>
      <w:szCs w:val="20"/>
    </w:rPr>
  </w:style>
  <w:style w:type="character" w:customStyle="1" w:styleId="TitleChar">
    <w:name w:val="Title Char"/>
    <w:basedOn w:val="DefaultParagraphFont"/>
    <w:link w:val="Title"/>
    <w:rsid w:val="00F42992"/>
    <w:rPr>
      <w:rFonts w:ascii="Times New Roman" w:eastAsia="Times New Roman" w:hAnsi="Times New Roman" w:cs="Times New Roman"/>
      <w:b/>
      <w:sz w:val="24"/>
      <w:szCs w:val="20"/>
    </w:rPr>
  </w:style>
  <w:style w:type="paragraph" w:styleId="Footer">
    <w:name w:val="footer"/>
    <w:basedOn w:val="Normal"/>
    <w:link w:val="FooterChar"/>
    <w:uiPriority w:val="99"/>
    <w:rsid w:val="00F4299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uiPriority w:val="99"/>
    <w:rsid w:val="00F42992"/>
    <w:rPr>
      <w:rFonts w:ascii="Times New Roman" w:eastAsia="Times New Roman" w:hAnsi="Times New Roman" w:cs="Times New Roman"/>
      <w:sz w:val="24"/>
      <w:szCs w:val="24"/>
      <w:lang w:val="en-GB"/>
    </w:rPr>
  </w:style>
  <w:style w:type="character" w:styleId="PageNumber">
    <w:name w:val="page number"/>
    <w:rsid w:val="00F42992"/>
  </w:style>
  <w:style w:type="character" w:styleId="Hyperlink">
    <w:name w:val="Hyperlink"/>
    <w:basedOn w:val="DefaultParagraphFont"/>
    <w:uiPriority w:val="99"/>
    <w:unhideWhenUsed/>
    <w:rsid w:val="004942FE"/>
    <w:rPr>
      <w:color w:val="0000FF"/>
      <w:u w:val="single"/>
    </w:rPr>
  </w:style>
  <w:style w:type="paragraph" w:styleId="Header">
    <w:name w:val="header"/>
    <w:basedOn w:val="Normal"/>
    <w:link w:val="HeaderChar"/>
    <w:uiPriority w:val="99"/>
    <w:unhideWhenUsed/>
    <w:rsid w:val="004942FE"/>
    <w:pPr>
      <w:tabs>
        <w:tab w:val="center" w:pos="4153"/>
        <w:tab w:val="right" w:pos="8306"/>
      </w:tabs>
    </w:pPr>
  </w:style>
  <w:style w:type="character" w:customStyle="1" w:styleId="HeaderChar">
    <w:name w:val="Header Char"/>
    <w:basedOn w:val="DefaultParagraphFont"/>
    <w:link w:val="Header"/>
    <w:uiPriority w:val="99"/>
    <w:rsid w:val="004942FE"/>
    <w:rPr>
      <w:rFonts w:ascii="Times New Roman" w:eastAsia="Calibri" w:hAnsi="Times New Roman" w:cs="Times New Roman"/>
      <w:sz w:val="24"/>
    </w:rPr>
  </w:style>
  <w:style w:type="character" w:customStyle="1" w:styleId="Heading4Char">
    <w:name w:val="Heading 4 Char"/>
    <w:basedOn w:val="DefaultParagraphFont"/>
    <w:link w:val="Heading4"/>
    <w:uiPriority w:val="9"/>
    <w:semiHidden/>
    <w:rsid w:val="00901ABE"/>
    <w:rPr>
      <w:rFonts w:asciiTheme="majorHAnsi" w:eastAsiaTheme="majorEastAsia" w:hAnsiTheme="majorHAnsi" w:cstheme="majorBidi"/>
      <w:b/>
      <w:bCs/>
      <w:i/>
      <w:iCs/>
      <w:color w:val="5B9BD5" w:themeColor="accent1"/>
      <w:sz w:val="24"/>
    </w:rPr>
  </w:style>
  <w:style w:type="paragraph" w:styleId="EndnoteText">
    <w:name w:val="endnote text"/>
    <w:basedOn w:val="Normal"/>
    <w:link w:val="EndnoteTextChar"/>
    <w:uiPriority w:val="99"/>
    <w:unhideWhenUsed/>
    <w:rsid w:val="00833BE7"/>
    <w:rPr>
      <w:sz w:val="20"/>
      <w:szCs w:val="20"/>
    </w:rPr>
  </w:style>
  <w:style w:type="character" w:customStyle="1" w:styleId="EndnoteTextChar">
    <w:name w:val="Endnote Text Char"/>
    <w:basedOn w:val="DefaultParagraphFont"/>
    <w:link w:val="EndnoteText"/>
    <w:uiPriority w:val="99"/>
    <w:rsid w:val="00833BE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833BE7"/>
    <w:rPr>
      <w:vertAlign w:val="superscript"/>
    </w:rPr>
  </w:style>
  <w:style w:type="paragraph" w:customStyle="1" w:styleId="tvhtml">
    <w:name w:val="tv_html"/>
    <w:basedOn w:val="Normal"/>
    <w:rsid w:val="0079362C"/>
    <w:pPr>
      <w:spacing w:before="100" w:beforeAutospacing="1" w:after="100" w:afterAutospacing="1"/>
    </w:pPr>
    <w:rPr>
      <w:rFonts w:eastAsia="Times New Roman"/>
      <w:szCs w:val="24"/>
      <w:lang w:eastAsia="lv-LV"/>
    </w:rPr>
  </w:style>
  <w:style w:type="paragraph" w:styleId="FootnoteText">
    <w:name w:val="footnote text"/>
    <w:basedOn w:val="Normal"/>
    <w:link w:val="FootnoteTextChar"/>
    <w:uiPriority w:val="99"/>
    <w:semiHidden/>
    <w:unhideWhenUsed/>
    <w:rsid w:val="00A05759"/>
    <w:rPr>
      <w:sz w:val="20"/>
      <w:szCs w:val="20"/>
    </w:rPr>
  </w:style>
  <w:style w:type="character" w:customStyle="1" w:styleId="FootnoteTextChar">
    <w:name w:val="Footnote Text Char"/>
    <w:basedOn w:val="DefaultParagraphFont"/>
    <w:link w:val="FootnoteText"/>
    <w:uiPriority w:val="99"/>
    <w:semiHidden/>
    <w:rsid w:val="00A0575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A05759"/>
    <w:rPr>
      <w:vertAlign w:val="superscript"/>
    </w:rPr>
  </w:style>
  <w:style w:type="paragraph" w:customStyle="1" w:styleId="tv213">
    <w:name w:val="tv213"/>
    <w:basedOn w:val="Normal"/>
    <w:rsid w:val="00A05759"/>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361">
      <w:bodyDiv w:val="1"/>
      <w:marLeft w:val="0"/>
      <w:marRight w:val="0"/>
      <w:marTop w:val="0"/>
      <w:marBottom w:val="0"/>
      <w:divBdr>
        <w:top w:val="none" w:sz="0" w:space="0" w:color="auto"/>
        <w:left w:val="none" w:sz="0" w:space="0" w:color="auto"/>
        <w:bottom w:val="none" w:sz="0" w:space="0" w:color="auto"/>
        <w:right w:val="none" w:sz="0" w:space="0" w:color="auto"/>
      </w:divBdr>
    </w:div>
    <w:div w:id="152962040">
      <w:bodyDiv w:val="1"/>
      <w:marLeft w:val="0"/>
      <w:marRight w:val="0"/>
      <w:marTop w:val="0"/>
      <w:marBottom w:val="0"/>
      <w:divBdr>
        <w:top w:val="none" w:sz="0" w:space="0" w:color="auto"/>
        <w:left w:val="none" w:sz="0" w:space="0" w:color="auto"/>
        <w:bottom w:val="none" w:sz="0" w:space="0" w:color="auto"/>
        <w:right w:val="none" w:sz="0" w:space="0" w:color="auto"/>
      </w:divBdr>
    </w:div>
    <w:div w:id="211164051">
      <w:bodyDiv w:val="1"/>
      <w:marLeft w:val="0"/>
      <w:marRight w:val="0"/>
      <w:marTop w:val="0"/>
      <w:marBottom w:val="0"/>
      <w:divBdr>
        <w:top w:val="none" w:sz="0" w:space="0" w:color="auto"/>
        <w:left w:val="none" w:sz="0" w:space="0" w:color="auto"/>
        <w:bottom w:val="none" w:sz="0" w:space="0" w:color="auto"/>
        <w:right w:val="none" w:sz="0" w:space="0" w:color="auto"/>
      </w:divBdr>
    </w:div>
    <w:div w:id="281377417">
      <w:bodyDiv w:val="1"/>
      <w:marLeft w:val="0"/>
      <w:marRight w:val="0"/>
      <w:marTop w:val="0"/>
      <w:marBottom w:val="0"/>
      <w:divBdr>
        <w:top w:val="none" w:sz="0" w:space="0" w:color="auto"/>
        <w:left w:val="none" w:sz="0" w:space="0" w:color="auto"/>
        <w:bottom w:val="none" w:sz="0" w:space="0" w:color="auto"/>
        <w:right w:val="none" w:sz="0" w:space="0" w:color="auto"/>
      </w:divBdr>
      <w:divsChild>
        <w:div w:id="665598574">
          <w:marLeft w:val="0"/>
          <w:marRight w:val="0"/>
          <w:marTop w:val="0"/>
          <w:marBottom w:val="0"/>
          <w:divBdr>
            <w:top w:val="none" w:sz="0" w:space="0" w:color="auto"/>
            <w:left w:val="none" w:sz="0" w:space="0" w:color="auto"/>
            <w:bottom w:val="none" w:sz="0" w:space="0" w:color="auto"/>
            <w:right w:val="none" w:sz="0" w:space="0" w:color="auto"/>
          </w:divBdr>
        </w:div>
        <w:div w:id="976103834">
          <w:marLeft w:val="0"/>
          <w:marRight w:val="0"/>
          <w:marTop w:val="0"/>
          <w:marBottom w:val="0"/>
          <w:divBdr>
            <w:top w:val="none" w:sz="0" w:space="0" w:color="auto"/>
            <w:left w:val="none" w:sz="0" w:space="0" w:color="auto"/>
            <w:bottom w:val="none" w:sz="0" w:space="0" w:color="auto"/>
            <w:right w:val="none" w:sz="0" w:space="0" w:color="auto"/>
          </w:divBdr>
        </w:div>
      </w:divsChild>
    </w:div>
    <w:div w:id="350885190">
      <w:bodyDiv w:val="1"/>
      <w:marLeft w:val="0"/>
      <w:marRight w:val="0"/>
      <w:marTop w:val="0"/>
      <w:marBottom w:val="0"/>
      <w:divBdr>
        <w:top w:val="none" w:sz="0" w:space="0" w:color="auto"/>
        <w:left w:val="none" w:sz="0" w:space="0" w:color="auto"/>
        <w:bottom w:val="none" w:sz="0" w:space="0" w:color="auto"/>
        <w:right w:val="none" w:sz="0" w:space="0" w:color="auto"/>
      </w:divBdr>
      <w:divsChild>
        <w:div w:id="1137068338">
          <w:marLeft w:val="0"/>
          <w:marRight w:val="0"/>
          <w:marTop w:val="0"/>
          <w:marBottom w:val="0"/>
          <w:divBdr>
            <w:top w:val="none" w:sz="0" w:space="0" w:color="auto"/>
            <w:left w:val="none" w:sz="0" w:space="0" w:color="auto"/>
            <w:bottom w:val="none" w:sz="0" w:space="0" w:color="auto"/>
            <w:right w:val="none" w:sz="0" w:space="0" w:color="auto"/>
          </w:divBdr>
          <w:divsChild>
            <w:div w:id="14105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780">
      <w:bodyDiv w:val="1"/>
      <w:marLeft w:val="0"/>
      <w:marRight w:val="0"/>
      <w:marTop w:val="0"/>
      <w:marBottom w:val="0"/>
      <w:divBdr>
        <w:top w:val="none" w:sz="0" w:space="0" w:color="auto"/>
        <w:left w:val="none" w:sz="0" w:space="0" w:color="auto"/>
        <w:bottom w:val="none" w:sz="0" w:space="0" w:color="auto"/>
        <w:right w:val="none" w:sz="0" w:space="0" w:color="auto"/>
      </w:divBdr>
      <w:divsChild>
        <w:div w:id="641009488">
          <w:marLeft w:val="0"/>
          <w:marRight w:val="0"/>
          <w:marTop w:val="0"/>
          <w:marBottom w:val="0"/>
          <w:divBdr>
            <w:top w:val="none" w:sz="0" w:space="0" w:color="auto"/>
            <w:left w:val="none" w:sz="0" w:space="0" w:color="auto"/>
            <w:bottom w:val="none" w:sz="0" w:space="0" w:color="auto"/>
            <w:right w:val="none" w:sz="0" w:space="0" w:color="auto"/>
          </w:divBdr>
          <w:divsChild>
            <w:div w:id="16593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9138">
      <w:bodyDiv w:val="1"/>
      <w:marLeft w:val="0"/>
      <w:marRight w:val="0"/>
      <w:marTop w:val="0"/>
      <w:marBottom w:val="0"/>
      <w:divBdr>
        <w:top w:val="none" w:sz="0" w:space="0" w:color="auto"/>
        <w:left w:val="none" w:sz="0" w:space="0" w:color="auto"/>
        <w:bottom w:val="none" w:sz="0" w:space="0" w:color="auto"/>
        <w:right w:val="none" w:sz="0" w:space="0" w:color="auto"/>
      </w:divBdr>
    </w:div>
    <w:div w:id="521167325">
      <w:bodyDiv w:val="1"/>
      <w:marLeft w:val="0"/>
      <w:marRight w:val="0"/>
      <w:marTop w:val="0"/>
      <w:marBottom w:val="0"/>
      <w:divBdr>
        <w:top w:val="none" w:sz="0" w:space="0" w:color="auto"/>
        <w:left w:val="none" w:sz="0" w:space="0" w:color="auto"/>
        <w:bottom w:val="none" w:sz="0" w:space="0" w:color="auto"/>
        <w:right w:val="none" w:sz="0" w:space="0" w:color="auto"/>
      </w:divBdr>
    </w:div>
    <w:div w:id="638847324">
      <w:bodyDiv w:val="1"/>
      <w:marLeft w:val="0"/>
      <w:marRight w:val="0"/>
      <w:marTop w:val="0"/>
      <w:marBottom w:val="0"/>
      <w:divBdr>
        <w:top w:val="none" w:sz="0" w:space="0" w:color="auto"/>
        <w:left w:val="none" w:sz="0" w:space="0" w:color="auto"/>
        <w:bottom w:val="none" w:sz="0" w:space="0" w:color="auto"/>
        <w:right w:val="none" w:sz="0" w:space="0" w:color="auto"/>
      </w:divBdr>
    </w:div>
    <w:div w:id="663051514">
      <w:bodyDiv w:val="1"/>
      <w:marLeft w:val="0"/>
      <w:marRight w:val="0"/>
      <w:marTop w:val="0"/>
      <w:marBottom w:val="0"/>
      <w:divBdr>
        <w:top w:val="none" w:sz="0" w:space="0" w:color="auto"/>
        <w:left w:val="none" w:sz="0" w:space="0" w:color="auto"/>
        <w:bottom w:val="none" w:sz="0" w:space="0" w:color="auto"/>
        <w:right w:val="none" w:sz="0" w:space="0" w:color="auto"/>
      </w:divBdr>
    </w:div>
    <w:div w:id="822771374">
      <w:bodyDiv w:val="1"/>
      <w:marLeft w:val="0"/>
      <w:marRight w:val="0"/>
      <w:marTop w:val="0"/>
      <w:marBottom w:val="0"/>
      <w:divBdr>
        <w:top w:val="none" w:sz="0" w:space="0" w:color="auto"/>
        <w:left w:val="none" w:sz="0" w:space="0" w:color="auto"/>
        <w:bottom w:val="none" w:sz="0" w:space="0" w:color="auto"/>
        <w:right w:val="none" w:sz="0" w:space="0" w:color="auto"/>
      </w:divBdr>
      <w:divsChild>
        <w:div w:id="1348950199">
          <w:marLeft w:val="0"/>
          <w:marRight w:val="0"/>
          <w:marTop w:val="0"/>
          <w:marBottom w:val="0"/>
          <w:divBdr>
            <w:top w:val="none" w:sz="0" w:space="0" w:color="auto"/>
            <w:left w:val="none" w:sz="0" w:space="0" w:color="auto"/>
            <w:bottom w:val="none" w:sz="0" w:space="0" w:color="auto"/>
            <w:right w:val="none" w:sz="0" w:space="0" w:color="auto"/>
          </w:divBdr>
        </w:div>
        <w:div w:id="310328449">
          <w:marLeft w:val="0"/>
          <w:marRight w:val="0"/>
          <w:marTop w:val="0"/>
          <w:marBottom w:val="0"/>
          <w:divBdr>
            <w:top w:val="none" w:sz="0" w:space="0" w:color="auto"/>
            <w:left w:val="none" w:sz="0" w:space="0" w:color="auto"/>
            <w:bottom w:val="none" w:sz="0" w:space="0" w:color="auto"/>
            <w:right w:val="none" w:sz="0" w:space="0" w:color="auto"/>
          </w:divBdr>
        </w:div>
      </w:divsChild>
    </w:div>
    <w:div w:id="881088320">
      <w:bodyDiv w:val="1"/>
      <w:marLeft w:val="0"/>
      <w:marRight w:val="0"/>
      <w:marTop w:val="0"/>
      <w:marBottom w:val="0"/>
      <w:divBdr>
        <w:top w:val="none" w:sz="0" w:space="0" w:color="auto"/>
        <w:left w:val="none" w:sz="0" w:space="0" w:color="auto"/>
        <w:bottom w:val="none" w:sz="0" w:space="0" w:color="auto"/>
        <w:right w:val="none" w:sz="0" w:space="0" w:color="auto"/>
      </w:divBdr>
    </w:div>
    <w:div w:id="948004160">
      <w:bodyDiv w:val="1"/>
      <w:marLeft w:val="0"/>
      <w:marRight w:val="0"/>
      <w:marTop w:val="0"/>
      <w:marBottom w:val="0"/>
      <w:divBdr>
        <w:top w:val="none" w:sz="0" w:space="0" w:color="auto"/>
        <w:left w:val="none" w:sz="0" w:space="0" w:color="auto"/>
        <w:bottom w:val="none" w:sz="0" w:space="0" w:color="auto"/>
        <w:right w:val="none" w:sz="0" w:space="0" w:color="auto"/>
      </w:divBdr>
      <w:divsChild>
        <w:div w:id="1135099983">
          <w:marLeft w:val="0"/>
          <w:marRight w:val="0"/>
          <w:marTop w:val="0"/>
          <w:marBottom w:val="0"/>
          <w:divBdr>
            <w:top w:val="none" w:sz="0" w:space="0" w:color="auto"/>
            <w:left w:val="none" w:sz="0" w:space="0" w:color="auto"/>
            <w:bottom w:val="none" w:sz="0" w:space="0" w:color="auto"/>
            <w:right w:val="none" w:sz="0" w:space="0" w:color="auto"/>
          </w:divBdr>
        </w:div>
        <w:div w:id="1052581228">
          <w:marLeft w:val="0"/>
          <w:marRight w:val="0"/>
          <w:marTop w:val="0"/>
          <w:marBottom w:val="0"/>
          <w:divBdr>
            <w:top w:val="none" w:sz="0" w:space="0" w:color="auto"/>
            <w:left w:val="none" w:sz="0" w:space="0" w:color="auto"/>
            <w:bottom w:val="none" w:sz="0" w:space="0" w:color="auto"/>
            <w:right w:val="none" w:sz="0" w:space="0" w:color="auto"/>
          </w:divBdr>
        </w:div>
      </w:divsChild>
    </w:div>
    <w:div w:id="1180508953">
      <w:bodyDiv w:val="1"/>
      <w:marLeft w:val="0"/>
      <w:marRight w:val="0"/>
      <w:marTop w:val="0"/>
      <w:marBottom w:val="0"/>
      <w:divBdr>
        <w:top w:val="none" w:sz="0" w:space="0" w:color="auto"/>
        <w:left w:val="none" w:sz="0" w:space="0" w:color="auto"/>
        <w:bottom w:val="none" w:sz="0" w:space="0" w:color="auto"/>
        <w:right w:val="none" w:sz="0" w:space="0" w:color="auto"/>
      </w:divBdr>
      <w:divsChild>
        <w:div w:id="166869685">
          <w:marLeft w:val="0"/>
          <w:marRight w:val="0"/>
          <w:marTop w:val="0"/>
          <w:marBottom w:val="0"/>
          <w:divBdr>
            <w:top w:val="none" w:sz="0" w:space="0" w:color="auto"/>
            <w:left w:val="none" w:sz="0" w:space="0" w:color="auto"/>
            <w:bottom w:val="none" w:sz="0" w:space="0" w:color="auto"/>
            <w:right w:val="none" w:sz="0" w:space="0" w:color="auto"/>
          </w:divBdr>
        </w:div>
        <w:div w:id="1474714962">
          <w:marLeft w:val="0"/>
          <w:marRight w:val="0"/>
          <w:marTop w:val="0"/>
          <w:marBottom w:val="0"/>
          <w:divBdr>
            <w:top w:val="none" w:sz="0" w:space="0" w:color="auto"/>
            <w:left w:val="none" w:sz="0" w:space="0" w:color="auto"/>
            <w:bottom w:val="none" w:sz="0" w:space="0" w:color="auto"/>
            <w:right w:val="none" w:sz="0" w:space="0" w:color="auto"/>
          </w:divBdr>
        </w:div>
      </w:divsChild>
    </w:div>
    <w:div w:id="1253735333">
      <w:bodyDiv w:val="1"/>
      <w:marLeft w:val="0"/>
      <w:marRight w:val="0"/>
      <w:marTop w:val="0"/>
      <w:marBottom w:val="0"/>
      <w:divBdr>
        <w:top w:val="none" w:sz="0" w:space="0" w:color="auto"/>
        <w:left w:val="none" w:sz="0" w:space="0" w:color="auto"/>
        <w:bottom w:val="none" w:sz="0" w:space="0" w:color="auto"/>
        <w:right w:val="none" w:sz="0" w:space="0" w:color="auto"/>
      </w:divBdr>
    </w:div>
    <w:div w:id="1328240701">
      <w:bodyDiv w:val="1"/>
      <w:marLeft w:val="0"/>
      <w:marRight w:val="0"/>
      <w:marTop w:val="0"/>
      <w:marBottom w:val="0"/>
      <w:divBdr>
        <w:top w:val="none" w:sz="0" w:space="0" w:color="auto"/>
        <w:left w:val="none" w:sz="0" w:space="0" w:color="auto"/>
        <w:bottom w:val="none" w:sz="0" w:space="0" w:color="auto"/>
        <w:right w:val="none" w:sz="0" w:space="0" w:color="auto"/>
      </w:divBdr>
    </w:div>
    <w:div w:id="1369254391">
      <w:bodyDiv w:val="1"/>
      <w:marLeft w:val="0"/>
      <w:marRight w:val="0"/>
      <w:marTop w:val="0"/>
      <w:marBottom w:val="0"/>
      <w:divBdr>
        <w:top w:val="none" w:sz="0" w:space="0" w:color="auto"/>
        <w:left w:val="none" w:sz="0" w:space="0" w:color="auto"/>
        <w:bottom w:val="none" w:sz="0" w:space="0" w:color="auto"/>
        <w:right w:val="none" w:sz="0" w:space="0" w:color="auto"/>
      </w:divBdr>
      <w:divsChild>
        <w:div w:id="151221108">
          <w:marLeft w:val="0"/>
          <w:marRight w:val="0"/>
          <w:marTop w:val="0"/>
          <w:marBottom w:val="0"/>
          <w:divBdr>
            <w:top w:val="none" w:sz="0" w:space="0" w:color="auto"/>
            <w:left w:val="none" w:sz="0" w:space="0" w:color="auto"/>
            <w:bottom w:val="none" w:sz="0" w:space="0" w:color="auto"/>
            <w:right w:val="none" w:sz="0" w:space="0" w:color="auto"/>
          </w:divBdr>
          <w:divsChild>
            <w:div w:id="20033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438">
      <w:bodyDiv w:val="1"/>
      <w:marLeft w:val="0"/>
      <w:marRight w:val="0"/>
      <w:marTop w:val="0"/>
      <w:marBottom w:val="0"/>
      <w:divBdr>
        <w:top w:val="none" w:sz="0" w:space="0" w:color="auto"/>
        <w:left w:val="none" w:sz="0" w:space="0" w:color="auto"/>
        <w:bottom w:val="none" w:sz="0" w:space="0" w:color="auto"/>
        <w:right w:val="none" w:sz="0" w:space="0" w:color="auto"/>
      </w:divBdr>
      <w:divsChild>
        <w:div w:id="1137144519">
          <w:marLeft w:val="0"/>
          <w:marRight w:val="0"/>
          <w:marTop w:val="0"/>
          <w:marBottom w:val="0"/>
          <w:divBdr>
            <w:top w:val="none" w:sz="0" w:space="0" w:color="auto"/>
            <w:left w:val="none" w:sz="0" w:space="0" w:color="auto"/>
            <w:bottom w:val="none" w:sz="0" w:space="0" w:color="auto"/>
            <w:right w:val="none" w:sz="0" w:space="0" w:color="auto"/>
          </w:divBdr>
          <w:divsChild>
            <w:div w:id="15954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304">
      <w:bodyDiv w:val="1"/>
      <w:marLeft w:val="0"/>
      <w:marRight w:val="0"/>
      <w:marTop w:val="0"/>
      <w:marBottom w:val="0"/>
      <w:divBdr>
        <w:top w:val="none" w:sz="0" w:space="0" w:color="auto"/>
        <w:left w:val="none" w:sz="0" w:space="0" w:color="auto"/>
        <w:bottom w:val="none" w:sz="0" w:space="0" w:color="auto"/>
        <w:right w:val="none" w:sz="0" w:space="0" w:color="auto"/>
      </w:divBdr>
      <w:divsChild>
        <w:div w:id="1303999061">
          <w:marLeft w:val="0"/>
          <w:marRight w:val="0"/>
          <w:marTop w:val="0"/>
          <w:marBottom w:val="0"/>
          <w:divBdr>
            <w:top w:val="none" w:sz="0" w:space="0" w:color="auto"/>
            <w:left w:val="none" w:sz="0" w:space="0" w:color="auto"/>
            <w:bottom w:val="none" w:sz="0" w:space="0" w:color="auto"/>
            <w:right w:val="none" w:sz="0" w:space="0" w:color="auto"/>
          </w:divBdr>
          <w:divsChild>
            <w:div w:id="18359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7206">
      <w:bodyDiv w:val="1"/>
      <w:marLeft w:val="0"/>
      <w:marRight w:val="0"/>
      <w:marTop w:val="0"/>
      <w:marBottom w:val="0"/>
      <w:divBdr>
        <w:top w:val="none" w:sz="0" w:space="0" w:color="auto"/>
        <w:left w:val="none" w:sz="0" w:space="0" w:color="auto"/>
        <w:bottom w:val="none" w:sz="0" w:space="0" w:color="auto"/>
        <w:right w:val="none" w:sz="0" w:space="0" w:color="auto"/>
      </w:divBdr>
    </w:div>
    <w:div w:id="1819498214">
      <w:bodyDiv w:val="1"/>
      <w:marLeft w:val="0"/>
      <w:marRight w:val="0"/>
      <w:marTop w:val="0"/>
      <w:marBottom w:val="0"/>
      <w:divBdr>
        <w:top w:val="none" w:sz="0" w:space="0" w:color="auto"/>
        <w:left w:val="none" w:sz="0" w:space="0" w:color="auto"/>
        <w:bottom w:val="none" w:sz="0" w:space="0" w:color="auto"/>
        <w:right w:val="none" w:sz="0" w:space="0" w:color="auto"/>
      </w:divBdr>
    </w:div>
    <w:div w:id="1912537804">
      <w:bodyDiv w:val="1"/>
      <w:marLeft w:val="0"/>
      <w:marRight w:val="0"/>
      <w:marTop w:val="0"/>
      <w:marBottom w:val="0"/>
      <w:divBdr>
        <w:top w:val="none" w:sz="0" w:space="0" w:color="auto"/>
        <w:left w:val="none" w:sz="0" w:space="0" w:color="auto"/>
        <w:bottom w:val="none" w:sz="0" w:space="0" w:color="auto"/>
        <w:right w:val="none" w:sz="0" w:space="0" w:color="auto"/>
      </w:divBdr>
    </w:div>
    <w:div w:id="1987465265">
      <w:bodyDiv w:val="1"/>
      <w:marLeft w:val="0"/>
      <w:marRight w:val="0"/>
      <w:marTop w:val="0"/>
      <w:marBottom w:val="0"/>
      <w:divBdr>
        <w:top w:val="none" w:sz="0" w:space="0" w:color="auto"/>
        <w:left w:val="none" w:sz="0" w:space="0" w:color="auto"/>
        <w:bottom w:val="none" w:sz="0" w:space="0" w:color="auto"/>
        <w:right w:val="none" w:sz="0" w:space="0" w:color="auto"/>
      </w:divBdr>
    </w:div>
    <w:div w:id="2065250604">
      <w:bodyDiv w:val="1"/>
      <w:marLeft w:val="0"/>
      <w:marRight w:val="0"/>
      <w:marTop w:val="0"/>
      <w:marBottom w:val="0"/>
      <w:divBdr>
        <w:top w:val="none" w:sz="0" w:space="0" w:color="auto"/>
        <w:left w:val="none" w:sz="0" w:space="0" w:color="auto"/>
        <w:bottom w:val="none" w:sz="0" w:space="0" w:color="auto"/>
        <w:right w:val="none" w:sz="0" w:space="0" w:color="auto"/>
      </w:divBdr>
    </w:div>
    <w:div w:id="20752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D4EE-B9CC-4371-B7B4-84C8B0A3A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6626</Words>
  <Characters>3777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B-782</dc:creator>
  <cp:lastModifiedBy>B-735</cp:lastModifiedBy>
  <cp:revision>29</cp:revision>
  <dcterms:created xsi:type="dcterms:W3CDTF">2015-10-14T12:32:00Z</dcterms:created>
  <dcterms:modified xsi:type="dcterms:W3CDTF">2015-11-09T12:36:00Z</dcterms:modified>
</cp:coreProperties>
</file>