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00" w:rsidRPr="00423BF1" w:rsidRDefault="00DD7D00" w:rsidP="00DD7D00">
      <w:pPr>
        <w:pStyle w:val="naisc"/>
        <w:spacing w:before="0" w:after="0"/>
        <w:rPr>
          <w:b/>
          <w:bCs/>
        </w:rPr>
      </w:pPr>
      <w:bookmarkStart w:id="0" w:name="OLE_LINK14"/>
      <w:bookmarkStart w:id="1" w:name="OLE_LINK13"/>
      <w:bookmarkStart w:id="2" w:name="_GoBack"/>
      <w:bookmarkEnd w:id="2"/>
      <w:r w:rsidRPr="00423BF1">
        <w:rPr>
          <w:b/>
          <w:bCs/>
        </w:rPr>
        <w:t>Ministru kabineta noteikumu projekta</w:t>
      </w:r>
    </w:p>
    <w:p w:rsidR="00921D35" w:rsidRPr="00423BF1" w:rsidRDefault="00921D35" w:rsidP="00DD7D00">
      <w:pPr>
        <w:pStyle w:val="naisc"/>
        <w:spacing w:before="0" w:after="0"/>
        <w:rPr>
          <w:b/>
          <w:bCs/>
        </w:rPr>
      </w:pPr>
      <w:r w:rsidRPr="00423BF1">
        <w:rPr>
          <w:b/>
          <w:bCs/>
        </w:rPr>
        <w:t>“Grozījums Ministru kabineta 2003. gada 29. aprīļa noteikumos Nr. 242 „Satiksmes ministrijas nolikums””</w:t>
      </w:r>
    </w:p>
    <w:bookmarkEnd w:id="0"/>
    <w:bookmarkEnd w:id="1"/>
    <w:p w:rsidR="00DD7D00" w:rsidRPr="00423BF1" w:rsidRDefault="00DD7D00" w:rsidP="00DD7D00">
      <w:pPr>
        <w:pStyle w:val="naisc"/>
        <w:spacing w:before="0" w:after="0"/>
        <w:rPr>
          <w:b/>
          <w:bCs/>
        </w:rPr>
      </w:pPr>
      <w:r w:rsidRPr="00423BF1">
        <w:rPr>
          <w:b/>
          <w:bCs/>
        </w:rPr>
        <w:t>sākotnējās ietekmes novērtējuma ziņojums (anotācija)</w:t>
      </w:r>
    </w:p>
    <w:p w:rsidR="00DD7D00" w:rsidRPr="00423BF1" w:rsidRDefault="00DD7D00" w:rsidP="00DD7D00">
      <w:pPr>
        <w:jc w:val="center"/>
        <w:rPr>
          <w:rFonts w:ascii="Times New Roman" w:hAnsi="Times New Roman"/>
          <w:sz w:val="24"/>
          <w:szCs w:val="24"/>
          <w:lang w:eastAsia="lv-LV"/>
        </w:rPr>
      </w:pPr>
    </w:p>
    <w:tbl>
      <w:tblPr>
        <w:tblW w:w="8540" w:type="dxa"/>
        <w:tblCellSpacing w:w="0" w:type="dxa"/>
        <w:tblInd w:w="-1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
        <w:gridCol w:w="308"/>
        <w:gridCol w:w="210"/>
        <w:gridCol w:w="2587"/>
        <w:gridCol w:w="156"/>
        <w:gridCol w:w="4949"/>
        <w:gridCol w:w="156"/>
      </w:tblGrid>
      <w:tr w:rsidR="00DD7D00" w:rsidRPr="00423BF1" w:rsidTr="0057408D">
        <w:trPr>
          <w:gridBefore w:val="1"/>
          <w:wBefore w:w="174" w:type="dxa"/>
          <w:tblCellSpacing w:w="0" w:type="dxa"/>
        </w:trPr>
        <w:tc>
          <w:tcPr>
            <w:tcW w:w="8366" w:type="dxa"/>
            <w:gridSpan w:val="6"/>
            <w:tcBorders>
              <w:top w:val="single" w:sz="4" w:space="0" w:color="auto"/>
              <w:left w:val="single" w:sz="4" w:space="0" w:color="auto"/>
              <w:bottom w:val="outset" w:sz="6" w:space="0" w:color="auto"/>
              <w:right w:val="single" w:sz="4" w:space="0" w:color="auto"/>
            </w:tcBorders>
            <w:vAlign w:val="center"/>
            <w:hideMark/>
          </w:tcPr>
          <w:p w:rsidR="00DD7D00" w:rsidRPr="00423BF1" w:rsidRDefault="00DD7D00">
            <w:pPr>
              <w:spacing w:before="100" w:beforeAutospacing="1" w:after="100" w:afterAutospacing="1"/>
              <w:jc w:val="center"/>
              <w:rPr>
                <w:rFonts w:ascii="Times New Roman" w:hAnsi="Times New Roman"/>
                <w:sz w:val="24"/>
                <w:szCs w:val="24"/>
                <w:lang w:eastAsia="lv-LV"/>
              </w:rPr>
            </w:pPr>
            <w:r w:rsidRPr="00423BF1">
              <w:rPr>
                <w:rFonts w:ascii="Times New Roman" w:hAnsi="Times New Roman"/>
                <w:b/>
                <w:bCs/>
                <w:sz w:val="24"/>
                <w:szCs w:val="24"/>
                <w:lang w:eastAsia="lv-LV"/>
              </w:rPr>
              <w:t>I. Tiesību akta projekta izstrādes nepieciešamība</w:t>
            </w:r>
          </w:p>
        </w:tc>
      </w:tr>
      <w:tr w:rsidR="00DD7D00" w:rsidRPr="00423BF1" w:rsidTr="0057408D">
        <w:trPr>
          <w:gridBefore w:val="1"/>
          <w:wBefore w:w="174" w:type="dxa"/>
          <w:trHeight w:val="705"/>
          <w:tblCellSpacing w:w="0" w:type="dxa"/>
        </w:trPr>
        <w:tc>
          <w:tcPr>
            <w:tcW w:w="518" w:type="dxa"/>
            <w:gridSpan w:val="2"/>
            <w:tcBorders>
              <w:top w:val="outset" w:sz="6" w:space="0" w:color="auto"/>
              <w:left w:val="single" w:sz="4" w:space="0" w:color="auto"/>
              <w:bottom w:val="outset" w:sz="6" w:space="0" w:color="auto"/>
              <w:right w:val="outset" w:sz="6" w:space="0" w:color="auto"/>
            </w:tcBorders>
            <w:hideMark/>
          </w:tcPr>
          <w:p w:rsidR="00DD7D00" w:rsidRPr="00423BF1" w:rsidRDefault="00DD7D00">
            <w:pPr>
              <w:spacing w:before="100" w:beforeAutospacing="1" w:after="100" w:afterAutospacing="1"/>
              <w:rPr>
                <w:rFonts w:ascii="Times New Roman" w:hAnsi="Times New Roman"/>
                <w:sz w:val="24"/>
                <w:szCs w:val="24"/>
                <w:lang w:eastAsia="lv-LV"/>
              </w:rPr>
            </w:pPr>
            <w:r w:rsidRPr="00423BF1">
              <w:rPr>
                <w:rFonts w:ascii="Times New Roman" w:hAnsi="Times New Roman"/>
                <w:sz w:val="24"/>
                <w:szCs w:val="24"/>
                <w:lang w:eastAsia="lv-LV"/>
              </w:rPr>
              <w:t> 1.</w:t>
            </w:r>
          </w:p>
        </w:tc>
        <w:tc>
          <w:tcPr>
            <w:tcW w:w="2743" w:type="dxa"/>
            <w:gridSpan w:val="2"/>
            <w:tcBorders>
              <w:top w:val="outset" w:sz="6" w:space="0" w:color="auto"/>
              <w:left w:val="outset" w:sz="6" w:space="0" w:color="auto"/>
              <w:bottom w:val="outset" w:sz="6" w:space="0" w:color="auto"/>
              <w:right w:val="outset" w:sz="6" w:space="0" w:color="auto"/>
            </w:tcBorders>
            <w:hideMark/>
          </w:tcPr>
          <w:p w:rsidR="00DD7D00" w:rsidRPr="00423BF1" w:rsidRDefault="00DD7D00">
            <w:pPr>
              <w:spacing w:before="100" w:beforeAutospacing="1" w:after="100" w:afterAutospacing="1"/>
              <w:rPr>
                <w:rFonts w:ascii="Times New Roman" w:hAnsi="Times New Roman"/>
                <w:sz w:val="24"/>
                <w:szCs w:val="24"/>
                <w:lang w:eastAsia="lv-LV"/>
              </w:rPr>
            </w:pPr>
            <w:r w:rsidRPr="00423BF1">
              <w:rPr>
                <w:rFonts w:ascii="Times New Roman" w:hAnsi="Times New Roman"/>
                <w:sz w:val="24"/>
                <w:szCs w:val="24"/>
                <w:lang w:eastAsia="lv-LV"/>
              </w:rPr>
              <w:t> Pamatojums</w:t>
            </w:r>
          </w:p>
        </w:tc>
        <w:tc>
          <w:tcPr>
            <w:tcW w:w="5105" w:type="dxa"/>
            <w:gridSpan w:val="2"/>
            <w:tcBorders>
              <w:top w:val="outset" w:sz="6" w:space="0" w:color="auto"/>
              <w:left w:val="outset" w:sz="6" w:space="0" w:color="auto"/>
              <w:bottom w:val="outset" w:sz="6" w:space="0" w:color="auto"/>
              <w:right w:val="single" w:sz="4" w:space="0" w:color="auto"/>
            </w:tcBorders>
            <w:hideMark/>
          </w:tcPr>
          <w:p w:rsidR="00921D35" w:rsidRPr="00423BF1" w:rsidRDefault="00DD7D00">
            <w:pPr>
              <w:jc w:val="both"/>
              <w:rPr>
                <w:rFonts w:ascii="Times New Roman" w:hAnsi="Times New Roman"/>
                <w:sz w:val="24"/>
                <w:szCs w:val="24"/>
              </w:rPr>
            </w:pPr>
            <w:r w:rsidRPr="00423BF1">
              <w:rPr>
                <w:rFonts w:ascii="Times New Roman" w:hAnsi="Times New Roman"/>
                <w:sz w:val="24"/>
                <w:szCs w:val="24"/>
              </w:rPr>
              <w:t>Ministru kabineta 2014.gada 18.augusta rīkojums Nr.431 „Par sabiedrības ar ierobežotu atbildību ”Eiropas dzelzceļa līnijas” dibināšanu”.</w:t>
            </w:r>
          </w:p>
          <w:p w:rsidR="004B420F" w:rsidRPr="00423BF1" w:rsidRDefault="004B420F">
            <w:pPr>
              <w:jc w:val="both"/>
              <w:rPr>
                <w:rFonts w:ascii="Times New Roman" w:hAnsi="Times New Roman"/>
                <w:sz w:val="24"/>
                <w:szCs w:val="24"/>
              </w:rPr>
            </w:pPr>
          </w:p>
          <w:p w:rsidR="00F431DB" w:rsidRPr="00423BF1" w:rsidRDefault="00F431DB">
            <w:pPr>
              <w:jc w:val="both"/>
              <w:rPr>
                <w:rFonts w:ascii="Times New Roman" w:hAnsi="Times New Roman"/>
                <w:sz w:val="24"/>
                <w:szCs w:val="24"/>
              </w:rPr>
            </w:pPr>
            <w:r w:rsidRPr="00423BF1">
              <w:rPr>
                <w:rFonts w:ascii="Times New Roman" w:hAnsi="Times New Roman"/>
                <w:sz w:val="24"/>
                <w:szCs w:val="24"/>
              </w:rPr>
              <w:t>Valdības rīcības plāna 76.1.punkts.</w:t>
            </w:r>
          </w:p>
        </w:tc>
      </w:tr>
      <w:tr w:rsidR="00DD7D00" w:rsidRPr="00423BF1" w:rsidTr="0057408D">
        <w:trPr>
          <w:gridBefore w:val="1"/>
          <w:wBefore w:w="174" w:type="dxa"/>
          <w:trHeight w:val="472"/>
          <w:tblCellSpacing w:w="0" w:type="dxa"/>
        </w:trPr>
        <w:tc>
          <w:tcPr>
            <w:tcW w:w="518" w:type="dxa"/>
            <w:gridSpan w:val="2"/>
            <w:tcBorders>
              <w:top w:val="outset" w:sz="6" w:space="0" w:color="auto"/>
              <w:left w:val="single" w:sz="4" w:space="0" w:color="auto"/>
              <w:bottom w:val="outset" w:sz="6" w:space="0" w:color="auto"/>
              <w:right w:val="outset" w:sz="6" w:space="0" w:color="auto"/>
            </w:tcBorders>
            <w:hideMark/>
          </w:tcPr>
          <w:p w:rsidR="00DD7D00" w:rsidRPr="00423BF1" w:rsidRDefault="00DD7D00">
            <w:pPr>
              <w:spacing w:before="100" w:beforeAutospacing="1" w:after="100" w:afterAutospacing="1"/>
              <w:rPr>
                <w:rFonts w:ascii="Times New Roman" w:hAnsi="Times New Roman"/>
                <w:sz w:val="24"/>
                <w:szCs w:val="24"/>
                <w:lang w:eastAsia="lv-LV"/>
              </w:rPr>
            </w:pPr>
            <w:r w:rsidRPr="00423BF1">
              <w:rPr>
                <w:rFonts w:ascii="Times New Roman" w:hAnsi="Times New Roman"/>
                <w:sz w:val="24"/>
                <w:szCs w:val="24"/>
                <w:lang w:eastAsia="lv-LV"/>
              </w:rPr>
              <w:t> 2.</w:t>
            </w:r>
          </w:p>
        </w:tc>
        <w:tc>
          <w:tcPr>
            <w:tcW w:w="2743" w:type="dxa"/>
            <w:gridSpan w:val="2"/>
            <w:tcBorders>
              <w:top w:val="outset" w:sz="6" w:space="0" w:color="auto"/>
              <w:left w:val="outset" w:sz="6" w:space="0" w:color="auto"/>
              <w:bottom w:val="outset" w:sz="6" w:space="0" w:color="auto"/>
              <w:right w:val="outset" w:sz="6" w:space="0" w:color="auto"/>
            </w:tcBorders>
            <w:hideMark/>
          </w:tcPr>
          <w:p w:rsidR="00DD7D00" w:rsidRPr="00423BF1" w:rsidRDefault="00DD7D00">
            <w:pPr>
              <w:spacing w:before="100" w:beforeAutospacing="1" w:after="100" w:afterAutospacing="1"/>
              <w:rPr>
                <w:rFonts w:ascii="Times New Roman" w:hAnsi="Times New Roman"/>
                <w:sz w:val="24"/>
                <w:szCs w:val="24"/>
                <w:lang w:eastAsia="lv-LV"/>
              </w:rPr>
            </w:pPr>
            <w:r w:rsidRPr="00423BF1">
              <w:rPr>
                <w:rFonts w:ascii="Times New Roman" w:hAnsi="Times New Roman"/>
                <w:sz w:val="24"/>
                <w:szCs w:val="24"/>
                <w:lang w:eastAsia="lv-LV"/>
              </w:rPr>
              <w:t> </w:t>
            </w:r>
            <w:r w:rsidRPr="00423BF1">
              <w:rPr>
                <w:rFonts w:ascii="Times New Roman" w:hAnsi="Times New Roman"/>
                <w:sz w:val="24"/>
                <w:szCs w:val="24"/>
              </w:rPr>
              <w:t>Pašreizējā situācija un problēmas, kuru risināšanai tiesību akta projekts izstrādāts, tiesiskā regulējuma mērķis un būtība</w:t>
            </w:r>
          </w:p>
        </w:tc>
        <w:tc>
          <w:tcPr>
            <w:tcW w:w="5105" w:type="dxa"/>
            <w:gridSpan w:val="2"/>
            <w:tcBorders>
              <w:top w:val="outset" w:sz="6" w:space="0" w:color="auto"/>
              <w:left w:val="outset" w:sz="6" w:space="0" w:color="auto"/>
              <w:bottom w:val="outset" w:sz="6" w:space="0" w:color="auto"/>
              <w:right w:val="single" w:sz="4" w:space="0" w:color="auto"/>
            </w:tcBorders>
          </w:tcPr>
          <w:p w:rsidR="00921D35" w:rsidRDefault="004B420F" w:rsidP="00783E9C">
            <w:pPr>
              <w:pStyle w:val="naisf"/>
              <w:tabs>
                <w:tab w:val="left" w:pos="993"/>
              </w:tabs>
              <w:spacing w:before="0" w:beforeAutospacing="0" w:after="0" w:afterAutospacing="0"/>
              <w:jc w:val="both"/>
              <w:rPr>
                <w:lang w:eastAsia="zh-TW"/>
              </w:rPr>
            </w:pPr>
            <w:r w:rsidRPr="00423BF1">
              <w:rPr>
                <w:lang w:eastAsia="zh-TW"/>
              </w:rPr>
              <w:t xml:space="preserve">Izpildot Ministru kabineta 2014.gada 18.augusta rīkojumu Nr.431 (turpmāk </w:t>
            </w:r>
            <w:r w:rsidR="0029275C" w:rsidRPr="00423BF1">
              <w:rPr>
                <w:lang w:eastAsia="zh-TW"/>
              </w:rPr>
              <w:t>tekstā</w:t>
            </w:r>
            <w:r w:rsidR="004D680A">
              <w:rPr>
                <w:lang w:eastAsia="zh-TW"/>
              </w:rPr>
              <w:t xml:space="preserve"> -</w:t>
            </w:r>
            <w:r w:rsidR="0029275C" w:rsidRPr="00423BF1">
              <w:rPr>
                <w:lang w:eastAsia="zh-TW"/>
              </w:rPr>
              <w:t xml:space="preserve"> R</w:t>
            </w:r>
            <w:r w:rsidRPr="00423BF1">
              <w:rPr>
                <w:lang w:eastAsia="zh-TW"/>
              </w:rPr>
              <w:t>īkojums)</w:t>
            </w:r>
            <w:r w:rsidR="004D680A">
              <w:rPr>
                <w:lang w:eastAsia="zh-TW"/>
              </w:rPr>
              <w:t>,</w:t>
            </w:r>
            <w:r w:rsidRPr="00423BF1">
              <w:rPr>
                <w:lang w:eastAsia="zh-TW"/>
              </w:rPr>
              <w:t xml:space="preserve"> </w:t>
            </w:r>
            <w:r w:rsidR="00921D35" w:rsidRPr="00423BF1">
              <w:rPr>
                <w:lang w:eastAsia="zh-TW"/>
              </w:rPr>
              <w:t>201</w:t>
            </w:r>
            <w:r w:rsidR="0029275C" w:rsidRPr="00423BF1">
              <w:rPr>
                <w:lang w:eastAsia="zh-TW"/>
              </w:rPr>
              <w:t>4</w:t>
            </w:r>
            <w:r w:rsidR="00921D35" w:rsidRPr="00423BF1">
              <w:rPr>
                <w:lang w:eastAsia="zh-TW"/>
              </w:rPr>
              <w:t>.gada 1</w:t>
            </w:r>
            <w:r w:rsidRPr="00423BF1">
              <w:rPr>
                <w:lang w:eastAsia="zh-TW"/>
              </w:rPr>
              <w:t>5</w:t>
            </w:r>
            <w:r w:rsidR="00921D35" w:rsidRPr="00423BF1">
              <w:rPr>
                <w:lang w:eastAsia="zh-TW"/>
              </w:rPr>
              <w:t>.oktobrī tika nodibināta 100% valstij piederoša sabiedrība ar ierobežotu atbildību “Eiropas dzelzceļa līnijas”</w:t>
            </w:r>
            <w:r w:rsidR="00590594">
              <w:rPr>
                <w:lang w:eastAsia="zh-TW"/>
              </w:rPr>
              <w:t xml:space="preserve"> (turpmāk tekstā</w:t>
            </w:r>
            <w:r w:rsidR="004D680A">
              <w:rPr>
                <w:lang w:eastAsia="zh-TW"/>
              </w:rPr>
              <w:t xml:space="preserve"> -</w:t>
            </w:r>
            <w:r w:rsidR="00590594">
              <w:rPr>
                <w:lang w:eastAsia="zh-TW"/>
              </w:rPr>
              <w:t xml:space="preserve"> Kapitāl</w:t>
            </w:r>
            <w:r w:rsidR="005C4D1D">
              <w:rPr>
                <w:lang w:eastAsia="zh-TW"/>
              </w:rPr>
              <w:t>sabiedrība)</w:t>
            </w:r>
            <w:r w:rsidR="00921D35" w:rsidRPr="00423BF1">
              <w:rPr>
                <w:lang w:eastAsia="zh-TW"/>
              </w:rPr>
              <w:t xml:space="preserve">, kuras uzdevums saskaņā ar </w:t>
            </w:r>
            <w:r w:rsidRPr="00423BF1">
              <w:rPr>
                <w:lang w:eastAsia="zh-TW"/>
              </w:rPr>
              <w:t xml:space="preserve">Rīkojuma </w:t>
            </w:r>
            <w:r w:rsidR="00921D35" w:rsidRPr="00423BF1">
              <w:rPr>
                <w:lang w:eastAsia="zh-TW"/>
              </w:rPr>
              <w:t xml:space="preserve">2.punktu ir </w:t>
            </w:r>
            <w:proofErr w:type="spellStart"/>
            <w:r w:rsidR="00921D35" w:rsidRPr="00423BF1">
              <w:rPr>
                <w:lang w:eastAsia="zh-TW"/>
              </w:rPr>
              <w:t>Rail</w:t>
            </w:r>
            <w:proofErr w:type="spellEnd"/>
            <w:r w:rsidR="00921D35" w:rsidRPr="00423BF1">
              <w:rPr>
                <w:lang w:eastAsia="zh-TW"/>
              </w:rPr>
              <w:t xml:space="preserve"> </w:t>
            </w:r>
            <w:proofErr w:type="spellStart"/>
            <w:r w:rsidR="00921D35" w:rsidRPr="00423BF1">
              <w:rPr>
                <w:lang w:eastAsia="zh-TW"/>
              </w:rPr>
              <w:t>Baltica</w:t>
            </w:r>
            <w:proofErr w:type="spellEnd"/>
            <w:r w:rsidR="00921D35" w:rsidRPr="00423BF1">
              <w:rPr>
                <w:lang w:eastAsia="zh-TW"/>
              </w:rPr>
              <w:t xml:space="preserve"> publiskās lietošanas dzelzceļa infrastruktūras izbūves projekta īstenošana. Saskaņā ar minēto </w:t>
            </w:r>
            <w:r w:rsidR="0029275C" w:rsidRPr="00423BF1">
              <w:rPr>
                <w:lang w:eastAsia="zh-TW"/>
              </w:rPr>
              <w:t>R</w:t>
            </w:r>
            <w:r w:rsidR="00921D35" w:rsidRPr="00423BF1">
              <w:rPr>
                <w:lang w:eastAsia="zh-TW"/>
              </w:rPr>
              <w:t xml:space="preserve">īkojumu </w:t>
            </w:r>
            <w:r w:rsidR="004D680A">
              <w:rPr>
                <w:lang w:eastAsia="zh-TW"/>
              </w:rPr>
              <w:t>Kapitālsabiedrības</w:t>
            </w:r>
            <w:r w:rsidR="00921D35" w:rsidRPr="00423BF1">
              <w:rPr>
                <w:lang w:eastAsia="zh-TW"/>
              </w:rPr>
              <w:t xml:space="preserve"> uzdevums ir īstenot Eiropas sliežu platuma valsts publiskās lietošanas dzelzceļa infrastruktūras būvniecības pārraudzību</w:t>
            </w:r>
            <w:r w:rsidR="004D680A">
              <w:rPr>
                <w:lang w:eastAsia="zh-TW"/>
              </w:rPr>
              <w:t>,</w:t>
            </w:r>
            <w:r w:rsidR="00921D35" w:rsidRPr="00423BF1">
              <w:rPr>
                <w:lang w:eastAsia="zh-TW"/>
              </w:rPr>
              <w:t xml:space="preserve"> atbilstoši tautsaimniecības vajadzībām un tās attīstībai, stabilas satiksmes interesēm, kā arī vides aizsardzības prasībām.</w:t>
            </w:r>
          </w:p>
          <w:p w:rsidR="0052059E" w:rsidRDefault="005C4D1D" w:rsidP="005C4D1D">
            <w:pPr>
              <w:pStyle w:val="naisf"/>
              <w:tabs>
                <w:tab w:val="left" w:pos="993"/>
              </w:tabs>
              <w:jc w:val="both"/>
              <w:rPr>
                <w:lang w:eastAsia="zh-TW"/>
              </w:rPr>
            </w:pPr>
            <w:r>
              <w:rPr>
                <w:lang w:eastAsia="zh-TW"/>
              </w:rPr>
              <w:t xml:space="preserve">Savukārt Rīkojuma 5.punkts paredz, ka saskaņā ar likuma "Par valsts un pašvaldību kapitāla daļām un kapitālsabiedrībām" 10. panta pirmās daļas 1.punktu  Satiksmes ministrija tiek iecelta par  Kapitālsabiedrības valsts kapitāla daļu turētāju. </w:t>
            </w:r>
          </w:p>
          <w:p w:rsidR="005C4D1D" w:rsidRDefault="00731C2B" w:rsidP="005C4D1D">
            <w:pPr>
              <w:pStyle w:val="naisf"/>
              <w:tabs>
                <w:tab w:val="left" w:pos="993"/>
              </w:tabs>
              <w:jc w:val="both"/>
              <w:rPr>
                <w:lang w:eastAsia="zh-TW"/>
              </w:rPr>
            </w:pPr>
            <w:r>
              <w:rPr>
                <w:lang w:eastAsia="zh-TW"/>
              </w:rPr>
              <w:t>Satiksmes ministrija kapitālsabiedrību pārvaldību</w:t>
            </w:r>
            <w:r w:rsidRPr="00731C2B">
              <w:rPr>
                <w:lang w:eastAsia="zh-TW"/>
              </w:rPr>
              <w:t xml:space="preserve"> </w:t>
            </w:r>
            <w:r>
              <w:rPr>
                <w:lang w:eastAsia="zh-TW"/>
              </w:rPr>
              <w:t>veic</w:t>
            </w:r>
            <w:r w:rsidRPr="00731C2B">
              <w:rPr>
                <w:lang w:eastAsia="zh-TW"/>
              </w:rPr>
              <w:t xml:space="preserve"> ārējo normatīvo aktu ietvaros, papildus </w:t>
            </w:r>
            <w:r w:rsidR="004D680A">
              <w:rPr>
                <w:lang w:eastAsia="zh-TW"/>
              </w:rPr>
              <w:t>t</w:t>
            </w:r>
            <w:r w:rsidR="004D680A" w:rsidRPr="00731C2B">
              <w:rPr>
                <w:lang w:eastAsia="zh-TW"/>
              </w:rPr>
              <w:t xml:space="preserve">am </w:t>
            </w:r>
            <w:r w:rsidRPr="00731C2B">
              <w:rPr>
                <w:lang w:eastAsia="zh-TW"/>
              </w:rPr>
              <w:t>ir izstrādāt</w:t>
            </w:r>
            <w:r w:rsidR="004D680A">
              <w:rPr>
                <w:lang w:eastAsia="zh-TW"/>
              </w:rPr>
              <w:t>a</w:t>
            </w:r>
            <w:r w:rsidRPr="00731C2B">
              <w:rPr>
                <w:lang w:eastAsia="zh-TW"/>
              </w:rPr>
              <w:t xml:space="preserve"> Satiksmes ministrija</w:t>
            </w:r>
            <w:r w:rsidR="00FA29CF">
              <w:rPr>
                <w:lang w:eastAsia="zh-TW"/>
              </w:rPr>
              <w:t xml:space="preserve">s </w:t>
            </w:r>
            <w:r w:rsidRPr="00731C2B">
              <w:rPr>
                <w:lang w:eastAsia="zh-TW"/>
              </w:rPr>
              <w:t>„Kārtība, kādā Satiksmes ministrijā tiek organizēta valsts kapitāla daļu pārvalde valsts kapitālsabiedrībās”, saskaņā ar kur</w:t>
            </w:r>
            <w:r w:rsidR="004D680A">
              <w:rPr>
                <w:lang w:eastAsia="zh-TW"/>
              </w:rPr>
              <w:t>u</w:t>
            </w:r>
            <w:r w:rsidRPr="00731C2B">
              <w:rPr>
                <w:lang w:eastAsia="zh-TW"/>
              </w:rPr>
              <w:t xml:space="preserve"> tiek veikta kapitālsabiedrību finanšu un darbības analīze un kapitālsabiedrību pārvaldība.</w:t>
            </w:r>
            <w:r>
              <w:rPr>
                <w:lang w:eastAsia="zh-TW"/>
              </w:rPr>
              <w:t xml:space="preserve"> </w:t>
            </w:r>
            <w:r w:rsidR="004D680A">
              <w:rPr>
                <w:lang w:eastAsia="zh-TW"/>
              </w:rPr>
              <w:t>K</w:t>
            </w:r>
            <w:r w:rsidR="0052059E" w:rsidRPr="0052059E">
              <w:rPr>
                <w:lang w:eastAsia="zh-TW"/>
              </w:rPr>
              <w:t xml:space="preserve">atru ceturksni </w:t>
            </w:r>
            <w:r w:rsidR="0052059E">
              <w:rPr>
                <w:lang w:eastAsia="zh-TW"/>
              </w:rPr>
              <w:t xml:space="preserve">kapitālsabiedrības </w:t>
            </w:r>
            <w:r w:rsidR="0052059E" w:rsidRPr="0052059E">
              <w:rPr>
                <w:lang w:eastAsia="zh-TW"/>
              </w:rPr>
              <w:t>sniedz rakstveida ziņojumu par savu darbību ka</w:t>
            </w:r>
            <w:r w:rsidR="0052059E">
              <w:rPr>
                <w:lang w:eastAsia="zh-TW"/>
              </w:rPr>
              <w:t xml:space="preserve">pitāla daļu turētāja pārstāvim. </w:t>
            </w:r>
            <w:r w:rsidR="0052059E" w:rsidRPr="0052059E">
              <w:rPr>
                <w:lang w:eastAsia="zh-TW"/>
              </w:rPr>
              <w:t>Katrai valsts kapitālsabiedrībai ir savi ilgtermiņa un īstermiņa stratēģiskie mērķi, ko likuma noteiktajā kārtībā apstiprina valde un akcionāru sapulce.</w:t>
            </w:r>
            <w:r w:rsidR="0052059E">
              <w:rPr>
                <w:lang w:eastAsia="zh-TW"/>
              </w:rPr>
              <w:t xml:space="preserve"> Tād</w:t>
            </w:r>
            <w:r w:rsidR="0057408D">
              <w:rPr>
                <w:lang w:eastAsia="zh-TW"/>
              </w:rPr>
              <w:t>ē</w:t>
            </w:r>
            <w:r w:rsidR="0052059E">
              <w:rPr>
                <w:lang w:eastAsia="zh-TW"/>
              </w:rPr>
              <w:t xml:space="preserve">jādi </w:t>
            </w:r>
            <w:r w:rsidR="004D680A">
              <w:rPr>
                <w:lang w:eastAsia="zh-TW"/>
              </w:rPr>
              <w:t>Kapitālsabiedrības</w:t>
            </w:r>
            <w:r w:rsidR="0052059E">
              <w:rPr>
                <w:lang w:eastAsia="zh-TW"/>
              </w:rPr>
              <w:t xml:space="preserve"> pārvaldība tiks regulāri veikta</w:t>
            </w:r>
            <w:r w:rsidR="004D680A">
              <w:rPr>
                <w:lang w:eastAsia="zh-TW"/>
              </w:rPr>
              <w:t>,</w:t>
            </w:r>
            <w:r w:rsidR="0052059E">
              <w:rPr>
                <w:lang w:eastAsia="zh-TW"/>
              </w:rPr>
              <w:t xml:space="preserve"> tiesiskā un efektīvā veidā nodrošinot </w:t>
            </w:r>
            <w:r w:rsidR="00B83F8E">
              <w:rPr>
                <w:lang w:eastAsia="zh-TW"/>
              </w:rPr>
              <w:t>caurskatāmu saimniecisko darbību</w:t>
            </w:r>
            <w:r w:rsidR="0052059E">
              <w:rPr>
                <w:lang w:eastAsia="zh-TW"/>
              </w:rPr>
              <w:t xml:space="preserve"> </w:t>
            </w:r>
            <w:r w:rsidR="0052059E">
              <w:rPr>
                <w:lang w:eastAsia="zh-TW"/>
              </w:rPr>
              <w:lastRenderedPageBreak/>
              <w:t xml:space="preserve">un deleģēto uzdevumu izpildi. </w:t>
            </w:r>
          </w:p>
          <w:p w:rsidR="006D0A1A" w:rsidRDefault="006D0A1A" w:rsidP="006D0A1A">
            <w:pPr>
              <w:pStyle w:val="naisf"/>
              <w:tabs>
                <w:tab w:val="left" w:pos="993"/>
              </w:tabs>
              <w:spacing w:before="0" w:beforeAutospacing="0" w:after="0" w:afterAutospacing="0"/>
              <w:jc w:val="both"/>
              <w:rPr>
                <w:lang w:eastAsia="zh-TW"/>
              </w:rPr>
            </w:pPr>
            <w:r w:rsidRPr="00324014">
              <w:rPr>
                <w:lang w:eastAsia="zh-TW"/>
              </w:rPr>
              <w:t xml:space="preserve">Baltijas valstis un </w:t>
            </w:r>
            <w:r>
              <w:rPr>
                <w:lang w:eastAsia="zh-TW"/>
              </w:rPr>
              <w:t xml:space="preserve">Baltijas valstu kopuzņēmums akciju sabiedrība </w:t>
            </w:r>
            <w:r w:rsidRPr="00324014">
              <w:rPr>
                <w:lang w:eastAsia="zh-TW"/>
              </w:rPr>
              <w:t xml:space="preserve">RB </w:t>
            </w:r>
            <w:proofErr w:type="spellStart"/>
            <w:r w:rsidRPr="00324014">
              <w:rPr>
                <w:lang w:eastAsia="zh-TW"/>
              </w:rPr>
              <w:t>Rail</w:t>
            </w:r>
            <w:proofErr w:type="spellEnd"/>
            <w:r w:rsidRPr="00324014">
              <w:rPr>
                <w:lang w:eastAsia="zh-TW"/>
              </w:rPr>
              <w:t xml:space="preserve"> 2015.gada 26.februārī Eiropas infrastruktūras savienošanas instrumenta (turpmāk EISI) pirmajā projektu uzsaukumā iesniedza kopīgu Baltijas valstu pieteikumu finansējuma saņemšanai </w:t>
            </w:r>
            <w:proofErr w:type="spellStart"/>
            <w:r w:rsidRPr="00324014">
              <w:rPr>
                <w:lang w:eastAsia="zh-TW"/>
              </w:rPr>
              <w:t>Rail</w:t>
            </w:r>
            <w:proofErr w:type="spellEnd"/>
            <w:r w:rsidRPr="00324014">
              <w:rPr>
                <w:lang w:eastAsia="zh-TW"/>
              </w:rPr>
              <w:t xml:space="preserve"> </w:t>
            </w:r>
            <w:proofErr w:type="spellStart"/>
            <w:r w:rsidRPr="00324014">
              <w:rPr>
                <w:lang w:eastAsia="zh-TW"/>
              </w:rPr>
              <w:t>Baltica</w:t>
            </w:r>
            <w:proofErr w:type="spellEnd"/>
            <w:r w:rsidRPr="00324014">
              <w:rPr>
                <w:lang w:eastAsia="zh-TW"/>
              </w:rPr>
              <w:t xml:space="preserve"> projekta pirmās kārtas realizēšanai. Pēc pieteikuma izvērtēšanas INEA pieņēma lēmumu atbalstīt RB Rail un trīs Baltijas valstu iesniegto finansējuma pieprasījumu </w:t>
            </w:r>
            <w:proofErr w:type="spellStart"/>
            <w:r w:rsidRPr="00324014">
              <w:rPr>
                <w:lang w:eastAsia="zh-TW"/>
              </w:rPr>
              <w:t>Rail</w:t>
            </w:r>
            <w:proofErr w:type="spellEnd"/>
            <w:r w:rsidRPr="00324014">
              <w:rPr>
                <w:lang w:eastAsia="zh-TW"/>
              </w:rPr>
              <w:t xml:space="preserve"> </w:t>
            </w:r>
            <w:proofErr w:type="spellStart"/>
            <w:r w:rsidRPr="00324014">
              <w:rPr>
                <w:lang w:eastAsia="zh-TW"/>
              </w:rPr>
              <w:t>Baltica</w:t>
            </w:r>
            <w:proofErr w:type="spellEnd"/>
            <w:r w:rsidRPr="00324014">
              <w:rPr>
                <w:lang w:eastAsia="zh-TW"/>
              </w:rPr>
              <w:t xml:space="preserve"> projekta pirmās kārtas realizēšanai pilnā apmērā</w:t>
            </w:r>
            <w:r w:rsidR="004D680A">
              <w:rPr>
                <w:lang w:eastAsia="zh-TW"/>
              </w:rPr>
              <w:t>,</w:t>
            </w:r>
            <w:r w:rsidRPr="00324014">
              <w:rPr>
                <w:lang w:eastAsia="zh-TW"/>
              </w:rPr>
              <w:t xml:space="preserve"> un šobrīd </w:t>
            </w:r>
            <w:r w:rsidR="004D680A">
              <w:rPr>
                <w:lang w:eastAsia="zh-TW"/>
              </w:rPr>
              <w:t>ir</w:t>
            </w:r>
            <w:r w:rsidR="004D680A" w:rsidRPr="00324014">
              <w:rPr>
                <w:lang w:eastAsia="zh-TW"/>
              </w:rPr>
              <w:t xml:space="preserve"> </w:t>
            </w:r>
            <w:r w:rsidR="004D680A">
              <w:rPr>
                <w:lang w:eastAsia="zh-TW"/>
              </w:rPr>
              <w:t>sa</w:t>
            </w:r>
            <w:r w:rsidRPr="00324014">
              <w:rPr>
                <w:lang w:eastAsia="zh-TW"/>
              </w:rPr>
              <w:t xml:space="preserve">gatavots Finansēšanas līgums par </w:t>
            </w:r>
            <w:proofErr w:type="spellStart"/>
            <w:r w:rsidRPr="00324014">
              <w:rPr>
                <w:lang w:eastAsia="zh-TW"/>
              </w:rPr>
              <w:t>Rail</w:t>
            </w:r>
            <w:proofErr w:type="spellEnd"/>
            <w:r w:rsidRPr="00324014">
              <w:rPr>
                <w:lang w:eastAsia="zh-TW"/>
              </w:rPr>
              <w:t xml:space="preserve"> </w:t>
            </w:r>
            <w:proofErr w:type="spellStart"/>
            <w:r w:rsidRPr="00324014">
              <w:rPr>
                <w:lang w:eastAsia="zh-TW"/>
              </w:rPr>
              <w:t>Baltica</w:t>
            </w:r>
            <w:proofErr w:type="spellEnd"/>
            <w:r w:rsidRPr="00324014">
              <w:rPr>
                <w:lang w:eastAsia="zh-TW"/>
              </w:rPr>
              <w:t xml:space="preserve"> pirmās kārtas aktivitāšu īstenošanu. </w:t>
            </w:r>
            <w:r w:rsidR="00D11F62">
              <w:rPr>
                <w:lang w:eastAsia="zh-TW"/>
              </w:rPr>
              <w:t xml:space="preserve">Pēc finansēšanas līguma parakstīšanas </w:t>
            </w:r>
            <w:proofErr w:type="spellStart"/>
            <w:r w:rsidR="00D11F62">
              <w:rPr>
                <w:lang w:eastAsia="zh-TW"/>
              </w:rPr>
              <w:t>Rail</w:t>
            </w:r>
            <w:proofErr w:type="spellEnd"/>
            <w:r w:rsidR="00D11F62">
              <w:rPr>
                <w:lang w:eastAsia="zh-TW"/>
              </w:rPr>
              <w:t xml:space="preserve"> </w:t>
            </w:r>
            <w:proofErr w:type="spellStart"/>
            <w:r w:rsidR="00D11F62">
              <w:rPr>
                <w:lang w:eastAsia="zh-TW"/>
              </w:rPr>
              <w:t>Baltica</w:t>
            </w:r>
            <w:proofErr w:type="spellEnd"/>
            <w:r w:rsidR="00D11F62">
              <w:rPr>
                <w:lang w:eastAsia="zh-TW"/>
              </w:rPr>
              <w:t xml:space="preserve"> pirmās kārtas īstenošanai Latvijai būs pieejami 291 759 000 </w:t>
            </w:r>
            <w:proofErr w:type="spellStart"/>
            <w:r w:rsidR="00D11F62">
              <w:rPr>
                <w:lang w:eastAsia="zh-TW"/>
              </w:rPr>
              <w:t>eur</w:t>
            </w:r>
            <w:r w:rsidR="00FA29CF">
              <w:rPr>
                <w:lang w:eastAsia="zh-TW"/>
              </w:rPr>
              <w:t>o</w:t>
            </w:r>
            <w:proofErr w:type="spellEnd"/>
            <w:r w:rsidR="00FA29CF">
              <w:rPr>
                <w:lang w:eastAsia="zh-TW"/>
              </w:rPr>
              <w:t>,</w:t>
            </w:r>
            <w:r w:rsidR="00D11F62">
              <w:rPr>
                <w:lang w:eastAsia="zh-TW"/>
              </w:rPr>
              <w:t xml:space="preserve"> no kuriem 237 510 990 būs Eiropas Savienības finansējums. </w:t>
            </w:r>
            <w:r w:rsidR="00F53511">
              <w:rPr>
                <w:lang w:eastAsia="zh-TW"/>
              </w:rPr>
              <w:t>Finansēšanas līgums arī paredz finansējuma sadalījumu pa aktivitātēm un gadiem</w:t>
            </w:r>
            <w:r w:rsidR="004D680A">
              <w:rPr>
                <w:lang w:eastAsia="zh-TW"/>
              </w:rPr>
              <w:t>,</w:t>
            </w:r>
            <w:r w:rsidR="00F53511">
              <w:rPr>
                <w:lang w:eastAsia="zh-TW"/>
              </w:rPr>
              <w:t xml:space="preserve"> veicot atbilstošu pieprasījumu un atskaiti par jau paveikto. </w:t>
            </w:r>
          </w:p>
          <w:p w:rsidR="006D0A1A" w:rsidRDefault="006D0A1A" w:rsidP="006D0A1A">
            <w:pPr>
              <w:pStyle w:val="naisf"/>
              <w:tabs>
                <w:tab w:val="left" w:pos="993"/>
              </w:tabs>
              <w:spacing w:before="0" w:beforeAutospacing="0" w:after="0" w:afterAutospacing="0"/>
              <w:jc w:val="both"/>
              <w:rPr>
                <w:lang w:eastAsia="zh-TW"/>
              </w:rPr>
            </w:pPr>
          </w:p>
          <w:p w:rsidR="006D0A1A" w:rsidRDefault="006D0A1A" w:rsidP="006D0A1A">
            <w:pPr>
              <w:pStyle w:val="naisf"/>
              <w:tabs>
                <w:tab w:val="left" w:pos="993"/>
              </w:tabs>
              <w:spacing w:before="0" w:beforeAutospacing="0" w:after="0" w:afterAutospacing="0"/>
              <w:jc w:val="both"/>
              <w:rPr>
                <w:lang w:eastAsia="zh-TW"/>
              </w:rPr>
            </w:pPr>
            <w:r>
              <w:rPr>
                <w:lang w:eastAsia="zh-TW"/>
              </w:rPr>
              <w:t xml:space="preserve">Finansēšanas līgums tiek slēgts par katra saņēmēja, Latvijas, Lietuvas, Igaunijas, RB </w:t>
            </w:r>
            <w:proofErr w:type="spellStart"/>
            <w:r>
              <w:rPr>
                <w:lang w:eastAsia="zh-TW"/>
              </w:rPr>
              <w:t>Rail</w:t>
            </w:r>
            <w:proofErr w:type="spellEnd"/>
            <w:r>
              <w:rPr>
                <w:lang w:eastAsia="zh-TW"/>
              </w:rPr>
              <w:t xml:space="preserve"> identificētajām aktivitātēm 2014. – 2020.</w:t>
            </w:r>
            <w:r w:rsidR="004D680A">
              <w:rPr>
                <w:lang w:eastAsia="zh-TW"/>
              </w:rPr>
              <w:t xml:space="preserve"> gada</w:t>
            </w:r>
            <w:r>
              <w:rPr>
                <w:lang w:eastAsia="zh-TW"/>
              </w:rPr>
              <w:t xml:space="preserve"> plānošanas periodā. Latvija </w:t>
            </w:r>
            <w:proofErr w:type="spellStart"/>
            <w:r w:rsidR="00FA29CF">
              <w:rPr>
                <w:lang w:eastAsia="zh-TW"/>
              </w:rPr>
              <w:t>Rail</w:t>
            </w:r>
            <w:proofErr w:type="spellEnd"/>
            <w:r w:rsidR="00FA29CF">
              <w:rPr>
                <w:lang w:eastAsia="zh-TW"/>
              </w:rPr>
              <w:t xml:space="preserve"> </w:t>
            </w:r>
            <w:proofErr w:type="spellStart"/>
            <w:r w:rsidR="00FA29CF">
              <w:rPr>
                <w:lang w:eastAsia="zh-TW"/>
              </w:rPr>
              <w:t>Baltica</w:t>
            </w:r>
            <w:proofErr w:type="spellEnd"/>
            <w:r w:rsidR="00FA29CF">
              <w:rPr>
                <w:lang w:eastAsia="zh-TW"/>
              </w:rPr>
              <w:t xml:space="preserve"> projekta pirmajai kārtai </w:t>
            </w:r>
            <w:r>
              <w:rPr>
                <w:lang w:eastAsia="zh-TW"/>
              </w:rPr>
              <w:t xml:space="preserve">pieteikusies </w:t>
            </w:r>
            <w:r w:rsidR="00FA29CF">
              <w:rPr>
                <w:lang w:eastAsia="zh-TW"/>
              </w:rPr>
              <w:t xml:space="preserve">uz </w:t>
            </w:r>
            <w:r>
              <w:rPr>
                <w:lang w:eastAsia="zh-TW"/>
              </w:rPr>
              <w:t>tehnisko projektu izstr</w:t>
            </w:r>
            <w:r w:rsidR="00FA29CF">
              <w:rPr>
                <w:lang w:eastAsia="zh-TW"/>
              </w:rPr>
              <w:t>ād</w:t>
            </w:r>
            <w:r>
              <w:rPr>
                <w:lang w:eastAsia="zh-TW"/>
              </w:rPr>
              <w:t xml:space="preserve">i </w:t>
            </w:r>
            <w:proofErr w:type="spellStart"/>
            <w:r>
              <w:rPr>
                <w:lang w:eastAsia="zh-TW"/>
              </w:rPr>
              <w:t>Rail</w:t>
            </w:r>
            <w:proofErr w:type="spellEnd"/>
            <w:r>
              <w:rPr>
                <w:lang w:eastAsia="zh-TW"/>
              </w:rPr>
              <w:t xml:space="preserve"> </w:t>
            </w:r>
            <w:proofErr w:type="spellStart"/>
            <w:r>
              <w:rPr>
                <w:lang w:eastAsia="zh-TW"/>
              </w:rPr>
              <w:t>Baltica</w:t>
            </w:r>
            <w:proofErr w:type="spellEnd"/>
            <w:r>
              <w:rPr>
                <w:lang w:eastAsia="zh-TW"/>
              </w:rPr>
              <w:t xml:space="preserve"> līnijas centrālajai daļai, Rīgas centrālajai dzelzceļa stacijai, </w:t>
            </w:r>
            <w:proofErr w:type="spellStart"/>
            <w:r>
              <w:rPr>
                <w:lang w:eastAsia="zh-TW"/>
              </w:rPr>
              <w:t>Rail</w:t>
            </w:r>
            <w:proofErr w:type="spellEnd"/>
            <w:r>
              <w:rPr>
                <w:lang w:eastAsia="zh-TW"/>
              </w:rPr>
              <w:t xml:space="preserve"> </w:t>
            </w:r>
            <w:proofErr w:type="spellStart"/>
            <w:r>
              <w:rPr>
                <w:lang w:eastAsia="zh-TW"/>
              </w:rPr>
              <w:t>Baltica</w:t>
            </w:r>
            <w:proofErr w:type="spellEnd"/>
            <w:r>
              <w:rPr>
                <w:lang w:eastAsia="zh-TW"/>
              </w:rPr>
              <w:t xml:space="preserve"> stacijai starptautiskajā lidostā </w:t>
            </w:r>
            <w:r w:rsidR="00FA29CF">
              <w:rPr>
                <w:lang w:eastAsia="zh-TW"/>
              </w:rPr>
              <w:t xml:space="preserve">“Rīga” </w:t>
            </w:r>
            <w:r>
              <w:rPr>
                <w:lang w:eastAsia="zh-TW"/>
              </w:rPr>
              <w:t xml:space="preserve">un </w:t>
            </w:r>
            <w:r w:rsidR="004D680A">
              <w:rPr>
                <w:lang w:eastAsia="zh-TW"/>
              </w:rPr>
              <w:t xml:space="preserve">abu augstāk minēto staciju </w:t>
            </w:r>
            <w:r>
              <w:rPr>
                <w:lang w:eastAsia="zh-TW"/>
              </w:rPr>
              <w:t>būvdarbiem, kā arī dzelzceļa līnijai starp tām.</w:t>
            </w:r>
            <w:r w:rsidR="00D11F62">
              <w:rPr>
                <w:lang w:eastAsia="zh-TW"/>
              </w:rPr>
              <w:t xml:space="preserve"> T</w:t>
            </w:r>
            <w:r w:rsidR="00211954">
              <w:rPr>
                <w:lang w:eastAsia="zh-TW"/>
              </w:rPr>
              <w:t>āpat</w:t>
            </w:r>
            <w:r w:rsidR="004D680A">
              <w:rPr>
                <w:lang w:eastAsia="zh-TW"/>
              </w:rPr>
              <w:t xml:space="preserve"> pirmajā kārtā paredzēta</w:t>
            </w:r>
            <w:r w:rsidR="00211954">
              <w:rPr>
                <w:lang w:eastAsia="zh-TW"/>
              </w:rPr>
              <w:t xml:space="preserve"> </w:t>
            </w:r>
            <w:r w:rsidR="00D11F62">
              <w:rPr>
                <w:lang w:eastAsia="zh-TW"/>
              </w:rPr>
              <w:t>zemju atsavināšanas pirm</w:t>
            </w:r>
            <w:r w:rsidR="004D680A">
              <w:rPr>
                <w:lang w:eastAsia="zh-TW"/>
              </w:rPr>
              <w:t>ā</w:t>
            </w:r>
            <w:r w:rsidR="00D11F62">
              <w:rPr>
                <w:lang w:eastAsia="zh-TW"/>
              </w:rPr>
              <w:t xml:space="preserve"> kārta, projekta uzraudzība, sabiedrisk</w:t>
            </w:r>
            <w:r w:rsidR="0064204A">
              <w:rPr>
                <w:lang w:eastAsia="zh-TW"/>
              </w:rPr>
              <w:t>o</w:t>
            </w:r>
            <w:r w:rsidR="00D11F62">
              <w:rPr>
                <w:lang w:eastAsia="zh-TW"/>
              </w:rPr>
              <w:t xml:space="preserve"> attiecīb</w:t>
            </w:r>
            <w:r w:rsidR="0064204A">
              <w:rPr>
                <w:lang w:eastAsia="zh-TW"/>
              </w:rPr>
              <w:t>u pasākumi</w:t>
            </w:r>
            <w:r w:rsidR="00D11F62">
              <w:rPr>
                <w:lang w:eastAsia="zh-TW"/>
              </w:rPr>
              <w:t xml:space="preserve"> </w:t>
            </w:r>
            <w:r w:rsidR="0064204A">
              <w:rPr>
                <w:lang w:eastAsia="zh-TW"/>
              </w:rPr>
              <w:t xml:space="preserve">un atbalsts </w:t>
            </w:r>
            <w:r w:rsidR="00D11F62">
              <w:rPr>
                <w:lang w:eastAsia="zh-TW"/>
              </w:rPr>
              <w:t>projekta īstenošana</w:t>
            </w:r>
            <w:r w:rsidR="0064204A">
              <w:rPr>
                <w:lang w:eastAsia="zh-TW"/>
              </w:rPr>
              <w:t>i</w:t>
            </w:r>
            <w:r w:rsidR="00D11F62">
              <w:rPr>
                <w:lang w:eastAsia="zh-TW"/>
              </w:rPr>
              <w:t>. Visām minētajām akti</w:t>
            </w:r>
            <w:r w:rsidR="0057408D">
              <w:rPr>
                <w:lang w:eastAsia="zh-TW"/>
              </w:rPr>
              <w:t>vitātēm tiks izmantots Eiropas S</w:t>
            </w:r>
            <w:r w:rsidR="00D11F62">
              <w:rPr>
                <w:lang w:eastAsia="zh-TW"/>
              </w:rPr>
              <w:t>avienības finansējums</w:t>
            </w:r>
            <w:r w:rsidR="0064204A">
              <w:rPr>
                <w:lang w:eastAsia="zh-TW"/>
              </w:rPr>
              <w:t>,</w:t>
            </w:r>
            <w:r w:rsidR="00D11F62">
              <w:rPr>
                <w:lang w:eastAsia="zh-TW"/>
              </w:rPr>
              <w:t xml:space="preserve"> un to atbilstošu īstenošanu uzraudzīs gan Latvijas </w:t>
            </w:r>
            <w:r w:rsidR="0057408D">
              <w:rPr>
                <w:lang w:eastAsia="zh-TW"/>
              </w:rPr>
              <w:t>EISI</w:t>
            </w:r>
            <w:r w:rsidR="00D11F62">
              <w:rPr>
                <w:lang w:eastAsia="zh-TW"/>
              </w:rPr>
              <w:t xml:space="preserve"> uzraugošā iestāde, gan finansējuma devējs INEA, gan Baltijas valstu kopuzņēmums</w:t>
            </w:r>
            <w:r w:rsidR="00FA29CF">
              <w:rPr>
                <w:lang w:eastAsia="zh-TW"/>
              </w:rPr>
              <w:t xml:space="preserve"> RB Rail, </w:t>
            </w:r>
            <w:r w:rsidR="00D11F62">
              <w:rPr>
                <w:lang w:eastAsia="zh-TW"/>
              </w:rPr>
              <w:t xml:space="preserve"> kā projekta koordinators. </w:t>
            </w:r>
            <w:r>
              <w:rPr>
                <w:lang w:eastAsia="zh-TW"/>
              </w:rPr>
              <w:t xml:space="preserve">  </w:t>
            </w:r>
          </w:p>
          <w:p w:rsidR="006D0A1A" w:rsidRDefault="006D0A1A" w:rsidP="006D0A1A">
            <w:pPr>
              <w:pStyle w:val="naisf"/>
              <w:tabs>
                <w:tab w:val="left" w:pos="993"/>
              </w:tabs>
              <w:spacing w:before="0" w:beforeAutospacing="0" w:after="0" w:afterAutospacing="0"/>
              <w:jc w:val="both"/>
              <w:rPr>
                <w:lang w:eastAsia="zh-TW"/>
              </w:rPr>
            </w:pPr>
          </w:p>
          <w:p w:rsidR="006D0A1A" w:rsidRDefault="006D0A1A" w:rsidP="006D0A1A">
            <w:pPr>
              <w:pStyle w:val="naisf"/>
              <w:tabs>
                <w:tab w:val="left" w:pos="993"/>
              </w:tabs>
              <w:spacing w:before="0" w:beforeAutospacing="0" w:after="0" w:afterAutospacing="0"/>
              <w:jc w:val="both"/>
              <w:rPr>
                <w:lang w:eastAsia="zh-TW"/>
              </w:rPr>
            </w:pPr>
            <w:r w:rsidRPr="00324014">
              <w:rPr>
                <w:lang w:eastAsia="zh-TW"/>
              </w:rPr>
              <w:t>Saskaņā ar finansēšanas līgumu saņēmējam ir tiesības aktivitāšu realizēšanai iecelt īstenošanas struktūru, kas ir publiskā vai privātā sektora uzņēmums vai struktūra. Izvērtējot tiesisko regulējumu Baltijas valstīs un labāko starptautisko praksi</w:t>
            </w:r>
            <w:r>
              <w:rPr>
                <w:lang w:eastAsia="zh-TW"/>
              </w:rPr>
              <w:t xml:space="preserve">, (2013.gadā piesaistot advokātu biroju </w:t>
            </w:r>
            <w:proofErr w:type="spellStart"/>
            <w:r>
              <w:rPr>
                <w:lang w:eastAsia="zh-TW"/>
              </w:rPr>
              <w:t>Triniti</w:t>
            </w:r>
            <w:proofErr w:type="spellEnd"/>
            <w:r>
              <w:rPr>
                <w:lang w:eastAsia="zh-TW"/>
              </w:rPr>
              <w:t>)</w:t>
            </w:r>
            <w:r w:rsidRPr="00324014">
              <w:rPr>
                <w:lang w:eastAsia="zh-TW"/>
              </w:rPr>
              <w:t xml:space="preserve">, Baltijas valstis vienojās, ka </w:t>
            </w:r>
            <w:proofErr w:type="spellStart"/>
            <w:r w:rsidRPr="00324014">
              <w:rPr>
                <w:lang w:eastAsia="zh-TW"/>
              </w:rPr>
              <w:t>Rail</w:t>
            </w:r>
            <w:proofErr w:type="spellEnd"/>
            <w:r w:rsidRPr="00324014">
              <w:rPr>
                <w:lang w:eastAsia="zh-TW"/>
              </w:rPr>
              <w:t xml:space="preserve"> </w:t>
            </w:r>
            <w:proofErr w:type="spellStart"/>
            <w:r w:rsidRPr="00324014">
              <w:rPr>
                <w:lang w:eastAsia="zh-TW"/>
              </w:rPr>
              <w:t>Baltica</w:t>
            </w:r>
            <w:proofErr w:type="spellEnd"/>
            <w:r w:rsidRPr="00324014">
              <w:rPr>
                <w:lang w:eastAsia="zh-TW"/>
              </w:rPr>
              <w:t xml:space="preserve"> dzelzceļa infrastruktūras objekta izbūve nav ministriju tiešā funkcija</w:t>
            </w:r>
            <w:r w:rsidR="0064204A">
              <w:rPr>
                <w:lang w:eastAsia="zh-TW"/>
              </w:rPr>
              <w:t>,</w:t>
            </w:r>
            <w:r w:rsidRPr="00324014">
              <w:rPr>
                <w:lang w:eastAsia="zh-TW"/>
              </w:rPr>
              <w:t xml:space="preserve"> un aktivitāšu realizēšanai ir ieceļama īstenošanas struktūra.</w:t>
            </w:r>
          </w:p>
          <w:p w:rsidR="00946AEC" w:rsidRDefault="00946AEC" w:rsidP="006D0A1A">
            <w:pPr>
              <w:pStyle w:val="naisf"/>
              <w:tabs>
                <w:tab w:val="left" w:pos="993"/>
              </w:tabs>
              <w:spacing w:before="0" w:beforeAutospacing="0" w:after="0" w:afterAutospacing="0"/>
              <w:jc w:val="both"/>
              <w:rPr>
                <w:lang w:eastAsia="zh-TW"/>
              </w:rPr>
            </w:pPr>
          </w:p>
          <w:p w:rsidR="00946AEC" w:rsidRDefault="00946AEC" w:rsidP="006D0A1A">
            <w:pPr>
              <w:pStyle w:val="naisf"/>
              <w:tabs>
                <w:tab w:val="left" w:pos="993"/>
              </w:tabs>
              <w:spacing w:before="0" w:beforeAutospacing="0" w:after="0" w:afterAutospacing="0"/>
              <w:jc w:val="both"/>
              <w:rPr>
                <w:lang w:eastAsia="zh-TW"/>
              </w:rPr>
            </w:pPr>
            <w:r w:rsidRPr="00423BF1">
              <w:t>Atbilstoši Valsts pārvaldes iekārtas likuma 41.panta pirmajai daļai</w:t>
            </w:r>
            <w:r w:rsidR="0064204A">
              <w:t>,</w:t>
            </w:r>
            <w:r w:rsidRPr="00423BF1">
              <w:t xml:space="preserve"> publiska persona var deleģēt pārvaldes uzdevumus, kuru izpilde ietilpst šīs publiskās personas vai tās iestādes kompetencē. Savukārt </w:t>
            </w:r>
            <w:r w:rsidRPr="00423BF1">
              <w:rPr>
                <w:lang w:eastAsia="zh-TW"/>
              </w:rPr>
              <w:t>Valsts pārvaldes iekārtas likuma 40.panta pirmā daļa noteic, ka publiska persona var deleģēt privātpersonai un citai publiskai personai  pārvaldes uzdevumu, ja pilnvarotā persona attiecīgo uzdevumu var veikt efektīvāk.</w:t>
            </w:r>
          </w:p>
          <w:p w:rsidR="00211954" w:rsidRPr="004D24F8" w:rsidRDefault="00211954" w:rsidP="006D0A1A">
            <w:pPr>
              <w:pStyle w:val="naisf"/>
              <w:tabs>
                <w:tab w:val="left" w:pos="993"/>
              </w:tabs>
              <w:spacing w:before="0" w:beforeAutospacing="0" w:after="0" w:afterAutospacing="0"/>
              <w:jc w:val="both"/>
              <w:rPr>
                <w:lang w:eastAsia="zh-TW"/>
              </w:rPr>
            </w:pPr>
          </w:p>
          <w:p w:rsidR="0057408D" w:rsidRPr="0057408D" w:rsidRDefault="00211954" w:rsidP="0057408D">
            <w:pPr>
              <w:spacing w:after="120"/>
              <w:jc w:val="both"/>
              <w:rPr>
                <w:rFonts w:ascii="Times New Roman" w:hAnsi="Times New Roman"/>
                <w:sz w:val="24"/>
                <w:szCs w:val="24"/>
              </w:rPr>
            </w:pPr>
            <w:r w:rsidRPr="004D24F8">
              <w:rPr>
                <w:sz w:val="24"/>
                <w:szCs w:val="24"/>
              </w:rPr>
              <w:t xml:space="preserve">Ņemot vērā, ka </w:t>
            </w:r>
            <w:proofErr w:type="spellStart"/>
            <w:r w:rsidRPr="004D24F8">
              <w:rPr>
                <w:sz w:val="24"/>
                <w:szCs w:val="24"/>
              </w:rPr>
              <w:t>Rail</w:t>
            </w:r>
            <w:proofErr w:type="spellEnd"/>
            <w:r w:rsidRPr="004D24F8">
              <w:rPr>
                <w:sz w:val="24"/>
                <w:szCs w:val="24"/>
              </w:rPr>
              <w:t xml:space="preserve"> </w:t>
            </w:r>
            <w:proofErr w:type="spellStart"/>
            <w:r w:rsidRPr="004D24F8">
              <w:rPr>
                <w:sz w:val="24"/>
                <w:szCs w:val="24"/>
              </w:rPr>
              <w:t>Baltica</w:t>
            </w:r>
            <w:proofErr w:type="spellEnd"/>
            <w:r w:rsidRPr="004D24F8">
              <w:rPr>
                <w:sz w:val="24"/>
                <w:szCs w:val="24"/>
              </w:rPr>
              <w:t xml:space="preserve"> ir pirmais Eiropas </w:t>
            </w:r>
            <w:r w:rsidRPr="0057408D">
              <w:rPr>
                <w:rFonts w:ascii="Times New Roman" w:hAnsi="Times New Roman"/>
                <w:sz w:val="24"/>
                <w:szCs w:val="24"/>
              </w:rPr>
              <w:t xml:space="preserve">platuma (1435mm) publiskās lietošanas dzelzceļa infrastruktūras objekts, kas tiek īstenots Latvijā, līdz šim nav izveidots spēcīgs kompetenču centrs un juridiskā struktūra, kas spētu realizēt šo projektu. </w:t>
            </w:r>
            <w:r w:rsidR="0057408D" w:rsidRPr="0057408D">
              <w:rPr>
                <w:rFonts w:ascii="Times New Roman" w:hAnsi="Times New Roman"/>
                <w:sz w:val="24"/>
                <w:szCs w:val="24"/>
              </w:rPr>
              <w:t xml:space="preserve">Satiksmes ministrija atbilstoši savai kompetencei organizē un koordinē likumu un citu normatīvo aktu īstenošanu, tā piedalās nozares politikas izstrādāšanā. Satiksmes ministrija organizē Eiropas Savienības fondu finansēto projektu ieviešanu transporta un sakaru nozarē, bet līdz šim nav tieši ar saviem resursiem organizējusi transporta infrastruktūras izbūvi. Satiksmes ministrijai nav pieejami būvdarbu veikšanai nepieciešamie materiāli un tehniskais nodrošinājums, kā arī nav lietderīgi un saimnieciski izdevīgi iegādāties šādu tehniku.   </w:t>
            </w:r>
          </w:p>
          <w:p w:rsidR="006D0A1A" w:rsidRPr="0057408D" w:rsidRDefault="00211954" w:rsidP="0057408D">
            <w:pPr>
              <w:spacing w:after="120"/>
              <w:jc w:val="both"/>
              <w:rPr>
                <w:rFonts w:ascii="Times New Roman" w:hAnsi="Times New Roman"/>
                <w:sz w:val="24"/>
                <w:szCs w:val="24"/>
                <w:lang w:eastAsia="en-US"/>
              </w:rPr>
            </w:pPr>
            <w:r w:rsidRPr="0057408D">
              <w:rPr>
                <w:rFonts w:ascii="Times New Roman" w:hAnsi="Times New Roman"/>
                <w:sz w:val="24"/>
                <w:szCs w:val="24"/>
              </w:rPr>
              <w:t xml:space="preserve">Realizējot </w:t>
            </w:r>
            <w:proofErr w:type="spellStart"/>
            <w:r w:rsidRPr="0057408D">
              <w:rPr>
                <w:rFonts w:ascii="Times New Roman" w:hAnsi="Times New Roman"/>
                <w:sz w:val="24"/>
                <w:szCs w:val="24"/>
              </w:rPr>
              <w:t>Rail</w:t>
            </w:r>
            <w:proofErr w:type="spellEnd"/>
            <w:r w:rsidRPr="0057408D">
              <w:rPr>
                <w:rFonts w:ascii="Times New Roman" w:hAnsi="Times New Roman"/>
                <w:sz w:val="24"/>
                <w:szCs w:val="24"/>
              </w:rPr>
              <w:t xml:space="preserve"> </w:t>
            </w:r>
            <w:proofErr w:type="spellStart"/>
            <w:r w:rsidRPr="0057408D">
              <w:rPr>
                <w:rFonts w:ascii="Times New Roman" w:hAnsi="Times New Roman"/>
                <w:sz w:val="24"/>
                <w:szCs w:val="24"/>
              </w:rPr>
              <w:t>Baltica</w:t>
            </w:r>
            <w:proofErr w:type="spellEnd"/>
            <w:r w:rsidRPr="0057408D">
              <w:rPr>
                <w:rFonts w:ascii="Times New Roman" w:hAnsi="Times New Roman"/>
                <w:sz w:val="24"/>
                <w:szCs w:val="24"/>
              </w:rPr>
              <w:t xml:space="preserve"> projektu ar tam speciāli izveidotu 100% valstij piederošu kapitālsabiedrību</w:t>
            </w:r>
            <w:r w:rsidR="0064204A" w:rsidRPr="0057408D">
              <w:rPr>
                <w:rFonts w:ascii="Times New Roman" w:hAnsi="Times New Roman"/>
                <w:sz w:val="24"/>
                <w:szCs w:val="24"/>
              </w:rPr>
              <w:t>,</w:t>
            </w:r>
            <w:r w:rsidRPr="0057408D">
              <w:rPr>
                <w:rFonts w:ascii="Times New Roman" w:hAnsi="Times New Roman"/>
                <w:sz w:val="24"/>
                <w:szCs w:val="24"/>
              </w:rPr>
              <w:t xml:space="preserve"> Latvija nodrošinās Eiropas dzelzceļa infrastruktūras kompetenču centra izveidi, projekta gaitā spēs nodrošināt tiešu uzraudzību un kontroli, nodrošinot efektīvu un pārskatāmu līdzekļu izlietojumu un kvalitatīvi realizēt aktivitātes noteiktajā laika grafikā. </w:t>
            </w:r>
            <w:r w:rsidR="0064204A" w:rsidRPr="0057408D">
              <w:rPr>
                <w:rFonts w:ascii="Times New Roman" w:hAnsi="Times New Roman"/>
                <w:sz w:val="24"/>
                <w:szCs w:val="24"/>
              </w:rPr>
              <w:t>Kapitālsabiedrība</w:t>
            </w:r>
            <w:r w:rsidRPr="0057408D">
              <w:rPr>
                <w:rFonts w:ascii="Times New Roman" w:hAnsi="Times New Roman"/>
                <w:sz w:val="24"/>
                <w:szCs w:val="24"/>
              </w:rPr>
              <w:t xml:space="preserve">, pamatojoties uz deleģējuma līgumu, kas tiks noslēgts starp Satiksmes ministriju un </w:t>
            </w:r>
            <w:r w:rsidR="0064204A" w:rsidRPr="0057408D">
              <w:rPr>
                <w:rFonts w:ascii="Times New Roman" w:hAnsi="Times New Roman"/>
                <w:sz w:val="24"/>
                <w:szCs w:val="24"/>
              </w:rPr>
              <w:t>Kapitālsabiedrību</w:t>
            </w:r>
            <w:r w:rsidRPr="0057408D">
              <w:rPr>
                <w:rFonts w:ascii="Times New Roman" w:hAnsi="Times New Roman"/>
                <w:sz w:val="24"/>
                <w:szCs w:val="24"/>
              </w:rPr>
              <w:t xml:space="preserve">, organizēs </w:t>
            </w:r>
            <w:proofErr w:type="spellStart"/>
            <w:r w:rsidRPr="0057408D">
              <w:rPr>
                <w:rFonts w:ascii="Times New Roman" w:hAnsi="Times New Roman"/>
                <w:sz w:val="24"/>
                <w:szCs w:val="24"/>
              </w:rPr>
              <w:t>Rail</w:t>
            </w:r>
            <w:proofErr w:type="spellEnd"/>
            <w:r w:rsidRPr="0057408D">
              <w:rPr>
                <w:rFonts w:ascii="Times New Roman" w:hAnsi="Times New Roman"/>
                <w:sz w:val="24"/>
                <w:szCs w:val="24"/>
              </w:rPr>
              <w:t xml:space="preserve"> </w:t>
            </w:r>
            <w:proofErr w:type="spellStart"/>
            <w:r w:rsidRPr="0057408D">
              <w:rPr>
                <w:rFonts w:ascii="Times New Roman" w:hAnsi="Times New Roman"/>
                <w:sz w:val="24"/>
                <w:szCs w:val="24"/>
              </w:rPr>
              <w:t>Baltica</w:t>
            </w:r>
            <w:proofErr w:type="spellEnd"/>
            <w:r w:rsidRPr="0057408D">
              <w:rPr>
                <w:rFonts w:ascii="Times New Roman" w:hAnsi="Times New Roman"/>
                <w:sz w:val="24"/>
                <w:szCs w:val="24"/>
              </w:rPr>
              <w:t xml:space="preserve"> aktivitāšu </w:t>
            </w:r>
            <w:r w:rsidR="0064204A" w:rsidRPr="0057408D">
              <w:rPr>
                <w:rFonts w:ascii="Times New Roman" w:hAnsi="Times New Roman"/>
                <w:sz w:val="24"/>
                <w:szCs w:val="24"/>
              </w:rPr>
              <w:t xml:space="preserve">ieviešanu </w:t>
            </w:r>
            <w:r w:rsidRPr="0057408D">
              <w:rPr>
                <w:rFonts w:ascii="Times New Roman" w:hAnsi="Times New Roman"/>
                <w:sz w:val="24"/>
                <w:szCs w:val="24"/>
              </w:rPr>
              <w:t xml:space="preserve">un objekta izveidi. </w:t>
            </w:r>
            <w:r w:rsidR="0057408D" w:rsidRPr="0057408D">
              <w:rPr>
                <w:rFonts w:ascii="Times New Roman" w:hAnsi="Times New Roman"/>
                <w:sz w:val="24"/>
                <w:szCs w:val="24"/>
              </w:rPr>
              <w:t>Kapitālsabiedrība būvniecības procesā galveno kārt darbosies kā pasūtītājs publiskā iepirkumu procesā izvēloties faktiskos pakalpojuma sniedzējus.</w:t>
            </w:r>
          </w:p>
          <w:p w:rsidR="00447592" w:rsidRPr="00946AEC" w:rsidRDefault="004F5173" w:rsidP="00946AEC">
            <w:pPr>
              <w:spacing w:after="120"/>
              <w:ind w:firstLine="284"/>
              <w:jc w:val="both"/>
              <w:rPr>
                <w:rFonts w:ascii="Times New Roman" w:hAnsi="Times New Roman"/>
                <w:sz w:val="24"/>
                <w:szCs w:val="24"/>
                <w:lang w:eastAsia="en-US"/>
              </w:rPr>
            </w:pPr>
            <w:r w:rsidRPr="0057408D">
              <w:rPr>
                <w:rFonts w:ascii="Times New Roman" w:hAnsi="Times New Roman"/>
                <w:sz w:val="24"/>
                <w:szCs w:val="24"/>
              </w:rPr>
              <w:t xml:space="preserve">Kā </w:t>
            </w:r>
            <w:r w:rsidR="00FA29CF" w:rsidRPr="0057408D">
              <w:rPr>
                <w:rFonts w:ascii="Times New Roman" w:hAnsi="Times New Roman"/>
                <w:sz w:val="24"/>
                <w:szCs w:val="24"/>
              </w:rPr>
              <w:t>Finansēšanas līgumā minēto</w:t>
            </w:r>
            <w:r w:rsidRPr="0057408D">
              <w:rPr>
                <w:rFonts w:ascii="Times New Roman" w:hAnsi="Times New Roman"/>
                <w:sz w:val="24"/>
                <w:szCs w:val="24"/>
              </w:rPr>
              <w:t xml:space="preserve"> aktivitāšu </w:t>
            </w:r>
            <w:r w:rsidR="00FA29CF" w:rsidRPr="0057408D">
              <w:rPr>
                <w:rFonts w:ascii="Times New Roman" w:hAnsi="Times New Roman"/>
                <w:sz w:val="24"/>
                <w:szCs w:val="24"/>
              </w:rPr>
              <w:t>(</w:t>
            </w:r>
            <w:r w:rsidRPr="0057408D">
              <w:rPr>
                <w:rFonts w:ascii="Times New Roman" w:hAnsi="Times New Roman"/>
                <w:sz w:val="24"/>
                <w:szCs w:val="24"/>
              </w:rPr>
              <w:t>t.sk</w:t>
            </w:r>
            <w:r w:rsidR="0064204A" w:rsidRPr="0057408D">
              <w:rPr>
                <w:rFonts w:ascii="Times New Roman" w:hAnsi="Times New Roman"/>
                <w:sz w:val="24"/>
                <w:szCs w:val="24"/>
              </w:rPr>
              <w:t>.</w:t>
            </w:r>
            <w:r w:rsidRPr="0057408D">
              <w:rPr>
                <w:rFonts w:ascii="Times New Roman" w:hAnsi="Times New Roman"/>
                <w:sz w:val="24"/>
                <w:szCs w:val="24"/>
              </w:rPr>
              <w:t xml:space="preserve"> </w:t>
            </w:r>
            <w:r w:rsidR="00FA29CF" w:rsidRPr="0057408D">
              <w:rPr>
                <w:rFonts w:ascii="Times New Roman" w:hAnsi="Times New Roman"/>
                <w:sz w:val="24"/>
                <w:szCs w:val="24"/>
              </w:rPr>
              <w:t xml:space="preserve">tehniskais projekts, būvniecība) realizētājs, </w:t>
            </w:r>
            <w:r w:rsidR="00F13A9E" w:rsidRPr="0057408D">
              <w:rPr>
                <w:rFonts w:ascii="Times New Roman" w:hAnsi="Times New Roman"/>
                <w:sz w:val="24"/>
                <w:szCs w:val="24"/>
              </w:rPr>
              <w:t xml:space="preserve"> </w:t>
            </w:r>
            <w:r w:rsidRPr="0057408D">
              <w:rPr>
                <w:rFonts w:ascii="Times New Roman" w:hAnsi="Times New Roman"/>
                <w:sz w:val="24"/>
                <w:szCs w:val="24"/>
              </w:rPr>
              <w:t>Kapitālsabiedrība neizdos administratīvos aktus un neveiks ārējās un iekšējās droš</w:t>
            </w:r>
            <w:r w:rsidR="00632E4F" w:rsidRPr="0057408D">
              <w:rPr>
                <w:rFonts w:ascii="Times New Roman" w:hAnsi="Times New Roman"/>
                <w:sz w:val="24"/>
                <w:szCs w:val="24"/>
              </w:rPr>
              <w:t>ības funkciju izpildi.</w:t>
            </w:r>
            <w:r w:rsidRPr="0057408D">
              <w:rPr>
                <w:rFonts w:ascii="Times New Roman" w:hAnsi="Times New Roman"/>
                <w:sz w:val="24"/>
                <w:szCs w:val="24"/>
              </w:rPr>
              <w:t xml:space="preserve"> </w:t>
            </w:r>
            <w:r w:rsidR="00F13A9E" w:rsidRPr="0057408D">
              <w:rPr>
                <w:rFonts w:ascii="Times New Roman" w:hAnsi="Times New Roman"/>
                <w:sz w:val="24"/>
                <w:szCs w:val="24"/>
              </w:rPr>
              <w:t>Savukārt zem</w:t>
            </w:r>
            <w:r w:rsidR="0064204A" w:rsidRPr="0057408D">
              <w:rPr>
                <w:rFonts w:ascii="Times New Roman" w:hAnsi="Times New Roman"/>
                <w:sz w:val="24"/>
                <w:szCs w:val="24"/>
              </w:rPr>
              <w:t>j</w:t>
            </w:r>
            <w:r w:rsidR="00F13A9E" w:rsidRPr="0057408D">
              <w:rPr>
                <w:rFonts w:ascii="Times New Roman" w:hAnsi="Times New Roman"/>
                <w:sz w:val="24"/>
                <w:szCs w:val="24"/>
              </w:rPr>
              <w:t xml:space="preserve">u atsavināšanas jautājumā, ņemot vērā, ka Sabiedrības vajadzībām nepieciešamā nekustamā īpašuma atsavināšanas likuma 3.pants </w:t>
            </w:r>
            <w:r w:rsidR="00F13A9E" w:rsidRPr="0057408D">
              <w:rPr>
                <w:rFonts w:ascii="Times New Roman" w:hAnsi="Times New Roman"/>
                <w:sz w:val="24"/>
                <w:szCs w:val="24"/>
              </w:rPr>
              <w:lastRenderedPageBreak/>
              <w:t>paredz, ka nekustamā īpašuma</w:t>
            </w:r>
            <w:r w:rsidR="00F13A9E">
              <w:rPr>
                <w:sz w:val="24"/>
                <w:szCs w:val="24"/>
              </w:rPr>
              <w:t xml:space="preserve"> atsavināšanu sabiedrības vajadzībām ierosina un veic valsts pārvaldes iestāde vai pašvaldība, kuras kompetencē ir attiecīgo sabiedrības vajadzību nodrošināšana, atsavināšana tiks realizēta</w:t>
            </w:r>
            <w:r w:rsidR="0064204A">
              <w:rPr>
                <w:sz w:val="24"/>
                <w:szCs w:val="24"/>
              </w:rPr>
              <w:t>,</w:t>
            </w:r>
            <w:r w:rsidR="00F13A9E">
              <w:rPr>
                <w:sz w:val="24"/>
                <w:szCs w:val="24"/>
              </w:rPr>
              <w:t xml:space="preserve"> Satiksmes ministrijai sadarbojoties ar </w:t>
            </w:r>
            <w:r w:rsidR="0064204A">
              <w:rPr>
                <w:sz w:val="24"/>
                <w:szCs w:val="24"/>
              </w:rPr>
              <w:t>Kapitālsabiedrību</w:t>
            </w:r>
            <w:r w:rsidR="00F13A9E">
              <w:rPr>
                <w:sz w:val="24"/>
                <w:szCs w:val="24"/>
              </w:rPr>
              <w:t xml:space="preserve">. Starp </w:t>
            </w:r>
            <w:r w:rsidR="0064204A">
              <w:rPr>
                <w:sz w:val="24"/>
                <w:szCs w:val="24"/>
              </w:rPr>
              <w:t>Kapitālsabiedrību</w:t>
            </w:r>
            <w:r w:rsidR="00F13A9E">
              <w:rPr>
                <w:sz w:val="24"/>
                <w:szCs w:val="24"/>
              </w:rPr>
              <w:t xml:space="preserve">, kā īstenošanas struktūru un Satiksmes ministriju, kā saņēmēju, Finansēšanas līguma izpratnē, tiks noslēgts deleģēšanas līgums, kurā tiks noteikts, ka </w:t>
            </w:r>
            <w:r w:rsidR="0064204A">
              <w:rPr>
                <w:sz w:val="24"/>
                <w:szCs w:val="24"/>
              </w:rPr>
              <w:t>Kapitālsabiedrība</w:t>
            </w:r>
            <w:r w:rsidR="00F13A9E">
              <w:rPr>
                <w:sz w:val="24"/>
                <w:szCs w:val="24"/>
              </w:rPr>
              <w:t xml:space="preserve"> ir deleģēta risināt jautājumus, kas saistīti ar </w:t>
            </w:r>
            <w:proofErr w:type="spellStart"/>
            <w:r w:rsidR="00F13A9E">
              <w:rPr>
                <w:sz w:val="24"/>
                <w:szCs w:val="24"/>
              </w:rPr>
              <w:t>Rail</w:t>
            </w:r>
            <w:proofErr w:type="spellEnd"/>
            <w:r w:rsidR="00F13A9E">
              <w:rPr>
                <w:sz w:val="24"/>
                <w:szCs w:val="24"/>
              </w:rPr>
              <w:t xml:space="preserve"> </w:t>
            </w:r>
            <w:proofErr w:type="spellStart"/>
            <w:r w:rsidR="00F13A9E">
              <w:rPr>
                <w:sz w:val="24"/>
                <w:szCs w:val="24"/>
              </w:rPr>
              <w:t>Baltica</w:t>
            </w:r>
            <w:proofErr w:type="spellEnd"/>
            <w:r w:rsidR="00F13A9E">
              <w:rPr>
                <w:sz w:val="24"/>
                <w:szCs w:val="24"/>
              </w:rPr>
              <w:t xml:space="preserve"> projekta īstenošanai nepieciešamo nekustamo īpašumu atsavināšanu. Tādejādi </w:t>
            </w:r>
            <w:r w:rsidR="0064204A">
              <w:rPr>
                <w:sz w:val="24"/>
                <w:szCs w:val="24"/>
              </w:rPr>
              <w:t>Kapitālsabiedrība</w:t>
            </w:r>
            <w:r w:rsidR="00F13A9E">
              <w:rPr>
                <w:sz w:val="24"/>
                <w:szCs w:val="24"/>
              </w:rPr>
              <w:t xml:space="preserve"> veiks nepieciešamās</w:t>
            </w:r>
            <w:r w:rsidR="0064204A">
              <w:rPr>
                <w:sz w:val="24"/>
                <w:szCs w:val="24"/>
              </w:rPr>
              <w:t xml:space="preserve"> sagatavošanās</w:t>
            </w:r>
            <w:r w:rsidR="00F13A9E">
              <w:rPr>
                <w:sz w:val="24"/>
                <w:szCs w:val="24"/>
              </w:rPr>
              <w:t xml:space="preserve"> darbības, lai Satiksmes ministrija likumā noteiktajā kārtībā un apjomā varētu īstenot nekustamā īpašuma atsavināšanu sabiedrības vajadzībām.   </w:t>
            </w:r>
          </w:p>
          <w:p w:rsidR="00447592" w:rsidRPr="00423BF1" w:rsidRDefault="00946AEC" w:rsidP="0057408D">
            <w:pPr>
              <w:pStyle w:val="naisf"/>
              <w:tabs>
                <w:tab w:val="left" w:pos="993"/>
              </w:tabs>
              <w:spacing w:before="0" w:beforeAutospacing="0" w:after="0" w:afterAutospacing="0"/>
              <w:jc w:val="both"/>
            </w:pPr>
            <w:r>
              <w:t>Apkopojot augstāk minēto</w:t>
            </w:r>
            <w:r w:rsidR="0064204A">
              <w:t>,</w:t>
            </w:r>
            <w:r>
              <w:t xml:space="preserve"> secināms, ka Satiksmes ministrijai nav nepieciešamo resursu,</w:t>
            </w:r>
            <w:r w:rsidR="0064204A">
              <w:t xml:space="preserve"> kā arī nav</w:t>
            </w:r>
            <w:r>
              <w:t xml:space="preserve"> lietderīgi </w:t>
            </w:r>
            <w:r w:rsidR="0064204A">
              <w:t>tos</w:t>
            </w:r>
            <w:r>
              <w:t xml:space="preserve"> iegūt, lai varētu veikt vai organizēt Finansēšanas līgumā ietverto aktivitāšu apjomu</w:t>
            </w:r>
            <w:r w:rsidR="0064204A">
              <w:t>.</w:t>
            </w:r>
            <w:r w:rsidR="009077FC">
              <w:t xml:space="preserve"> </w:t>
            </w:r>
            <w:r w:rsidR="0064204A">
              <w:t>T</w:t>
            </w:r>
            <w:r w:rsidR="009077FC">
              <w:t>ādejādi lietder</w:t>
            </w:r>
            <w:r w:rsidR="004D24F8">
              <w:t>īgāk</w:t>
            </w:r>
            <w:r w:rsidR="009077FC">
              <w:t xml:space="preserve"> un</w:t>
            </w:r>
            <w:r w:rsidR="004D24F8">
              <w:t xml:space="preserve"> efektīvāk </w:t>
            </w:r>
            <w:r w:rsidR="009077FC">
              <w:t xml:space="preserve">ir deleģēt </w:t>
            </w:r>
            <w:r w:rsidR="004D24F8">
              <w:t xml:space="preserve">faktisko </w:t>
            </w:r>
            <w:r w:rsidR="009077FC">
              <w:t xml:space="preserve">aktivitāšu realizēšanu 100% valstij piederošai </w:t>
            </w:r>
            <w:r w:rsidR="004D24F8">
              <w:t>kapitālsabiedrībai,</w:t>
            </w:r>
            <w:r w:rsidR="009077FC">
              <w:t xml:space="preserve"> slēdzot deleģēšanas līgumu. Līdz šim </w:t>
            </w:r>
            <w:r>
              <w:t>Latvijā nav esoša 1435 mm dzelzceļa kompetenču centra</w:t>
            </w:r>
            <w:r w:rsidR="009077FC">
              <w:t xml:space="preserve">, tādejādi </w:t>
            </w:r>
            <w:r w:rsidR="0064204A">
              <w:t>Kapitālsabiedrība</w:t>
            </w:r>
            <w:r w:rsidR="009077FC">
              <w:t xml:space="preserve">, pār kuru </w:t>
            </w:r>
            <w:r>
              <w:t xml:space="preserve"> uzrau</w:t>
            </w:r>
            <w:r w:rsidR="0064204A">
              <w:t xml:space="preserve">ga Satiksmes ministrija,  </w:t>
            </w:r>
            <w:r w:rsidR="009077FC">
              <w:t>un aktivitāšu realizācij</w:t>
            </w:r>
            <w:r w:rsidR="0064204A">
              <w:t>u</w:t>
            </w:r>
            <w:r w:rsidR="009077FC">
              <w:t xml:space="preserve"> un finansē</w:t>
            </w:r>
            <w:r w:rsidR="0064204A">
              <w:t>juma</w:t>
            </w:r>
            <w:r w:rsidR="009077FC">
              <w:t xml:space="preserve"> izlietojumu kontrolēs gan nacionālās, gan ES institūcijas</w:t>
            </w:r>
            <w:r w:rsidR="0064204A">
              <w:t>,</w:t>
            </w:r>
            <w:r w:rsidR="009077FC">
              <w:t xml:space="preserve"> ir efektīvs un </w:t>
            </w:r>
            <w:r w:rsidR="007034E4">
              <w:t xml:space="preserve">saimnieciski izdevīgs risinājums, </w:t>
            </w:r>
            <w:r w:rsidR="00447592" w:rsidRPr="00423BF1">
              <w:rPr>
                <w:lang w:eastAsia="zh-TW"/>
              </w:rPr>
              <w:t>nodrošin</w:t>
            </w:r>
            <w:r w:rsidR="007034E4">
              <w:rPr>
                <w:lang w:eastAsia="zh-TW"/>
              </w:rPr>
              <w:t>ot</w:t>
            </w:r>
            <w:r w:rsidR="00447592" w:rsidRPr="00423BF1">
              <w:rPr>
                <w:lang w:eastAsia="zh-TW"/>
              </w:rPr>
              <w:t xml:space="preserve">, </w:t>
            </w:r>
            <w:r w:rsidR="001B09D8" w:rsidRPr="00423BF1">
              <w:rPr>
                <w:lang w:eastAsia="zh-TW"/>
              </w:rPr>
              <w:t xml:space="preserve">ka tiks </w:t>
            </w:r>
            <w:r w:rsidR="007034E4">
              <w:rPr>
                <w:lang w:eastAsia="zh-TW"/>
              </w:rPr>
              <w:t>realizēta</w:t>
            </w:r>
            <w:r w:rsidR="001B09D8" w:rsidRPr="00423BF1">
              <w:rPr>
                <w:lang w:eastAsia="zh-TW"/>
              </w:rPr>
              <w:t xml:space="preserve"> </w:t>
            </w:r>
            <w:proofErr w:type="spellStart"/>
            <w:r w:rsidR="001B09D8" w:rsidRPr="00423BF1">
              <w:rPr>
                <w:lang w:eastAsia="zh-TW"/>
              </w:rPr>
              <w:t>Rail</w:t>
            </w:r>
            <w:proofErr w:type="spellEnd"/>
            <w:r w:rsidR="001B09D8" w:rsidRPr="00423BF1">
              <w:rPr>
                <w:lang w:eastAsia="zh-TW"/>
              </w:rPr>
              <w:t xml:space="preserve"> </w:t>
            </w:r>
            <w:proofErr w:type="spellStart"/>
            <w:r w:rsidR="001B09D8" w:rsidRPr="00423BF1">
              <w:rPr>
                <w:lang w:eastAsia="zh-TW"/>
              </w:rPr>
              <w:t>Baltica</w:t>
            </w:r>
            <w:proofErr w:type="spellEnd"/>
            <w:r w:rsidR="001B09D8" w:rsidRPr="00423BF1">
              <w:rPr>
                <w:lang w:eastAsia="zh-TW"/>
              </w:rPr>
              <w:t xml:space="preserve"> pirmās kārtas aktivitāšu ieviešana Finansēšanas līgumā minētajā kārtībā un apjomā.  </w:t>
            </w:r>
            <w:r w:rsidR="00632E4F">
              <w:rPr>
                <w:lang w:eastAsia="zh-TW"/>
              </w:rPr>
              <w:t xml:space="preserve">Par aktivitāšu realizēšanu </w:t>
            </w:r>
            <w:r w:rsidR="0057408D">
              <w:rPr>
                <w:lang w:eastAsia="zh-TW"/>
              </w:rPr>
              <w:t>tiks slēgts</w:t>
            </w:r>
            <w:r w:rsidR="00632E4F">
              <w:rPr>
                <w:lang w:eastAsia="zh-TW"/>
              </w:rPr>
              <w:t xml:space="preserve"> deleģējuma līgums, kurā precīzi</w:t>
            </w:r>
            <w:r w:rsidR="0057408D">
              <w:rPr>
                <w:lang w:eastAsia="zh-TW"/>
              </w:rPr>
              <w:t xml:space="preserve"> tiks</w:t>
            </w:r>
            <w:r w:rsidR="00632E4F">
              <w:rPr>
                <w:lang w:eastAsia="zh-TW"/>
              </w:rPr>
              <w:t xml:space="preserve"> atrunā</w:t>
            </w:r>
            <w:r w:rsidR="0057408D">
              <w:rPr>
                <w:lang w:eastAsia="zh-TW"/>
              </w:rPr>
              <w:t>ti</w:t>
            </w:r>
            <w:r w:rsidR="00632E4F">
              <w:rPr>
                <w:lang w:eastAsia="zh-TW"/>
              </w:rPr>
              <w:t xml:space="preserve"> deleģēšanas noteikumi un deleģēt</w:t>
            </w:r>
            <w:r w:rsidR="0064204A">
              <w:rPr>
                <w:lang w:eastAsia="zh-TW"/>
              </w:rPr>
              <w:t>ais</w:t>
            </w:r>
            <w:r w:rsidR="00632E4F">
              <w:rPr>
                <w:lang w:eastAsia="zh-TW"/>
              </w:rPr>
              <w:t xml:space="preserve"> uzdevum</w:t>
            </w:r>
            <w:r w:rsidR="0064204A">
              <w:rPr>
                <w:lang w:eastAsia="zh-TW"/>
              </w:rPr>
              <w:t>s</w:t>
            </w:r>
            <w:r w:rsidR="00632E4F">
              <w:rPr>
                <w:lang w:eastAsia="zh-TW"/>
              </w:rPr>
              <w:t xml:space="preserve">. </w:t>
            </w:r>
          </w:p>
        </w:tc>
      </w:tr>
      <w:tr w:rsidR="00DD7D00" w:rsidRPr="00423BF1" w:rsidTr="0057408D">
        <w:trPr>
          <w:gridBefore w:val="1"/>
          <w:wBefore w:w="174" w:type="dxa"/>
          <w:trHeight w:val="601"/>
          <w:tblCellSpacing w:w="0" w:type="dxa"/>
        </w:trPr>
        <w:tc>
          <w:tcPr>
            <w:tcW w:w="518" w:type="dxa"/>
            <w:gridSpan w:val="2"/>
            <w:tcBorders>
              <w:top w:val="outset" w:sz="6" w:space="0" w:color="auto"/>
              <w:left w:val="single" w:sz="4" w:space="0" w:color="auto"/>
              <w:bottom w:val="outset" w:sz="6" w:space="0" w:color="auto"/>
              <w:right w:val="outset" w:sz="6" w:space="0" w:color="auto"/>
            </w:tcBorders>
            <w:hideMark/>
          </w:tcPr>
          <w:p w:rsidR="00DD7D00" w:rsidRPr="00423BF1" w:rsidRDefault="00DD7D00">
            <w:pPr>
              <w:spacing w:before="100" w:beforeAutospacing="1" w:after="100" w:afterAutospacing="1"/>
              <w:rPr>
                <w:rFonts w:ascii="Times New Roman" w:hAnsi="Times New Roman"/>
                <w:sz w:val="24"/>
                <w:szCs w:val="24"/>
                <w:lang w:eastAsia="lv-LV"/>
              </w:rPr>
            </w:pPr>
            <w:r w:rsidRPr="00423BF1">
              <w:rPr>
                <w:rFonts w:ascii="Times New Roman" w:hAnsi="Times New Roman"/>
                <w:sz w:val="24"/>
                <w:szCs w:val="24"/>
                <w:lang w:eastAsia="lv-LV"/>
              </w:rPr>
              <w:lastRenderedPageBreak/>
              <w:t> 3.</w:t>
            </w:r>
          </w:p>
        </w:tc>
        <w:tc>
          <w:tcPr>
            <w:tcW w:w="2743" w:type="dxa"/>
            <w:gridSpan w:val="2"/>
            <w:tcBorders>
              <w:top w:val="outset" w:sz="6" w:space="0" w:color="auto"/>
              <w:left w:val="outset" w:sz="6" w:space="0" w:color="auto"/>
              <w:bottom w:val="outset" w:sz="6" w:space="0" w:color="auto"/>
              <w:right w:val="outset" w:sz="6" w:space="0" w:color="auto"/>
            </w:tcBorders>
            <w:hideMark/>
          </w:tcPr>
          <w:p w:rsidR="00DD7D00" w:rsidRPr="00423BF1" w:rsidRDefault="00DD7D00">
            <w:pPr>
              <w:spacing w:before="100" w:beforeAutospacing="1" w:after="100" w:afterAutospacing="1"/>
              <w:rPr>
                <w:rFonts w:ascii="Times New Roman" w:hAnsi="Times New Roman"/>
                <w:sz w:val="24"/>
                <w:szCs w:val="24"/>
                <w:lang w:eastAsia="lv-LV"/>
              </w:rPr>
            </w:pPr>
            <w:r w:rsidRPr="00423BF1">
              <w:rPr>
                <w:rFonts w:ascii="Times New Roman" w:hAnsi="Times New Roman"/>
                <w:sz w:val="24"/>
                <w:szCs w:val="24"/>
                <w:lang w:eastAsia="lv-LV"/>
              </w:rPr>
              <w:t> Projekta izstrādē iesaistītās institūcijas</w:t>
            </w:r>
          </w:p>
        </w:tc>
        <w:tc>
          <w:tcPr>
            <w:tcW w:w="5105" w:type="dxa"/>
            <w:gridSpan w:val="2"/>
            <w:tcBorders>
              <w:top w:val="outset" w:sz="6" w:space="0" w:color="auto"/>
              <w:left w:val="outset" w:sz="6" w:space="0" w:color="auto"/>
              <w:bottom w:val="outset" w:sz="6" w:space="0" w:color="auto"/>
              <w:right w:val="single" w:sz="4" w:space="0" w:color="auto"/>
            </w:tcBorders>
            <w:hideMark/>
          </w:tcPr>
          <w:p w:rsidR="00DD7D00" w:rsidRPr="00423BF1" w:rsidRDefault="00DD7D00">
            <w:pPr>
              <w:spacing w:before="100" w:beforeAutospacing="1" w:after="100" w:afterAutospacing="1"/>
              <w:rPr>
                <w:rFonts w:ascii="Times New Roman" w:hAnsi="Times New Roman"/>
                <w:sz w:val="24"/>
                <w:szCs w:val="24"/>
                <w:lang w:eastAsia="lv-LV"/>
              </w:rPr>
            </w:pPr>
            <w:r w:rsidRPr="00423BF1">
              <w:rPr>
                <w:rFonts w:ascii="Times New Roman" w:hAnsi="Times New Roman"/>
                <w:sz w:val="24"/>
                <w:szCs w:val="24"/>
                <w:lang w:eastAsia="lv-LV"/>
              </w:rPr>
              <w:t>Satiksmes ministrija.</w:t>
            </w:r>
          </w:p>
        </w:tc>
      </w:tr>
      <w:tr w:rsidR="00DD7D00" w:rsidRPr="00423BF1" w:rsidTr="0057408D">
        <w:trPr>
          <w:gridBefore w:val="1"/>
          <w:wBefore w:w="174" w:type="dxa"/>
          <w:trHeight w:val="384"/>
          <w:tblCellSpacing w:w="0" w:type="dxa"/>
        </w:trPr>
        <w:tc>
          <w:tcPr>
            <w:tcW w:w="518" w:type="dxa"/>
            <w:gridSpan w:val="2"/>
            <w:tcBorders>
              <w:top w:val="outset" w:sz="6" w:space="0" w:color="auto"/>
              <w:left w:val="single" w:sz="4" w:space="0" w:color="auto"/>
              <w:bottom w:val="outset" w:sz="6" w:space="0" w:color="auto"/>
              <w:right w:val="outset" w:sz="6" w:space="0" w:color="auto"/>
            </w:tcBorders>
            <w:hideMark/>
          </w:tcPr>
          <w:p w:rsidR="00DD7D00" w:rsidRPr="00423BF1" w:rsidRDefault="00DD7D00">
            <w:pPr>
              <w:spacing w:before="100" w:beforeAutospacing="1" w:after="100" w:afterAutospacing="1"/>
              <w:rPr>
                <w:rFonts w:ascii="Times New Roman" w:hAnsi="Times New Roman"/>
                <w:sz w:val="24"/>
                <w:szCs w:val="24"/>
                <w:lang w:eastAsia="lv-LV"/>
              </w:rPr>
            </w:pPr>
            <w:r w:rsidRPr="00423BF1">
              <w:rPr>
                <w:rFonts w:ascii="Times New Roman" w:hAnsi="Times New Roman"/>
                <w:sz w:val="24"/>
                <w:szCs w:val="24"/>
                <w:lang w:eastAsia="lv-LV"/>
              </w:rPr>
              <w:t> 4.</w:t>
            </w:r>
          </w:p>
        </w:tc>
        <w:tc>
          <w:tcPr>
            <w:tcW w:w="2743" w:type="dxa"/>
            <w:gridSpan w:val="2"/>
            <w:tcBorders>
              <w:top w:val="outset" w:sz="6" w:space="0" w:color="auto"/>
              <w:left w:val="outset" w:sz="6" w:space="0" w:color="auto"/>
              <w:bottom w:val="outset" w:sz="6" w:space="0" w:color="auto"/>
              <w:right w:val="outset" w:sz="6" w:space="0" w:color="auto"/>
            </w:tcBorders>
            <w:hideMark/>
          </w:tcPr>
          <w:p w:rsidR="00DD7D00" w:rsidRPr="00423BF1" w:rsidRDefault="00DD7D00">
            <w:pPr>
              <w:spacing w:before="100" w:beforeAutospacing="1" w:after="100" w:afterAutospacing="1"/>
              <w:rPr>
                <w:rFonts w:ascii="Times New Roman" w:hAnsi="Times New Roman"/>
                <w:sz w:val="24"/>
                <w:szCs w:val="24"/>
                <w:lang w:eastAsia="lv-LV"/>
              </w:rPr>
            </w:pPr>
            <w:r w:rsidRPr="00423BF1">
              <w:rPr>
                <w:rFonts w:ascii="Times New Roman" w:hAnsi="Times New Roman"/>
                <w:sz w:val="24"/>
                <w:szCs w:val="24"/>
                <w:lang w:eastAsia="lv-LV"/>
              </w:rPr>
              <w:t> Cita informācija</w:t>
            </w:r>
          </w:p>
        </w:tc>
        <w:tc>
          <w:tcPr>
            <w:tcW w:w="5105" w:type="dxa"/>
            <w:gridSpan w:val="2"/>
            <w:tcBorders>
              <w:top w:val="outset" w:sz="6" w:space="0" w:color="auto"/>
              <w:left w:val="outset" w:sz="6" w:space="0" w:color="auto"/>
              <w:bottom w:val="outset" w:sz="6" w:space="0" w:color="auto"/>
              <w:right w:val="single" w:sz="4" w:space="0" w:color="auto"/>
            </w:tcBorders>
            <w:hideMark/>
          </w:tcPr>
          <w:p w:rsidR="00DD7D00" w:rsidRPr="00423BF1" w:rsidRDefault="004B420F">
            <w:pPr>
              <w:autoSpaceDE w:val="0"/>
              <w:autoSpaceDN w:val="0"/>
              <w:adjustRightInd w:val="0"/>
              <w:ind w:right="-15"/>
              <w:jc w:val="both"/>
              <w:rPr>
                <w:rFonts w:ascii="Times New Roman" w:hAnsi="Times New Roman"/>
                <w:bCs/>
                <w:sz w:val="24"/>
                <w:szCs w:val="24"/>
              </w:rPr>
            </w:pPr>
            <w:r w:rsidRPr="00423BF1">
              <w:rPr>
                <w:rFonts w:ascii="Times New Roman" w:hAnsi="Times New Roman"/>
                <w:bCs/>
                <w:sz w:val="24"/>
                <w:szCs w:val="24"/>
              </w:rPr>
              <w:t xml:space="preserve">Ministru kabineta noteikumu projekts “Grozījums Ministru kabineta 2003. gada 29. aprīļa noteikumos Nr. 242 „Satiksmes ministrijas nolikums”” skatāms kopā ar Informatīvā ziņojuma projektu “Par </w:t>
            </w:r>
            <w:proofErr w:type="spellStart"/>
            <w:r w:rsidRPr="00423BF1">
              <w:rPr>
                <w:rFonts w:ascii="Times New Roman" w:hAnsi="Times New Roman"/>
                <w:bCs/>
                <w:sz w:val="24"/>
                <w:szCs w:val="24"/>
              </w:rPr>
              <w:t>Rail</w:t>
            </w:r>
            <w:proofErr w:type="spellEnd"/>
            <w:r w:rsidRPr="00423BF1">
              <w:rPr>
                <w:rFonts w:ascii="Times New Roman" w:hAnsi="Times New Roman"/>
                <w:bCs/>
                <w:sz w:val="24"/>
                <w:szCs w:val="24"/>
              </w:rPr>
              <w:t xml:space="preserve"> </w:t>
            </w:r>
            <w:proofErr w:type="spellStart"/>
            <w:r w:rsidRPr="00423BF1">
              <w:rPr>
                <w:rFonts w:ascii="Times New Roman" w:hAnsi="Times New Roman"/>
                <w:bCs/>
                <w:sz w:val="24"/>
                <w:szCs w:val="24"/>
              </w:rPr>
              <w:t>Baltica</w:t>
            </w:r>
            <w:proofErr w:type="spellEnd"/>
            <w:r w:rsidRPr="00423BF1">
              <w:rPr>
                <w:rFonts w:ascii="Times New Roman" w:hAnsi="Times New Roman"/>
                <w:bCs/>
                <w:sz w:val="24"/>
                <w:szCs w:val="24"/>
              </w:rPr>
              <w:t xml:space="preserve"> Finansēšanas līguma parakstīšanu ar Inovācijas un tīklu </w:t>
            </w:r>
            <w:proofErr w:type="spellStart"/>
            <w:r w:rsidRPr="00423BF1">
              <w:rPr>
                <w:rFonts w:ascii="Times New Roman" w:hAnsi="Times New Roman"/>
                <w:bCs/>
                <w:sz w:val="24"/>
                <w:szCs w:val="24"/>
              </w:rPr>
              <w:t>izpildaģentūru</w:t>
            </w:r>
            <w:proofErr w:type="spellEnd"/>
            <w:r w:rsidRPr="00423BF1">
              <w:rPr>
                <w:rFonts w:ascii="Times New Roman" w:hAnsi="Times New Roman"/>
                <w:bCs/>
                <w:sz w:val="24"/>
                <w:szCs w:val="24"/>
              </w:rPr>
              <w:t xml:space="preserve"> (INEA)”.</w:t>
            </w:r>
          </w:p>
        </w:tc>
      </w:tr>
      <w:tr w:rsidR="00CC2C3B" w:rsidRPr="00CC2C3B" w:rsidTr="0057408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gridAfter w:val="1"/>
          <w:wAfter w:w="156" w:type="dxa"/>
          <w:trHeight w:val="381"/>
          <w:jc w:val="center"/>
        </w:trPr>
        <w:tc>
          <w:tcPr>
            <w:tcW w:w="8384" w:type="dxa"/>
            <w:gridSpan w:val="6"/>
            <w:vAlign w:val="center"/>
          </w:tcPr>
          <w:p w:rsidR="00CC2C3B" w:rsidRPr="00CC2C3B" w:rsidRDefault="00CC2C3B" w:rsidP="00CC2C3B">
            <w:pPr>
              <w:ind w:left="57" w:right="57"/>
              <w:jc w:val="center"/>
              <w:rPr>
                <w:rFonts w:ascii="Times New Roman" w:hAnsi="Times New Roman"/>
                <w:sz w:val="24"/>
                <w:szCs w:val="24"/>
                <w:lang w:eastAsia="lv-LV"/>
              </w:rPr>
            </w:pPr>
            <w:r w:rsidRPr="00CC2C3B">
              <w:rPr>
                <w:rFonts w:ascii="Times New Roman" w:hAnsi="Times New Roman"/>
                <w:b/>
                <w:sz w:val="24"/>
                <w:szCs w:val="24"/>
                <w:lang w:eastAsia="lv-LV"/>
              </w:rPr>
              <w:t>VII. Tiesību akta projekta izpildes nodrošināšana un tās ietekme uz institūcijām</w:t>
            </w:r>
          </w:p>
        </w:tc>
      </w:tr>
      <w:tr w:rsidR="00CC2C3B" w:rsidRPr="00CC2C3B" w:rsidTr="0057408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gridAfter w:val="1"/>
          <w:wAfter w:w="156" w:type="dxa"/>
          <w:trHeight w:val="427"/>
          <w:jc w:val="center"/>
        </w:trPr>
        <w:tc>
          <w:tcPr>
            <w:tcW w:w="482" w:type="dxa"/>
            <w:gridSpan w:val="2"/>
          </w:tcPr>
          <w:p w:rsidR="00CC2C3B" w:rsidRPr="00CC2C3B" w:rsidRDefault="00CC2C3B" w:rsidP="00CC2C3B">
            <w:pPr>
              <w:ind w:left="57" w:right="57"/>
              <w:jc w:val="both"/>
              <w:rPr>
                <w:rFonts w:ascii="Times New Roman" w:hAnsi="Times New Roman"/>
                <w:sz w:val="24"/>
                <w:szCs w:val="24"/>
                <w:lang w:eastAsia="lv-LV"/>
              </w:rPr>
            </w:pPr>
            <w:r w:rsidRPr="00CC2C3B">
              <w:rPr>
                <w:rFonts w:ascii="Times New Roman" w:hAnsi="Times New Roman"/>
                <w:sz w:val="24"/>
                <w:szCs w:val="24"/>
                <w:lang w:eastAsia="lv-LV"/>
              </w:rPr>
              <w:t>1.</w:t>
            </w:r>
          </w:p>
        </w:tc>
        <w:tc>
          <w:tcPr>
            <w:tcW w:w="2797" w:type="dxa"/>
            <w:gridSpan w:val="2"/>
          </w:tcPr>
          <w:p w:rsidR="00CC2C3B" w:rsidRPr="00CC2C3B" w:rsidRDefault="00CC2C3B" w:rsidP="00CC2C3B">
            <w:pPr>
              <w:ind w:left="57" w:right="57"/>
              <w:jc w:val="both"/>
              <w:rPr>
                <w:rFonts w:ascii="Times New Roman" w:hAnsi="Times New Roman"/>
                <w:sz w:val="24"/>
                <w:szCs w:val="24"/>
                <w:lang w:eastAsia="en-US"/>
              </w:rPr>
            </w:pPr>
            <w:r w:rsidRPr="00CC2C3B">
              <w:rPr>
                <w:rFonts w:ascii="Times New Roman" w:hAnsi="Times New Roman"/>
                <w:sz w:val="24"/>
                <w:szCs w:val="24"/>
                <w:lang w:eastAsia="en-US"/>
              </w:rPr>
              <w:t>Projekta izpildē iesaistītās institūcijas</w:t>
            </w:r>
          </w:p>
        </w:tc>
        <w:tc>
          <w:tcPr>
            <w:tcW w:w="5105" w:type="dxa"/>
            <w:gridSpan w:val="2"/>
          </w:tcPr>
          <w:p w:rsidR="00CC2C3B" w:rsidRPr="00CC2C3B" w:rsidRDefault="00073A5D" w:rsidP="00073A5D">
            <w:pPr>
              <w:shd w:val="clear" w:color="auto" w:fill="FFFFFF"/>
              <w:jc w:val="both"/>
              <w:rPr>
                <w:rFonts w:ascii="Times New Roman" w:hAnsi="Times New Roman"/>
                <w:sz w:val="24"/>
                <w:szCs w:val="24"/>
                <w:lang w:eastAsia="lv-LV"/>
              </w:rPr>
            </w:pPr>
            <w:bookmarkStart w:id="3" w:name="p66"/>
            <w:bookmarkStart w:id="4" w:name="p67"/>
            <w:bookmarkStart w:id="5" w:name="p68"/>
            <w:bookmarkStart w:id="6" w:name="p69"/>
            <w:bookmarkEnd w:id="3"/>
            <w:bookmarkEnd w:id="4"/>
            <w:bookmarkEnd w:id="5"/>
            <w:bookmarkEnd w:id="6"/>
            <w:r w:rsidRPr="00423BF1">
              <w:rPr>
                <w:rFonts w:ascii="Times New Roman" w:hAnsi="Times New Roman"/>
                <w:sz w:val="24"/>
                <w:szCs w:val="24"/>
                <w:lang w:eastAsia="lv-LV"/>
              </w:rPr>
              <w:t>Satiksmes ministrija, s</w:t>
            </w:r>
            <w:r w:rsidR="00CC2C3B" w:rsidRPr="00423BF1">
              <w:rPr>
                <w:rFonts w:ascii="Times New Roman" w:hAnsi="Times New Roman"/>
                <w:sz w:val="24"/>
                <w:szCs w:val="24"/>
                <w:lang w:eastAsia="lv-LV"/>
              </w:rPr>
              <w:t>abiedrība ar ierobežotu atbildību “Eiropas dzelzceļa līnijas”</w:t>
            </w:r>
            <w:r w:rsidR="002641BD">
              <w:rPr>
                <w:rFonts w:ascii="Times New Roman" w:hAnsi="Times New Roman"/>
                <w:sz w:val="24"/>
                <w:szCs w:val="24"/>
                <w:lang w:eastAsia="lv-LV"/>
              </w:rPr>
              <w:t>.</w:t>
            </w:r>
          </w:p>
        </w:tc>
      </w:tr>
      <w:tr w:rsidR="00CC2C3B" w:rsidRPr="00CC2C3B" w:rsidTr="0057408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gridAfter w:val="1"/>
          <w:wAfter w:w="156" w:type="dxa"/>
          <w:trHeight w:val="463"/>
          <w:jc w:val="center"/>
        </w:trPr>
        <w:tc>
          <w:tcPr>
            <w:tcW w:w="482" w:type="dxa"/>
            <w:gridSpan w:val="2"/>
          </w:tcPr>
          <w:p w:rsidR="00CC2C3B" w:rsidRPr="00CC2C3B" w:rsidRDefault="00CC2C3B" w:rsidP="00CC2C3B">
            <w:pPr>
              <w:ind w:left="57" w:right="57"/>
              <w:jc w:val="both"/>
              <w:rPr>
                <w:rFonts w:ascii="Times New Roman" w:hAnsi="Times New Roman"/>
                <w:sz w:val="24"/>
                <w:szCs w:val="24"/>
                <w:lang w:eastAsia="lv-LV"/>
              </w:rPr>
            </w:pPr>
            <w:r w:rsidRPr="00CC2C3B">
              <w:rPr>
                <w:rFonts w:ascii="Times New Roman" w:hAnsi="Times New Roman"/>
                <w:sz w:val="24"/>
                <w:szCs w:val="24"/>
                <w:lang w:eastAsia="lv-LV"/>
              </w:rPr>
              <w:t>2.</w:t>
            </w:r>
          </w:p>
        </w:tc>
        <w:tc>
          <w:tcPr>
            <w:tcW w:w="2797" w:type="dxa"/>
            <w:gridSpan w:val="2"/>
          </w:tcPr>
          <w:p w:rsidR="00CC2C3B" w:rsidRPr="00CC2C3B" w:rsidRDefault="00CC2C3B" w:rsidP="00CC2C3B">
            <w:pPr>
              <w:ind w:left="57" w:right="57"/>
              <w:jc w:val="both"/>
              <w:rPr>
                <w:rFonts w:ascii="Times New Roman" w:hAnsi="Times New Roman"/>
                <w:sz w:val="24"/>
                <w:szCs w:val="24"/>
                <w:lang w:eastAsia="en-US"/>
              </w:rPr>
            </w:pPr>
            <w:r w:rsidRPr="00CC2C3B">
              <w:rPr>
                <w:rFonts w:ascii="Times New Roman" w:hAnsi="Times New Roman"/>
                <w:sz w:val="24"/>
                <w:szCs w:val="24"/>
                <w:lang w:eastAsia="en-US"/>
              </w:rPr>
              <w:t>Projekta izpildes ietekme uz pār</w:t>
            </w:r>
            <w:r w:rsidRPr="00CC2C3B">
              <w:rPr>
                <w:rFonts w:ascii="Times New Roman" w:hAnsi="Times New Roman"/>
                <w:sz w:val="24"/>
                <w:szCs w:val="24"/>
                <w:lang w:eastAsia="en-US"/>
              </w:rPr>
              <w:softHyphen/>
              <w:t xml:space="preserve">valdes funkcijām un </w:t>
            </w:r>
            <w:r w:rsidRPr="00CC2C3B">
              <w:rPr>
                <w:rFonts w:ascii="Times New Roman" w:hAnsi="Times New Roman"/>
                <w:sz w:val="24"/>
                <w:szCs w:val="24"/>
                <w:lang w:eastAsia="en-US"/>
              </w:rPr>
              <w:lastRenderedPageBreak/>
              <w:t>institucionālo struktūru.</w:t>
            </w:r>
          </w:p>
          <w:p w:rsidR="00CC2C3B" w:rsidRPr="00CC2C3B" w:rsidRDefault="00CC2C3B" w:rsidP="00CC2C3B">
            <w:pPr>
              <w:ind w:left="57" w:right="57"/>
              <w:jc w:val="both"/>
              <w:rPr>
                <w:rFonts w:ascii="Times New Roman" w:hAnsi="Times New Roman"/>
                <w:sz w:val="24"/>
                <w:szCs w:val="24"/>
                <w:lang w:eastAsia="en-US"/>
              </w:rPr>
            </w:pPr>
            <w:r w:rsidRPr="00CC2C3B">
              <w:rPr>
                <w:rFonts w:ascii="Times New Roman" w:hAnsi="Times New Roman"/>
                <w:sz w:val="24"/>
                <w:szCs w:val="24"/>
                <w:lang w:eastAsia="en-US"/>
              </w:rPr>
              <w:t>Jaunu institūciju izveide, esošu institūciju likvidācija vai reorga</w:t>
            </w:r>
            <w:r w:rsidRPr="00CC2C3B">
              <w:rPr>
                <w:rFonts w:ascii="Times New Roman" w:hAnsi="Times New Roman"/>
                <w:sz w:val="24"/>
                <w:szCs w:val="24"/>
                <w:lang w:eastAsia="en-US"/>
              </w:rPr>
              <w:softHyphen/>
              <w:t>nizācija, to ietekme uz institūcijas cilvēkresursiem</w:t>
            </w:r>
          </w:p>
        </w:tc>
        <w:tc>
          <w:tcPr>
            <w:tcW w:w="5105" w:type="dxa"/>
            <w:gridSpan w:val="2"/>
          </w:tcPr>
          <w:p w:rsidR="00073A5D" w:rsidRPr="00423BF1" w:rsidRDefault="00073A5D" w:rsidP="00CC2C3B">
            <w:pPr>
              <w:shd w:val="clear" w:color="auto" w:fill="FFFFFF"/>
              <w:jc w:val="both"/>
              <w:rPr>
                <w:rFonts w:ascii="Times New Roman" w:hAnsi="Times New Roman"/>
                <w:sz w:val="24"/>
                <w:szCs w:val="24"/>
                <w:lang w:eastAsia="lv-LV"/>
              </w:rPr>
            </w:pPr>
            <w:r w:rsidRPr="00423BF1">
              <w:rPr>
                <w:rFonts w:ascii="Times New Roman" w:hAnsi="Times New Roman"/>
                <w:sz w:val="24"/>
                <w:szCs w:val="24"/>
                <w:lang w:eastAsia="lv-LV"/>
              </w:rPr>
              <w:lastRenderedPageBreak/>
              <w:t xml:space="preserve">Saistībā ar projekta izpildi nav nepieciešams veidot jaunas institūcijas, likvidēt vai reorganizēt esošās. </w:t>
            </w:r>
          </w:p>
          <w:p w:rsidR="00073A5D" w:rsidRPr="00423BF1" w:rsidRDefault="00073A5D" w:rsidP="00CC2C3B">
            <w:pPr>
              <w:shd w:val="clear" w:color="auto" w:fill="FFFFFF"/>
              <w:jc w:val="both"/>
              <w:rPr>
                <w:rFonts w:ascii="Times New Roman" w:hAnsi="Times New Roman"/>
                <w:sz w:val="24"/>
                <w:szCs w:val="24"/>
                <w:lang w:eastAsia="lv-LV"/>
              </w:rPr>
            </w:pPr>
          </w:p>
          <w:p w:rsidR="00370125" w:rsidRPr="00423BF1" w:rsidRDefault="00073A5D" w:rsidP="00CC2C3B">
            <w:pPr>
              <w:shd w:val="clear" w:color="auto" w:fill="FFFFFF"/>
              <w:jc w:val="both"/>
              <w:rPr>
                <w:rFonts w:ascii="Times New Roman" w:hAnsi="Times New Roman"/>
                <w:sz w:val="24"/>
                <w:szCs w:val="24"/>
                <w:lang w:eastAsia="lv-LV"/>
              </w:rPr>
            </w:pPr>
            <w:r w:rsidRPr="00423BF1">
              <w:rPr>
                <w:rFonts w:ascii="Times New Roman" w:hAnsi="Times New Roman"/>
                <w:sz w:val="24"/>
                <w:szCs w:val="24"/>
                <w:lang w:eastAsia="lv-LV"/>
              </w:rPr>
              <w:t xml:space="preserve">Sabiedrībai ar ierobežotu atbildību “Eiropas dzelzceļa līnijas” tiks </w:t>
            </w:r>
            <w:r w:rsidR="00370125" w:rsidRPr="00423BF1">
              <w:rPr>
                <w:rFonts w:ascii="Times New Roman" w:hAnsi="Times New Roman"/>
                <w:sz w:val="24"/>
                <w:szCs w:val="24"/>
                <w:lang w:eastAsia="lv-LV"/>
              </w:rPr>
              <w:t>deleģēts</w:t>
            </w:r>
            <w:r w:rsidRPr="00423BF1">
              <w:rPr>
                <w:rFonts w:ascii="Times New Roman" w:hAnsi="Times New Roman"/>
                <w:sz w:val="24"/>
                <w:szCs w:val="24"/>
                <w:lang w:eastAsia="lv-LV"/>
              </w:rPr>
              <w:t xml:space="preserve"> organizēt </w:t>
            </w:r>
            <w:proofErr w:type="spellStart"/>
            <w:r w:rsidR="00370125" w:rsidRPr="00423BF1">
              <w:rPr>
                <w:rFonts w:ascii="Times New Roman" w:hAnsi="Times New Roman"/>
                <w:sz w:val="24"/>
                <w:szCs w:val="24"/>
                <w:lang w:eastAsia="lv-LV"/>
              </w:rPr>
              <w:t>Rail</w:t>
            </w:r>
            <w:proofErr w:type="spellEnd"/>
            <w:r w:rsidR="00370125" w:rsidRPr="00423BF1">
              <w:rPr>
                <w:rFonts w:ascii="Times New Roman" w:hAnsi="Times New Roman"/>
                <w:sz w:val="24"/>
                <w:szCs w:val="24"/>
                <w:lang w:eastAsia="lv-LV"/>
              </w:rPr>
              <w:t xml:space="preserve"> </w:t>
            </w:r>
            <w:proofErr w:type="spellStart"/>
            <w:r w:rsidR="00370125" w:rsidRPr="00423BF1">
              <w:rPr>
                <w:rFonts w:ascii="Times New Roman" w:hAnsi="Times New Roman"/>
                <w:sz w:val="24"/>
                <w:szCs w:val="24"/>
                <w:lang w:eastAsia="lv-LV"/>
              </w:rPr>
              <w:t>Baltica</w:t>
            </w:r>
            <w:proofErr w:type="spellEnd"/>
            <w:r w:rsidR="00370125" w:rsidRPr="00423BF1">
              <w:rPr>
                <w:rFonts w:ascii="Times New Roman" w:hAnsi="Times New Roman"/>
                <w:sz w:val="24"/>
                <w:szCs w:val="24"/>
                <w:lang w:eastAsia="lv-LV"/>
              </w:rPr>
              <w:t xml:space="preserve"> </w:t>
            </w:r>
            <w:r w:rsidRPr="00423BF1">
              <w:rPr>
                <w:rFonts w:ascii="Times New Roman" w:hAnsi="Times New Roman"/>
                <w:sz w:val="24"/>
                <w:szCs w:val="24"/>
                <w:lang w:eastAsia="lv-LV"/>
              </w:rPr>
              <w:t xml:space="preserve"> infrastruktūras objekta izveidi</w:t>
            </w:r>
            <w:r w:rsidR="00370125" w:rsidRPr="00423BF1">
              <w:rPr>
                <w:rFonts w:ascii="Times New Roman" w:hAnsi="Times New Roman"/>
                <w:sz w:val="24"/>
                <w:szCs w:val="24"/>
                <w:lang w:eastAsia="lv-LV"/>
              </w:rPr>
              <w:t xml:space="preserve">, noslēdzot deleģēšanas līgumu. </w:t>
            </w:r>
          </w:p>
          <w:p w:rsidR="00370125" w:rsidRPr="00423BF1" w:rsidRDefault="00370125" w:rsidP="00CC2C3B">
            <w:pPr>
              <w:shd w:val="clear" w:color="auto" w:fill="FFFFFF"/>
              <w:jc w:val="both"/>
              <w:rPr>
                <w:rFonts w:ascii="Times New Roman" w:hAnsi="Times New Roman"/>
                <w:sz w:val="24"/>
                <w:szCs w:val="24"/>
                <w:lang w:eastAsia="lv-LV"/>
              </w:rPr>
            </w:pPr>
          </w:p>
          <w:p w:rsidR="00CC2C3B" w:rsidRPr="00CC2C3B" w:rsidRDefault="00370125" w:rsidP="00CC2C3B">
            <w:pPr>
              <w:shd w:val="clear" w:color="auto" w:fill="FFFFFF"/>
              <w:jc w:val="both"/>
              <w:rPr>
                <w:rFonts w:ascii="Times New Roman" w:hAnsi="Times New Roman"/>
                <w:sz w:val="24"/>
                <w:szCs w:val="24"/>
                <w:lang w:eastAsia="lv-LV"/>
              </w:rPr>
            </w:pPr>
            <w:r w:rsidRPr="00423BF1">
              <w:rPr>
                <w:rFonts w:ascii="Times New Roman" w:hAnsi="Times New Roman"/>
                <w:sz w:val="24"/>
                <w:szCs w:val="24"/>
                <w:lang w:eastAsia="lv-LV"/>
              </w:rPr>
              <w:t xml:space="preserve">Cilvēkresursi Satiksmes ministrijā netiek ietekmēti. Cilvēkresursi </w:t>
            </w:r>
            <w:r w:rsidR="002641BD">
              <w:rPr>
                <w:rFonts w:ascii="Times New Roman" w:hAnsi="Times New Roman"/>
                <w:sz w:val="24"/>
                <w:szCs w:val="24"/>
                <w:lang w:eastAsia="lv-LV"/>
              </w:rPr>
              <w:t>sabiedrībā ar ierobežotu atbildību “</w:t>
            </w:r>
            <w:r w:rsidRPr="00423BF1">
              <w:rPr>
                <w:rFonts w:ascii="Times New Roman" w:hAnsi="Times New Roman"/>
                <w:sz w:val="24"/>
                <w:szCs w:val="24"/>
                <w:lang w:eastAsia="lv-LV"/>
              </w:rPr>
              <w:t>Eiropas dzelzceļa līnij</w:t>
            </w:r>
            <w:r w:rsidR="002641BD">
              <w:rPr>
                <w:rFonts w:ascii="Times New Roman" w:hAnsi="Times New Roman"/>
                <w:sz w:val="24"/>
                <w:szCs w:val="24"/>
                <w:lang w:eastAsia="lv-LV"/>
              </w:rPr>
              <w:t>a</w:t>
            </w:r>
            <w:r w:rsidRPr="00423BF1">
              <w:rPr>
                <w:rFonts w:ascii="Times New Roman" w:hAnsi="Times New Roman"/>
                <w:sz w:val="24"/>
                <w:szCs w:val="24"/>
                <w:lang w:eastAsia="lv-LV"/>
              </w:rPr>
              <w:t>s</w:t>
            </w:r>
            <w:r w:rsidR="002641BD">
              <w:rPr>
                <w:rFonts w:ascii="Times New Roman" w:hAnsi="Times New Roman"/>
                <w:sz w:val="24"/>
                <w:szCs w:val="24"/>
                <w:lang w:eastAsia="lv-LV"/>
              </w:rPr>
              <w:t>”</w:t>
            </w:r>
            <w:r w:rsidRPr="00423BF1">
              <w:rPr>
                <w:rFonts w:ascii="Times New Roman" w:hAnsi="Times New Roman"/>
                <w:sz w:val="24"/>
                <w:szCs w:val="24"/>
                <w:lang w:eastAsia="lv-LV"/>
              </w:rPr>
              <w:t xml:space="preserve"> tiks nodrošināti saskaņā ar Finansēšanas līgumā ietverto aktivitāšu un finansējuma apjomu.</w:t>
            </w:r>
          </w:p>
        </w:tc>
      </w:tr>
      <w:tr w:rsidR="00CC2C3B" w:rsidRPr="00CC2C3B" w:rsidTr="0057408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gridAfter w:val="1"/>
          <w:wAfter w:w="156" w:type="dxa"/>
          <w:trHeight w:val="402"/>
          <w:jc w:val="center"/>
        </w:trPr>
        <w:tc>
          <w:tcPr>
            <w:tcW w:w="482" w:type="dxa"/>
            <w:gridSpan w:val="2"/>
            <w:tcBorders>
              <w:top w:val="single" w:sz="4" w:space="0" w:color="auto"/>
              <w:left w:val="single" w:sz="4" w:space="0" w:color="auto"/>
              <w:bottom w:val="single" w:sz="4" w:space="0" w:color="auto"/>
              <w:right w:val="single" w:sz="4" w:space="0" w:color="auto"/>
            </w:tcBorders>
          </w:tcPr>
          <w:p w:rsidR="00CC2C3B" w:rsidRPr="00CC2C3B" w:rsidRDefault="00CC2C3B" w:rsidP="00CC2C3B">
            <w:pPr>
              <w:ind w:left="57" w:right="57"/>
              <w:jc w:val="both"/>
              <w:rPr>
                <w:rFonts w:ascii="Times New Roman" w:hAnsi="Times New Roman"/>
                <w:sz w:val="24"/>
                <w:szCs w:val="24"/>
                <w:lang w:eastAsia="lv-LV"/>
              </w:rPr>
            </w:pPr>
            <w:r w:rsidRPr="00CC2C3B">
              <w:rPr>
                <w:rFonts w:ascii="Times New Roman" w:hAnsi="Times New Roman"/>
                <w:sz w:val="24"/>
                <w:szCs w:val="24"/>
                <w:lang w:eastAsia="lv-LV"/>
              </w:rPr>
              <w:lastRenderedPageBreak/>
              <w:t>3.</w:t>
            </w:r>
          </w:p>
        </w:tc>
        <w:tc>
          <w:tcPr>
            <w:tcW w:w="2797" w:type="dxa"/>
            <w:gridSpan w:val="2"/>
            <w:tcBorders>
              <w:top w:val="single" w:sz="4" w:space="0" w:color="auto"/>
              <w:left w:val="single" w:sz="4" w:space="0" w:color="auto"/>
              <w:bottom w:val="single" w:sz="4" w:space="0" w:color="auto"/>
              <w:right w:val="single" w:sz="4" w:space="0" w:color="auto"/>
            </w:tcBorders>
          </w:tcPr>
          <w:p w:rsidR="00CC2C3B" w:rsidRPr="00CC2C3B" w:rsidRDefault="00CC2C3B" w:rsidP="00CC2C3B">
            <w:pPr>
              <w:ind w:left="57" w:right="57"/>
              <w:jc w:val="both"/>
              <w:rPr>
                <w:rFonts w:ascii="Times New Roman" w:hAnsi="Times New Roman"/>
                <w:sz w:val="24"/>
                <w:szCs w:val="24"/>
                <w:lang w:eastAsia="en-US"/>
              </w:rPr>
            </w:pPr>
            <w:r w:rsidRPr="00CC2C3B">
              <w:rPr>
                <w:rFonts w:ascii="Times New Roman" w:hAnsi="Times New Roman"/>
                <w:sz w:val="24"/>
                <w:szCs w:val="24"/>
                <w:lang w:eastAsia="en-US"/>
              </w:rPr>
              <w:t>Cita informācija</w:t>
            </w:r>
          </w:p>
        </w:tc>
        <w:tc>
          <w:tcPr>
            <w:tcW w:w="5105" w:type="dxa"/>
            <w:gridSpan w:val="2"/>
            <w:tcBorders>
              <w:top w:val="single" w:sz="4" w:space="0" w:color="auto"/>
              <w:left w:val="single" w:sz="4" w:space="0" w:color="auto"/>
              <w:bottom w:val="single" w:sz="4" w:space="0" w:color="auto"/>
              <w:right w:val="single" w:sz="4" w:space="0" w:color="auto"/>
            </w:tcBorders>
          </w:tcPr>
          <w:p w:rsidR="00CC2C3B" w:rsidRPr="00CC2C3B" w:rsidRDefault="00CC2C3B" w:rsidP="00CC2C3B">
            <w:pPr>
              <w:ind w:left="57" w:right="57"/>
              <w:jc w:val="both"/>
              <w:rPr>
                <w:rFonts w:ascii="Times New Roman" w:hAnsi="Times New Roman"/>
                <w:sz w:val="24"/>
                <w:szCs w:val="24"/>
                <w:lang w:eastAsia="lv-LV"/>
              </w:rPr>
            </w:pPr>
            <w:r w:rsidRPr="00CC2C3B">
              <w:rPr>
                <w:rFonts w:ascii="Times New Roman" w:hAnsi="Times New Roman"/>
                <w:sz w:val="24"/>
                <w:szCs w:val="24"/>
                <w:lang w:eastAsia="lv-LV"/>
              </w:rPr>
              <w:t>Nav</w:t>
            </w:r>
          </w:p>
        </w:tc>
      </w:tr>
    </w:tbl>
    <w:p w:rsidR="0029275C" w:rsidRDefault="00CC2C3B" w:rsidP="00423BF1">
      <w:pPr>
        <w:pStyle w:val="naisf"/>
        <w:ind w:firstLine="720"/>
      </w:pPr>
      <w:r w:rsidRPr="00423BF1">
        <w:t xml:space="preserve">Anotācijas II, III, IV, V un </w:t>
      </w:r>
      <w:r w:rsidR="00DD7D00" w:rsidRPr="00423BF1">
        <w:t>VI sadaļa – projekts šīs jomas neskar.</w:t>
      </w:r>
    </w:p>
    <w:p w:rsidR="00423BF1" w:rsidRPr="00423BF1" w:rsidRDefault="00423BF1" w:rsidP="00423BF1">
      <w:pPr>
        <w:pStyle w:val="naisf"/>
        <w:ind w:firstLine="720"/>
      </w:pPr>
    </w:p>
    <w:p w:rsidR="00DD7D00" w:rsidRPr="00423BF1" w:rsidRDefault="00DD7D00" w:rsidP="00423BF1">
      <w:pPr>
        <w:shd w:val="clear" w:color="auto" w:fill="FFFFFF"/>
        <w:tabs>
          <w:tab w:val="left" w:pos="4470"/>
          <w:tab w:val="left" w:pos="7020"/>
        </w:tabs>
        <w:spacing w:line="324" w:lineRule="exact"/>
        <w:rPr>
          <w:rFonts w:ascii="Times New Roman" w:hAnsi="Times New Roman"/>
          <w:sz w:val="24"/>
          <w:szCs w:val="24"/>
        </w:rPr>
      </w:pPr>
      <w:r w:rsidRPr="00423BF1">
        <w:rPr>
          <w:rFonts w:ascii="Times New Roman" w:hAnsi="Times New Roman"/>
          <w:sz w:val="24"/>
          <w:szCs w:val="24"/>
        </w:rPr>
        <w:t>Satiksmes ministrs</w:t>
      </w:r>
      <w:r w:rsidRPr="00423BF1">
        <w:rPr>
          <w:rFonts w:ascii="Times New Roman" w:hAnsi="Times New Roman"/>
          <w:sz w:val="24"/>
          <w:szCs w:val="24"/>
        </w:rPr>
        <w:tab/>
      </w:r>
      <w:r w:rsidR="00423BF1">
        <w:rPr>
          <w:rFonts w:ascii="Times New Roman" w:hAnsi="Times New Roman"/>
          <w:sz w:val="24"/>
          <w:szCs w:val="24"/>
        </w:rPr>
        <w:tab/>
      </w:r>
      <w:r w:rsidRPr="00423BF1">
        <w:rPr>
          <w:rFonts w:ascii="Times New Roman" w:hAnsi="Times New Roman"/>
          <w:sz w:val="24"/>
          <w:szCs w:val="24"/>
        </w:rPr>
        <w:t>A. Matīss</w:t>
      </w:r>
    </w:p>
    <w:p w:rsidR="00DD7D00" w:rsidRPr="00423BF1" w:rsidRDefault="00DD7D00" w:rsidP="00DD7D00">
      <w:pPr>
        <w:shd w:val="clear" w:color="auto" w:fill="FFFFFF"/>
        <w:tabs>
          <w:tab w:val="left" w:pos="7740"/>
        </w:tabs>
        <w:spacing w:line="324" w:lineRule="exact"/>
        <w:rPr>
          <w:rFonts w:ascii="Times New Roman" w:hAnsi="Times New Roman"/>
          <w:sz w:val="24"/>
          <w:szCs w:val="24"/>
        </w:rPr>
      </w:pPr>
    </w:p>
    <w:p w:rsidR="00423BF1" w:rsidRPr="00423BF1" w:rsidRDefault="00DD7D00" w:rsidP="00DD7D00">
      <w:pPr>
        <w:shd w:val="clear" w:color="auto" w:fill="FFFFFF"/>
        <w:tabs>
          <w:tab w:val="left" w:pos="7020"/>
          <w:tab w:val="left" w:pos="7740"/>
        </w:tabs>
        <w:spacing w:line="324" w:lineRule="exact"/>
        <w:rPr>
          <w:rFonts w:ascii="Times New Roman" w:hAnsi="Times New Roman"/>
          <w:sz w:val="24"/>
          <w:szCs w:val="24"/>
        </w:rPr>
      </w:pPr>
      <w:r w:rsidRPr="00423BF1">
        <w:rPr>
          <w:rFonts w:ascii="Times New Roman" w:hAnsi="Times New Roman"/>
          <w:sz w:val="24"/>
          <w:szCs w:val="24"/>
        </w:rPr>
        <w:t>Vīza: Valsts sekretārs</w:t>
      </w:r>
      <w:r w:rsidRPr="00423BF1">
        <w:rPr>
          <w:rFonts w:ascii="Times New Roman" w:hAnsi="Times New Roman"/>
          <w:sz w:val="24"/>
          <w:szCs w:val="24"/>
        </w:rPr>
        <w:tab/>
        <w:t>K. Ozoliņš</w:t>
      </w:r>
    </w:p>
    <w:p w:rsidR="00423BF1" w:rsidRDefault="00423BF1"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p>
    <w:p w:rsidR="0057408D" w:rsidRDefault="0057408D" w:rsidP="00DD7D00">
      <w:pPr>
        <w:rPr>
          <w:rFonts w:ascii="Times New Roman" w:hAnsi="Times New Roman"/>
          <w:sz w:val="20"/>
        </w:rPr>
      </w:pPr>
      <w:r>
        <w:rPr>
          <w:rFonts w:ascii="Times New Roman" w:hAnsi="Times New Roman"/>
          <w:sz w:val="20"/>
        </w:rPr>
        <w:t>03.11.2015. 9:38</w:t>
      </w:r>
    </w:p>
    <w:p w:rsidR="00DD7D00" w:rsidRPr="00423BF1" w:rsidRDefault="00632E4F" w:rsidP="00DD7D00">
      <w:pPr>
        <w:rPr>
          <w:rFonts w:ascii="Times New Roman" w:hAnsi="Times New Roman"/>
          <w:sz w:val="20"/>
        </w:rPr>
      </w:pPr>
      <w:r>
        <w:rPr>
          <w:rFonts w:ascii="Times New Roman" w:hAnsi="Times New Roman"/>
          <w:sz w:val="20"/>
        </w:rPr>
        <w:t>11</w:t>
      </w:r>
      <w:r w:rsidR="0057408D">
        <w:rPr>
          <w:rFonts w:ascii="Times New Roman" w:hAnsi="Times New Roman"/>
          <w:sz w:val="20"/>
        </w:rPr>
        <w:t>80</w:t>
      </w:r>
    </w:p>
    <w:p w:rsidR="001B09D8" w:rsidRPr="00423BF1" w:rsidRDefault="001B09D8" w:rsidP="001B09D8">
      <w:pPr>
        <w:rPr>
          <w:rFonts w:ascii="Times New Roman" w:hAnsi="Times New Roman"/>
          <w:sz w:val="20"/>
        </w:rPr>
      </w:pPr>
      <w:r w:rsidRPr="00423BF1">
        <w:rPr>
          <w:rFonts w:ascii="Times New Roman" w:hAnsi="Times New Roman"/>
          <w:sz w:val="20"/>
        </w:rPr>
        <w:t>A.Driksna</w:t>
      </w:r>
    </w:p>
    <w:p w:rsidR="00A33D39" w:rsidRPr="00423BF1" w:rsidRDefault="001B09D8" w:rsidP="001B09D8">
      <w:pPr>
        <w:rPr>
          <w:rFonts w:ascii="Times New Roman" w:hAnsi="Times New Roman"/>
          <w:sz w:val="20"/>
        </w:rPr>
      </w:pPr>
      <w:r w:rsidRPr="00423BF1">
        <w:rPr>
          <w:rFonts w:ascii="Times New Roman" w:hAnsi="Times New Roman"/>
          <w:sz w:val="20"/>
        </w:rPr>
        <w:t>67028020; Agnis.Driksna@sam.gov.lv</w:t>
      </w:r>
    </w:p>
    <w:sectPr w:rsidR="00A33D39" w:rsidRPr="00423BF1" w:rsidSect="00DD7D00">
      <w:footerReference w:type="default" r:id="rId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38" w:rsidRDefault="00FA4838" w:rsidP="00AE379B">
      <w:r>
        <w:separator/>
      </w:r>
    </w:p>
  </w:endnote>
  <w:endnote w:type="continuationSeparator" w:id="0">
    <w:p w:rsidR="00FA4838" w:rsidRDefault="00FA4838" w:rsidP="00AE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Dutch TL">
    <w:altName w:val="Times New Roman"/>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74391"/>
      <w:docPartObj>
        <w:docPartGallery w:val="Page Numbers (Bottom of Page)"/>
        <w:docPartUnique/>
      </w:docPartObj>
    </w:sdtPr>
    <w:sdtEndPr>
      <w:rPr>
        <w:noProof/>
      </w:rPr>
    </w:sdtEndPr>
    <w:sdtContent>
      <w:p w:rsidR="00482EDA" w:rsidRPr="00482EDA" w:rsidRDefault="000D3654" w:rsidP="00482EDA">
        <w:pPr>
          <w:pStyle w:val="Footer"/>
          <w:jc w:val="both"/>
          <w:rPr>
            <w:rFonts w:ascii="Times New Roman" w:hAnsi="Times New Roman"/>
            <w:sz w:val="22"/>
            <w:szCs w:val="22"/>
          </w:rPr>
        </w:pPr>
        <w:r>
          <w:rPr>
            <w:rFonts w:ascii="Times New Roman" w:hAnsi="Times New Roman"/>
            <w:sz w:val="22"/>
            <w:szCs w:val="22"/>
          </w:rPr>
          <w:t>SAMAnot_</w:t>
        </w:r>
        <w:r w:rsidR="004D24F8">
          <w:rPr>
            <w:rFonts w:ascii="Times New Roman" w:hAnsi="Times New Roman"/>
            <w:sz w:val="22"/>
            <w:szCs w:val="22"/>
          </w:rPr>
          <w:t>0311</w:t>
        </w:r>
        <w:r w:rsidR="00482EDA" w:rsidRPr="00482EDA">
          <w:rPr>
            <w:rFonts w:ascii="Times New Roman" w:hAnsi="Times New Roman"/>
            <w:sz w:val="22"/>
            <w:szCs w:val="22"/>
          </w:rPr>
          <w:t>15_SMnolik; Ministru kabineta noteikumu projekta „Grozījums Ministru kabineta 2003.gada 29.aprīļa noteikumos Nr.242 „Satiksmes mi</w:t>
        </w:r>
        <w:r w:rsidR="00482EDA">
          <w:rPr>
            <w:rFonts w:ascii="Times New Roman" w:hAnsi="Times New Roman"/>
            <w:sz w:val="22"/>
            <w:szCs w:val="22"/>
          </w:rPr>
          <w:t xml:space="preserve">nistrijas nolikums”” sākotnējās </w:t>
        </w:r>
        <w:r w:rsidR="00482EDA" w:rsidRPr="00482EDA">
          <w:rPr>
            <w:rFonts w:ascii="Times New Roman" w:hAnsi="Times New Roman"/>
            <w:sz w:val="22"/>
            <w:szCs w:val="22"/>
          </w:rPr>
          <w:t>ietekmes novērtējuma ziņojums (anotācija)</w:t>
        </w:r>
        <w:r w:rsidR="00482EDA">
          <w:rPr>
            <w:rFonts w:ascii="Times New Roman" w:hAnsi="Times New Roman"/>
            <w:sz w:val="22"/>
            <w:szCs w:val="22"/>
          </w:rPr>
          <w:tab/>
        </w:r>
        <w:r w:rsidR="00482EDA">
          <w:rPr>
            <w:rFonts w:ascii="Times New Roman" w:hAnsi="Times New Roman"/>
            <w:sz w:val="22"/>
            <w:szCs w:val="22"/>
          </w:rPr>
          <w:tab/>
        </w:r>
        <w:r w:rsidR="00482EDA" w:rsidRPr="00482EDA">
          <w:rPr>
            <w:rFonts w:ascii="Times New Roman" w:hAnsi="Times New Roman"/>
            <w:sz w:val="24"/>
            <w:szCs w:val="24"/>
          </w:rPr>
          <w:fldChar w:fldCharType="begin"/>
        </w:r>
        <w:r w:rsidR="00482EDA" w:rsidRPr="00482EDA">
          <w:rPr>
            <w:rFonts w:ascii="Times New Roman" w:hAnsi="Times New Roman"/>
            <w:sz w:val="24"/>
            <w:szCs w:val="24"/>
          </w:rPr>
          <w:instrText xml:space="preserve"> PAGE   \* MERGEFORMAT </w:instrText>
        </w:r>
        <w:r w:rsidR="00482EDA" w:rsidRPr="00482EDA">
          <w:rPr>
            <w:rFonts w:ascii="Times New Roman" w:hAnsi="Times New Roman"/>
            <w:sz w:val="24"/>
            <w:szCs w:val="24"/>
          </w:rPr>
          <w:fldChar w:fldCharType="separate"/>
        </w:r>
        <w:r w:rsidR="00F90EB4">
          <w:rPr>
            <w:rFonts w:ascii="Times New Roman" w:hAnsi="Times New Roman"/>
            <w:noProof/>
            <w:sz w:val="24"/>
            <w:szCs w:val="24"/>
          </w:rPr>
          <w:t>1</w:t>
        </w:r>
        <w:r w:rsidR="00482EDA" w:rsidRPr="00482EDA">
          <w:rPr>
            <w:rFonts w:ascii="Times New Roman" w:hAnsi="Times New Roman"/>
            <w:noProof/>
            <w:sz w:val="24"/>
            <w:szCs w:val="24"/>
          </w:rPr>
          <w:fldChar w:fldCharType="end"/>
        </w:r>
      </w:p>
    </w:sdtContent>
  </w:sdt>
  <w:p w:rsidR="00AE379B" w:rsidRDefault="00AE379B" w:rsidP="008A1D24">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38" w:rsidRDefault="00FA4838" w:rsidP="00AE379B">
      <w:r>
        <w:separator/>
      </w:r>
    </w:p>
  </w:footnote>
  <w:footnote w:type="continuationSeparator" w:id="0">
    <w:p w:rsidR="00FA4838" w:rsidRDefault="00FA4838" w:rsidP="00AE3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00"/>
    <w:rsid w:val="0006046C"/>
    <w:rsid w:val="00073A5D"/>
    <w:rsid w:val="00073BF5"/>
    <w:rsid w:val="000921B5"/>
    <w:rsid w:val="000D3654"/>
    <w:rsid w:val="00150C32"/>
    <w:rsid w:val="001B09D8"/>
    <w:rsid w:val="00211954"/>
    <w:rsid w:val="00251BD2"/>
    <w:rsid w:val="002641BD"/>
    <w:rsid w:val="002918FD"/>
    <w:rsid w:val="0029275C"/>
    <w:rsid w:val="0029648B"/>
    <w:rsid w:val="00324014"/>
    <w:rsid w:val="00370125"/>
    <w:rsid w:val="003D24CE"/>
    <w:rsid w:val="00423BF1"/>
    <w:rsid w:val="00447592"/>
    <w:rsid w:val="00482EDA"/>
    <w:rsid w:val="00487C78"/>
    <w:rsid w:val="004B420F"/>
    <w:rsid w:val="004D24F8"/>
    <w:rsid w:val="004D680A"/>
    <w:rsid w:val="004E084B"/>
    <w:rsid w:val="004F5173"/>
    <w:rsid w:val="0052059E"/>
    <w:rsid w:val="0057408D"/>
    <w:rsid w:val="005865B1"/>
    <w:rsid w:val="00590594"/>
    <w:rsid w:val="00591C0C"/>
    <w:rsid w:val="005938DE"/>
    <w:rsid w:val="005C4D1D"/>
    <w:rsid w:val="00632E4F"/>
    <w:rsid w:val="0064204A"/>
    <w:rsid w:val="00665800"/>
    <w:rsid w:val="00671FDA"/>
    <w:rsid w:val="00693BEA"/>
    <w:rsid w:val="006D0A1A"/>
    <w:rsid w:val="007034E4"/>
    <w:rsid w:val="00727404"/>
    <w:rsid w:val="00731C2B"/>
    <w:rsid w:val="00783E9C"/>
    <w:rsid w:val="007C7E97"/>
    <w:rsid w:val="007F377D"/>
    <w:rsid w:val="00837F3E"/>
    <w:rsid w:val="008A1D24"/>
    <w:rsid w:val="008A2BBD"/>
    <w:rsid w:val="009077FC"/>
    <w:rsid w:val="00921D35"/>
    <w:rsid w:val="00937913"/>
    <w:rsid w:val="00946AEC"/>
    <w:rsid w:val="00A33D39"/>
    <w:rsid w:val="00A62FA7"/>
    <w:rsid w:val="00AB3539"/>
    <w:rsid w:val="00AE379B"/>
    <w:rsid w:val="00AF0C5B"/>
    <w:rsid w:val="00AF6396"/>
    <w:rsid w:val="00B064AB"/>
    <w:rsid w:val="00B35497"/>
    <w:rsid w:val="00B46499"/>
    <w:rsid w:val="00B73C68"/>
    <w:rsid w:val="00B83F8E"/>
    <w:rsid w:val="00B95E69"/>
    <w:rsid w:val="00B97A16"/>
    <w:rsid w:val="00BC5C2D"/>
    <w:rsid w:val="00C65BD3"/>
    <w:rsid w:val="00CC2C3B"/>
    <w:rsid w:val="00CC2D97"/>
    <w:rsid w:val="00D10CF5"/>
    <w:rsid w:val="00D11F62"/>
    <w:rsid w:val="00D2424E"/>
    <w:rsid w:val="00D51C01"/>
    <w:rsid w:val="00DD7D00"/>
    <w:rsid w:val="00E94D0A"/>
    <w:rsid w:val="00E97B54"/>
    <w:rsid w:val="00F13A9E"/>
    <w:rsid w:val="00F431DB"/>
    <w:rsid w:val="00F53511"/>
    <w:rsid w:val="00F90EB4"/>
    <w:rsid w:val="00FA29CF"/>
    <w:rsid w:val="00FA48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00"/>
    <w:pPr>
      <w:spacing w:after="0" w:line="240" w:lineRule="auto"/>
    </w:pPr>
    <w:rPr>
      <w:rFonts w:ascii="Dutch TL" w:eastAsia="Times New Roman" w:hAnsi="Dutch TL" w:cs="Times New Roman"/>
      <w:sz w:val="28"/>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D7D00"/>
    <w:pPr>
      <w:spacing w:before="100" w:beforeAutospacing="1" w:after="100" w:afterAutospacing="1"/>
    </w:pPr>
    <w:rPr>
      <w:rFonts w:ascii="Times New Roman" w:hAnsi="Times New Roman"/>
      <w:sz w:val="24"/>
      <w:szCs w:val="24"/>
      <w:lang w:eastAsia="lv-LV"/>
    </w:rPr>
  </w:style>
  <w:style w:type="paragraph" w:customStyle="1" w:styleId="naisc">
    <w:name w:val="naisc"/>
    <w:basedOn w:val="Normal"/>
    <w:rsid w:val="00DD7D00"/>
    <w:pPr>
      <w:spacing w:before="75" w:after="75"/>
      <w:jc w:val="center"/>
    </w:pPr>
    <w:rPr>
      <w:rFonts w:ascii="Times New Roman" w:hAnsi="Times New Roman"/>
      <w:sz w:val="24"/>
      <w:szCs w:val="24"/>
      <w:lang w:eastAsia="lv-LV"/>
    </w:rPr>
  </w:style>
  <w:style w:type="paragraph" w:styleId="Header">
    <w:name w:val="header"/>
    <w:basedOn w:val="Normal"/>
    <w:link w:val="HeaderChar"/>
    <w:uiPriority w:val="99"/>
    <w:unhideWhenUsed/>
    <w:rsid w:val="00AE379B"/>
    <w:pPr>
      <w:tabs>
        <w:tab w:val="center" w:pos="4153"/>
        <w:tab w:val="right" w:pos="8306"/>
      </w:tabs>
    </w:pPr>
  </w:style>
  <w:style w:type="character" w:customStyle="1" w:styleId="HeaderChar">
    <w:name w:val="Header Char"/>
    <w:basedOn w:val="DefaultParagraphFont"/>
    <w:link w:val="Header"/>
    <w:uiPriority w:val="99"/>
    <w:rsid w:val="00AE379B"/>
    <w:rPr>
      <w:rFonts w:ascii="Dutch TL" w:eastAsia="Times New Roman" w:hAnsi="Dutch TL" w:cs="Times New Roman"/>
      <w:sz w:val="28"/>
      <w:szCs w:val="20"/>
      <w:lang w:eastAsia="zh-TW"/>
    </w:rPr>
  </w:style>
  <w:style w:type="paragraph" w:styleId="Footer">
    <w:name w:val="footer"/>
    <w:basedOn w:val="Normal"/>
    <w:link w:val="FooterChar"/>
    <w:uiPriority w:val="99"/>
    <w:unhideWhenUsed/>
    <w:rsid w:val="00AE379B"/>
    <w:pPr>
      <w:tabs>
        <w:tab w:val="center" w:pos="4153"/>
        <w:tab w:val="right" w:pos="8306"/>
      </w:tabs>
    </w:pPr>
  </w:style>
  <w:style w:type="character" w:customStyle="1" w:styleId="FooterChar">
    <w:name w:val="Footer Char"/>
    <w:basedOn w:val="DefaultParagraphFont"/>
    <w:link w:val="Footer"/>
    <w:uiPriority w:val="99"/>
    <w:rsid w:val="00AE379B"/>
    <w:rPr>
      <w:rFonts w:ascii="Dutch TL" w:eastAsia="Times New Roman" w:hAnsi="Dutch TL" w:cs="Times New Roman"/>
      <w:sz w:val="28"/>
      <w:szCs w:val="20"/>
      <w:lang w:eastAsia="zh-TW"/>
    </w:rPr>
  </w:style>
  <w:style w:type="paragraph" w:styleId="BalloonText">
    <w:name w:val="Balloon Text"/>
    <w:basedOn w:val="Normal"/>
    <w:link w:val="BalloonTextChar"/>
    <w:uiPriority w:val="99"/>
    <w:semiHidden/>
    <w:unhideWhenUsed/>
    <w:rsid w:val="008A2BBD"/>
    <w:rPr>
      <w:rFonts w:ascii="Tahoma" w:hAnsi="Tahoma" w:cs="Tahoma"/>
      <w:sz w:val="16"/>
      <w:szCs w:val="16"/>
    </w:rPr>
  </w:style>
  <w:style w:type="character" w:customStyle="1" w:styleId="BalloonTextChar">
    <w:name w:val="Balloon Text Char"/>
    <w:basedOn w:val="DefaultParagraphFont"/>
    <w:link w:val="BalloonText"/>
    <w:uiPriority w:val="99"/>
    <w:semiHidden/>
    <w:rsid w:val="008A2BBD"/>
    <w:rPr>
      <w:rFonts w:ascii="Tahoma" w:eastAsia="Times New Roman"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00"/>
    <w:pPr>
      <w:spacing w:after="0" w:line="240" w:lineRule="auto"/>
    </w:pPr>
    <w:rPr>
      <w:rFonts w:ascii="Dutch TL" w:eastAsia="Times New Roman" w:hAnsi="Dutch TL" w:cs="Times New Roman"/>
      <w:sz w:val="28"/>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D7D00"/>
    <w:pPr>
      <w:spacing w:before="100" w:beforeAutospacing="1" w:after="100" w:afterAutospacing="1"/>
    </w:pPr>
    <w:rPr>
      <w:rFonts w:ascii="Times New Roman" w:hAnsi="Times New Roman"/>
      <w:sz w:val="24"/>
      <w:szCs w:val="24"/>
      <w:lang w:eastAsia="lv-LV"/>
    </w:rPr>
  </w:style>
  <w:style w:type="paragraph" w:customStyle="1" w:styleId="naisc">
    <w:name w:val="naisc"/>
    <w:basedOn w:val="Normal"/>
    <w:rsid w:val="00DD7D00"/>
    <w:pPr>
      <w:spacing w:before="75" w:after="75"/>
      <w:jc w:val="center"/>
    </w:pPr>
    <w:rPr>
      <w:rFonts w:ascii="Times New Roman" w:hAnsi="Times New Roman"/>
      <w:sz w:val="24"/>
      <w:szCs w:val="24"/>
      <w:lang w:eastAsia="lv-LV"/>
    </w:rPr>
  </w:style>
  <w:style w:type="paragraph" w:styleId="Header">
    <w:name w:val="header"/>
    <w:basedOn w:val="Normal"/>
    <w:link w:val="HeaderChar"/>
    <w:uiPriority w:val="99"/>
    <w:unhideWhenUsed/>
    <w:rsid w:val="00AE379B"/>
    <w:pPr>
      <w:tabs>
        <w:tab w:val="center" w:pos="4153"/>
        <w:tab w:val="right" w:pos="8306"/>
      </w:tabs>
    </w:pPr>
  </w:style>
  <w:style w:type="character" w:customStyle="1" w:styleId="HeaderChar">
    <w:name w:val="Header Char"/>
    <w:basedOn w:val="DefaultParagraphFont"/>
    <w:link w:val="Header"/>
    <w:uiPriority w:val="99"/>
    <w:rsid w:val="00AE379B"/>
    <w:rPr>
      <w:rFonts w:ascii="Dutch TL" w:eastAsia="Times New Roman" w:hAnsi="Dutch TL" w:cs="Times New Roman"/>
      <w:sz w:val="28"/>
      <w:szCs w:val="20"/>
      <w:lang w:eastAsia="zh-TW"/>
    </w:rPr>
  </w:style>
  <w:style w:type="paragraph" w:styleId="Footer">
    <w:name w:val="footer"/>
    <w:basedOn w:val="Normal"/>
    <w:link w:val="FooterChar"/>
    <w:uiPriority w:val="99"/>
    <w:unhideWhenUsed/>
    <w:rsid w:val="00AE379B"/>
    <w:pPr>
      <w:tabs>
        <w:tab w:val="center" w:pos="4153"/>
        <w:tab w:val="right" w:pos="8306"/>
      </w:tabs>
    </w:pPr>
  </w:style>
  <w:style w:type="character" w:customStyle="1" w:styleId="FooterChar">
    <w:name w:val="Footer Char"/>
    <w:basedOn w:val="DefaultParagraphFont"/>
    <w:link w:val="Footer"/>
    <w:uiPriority w:val="99"/>
    <w:rsid w:val="00AE379B"/>
    <w:rPr>
      <w:rFonts w:ascii="Dutch TL" w:eastAsia="Times New Roman" w:hAnsi="Dutch TL" w:cs="Times New Roman"/>
      <w:sz w:val="28"/>
      <w:szCs w:val="20"/>
      <w:lang w:eastAsia="zh-TW"/>
    </w:rPr>
  </w:style>
  <w:style w:type="paragraph" w:styleId="BalloonText">
    <w:name w:val="Balloon Text"/>
    <w:basedOn w:val="Normal"/>
    <w:link w:val="BalloonTextChar"/>
    <w:uiPriority w:val="99"/>
    <w:semiHidden/>
    <w:unhideWhenUsed/>
    <w:rsid w:val="008A2BBD"/>
    <w:rPr>
      <w:rFonts w:ascii="Tahoma" w:hAnsi="Tahoma" w:cs="Tahoma"/>
      <w:sz w:val="16"/>
      <w:szCs w:val="16"/>
    </w:rPr>
  </w:style>
  <w:style w:type="character" w:customStyle="1" w:styleId="BalloonTextChar">
    <w:name w:val="Balloon Text Char"/>
    <w:basedOn w:val="DefaultParagraphFont"/>
    <w:link w:val="BalloonText"/>
    <w:uiPriority w:val="99"/>
    <w:semiHidden/>
    <w:rsid w:val="008A2BBD"/>
    <w:rPr>
      <w:rFonts w:ascii="Tahoma" w:eastAsia="Times New Roman"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7389">
      <w:bodyDiv w:val="1"/>
      <w:marLeft w:val="0"/>
      <w:marRight w:val="0"/>
      <w:marTop w:val="0"/>
      <w:marBottom w:val="0"/>
      <w:divBdr>
        <w:top w:val="none" w:sz="0" w:space="0" w:color="auto"/>
        <w:left w:val="none" w:sz="0" w:space="0" w:color="auto"/>
        <w:bottom w:val="none" w:sz="0" w:space="0" w:color="auto"/>
        <w:right w:val="none" w:sz="0" w:space="0" w:color="auto"/>
      </w:divBdr>
    </w:div>
    <w:div w:id="719061357">
      <w:bodyDiv w:val="1"/>
      <w:marLeft w:val="0"/>
      <w:marRight w:val="0"/>
      <w:marTop w:val="0"/>
      <w:marBottom w:val="0"/>
      <w:divBdr>
        <w:top w:val="none" w:sz="0" w:space="0" w:color="auto"/>
        <w:left w:val="none" w:sz="0" w:space="0" w:color="auto"/>
        <w:bottom w:val="none" w:sz="0" w:space="0" w:color="auto"/>
        <w:right w:val="none" w:sz="0" w:space="0" w:color="auto"/>
      </w:divBdr>
    </w:div>
    <w:div w:id="1203639120">
      <w:bodyDiv w:val="1"/>
      <w:marLeft w:val="0"/>
      <w:marRight w:val="0"/>
      <w:marTop w:val="0"/>
      <w:marBottom w:val="0"/>
      <w:divBdr>
        <w:top w:val="none" w:sz="0" w:space="0" w:color="auto"/>
        <w:left w:val="none" w:sz="0" w:space="0" w:color="auto"/>
        <w:bottom w:val="none" w:sz="0" w:space="0" w:color="auto"/>
        <w:right w:val="none" w:sz="0" w:space="0" w:color="auto"/>
      </w:divBdr>
    </w:div>
    <w:div w:id="122521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6361</Words>
  <Characters>3626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noteikumu projekta“Grozījums Ministru kabineta 2003. gada 29. aprīļa noteikumos Nr. 242 „Satiksmes ministrijas nolikums””sākotnējās ietekmes novērtējuma ziņojums (anotācija)</vt:lpstr>
    </vt:vector>
  </TitlesOfParts>
  <Company>SM</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projekta“Grozījums Ministru kabineta 2003. gada 29. aprīļa noteikumos Nr. 242 „Satiksmes ministrijas nolikums””sākotnējās ietekmes novērtējuma ziņojums (anotācija)</dc:title>
  <dc:subject>Anotācija</dc:subject>
  <dc:creator>Agnis Driksna</dc:creator>
  <dc:description>Agnis.Driksna@sam.gov.lv; 67028020</dc:description>
  <cp:lastModifiedBy>Agnis Driksna</cp:lastModifiedBy>
  <cp:revision>3</cp:revision>
  <cp:lastPrinted>2015-10-30T15:01:00Z</cp:lastPrinted>
  <dcterms:created xsi:type="dcterms:W3CDTF">2015-11-03T07:41:00Z</dcterms:created>
  <dcterms:modified xsi:type="dcterms:W3CDTF">2015-11-03T09:39:00Z</dcterms:modified>
</cp:coreProperties>
</file>