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3F" w:rsidRPr="00D738A2" w:rsidRDefault="00A7113F" w:rsidP="00A7113F">
      <w:pPr>
        <w:jc w:val="center"/>
        <w:rPr>
          <w:b/>
          <w:bCs/>
          <w:color w:val="000000"/>
          <w:szCs w:val="28"/>
        </w:rPr>
      </w:pPr>
      <w:bookmarkStart w:id="0" w:name="_GoBack"/>
      <w:bookmarkEnd w:id="0"/>
      <w:r w:rsidRPr="00D738A2">
        <w:rPr>
          <w:b/>
          <w:bCs/>
          <w:color w:val="000000"/>
          <w:szCs w:val="28"/>
        </w:rPr>
        <w:t>Ministru kabineta noteikumu projekta</w:t>
      </w:r>
    </w:p>
    <w:p w:rsidR="007142AD" w:rsidRPr="00D738A2" w:rsidRDefault="00A7113F" w:rsidP="00A7113F">
      <w:pPr>
        <w:jc w:val="center"/>
        <w:rPr>
          <w:b/>
          <w:color w:val="000000"/>
          <w:szCs w:val="28"/>
        </w:rPr>
      </w:pPr>
      <w:r w:rsidRPr="00D738A2">
        <w:rPr>
          <w:b/>
          <w:bCs/>
          <w:color w:val="000000"/>
          <w:szCs w:val="28"/>
        </w:rPr>
        <w:t>„Grozījums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w:t>
      </w:r>
    </w:p>
    <w:p w:rsidR="00DF5207" w:rsidRPr="00427146" w:rsidRDefault="00DF5207" w:rsidP="008539C0">
      <w:pPr>
        <w:pStyle w:val="naisc"/>
        <w:spacing w:before="0" w:after="0"/>
        <w:rPr>
          <w:color w:val="000000"/>
        </w:rPr>
      </w:pPr>
    </w:p>
    <w:tbl>
      <w:tblPr>
        <w:tblW w:w="5238"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2201"/>
        <w:gridCol w:w="6990"/>
      </w:tblGrid>
      <w:tr w:rsidR="00AA00A2" w:rsidRPr="00427146" w:rsidTr="007528EE">
        <w:trPr>
          <w:trHeight w:val="450"/>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7528EE">
        <w:trPr>
          <w:trHeight w:val="4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132" w:type="pct"/>
            <w:hideMark/>
          </w:tcPr>
          <w:p w:rsidR="00385F0D" w:rsidRPr="00427146" w:rsidRDefault="00385F0D">
            <w:pPr>
              <w:rPr>
                <w:color w:val="000000"/>
              </w:rPr>
            </w:pPr>
            <w:r w:rsidRPr="00427146">
              <w:rPr>
                <w:color w:val="000000"/>
              </w:rPr>
              <w:t>Pamatojums</w:t>
            </w:r>
          </w:p>
        </w:tc>
        <w:tc>
          <w:tcPr>
            <w:tcW w:w="3590" w:type="pct"/>
            <w:hideMark/>
          </w:tcPr>
          <w:p w:rsidR="00385F0D" w:rsidRPr="00427146" w:rsidRDefault="00A7113F" w:rsidP="00741C8D">
            <w:pPr>
              <w:ind w:right="65"/>
              <w:jc w:val="both"/>
              <w:rPr>
                <w:color w:val="000000"/>
              </w:rPr>
            </w:pPr>
            <w:r w:rsidRPr="00A7113F">
              <w:rPr>
                <w:bCs/>
                <w:color w:val="000000"/>
              </w:rPr>
              <w:t>Eiropas Savienības struktūrfondu un Kohēzijas fonda vadības likuma 18.panta 10.punkts. Koalīcijas partneru darba grupas par Eiropas Savienības struktūrfondu un Kohēzijas fonda jautājumiem 2015.gada 30.janvāra sēdēs lēmuma 2.1.punkts.</w:t>
            </w:r>
          </w:p>
        </w:tc>
      </w:tr>
      <w:tr w:rsidR="00385F0D" w:rsidRPr="006D46B5" w:rsidTr="007528EE">
        <w:trPr>
          <w:trHeight w:val="5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132"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590" w:type="pct"/>
            <w:hideMark/>
          </w:tcPr>
          <w:p w:rsidR="00185B26" w:rsidRDefault="00A776AB" w:rsidP="00DE08B4">
            <w:pPr>
              <w:ind w:right="65"/>
              <w:jc w:val="both"/>
            </w:pPr>
            <w:r w:rsidRPr="00A776AB">
              <w:t xml:space="preserve">Darbības programmas „Infrastruktūra un pakalpojumi” papildinājuma 3.3.1.3.aktivitātes „Lielo ostu infrastruktūras attīstības „Jūras maģistrāļu” ietvaros” (turpmāk – 3.3.1.3.aktivitāte) ietvaros ir pieejams Kohēzijas fonda līdzfinansējums 171 040 852 euro apmērā un virssaistības 12 195 701 euro apmērā. 3.3.1.3.aktivitātes ietvaros ir </w:t>
            </w:r>
            <w:r w:rsidR="002A19D3" w:rsidRPr="006D46B5">
              <w:t>noslēgti septiņi civiltiesiskie līgumi par Kohēzijas fonda projekt</w:t>
            </w:r>
            <w:r w:rsidR="00220EA6">
              <w:t>u</w:t>
            </w:r>
            <w:r w:rsidR="002A19D3" w:rsidRPr="006D46B5">
              <w:t xml:space="preserve"> īstenošanu.</w:t>
            </w:r>
          </w:p>
          <w:p w:rsidR="00185B26" w:rsidRDefault="00185B26" w:rsidP="00DE08B4">
            <w:pPr>
              <w:ind w:right="65"/>
              <w:jc w:val="both"/>
            </w:pPr>
            <w:r w:rsidRPr="00185B26">
              <w:t>Nr.3DP/3.3.1.3.0/08/IPIA/SM/001 „Ventspils brīvostas sauskravu termināļa būvniecība”</w:t>
            </w:r>
            <w:r>
              <w:t xml:space="preserve"> </w:t>
            </w:r>
            <w:r w:rsidR="00A00912">
              <w:t>–</w:t>
            </w:r>
            <w:r>
              <w:t xml:space="preserve"> </w:t>
            </w:r>
            <w:r w:rsidR="00A00912">
              <w:t xml:space="preserve">projekta </w:t>
            </w:r>
            <w:r w:rsidRPr="00185B26">
              <w:t>īstenošana ir pabeigta</w:t>
            </w:r>
            <w:r>
              <w:t>;</w:t>
            </w:r>
          </w:p>
          <w:p w:rsidR="00185B26" w:rsidRDefault="00185B26" w:rsidP="00DE08B4">
            <w:pPr>
              <w:ind w:right="65"/>
              <w:jc w:val="both"/>
            </w:pPr>
            <w:r w:rsidRPr="00185B26">
              <w:t>Nr.3DP/3.3.1.3.0/09/IPIA/SM/001 „Liepājas ostas padziļināšana”</w:t>
            </w:r>
            <w:r>
              <w:t>;</w:t>
            </w:r>
          </w:p>
          <w:p w:rsidR="00185B26" w:rsidRDefault="00185B26" w:rsidP="00DE08B4">
            <w:pPr>
              <w:ind w:right="65"/>
              <w:jc w:val="both"/>
            </w:pPr>
            <w:r w:rsidRPr="00185B26">
              <w:t>Nr.3DP/3.3.1.3.0/10/IPIA/SM/001 „Ventspils brīvo</w:t>
            </w:r>
            <w:r>
              <w:t>stas infrastruktūras attīstība”;</w:t>
            </w:r>
            <w:r w:rsidRPr="00185B26">
              <w:t xml:space="preserve"> </w:t>
            </w:r>
          </w:p>
          <w:p w:rsidR="00185B26" w:rsidRDefault="00185B26" w:rsidP="00DE08B4">
            <w:pPr>
              <w:ind w:right="65"/>
              <w:jc w:val="both"/>
            </w:pPr>
            <w:r w:rsidRPr="00185B26">
              <w:t>Nr.3DP/3.3.1.3.0/10/IPIA/SM/002 „Pievadceļi Ventspils brīvostas teritorijā esošajiem termi</w:t>
            </w:r>
            <w:r>
              <w:t>nāļiem un industriālajām zonām”;</w:t>
            </w:r>
          </w:p>
          <w:p w:rsidR="00185B26" w:rsidRDefault="00185B26" w:rsidP="00DE08B4">
            <w:pPr>
              <w:ind w:right="65"/>
              <w:jc w:val="both"/>
            </w:pPr>
            <w:r w:rsidRPr="00185B26">
              <w:t>Nr.3DP/3.3.1.3.0/10/IPIA/SM/003 „Infrastruktūras attīstība Krievu salā ostas aktivitāšu pārcelšanai no pilsētas centra”</w:t>
            </w:r>
            <w:r>
              <w:t>;</w:t>
            </w:r>
          </w:p>
          <w:p w:rsidR="00185B26" w:rsidRDefault="00185B26" w:rsidP="00DE08B4">
            <w:pPr>
              <w:ind w:right="65"/>
              <w:jc w:val="both"/>
            </w:pPr>
            <w:r w:rsidRPr="00185B26">
              <w:t>Nr.3DP/3.3.1.3.0/10/IPIA/SM/004 „Zirņu - Ganību ielu rekonstrukcija un pieslēguma Zemnieku ielai izbūve (Dienvidu pieslēgums Liepājas ostai)”</w:t>
            </w:r>
            <w:r w:rsidR="00A00912">
              <w:t xml:space="preserve"> – projekta </w:t>
            </w:r>
            <w:r w:rsidR="00A00912" w:rsidRPr="00A00912">
              <w:t>īstenošana ir pabeigta</w:t>
            </w:r>
            <w:r>
              <w:t>;</w:t>
            </w:r>
          </w:p>
          <w:p w:rsidR="00C84EC4" w:rsidRPr="006D46B5" w:rsidRDefault="00185B26" w:rsidP="00DE08B4">
            <w:pPr>
              <w:ind w:right="65"/>
              <w:jc w:val="both"/>
            </w:pPr>
            <w:r w:rsidRPr="00185B26">
              <w:t>Nr.3DP/3.3.1.3.0/13/IPIA/SM/001 „Ventspils ostas Ventas upes kanāla krasta nostiprinājuma - piestātņu Nr.2 un Nr.3 pastiprināšana”.</w:t>
            </w:r>
            <w:r w:rsidR="002A19D3" w:rsidRPr="006D46B5">
              <w:t xml:space="preserve"> </w:t>
            </w:r>
          </w:p>
          <w:p w:rsidR="00C84EC4" w:rsidRPr="006D46B5" w:rsidRDefault="00C84EC4" w:rsidP="00DE08B4">
            <w:pPr>
              <w:ind w:right="65"/>
              <w:jc w:val="both"/>
              <w:rPr>
                <w:sz w:val="16"/>
                <w:szCs w:val="16"/>
              </w:rPr>
            </w:pPr>
          </w:p>
          <w:p w:rsidR="00C6012B" w:rsidRDefault="00105C44" w:rsidP="0099789F">
            <w:pPr>
              <w:ind w:left="34"/>
              <w:jc w:val="both"/>
            </w:pPr>
            <w:r>
              <w:t>V</w:t>
            </w:r>
            <w:r w:rsidR="002A19D3" w:rsidRPr="006D46B5">
              <w:t xml:space="preserve">iens no projekta īstenotājiem ir </w:t>
            </w:r>
            <w:r w:rsidR="00A776AB" w:rsidRPr="00A776AB">
              <w:t>Rīgas Brīvostas pārvalde</w:t>
            </w:r>
            <w:r w:rsidR="002A19D3" w:rsidRPr="006D46B5">
              <w:t xml:space="preserve">, kas realizē </w:t>
            </w:r>
            <w:r w:rsidR="00185B26">
              <w:t xml:space="preserve">lielo </w:t>
            </w:r>
            <w:r w:rsidR="002A19D3" w:rsidRPr="006D46B5">
              <w:t xml:space="preserve">projektu </w:t>
            </w:r>
            <w:r w:rsidR="00A776AB" w:rsidRPr="00A776AB">
              <w:t xml:space="preserve">Nr.3DP/3.3.1.3.0/10/IPIA/SM/003 „Infrastruktūras attīstība Krievu salā ostas aktivitāšu pārcelšanai no pilsētas centra” </w:t>
            </w:r>
            <w:r w:rsidR="00E4192F" w:rsidRPr="006D46B5">
              <w:t>(turpmāk – projekts)</w:t>
            </w:r>
            <w:r w:rsidR="00606BB9" w:rsidRPr="006D46B5">
              <w:t xml:space="preserve"> (piešķirtais Kohēzijas fonda </w:t>
            </w:r>
            <w:r w:rsidR="00577204" w:rsidRPr="006D46B5">
              <w:t>līdz</w:t>
            </w:r>
            <w:r w:rsidR="00606BB9" w:rsidRPr="006D46B5">
              <w:t xml:space="preserve">finansējums – </w:t>
            </w:r>
            <w:r w:rsidR="00A776AB">
              <w:t>77.18</w:t>
            </w:r>
            <w:r w:rsidR="00606BB9" w:rsidRPr="006D46B5">
              <w:t xml:space="preserve"> miljoni </w:t>
            </w:r>
            <w:r w:rsidR="00606BB9" w:rsidRPr="006D46B5">
              <w:rPr>
                <w:i/>
              </w:rPr>
              <w:t>euro</w:t>
            </w:r>
            <w:r w:rsidR="00606BB9" w:rsidRPr="006D46B5">
              <w:t>)</w:t>
            </w:r>
            <w:r w:rsidR="00F625FB" w:rsidRPr="006D46B5">
              <w:t xml:space="preserve">. </w:t>
            </w:r>
          </w:p>
          <w:p w:rsidR="00C6012B" w:rsidRPr="00C21C85" w:rsidRDefault="00F81E91" w:rsidP="00C6012B">
            <w:pPr>
              <w:ind w:left="34"/>
              <w:jc w:val="both"/>
            </w:pPr>
            <w:r w:rsidRPr="00C21C85">
              <w:t>Projekta mērķis ir novērst ostas aktivitāšu izraisīto vides degradāciju Andrejsalas un Eksportostas teritorijās un nodrošināt ostas konkurētspējas saglabāšanu Baltijas jūras reģionā, pārceļot ostas terminālus uz to darbībai piemērotāku vietu. Projekta īstenošanas rezultātā, izbūvējot infrastruktūru Krievu salā, no ostas aktivitātēm ir jāatbrīvo Andrejsalas un Eksportostas teritorija (123 ha) Rīgas pilsētas plānošanas vajadzībām, līdz ar to samazinot vides piesārņojumu (ar aptuveno diskontēto vērtību (indikatīvi) – 22 219 060 euro apmērā).</w:t>
            </w:r>
          </w:p>
          <w:p w:rsidR="00B04968" w:rsidRDefault="00885F71" w:rsidP="00656DE1">
            <w:pPr>
              <w:ind w:left="34"/>
              <w:jc w:val="both"/>
            </w:pPr>
            <w:r w:rsidRPr="00C21C85">
              <w:t>Sadarbības līgums</w:t>
            </w:r>
            <w:r w:rsidR="00656DE1" w:rsidRPr="00C21C85">
              <w:t xml:space="preserve"> par projekta īstenošanu</w:t>
            </w:r>
            <w:r w:rsidRPr="00C21C85">
              <w:t xml:space="preserve"> noslēgts </w:t>
            </w:r>
            <w:r w:rsidR="00656DE1" w:rsidRPr="00C21C85">
              <w:t xml:space="preserve">2010.gada 17.maijā. </w:t>
            </w:r>
            <w:r w:rsidR="00FD259E" w:rsidRPr="00C21C85">
              <w:t xml:space="preserve">Projekta īstenošana tika kavēta sakarā ar pretendentu </w:t>
            </w:r>
            <w:r w:rsidR="00FD259E" w:rsidRPr="00C21C85">
              <w:lastRenderedPageBreak/>
              <w:t>sūdzībām pa</w:t>
            </w:r>
            <w:r w:rsidR="00BD0D2B" w:rsidRPr="00C21C85">
              <w:t xml:space="preserve">r būvdarbu iepirkumu procedūru, proti, </w:t>
            </w:r>
            <w:r w:rsidR="00FD259E" w:rsidRPr="00C21C85">
              <w:t>2010.gada 28.maijā</w:t>
            </w:r>
            <w:r w:rsidR="00BD0D2B" w:rsidRPr="00C21C85">
              <w:t xml:space="preserve"> tika</w:t>
            </w:r>
            <w:r w:rsidR="00FD259E" w:rsidRPr="00C21C85">
              <w:t xml:space="preserve"> izsludināts būvdarbu iepirkums, </w:t>
            </w:r>
            <w:r w:rsidR="00BD0D2B" w:rsidRPr="00C21C85">
              <w:t>bet tikai</w:t>
            </w:r>
            <w:r w:rsidR="00FD259E" w:rsidRPr="00C21C85">
              <w:t xml:space="preserve"> 2012.gada 2.aprīlī </w:t>
            </w:r>
            <w:r w:rsidR="00BD0D2B" w:rsidRPr="00C21C85">
              <w:t>varēja noslēgt būvdarbu līgumu</w:t>
            </w:r>
            <w:r w:rsidR="00FD259E" w:rsidRPr="00C21C85">
              <w:t>, kā arī tiesvedības rezultātā būvatļauja tika apturēta uz 9 mēnešiem.</w:t>
            </w:r>
            <w:r w:rsidR="00656DE1" w:rsidRPr="00C21C85">
              <w:t xml:space="preserve"> </w:t>
            </w:r>
            <w:r w:rsidR="00BC6CD9" w:rsidRPr="00C21C85">
              <w:t xml:space="preserve">Rīgas Brīvostas pārvaldes </w:t>
            </w:r>
            <w:r w:rsidR="00F81E91" w:rsidRPr="00C21C85">
              <w:t xml:space="preserve">2014. decembrī veiktajā atkārtotā izmaksu un ieguvumu analīzē tika secināts, ka, ņemot vērā </w:t>
            </w:r>
            <w:r w:rsidR="00FD259E" w:rsidRPr="00C21C85">
              <w:t xml:space="preserve">ar būvdarbu iepirkumu procedūru kavējumu, kā arī kavējumus līgumu ar stividoriem noslēgšanas procesos, projekta īstenošana nav iespējama līgumā paredzētajos termiņos. </w:t>
            </w:r>
            <w:r w:rsidR="00656DE1" w:rsidRPr="00C21C85">
              <w:t>Vienlaikus,</w:t>
            </w:r>
            <w:r w:rsidR="00FD259E" w:rsidRPr="00C21C85">
              <w:t xml:space="preserve"> kravu apgrozījuma pieauguma dēļ </w:t>
            </w:r>
            <w:r w:rsidR="00656DE1" w:rsidRPr="00C21C85">
              <w:t xml:space="preserve">tika secināts, ka, </w:t>
            </w:r>
            <w:r w:rsidR="00FD259E" w:rsidRPr="00C21C85">
              <w:t xml:space="preserve">nav iespējams pārcelt visu kravu apjomus uz Krievu salu, tāpēc </w:t>
            </w:r>
            <w:r w:rsidR="00656DE1" w:rsidRPr="00C21C85">
              <w:t xml:space="preserve">izstrādāts </w:t>
            </w:r>
            <w:r w:rsidR="001150C1">
              <w:t>alternatīvs projekta risinājums</w:t>
            </w:r>
            <w:r w:rsidR="00656DE1" w:rsidRPr="00C21C85">
              <w:t xml:space="preserve">, proti, </w:t>
            </w:r>
            <w:r w:rsidR="00FD259E" w:rsidRPr="00C21C85">
              <w:t xml:space="preserve">uz Krievu salu tiek pārceltas tikai ogļu kravas, bet parējās kravas tiek izvietotas samazinātajā Eksportostas teritorijā, kas atbilst </w:t>
            </w:r>
            <w:r w:rsidR="00760BD6" w:rsidRPr="00C21C85">
              <w:t>Rīgas pilsētas teritorijas plānojumam laika periodā</w:t>
            </w:r>
            <w:r w:rsidR="00323C9C" w:rsidRPr="00C21C85">
              <w:t xml:space="preserve"> </w:t>
            </w:r>
            <w:r w:rsidR="00760BD6" w:rsidRPr="00C21C85">
              <w:t>2018. – 2030.</w:t>
            </w:r>
            <w:r w:rsidR="00983B2B" w:rsidRPr="00C21C85">
              <w:t xml:space="preserve">gadam. Alternatīvajā </w:t>
            </w:r>
            <w:r w:rsidR="002152CC" w:rsidRPr="00C21C85">
              <w:t xml:space="preserve">variantā tiek </w:t>
            </w:r>
            <w:r w:rsidR="00983B2B" w:rsidRPr="00C21C85">
              <w:t xml:space="preserve">pilnībā </w:t>
            </w:r>
            <w:r w:rsidR="002152CC" w:rsidRPr="00C21C85">
              <w:t>nodrošināta projekta vides mērķa izpilde</w:t>
            </w:r>
            <w:r w:rsidR="00983B2B" w:rsidRPr="00C21C85">
              <w:t xml:space="preserve">, kā arī daļējas teritorijas atbrīvošana </w:t>
            </w:r>
            <w:r w:rsidR="002152CC" w:rsidRPr="00C21C85">
              <w:t>nebūs pretrunā ar Rīgas pilsētas teritorijas plānojumu</w:t>
            </w:r>
            <w:r w:rsidR="00983B2B" w:rsidRPr="00C21C85">
              <w:t xml:space="preserve"> laika periodā 2018. – 2030.gadam</w:t>
            </w:r>
            <w:r w:rsidR="002152CC" w:rsidRPr="00C21C85">
              <w:t>.</w:t>
            </w:r>
          </w:p>
          <w:p w:rsidR="00B04968" w:rsidRPr="00B04968" w:rsidRDefault="00B04968" w:rsidP="00B04968">
            <w:pPr>
              <w:ind w:left="34"/>
              <w:jc w:val="both"/>
            </w:pPr>
            <w:r w:rsidRPr="00137623">
              <w:rPr>
                <w:bCs/>
              </w:rPr>
              <w:t>Rīgas Brīvostas valde 2014.gada 30.decembrī</w:t>
            </w:r>
            <w:r w:rsidR="005C1A18" w:rsidRPr="00137623">
              <w:rPr>
                <w:bCs/>
              </w:rPr>
              <w:t>, ievērojot</w:t>
            </w:r>
            <w:r w:rsidR="005C1A18" w:rsidRPr="00137623">
              <w:t xml:space="preserve"> </w:t>
            </w:r>
            <w:r w:rsidR="005C1A18" w:rsidRPr="00137623">
              <w:rPr>
                <w:bCs/>
              </w:rPr>
              <w:t xml:space="preserve">atkārtoti veiktajā izmaksu un ieguvumu analīzē konstatēto, </w:t>
            </w:r>
            <w:r w:rsidRPr="00137623">
              <w:rPr>
                <w:bCs/>
              </w:rPr>
              <w:t xml:space="preserve"> apstiprināja rīcības plānu kurā </w:t>
            </w:r>
            <w:r w:rsidR="005C1A18" w:rsidRPr="00137623">
              <w:rPr>
                <w:bCs/>
              </w:rPr>
              <w:t xml:space="preserve">tika </w:t>
            </w:r>
            <w:r w:rsidRPr="00137623">
              <w:rPr>
                <w:bCs/>
              </w:rPr>
              <w:t>noteikti projekta virzības un nepieciešamo darbību soļi un termiņi, tostarp, paredzot nepieciešamās darbības starpinstitūciju komunikācijai un dokumentu saskaņošanai nacionālā līmenī, kā arī sarunām ar Eiropas Komisiju „nefunkcionējošā projekta statusa” piemērošanas procedūras uzsākšanai.</w:t>
            </w:r>
          </w:p>
          <w:p w:rsidR="006C4F6B" w:rsidRPr="00550C4D" w:rsidRDefault="006C4F6B" w:rsidP="00C6012B">
            <w:pPr>
              <w:ind w:left="34"/>
              <w:jc w:val="both"/>
            </w:pPr>
            <w:r w:rsidRPr="00550C4D">
              <w:t>Lai izvērtētu projekta izmaiņu atbilstību Eiropas Komisijas 2012.gada 29.marta lēmumam</w:t>
            </w:r>
            <w:r w:rsidR="006523F0" w:rsidRPr="00550C4D">
              <w:t xml:space="preserve"> Nr.C(2012) 2005</w:t>
            </w:r>
            <w:r w:rsidRPr="00550C4D">
              <w:t xml:space="preserve"> par lielā projekta īstenošanu tika </w:t>
            </w:r>
            <w:r w:rsidR="009761A8" w:rsidRPr="00550C4D">
              <w:t>iesaistīti</w:t>
            </w:r>
            <w:r w:rsidRPr="00550C4D">
              <w:t xml:space="preserve"> JASPERS (</w:t>
            </w:r>
            <w:proofErr w:type="spellStart"/>
            <w:r w:rsidRPr="00550C4D">
              <w:t>Joint</w:t>
            </w:r>
            <w:proofErr w:type="spellEnd"/>
            <w:r w:rsidRPr="00550C4D">
              <w:t xml:space="preserve"> </w:t>
            </w:r>
            <w:proofErr w:type="spellStart"/>
            <w:r w:rsidRPr="00550C4D">
              <w:t>Assistance</w:t>
            </w:r>
            <w:proofErr w:type="spellEnd"/>
            <w:r w:rsidRPr="00550C4D">
              <w:t xml:space="preserve"> to </w:t>
            </w:r>
            <w:proofErr w:type="spellStart"/>
            <w:r w:rsidRPr="00550C4D">
              <w:t>Support</w:t>
            </w:r>
            <w:proofErr w:type="spellEnd"/>
            <w:r w:rsidRPr="00550C4D">
              <w:t xml:space="preserve"> </w:t>
            </w:r>
            <w:proofErr w:type="spellStart"/>
            <w:r w:rsidRPr="00550C4D">
              <w:t>Projects</w:t>
            </w:r>
            <w:proofErr w:type="spellEnd"/>
            <w:r w:rsidRPr="00550C4D">
              <w:t xml:space="preserve"> </w:t>
            </w:r>
            <w:proofErr w:type="spellStart"/>
            <w:r w:rsidRPr="00550C4D">
              <w:t>in</w:t>
            </w:r>
            <w:proofErr w:type="spellEnd"/>
            <w:r w:rsidRPr="00550C4D">
              <w:t xml:space="preserve"> </w:t>
            </w:r>
            <w:proofErr w:type="spellStart"/>
            <w:r w:rsidRPr="00550C4D">
              <w:t>European</w:t>
            </w:r>
            <w:proofErr w:type="spellEnd"/>
            <w:r w:rsidRPr="00550C4D">
              <w:t xml:space="preserve"> </w:t>
            </w:r>
            <w:proofErr w:type="spellStart"/>
            <w:r w:rsidRPr="00550C4D">
              <w:t>Regions</w:t>
            </w:r>
            <w:proofErr w:type="spellEnd"/>
            <w:r w:rsidRPr="00550C4D">
              <w:t>)</w:t>
            </w:r>
            <w:r w:rsidR="009761A8" w:rsidRPr="00550C4D">
              <w:t xml:space="preserve"> eksperti. JASPERS 2015.gada 19.jūnija atzinumā informēja, ka</w:t>
            </w:r>
            <w:r w:rsidR="00550C4D" w:rsidRPr="00550C4D">
              <w:t xml:space="preserve"> plānotās projekta izmaiņas neietekmēs projekta mērķu izpildi.</w:t>
            </w:r>
          </w:p>
          <w:p w:rsidR="00805FCC" w:rsidRPr="00C21C85" w:rsidRDefault="009761A8" w:rsidP="00C6012B">
            <w:pPr>
              <w:ind w:left="34"/>
              <w:jc w:val="both"/>
            </w:pPr>
            <w:r w:rsidRPr="00C21C85">
              <w:t xml:space="preserve">Vienlaikus, lai izvērtētu projekta izmaiņu atbilstību </w:t>
            </w:r>
            <w:r w:rsidR="00606C42" w:rsidRPr="00C21C85">
              <w:t xml:space="preserve">Eiropas Komisijas 2011.gada 15.jūnija lēmumam par Valsts atbalstu N44/2010  </w:t>
            </w:r>
            <w:r w:rsidRPr="00C21C85">
              <w:t>Rīgas Brīvostas pārvalde</w:t>
            </w:r>
            <w:r w:rsidR="00606C42" w:rsidRPr="00C21C85">
              <w:t xml:space="preserve"> 2015.gada 24.aprīlī </w:t>
            </w:r>
            <w:r w:rsidR="006523F0" w:rsidRPr="00C21C85">
              <w:t>nosūtīja skaidrojošu informāciju EK DG-COMP (</w:t>
            </w:r>
            <w:r w:rsidR="00805FCC" w:rsidRPr="00C21C85">
              <w:t xml:space="preserve">Directorate-General for Competition). </w:t>
            </w:r>
          </w:p>
          <w:p w:rsidR="0003225C" w:rsidRDefault="00805FCC" w:rsidP="00C6012B">
            <w:pPr>
              <w:ind w:left="34"/>
              <w:jc w:val="both"/>
            </w:pPr>
            <w:r w:rsidRPr="00C21C85">
              <w:t>EK DG-COMP 2015.gada 3.jūnija vēstulē Nr.</w:t>
            </w:r>
            <w:r w:rsidR="00C21C85" w:rsidRPr="00C21C85">
              <w:t xml:space="preserve"> </w:t>
            </w:r>
            <w:r w:rsidRPr="00C21C85">
              <w:t>2015/51756 informēja, ka plānotās projekta izmaiņas neietekmē sākotnējo valsts atbalsta lēmumu.</w:t>
            </w:r>
          </w:p>
          <w:p w:rsidR="003340F0" w:rsidRDefault="00A86A92" w:rsidP="003A7D1E">
            <w:pPr>
              <w:ind w:left="34"/>
              <w:jc w:val="both"/>
            </w:pPr>
            <w:r w:rsidRPr="00CA779E">
              <w:t xml:space="preserve">Satiksmes ministrija ir izvērtējusi Rīgas Brīvostas pārvaldes sasniegto progresu projekta ietvaros - līdz 2015.gada 30.septembrim bija pabeigti 99% būvdarbu iepirkuma līguma ietvaros, tos pilnībā plānojot pabeigt līdz 2015.gada </w:t>
            </w:r>
            <w:r w:rsidR="00CA779E" w:rsidRPr="00CA779E">
              <w:t>10</w:t>
            </w:r>
            <w:r w:rsidRPr="00CA779E">
              <w:t>.novembrim.</w:t>
            </w:r>
            <w:r w:rsidR="002C0ECD" w:rsidRPr="00CA779E">
              <w:t xml:space="preserve"> Satiksmes ministrija, rūpīgi apsverot pieejamo informāciju, ir guvusi pārliecību un secina, ka tikai gadījumā, ja projekta īstenošanas termiņš</w:t>
            </w:r>
            <w:r w:rsidR="003A7D1E" w:rsidRPr="00CA779E">
              <w:t>, ievērojot Eiropas Komisijas 2015.gada 30.aprīļa pielikumu lēmumam  Nr.C(2015) 2771, ar kuru groza lēmumu Nr.C(2013) 1573, ar ko apstiprina Pamatnostādnes par to darbības programmu slēgšanu, kuras pieņemtas atbalsta saņemšanai no Eiropas Reģionālās attīstības fonda, Eiropas Sociālā fonda un Kohēzijas fonda (2007.–2013. gada periodam) (turpmāk – Slēgšanas pamatnostādnes)</w:t>
            </w:r>
            <w:r w:rsidR="003A7D1E" w:rsidRPr="00CA779E">
              <w:rPr>
                <w:i/>
              </w:rPr>
              <w:t xml:space="preserve"> </w:t>
            </w:r>
            <w:r w:rsidR="003A7D1E" w:rsidRPr="00CA779E">
              <w:t>3.5.apakšpunkta</w:t>
            </w:r>
            <w:r w:rsidR="003A7D1E" w:rsidRPr="00CA779E">
              <w:rPr>
                <w:b/>
              </w:rPr>
              <w:t xml:space="preserve"> </w:t>
            </w:r>
            <w:r w:rsidR="003A7D1E" w:rsidRPr="00CA779E">
              <w:t xml:space="preserve">nosacījumus, </w:t>
            </w:r>
            <w:r w:rsidR="002C0ECD" w:rsidRPr="00CA779E">
              <w:t xml:space="preserve"> tiks pagarināts līdz 2018.gada </w:t>
            </w:r>
            <w:r w:rsidR="00CA779E" w:rsidRPr="00CA779E">
              <w:t>31</w:t>
            </w:r>
            <w:r w:rsidR="002C0ECD" w:rsidRPr="00CA779E">
              <w:t>.decembrim, Rīgas Brīvostas pārvalde varēs nodrošināt pilnīgu projekta mērķu sasniegšanu.</w:t>
            </w:r>
            <w:r w:rsidR="00134536">
              <w:t xml:space="preserve"> </w:t>
            </w:r>
            <w:r w:rsidR="005C1A18" w:rsidRPr="00137623">
              <w:t xml:space="preserve">Vienlaikus, lai nodrošinātu </w:t>
            </w:r>
            <w:r w:rsidR="005C1A18" w:rsidRPr="00137623">
              <w:lastRenderedPageBreak/>
              <w:t xml:space="preserve">sekmīgu projekta īstenošanu un mērķu sasniegšanu atbilstoši  </w:t>
            </w:r>
            <w:r w:rsidR="005C1A18" w:rsidRPr="00137623">
              <w:rPr>
                <w:bCs/>
              </w:rPr>
              <w:t>slēgšanas pamatnostādnēm</w:t>
            </w:r>
            <w:r w:rsidR="005C1A18" w:rsidRPr="00137623">
              <w:t xml:space="preserve"> atbildīgā iestāde aicinās Rīgas Brīvostas pārvaldi aktualizēt un iesniegt atbildīgajā iestādē Rīgas Brīvostas valdē apstiprinātu aktualizēto rīcības plānu, paredzot nepieciešamo turpmāko darbību kompleksu risku vadībai un projektā definētā mērķa sasniegšanai.</w:t>
            </w:r>
            <w:r w:rsidR="003340F0">
              <w:t xml:space="preserve"> Pēc aktualizētā rīcības plāna izvērtēšanas un </w:t>
            </w:r>
            <w:r w:rsidR="003340F0" w:rsidRPr="003340F0">
              <w:t>pirms projekta pagarinājuma pieprasījuma iesniegšanas Vadošajai iestādei</w:t>
            </w:r>
            <w:r w:rsidR="003340F0">
              <w:t xml:space="preserve"> a</w:t>
            </w:r>
            <w:r w:rsidR="003340F0" w:rsidRPr="003340F0">
              <w:t>tbildīgā iestāde veiks  pārbaudi projekta īstenošanas vietā, lai gūtu pārliecību par attiecīgi iespējamu un faktisku projekta pilnīgu pabeigšanu, funkcionalitātes nod</w:t>
            </w:r>
            <w:r w:rsidR="00634DC5">
              <w:t xml:space="preserve">rošināšanu un mērķu sasniegšanu. Indikatīvi līdz š.g. 11.decembrim atbildīgā iestāde izvērtēs  </w:t>
            </w:r>
            <w:r w:rsidR="00634DC5" w:rsidRPr="00634DC5">
              <w:rPr>
                <w:bCs/>
              </w:rPr>
              <w:t>2010.gada 17.maijā starp atbildīgo iestādi un Rīgas Brīvostas pārvaldi noslēgt</w:t>
            </w:r>
            <w:r w:rsidR="00634DC5">
              <w:rPr>
                <w:bCs/>
              </w:rPr>
              <w:t>ā</w:t>
            </w:r>
            <w:r w:rsidR="00634DC5" w:rsidRPr="00634DC5">
              <w:rPr>
                <w:bCs/>
              </w:rPr>
              <w:t xml:space="preserve"> līgum</w:t>
            </w:r>
            <w:r w:rsidR="00634DC5">
              <w:rPr>
                <w:bCs/>
              </w:rPr>
              <w:t>a</w:t>
            </w:r>
            <w:r w:rsidR="00634DC5" w:rsidRPr="00634DC5">
              <w:rPr>
                <w:bCs/>
              </w:rPr>
              <w:t xml:space="preserve"> Nr.SM 2010/-23 par projekta īstenošanu</w:t>
            </w:r>
            <w:r w:rsidR="00634DC5">
              <w:rPr>
                <w:bCs/>
              </w:rPr>
              <w:t xml:space="preserve"> grozījumu priekšlikumus par </w:t>
            </w:r>
            <w:r w:rsidR="00634DC5" w:rsidRPr="00634DC5">
              <w:rPr>
                <w:bCs/>
              </w:rPr>
              <w:t>„nefunkcionējošā projekta statusa” piemēroša</w:t>
            </w:r>
            <w:r w:rsidR="00991DAD">
              <w:rPr>
                <w:bCs/>
              </w:rPr>
              <w:t>nu</w:t>
            </w:r>
            <w:r w:rsidR="00634DC5" w:rsidRPr="00634DC5">
              <w:rPr>
                <w:bCs/>
              </w:rPr>
              <w:t>.</w:t>
            </w:r>
            <w:r w:rsidR="00634DC5">
              <w:t xml:space="preserve"> </w:t>
            </w:r>
          </w:p>
          <w:p w:rsidR="002C0ECD" w:rsidRPr="002C0ECD" w:rsidRDefault="00A86A92" w:rsidP="00991DAD">
            <w:pPr>
              <w:jc w:val="both"/>
              <w:rPr>
                <w:color w:val="538135" w:themeColor="accent6" w:themeShade="BF"/>
              </w:rPr>
            </w:pPr>
            <w:r w:rsidRPr="00CA779E">
              <w:t>Tādejādi, lai varētu attiecināt projektā veiktās izmaksas un nezaudētu Kohēzija fonda finansējumu, vienlaikus neradot slogu valsts budžetam</w:t>
            </w:r>
            <w:r w:rsidR="002C0ECD" w:rsidRPr="00CA779E">
              <w:t xml:space="preserve"> Satiksmes ministrija ierosina veikt šādus grozījumus </w:t>
            </w:r>
            <w:r w:rsidR="004613CD" w:rsidRPr="004613CD">
              <w:rPr>
                <w:bCs/>
              </w:rPr>
              <w:t>Ministru kabineta 2008.gada 14.oktobra noteikumu Nr.857 „Noteikumi par darbības programmas „Infrastruktūra un pakalpojumi” papildinājuma 3.3.1.3.aktivitāti „Lielo ostu infrastruktūras attīstība „Jūras maģistrāļu” ietvaros”””</w:t>
            </w:r>
            <w:r w:rsidR="002C0ECD" w:rsidRPr="00CA779E">
              <w:t>:</w:t>
            </w:r>
          </w:p>
          <w:p w:rsidR="008A288E" w:rsidRDefault="008A288E" w:rsidP="002D5740">
            <w:pPr>
              <w:pStyle w:val="ListParagraph"/>
              <w:numPr>
                <w:ilvl w:val="0"/>
                <w:numId w:val="40"/>
              </w:numPr>
              <w:jc w:val="both"/>
            </w:pPr>
            <w:r w:rsidRPr="008A288E">
              <w:t xml:space="preserve">Atbilstoši 2015.gada 10.jūlijā Ministru kabinetā apstiprinātajiem  grozījumiem </w:t>
            </w:r>
            <w:r w:rsidR="002D5740">
              <w:t xml:space="preserve">Ministru kabineta </w:t>
            </w:r>
            <w:r w:rsidR="002D5740" w:rsidRPr="002D5740">
              <w:t>2010.gada 9.novembr</w:t>
            </w:r>
            <w:r w:rsidR="002D5740">
              <w:t>a</w:t>
            </w:r>
            <w:r w:rsidRPr="008A288E">
              <w:t xml:space="preserve"> noteikumos Nr.1041</w:t>
            </w:r>
            <w:r w:rsidR="002D5740">
              <w:t xml:space="preserve"> “</w:t>
            </w:r>
            <w:r w:rsidR="002D5740" w:rsidRPr="002D5740">
              <w:t>Kārtība, kādā paredzami valsts budžeta līdzekļi Eiropas Savienības struktūrfondu un Kohēzijas fonda līdzfinansēto projektu īstenošanai, kā arī maksājumu veikšanas un izdevumu deklarācijas sagatavošanas kārtība</w:t>
            </w:r>
            <w:r w:rsidR="002D5740">
              <w:t>”</w:t>
            </w:r>
            <w:r w:rsidRPr="008A288E">
              <w:t xml:space="preserve">, kas  papildina 16.3.apakšpunktu nosakot, ka noslēguma maksājums veicams pēc projekta īstenošanas, ja vien normatīvajā aktā par aktivitātes īstenošanu nav noteikts citādi, noteikumu projekts tiek papildināts ar </w:t>
            </w:r>
            <w:r w:rsidR="00814008">
              <w:t xml:space="preserve">52. </w:t>
            </w:r>
            <w:r w:rsidRPr="008A288E">
              <w:t xml:space="preserve">punktu, kurš nosaka, ka </w:t>
            </w:r>
            <w:r w:rsidR="00814008">
              <w:t>atbildīgā</w:t>
            </w:r>
            <w:r w:rsidRPr="008A288E">
              <w:t xml:space="preserve"> iestāde projektiem, kas ietilpst šo noteikumu </w:t>
            </w:r>
            <w:r w:rsidR="00814008" w:rsidRPr="00814008">
              <w:t>51. un 51.</w:t>
            </w:r>
            <w:r w:rsidR="00814008" w:rsidRPr="00814008">
              <w:rPr>
                <w:vertAlign w:val="superscript"/>
              </w:rPr>
              <w:t>1</w:t>
            </w:r>
            <w:r w:rsidR="00814008">
              <w:rPr>
                <w:vertAlign w:val="superscript"/>
              </w:rPr>
              <w:t xml:space="preserve"> </w:t>
            </w:r>
            <w:r w:rsidR="00814008" w:rsidRPr="00814008">
              <w:t>punkt</w:t>
            </w:r>
            <w:r w:rsidR="00814008">
              <w:t>ā</w:t>
            </w:r>
            <w:r w:rsidRPr="008A288E">
              <w:t>, var veikt noslēguma maksājumu pirms projekta īstenošanas beigām.</w:t>
            </w:r>
          </w:p>
          <w:p w:rsidR="00814008" w:rsidRPr="008A288E" w:rsidRDefault="00814008" w:rsidP="00814008">
            <w:pPr>
              <w:pStyle w:val="ListParagraph"/>
              <w:numPr>
                <w:ilvl w:val="0"/>
                <w:numId w:val="40"/>
              </w:numPr>
              <w:jc w:val="both"/>
            </w:pPr>
            <w:r w:rsidRPr="00814008">
              <w:t xml:space="preserve">Noteikumu projekts papildināts ar </w:t>
            </w:r>
            <w:r>
              <w:t>53.</w:t>
            </w:r>
            <w:r w:rsidRPr="00814008">
              <w:t>punktu, kurš nosaka pienākumus finansējuma saņēmējam attiecībā</w:t>
            </w:r>
            <w:r w:rsidR="007E0D43">
              <w:t xml:space="preserve"> par</w:t>
            </w:r>
            <w:r w:rsidRPr="00814008">
              <w:t xml:space="preserve"> projekta īstenošanu pēc 2015.gada 31.decembra</w:t>
            </w:r>
            <w:r>
              <w:t>;</w:t>
            </w:r>
          </w:p>
          <w:p w:rsidR="00CF2FF5" w:rsidRPr="00CF2FF5" w:rsidRDefault="00D20D19" w:rsidP="00CF2FF5">
            <w:pPr>
              <w:ind w:left="34"/>
              <w:jc w:val="both"/>
              <w:rPr>
                <w:bCs/>
              </w:rPr>
            </w:pPr>
            <w:r w:rsidRPr="00C21C85">
              <w:t xml:space="preserve">Vienlaikus, atbilstoši Finanšu ministrijas 2015.gada 13.februāra vēstulē Nr.16-3-01.1/877 un 2015.gada 25.februāra elektroniskā pasta sūtījumā sniegtajam skaidrojumam, lai mazinātu riskus, kas varētu negatīvi ietekmēt Kohēzijas fonda līdzekļu pilnīgu izlietošanu, Kohēzijas fonda aktivitāšu „brīvais” finansējums var tikt izmantots citu Kohēzijas fonda projektu īstenošanai. Satiksmes ministrijas pārziņā esošajā 3.3.1.4. aktivitātē „Lidostu infrastruktūras attīstība” </w:t>
            </w:r>
            <w:r w:rsidRPr="00C21C85">
              <w:rPr>
                <w:bCs/>
              </w:rPr>
              <w:t>projektā „Starptautiskās lidostas „Rīga” infrastruktūras attīstība” pēc lielākās daļas būvdarbu pabeigšanas un noslēdzot visus plānotos līgumus par projektēšanas, autoruzraudzības un būvuzraudzības darbiem</w:t>
            </w:r>
            <w:r w:rsidRPr="00C21C85">
              <w:rPr>
                <w:sz w:val="20"/>
                <w:szCs w:val="20"/>
                <w:lang w:eastAsia="en-US"/>
              </w:rPr>
              <w:t xml:space="preserve"> </w:t>
            </w:r>
            <w:r w:rsidRPr="00C21C85">
              <w:rPr>
                <w:bCs/>
              </w:rPr>
              <w:t xml:space="preserve">ir radies Kohēzijas fonda līdzekļu ietaupījums </w:t>
            </w:r>
            <w:r w:rsidR="00A52B58" w:rsidRPr="00C21C85">
              <w:rPr>
                <w:bCs/>
              </w:rPr>
              <w:t xml:space="preserve">757 731 </w:t>
            </w:r>
            <w:r w:rsidR="00A52B58" w:rsidRPr="00C21C85">
              <w:rPr>
                <w:bCs/>
                <w:i/>
              </w:rPr>
              <w:t xml:space="preserve">euro </w:t>
            </w:r>
            <w:r w:rsidR="00A52B58" w:rsidRPr="00C21C85">
              <w:rPr>
                <w:bCs/>
              </w:rPr>
              <w:t xml:space="preserve">apmērā, par kuriem valsts akciju sabiedrība „Starptautiskā lidosta „Rīga”” </w:t>
            </w:r>
            <w:r w:rsidR="00CF2FF5" w:rsidRPr="00CF2FF5">
              <w:rPr>
                <w:bCs/>
              </w:rPr>
              <w:t xml:space="preserve">2015.gada 28.augustā iesniegusi grozījumu priekšlikumus par </w:t>
            </w:r>
            <w:r w:rsidR="00CF2FF5" w:rsidRPr="00CF2FF5">
              <w:rPr>
                <w:bCs/>
              </w:rPr>
              <w:lastRenderedPageBreak/>
              <w:t>2010.gada 4.augusta  līguma par Eiropas Savienības fonda projekta „Starptautiskās lidostas „Rīga” infrastruktūras attīstība” identifikācijas Nr. 3DP/3.3.1.4.0/10/IPIA/SM/001 īstenošanu Nr. SM 2010/-32. Atbildīgā iestāde 2015.gada 23.septembrī ir izvērtējusi un apstiprinājusi valsts akciju sabiedrības „Starptautiskā lidosta „Rīga”” iesniegtos līguma grozījumus</w:t>
            </w:r>
            <w:r w:rsidR="00C97539" w:rsidRPr="00C97539">
              <w:rPr>
                <w:rFonts w:eastAsia="Calibri"/>
                <w:bCs/>
                <w:lang w:eastAsia="en-US"/>
              </w:rPr>
              <w:t xml:space="preserve"> </w:t>
            </w:r>
            <w:r w:rsidR="00C97539" w:rsidRPr="00C97539">
              <w:rPr>
                <w:bCs/>
              </w:rPr>
              <w:t>un š.g. 12.oktobrī nosūtījusi līguma grozījumu eksemplārus  valsts akciju sabiedrībai „Starptautiskā lidosta „Rīga”” saskaņošanai un parakstīšanai.</w:t>
            </w:r>
          </w:p>
          <w:p w:rsidR="00A1452B" w:rsidRPr="00A1452B" w:rsidRDefault="00A52B58" w:rsidP="00A1452B">
            <w:pPr>
              <w:ind w:left="34"/>
              <w:jc w:val="both"/>
              <w:rPr>
                <w:bCs/>
              </w:rPr>
            </w:pPr>
            <w:r w:rsidRPr="00C21C85">
              <w:rPr>
                <w:bCs/>
              </w:rPr>
              <w:t>Ņemot vērā, ka minētais Kohēzijas fonda</w:t>
            </w:r>
            <w:r w:rsidR="001150C1">
              <w:rPr>
                <w:bCs/>
              </w:rPr>
              <w:t xml:space="preserve"> līdzekļu ietaupījums 757 731</w:t>
            </w:r>
            <w:r w:rsidRPr="00C21C85">
              <w:rPr>
                <w:bCs/>
              </w:rPr>
              <w:t xml:space="preserve"> </w:t>
            </w:r>
            <w:r w:rsidRPr="00C21C85">
              <w:rPr>
                <w:bCs/>
                <w:i/>
              </w:rPr>
              <w:t xml:space="preserve">euro </w:t>
            </w:r>
            <w:r w:rsidRPr="00C21C85">
              <w:rPr>
                <w:bCs/>
              </w:rPr>
              <w:t xml:space="preserve">apmērā nav izmantojams 3.3.1.4. aktivitātē „Lidostu infrastruktūras attīstība” ietvaros, Satiksmes ministrija ierosina </w:t>
            </w:r>
            <w:r w:rsidR="0081346C" w:rsidRPr="00C21C85">
              <w:rPr>
                <w:bCs/>
              </w:rPr>
              <w:t>ietaupījumu</w:t>
            </w:r>
            <w:r w:rsidRPr="00C21C85">
              <w:rPr>
                <w:bCs/>
              </w:rPr>
              <w:t xml:space="preserve"> pārdalīt 3.3.1.3.aktivitātes projektam </w:t>
            </w:r>
            <w:r w:rsidR="0081346C" w:rsidRPr="00C21C85">
              <w:rPr>
                <w:bCs/>
              </w:rPr>
              <w:t xml:space="preserve">Nr.3DP/3.3.1.3.0/10/IPIA/SM/001 „Ventspils brīvostas infrastruktūras attīstība” </w:t>
            </w:r>
            <w:r w:rsidRPr="00C21C85">
              <w:rPr>
                <w:bCs/>
              </w:rPr>
              <w:t>attiecināmo izmaksu palielināšanai, īstenojot papildu darbības.</w:t>
            </w:r>
            <w:r w:rsidR="00A1452B">
              <w:rPr>
                <w:bCs/>
              </w:rPr>
              <w:t xml:space="preserve"> </w:t>
            </w:r>
            <w:r w:rsidR="00A1452B" w:rsidRPr="00A1452B">
              <w:rPr>
                <w:bCs/>
              </w:rPr>
              <w:t>Atbildīgā iestāde izvērtējot</w:t>
            </w:r>
            <w:r w:rsidR="00870D6C">
              <w:rPr>
                <w:bCs/>
              </w:rPr>
              <w:t>,</w:t>
            </w:r>
            <w:r w:rsidR="00A1452B" w:rsidRPr="00A1452B">
              <w:rPr>
                <w:bCs/>
              </w:rPr>
              <w:t xml:space="preserve"> 3.3.prioritātes “Eiropas nozīmes transporta tīklu attīstība un ilgtspējīga transporta veicināšana” </w:t>
            </w:r>
            <w:r w:rsidR="00870D6C">
              <w:rPr>
                <w:bCs/>
              </w:rPr>
              <w:t xml:space="preserve">savā pārziņa esošo </w:t>
            </w:r>
            <w:r w:rsidR="00A1452B" w:rsidRPr="00A1452B">
              <w:rPr>
                <w:bCs/>
              </w:rPr>
              <w:t>3.3.1. pasākuma “Liela mēroga transporta infrastruktūras uzlabojumi un attīstība” un 3.3.2. pasākuma “Ilgtspējīgas transporta sistēmas attīstība” īstenošanā esošo projektu ieviešanu un to ietvaros noslēgto iepirkumu līgumu summas salīdzinājumā ar plānotajām izmaksām un ņemot vērā, ka līdz Eiropas Savienības fondu 2007.-2013. gada plānošanas perioda beigām, t.i., 2015. gada 31. decembrim</w:t>
            </w:r>
            <w:r w:rsidR="00870D6C">
              <w:rPr>
                <w:bCs/>
              </w:rPr>
              <w:t>, ir atlikuši tikai divi mēneši un citos šo pasākumu īstenojamajos un īstenotajos projektos plānotās aktivitātes it sekmīgi pabeigtas, vai tuvojas noslēgumam sekmīgi nodrošinot plānoto mērķu sasniegšanai papildu aktivitātes, vai rādītāju sasniegšana pēc pašu finansējuma saņēmēju izvērtējuma nav nepieciešama un plānota.</w:t>
            </w:r>
            <w:r w:rsidR="00A1452B" w:rsidRPr="00A1452B">
              <w:rPr>
                <w:bCs/>
              </w:rPr>
              <w:t xml:space="preserve"> </w:t>
            </w:r>
            <w:r w:rsidR="00870D6C">
              <w:rPr>
                <w:bCs/>
              </w:rPr>
              <w:t>Vienlaikus</w:t>
            </w:r>
            <w:r w:rsidR="00A1452B" w:rsidRPr="00A1452B">
              <w:rPr>
                <w:bCs/>
              </w:rPr>
              <w:t xml:space="preserve"> ņemot vērā vadošās iestādes 2015.gada 22.jūlija skaidrojumu” “Par “VI vadlīniju attiecināmo un neattiecināmo izmaksu noteikšanai 2007.–2013.gada plānošanas periodā” 43.punktu, kas nosaka projekta īstenošanas termiņu “mazos” projektos un tā pagarinājuma iespējas” uzskaitītos gadījumus, kad nav pieļaujama projektu pabeigšanas termiņa pagarināšana pēc 2015.gada 31.decembra,</w:t>
            </w:r>
            <w:r w:rsidR="00870D6C">
              <w:rPr>
                <w:bCs/>
              </w:rPr>
              <w:t xml:space="preserve"> atbildīgā iestāde</w:t>
            </w:r>
            <w:r w:rsidR="00A1452B" w:rsidRPr="00A1452B">
              <w:rPr>
                <w:bCs/>
              </w:rPr>
              <w:t xml:space="preserve"> secinājusi, ka projekta  Nr.3DP/3.3.1.3.0/10/IPIA/SM/001 “Ventspils brīvostas infrastruktūras attīstība” papildu darbības un </w:t>
            </w:r>
            <w:r w:rsidR="00870D6C">
              <w:rPr>
                <w:bCs/>
              </w:rPr>
              <w:t xml:space="preserve">finansējuma saņēmēja </w:t>
            </w:r>
            <w:r w:rsidR="00A1452B" w:rsidRPr="00A1452B">
              <w:rPr>
                <w:bCs/>
              </w:rPr>
              <w:t xml:space="preserve"> </w:t>
            </w:r>
            <w:r w:rsidR="00870D6C" w:rsidRPr="00A1452B">
              <w:rPr>
                <w:bCs/>
              </w:rPr>
              <w:t xml:space="preserve"> gatavības </w:t>
            </w:r>
            <w:r w:rsidR="00870D6C">
              <w:rPr>
                <w:bCs/>
              </w:rPr>
              <w:t>minēto darbību nodrošināšanā un</w:t>
            </w:r>
            <w:r w:rsidR="00A1452B" w:rsidRPr="00A1452B">
              <w:rPr>
                <w:bCs/>
              </w:rPr>
              <w:t xml:space="preserve"> piešķirtā Kohēzijas fonda līdzfinansējuma apguv</w:t>
            </w:r>
            <w:r w:rsidR="00870D6C">
              <w:rPr>
                <w:bCs/>
              </w:rPr>
              <w:t xml:space="preserve">ei. </w:t>
            </w:r>
            <w:r w:rsidR="00A1452B" w:rsidRPr="00A1452B">
              <w:rPr>
                <w:bCs/>
              </w:rPr>
              <w:t xml:space="preserve"> </w:t>
            </w:r>
          </w:p>
          <w:p w:rsidR="006D46B5" w:rsidRDefault="002E5BA5" w:rsidP="00C6012B">
            <w:pPr>
              <w:ind w:left="34"/>
              <w:jc w:val="both"/>
              <w:rPr>
                <w:bCs/>
                <w:color w:val="538135" w:themeColor="accent6" w:themeShade="BF"/>
              </w:rPr>
            </w:pPr>
            <w:r w:rsidRPr="00C21C85">
              <w:rPr>
                <w:bCs/>
              </w:rPr>
              <w:t>Ventspils brīvostas pārvalde</w:t>
            </w:r>
            <w:r w:rsidR="0014682A" w:rsidRPr="00C21C85">
              <w:rPr>
                <w:bCs/>
              </w:rPr>
              <w:t xml:space="preserve"> 2015.gada 9.jūlijā Eiropas Komisijai iesniedza lūgumu izteikt viedokli vai piestātņu Nr.19, 20, 21, 22, 23, 25 un 25A </w:t>
            </w:r>
            <w:r w:rsidR="007A16C4" w:rsidRPr="00C21C85">
              <w:rPr>
                <w:bCs/>
              </w:rPr>
              <w:t xml:space="preserve">krasta nostiprinājuma </w:t>
            </w:r>
            <w:r w:rsidR="0014682A" w:rsidRPr="00C21C85">
              <w:rPr>
                <w:bCs/>
              </w:rPr>
              <w:t>atjaunošan</w:t>
            </w:r>
            <w:r w:rsidR="007A16C4" w:rsidRPr="00C21C85">
              <w:rPr>
                <w:bCs/>
              </w:rPr>
              <w:t>a</w:t>
            </w:r>
            <w:r w:rsidR="0014682A" w:rsidRPr="00C21C85">
              <w:rPr>
                <w:bCs/>
              </w:rPr>
              <w:t xml:space="preserve"> ietver valsts atbalstu. </w:t>
            </w:r>
            <w:r w:rsidR="002D5740" w:rsidRPr="002D5740">
              <w:rPr>
                <w:bCs/>
              </w:rPr>
              <w:t>2015.gada 23.septembrī Finanšu ministrija ar vēstuli Nr.18-02/5040 “Par investīciju atbalstu Ventspils brīvostas pārvaldei”, ņemot vērā no Eiropas Komisijas Konkurences ģenerāldirektorāta saņemto viedokli, sniedza skaidrojumu, ka plānotās aktivitātes neietver valsts atbalstu.</w:t>
            </w:r>
            <w:r w:rsidR="00FA09A7" w:rsidRPr="00C21C85">
              <w:rPr>
                <w:bCs/>
              </w:rPr>
              <w:t xml:space="preserve"> Ņemot vēra minēto</w:t>
            </w:r>
            <w:r w:rsidR="00CA779E">
              <w:rPr>
                <w:bCs/>
              </w:rPr>
              <w:t xml:space="preserve"> un </w:t>
            </w:r>
            <w:r w:rsidR="00CA779E" w:rsidRPr="00CA779E">
              <w:rPr>
                <w:bCs/>
              </w:rPr>
              <w:t>Ministru kabineta 2008.gada 14.oktobra noteikum</w:t>
            </w:r>
            <w:r w:rsidR="00CA779E">
              <w:rPr>
                <w:bCs/>
              </w:rPr>
              <w:t>u</w:t>
            </w:r>
            <w:r w:rsidR="00CA779E" w:rsidRPr="00CA779E">
              <w:rPr>
                <w:bCs/>
              </w:rPr>
              <w:t xml:space="preserve"> Nr.857 „Noteikumi par darbības programmas „Infrastruktūra un pakalpojumi” papildinājuma 3.3.1.3.aktivitāti „Lielo ostu infrastruktūras attīstība „Jūras maģistrāļu” ietvaros”””</w:t>
            </w:r>
            <w:r w:rsidR="00CA779E">
              <w:rPr>
                <w:bCs/>
              </w:rPr>
              <w:t xml:space="preserve"> 48.</w:t>
            </w:r>
            <w:r w:rsidR="00CA779E" w:rsidRPr="00CA779E">
              <w:rPr>
                <w:bCs/>
                <w:vertAlign w:val="superscript"/>
              </w:rPr>
              <w:t>1</w:t>
            </w:r>
            <w:r w:rsidR="00CA779E">
              <w:rPr>
                <w:bCs/>
              </w:rPr>
              <w:t>punktu</w:t>
            </w:r>
            <w:r w:rsidR="003F4B05" w:rsidRPr="00C21C85">
              <w:rPr>
                <w:bCs/>
              </w:rPr>
              <w:t xml:space="preserve"> Ventspils brīvostas pārvalde </w:t>
            </w:r>
            <w:r w:rsidRPr="00C21C85">
              <w:rPr>
                <w:bCs/>
              </w:rPr>
              <w:t xml:space="preserve">ir </w:t>
            </w:r>
            <w:r w:rsidR="0014682A" w:rsidRPr="00C21C85">
              <w:rPr>
                <w:bCs/>
              </w:rPr>
              <w:t xml:space="preserve">lūgusi pagarināt projekta </w:t>
            </w:r>
            <w:r w:rsidR="0014682A" w:rsidRPr="00C21C85">
              <w:rPr>
                <w:bCs/>
              </w:rPr>
              <w:lastRenderedPageBreak/>
              <w:t xml:space="preserve">Nr.3DP/3.3.1.3.0/10/IPIA/SM/001 „Ventspils brīvostas infrastruktūras attīstība” īstenošanas termiņu līdz </w:t>
            </w:r>
            <w:r w:rsidR="0014682A" w:rsidRPr="00CF2FF5">
              <w:rPr>
                <w:bCs/>
              </w:rPr>
              <w:t xml:space="preserve">2016.gada </w:t>
            </w:r>
            <w:r w:rsidR="00E03BEB" w:rsidRPr="00CF2FF5">
              <w:rPr>
                <w:bCs/>
              </w:rPr>
              <w:t>30.jūnijam</w:t>
            </w:r>
            <w:r w:rsidR="00FA09A7" w:rsidRPr="00CF2FF5">
              <w:rPr>
                <w:bCs/>
              </w:rPr>
              <w:t xml:space="preserve">, lai </w:t>
            </w:r>
            <w:r w:rsidR="00FA09A7" w:rsidRPr="00C21C85">
              <w:rPr>
                <w:bCs/>
              </w:rPr>
              <w:t>varētu īstenot papildu darbības, kas paaugstinās navigācijas drošību iekšējā ostas akvatorijā un sekmētu projekta Nr.3DP/3.3.1.3.0/10/IPIA/SM/001 „Ventspils brīvostas infrastruktūras attīstība”</w:t>
            </w:r>
            <w:r w:rsidR="00FA09A7">
              <w:rPr>
                <w:bCs/>
                <w:color w:val="538135" w:themeColor="accent6" w:themeShade="BF"/>
              </w:rPr>
              <w:t xml:space="preserve"> </w:t>
            </w:r>
            <w:r w:rsidR="00FA09A7" w:rsidRPr="00CA779E">
              <w:rPr>
                <w:bCs/>
              </w:rPr>
              <w:t>mēr</w:t>
            </w:r>
            <w:r w:rsidR="00CA779E" w:rsidRPr="00CA779E">
              <w:rPr>
                <w:bCs/>
              </w:rPr>
              <w:t xml:space="preserve">ķa izpildi. </w:t>
            </w:r>
            <w:r w:rsidR="00FA09A7" w:rsidRPr="00CA779E">
              <w:rPr>
                <w:bCs/>
              </w:rPr>
              <w:t xml:space="preserve"> </w:t>
            </w:r>
          </w:p>
          <w:p w:rsidR="00424F2E" w:rsidRPr="00C21C85" w:rsidRDefault="00091B6E" w:rsidP="003340F0">
            <w:pPr>
              <w:ind w:left="34"/>
              <w:jc w:val="both"/>
            </w:pPr>
            <w:r w:rsidRPr="00C21C85">
              <w:rPr>
                <w:bCs/>
              </w:rPr>
              <w:t>Ventspils brīvostas pārvaldes</w:t>
            </w:r>
            <w:r w:rsidRPr="00C21C85">
              <w:t xml:space="preserve"> priekšlikums ir saskaņā Eiropas Savienības struktūrfondu un Kohēzijas fonda vadošās iestādes apstiprinātajām vadlīnijām attiecināmo un neattiecināmo izmaksu noteikšanai 2007.-2013.gada plānošanas periodā un kontekstā ar 2015.gada 22.jūlija skaidrojumu” “Par “VI vadlīniju attiecināmo un neattiecināmo izmaksu noteikšanai 2007.–2013.gada plānošanas periodā” 43.punktu, kas nosaka projekta īstenošanas termiņu “mazos” projektos un tā pagarinājuma iespējas</w:t>
            </w:r>
            <w:r w:rsidR="004613CD">
              <w:t>” (turpmāk – VI skaidrojums)</w:t>
            </w:r>
            <w:r w:rsidRPr="00C21C85">
              <w:t xml:space="preserve">. </w:t>
            </w:r>
            <w:r w:rsidR="004613CD">
              <w:t>Ņemot vērā VI skaidrojumu</w:t>
            </w:r>
            <w:r w:rsidR="003340F0">
              <w:t>,</w:t>
            </w:r>
            <w:r w:rsidR="004613CD">
              <w:t xml:space="preserve"> Satiksmes ministrija</w:t>
            </w:r>
            <w:r w:rsidR="003340F0">
              <w:t>s</w:t>
            </w:r>
            <w:r w:rsidR="004613CD">
              <w:t xml:space="preserve"> ierosināto</w:t>
            </w:r>
            <w:r w:rsidR="004613CD" w:rsidRPr="004613CD">
              <w:t xml:space="preserve"> </w:t>
            </w:r>
            <w:r w:rsidR="003340F0" w:rsidRPr="003340F0">
              <w:rPr>
                <w:bCs/>
              </w:rPr>
              <w:t>Ministru kabineta noteikumu projekta „Grozījums Ministru kabineta 2008.gada 14.oktobra noteikumos Nr.857 „Noteikumi par darbības programmas „Infrastruktūra un pakalpojumi” papildinājuma 3.3.1.3.aktivitāti „Lielo ostu infrastruktūras attīstība „Jūras maģistrāļu” ietvaros”””</w:t>
            </w:r>
            <w:r w:rsidR="004613CD" w:rsidRPr="004613CD">
              <w:t xml:space="preserve"> 4.punktā noteiktais termiņš attiecas tikai uz darbības programmas “Infrastruktūra un pakalpojumi” papildinājuma 3.3.1.3.aktivitātes “Lielo ostu infrastruktūras attīstības “Jūras maģistrāļu” ietvaros” projektu Nr.3DP/3.3.1.3.0/10/IPIA/SM/001 “Ventspils brīvostas infrastruktūras attīstība”.</w:t>
            </w:r>
            <w:r w:rsidR="004613CD">
              <w:t xml:space="preserve"> </w:t>
            </w:r>
            <w:r w:rsidR="003340F0">
              <w:t xml:space="preserve"> </w:t>
            </w:r>
            <w:r w:rsidR="00424F2E" w:rsidRPr="00C21C85">
              <w:t>Atbildīgā iestāde pirms projekta pagarinājuma pieprasījuma iesniegšanas Vadošajai iestādei</w:t>
            </w:r>
            <w:r w:rsidR="00424F2E" w:rsidRPr="00C21C85">
              <w:rPr>
                <w:rFonts w:ascii="Arial" w:hAnsi="Arial" w:cs="Arial"/>
                <w:sz w:val="30"/>
                <w:szCs w:val="30"/>
                <w:lang w:val="en-GB" w:eastAsia="en-GB"/>
              </w:rPr>
              <w:t xml:space="preserve"> </w:t>
            </w:r>
            <w:r w:rsidR="00424F2E" w:rsidRPr="00C21C85">
              <w:t xml:space="preserve">veiks  pārbaudi projekta īstenošanas vietā, lai gūtu pārliecību </w:t>
            </w:r>
            <w:r w:rsidR="00424F2E" w:rsidRPr="00C21C85">
              <w:rPr>
                <w:lang w:val="en-GB"/>
              </w:rPr>
              <w:t xml:space="preserve">par </w:t>
            </w:r>
            <w:r w:rsidR="00424F2E" w:rsidRPr="00C21C85">
              <w:t>attiecīgi iespējamu un faktisku projekta pilnīgu pabeigšanu, funkcionalitātes nodrošināšanu un mērķu sasniegšanu.</w:t>
            </w:r>
          </w:p>
          <w:p w:rsidR="00A14B4B" w:rsidRPr="00564DCD" w:rsidRDefault="00FA09A7" w:rsidP="001150C1">
            <w:pPr>
              <w:ind w:left="34"/>
              <w:jc w:val="both"/>
              <w:rPr>
                <w:color w:val="538135" w:themeColor="accent6" w:themeShade="BF"/>
              </w:rPr>
            </w:pPr>
            <w:r w:rsidRPr="00C21C85">
              <w:t xml:space="preserve">Ievērojot augstākminēto, Satiksmes ministrija ierosina </w:t>
            </w:r>
            <w:r w:rsidR="00424F2E" w:rsidRPr="00C21C85">
              <w:t xml:space="preserve">palielināt 3.3.1.3.aktivitātē pieejamo Kohēzijas fonda līdzfinansējuma </w:t>
            </w:r>
            <w:r w:rsidR="00F63F27">
              <w:t>apmēru</w:t>
            </w:r>
            <w:r w:rsidR="00424F2E" w:rsidRPr="00C21C85">
              <w:t xml:space="preserve"> par</w:t>
            </w:r>
            <w:r w:rsidR="00564DCD" w:rsidRPr="00C21C85">
              <w:t xml:space="preserve"> </w:t>
            </w:r>
            <w:r w:rsidR="00564DCD" w:rsidRPr="00C21C85">
              <w:rPr>
                <w:bCs/>
              </w:rPr>
              <w:t xml:space="preserve">757 731 </w:t>
            </w:r>
            <w:r w:rsidR="00564DCD" w:rsidRPr="00C21C85">
              <w:rPr>
                <w:bCs/>
                <w:i/>
              </w:rPr>
              <w:t>euro</w:t>
            </w:r>
            <w:r w:rsidR="00564DCD" w:rsidRPr="00C21C85">
              <w:rPr>
                <w:bCs/>
              </w:rPr>
              <w:t>.</w:t>
            </w:r>
          </w:p>
        </w:tc>
      </w:tr>
      <w:tr w:rsidR="00385F0D" w:rsidRPr="00427146" w:rsidTr="007528EE">
        <w:trPr>
          <w:trHeight w:val="46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lastRenderedPageBreak/>
              <w:t>3.</w:t>
            </w:r>
          </w:p>
        </w:tc>
        <w:tc>
          <w:tcPr>
            <w:tcW w:w="1132" w:type="pct"/>
            <w:hideMark/>
          </w:tcPr>
          <w:p w:rsidR="00385F0D" w:rsidRPr="00427146" w:rsidRDefault="00385F0D">
            <w:pPr>
              <w:rPr>
                <w:color w:val="000000"/>
              </w:rPr>
            </w:pPr>
            <w:r w:rsidRPr="00427146">
              <w:rPr>
                <w:color w:val="000000"/>
              </w:rPr>
              <w:t>Projekta izstrādē iesaistītās institūcijas</w:t>
            </w:r>
          </w:p>
        </w:tc>
        <w:tc>
          <w:tcPr>
            <w:tcW w:w="3590" w:type="pct"/>
            <w:hideMark/>
          </w:tcPr>
          <w:p w:rsidR="00385F0D" w:rsidRPr="00427146" w:rsidRDefault="00C62304" w:rsidP="001A0661">
            <w:pPr>
              <w:ind w:right="72"/>
              <w:jc w:val="both"/>
              <w:rPr>
                <w:color w:val="000000"/>
              </w:rPr>
            </w:pPr>
            <w:r w:rsidRPr="00C62304">
              <w:rPr>
                <w:color w:val="000000" w:themeColor="text1"/>
              </w:rPr>
              <w:t>Nav attiecināms</w:t>
            </w:r>
          </w:p>
        </w:tc>
      </w:tr>
      <w:tr w:rsidR="00385F0D" w:rsidRPr="00427146" w:rsidTr="007528EE">
        <w:trPr>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132" w:type="pct"/>
            <w:hideMark/>
          </w:tcPr>
          <w:p w:rsidR="00385F0D" w:rsidRPr="00427146" w:rsidRDefault="00385F0D">
            <w:pPr>
              <w:rPr>
                <w:color w:val="000000"/>
              </w:rPr>
            </w:pPr>
            <w:r w:rsidRPr="00427146">
              <w:rPr>
                <w:color w:val="000000"/>
              </w:rPr>
              <w:t>Cita informācija</w:t>
            </w:r>
          </w:p>
        </w:tc>
        <w:tc>
          <w:tcPr>
            <w:tcW w:w="0" w:type="auto"/>
            <w:hideMark/>
          </w:tcPr>
          <w:p w:rsidR="00FF0B14" w:rsidRDefault="00385F0D" w:rsidP="00C62304">
            <w:pPr>
              <w:ind w:right="72"/>
              <w:jc w:val="both"/>
              <w:rPr>
                <w:color w:val="000000" w:themeColor="text1"/>
              </w:rPr>
            </w:pPr>
            <w:r w:rsidRPr="00FF0B14">
              <w:rPr>
                <w:color w:val="000000" w:themeColor="text1"/>
              </w:rPr>
              <w:t xml:space="preserve">Sabiedrības līdzdalība noteikumu projekta izstrādē netika nodrošināta, jo </w:t>
            </w:r>
            <w:r w:rsidR="00572572" w:rsidRPr="00FF0B14">
              <w:rPr>
                <w:color w:val="000000" w:themeColor="text1"/>
              </w:rPr>
              <w:t xml:space="preserve">noteikumu </w:t>
            </w:r>
            <w:r w:rsidRPr="00FF0B14">
              <w:rPr>
                <w:color w:val="000000" w:themeColor="text1"/>
              </w:rPr>
              <w:t xml:space="preserve">projekts </w:t>
            </w:r>
            <w:r w:rsidR="006C22C7" w:rsidRPr="00FF0B14">
              <w:rPr>
                <w:color w:val="000000" w:themeColor="text1"/>
              </w:rPr>
              <w:t xml:space="preserve">būtiski </w:t>
            </w:r>
            <w:r w:rsidRPr="00FF0B14">
              <w:rPr>
                <w:color w:val="000000" w:themeColor="text1"/>
              </w:rPr>
              <w:t>nemain</w:t>
            </w:r>
            <w:r w:rsidR="006C22C7" w:rsidRPr="00FF0B14">
              <w:rPr>
                <w:color w:val="000000" w:themeColor="text1"/>
              </w:rPr>
              <w:t>a pastāvošo tiesisko regulējumu</w:t>
            </w:r>
            <w:r w:rsidRPr="00FF0B14">
              <w:rPr>
                <w:color w:val="000000" w:themeColor="text1"/>
              </w:rPr>
              <w:t>.</w:t>
            </w:r>
            <w:r w:rsidR="00C62304" w:rsidRPr="00FF0B14">
              <w:rPr>
                <w:color w:val="000000" w:themeColor="text1"/>
              </w:rPr>
              <w:t xml:space="preserve"> </w:t>
            </w:r>
          </w:p>
          <w:p w:rsidR="00C62304" w:rsidRPr="00FF0B14" w:rsidRDefault="00FF0B14" w:rsidP="007528EE">
            <w:pPr>
              <w:ind w:right="72"/>
              <w:jc w:val="both"/>
              <w:rPr>
                <w:color w:val="000000" w:themeColor="text1"/>
              </w:rPr>
            </w:pPr>
            <w:r>
              <w:rPr>
                <w:color w:val="000000" w:themeColor="text1"/>
              </w:rPr>
              <w:t>N</w:t>
            </w:r>
            <w:r w:rsidR="00C62304" w:rsidRPr="00FF0B14">
              <w:rPr>
                <w:color w:val="000000" w:themeColor="text1"/>
              </w:rPr>
              <w:t>oteikumu projekta sagatavošanā izmantots</w:t>
            </w:r>
            <w:r w:rsidR="007528EE" w:rsidRPr="007528EE">
              <w:t xml:space="preserve"> </w:t>
            </w:r>
            <w:r w:rsidR="007528EE" w:rsidRPr="007528EE">
              <w:rPr>
                <w:color w:val="000000" w:themeColor="text1"/>
              </w:rPr>
              <w:t>Slēgšanas pamatnostādnes</w:t>
            </w:r>
            <w:r w:rsidR="007528EE">
              <w:rPr>
                <w:color w:val="000000" w:themeColor="text1"/>
              </w:rPr>
              <w:t xml:space="preserve"> un</w:t>
            </w:r>
            <w:r w:rsidR="00C62304" w:rsidRPr="00FF0B14">
              <w:rPr>
                <w:color w:val="000000" w:themeColor="text1"/>
              </w:rPr>
              <w:t xml:space="preserve"> Eiropas Savienības struktūrfondu un Kohēzijas fonda vadošās iestādes 2015.gada </w:t>
            </w:r>
            <w:r w:rsidR="007528EE">
              <w:rPr>
                <w:color w:val="000000" w:themeColor="text1"/>
              </w:rPr>
              <w:t>22</w:t>
            </w:r>
            <w:r w:rsidR="00C62304" w:rsidRPr="00FF0B14">
              <w:rPr>
                <w:color w:val="000000" w:themeColor="text1"/>
              </w:rPr>
              <w:t>.jū</w:t>
            </w:r>
            <w:r w:rsidR="007528EE">
              <w:rPr>
                <w:color w:val="000000" w:themeColor="text1"/>
              </w:rPr>
              <w:t>lija</w:t>
            </w:r>
            <w:r w:rsidR="00C62304" w:rsidRPr="00FF0B14">
              <w:rPr>
                <w:color w:val="000000" w:themeColor="text1"/>
              </w:rPr>
              <w:t xml:space="preserve"> skaidrojums “Par VI vadlīniju attiecināmo un neattiecināmo izmaksu noteikšanai 2007.-2013.gad</w:t>
            </w:r>
            <w:r w:rsidR="007528EE">
              <w:rPr>
                <w:color w:val="000000" w:themeColor="text1"/>
              </w:rPr>
              <w:t>a plānošanas periodā 43.punktu”.</w:t>
            </w:r>
          </w:p>
        </w:tc>
      </w:tr>
    </w:tbl>
    <w:p w:rsidR="00B239CC" w:rsidRPr="006B0B81" w:rsidRDefault="00B239CC" w:rsidP="00B239CC">
      <w:pPr>
        <w:ind w:left="425" w:hanging="79"/>
        <w:jc w:val="both"/>
        <w:rPr>
          <w:i/>
          <w:iCs/>
          <w:color w:val="000000"/>
          <w:sz w:val="16"/>
          <w:szCs w:val="16"/>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0"/>
        <w:gridCol w:w="2572"/>
        <w:gridCol w:w="6653"/>
      </w:tblGrid>
      <w:tr w:rsidR="00AA00A2" w:rsidRPr="00427146" w:rsidTr="006E2DAC">
        <w:trPr>
          <w:trHeight w:val="519"/>
          <w:tblCellSpacing w:w="15" w:type="dxa"/>
        </w:trPr>
        <w:tc>
          <w:tcPr>
            <w:tcW w:w="4968" w:type="pct"/>
            <w:gridSpan w:val="3"/>
            <w:vAlign w:val="center"/>
            <w:hideMark/>
          </w:tcPr>
          <w:p w:rsidR="007E1737" w:rsidRPr="00427146" w:rsidRDefault="007E1737" w:rsidP="00541F62">
            <w:pPr>
              <w:spacing w:before="100" w:beforeAutospacing="1" w:after="100" w:afterAutospacing="1"/>
              <w:ind w:firstLine="346"/>
              <w:jc w:val="center"/>
              <w:rPr>
                <w:b/>
                <w:bCs/>
                <w:color w:val="000000"/>
              </w:rPr>
            </w:pPr>
            <w:r w:rsidRPr="00427146">
              <w:rPr>
                <w:color w:val="000000"/>
              </w:rPr>
              <w:t> </w:t>
            </w:r>
            <w:r w:rsidRPr="00427146">
              <w:rPr>
                <w:b/>
                <w:bCs/>
                <w:color w:val="000000"/>
              </w:rPr>
              <w:t>IV. Tiesību akta projekta ietekme uz spēkā esošo tiesību normu sistēmu</w:t>
            </w:r>
          </w:p>
        </w:tc>
      </w:tr>
      <w:tr w:rsidR="007E1737" w:rsidRPr="00427146" w:rsidTr="006E2DAC">
        <w:trPr>
          <w:trHeight w:val="465"/>
          <w:tblCellSpacing w:w="15" w:type="dxa"/>
        </w:trPr>
        <w:tc>
          <w:tcPr>
            <w:tcW w:w="201" w:type="pct"/>
            <w:hideMark/>
          </w:tcPr>
          <w:p w:rsidR="007E1737" w:rsidRPr="00427146" w:rsidRDefault="007E1737" w:rsidP="00541F62">
            <w:pPr>
              <w:rPr>
                <w:color w:val="000000"/>
              </w:rPr>
            </w:pPr>
            <w:r w:rsidRPr="00427146">
              <w:rPr>
                <w:color w:val="000000"/>
              </w:rPr>
              <w:t>1.</w:t>
            </w:r>
          </w:p>
        </w:tc>
        <w:tc>
          <w:tcPr>
            <w:tcW w:w="1324" w:type="pct"/>
            <w:hideMark/>
          </w:tcPr>
          <w:p w:rsidR="007E1737" w:rsidRPr="00427146" w:rsidRDefault="007E1737" w:rsidP="007E1737">
            <w:pPr>
              <w:rPr>
                <w:color w:val="000000"/>
              </w:rPr>
            </w:pPr>
            <w:r w:rsidRPr="00427146">
              <w:rPr>
                <w:color w:val="000000"/>
              </w:rPr>
              <w:t>Nepieciešamie saistītie tiesību aktu projekti</w:t>
            </w:r>
          </w:p>
        </w:tc>
        <w:tc>
          <w:tcPr>
            <w:tcW w:w="3412" w:type="pct"/>
            <w:hideMark/>
          </w:tcPr>
          <w:p w:rsidR="007E1737" w:rsidRPr="00427146" w:rsidRDefault="007528EE" w:rsidP="00F63F27">
            <w:pPr>
              <w:ind w:right="72"/>
              <w:jc w:val="both"/>
              <w:rPr>
                <w:color w:val="000000"/>
              </w:rPr>
            </w:pPr>
            <w:r w:rsidRPr="007528EE">
              <w:rPr>
                <w:color w:val="000000"/>
              </w:rPr>
              <w:t xml:space="preserve">Vienlaicīgi ar Ministru kabineta noteikumu projektu tiek virzīti grozījumi </w:t>
            </w:r>
            <w:r w:rsidR="00F63F27" w:rsidRPr="00F63F27">
              <w:rPr>
                <w:color w:val="000000"/>
              </w:rPr>
              <w:t>Ministru kabineta 2009.gada 15.decembra noteikumos Nr.1476 „Noteikumi par darbības programmas „Infrastruktūra un pakalpojumi” papildinājuma 3.3.1.4. aktivitāti „Lidostas infrastruktūras attīstība””</w:t>
            </w:r>
            <w:r w:rsidRPr="007528EE">
              <w:rPr>
                <w:color w:val="000000"/>
              </w:rPr>
              <w:t>, samazinot 3.3.1.</w:t>
            </w:r>
            <w:r w:rsidR="00F63F27">
              <w:rPr>
                <w:color w:val="000000"/>
              </w:rPr>
              <w:t>4</w:t>
            </w:r>
            <w:r w:rsidRPr="007528EE">
              <w:rPr>
                <w:color w:val="000000"/>
              </w:rPr>
              <w:t>.aktivitāt</w:t>
            </w:r>
            <w:r w:rsidR="00F63F27">
              <w:rPr>
                <w:color w:val="000000"/>
              </w:rPr>
              <w:t>ē</w:t>
            </w:r>
            <w:r w:rsidRPr="007528EE">
              <w:rPr>
                <w:color w:val="000000"/>
              </w:rPr>
              <w:t xml:space="preserve"> </w:t>
            </w:r>
            <w:r w:rsidR="00F63F27" w:rsidRPr="00F63F27">
              <w:rPr>
                <w:color w:val="000000"/>
              </w:rPr>
              <w:t xml:space="preserve">pieejamo Kohēzijas fonda līdzfinansējuma </w:t>
            </w:r>
            <w:r w:rsidRPr="007528EE">
              <w:rPr>
                <w:color w:val="000000"/>
              </w:rPr>
              <w:t>apmēru;</w:t>
            </w:r>
          </w:p>
        </w:tc>
      </w:tr>
      <w:tr w:rsidR="007E1737" w:rsidRPr="00427146" w:rsidTr="006E2DAC">
        <w:trPr>
          <w:trHeight w:val="435"/>
          <w:tblCellSpacing w:w="15" w:type="dxa"/>
        </w:trPr>
        <w:tc>
          <w:tcPr>
            <w:tcW w:w="201" w:type="pct"/>
            <w:hideMark/>
          </w:tcPr>
          <w:p w:rsidR="007E1737" w:rsidRPr="00427146" w:rsidRDefault="007E1737" w:rsidP="00541F62">
            <w:pPr>
              <w:rPr>
                <w:color w:val="000000"/>
              </w:rPr>
            </w:pPr>
            <w:r w:rsidRPr="00427146">
              <w:rPr>
                <w:color w:val="000000"/>
              </w:rPr>
              <w:lastRenderedPageBreak/>
              <w:t>2.</w:t>
            </w:r>
          </w:p>
        </w:tc>
        <w:tc>
          <w:tcPr>
            <w:tcW w:w="1324" w:type="pct"/>
            <w:hideMark/>
          </w:tcPr>
          <w:p w:rsidR="007E1737" w:rsidRPr="00427146" w:rsidRDefault="007E1737" w:rsidP="007E1737">
            <w:pPr>
              <w:rPr>
                <w:color w:val="000000"/>
              </w:rPr>
            </w:pPr>
            <w:r w:rsidRPr="00427146">
              <w:rPr>
                <w:color w:val="000000"/>
              </w:rPr>
              <w:t>Atbildīgā institūcija</w:t>
            </w:r>
          </w:p>
        </w:tc>
        <w:tc>
          <w:tcPr>
            <w:tcW w:w="3412" w:type="pct"/>
            <w:hideMark/>
          </w:tcPr>
          <w:p w:rsidR="007E1737" w:rsidRPr="00427146" w:rsidRDefault="00F63F27" w:rsidP="00F83515">
            <w:pPr>
              <w:jc w:val="both"/>
              <w:rPr>
                <w:color w:val="000000"/>
              </w:rPr>
            </w:pPr>
            <w:r w:rsidRPr="00F63F27">
              <w:rPr>
                <w:bCs/>
                <w:color w:val="000000"/>
              </w:rPr>
              <w:t>Par anotācijas IV.sadaļas 1.punktā minētā Ministru kabineta noteikumu projekta izstrādi atbildīga ir Satiksmes ministrija un tas tiks virzīts izskatīšanai Ministru kabinetā vienlaikus ar šo Ministru kabineta noteikumu projektu.</w:t>
            </w:r>
          </w:p>
        </w:tc>
      </w:tr>
      <w:tr w:rsidR="007E1737" w:rsidRPr="00427146" w:rsidTr="006E2DAC">
        <w:trPr>
          <w:trHeight w:val="457"/>
          <w:tblCellSpacing w:w="15" w:type="dxa"/>
        </w:trPr>
        <w:tc>
          <w:tcPr>
            <w:tcW w:w="201" w:type="pct"/>
            <w:hideMark/>
          </w:tcPr>
          <w:p w:rsidR="007E1737" w:rsidRPr="00427146" w:rsidRDefault="007E1737" w:rsidP="00541F62">
            <w:pPr>
              <w:rPr>
                <w:color w:val="000000"/>
              </w:rPr>
            </w:pPr>
            <w:r w:rsidRPr="00427146">
              <w:rPr>
                <w:color w:val="000000"/>
              </w:rPr>
              <w:t>3.</w:t>
            </w:r>
          </w:p>
        </w:tc>
        <w:tc>
          <w:tcPr>
            <w:tcW w:w="1324" w:type="pct"/>
            <w:hideMark/>
          </w:tcPr>
          <w:p w:rsidR="007E1737" w:rsidRPr="00427146" w:rsidRDefault="007E1737" w:rsidP="00541F62">
            <w:pPr>
              <w:rPr>
                <w:color w:val="000000"/>
              </w:rPr>
            </w:pPr>
            <w:r w:rsidRPr="00427146">
              <w:rPr>
                <w:color w:val="000000"/>
              </w:rPr>
              <w:t>Cita informācija</w:t>
            </w:r>
          </w:p>
        </w:tc>
        <w:tc>
          <w:tcPr>
            <w:tcW w:w="3412" w:type="pct"/>
            <w:hideMark/>
          </w:tcPr>
          <w:p w:rsidR="007E1737" w:rsidRPr="002E68B5" w:rsidRDefault="002C5C78" w:rsidP="00611050">
            <w:pPr>
              <w:jc w:val="both"/>
              <w:rPr>
                <w:color w:val="000000"/>
              </w:rPr>
            </w:pPr>
            <w:r>
              <w:rPr>
                <w:color w:val="000000"/>
              </w:rPr>
              <w:t>Nav</w:t>
            </w:r>
          </w:p>
        </w:tc>
      </w:tr>
    </w:tbl>
    <w:p w:rsidR="00554D15" w:rsidRDefault="00554D15" w:rsidP="00385A38">
      <w:pPr>
        <w:rPr>
          <w:color w:val="000000"/>
          <w:sz w:val="28"/>
          <w:szCs w:val="28"/>
        </w:rPr>
      </w:pPr>
    </w:p>
    <w:p w:rsidR="00F63F27" w:rsidRPr="00D738A2" w:rsidRDefault="00F63F27" w:rsidP="00F63F27">
      <w:pPr>
        <w:jc w:val="both"/>
        <w:rPr>
          <w:color w:val="000000"/>
          <w:szCs w:val="28"/>
        </w:rPr>
      </w:pPr>
      <w:r w:rsidRPr="00D738A2">
        <w:rPr>
          <w:color w:val="000000"/>
          <w:szCs w:val="28"/>
        </w:rPr>
        <w:t xml:space="preserve">Anotācijas II, III, V, VI un VII sadaļa – projekts šīs jomas neskar. </w:t>
      </w:r>
    </w:p>
    <w:p w:rsidR="00F63F27" w:rsidRPr="00D738A2" w:rsidRDefault="00F63F27" w:rsidP="00F63F27">
      <w:pPr>
        <w:jc w:val="both"/>
        <w:rPr>
          <w:color w:val="000000"/>
          <w:szCs w:val="28"/>
        </w:rPr>
      </w:pPr>
    </w:p>
    <w:p w:rsidR="00D738A2" w:rsidRDefault="00D738A2"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F63F27" w:rsidRPr="00D738A2" w:rsidRDefault="00F63F27" w:rsidP="00F63F27">
      <w:pPr>
        <w:jc w:val="both"/>
        <w:rPr>
          <w:color w:val="000000"/>
          <w:szCs w:val="28"/>
        </w:rPr>
      </w:pPr>
      <w:r w:rsidRPr="00D738A2">
        <w:rPr>
          <w:color w:val="000000"/>
          <w:szCs w:val="28"/>
        </w:rPr>
        <w:t>Satiksmes ministrs</w:t>
      </w:r>
      <w:r w:rsidRPr="00D738A2">
        <w:rPr>
          <w:color w:val="000000"/>
          <w:szCs w:val="28"/>
        </w:rPr>
        <w:tab/>
      </w:r>
      <w:r w:rsidRPr="00D738A2">
        <w:rPr>
          <w:color w:val="000000"/>
          <w:szCs w:val="28"/>
        </w:rPr>
        <w:tab/>
      </w:r>
      <w:r w:rsidRPr="00D738A2">
        <w:rPr>
          <w:color w:val="000000"/>
          <w:szCs w:val="28"/>
        </w:rPr>
        <w:tab/>
      </w:r>
      <w:r w:rsidRPr="00D738A2">
        <w:rPr>
          <w:color w:val="000000"/>
          <w:szCs w:val="28"/>
        </w:rPr>
        <w:tab/>
      </w:r>
      <w:r w:rsidRPr="00D738A2">
        <w:rPr>
          <w:color w:val="000000"/>
          <w:szCs w:val="28"/>
        </w:rPr>
        <w:tab/>
      </w:r>
      <w:r w:rsidR="00CA779E" w:rsidRPr="00D738A2">
        <w:rPr>
          <w:color w:val="000000"/>
          <w:szCs w:val="28"/>
        </w:rPr>
        <w:tab/>
      </w:r>
      <w:r w:rsidR="00CA779E" w:rsidRPr="00D738A2">
        <w:rPr>
          <w:color w:val="000000"/>
          <w:szCs w:val="28"/>
        </w:rPr>
        <w:tab/>
      </w:r>
      <w:r w:rsidR="00CA779E" w:rsidRPr="00D738A2">
        <w:rPr>
          <w:color w:val="000000"/>
          <w:szCs w:val="28"/>
        </w:rPr>
        <w:tab/>
      </w:r>
      <w:r w:rsidRPr="00D738A2">
        <w:rPr>
          <w:color w:val="000000"/>
          <w:szCs w:val="28"/>
        </w:rPr>
        <w:t>A.Matīss</w:t>
      </w:r>
    </w:p>
    <w:p w:rsidR="00F63F27" w:rsidRDefault="00F63F27" w:rsidP="00F63F27">
      <w:pPr>
        <w:jc w:val="both"/>
        <w:rPr>
          <w:color w:val="000000"/>
          <w:szCs w:val="28"/>
        </w:rPr>
      </w:pPr>
    </w:p>
    <w:p w:rsidR="00137623" w:rsidRDefault="00137623" w:rsidP="00F63F27">
      <w:pPr>
        <w:jc w:val="both"/>
        <w:rPr>
          <w:color w:val="000000"/>
          <w:szCs w:val="28"/>
        </w:rPr>
      </w:pPr>
    </w:p>
    <w:p w:rsidR="00137623" w:rsidRDefault="00137623" w:rsidP="00F63F27">
      <w:pPr>
        <w:jc w:val="both"/>
        <w:rPr>
          <w:color w:val="000000"/>
          <w:szCs w:val="28"/>
        </w:rPr>
      </w:pPr>
    </w:p>
    <w:p w:rsidR="00137623" w:rsidRPr="00D738A2" w:rsidRDefault="00137623" w:rsidP="00F63F27">
      <w:pPr>
        <w:jc w:val="both"/>
        <w:rPr>
          <w:color w:val="000000"/>
          <w:szCs w:val="28"/>
        </w:rPr>
      </w:pPr>
    </w:p>
    <w:p w:rsidR="00F63F27" w:rsidRPr="00D738A2" w:rsidRDefault="00F63F27" w:rsidP="00F63F27">
      <w:pPr>
        <w:jc w:val="both"/>
        <w:rPr>
          <w:color w:val="000000"/>
          <w:szCs w:val="28"/>
        </w:rPr>
      </w:pPr>
      <w:r w:rsidRPr="00D738A2">
        <w:rPr>
          <w:color w:val="000000"/>
          <w:szCs w:val="28"/>
        </w:rPr>
        <w:t>Vīza: Valsts sekretārs</w:t>
      </w:r>
      <w:r w:rsidRPr="00D738A2">
        <w:rPr>
          <w:color w:val="000000"/>
          <w:szCs w:val="28"/>
        </w:rPr>
        <w:tab/>
      </w:r>
      <w:r w:rsidRPr="00D738A2">
        <w:rPr>
          <w:color w:val="000000"/>
          <w:szCs w:val="28"/>
        </w:rPr>
        <w:tab/>
      </w:r>
      <w:r w:rsidRPr="00D738A2">
        <w:rPr>
          <w:color w:val="000000"/>
          <w:szCs w:val="28"/>
        </w:rPr>
        <w:tab/>
      </w:r>
      <w:r w:rsidRPr="00D738A2">
        <w:rPr>
          <w:color w:val="000000"/>
          <w:szCs w:val="28"/>
        </w:rPr>
        <w:tab/>
      </w:r>
      <w:r w:rsidRPr="00D738A2">
        <w:rPr>
          <w:color w:val="000000"/>
          <w:szCs w:val="28"/>
        </w:rPr>
        <w:tab/>
      </w:r>
      <w:r w:rsidR="00CA779E" w:rsidRPr="00D738A2">
        <w:rPr>
          <w:color w:val="000000"/>
          <w:szCs w:val="28"/>
        </w:rPr>
        <w:tab/>
      </w:r>
      <w:r w:rsidR="00CA779E" w:rsidRPr="00D738A2">
        <w:rPr>
          <w:color w:val="000000"/>
          <w:szCs w:val="28"/>
        </w:rPr>
        <w:tab/>
      </w:r>
      <w:r w:rsidR="00D738A2">
        <w:rPr>
          <w:color w:val="000000"/>
          <w:szCs w:val="28"/>
        </w:rPr>
        <w:tab/>
      </w:r>
      <w:r w:rsidRPr="00D738A2">
        <w:rPr>
          <w:color w:val="000000"/>
          <w:szCs w:val="28"/>
        </w:rPr>
        <w:t>K.Ozoliņš</w:t>
      </w:r>
    </w:p>
    <w:p w:rsidR="00F63F27" w:rsidRDefault="00F63F27" w:rsidP="00F63F27">
      <w:pPr>
        <w:jc w:val="both"/>
        <w:rPr>
          <w:color w:val="000000"/>
          <w:sz w:val="28"/>
          <w:szCs w:val="28"/>
        </w:rPr>
      </w:pPr>
    </w:p>
    <w:p w:rsidR="00D738A2" w:rsidRDefault="00D738A2" w:rsidP="00F63F27">
      <w:pPr>
        <w:jc w:val="both"/>
        <w:rPr>
          <w:color w:val="000000"/>
          <w:sz w:val="28"/>
          <w:szCs w:val="28"/>
        </w:rPr>
      </w:pPr>
    </w:p>
    <w:p w:rsidR="00137623" w:rsidRDefault="00137623" w:rsidP="00F63F27">
      <w:pPr>
        <w:jc w:val="both"/>
        <w:rPr>
          <w:color w:val="000000"/>
          <w:sz w:val="28"/>
          <w:szCs w:val="28"/>
        </w:rPr>
      </w:pPr>
    </w:p>
    <w:p w:rsidR="00137623" w:rsidRDefault="00137623" w:rsidP="00F63F27">
      <w:pPr>
        <w:jc w:val="both"/>
        <w:rPr>
          <w:color w:val="000000"/>
          <w:sz w:val="28"/>
          <w:szCs w:val="28"/>
        </w:rPr>
      </w:pPr>
    </w:p>
    <w:p w:rsidR="00137623" w:rsidRPr="00F63F27" w:rsidRDefault="00137623" w:rsidP="00F63F27">
      <w:pPr>
        <w:jc w:val="both"/>
        <w:rPr>
          <w:color w:val="000000"/>
          <w:sz w:val="28"/>
          <w:szCs w:val="28"/>
        </w:rPr>
      </w:pPr>
    </w:p>
    <w:p w:rsidR="00F63F27" w:rsidRDefault="00D738A2" w:rsidP="00F63F27">
      <w:pPr>
        <w:jc w:val="both"/>
        <w:rPr>
          <w:color w:val="000000"/>
          <w:sz w:val="20"/>
          <w:szCs w:val="20"/>
        </w:rPr>
      </w:pPr>
      <w:r w:rsidRPr="00D738A2">
        <w:rPr>
          <w:color w:val="000000"/>
          <w:sz w:val="20"/>
          <w:szCs w:val="20"/>
        </w:rPr>
        <w:fldChar w:fldCharType="begin"/>
      </w:r>
      <w:r w:rsidRPr="00D738A2">
        <w:rPr>
          <w:color w:val="000000"/>
          <w:sz w:val="20"/>
          <w:szCs w:val="20"/>
        </w:rPr>
        <w:instrText xml:space="preserve"> TIME \@ "dd.MM.yyyy." </w:instrText>
      </w:r>
      <w:r w:rsidRPr="00D738A2">
        <w:rPr>
          <w:color w:val="000000"/>
          <w:sz w:val="20"/>
          <w:szCs w:val="20"/>
        </w:rPr>
        <w:fldChar w:fldCharType="separate"/>
      </w:r>
      <w:r w:rsidR="009A627F">
        <w:rPr>
          <w:noProof/>
          <w:color w:val="000000"/>
          <w:sz w:val="20"/>
          <w:szCs w:val="20"/>
        </w:rPr>
        <w:t>23.10.2015.</w:t>
      </w:r>
      <w:r w:rsidRPr="00D738A2">
        <w:rPr>
          <w:color w:val="000000"/>
          <w:sz w:val="20"/>
          <w:szCs w:val="20"/>
        </w:rPr>
        <w:fldChar w:fldCharType="end"/>
      </w:r>
    </w:p>
    <w:p w:rsidR="00137623" w:rsidRDefault="00137623" w:rsidP="00F63F27">
      <w:pPr>
        <w:jc w:val="both"/>
        <w:rPr>
          <w:color w:val="000000"/>
          <w:sz w:val="20"/>
          <w:szCs w:val="20"/>
        </w:rPr>
      </w:pPr>
      <w:r>
        <w:rPr>
          <w:color w:val="000000"/>
          <w:sz w:val="20"/>
          <w:szCs w:val="20"/>
        </w:rPr>
        <w:t>1</w:t>
      </w:r>
      <w:r w:rsidR="00E27A7F">
        <w:rPr>
          <w:color w:val="000000"/>
          <w:sz w:val="20"/>
          <w:szCs w:val="20"/>
        </w:rPr>
        <w:t>7</w:t>
      </w:r>
      <w:r w:rsidR="0097265C">
        <w:rPr>
          <w:color w:val="000000"/>
          <w:sz w:val="20"/>
          <w:szCs w:val="20"/>
        </w:rPr>
        <w:t>73</w:t>
      </w:r>
    </w:p>
    <w:p w:rsidR="00F63F27" w:rsidRPr="00F63F27" w:rsidRDefault="00F63F27" w:rsidP="00F63F27">
      <w:pPr>
        <w:jc w:val="both"/>
        <w:rPr>
          <w:color w:val="000000"/>
          <w:sz w:val="20"/>
          <w:szCs w:val="28"/>
        </w:rPr>
      </w:pPr>
      <w:r w:rsidRPr="00F63F27">
        <w:rPr>
          <w:color w:val="000000"/>
          <w:sz w:val="20"/>
          <w:szCs w:val="28"/>
        </w:rPr>
        <w:t>A.Strods</w:t>
      </w:r>
      <w:r w:rsidRPr="00F63F27">
        <w:rPr>
          <w:color w:val="000000"/>
          <w:sz w:val="20"/>
          <w:szCs w:val="28"/>
        </w:rPr>
        <w:tab/>
      </w:r>
    </w:p>
    <w:p w:rsidR="00F63F27" w:rsidRPr="00F63F27" w:rsidRDefault="00F63F27" w:rsidP="00F63F27">
      <w:pPr>
        <w:jc w:val="both"/>
        <w:rPr>
          <w:bCs/>
          <w:color w:val="000000"/>
          <w:sz w:val="20"/>
          <w:szCs w:val="28"/>
        </w:rPr>
      </w:pPr>
      <w:r w:rsidRPr="00F63F27">
        <w:rPr>
          <w:bCs/>
          <w:color w:val="000000"/>
          <w:sz w:val="20"/>
          <w:szCs w:val="28"/>
        </w:rPr>
        <w:t xml:space="preserve">67028038, </w:t>
      </w:r>
      <w:hyperlink r:id="rId9" w:history="1">
        <w:r w:rsidRPr="00F63F27">
          <w:rPr>
            <w:rStyle w:val="Hyperlink"/>
            <w:bCs/>
            <w:sz w:val="20"/>
            <w:szCs w:val="28"/>
          </w:rPr>
          <w:t>andis.strods@sam.gov.lv</w:t>
        </w:r>
      </w:hyperlink>
    </w:p>
    <w:sectPr w:rsidR="00F63F27" w:rsidRPr="00F63F27" w:rsidSect="006B0B81">
      <w:headerReference w:type="even" r:id="rId10"/>
      <w:headerReference w:type="default" r:id="rId11"/>
      <w:footerReference w:type="default" r:id="rId12"/>
      <w:headerReference w:type="first" r:id="rId13"/>
      <w:footerReference w:type="first" r:id="rId14"/>
      <w:pgSz w:w="11906" w:h="16838"/>
      <w:pgMar w:top="1134"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C4" w:rsidRDefault="00A32FC4">
      <w:r>
        <w:separator/>
      </w:r>
    </w:p>
  </w:endnote>
  <w:endnote w:type="continuationSeparator" w:id="0">
    <w:p w:rsidR="00A32FC4" w:rsidRDefault="00A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27" w:rsidRPr="00F63F27" w:rsidRDefault="00F63F27" w:rsidP="00F63F27">
    <w:pPr>
      <w:pStyle w:val="Footer"/>
      <w:jc w:val="both"/>
      <w:rPr>
        <w:sz w:val="20"/>
        <w:szCs w:val="20"/>
      </w:rPr>
    </w:pPr>
    <w:r w:rsidRPr="00F63F27">
      <w:rPr>
        <w:sz w:val="20"/>
        <w:szCs w:val="20"/>
      </w:rPr>
      <w:t>SAManot_</w:t>
    </w:r>
    <w:r w:rsidR="0097265C">
      <w:rPr>
        <w:sz w:val="20"/>
        <w:szCs w:val="20"/>
      </w:rPr>
      <w:t>23</w:t>
    </w:r>
    <w:r>
      <w:rPr>
        <w:sz w:val="20"/>
        <w:szCs w:val="20"/>
      </w:rPr>
      <w:t>10</w:t>
    </w:r>
    <w:r w:rsidRPr="00F63F27">
      <w:rPr>
        <w:sz w:val="20"/>
        <w:szCs w:val="20"/>
      </w:rPr>
      <w:t>15_ostas; Ministru kabineta noteikumu projekta „Grozījums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w:t>
    </w:r>
  </w:p>
  <w:p w:rsidR="00363AA8" w:rsidRPr="00F63F27" w:rsidRDefault="00363AA8" w:rsidP="00F63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27" w:rsidRPr="00F63F27" w:rsidRDefault="00F63F27" w:rsidP="00F63F27">
    <w:pPr>
      <w:pStyle w:val="Footer"/>
      <w:jc w:val="both"/>
      <w:rPr>
        <w:sz w:val="20"/>
        <w:szCs w:val="20"/>
      </w:rPr>
    </w:pPr>
    <w:r w:rsidRPr="00F63F27">
      <w:rPr>
        <w:sz w:val="20"/>
        <w:szCs w:val="20"/>
      </w:rPr>
      <w:t>SAManot_</w:t>
    </w:r>
    <w:r w:rsidR="0097265C">
      <w:rPr>
        <w:sz w:val="20"/>
        <w:szCs w:val="20"/>
      </w:rPr>
      <w:t>23</w:t>
    </w:r>
    <w:r w:rsidRPr="00F63F27">
      <w:rPr>
        <w:sz w:val="20"/>
        <w:szCs w:val="20"/>
      </w:rPr>
      <w:t>1015_ostas; Ministru kabineta noteikumu projekta „Grozījums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w:t>
    </w:r>
  </w:p>
  <w:p w:rsidR="00363AA8" w:rsidRPr="00F63F27" w:rsidRDefault="00363AA8" w:rsidP="00F63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C4" w:rsidRDefault="00A32FC4">
      <w:r>
        <w:separator/>
      </w:r>
    </w:p>
  </w:footnote>
  <w:footnote w:type="continuationSeparator" w:id="0">
    <w:p w:rsidR="00A32FC4" w:rsidRDefault="00A3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rsidR="00363AA8" w:rsidRDefault="0036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9A627F">
      <w:rPr>
        <w:rStyle w:val="PageNumber"/>
        <w:noProof/>
      </w:rPr>
      <w:t>5</w:t>
    </w:r>
    <w:r>
      <w:rPr>
        <w:rStyle w:val="PageNumber"/>
      </w:rPr>
      <w:fldChar w:fldCharType="end"/>
    </w:r>
  </w:p>
  <w:p w:rsidR="00363AA8" w:rsidRDefault="0036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86935"/>
      <w:docPartObj>
        <w:docPartGallery w:val="Page Numbers (Top of Page)"/>
        <w:docPartUnique/>
      </w:docPartObj>
    </w:sdtPr>
    <w:sdtEndPr>
      <w:rPr>
        <w:noProof/>
      </w:rPr>
    </w:sdtEndPr>
    <w:sdtContent>
      <w:p w:rsidR="00137623" w:rsidRDefault="00137623">
        <w:pPr>
          <w:pStyle w:val="Header"/>
          <w:jc w:val="center"/>
        </w:pPr>
        <w:r>
          <w:fldChar w:fldCharType="begin"/>
        </w:r>
        <w:r>
          <w:instrText xml:space="preserve"> PAGE   \* MERGEFORMAT </w:instrText>
        </w:r>
        <w:r>
          <w:fldChar w:fldCharType="separate"/>
        </w:r>
        <w:r w:rsidR="009A627F">
          <w:rPr>
            <w:noProof/>
          </w:rPr>
          <w:t>1</w:t>
        </w:r>
        <w:r>
          <w:rPr>
            <w:noProof/>
          </w:rPr>
          <w:fldChar w:fldCharType="end"/>
        </w:r>
      </w:p>
    </w:sdtContent>
  </w:sdt>
  <w:p w:rsidR="00137623" w:rsidRDefault="00137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6">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9">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2">
    <w:nsid w:val="234B29EA"/>
    <w:multiLevelType w:val="hybridMultilevel"/>
    <w:tmpl w:val="57387782"/>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5">
    <w:nsid w:val="2A041314"/>
    <w:multiLevelType w:val="hybridMultilevel"/>
    <w:tmpl w:val="EE8CF290"/>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0">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2">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5">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6">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9">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0">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3">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7">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num>
  <w:num w:numId="2">
    <w:abstractNumId w:val="13"/>
  </w:num>
  <w:num w:numId="3">
    <w:abstractNumId w:val="6"/>
  </w:num>
  <w:num w:numId="4">
    <w:abstractNumId w:val="24"/>
  </w:num>
  <w:num w:numId="5">
    <w:abstractNumId w:val="7"/>
  </w:num>
  <w:num w:numId="6">
    <w:abstractNumId w:val="18"/>
  </w:num>
  <w:num w:numId="7">
    <w:abstractNumId w:val="27"/>
  </w:num>
  <w:num w:numId="8">
    <w:abstractNumId w:val="31"/>
  </w:num>
  <w:num w:numId="9">
    <w:abstractNumId w:val="16"/>
  </w:num>
  <w:num w:numId="10">
    <w:abstractNumId w:val="35"/>
  </w:num>
  <w:num w:numId="11">
    <w:abstractNumId w:val="17"/>
  </w:num>
  <w:num w:numId="12">
    <w:abstractNumId w:val="28"/>
  </w:num>
  <w:num w:numId="13">
    <w:abstractNumId w:val="4"/>
  </w:num>
  <w:num w:numId="14">
    <w:abstractNumId w:val="21"/>
  </w:num>
  <w:num w:numId="15">
    <w:abstractNumId w:val="29"/>
  </w:num>
  <w:num w:numId="16">
    <w:abstractNumId w:val="14"/>
  </w:num>
  <w:num w:numId="17">
    <w:abstractNumId w:val="9"/>
  </w:num>
  <w:num w:numId="18">
    <w:abstractNumId w:val="0"/>
  </w:num>
  <w:num w:numId="19">
    <w:abstractNumId w:val="11"/>
  </w:num>
  <w:num w:numId="20">
    <w:abstractNumId w:val="23"/>
  </w:num>
  <w:num w:numId="21">
    <w:abstractNumId w:val="1"/>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8"/>
  </w:num>
  <w:num w:numId="26">
    <w:abstractNumId w:val="2"/>
  </w:num>
  <w:num w:numId="27">
    <w:abstractNumId w:val="32"/>
  </w:num>
  <w:num w:numId="28">
    <w:abstractNumId w:val="34"/>
  </w:num>
  <w:num w:numId="29">
    <w:abstractNumId w:val="36"/>
  </w:num>
  <w:num w:numId="30">
    <w:abstractNumId w:val="19"/>
  </w:num>
  <w:num w:numId="31">
    <w:abstractNumId w:val="5"/>
  </w:num>
  <w:num w:numId="32">
    <w:abstractNumId w:val="8"/>
  </w:num>
  <w:num w:numId="33">
    <w:abstractNumId w:val="26"/>
  </w:num>
  <w:num w:numId="34">
    <w:abstractNumId w:val="25"/>
  </w:num>
  <w:num w:numId="35">
    <w:abstractNumId w:val="20"/>
  </w:num>
  <w:num w:numId="36">
    <w:abstractNumId w:val="30"/>
  </w:num>
  <w:num w:numId="37">
    <w:abstractNumId w:val="3"/>
  </w:num>
  <w:num w:numId="38">
    <w:abstractNumId w:val="33"/>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07A7C"/>
    <w:rsid w:val="00010B2E"/>
    <w:rsid w:val="00010F8D"/>
    <w:rsid w:val="00011FC2"/>
    <w:rsid w:val="00013173"/>
    <w:rsid w:val="000138F8"/>
    <w:rsid w:val="000146B1"/>
    <w:rsid w:val="00014EFF"/>
    <w:rsid w:val="0001504A"/>
    <w:rsid w:val="00015BE4"/>
    <w:rsid w:val="00015EF9"/>
    <w:rsid w:val="00016057"/>
    <w:rsid w:val="0001649B"/>
    <w:rsid w:val="00016FEA"/>
    <w:rsid w:val="00017C6B"/>
    <w:rsid w:val="00020845"/>
    <w:rsid w:val="0002305A"/>
    <w:rsid w:val="00023562"/>
    <w:rsid w:val="00023621"/>
    <w:rsid w:val="00023887"/>
    <w:rsid w:val="00023C98"/>
    <w:rsid w:val="00024402"/>
    <w:rsid w:val="00024E2D"/>
    <w:rsid w:val="000267FA"/>
    <w:rsid w:val="00030818"/>
    <w:rsid w:val="00031D8D"/>
    <w:rsid w:val="0003225C"/>
    <w:rsid w:val="00033093"/>
    <w:rsid w:val="000333FC"/>
    <w:rsid w:val="0003366F"/>
    <w:rsid w:val="00033DA5"/>
    <w:rsid w:val="00034141"/>
    <w:rsid w:val="000341CB"/>
    <w:rsid w:val="0003431E"/>
    <w:rsid w:val="000353DC"/>
    <w:rsid w:val="00035450"/>
    <w:rsid w:val="00035EDF"/>
    <w:rsid w:val="0004064A"/>
    <w:rsid w:val="00040CB0"/>
    <w:rsid w:val="00041D4B"/>
    <w:rsid w:val="000433F8"/>
    <w:rsid w:val="000433F9"/>
    <w:rsid w:val="000434BF"/>
    <w:rsid w:val="00044274"/>
    <w:rsid w:val="00044482"/>
    <w:rsid w:val="0004470C"/>
    <w:rsid w:val="00045656"/>
    <w:rsid w:val="0004660D"/>
    <w:rsid w:val="000473CC"/>
    <w:rsid w:val="00047F28"/>
    <w:rsid w:val="0005008C"/>
    <w:rsid w:val="00050917"/>
    <w:rsid w:val="00051FC0"/>
    <w:rsid w:val="000543E3"/>
    <w:rsid w:val="00054ABA"/>
    <w:rsid w:val="00055287"/>
    <w:rsid w:val="00055A2E"/>
    <w:rsid w:val="0005783D"/>
    <w:rsid w:val="00057A45"/>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368C"/>
    <w:rsid w:val="000743A2"/>
    <w:rsid w:val="000755A1"/>
    <w:rsid w:val="000764DA"/>
    <w:rsid w:val="00076EF5"/>
    <w:rsid w:val="000778B6"/>
    <w:rsid w:val="00081BF2"/>
    <w:rsid w:val="000821FE"/>
    <w:rsid w:val="000831F6"/>
    <w:rsid w:val="00083DCD"/>
    <w:rsid w:val="00084EB5"/>
    <w:rsid w:val="000857C2"/>
    <w:rsid w:val="00086ED6"/>
    <w:rsid w:val="00087466"/>
    <w:rsid w:val="00087CCB"/>
    <w:rsid w:val="00091895"/>
    <w:rsid w:val="00091B6E"/>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447B"/>
    <w:rsid w:val="000B4D05"/>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80C"/>
    <w:rsid w:val="000D5969"/>
    <w:rsid w:val="000D6357"/>
    <w:rsid w:val="000D7089"/>
    <w:rsid w:val="000D709F"/>
    <w:rsid w:val="000E075C"/>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2FEC"/>
    <w:rsid w:val="001035BD"/>
    <w:rsid w:val="00104374"/>
    <w:rsid w:val="00105C44"/>
    <w:rsid w:val="00105CC0"/>
    <w:rsid w:val="00106273"/>
    <w:rsid w:val="00106A76"/>
    <w:rsid w:val="00107CE4"/>
    <w:rsid w:val="001116A8"/>
    <w:rsid w:val="0011195C"/>
    <w:rsid w:val="001134EF"/>
    <w:rsid w:val="00113B2D"/>
    <w:rsid w:val="0011411C"/>
    <w:rsid w:val="00114E39"/>
    <w:rsid w:val="001150C1"/>
    <w:rsid w:val="00116396"/>
    <w:rsid w:val="00117E8F"/>
    <w:rsid w:val="00120DC4"/>
    <w:rsid w:val="00121016"/>
    <w:rsid w:val="00122EC4"/>
    <w:rsid w:val="0012348D"/>
    <w:rsid w:val="00123BFA"/>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536"/>
    <w:rsid w:val="00134842"/>
    <w:rsid w:val="001351F7"/>
    <w:rsid w:val="00135360"/>
    <w:rsid w:val="00135B04"/>
    <w:rsid w:val="00135B78"/>
    <w:rsid w:val="00136194"/>
    <w:rsid w:val="00137623"/>
    <w:rsid w:val="00140AEE"/>
    <w:rsid w:val="00140E02"/>
    <w:rsid w:val="001413BD"/>
    <w:rsid w:val="00142097"/>
    <w:rsid w:val="001420F4"/>
    <w:rsid w:val="00142BB8"/>
    <w:rsid w:val="001443D2"/>
    <w:rsid w:val="00144C7D"/>
    <w:rsid w:val="001459C7"/>
    <w:rsid w:val="00145E48"/>
    <w:rsid w:val="0014682A"/>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6187F"/>
    <w:rsid w:val="00165557"/>
    <w:rsid w:val="001659AD"/>
    <w:rsid w:val="001659F0"/>
    <w:rsid w:val="00165E97"/>
    <w:rsid w:val="001666A0"/>
    <w:rsid w:val="00171EBB"/>
    <w:rsid w:val="00172023"/>
    <w:rsid w:val="00173A11"/>
    <w:rsid w:val="00173D08"/>
    <w:rsid w:val="001749B8"/>
    <w:rsid w:val="001755A9"/>
    <w:rsid w:val="001758BA"/>
    <w:rsid w:val="00176455"/>
    <w:rsid w:val="00176719"/>
    <w:rsid w:val="00177B2B"/>
    <w:rsid w:val="001805C4"/>
    <w:rsid w:val="00181D6D"/>
    <w:rsid w:val="00183013"/>
    <w:rsid w:val="001845DE"/>
    <w:rsid w:val="00185A3E"/>
    <w:rsid w:val="00185B26"/>
    <w:rsid w:val="00186CCD"/>
    <w:rsid w:val="0018732C"/>
    <w:rsid w:val="00190603"/>
    <w:rsid w:val="0019194A"/>
    <w:rsid w:val="001948E9"/>
    <w:rsid w:val="00194BE7"/>
    <w:rsid w:val="00196092"/>
    <w:rsid w:val="00196280"/>
    <w:rsid w:val="001966C0"/>
    <w:rsid w:val="001967AE"/>
    <w:rsid w:val="001978A2"/>
    <w:rsid w:val="001A0661"/>
    <w:rsid w:val="001A15B7"/>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8FA"/>
    <w:rsid w:val="001C5104"/>
    <w:rsid w:val="001C5849"/>
    <w:rsid w:val="001C5A1A"/>
    <w:rsid w:val="001C5EF1"/>
    <w:rsid w:val="001C6923"/>
    <w:rsid w:val="001C69DF"/>
    <w:rsid w:val="001D0707"/>
    <w:rsid w:val="001D11D4"/>
    <w:rsid w:val="001D1494"/>
    <w:rsid w:val="001D1664"/>
    <w:rsid w:val="001D1CB4"/>
    <w:rsid w:val="001D2100"/>
    <w:rsid w:val="001D273F"/>
    <w:rsid w:val="001D35CF"/>
    <w:rsid w:val="001D399A"/>
    <w:rsid w:val="001D5887"/>
    <w:rsid w:val="001D5B2E"/>
    <w:rsid w:val="001D5F9A"/>
    <w:rsid w:val="001D6C05"/>
    <w:rsid w:val="001D6D8B"/>
    <w:rsid w:val="001D77BE"/>
    <w:rsid w:val="001E0126"/>
    <w:rsid w:val="001E21D1"/>
    <w:rsid w:val="001E2237"/>
    <w:rsid w:val="001E297E"/>
    <w:rsid w:val="001E3ACD"/>
    <w:rsid w:val="001E455A"/>
    <w:rsid w:val="001E6E6A"/>
    <w:rsid w:val="001E7ECF"/>
    <w:rsid w:val="001F0D19"/>
    <w:rsid w:val="001F194B"/>
    <w:rsid w:val="001F1D8B"/>
    <w:rsid w:val="001F218A"/>
    <w:rsid w:val="001F3029"/>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52CC"/>
    <w:rsid w:val="00216DFB"/>
    <w:rsid w:val="00217C26"/>
    <w:rsid w:val="0022065F"/>
    <w:rsid w:val="00220D7E"/>
    <w:rsid w:val="00220EA6"/>
    <w:rsid w:val="00221ADE"/>
    <w:rsid w:val="002220C7"/>
    <w:rsid w:val="0022214D"/>
    <w:rsid w:val="00222714"/>
    <w:rsid w:val="0022301E"/>
    <w:rsid w:val="00223169"/>
    <w:rsid w:val="002231EB"/>
    <w:rsid w:val="0022346E"/>
    <w:rsid w:val="00223B41"/>
    <w:rsid w:val="00225E9A"/>
    <w:rsid w:val="002262EF"/>
    <w:rsid w:val="002267D6"/>
    <w:rsid w:val="00226E63"/>
    <w:rsid w:val="00233204"/>
    <w:rsid w:val="00233263"/>
    <w:rsid w:val="0023355E"/>
    <w:rsid w:val="00235E0C"/>
    <w:rsid w:val="00236FFC"/>
    <w:rsid w:val="002372B8"/>
    <w:rsid w:val="002412BB"/>
    <w:rsid w:val="0024151D"/>
    <w:rsid w:val="0024256E"/>
    <w:rsid w:val="002434D6"/>
    <w:rsid w:val="0024392F"/>
    <w:rsid w:val="002452A5"/>
    <w:rsid w:val="00246C24"/>
    <w:rsid w:val="00247189"/>
    <w:rsid w:val="00247D3A"/>
    <w:rsid w:val="00250912"/>
    <w:rsid w:val="00250C87"/>
    <w:rsid w:val="00251E53"/>
    <w:rsid w:val="00253B7F"/>
    <w:rsid w:val="002543F7"/>
    <w:rsid w:val="00255B7E"/>
    <w:rsid w:val="002570E0"/>
    <w:rsid w:val="002572C6"/>
    <w:rsid w:val="00257806"/>
    <w:rsid w:val="002578A4"/>
    <w:rsid w:val="002603DE"/>
    <w:rsid w:val="002619AC"/>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B2D"/>
    <w:rsid w:val="00291C9A"/>
    <w:rsid w:val="002920DF"/>
    <w:rsid w:val="002935F0"/>
    <w:rsid w:val="00295590"/>
    <w:rsid w:val="00296378"/>
    <w:rsid w:val="0029648B"/>
    <w:rsid w:val="002964D0"/>
    <w:rsid w:val="002969A7"/>
    <w:rsid w:val="00296B9D"/>
    <w:rsid w:val="00297F81"/>
    <w:rsid w:val="002A179C"/>
    <w:rsid w:val="002A19D3"/>
    <w:rsid w:val="002A3159"/>
    <w:rsid w:val="002A33C2"/>
    <w:rsid w:val="002A3CA8"/>
    <w:rsid w:val="002A42B3"/>
    <w:rsid w:val="002A4AD6"/>
    <w:rsid w:val="002A4CF3"/>
    <w:rsid w:val="002A577E"/>
    <w:rsid w:val="002A60C7"/>
    <w:rsid w:val="002B0A39"/>
    <w:rsid w:val="002B1874"/>
    <w:rsid w:val="002B3B58"/>
    <w:rsid w:val="002B3F8F"/>
    <w:rsid w:val="002B5960"/>
    <w:rsid w:val="002B6EB8"/>
    <w:rsid w:val="002B7B9C"/>
    <w:rsid w:val="002C0ECD"/>
    <w:rsid w:val="002C0FE8"/>
    <w:rsid w:val="002C2C45"/>
    <w:rsid w:val="002C3184"/>
    <w:rsid w:val="002C3604"/>
    <w:rsid w:val="002C3A19"/>
    <w:rsid w:val="002C3C06"/>
    <w:rsid w:val="002C458D"/>
    <w:rsid w:val="002C5C78"/>
    <w:rsid w:val="002C6C0C"/>
    <w:rsid w:val="002C7A05"/>
    <w:rsid w:val="002D03B9"/>
    <w:rsid w:val="002D0FC2"/>
    <w:rsid w:val="002D2599"/>
    <w:rsid w:val="002D2BB5"/>
    <w:rsid w:val="002D45F6"/>
    <w:rsid w:val="002D567B"/>
    <w:rsid w:val="002D5740"/>
    <w:rsid w:val="002D7F76"/>
    <w:rsid w:val="002E0AC0"/>
    <w:rsid w:val="002E176A"/>
    <w:rsid w:val="002E1DF3"/>
    <w:rsid w:val="002E2318"/>
    <w:rsid w:val="002E29C3"/>
    <w:rsid w:val="002E2EF1"/>
    <w:rsid w:val="002E479A"/>
    <w:rsid w:val="002E4AD9"/>
    <w:rsid w:val="002E5BA5"/>
    <w:rsid w:val="002E5D99"/>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9A3"/>
    <w:rsid w:val="00313142"/>
    <w:rsid w:val="003146A8"/>
    <w:rsid w:val="00316096"/>
    <w:rsid w:val="0031684F"/>
    <w:rsid w:val="00316933"/>
    <w:rsid w:val="00316A16"/>
    <w:rsid w:val="003179DE"/>
    <w:rsid w:val="0032091E"/>
    <w:rsid w:val="003213E7"/>
    <w:rsid w:val="00322702"/>
    <w:rsid w:val="00323454"/>
    <w:rsid w:val="003237A5"/>
    <w:rsid w:val="00323C9C"/>
    <w:rsid w:val="00326FAB"/>
    <w:rsid w:val="00327EBC"/>
    <w:rsid w:val="0033002D"/>
    <w:rsid w:val="00330DEE"/>
    <w:rsid w:val="00330E8C"/>
    <w:rsid w:val="0033121E"/>
    <w:rsid w:val="0033181F"/>
    <w:rsid w:val="00332109"/>
    <w:rsid w:val="00333147"/>
    <w:rsid w:val="00333AA7"/>
    <w:rsid w:val="00333C26"/>
    <w:rsid w:val="0033404F"/>
    <w:rsid w:val="003340F0"/>
    <w:rsid w:val="003342DB"/>
    <w:rsid w:val="003360E9"/>
    <w:rsid w:val="0033636A"/>
    <w:rsid w:val="003366B8"/>
    <w:rsid w:val="00337133"/>
    <w:rsid w:val="003374F5"/>
    <w:rsid w:val="003374F7"/>
    <w:rsid w:val="00337C8D"/>
    <w:rsid w:val="00340727"/>
    <w:rsid w:val="0034242C"/>
    <w:rsid w:val="003430D1"/>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B62"/>
    <w:rsid w:val="00355DAF"/>
    <w:rsid w:val="0035690D"/>
    <w:rsid w:val="003575FB"/>
    <w:rsid w:val="00360BB3"/>
    <w:rsid w:val="00362B79"/>
    <w:rsid w:val="003630A9"/>
    <w:rsid w:val="003633FB"/>
    <w:rsid w:val="003636DA"/>
    <w:rsid w:val="00363AA8"/>
    <w:rsid w:val="00365B7C"/>
    <w:rsid w:val="00365EF3"/>
    <w:rsid w:val="00366C87"/>
    <w:rsid w:val="00367367"/>
    <w:rsid w:val="0036745E"/>
    <w:rsid w:val="00370949"/>
    <w:rsid w:val="0037102C"/>
    <w:rsid w:val="00371078"/>
    <w:rsid w:val="00371EAD"/>
    <w:rsid w:val="00372694"/>
    <w:rsid w:val="00372B71"/>
    <w:rsid w:val="0037305E"/>
    <w:rsid w:val="00373A9B"/>
    <w:rsid w:val="00373E17"/>
    <w:rsid w:val="00373E80"/>
    <w:rsid w:val="003747BF"/>
    <w:rsid w:val="003758EC"/>
    <w:rsid w:val="003765A1"/>
    <w:rsid w:val="003765CA"/>
    <w:rsid w:val="0037697F"/>
    <w:rsid w:val="00377076"/>
    <w:rsid w:val="00377098"/>
    <w:rsid w:val="00377C24"/>
    <w:rsid w:val="00380C1F"/>
    <w:rsid w:val="00381E19"/>
    <w:rsid w:val="00382559"/>
    <w:rsid w:val="00383F73"/>
    <w:rsid w:val="0038492D"/>
    <w:rsid w:val="00385163"/>
    <w:rsid w:val="00385A38"/>
    <w:rsid w:val="00385F0D"/>
    <w:rsid w:val="003866E7"/>
    <w:rsid w:val="00391168"/>
    <w:rsid w:val="00391A41"/>
    <w:rsid w:val="00391DDE"/>
    <w:rsid w:val="00392526"/>
    <w:rsid w:val="003929C9"/>
    <w:rsid w:val="00392FC9"/>
    <w:rsid w:val="003933AA"/>
    <w:rsid w:val="00393424"/>
    <w:rsid w:val="0039373A"/>
    <w:rsid w:val="00393781"/>
    <w:rsid w:val="00394A3E"/>
    <w:rsid w:val="00397334"/>
    <w:rsid w:val="0039757C"/>
    <w:rsid w:val="003979C6"/>
    <w:rsid w:val="003A0287"/>
    <w:rsid w:val="003A0EF8"/>
    <w:rsid w:val="003A1092"/>
    <w:rsid w:val="003A3766"/>
    <w:rsid w:val="003A4617"/>
    <w:rsid w:val="003A59D4"/>
    <w:rsid w:val="003A5CB7"/>
    <w:rsid w:val="003A73E0"/>
    <w:rsid w:val="003A7D1E"/>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C7BA0"/>
    <w:rsid w:val="003D06D8"/>
    <w:rsid w:val="003D4948"/>
    <w:rsid w:val="003D6037"/>
    <w:rsid w:val="003D60FD"/>
    <w:rsid w:val="003D6B01"/>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F1F1E"/>
    <w:rsid w:val="003F2FB6"/>
    <w:rsid w:val="003F3652"/>
    <w:rsid w:val="003F3B6A"/>
    <w:rsid w:val="003F3E66"/>
    <w:rsid w:val="003F46D8"/>
    <w:rsid w:val="003F4B05"/>
    <w:rsid w:val="003F671B"/>
    <w:rsid w:val="003F7204"/>
    <w:rsid w:val="003F779B"/>
    <w:rsid w:val="003F7FE3"/>
    <w:rsid w:val="00400152"/>
    <w:rsid w:val="00400DD1"/>
    <w:rsid w:val="00400EA0"/>
    <w:rsid w:val="00402ED5"/>
    <w:rsid w:val="00403183"/>
    <w:rsid w:val="004032FD"/>
    <w:rsid w:val="00403A5D"/>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1411"/>
    <w:rsid w:val="004230B8"/>
    <w:rsid w:val="00423B3F"/>
    <w:rsid w:val="004249A6"/>
    <w:rsid w:val="00424B13"/>
    <w:rsid w:val="00424F2E"/>
    <w:rsid w:val="004266A0"/>
    <w:rsid w:val="00426858"/>
    <w:rsid w:val="00426EC6"/>
    <w:rsid w:val="00427146"/>
    <w:rsid w:val="00427F5E"/>
    <w:rsid w:val="004304AA"/>
    <w:rsid w:val="00430C70"/>
    <w:rsid w:val="0043117C"/>
    <w:rsid w:val="00431381"/>
    <w:rsid w:val="00431666"/>
    <w:rsid w:val="00432B1F"/>
    <w:rsid w:val="00432E7A"/>
    <w:rsid w:val="00433876"/>
    <w:rsid w:val="0043606D"/>
    <w:rsid w:val="004408D5"/>
    <w:rsid w:val="00440F4A"/>
    <w:rsid w:val="00443205"/>
    <w:rsid w:val="00443880"/>
    <w:rsid w:val="0044472C"/>
    <w:rsid w:val="004455EB"/>
    <w:rsid w:val="00445853"/>
    <w:rsid w:val="00446565"/>
    <w:rsid w:val="00450B9F"/>
    <w:rsid w:val="00451EFC"/>
    <w:rsid w:val="00452A12"/>
    <w:rsid w:val="00453B00"/>
    <w:rsid w:val="0045427B"/>
    <w:rsid w:val="00454B96"/>
    <w:rsid w:val="0045534E"/>
    <w:rsid w:val="00456D3E"/>
    <w:rsid w:val="004600CF"/>
    <w:rsid w:val="00460803"/>
    <w:rsid w:val="00460AC8"/>
    <w:rsid w:val="004613CD"/>
    <w:rsid w:val="00461408"/>
    <w:rsid w:val="0046143E"/>
    <w:rsid w:val="00461C4C"/>
    <w:rsid w:val="00462DBD"/>
    <w:rsid w:val="00462EC3"/>
    <w:rsid w:val="00463CB8"/>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4E0E"/>
    <w:rsid w:val="004C55B1"/>
    <w:rsid w:val="004C69B4"/>
    <w:rsid w:val="004C7131"/>
    <w:rsid w:val="004D004B"/>
    <w:rsid w:val="004D0540"/>
    <w:rsid w:val="004D1B63"/>
    <w:rsid w:val="004D1F0F"/>
    <w:rsid w:val="004D3156"/>
    <w:rsid w:val="004D3906"/>
    <w:rsid w:val="004D4D2A"/>
    <w:rsid w:val="004D659D"/>
    <w:rsid w:val="004D7360"/>
    <w:rsid w:val="004E1AAD"/>
    <w:rsid w:val="004E35B5"/>
    <w:rsid w:val="004E3F23"/>
    <w:rsid w:val="004E54CB"/>
    <w:rsid w:val="004E6D36"/>
    <w:rsid w:val="004E791C"/>
    <w:rsid w:val="004F1BC0"/>
    <w:rsid w:val="004F1C1B"/>
    <w:rsid w:val="004F20D0"/>
    <w:rsid w:val="004F2D4D"/>
    <w:rsid w:val="004F34C2"/>
    <w:rsid w:val="004F419B"/>
    <w:rsid w:val="004F44C8"/>
    <w:rsid w:val="004F476B"/>
    <w:rsid w:val="004F56BF"/>
    <w:rsid w:val="004F5A60"/>
    <w:rsid w:val="004F7B38"/>
    <w:rsid w:val="0050085D"/>
    <w:rsid w:val="00501A7D"/>
    <w:rsid w:val="00501E3D"/>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429"/>
    <w:rsid w:val="00524DED"/>
    <w:rsid w:val="00524FAB"/>
    <w:rsid w:val="005256A8"/>
    <w:rsid w:val="00525913"/>
    <w:rsid w:val="00526CA3"/>
    <w:rsid w:val="00527A79"/>
    <w:rsid w:val="00527E44"/>
    <w:rsid w:val="005305CB"/>
    <w:rsid w:val="00530901"/>
    <w:rsid w:val="00530C60"/>
    <w:rsid w:val="00530DDA"/>
    <w:rsid w:val="00530E55"/>
    <w:rsid w:val="0053110F"/>
    <w:rsid w:val="005316F0"/>
    <w:rsid w:val="0053290E"/>
    <w:rsid w:val="00532EA0"/>
    <w:rsid w:val="005333D0"/>
    <w:rsid w:val="00533FAB"/>
    <w:rsid w:val="00534946"/>
    <w:rsid w:val="00535390"/>
    <w:rsid w:val="005355B0"/>
    <w:rsid w:val="00536AB5"/>
    <w:rsid w:val="00540EBF"/>
    <w:rsid w:val="005417C1"/>
    <w:rsid w:val="005417D0"/>
    <w:rsid w:val="005419CC"/>
    <w:rsid w:val="00541F62"/>
    <w:rsid w:val="00543119"/>
    <w:rsid w:val="005442AD"/>
    <w:rsid w:val="005450C1"/>
    <w:rsid w:val="005454DA"/>
    <w:rsid w:val="00546C82"/>
    <w:rsid w:val="00546F9A"/>
    <w:rsid w:val="0054723B"/>
    <w:rsid w:val="00550C4D"/>
    <w:rsid w:val="005525F5"/>
    <w:rsid w:val="005539AA"/>
    <w:rsid w:val="00553E6B"/>
    <w:rsid w:val="00554D15"/>
    <w:rsid w:val="00555137"/>
    <w:rsid w:val="00555427"/>
    <w:rsid w:val="0055774D"/>
    <w:rsid w:val="0055778A"/>
    <w:rsid w:val="00560215"/>
    <w:rsid w:val="00560D19"/>
    <w:rsid w:val="005615FD"/>
    <w:rsid w:val="005621A7"/>
    <w:rsid w:val="00562F1A"/>
    <w:rsid w:val="0056326B"/>
    <w:rsid w:val="005635FF"/>
    <w:rsid w:val="005640A5"/>
    <w:rsid w:val="005645CC"/>
    <w:rsid w:val="00564DCD"/>
    <w:rsid w:val="00564EDB"/>
    <w:rsid w:val="00566F9A"/>
    <w:rsid w:val="00567C46"/>
    <w:rsid w:val="00572572"/>
    <w:rsid w:val="00573363"/>
    <w:rsid w:val="00573C15"/>
    <w:rsid w:val="00573D35"/>
    <w:rsid w:val="0057459A"/>
    <w:rsid w:val="00575D83"/>
    <w:rsid w:val="005766B0"/>
    <w:rsid w:val="0057693B"/>
    <w:rsid w:val="00576D6D"/>
    <w:rsid w:val="00577204"/>
    <w:rsid w:val="005810A5"/>
    <w:rsid w:val="00581146"/>
    <w:rsid w:val="00581426"/>
    <w:rsid w:val="005819A8"/>
    <w:rsid w:val="00583266"/>
    <w:rsid w:val="00583E50"/>
    <w:rsid w:val="005842E6"/>
    <w:rsid w:val="0058438D"/>
    <w:rsid w:val="005844C6"/>
    <w:rsid w:val="0058469A"/>
    <w:rsid w:val="005869FB"/>
    <w:rsid w:val="00586AA1"/>
    <w:rsid w:val="005916D7"/>
    <w:rsid w:val="005935E3"/>
    <w:rsid w:val="00593C5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D34"/>
    <w:rsid w:val="005B3146"/>
    <w:rsid w:val="005B3AAA"/>
    <w:rsid w:val="005B443E"/>
    <w:rsid w:val="005B67B4"/>
    <w:rsid w:val="005B71D1"/>
    <w:rsid w:val="005B7836"/>
    <w:rsid w:val="005C0283"/>
    <w:rsid w:val="005C046A"/>
    <w:rsid w:val="005C1A18"/>
    <w:rsid w:val="005C1B7D"/>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BB9"/>
    <w:rsid w:val="00606C42"/>
    <w:rsid w:val="00606CAB"/>
    <w:rsid w:val="00606DBB"/>
    <w:rsid w:val="00607F6E"/>
    <w:rsid w:val="006103B7"/>
    <w:rsid w:val="00610A65"/>
    <w:rsid w:val="00610A84"/>
    <w:rsid w:val="00611050"/>
    <w:rsid w:val="00612EA9"/>
    <w:rsid w:val="006146D3"/>
    <w:rsid w:val="00615D57"/>
    <w:rsid w:val="00616AFD"/>
    <w:rsid w:val="00617064"/>
    <w:rsid w:val="00617251"/>
    <w:rsid w:val="0062036A"/>
    <w:rsid w:val="00620ED1"/>
    <w:rsid w:val="00622403"/>
    <w:rsid w:val="00622D8D"/>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F12"/>
    <w:rsid w:val="0063432D"/>
    <w:rsid w:val="00634DC5"/>
    <w:rsid w:val="00634E2E"/>
    <w:rsid w:val="00635C36"/>
    <w:rsid w:val="0063613B"/>
    <w:rsid w:val="006364CF"/>
    <w:rsid w:val="00636BF0"/>
    <w:rsid w:val="00640890"/>
    <w:rsid w:val="00641AC8"/>
    <w:rsid w:val="00642E5E"/>
    <w:rsid w:val="00643550"/>
    <w:rsid w:val="006438EC"/>
    <w:rsid w:val="00644556"/>
    <w:rsid w:val="00644C7A"/>
    <w:rsid w:val="00646174"/>
    <w:rsid w:val="00646358"/>
    <w:rsid w:val="00646708"/>
    <w:rsid w:val="00647610"/>
    <w:rsid w:val="00647F7B"/>
    <w:rsid w:val="00650535"/>
    <w:rsid w:val="006508B7"/>
    <w:rsid w:val="006523F0"/>
    <w:rsid w:val="00653074"/>
    <w:rsid w:val="0065378F"/>
    <w:rsid w:val="00653A79"/>
    <w:rsid w:val="00656DE1"/>
    <w:rsid w:val="00657209"/>
    <w:rsid w:val="006613DE"/>
    <w:rsid w:val="00662A68"/>
    <w:rsid w:val="00662C14"/>
    <w:rsid w:val="0066300C"/>
    <w:rsid w:val="006630AE"/>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77E56"/>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222"/>
    <w:rsid w:val="006C22C7"/>
    <w:rsid w:val="006C27E6"/>
    <w:rsid w:val="006C4F6B"/>
    <w:rsid w:val="006C5847"/>
    <w:rsid w:val="006C739F"/>
    <w:rsid w:val="006D16D6"/>
    <w:rsid w:val="006D1793"/>
    <w:rsid w:val="006D17CE"/>
    <w:rsid w:val="006D1EDE"/>
    <w:rsid w:val="006D1F71"/>
    <w:rsid w:val="006D20FF"/>
    <w:rsid w:val="006D29EB"/>
    <w:rsid w:val="006D2EB2"/>
    <w:rsid w:val="006D2FBC"/>
    <w:rsid w:val="006D3CDB"/>
    <w:rsid w:val="006D46B5"/>
    <w:rsid w:val="006D4928"/>
    <w:rsid w:val="006D53CE"/>
    <w:rsid w:val="006D5B27"/>
    <w:rsid w:val="006D7C56"/>
    <w:rsid w:val="006D7CB0"/>
    <w:rsid w:val="006E0689"/>
    <w:rsid w:val="006E0702"/>
    <w:rsid w:val="006E0829"/>
    <w:rsid w:val="006E0A07"/>
    <w:rsid w:val="006E2110"/>
    <w:rsid w:val="006E2B18"/>
    <w:rsid w:val="006E2DAC"/>
    <w:rsid w:val="006E39BF"/>
    <w:rsid w:val="006E61AD"/>
    <w:rsid w:val="006F05CC"/>
    <w:rsid w:val="006F2671"/>
    <w:rsid w:val="006F3FC1"/>
    <w:rsid w:val="006F40E8"/>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2D0E"/>
    <w:rsid w:val="00722F0B"/>
    <w:rsid w:val="00724A61"/>
    <w:rsid w:val="00724F4C"/>
    <w:rsid w:val="00727541"/>
    <w:rsid w:val="00730062"/>
    <w:rsid w:val="007312E6"/>
    <w:rsid w:val="007313F9"/>
    <w:rsid w:val="007373FB"/>
    <w:rsid w:val="00737498"/>
    <w:rsid w:val="007376A3"/>
    <w:rsid w:val="0074071B"/>
    <w:rsid w:val="00740801"/>
    <w:rsid w:val="00740ED2"/>
    <w:rsid w:val="007417E2"/>
    <w:rsid w:val="00741C8D"/>
    <w:rsid w:val="00741FC8"/>
    <w:rsid w:val="00743111"/>
    <w:rsid w:val="00744121"/>
    <w:rsid w:val="007442C6"/>
    <w:rsid w:val="00744AC4"/>
    <w:rsid w:val="00745DBD"/>
    <w:rsid w:val="007461F7"/>
    <w:rsid w:val="007469B8"/>
    <w:rsid w:val="00746A69"/>
    <w:rsid w:val="00746D3D"/>
    <w:rsid w:val="00747827"/>
    <w:rsid w:val="00750158"/>
    <w:rsid w:val="00751DA0"/>
    <w:rsid w:val="00752676"/>
    <w:rsid w:val="007528EE"/>
    <w:rsid w:val="00752B1D"/>
    <w:rsid w:val="00752C91"/>
    <w:rsid w:val="00753469"/>
    <w:rsid w:val="00753D9D"/>
    <w:rsid w:val="00756620"/>
    <w:rsid w:val="007566DF"/>
    <w:rsid w:val="0075695E"/>
    <w:rsid w:val="0075732E"/>
    <w:rsid w:val="00757D2D"/>
    <w:rsid w:val="00757D2E"/>
    <w:rsid w:val="007601AB"/>
    <w:rsid w:val="0076058D"/>
    <w:rsid w:val="00760BD6"/>
    <w:rsid w:val="007610C3"/>
    <w:rsid w:val="007624D7"/>
    <w:rsid w:val="007627D2"/>
    <w:rsid w:val="007631C3"/>
    <w:rsid w:val="00763D29"/>
    <w:rsid w:val="0076465D"/>
    <w:rsid w:val="007648AD"/>
    <w:rsid w:val="007653D7"/>
    <w:rsid w:val="0076553B"/>
    <w:rsid w:val="007665A1"/>
    <w:rsid w:val="007665CF"/>
    <w:rsid w:val="00767A76"/>
    <w:rsid w:val="00770255"/>
    <w:rsid w:val="00770AE6"/>
    <w:rsid w:val="00771779"/>
    <w:rsid w:val="00772101"/>
    <w:rsid w:val="00773E7F"/>
    <w:rsid w:val="007754A9"/>
    <w:rsid w:val="00776264"/>
    <w:rsid w:val="0078006C"/>
    <w:rsid w:val="0078204B"/>
    <w:rsid w:val="007823E5"/>
    <w:rsid w:val="00783474"/>
    <w:rsid w:val="0078366C"/>
    <w:rsid w:val="0078415D"/>
    <w:rsid w:val="007843B5"/>
    <w:rsid w:val="00784919"/>
    <w:rsid w:val="00784C05"/>
    <w:rsid w:val="007857FC"/>
    <w:rsid w:val="00785AAE"/>
    <w:rsid w:val="00785AB3"/>
    <w:rsid w:val="007909E8"/>
    <w:rsid w:val="00791001"/>
    <w:rsid w:val="007929F2"/>
    <w:rsid w:val="00792DAA"/>
    <w:rsid w:val="00794184"/>
    <w:rsid w:val="00794BA8"/>
    <w:rsid w:val="00794C2D"/>
    <w:rsid w:val="00794F34"/>
    <w:rsid w:val="007950B1"/>
    <w:rsid w:val="0079534B"/>
    <w:rsid w:val="007956B3"/>
    <w:rsid w:val="0079601D"/>
    <w:rsid w:val="00797783"/>
    <w:rsid w:val="007A066B"/>
    <w:rsid w:val="007A0A8F"/>
    <w:rsid w:val="007A14AD"/>
    <w:rsid w:val="007A1581"/>
    <w:rsid w:val="007A16C4"/>
    <w:rsid w:val="007A2A37"/>
    <w:rsid w:val="007A33A2"/>
    <w:rsid w:val="007A34D5"/>
    <w:rsid w:val="007A610C"/>
    <w:rsid w:val="007B0A33"/>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23FC"/>
    <w:rsid w:val="007C3B68"/>
    <w:rsid w:val="007C4091"/>
    <w:rsid w:val="007C5288"/>
    <w:rsid w:val="007C6E84"/>
    <w:rsid w:val="007D0086"/>
    <w:rsid w:val="007D145C"/>
    <w:rsid w:val="007D2589"/>
    <w:rsid w:val="007D35AD"/>
    <w:rsid w:val="007D433E"/>
    <w:rsid w:val="007D5814"/>
    <w:rsid w:val="007D6A73"/>
    <w:rsid w:val="007D7DDA"/>
    <w:rsid w:val="007E0B03"/>
    <w:rsid w:val="007E0D43"/>
    <w:rsid w:val="007E14C6"/>
    <w:rsid w:val="007E1737"/>
    <w:rsid w:val="007E2D6E"/>
    <w:rsid w:val="007E3403"/>
    <w:rsid w:val="007E3871"/>
    <w:rsid w:val="007E4109"/>
    <w:rsid w:val="007E5E62"/>
    <w:rsid w:val="007E69C2"/>
    <w:rsid w:val="007F11EF"/>
    <w:rsid w:val="007F1688"/>
    <w:rsid w:val="007F1E3D"/>
    <w:rsid w:val="007F22BA"/>
    <w:rsid w:val="007F22E6"/>
    <w:rsid w:val="007F270A"/>
    <w:rsid w:val="007F2ED7"/>
    <w:rsid w:val="007F3826"/>
    <w:rsid w:val="007F3B73"/>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5FCC"/>
    <w:rsid w:val="0080641F"/>
    <w:rsid w:val="0080702E"/>
    <w:rsid w:val="00807FD7"/>
    <w:rsid w:val="00811173"/>
    <w:rsid w:val="00811992"/>
    <w:rsid w:val="00812B18"/>
    <w:rsid w:val="0081346C"/>
    <w:rsid w:val="00813BFA"/>
    <w:rsid w:val="00814008"/>
    <w:rsid w:val="00814B3C"/>
    <w:rsid w:val="008150D0"/>
    <w:rsid w:val="00816510"/>
    <w:rsid w:val="0081680D"/>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08E8"/>
    <w:rsid w:val="00841B37"/>
    <w:rsid w:val="008425D1"/>
    <w:rsid w:val="00842C0A"/>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F44"/>
    <w:rsid w:val="00855105"/>
    <w:rsid w:val="008568FE"/>
    <w:rsid w:val="00856CB1"/>
    <w:rsid w:val="00857CBF"/>
    <w:rsid w:val="00857D3F"/>
    <w:rsid w:val="008612C3"/>
    <w:rsid w:val="0086144B"/>
    <w:rsid w:val="00861E99"/>
    <w:rsid w:val="008621EB"/>
    <w:rsid w:val="0086289C"/>
    <w:rsid w:val="00863672"/>
    <w:rsid w:val="00864610"/>
    <w:rsid w:val="0086498E"/>
    <w:rsid w:val="008653C2"/>
    <w:rsid w:val="00865793"/>
    <w:rsid w:val="0086609D"/>
    <w:rsid w:val="00866431"/>
    <w:rsid w:val="00866445"/>
    <w:rsid w:val="00870D5B"/>
    <w:rsid w:val="00870D6C"/>
    <w:rsid w:val="008725D2"/>
    <w:rsid w:val="00872730"/>
    <w:rsid w:val="008728D9"/>
    <w:rsid w:val="00874123"/>
    <w:rsid w:val="00874477"/>
    <w:rsid w:val="0087467A"/>
    <w:rsid w:val="00875CD1"/>
    <w:rsid w:val="00877784"/>
    <w:rsid w:val="00880DFE"/>
    <w:rsid w:val="008834D1"/>
    <w:rsid w:val="008841C6"/>
    <w:rsid w:val="00884A40"/>
    <w:rsid w:val="00884AE5"/>
    <w:rsid w:val="00884C5D"/>
    <w:rsid w:val="00885313"/>
    <w:rsid w:val="0088556E"/>
    <w:rsid w:val="00885E15"/>
    <w:rsid w:val="00885F71"/>
    <w:rsid w:val="00886BEA"/>
    <w:rsid w:val="00887B32"/>
    <w:rsid w:val="00887B43"/>
    <w:rsid w:val="00887DCA"/>
    <w:rsid w:val="008906FF"/>
    <w:rsid w:val="008908BE"/>
    <w:rsid w:val="00890D94"/>
    <w:rsid w:val="00890FA1"/>
    <w:rsid w:val="008910E1"/>
    <w:rsid w:val="00891335"/>
    <w:rsid w:val="0089342E"/>
    <w:rsid w:val="00894A54"/>
    <w:rsid w:val="00894E64"/>
    <w:rsid w:val="00894F6E"/>
    <w:rsid w:val="00895B0C"/>
    <w:rsid w:val="00897203"/>
    <w:rsid w:val="008A0247"/>
    <w:rsid w:val="008A0CA2"/>
    <w:rsid w:val="008A1F46"/>
    <w:rsid w:val="008A288E"/>
    <w:rsid w:val="008A36F0"/>
    <w:rsid w:val="008A37A5"/>
    <w:rsid w:val="008A381B"/>
    <w:rsid w:val="008A3927"/>
    <w:rsid w:val="008A506A"/>
    <w:rsid w:val="008A556A"/>
    <w:rsid w:val="008A5DBB"/>
    <w:rsid w:val="008A64CE"/>
    <w:rsid w:val="008B1233"/>
    <w:rsid w:val="008B136F"/>
    <w:rsid w:val="008B149A"/>
    <w:rsid w:val="008B1E9C"/>
    <w:rsid w:val="008B26BC"/>
    <w:rsid w:val="008B29AF"/>
    <w:rsid w:val="008B423F"/>
    <w:rsid w:val="008B4D46"/>
    <w:rsid w:val="008B4E1C"/>
    <w:rsid w:val="008B56E6"/>
    <w:rsid w:val="008B642C"/>
    <w:rsid w:val="008B6431"/>
    <w:rsid w:val="008B6F2D"/>
    <w:rsid w:val="008B72C5"/>
    <w:rsid w:val="008C0108"/>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6004"/>
    <w:rsid w:val="008D62AE"/>
    <w:rsid w:val="008D730D"/>
    <w:rsid w:val="008D7883"/>
    <w:rsid w:val="008D7E51"/>
    <w:rsid w:val="008D7EAA"/>
    <w:rsid w:val="008E0918"/>
    <w:rsid w:val="008E0D9B"/>
    <w:rsid w:val="008E3144"/>
    <w:rsid w:val="008E4627"/>
    <w:rsid w:val="008E5575"/>
    <w:rsid w:val="008E55CF"/>
    <w:rsid w:val="008E5B68"/>
    <w:rsid w:val="008E5FAC"/>
    <w:rsid w:val="008F068B"/>
    <w:rsid w:val="008F2882"/>
    <w:rsid w:val="008F34D9"/>
    <w:rsid w:val="008F3A9C"/>
    <w:rsid w:val="008F3F2D"/>
    <w:rsid w:val="008F4BD4"/>
    <w:rsid w:val="008F6BBA"/>
    <w:rsid w:val="008F71C7"/>
    <w:rsid w:val="008F7C1F"/>
    <w:rsid w:val="009005A7"/>
    <w:rsid w:val="009014FE"/>
    <w:rsid w:val="00901A03"/>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3EA6"/>
    <w:rsid w:val="009244A7"/>
    <w:rsid w:val="009322C4"/>
    <w:rsid w:val="009323DA"/>
    <w:rsid w:val="0093274C"/>
    <w:rsid w:val="00933172"/>
    <w:rsid w:val="0093455F"/>
    <w:rsid w:val="0093484B"/>
    <w:rsid w:val="00934B3E"/>
    <w:rsid w:val="009363C3"/>
    <w:rsid w:val="00936F2D"/>
    <w:rsid w:val="00937C0C"/>
    <w:rsid w:val="009413AE"/>
    <w:rsid w:val="009419D6"/>
    <w:rsid w:val="00941D11"/>
    <w:rsid w:val="00942222"/>
    <w:rsid w:val="00942CBC"/>
    <w:rsid w:val="00943216"/>
    <w:rsid w:val="0094321D"/>
    <w:rsid w:val="00943A5B"/>
    <w:rsid w:val="00943C82"/>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2B1"/>
    <w:rsid w:val="00970402"/>
    <w:rsid w:val="00971180"/>
    <w:rsid w:val="009720B1"/>
    <w:rsid w:val="00972578"/>
    <w:rsid w:val="0097265C"/>
    <w:rsid w:val="00974066"/>
    <w:rsid w:val="009761A8"/>
    <w:rsid w:val="00976784"/>
    <w:rsid w:val="00977526"/>
    <w:rsid w:val="00980383"/>
    <w:rsid w:val="009811B9"/>
    <w:rsid w:val="009819A0"/>
    <w:rsid w:val="00982600"/>
    <w:rsid w:val="00982E91"/>
    <w:rsid w:val="009831C6"/>
    <w:rsid w:val="00983B2B"/>
    <w:rsid w:val="00983D01"/>
    <w:rsid w:val="00983E9C"/>
    <w:rsid w:val="009844F2"/>
    <w:rsid w:val="00985838"/>
    <w:rsid w:val="00985CAD"/>
    <w:rsid w:val="00986A71"/>
    <w:rsid w:val="00987877"/>
    <w:rsid w:val="00990413"/>
    <w:rsid w:val="00990794"/>
    <w:rsid w:val="00990E0E"/>
    <w:rsid w:val="0099108C"/>
    <w:rsid w:val="00991DAD"/>
    <w:rsid w:val="00991DBB"/>
    <w:rsid w:val="00991F47"/>
    <w:rsid w:val="00993514"/>
    <w:rsid w:val="00993A72"/>
    <w:rsid w:val="00994106"/>
    <w:rsid w:val="00994A1E"/>
    <w:rsid w:val="0099629F"/>
    <w:rsid w:val="0099701E"/>
    <w:rsid w:val="0099789F"/>
    <w:rsid w:val="009A0212"/>
    <w:rsid w:val="009A1739"/>
    <w:rsid w:val="009A2B40"/>
    <w:rsid w:val="009A3C20"/>
    <w:rsid w:val="009A42F3"/>
    <w:rsid w:val="009A45EA"/>
    <w:rsid w:val="009A4622"/>
    <w:rsid w:val="009A5481"/>
    <w:rsid w:val="009A627F"/>
    <w:rsid w:val="009A6EAC"/>
    <w:rsid w:val="009A750C"/>
    <w:rsid w:val="009A7C3F"/>
    <w:rsid w:val="009B003B"/>
    <w:rsid w:val="009B011C"/>
    <w:rsid w:val="009B06CC"/>
    <w:rsid w:val="009B1523"/>
    <w:rsid w:val="009B35B2"/>
    <w:rsid w:val="009B3FD5"/>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76A"/>
    <w:rsid w:val="009E3037"/>
    <w:rsid w:val="009E37E4"/>
    <w:rsid w:val="009E41BA"/>
    <w:rsid w:val="009E5704"/>
    <w:rsid w:val="009E66D5"/>
    <w:rsid w:val="009E7870"/>
    <w:rsid w:val="009F00FD"/>
    <w:rsid w:val="009F202B"/>
    <w:rsid w:val="009F34FF"/>
    <w:rsid w:val="009F3B8D"/>
    <w:rsid w:val="009F473E"/>
    <w:rsid w:val="009F703C"/>
    <w:rsid w:val="009F7598"/>
    <w:rsid w:val="009F788F"/>
    <w:rsid w:val="009F7AB6"/>
    <w:rsid w:val="009F7BD5"/>
    <w:rsid w:val="00A00912"/>
    <w:rsid w:val="00A01AA1"/>
    <w:rsid w:val="00A0416C"/>
    <w:rsid w:val="00A04539"/>
    <w:rsid w:val="00A05683"/>
    <w:rsid w:val="00A06749"/>
    <w:rsid w:val="00A1027C"/>
    <w:rsid w:val="00A11407"/>
    <w:rsid w:val="00A11859"/>
    <w:rsid w:val="00A12D3A"/>
    <w:rsid w:val="00A1452B"/>
    <w:rsid w:val="00A145F0"/>
    <w:rsid w:val="00A14B4B"/>
    <w:rsid w:val="00A14D41"/>
    <w:rsid w:val="00A15150"/>
    <w:rsid w:val="00A15D97"/>
    <w:rsid w:val="00A1601B"/>
    <w:rsid w:val="00A167C4"/>
    <w:rsid w:val="00A179DF"/>
    <w:rsid w:val="00A17AB6"/>
    <w:rsid w:val="00A20426"/>
    <w:rsid w:val="00A205B9"/>
    <w:rsid w:val="00A216F9"/>
    <w:rsid w:val="00A22227"/>
    <w:rsid w:val="00A22CD5"/>
    <w:rsid w:val="00A23D71"/>
    <w:rsid w:val="00A24607"/>
    <w:rsid w:val="00A27954"/>
    <w:rsid w:val="00A279B7"/>
    <w:rsid w:val="00A3055A"/>
    <w:rsid w:val="00A30C35"/>
    <w:rsid w:val="00A32B15"/>
    <w:rsid w:val="00A32E2A"/>
    <w:rsid w:val="00A32FC4"/>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25EA"/>
    <w:rsid w:val="00A52B58"/>
    <w:rsid w:val="00A53236"/>
    <w:rsid w:val="00A53DA4"/>
    <w:rsid w:val="00A5410F"/>
    <w:rsid w:val="00A541BF"/>
    <w:rsid w:val="00A547B7"/>
    <w:rsid w:val="00A55DCB"/>
    <w:rsid w:val="00A5717C"/>
    <w:rsid w:val="00A572CB"/>
    <w:rsid w:val="00A57316"/>
    <w:rsid w:val="00A5747C"/>
    <w:rsid w:val="00A5748B"/>
    <w:rsid w:val="00A579CC"/>
    <w:rsid w:val="00A60479"/>
    <w:rsid w:val="00A618DB"/>
    <w:rsid w:val="00A63761"/>
    <w:rsid w:val="00A63C84"/>
    <w:rsid w:val="00A64491"/>
    <w:rsid w:val="00A64DF5"/>
    <w:rsid w:val="00A65475"/>
    <w:rsid w:val="00A65810"/>
    <w:rsid w:val="00A65C36"/>
    <w:rsid w:val="00A663AD"/>
    <w:rsid w:val="00A66C4C"/>
    <w:rsid w:val="00A674F4"/>
    <w:rsid w:val="00A67842"/>
    <w:rsid w:val="00A7113F"/>
    <w:rsid w:val="00A711CD"/>
    <w:rsid w:val="00A71CED"/>
    <w:rsid w:val="00A72845"/>
    <w:rsid w:val="00A72B6B"/>
    <w:rsid w:val="00A7338B"/>
    <w:rsid w:val="00A737E5"/>
    <w:rsid w:val="00A74FEB"/>
    <w:rsid w:val="00A76AF4"/>
    <w:rsid w:val="00A7741F"/>
    <w:rsid w:val="00A776AB"/>
    <w:rsid w:val="00A818B2"/>
    <w:rsid w:val="00A82509"/>
    <w:rsid w:val="00A82671"/>
    <w:rsid w:val="00A82E89"/>
    <w:rsid w:val="00A8555A"/>
    <w:rsid w:val="00A8581E"/>
    <w:rsid w:val="00A85CDC"/>
    <w:rsid w:val="00A86A92"/>
    <w:rsid w:val="00A86D11"/>
    <w:rsid w:val="00A87387"/>
    <w:rsid w:val="00A878F6"/>
    <w:rsid w:val="00A91632"/>
    <w:rsid w:val="00A91A59"/>
    <w:rsid w:val="00A92393"/>
    <w:rsid w:val="00A92A39"/>
    <w:rsid w:val="00A92F78"/>
    <w:rsid w:val="00A933CF"/>
    <w:rsid w:val="00A9344C"/>
    <w:rsid w:val="00A94643"/>
    <w:rsid w:val="00A947A6"/>
    <w:rsid w:val="00A96183"/>
    <w:rsid w:val="00A963D4"/>
    <w:rsid w:val="00A979E7"/>
    <w:rsid w:val="00AA00A2"/>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3F3"/>
    <w:rsid w:val="00AB2BFB"/>
    <w:rsid w:val="00AB2C02"/>
    <w:rsid w:val="00AB32BC"/>
    <w:rsid w:val="00AB4D5B"/>
    <w:rsid w:val="00AB55F1"/>
    <w:rsid w:val="00AB5EDC"/>
    <w:rsid w:val="00AB6C1A"/>
    <w:rsid w:val="00AB7622"/>
    <w:rsid w:val="00AB79EA"/>
    <w:rsid w:val="00AC0809"/>
    <w:rsid w:val="00AC1338"/>
    <w:rsid w:val="00AC16A6"/>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152"/>
    <w:rsid w:val="00AD2812"/>
    <w:rsid w:val="00AD3A88"/>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2C00"/>
    <w:rsid w:val="00B035C4"/>
    <w:rsid w:val="00B036D3"/>
    <w:rsid w:val="00B04968"/>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4E63"/>
    <w:rsid w:val="00B57027"/>
    <w:rsid w:val="00B570E4"/>
    <w:rsid w:val="00B57B7F"/>
    <w:rsid w:val="00B61CB6"/>
    <w:rsid w:val="00B628F4"/>
    <w:rsid w:val="00B631C8"/>
    <w:rsid w:val="00B63FD8"/>
    <w:rsid w:val="00B64970"/>
    <w:rsid w:val="00B64F9A"/>
    <w:rsid w:val="00B657F2"/>
    <w:rsid w:val="00B664B0"/>
    <w:rsid w:val="00B665D6"/>
    <w:rsid w:val="00B66A5F"/>
    <w:rsid w:val="00B67CDB"/>
    <w:rsid w:val="00B67E18"/>
    <w:rsid w:val="00B7219C"/>
    <w:rsid w:val="00B72891"/>
    <w:rsid w:val="00B72FE7"/>
    <w:rsid w:val="00B73122"/>
    <w:rsid w:val="00B73B0B"/>
    <w:rsid w:val="00B73E6F"/>
    <w:rsid w:val="00B744E3"/>
    <w:rsid w:val="00B761E0"/>
    <w:rsid w:val="00B769EB"/>
    <w:rsid w:val="00B82DD9"/>
    <w:rsid w:val="00B82EB3"/>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ACB"/>
    <w:rsid w:val="00BB7B9F"/>
    <w:rsid w:val="00BC0B67"/>
    <w:rsid w:val="00BC1328"/>
    <w:rsid w:val="00BC253A"/>
    <w:rsid w:val="00BC35DD"/>
    <w:rsid w:val="00BC3CDB"/>
    <w:rsid w:val="00BC4C54"/>
    <w:rsid w:val="00BC51CB"/>
    <w:rsid w:val="00BC51D3"/>
    <w:rsid w:val="00BC530F"/>
    <w:rsid w:val="00BC5975"/>
    <w:rsid w:val="00BC6842"/>
    <w:rsid w:val="00BC6CCD"/>
    <w:rsid w:val="00BC6CD9"/>
    <w:rsid w:val="00BC7769"/>
    <w:rsid w:val="00BD01B2"/>
    <w:rsid w:val="00BD0303"/>
    <w:rsid w:val="00BD0D2B"/>
    <w:rsid w:val="00BD0D4F"/>
    <w:rsid w:val="00BD2957"/>
    <w:rsid w:val="00BD2CD1"/>
    <w:rsid w:val="00BD2EBB"/>
    <w:rsid w:val="00BD482C"/>
    <w:rsid w:val="00BD7AA4"/>
    <w:rsid w:val="00BD7F4E"/>
    <w:rsid w:val="00BE04B4"/>
    <w:rsid w:val="00BE0A96"/>
    <w:rsid w:val="00BE1501"/>
    <w:rsid w:val="00BE17DE"/>
    <w:rsid w:val="00BE4D75"/>
    <w:rsid w:val="00BE5015"/>
    <w:rsid w:val="00BE5825"/>
    <w:rsid w:val="00BE5CE7"/>
    <w:rsid w:val="00BE6BCE"/>
    <w:rsid w:val="00BE7109"/>
    <w:rsid w:val="00BE793D"/>
    <w:rsid w:val="00BF00E5"/>
    <w:rsid w:val="00BF0A6F"/>
    <w:rsid w:val="00BF11F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21AA0"/>
    <w:rsid w:val="00C21C85"/>
    <w:rsid w:val="00C21F5C"/>
    <w:rsid w:val="00C21F62"/>
    <w:rsid w:val="00C22F3D"/>
    <w:rsid w:val="00C2354E"/>
    <w:rsid w:val="00C23704"/>
    <w:rsid w:val="00C23C8F"/>
    <w:rsid w:val="00C248B6"/>
    <w:rsid w:val="00C263DE"/>
    <w:rsid w:val="00C26A7C"/>
    <w:rsid w:val="00C30C36"/>
    <w:rsid w:val="00C31D15"/>
    <w:rsid w:val="00C3214E"/>
    <w:rsid w:val="00C32913"/>
    <w:rsid w:val="00C350A3"/>
    <w:rsid w:val="00C35EDC"/>
    <w:rsid w:val="00C36068"/>
    <w:rsid w:val="00C361F1"/>
    <w:rsid w:val="00C36591"/>
    <w:rsid w:val="00C412A3"/>
    <w:rsid w:val="00C413CB"/>
    <w:rsid w:val="00C4295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5A90"/>
    <w:rsid w:val="00C55E7D"/>
    <w:rsid w:val="00C6012B"/>
    <w:rsid w:val="00C60199"/>
    <w:rsid w:val="00C60F64"/>
    <w:rsid w:val="00C62304"/>
    <w:rsid w:val="00C62F7C"/>
    <w:rsid w:val="00C63343"/>
    <w:rsid w:val="00C63AC6"/>
    <w:rsid w:val="00C6542B"/>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72"/>
    <w:rsid w:val="00C81781"/>
    <w:rsid w:val="00C8260E"/>
    <w:rsid w:val="00C830F9"/>
    <w:rsid w:val="00C83293"/>
    <w:rsid w:val="00C83C8B"/>
    <w:rsid w:val="00C83EDF"/>
    <w:rsid w:val="00C84EC4"/>
    <w:rsid w:val="00C85C04"/>
    <w:rsid w:val="00C85DFA"/>
    <w:rsid w:val="00C86446"/>
    <w:rsid w:val="00C8644F"/>
    <w:rsid w:val="00C90E35"/>
    <w:rsid w:val="00C9138C"/>
    <w:rsid w:val="00C91F44"/>
    <w:rsid w:val="00C921E6"/>
    <w:rsid w:val="00C9385D"/>
    <w:rsid w:val="00C93FBA"/>
    <w:rsid w:val="00C94F96"/>
    <w:rsid w:val="00C9596E"/>
    <w:rsid w:val="00C960B5"/>
    <w:rsid w:val="00C96B35"/>
    <w:rsid w:val="00C97539"/>
    <w:rsid w:val="00C97FD1"/>
    <w:rsid w:val="00CA00E8"/>
    <w:rsid w:val="00CA0A6B"/>
    <w:rsid w:val="00CA129B"/>
    <w:rsid w:val="00CA2570"/>
    <w:rsid w:val="00CA25D9"/>
    <w:rsid w:val="00CA3F8D"/>
    <w:rsid w:val="00CA47DF"/>
    <w:rsid w:val="00CA5057"/>
    <w:rsid w:val="00CA65F3"/>
    <w:rsid w:val="00CA68B5"/>
    <w:rsid w:val="00CA779E"/>
    <w:rsid w:val="00CB04E2"/>
    <w:rsid w:val="00CB27A1"/>
    <w:rsid w:val="00CB5496"/>
    <w:rsid w:val="00CB5738"/>
    <w:rsid w:val="00CB7BC9"/>
    <w:rsid w:val="00CB7E35"/>
    <w:rsid w:val="00CC086A"/>
    <w:rsid w:val="00CC0C1F"/>
    <w:rsid w:val="00CC1040"/>
    <w:rsid w:val="00CC2A75"/>
    <w:rsid w:val="00CC425D"/>
    <w:rsid w:val="00CC44DE"/>
    <w:rsid w:val="00CC49FC"/>
    <w:rsid w:val="00CC4ED4"/>
    <w:rsid w:val="00CC5407"/>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3AF"/>
    <w:rsid w:val="00CD6705"/>
    <w:rsid w:val="00CE0D5B"/>
    <w:rsid w:val="00CE17B7"/>
    <w:rsid w:val="00CE1CFF"/>
    <w:rsid w:val="00CE2101"/>
    <w:rsid w:val="00CE43AE"/>
    <w:rsid w:val="00CE4B2A"/>
    <w:rsid w:val="00CE5B3E"/>
    <w:rsid w:val="00CE679D"/>
    <w:rsid w:val="00CE67A8"/>
    <w:rsid w:val="00CE6AD3"/>
    <w:rsid w:val="00CE73BB"/>
    <w:rsid w:val="00CE7A88"/>
    <w:rsid w:val="00CE7AF6"/>
    <w:rsid w:val="00CF011A"/>
    <w:rsid w:val="00CF0988"/>
    <w:rsid w:val="00CF2FF5"/>
    <w:rsid w:val="00CF4FFF"/>
    <w:rsid w:val="00CF526C"/>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0D19"/>
    <w:rsid w:val="00D21FE8"/>
    <w:rsid w:val="00D220D7"/>
    <w:rsid w:val="00D22BD1"/>
    <w:rsid w:val="00D23862"/>
    <w:rsid w:val="00D24555"/>
    <w:rsid w:val="00D25968"/>
    <w:rsid w:val="00D25F65"/>
    <w:rsid w:val="00D2612C"/>
    <w:rsid w:val="00D30BA5"/>
    <w:rsid w:val="00D31706"/>
    <w:rsid w:val="00D327A0"/>
    <w:rsid w:val="00D328C6"/>
    <w:rsid w:val="00D33792"/>
    <w:rsid w:val="00D3489F"/>
    <w:rsid w:val="00D34D1A"/>
    <w:rsid w:val="00D35607"/>
    <w:rsid w:val="00D3616D"/>
    <w:rsid w:val="00D36862"/>
    <w:rsid w:val="00D37C65"/>
    <w:rsid w:val="00D42F4A"/>
    <w:rsid w:val="00D43F77"/>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0B47"/>
    <w:rsid w:val="00D621BD"/>
    <w:rsid w:val="00D63D04"/>
    <w:rsid w:val="00D646D2"/>
    <w:rsid w:val="00D6478D"/>
    <w:rsid w:val="00D6520D"/>
    <w:rsid w:val="00D65B59"/>
    <w:rsid w:val="00D67525"/>
    <w:rsid w:val="00D67FB2"/>
    <w:rsid w:val="00D70C29"/>
    <w:rsid w:val="00D70E11"/>
    <w:rsid w:val="00D70E51"/>
    <w:rsid w:val="00D71875"/>
    <w:rsid w:val="00D71DFC"/>
    <w:rsid w:val="00D73109"/>
    <w:rsid w:val="00D7316B"/>
    <w:rsid w:val="00D738A2"/>
    <w:rsid w:val="00D73F7F"/>
    <w:rsid w:val="00D7406D"/>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15BC"/>
    <w:rsid w:val="00DA2194"/>
    <w:rsid w:val="00DA35EE"/>
    <w:rsid w:val="00DA4198"/>
    <w:rsid w:val="00DA4DDB"/>
    <w:rsid w:val="00DA565B"/>
    <w:rsid w:val="00DA56BF"/>
    <w:rsid w:val="00DA6674"/>
    <w:rsid w:val="00DA7B19"/>
    <w:rsid w:val="00DB024B"/>
    <w:rsid w:val="00DB053A"/>
    <w:rsid w:val="00DB082D"/>
    <w:rsid w:val="00DB23F4"/>
    <w:rsid w:val="00DB37C4"/>
    <w:rsid w:val="00DB6086"/>
    <w:rsid w:val="00DB7D80"/>
    <w:rsid w:val="00DB7FA6"/>
    <w:rsid w:val="00DC1B67"/>
    <w:rsid w:val="00DC1F0F"/>
    <w:rsid w:val="00DC23C0"/>
    <w:rsid w:val="00DC2C36"/>
    <w:rsid w:val="00DC3136"/>
    <w:rsid w:val="00DC3191"/>
    <w:rsid w:val="00DC3252"/>
    <w:rsid w:val="00DC39C7"/>
    <w:rsid w:val="00DC4327"/>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D7094"/>
    <w:rsid w:val="00DE08B4"/>
    <w:rsid w:val="00DE183E"/>
    <w:rsid w:val="00DE1B6B"/>
    <w:rsid w:val="00DE2A72"/>
    <w:rsid w:val="00DE2AA1"/>
    <w:rsid w:val="00DE3C50"/>
    <w:rsid w:val="00DE4AC6"/>
    <w:rsid w:val="00DE4EF6"/>
    <w:rsid w:val="00DE5F08"/>
    <w:rsid w:val="00DE715D"/>
    <w:rsid w:val="00DE7BD5"/>
    <w:rsid w:val="00DE7C44"/>
    <w:rsid w:val="00DF208D"/>
    <w:rsid w:val="00DF2585"/>
    <w:rsid w:val="00DF295A"/>
    <w:rsid w:val="00DF2A59"/>
    <w:rsid w:val="00DF2C6A"/>
    <w:rsid w:val="00DF2EE1"/>
    <w:rsid w:val="00DF36D8"/>
    <w:rsid w:val="00DF3B2D"/>
    <w:rsid w:val="00DF5207"/>
    <w:rsid w:val="00DF60D0"/>
    <w:rsid w:val="00DF621B"/>
    <w:rsid w:val="00DF6293"/>
    <w:rsid w:val="00DF647D"/>
    <w:rsid w:val="00E0019D"/>
    <w:rsid w:val="00E004AE"/>
    <w:rsid w:val="00E00BBE"/>
    <w:rsid w:val="00E01583"/>
    <w:rsid w:val="00E0183D"/>
    <w:rsid w:val="00E01A67"/>
    <w:rsid w:val="00E01AE4"/>
    <w:rsid w:val="00E02090"/>
    <w:rsid w:val="00E02570"/>
    <w:rsid w:val="00E02A8D"/>
    <w:rsid w:val="00E03BEB"/>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5BE"/>
    <w:rsid w:val="00E1681B"/>
    <w:rsid w:val="00E16CD7"/>
    <w:rsid w:val="00E16F89"/>
    <w:rsid w:val="00E20981"/>
    <w:rsid w:val="00E2146B"/>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27A7F"/>
    <w:rsid w:val="00E30B90"/>
    <w:rsid w:val="00E30D02"/>
    <w:rsid w:val="00E333DF"/>
    <w:rsid w:val="00E337D5"/>
    <w:rsid w:val="00E35FFA"/>
    <w:rsid w:val="00E36CCD"/>
    <w:rsid w:val="00E3778A"/>
    <w:rsid w:val="00E37A1B"/>
    <w:rsid w:val="00E37E85"/>
    <w:rsid w:val="00E40430"/>
    <w:rsid w:val="00E41321"/>
    <w:rsid w:val="00E4192F"/>
    <w:rsid w:val="00E42153"/>
    <w:rsid w:val="00E44340"/>
    <w:rsid w:val="00E44B75"/>
    <w:rsid w:val="00E44CD2"/>
    <w:rsid w:val="00E4530A"/>
    <w:rsid w:val="00E45D63"/>
    <w:rsid w:val="00E46850"/>
    <w:rsid w:val="00E47163"/>
    <w:rsid w:val="00E4790E"/>
    <w:rsid w:val="00E50DF3"/>
    <w:rsid w:val="00E51DD3"/>
    <w:rsid w:val="00E54AE9"/>
    <w:rsid w:val="00E568E2"/>
    <w:rsid w:val="00E61E9B"/>
    <w:rsid w:val="00E62028"/>
    <w:rsid w:val="00E635D2"/>
    <w:rsid w:val="00E63B6A"/>
    <w:rsid w:val="00E646EE"/>
    <w:rsid w:val="00E64E73"/>
    <w:rsid w:val="00E6597E"/>
    <w:rsid w:val="00E66418"/>
    <w:rsid w:val="00E70CA3"/>
    <w:rsid w:val="00E711A2"/>
    <w:rsid w:val="00E721F4"/>
    <w:rsid w:val="00E74048"/>
    <w:rsid w:val="00E749AE"/>
    <w:rsid w:val="00E76A9F"/>
    <w:rsid w:val="00E76D23"/>
    <w:rsid w:val="00E777AA"/>
    <w:rsid w:val="00E778BB"/>
    <w:rsid w:val="00E778C4"/>
    <w:rsid w:val="00E77FBF"/>
    <w:rsid w:val="00E800B4"/>
    <w:rsid w:val="00E800EF"/>
    <w:rsid w:val="00E8140D"/>
    <w:rsid w:val="00E832CD"/>
    <w:rsid w:val="00E84517"/>
    <w:rsid w:val="00E855F7"/>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A"/>
    <w:rsid w:val="00ED47C6"/>
    <w:rsid w:val="00ED47DC"/>
    <w:rsid w:val="00ED4CAF"/>
    <w:rsid w:val="00ED6460"/>
    <w:rsid w:val="00ED7714"/>
    <w:rsid w:val="00EE0CAC"/>
    <w:rsid w:val="00EE21B0"/>
    <w:rsid w:val="00EE5BCE"/>
    <w:rsid w:val="00EE606B"/>
    <w:rsid w:val="00EE66FE"/>
    <w:rsid w:val="00EE788C"/>
    <w:rsid w:val="00EE7B3B"/>
    <w:rsid w:val="00EF0898"/>
    <w:rsid w:val="00EF24D9"/>
    <w:rsid w:val="00EF287C"/>
    <w:rsid w:val="00EF311A"/>
    <w:rsid w:val="00EF338B"/>
    <w:rsid w:val="00EF40F4"/>
    <w:rsid w:val="00EF42D0"/>
    <w:rsid w:val="00EF453D"/>
    <w:rsid w:val="00EF4FF8"/>
    <w:rsid w:val="00EF64C4"/>
    <w:rsid w:val="00EF6A54"/>
    <w:rsid w:val="00F01454"/>
    <w:rsid w:val="00F01D9C"/>
    <w:rsid w:val="00F03A69"/>
    <w:rsid w:val="00F06ED7"/>
    <w:rsid w:val="00F077FB"/>
    <w:rsid w:val="00F106CF"/>
    <w:rsid w:val="00F120A1"/>
    <w:rsid w:val="00F125D3"/>
    <w:rsid w:val="00F13D2E"/>
    <w:rsid w:val="00F162B2"/>
    <w:rsid w:val="00F17D86"/>
    <w:rsid w:val="00F202F0"/>
    <w:rsid w:val="00F20F21"/>
    <w:rsid w:val="00F241D3"/>
    <w:rsid w:val="00F26CD9"/>
    <w:rsid w:val="00F27664"/>
    <w:rsid w:val="00F27761"/>
    <w:rsid w:val="00F313C4"/>
    <w:rsid w:val="00F31F7E"/>
    <w:rsid w:val="00F32BB0"/>
    <w:rsid w:val="00F32C94"/>
    <w:rsid w:val="00F32E9D"/>
    <w:rsid w:val="00F34C18"/>
    <w:rsid w:val="00F34E0C"/>
    <w:rsid w:val="00F3590D"/>
    <w:rsid w:val="00F35E0C"/>
    <w:rsid w:val="00F36230"/>
    <w:rsid w:val="00F365AA"/>
    <w:rsid w:val="00F37D5A"/>
    <w:rsid w:val="00F40850"/>
    <w:rsid w:val="00F41A48"/>
    <w:rsid w:val="00F41B55"/>
    <w:rsid w:val="00F41F4C"/>
    <w:rsid w:val="00F42F35"/>
    <w:rsid w:val="00F43922"/>
    <w:rsid w:val="00F443B0"/>
    <w:rsid w:val="00F44EB1"/>
    <w:rsid w:val="00F45376"/>
    <w:rsid w:val="00F47281"/>
    <w:rsid w:val="00F52EA7"/>
    <w:rsid w:val="00F52F11"/>
    <w:rsid w:val="00F52FAF"/>
    <w:rsid w:val="00F5498A"/>
    <w:rsid w:val="00F55522"/>
    <w:rsid w:val="00F5568D"/>
    <w:rsid w:val="00F56608"/>
    <w:rsid w:val="00F56903"/>
    <w:rsid w:val="00F56DA3"/>
    <w:rsid w:val="00F578CE"/>
    <w:rsid w:val="00F57B67"/>
    <w:rsid w:val="00F611AC"/>
    <w:rsid w:val="00F625FB"/>
    <w:rsid w:val="00F626FA"/>
    <w:rsid w:val="00F62712"/>
    <w:rsid w:val="00F62EBA"/>
    <w:rsid w:val="00F63B25"/>
    <w:rsid w:val="00F63F27"/>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E91"/>
    <w:rsid w:val="00F81F8F"/>
    <w:rsid w:val="00F824F3"/>
    <w:rsid w:val="00F8285A"/>
    <w:rsid w:val="00F83515"/>
    <w:rsid w:val="00F85A6D"/>
    <w:rsid w:val="00F85BDA"/>
    <w:rsid w:val="00F860A9"/>
    <w:rsid w:val="00F87134"/>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9A7"/>
    <w:rsid w:val="00FA0BB1"/>
    <w:rsid w:val="00FA3FDC"/>
    <w:rsid w:val="00FA623A"/>
    <w:rsid w:val="00FB07A8"/>
    <w:rsid w:val="00FB10BB"/>
    <w:rsid w:val="00FB1C87"/>
    <w:rsid w:val="00FB26DA"/>
    <w:rsid w:val="00FB319B"/>
    <w:rsid w:val="00FB32E1"/>
    <w:rsid w:val="00FB3D69"/>
    <w:rsid w:val="00FB58BC"/>
    <w:rsid w:val="00FB6109"/>
    <w:rsid w:val="00FB7BE3"/>
    <w:rsid w:val="00FC0C49"/>
    <w:rsid w:val="00FC174D"/>
    <w:rsid w:val="00FC17F6"/>
    <w:rsid w:val="00FC1F7B"/>
    <w:rsid w:val="00FC49C8"/>
    <w:rsid w:val="00FC523E"/>
    <w:rsid w:val="00FC54B9"/>
    <w:rsid w:val="00FC76E0"/>
    <w:rsid w:val="00FD1220"/>
    <w:rsid w:val="00FD1DB6"/>
    <w:rsid w:val="00FD1E39"/>
    <w:rsid w:val="00FD1FF3"/>
    <w:rsid w:val="00FD2233"/>
    <w:rsid w:val="00FD259E"/>
    <w:rsid w:val="00FD33C4"/>
    <w:rsid w:val="00FD4A56"/>
    <w:rsid w:val="00FD5CB7"/>
    <w:rsid w:val="00FD5D9B"/>
    <w:rsid w:val="00FD62CD"/>
    <w:rsid w:val="00FD64B3"/>
    <w:rsid w:val="00FD6937"/>
    <w:rsid w:val="00FD7E77"/>
    <w:rsid w:val="00FE14D3"/>
    <w:rsid w:val="00FE3955"/>
    <w:rsid w:val="00FE3B6D"/>
    <w:rsid w:val="00FE4B3E"/>
    <w:rsid w:val="00FE4EDF"/>
    <w:rsid w:val="00FE5198"/>
    <w:rsid w:val="00FE6368"/>
    <w:rsid w:val="00FE63AE"/>
    <w:rsid w:val="00FE7564"/>
    <w:rsid w:val="00FE7CBD"/>
    <w:rsid w:val="00FF08A8"/>
    <w:rsid w:val="00FF0B14"/>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431729">
      <w:bodyDiv w:val="1"/>
      <w:marLeft w:val="0"/>
      <w:marRight w:val="0"/>
      <w:marTop w:val="0"/>
      <w:marBottom w:val="0"/>
      <w:divBdr>
        <w:top w:val="none" w:sz="0" w:space="0" w:color="auto"/>
        <w:left w:val="none" w:sz="0" w:space="0" w:color="auto"/>
        <w:bottom w:val="none" w:sz="0" w:space="0" w:color="auto"/>
        <w:right w:val="none" w:sz="0" w:space="0" w:color="auto"/>
      </w:divBdr>
      <w:divsChild>
        <w:div w:id="637346108">
          <w:marLeft w:val="0"/>
          <w:marRight w:val="0"/>
          <w:marTop w:val="0"/>
          <w:marBottom w:val="0"/>
          <w:divBdr>
            <w:top w:val="none" w:sz="0" w:space="0" w:color="auto"/>
            <w:left w:val="none" w:sz="0" w:space="0" w:color="auto"/>
            <w:bottom w:val="none" w:sz="0" w:space="0" w:color="auto"/>
            <w:right w:val="none" w:sz="0" w:space="0" w:color="auto"/>
          </w:divBdr>
        </w:div>
        <w:div w:id="2138137488">
          <w:marLeft w:val="0"/>
          <w:marRight w:val="0"/>
          <w:marTop w:val="0"/>
          <w:marBottom w:val="0"/>
          <w:divBdr>
            <w:top w:val="none" w:sz="0" w:space="0" w:color="auto"/>
            <w:left w:val="none" w:sz="0" w:space="0" w:color="auto"/>
            <w:bottom w:val="none" w:sz="0" w:space="0" w:color="auto"/>
            <w:right w:val="none" w:sz="0" w:space="0" w:color="auto"/>
          </w:divBdr>
        </w:div>
      </w:divsChild>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582258467">
      <w:bodyDiv w:val="1"/>
      <w:marLeft w:val="0"/>
      <w:marRight w:val="0"/>
      <w:marTop w:val="0"/>
      <w:marBottom w:val="0"/>
      <w:divBdr>
        <w:top w:val="none" w:sz="0" w:space="0" w:color="auto"/>
        <w:left w:val="none" w:sz="0" w:space="0" w:color="auto"/>
        <w:bottom w:val="none" w:sz="0" w:space="0" w:color="auto"/>
        <w:right w:val="none" w:sz="0" w:space="0" w:color="auto"/>
      </w:divBdr>
      <w:divsChild>
        <w:div w:id="1065567231">
          <w:marLeft w:val="0"/>
          <w:marRight w:val="0"/>
          <w:marTop w:val="0"/>
          <w:marBottom w:val="0"/>
          <w:divBdr>
            <w:top w:val="none" w:sz="0" w:space="0" w:color="auto"/>
            <w:left w:val="none" w:sz="0" w:space="0" w:color="auto"/>
            <w:bottom w:val="none" w:sz="0" w:space="0" w:color="auto"/>
            <w:right w:val="none" w:sz="0" w:space="0" w:color="auto"/>
          </w:divBdr>
        </w:div>
        <w:div w:id="933393407">
          <w:marLeft w:val="0"/>
          <w:marRight w:val="0"/>
          <w:marTop w:val="0"/>
          <w:marBottom w:val="0"/>
          <w:divBdr>
            <w:top w:val="none" w:sz="0" w:space="0" w:color="auto"/>
            <w:left w:val="none" w:sz="0" w:space="0" w:color="auto"/>
            <w:bottom w:val="none" w:sz="0" w:space="0" w:color="auto"/>
            <w:right w:val="none" w:sz="0" w:space="0" w:color="auto"/>
          </w:divBdr>
        </w:div>
        <w:div w:id="440418168">
          <w:marLeft w:val="0"/>
          <w:marRight w:val="0"/>
          <w:marTop w:val="0"/>
          <w:marBottom w:val="0"/>
          <w:divBdr>
            <w:top w:val="none" w:sz="0" w:space="0" w:color="auto"/>
            <w:left w:val="none" w:sz="0" w:space="0" w:color="auto"/>
            <w:bottom w:val="none" w:sz="0" w:space="0" w:color="auto"/>
            <w:right w:val="none" w:sz="0" w:space="0" w:color="auto"/>
          </w:divBdr>
        </w:div>
        <w:div w:id="1955480033">
          <w:marLeft w:val="0"/>
          <w:marRight w:val="0"/>
          <w:marTop w:val="0"/>
          <w:marBottom w:val="0"/>
          <w:divBdr>
            <w:top w:val="none" w:sz="0" w:space="0" w:color="auto"/>
            <w:left w:val="none" w:sz="0" w:space="0" w:color="auto"/>
            <w:bottom w:val="none" w:sz="0" w:space="0" w:color="auto"/>
            <w:right w:val="none" w:sz="0" w:space="0" w:color="auto"/>
          </w:divBdr>
        </w:div>
      </w:divsChild>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0123323">
      <w:bodyDiv w:val="1"/>
      <w:marLeft w:val="0"/>
      <w:marRight w:val="0"/>
      <w:marTop w:val="0"/>
      <w:marBottom w:val="0"/>
      <w:divBdr>
        <w:top w:val="none" w:sz="0" w:space="0" w:color="auto"/>
        <w:left w:val="none" w:sz="0" w:space="0" w:color="auto"/>
        <w:bottom w:val="none" w:sz="0" w:space="0" w:color="auto"/>
        <w:right w:val="none" w:sz="0" w:space="0" w:color="auto"/>
      </w:divBdr>
      <w:divsChild>
        <w:div w:id="1826704436">
          <w:marLeft w:val="0"/>
          <w:marRight w:val="0"/>
          <w:marTop w:val="0"/>
          <w:marBottom w:val="0"/>
          <w:divBdr>
            <w:top w:val="none" w:sz="0" w:space="0" w:color="auto"/>
            <w:left w:val="none" w:sz="0" w:space="0" w:color="auto"/>
            <w:bottom w:val="none" w:sz="0" w:space="0" w:color="auto"/>
            <w:right w:val="none" w:sz="0" w:space="0" w:color="auto"/>
          </w:divBdr>
        </w:div>
        <w:div w:id="265772719">
          <w:marLeft w:val="0"/>
          <w:marRight w:val="0"/>
          <w:marTop w:val="0"/>
          <w:marBottom w:val="0"/>
          <w:divBdr>
            <w:top w:val="none" w:sz="0" w:space="0" w:color="auto"/>
            <w:left w:val="none" w:sz="0" w:space="0" w:color="auto"/>
            <w:bottom w:val="none" w:sz="0" w:space="0" w:color="auto"/>
            <w:right w:val="none" w:sz="0" w:space="0" w:color="auto"/>
          </w:divBdr>
        </w:div>
        <w:div w:id="339701511">
          <w:marLeft w:val="0"/>
          <w:marRight w:val="0"/>
          <w:marTop w:val="0"/>
          <w:marBottom w:val="0"/>
          <w:divBdr>
            <w:top w:val="none" w:sz="0" w:space="0" w:color="auto"/>
            <w:left w:val="none" w:sz="0" w:space="0" w:color="auto"/>
            <w:bottom w:val="none" w:sz="0" w:space="0" w:color="auto"/>
            <w:right w:val="none" w:sz="0" w:space="0" w:color="auto"/>
          </w:divBdr>
        </w:div>
        <w:div w:id="173688445">
          <w:marLeft w:val="0"/>
          <w:marRight w:val="0"/>
          <w:marTop w:val="0"/>
          <w:marBottom w:val="0"/>
          <w:divBdr>
            <w:top w:val="none" w:sz="0" w:space="0" w:color="auto"/>
            <w:left w:val="none" w:sz="0" w:space="0" w:color="auto"/>
            <w:bottom w:val="none" w:sz="0" w:space="0" w:color="auto"/>
            <w:right w:val="none" w:sz="0" w:space="0" w:color="auto"/>
          </w:divBdr>
        </w:div>
        <w:div w:id="1228808764">
          <w:marLeft w:val="0"/>
          <w:marRight w:val="0"/>
          <w:marTop w:val="0"/>
          <w:marBottom w:val="0"/>
          <w:divBdr>
            <w:top w:val="none" w:sz="0" w:space="0" w:color="auto"/>
            <w:left w:val="none" w:sz="0" w:space="0" w:color="auto"/>
            <w:bottom w:val="none" w:sz="0" w:space="0" w:color="auto"/>
            <w:right w:val="none" w:sz="0" w:space="0" w:color="auto"/>
          </w:divBdr>
        </w:div>
        <w:div w:id="1518422094">
          <w:marLeft w:val="0"/>
          <w:marRight w:val="0"/>
          <w:marTop w:val="0"/>
          <w:marBottom w:val="0"/>
          <w:divBdr>
            <w:top w:val="none" w:sz="0" w:space="0" w:color="auto"/>
            <w:left w:val="none" w:sz="0" w:space="0" w:color="auto"/>
            <w:bottom w:val="none" w:sz="0" w:space="0" w:color="auto"/>
            <w:right w:val="none" w:sz="0" w:space="0" w:color="auto"/>
          </w:divBdr>
        </w:div>
      </w:divsChild>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s.strods@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1629-60BE-4A0F-8C38-816E81CF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10156</Words>
  <Characters>5790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15915</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14.oktobra noteikumos Nr.857 „Noteikumi par darbības programmas „Infrastruktūra un pakalpojumi” papildinājuma 3.3.1.3.aktivitāti „Lielo ostu infrastruktūras attīstība „Jūras maģistrāļu” ietvaros</dc:title>
  <dc:subject>Noteikumu projekta anotācija</dc:subject>
  <dc:creator>Andis.Strods@sam.gov.lv</dc:creator>
  <dc:description>SAManot_231015_ostas</dc:description>
  <cp:lastModifiedBy>Baiba Šterna</cp:lastModifiedBy>
  <cp:revision>19</cp:revision>
  <cp:lastPrinted>2015-10-13T12:22:00Z</cp:lastPrinted>
  <dcterms:created xsi:type="dcterms:W3CDTF">2015-10-12T06:06:00Z</dcterms:created>
  <dcterms:modified xsi:type="dcterms:W3CDTF">2015-10-23T11:16:00Z</dcterms:modified>
</cp:coreProperties>
</file>