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90" w:rsidRDefault="00C12290" w:rsidP="00865B60">
      <w:pPr>
        <w:pStyle w:val="Title"/>
      </w:pPr>
      <w:r>
        <w:t>Minist</w:t>
      </w:r>
      <w:bookmarkStart w:id="0" w:name="_GoBack"/>
      <w:bookmarkEnd w:id="0"/>
      <w:r>
        <w:t>ru kabineta noteikumu projekta</w:t>
      </w:r>
    </w:p>
    <w:p w:rsidR="00647E32" w:rsidRPr="00FA5834" w:rsidRDefault="00647E32" w:rsidP="00865B60">
      <w:pPr>
        <w:pStyle w:val="Title"/>
      </w:pPr>
      <w:r w:rsidRPr="00FA5834">
        <w:t>„</w:t>
      </w:r>
      <w:r w:rsidR="00C12290">
        <w:t xml:space="preserve">Kārtība, kādā zemes lietotājiem nosakāmi to zaudējumi apmēri, kas saistīti ar īpaši aizsargājamo nemedījamo sugu un migrējošo sugu dzīvnieku nodarītiem būtiskiem postījumiem un minimālās aizsardzības pasākumu prasības postījumu novēršanai </w:t>
      </w:r>
      <w:r w:rsidRPr="00FA5834">
        <w:t>”</w:t>
      </w:r>
    </w:p>
    <w:p w:rsidR="00647E32" w:rsidRPr="00FA5834" w:rsidRDefault="00647E32" w:rsidP="00865B60">
      <w:pPr>
        <w:pStyle w:val="naislab"/>
        <w:spacing w:before="0" w:after="0"/>
        <w:jc w:val="center"/>
        <w:outlineLvl w:val="0"/>
        <w:rPr>
          <w:b/>
        </w:rPr>
      </w:pPr>
      <w:r w:rsidRPr="00FA5834">
        <w:rPr>
          <w:b/>
        </w:rPr>
        <w:t>sākotnējās ietekmes novērtējuma ziņojums</w:t>
      </w:r>
    </w:p>
    <w:p w:rsidR="00113639" w:rsidRPr="00FA5834" w:rsidRDefault="00647E32" w:rsidP="00865B60">
      <w:pPr>
        <w:pStyle w:val="naislab"/>
        <w:spacing w:before="0" w:after="0"/>
        <w:jc w:val="center"/>
        <w:outlineLvl w:val="0"/>
      </w:pPr>
      <w:r w:rsidRPr="00FA5834">
        <w:rPr>
          <w:b/>
        </w:rPr>
        <w:t>(anotācija)</w:t>
      </w:r>
    </w:p>
    <w:tbl>
      <w:tblPr>
        <w:tblpPr w:leftFromText="180" w:rightFromText="180" w:vertAnchor="text" w:horzAnchor="margin" w:tblpXSpec="center" w:tblpY="149"/>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55"/>
        <w:gridCol w:w="6300"/>
      </w:tblGrid>
      <w:tr w:rsidR="00647E32" w:rsidRPr="00FA5834" w:rsidTr="00BD0B63">
        <w:tc>
          <w:tcPr>
            <w:tcW w:w="9005" w:type="dxa"/>
            <w:gridSpan w:val="3"/>
            <w:vAlign w:val="center"/>
          </w:tcPr>
          <w:p w:rsidR="00647E32" w:rsidRPr="00FA5834" w:rsidRDefault="00647E32" w:rsidP="00865B60">
            <w:pPr>
              <w:pStyle w:val="naisnod"/>
              <w:spacing w:before="0" w:after="0"/>
              <w:ind w:right="71"/>
            </w:pPr>
            <w:r w:rsidRPr="00FA5834">
              <w:t>I. Tiesību akta projekta izstrādes nepieciešamība</w:t>
            </w:r>
          </w:p>
        </w:tc>
      </w:tr>
      <w:tr w:rsidR="00647E32" w:rsidRPr="00FA5834" w:rsidTr="00BD0B63">
        <w:trPr>
          <w:trHeight w:val="630"/>
        </w:trPr>
        <w:tc>
          <w:tcPr>
            <w:tcW w:w="550" w:type="dxa"/>
          </w:tcPr>
          <w:p w:rsidR="00647E32" w:rsidRPr="00FA5834" w:rsidRDefault="00647E32" w:rsidP="00865B60">
            <w:pPr>
              <w:pStyle w:val="naiskr"/>
              <w:spacing w:before="0" w:after="0"/>
              <w:ind w:right="71"/>
            </w:pPr>
            <w:r w:rsidRPr="00FA5834">
              <w:t>1.</w:t>
            </w:r>
          </w:p>
        </w:tc>
        <w:tc>
          <w:tcPr>
            <w:tcW w:w="2155" w:type="dxa"/>
          </w:tcPr>
          <w:p w:rsidR="00647E32" w:rsidRPr="00FA5834" w:rsidRDefault="00647E32" w:rsidP="00865B60">
            <w:pPr>
              <w:pStyle w:val="naiskr"/>
              <w:spacing w:before="0" w:after="0"/>
              <w:ind w:right="71" w:hanging="10"/>
            </w:pPr>
            <w:r w:rsidRPr="00FA5834">
              <w:t>Pamatojums</w:t>
            </w:r>
          </w:p>
        </w:tc>
        <w:tc>
          <w:tcPr>
            <w:tcW w:w="6300" w:type="dxa"/>
          </w:tcPr>
          <w:p w:rsidR="00C92442" w:rsidRPr="00C12290" w:rsidRDefault="00C12290" w:rsidP="00976500">
            <w:pPr>
              <w:pStyle w:val="CommentText"/>
              <w:jc w:val="both"/>
              <w:rPr>
                <w:sz w:val="24"/>
                <w:szCs w:val="24"/>
              </w:rPr>
            </w:pPr>
            <w:r w:rsidRPr="00C12290">
              <w:rPr>
                <w:color w:val="000000"/>
                <w:sz w:val="24"/>
                <w:szCs w:val="24"/>
              </w:rPr>
              <w:t>Mini</w:t>
            </w:r>
            <w:r>
              <w:rPr>
                <w:color w:val="000000"/>
                <w:sz w:val="24"/>
                <w:szCs w:val="24"/>
              </w:rPr>
              <w:t xml:space="preserve">stru kabineta noteikumu projekts </w:t>
            </w:r>
            <w:r w:rsidRPr="00C12290">
              <w:rPr>
                <w:color w:val="000000"/>
                <w:sz w:val="24"/>
                <w:szCs w:val="24"/>
              </w:rPr>
              <w:t>„Kārtība, kādā zemes lietotājiem nosakāmi to zaudējumi apmēri, kas saistīti ar īpaši aizsargājamo nemedījamo sugu un migrējošo sugu dzīvnieku nodarītiem būtiskiem postījumiem un minimālās aizsardzības pasākumu prasības postījumu novēršanai”</w:t>
            </w:r>
            <w:r>
              <w:rPr>
                <w:color w:val="000000"/>
                <w:sz w:val="24"/>
                <w:szCs w:val="24"/>
              </w:rPr>
              <w:t xml:space="preserve"> </w:t>
            </w:r>
            <w:r w:rsidR="003F631A">
              <w:rPr>
                <w:color w:val="000000"/>
                <w:sz w:val="24"/>
                <w:szCs w:val="24"/>
              </w:rPr>
              <w:t>(</w:t>
            </w:r>
            <w:r>
              <w:rPr>
                <w:color w:val="000000"/>
                <w:sz w:val="24"/>
                <w:szCs w:val="24"/>
              </w:rPr>
              <w:t>turpmāk</w:t>
            </w:r>
            <w:r w:rsidR="00976500">
              <w:rPr>
                <w:color w:val="000000"/>
                <w:sz w:val="24"/>
                <w:szCs w:val="24"/>
              </w:rPr>
              <w:t>-</w:t>
            </w:r>
            <w:r>
              <w:rPr>
                <w:color w:val="000000"/>
                <w:sz w:val="24"/>
                <w:szCs w:val="24"/>
              </w:rPr>
              <w:t>noteikumu projekts) izstrādāts saskaņā ar Sugu un biotopu aizsard</w:t>
            </w:r>
            <w:r w:rsidR="009F5E8B">
              <w:rPr>
                <w:color w:val="000000"/>
                <w:sz w:val="24"/>
                <w:szCs w:val="24"/>
              </w:rPr>
              <w:t xml:space="preserve">zības likuma </w:t>
            </w:r>
            <w:proofErr w:type="gramStart"/>
            <w:r w:rsidR="009F5E8B">
              <w:rPr>
                <w:color w:val="000000"/>
                <w:sz w:val="24"/>
                <w:szCs w:val="24"/>
              </w:rPr>
              <w:t>4.panta</w:t>
            </w:r>
            <w:proofErr w:type="gramEnd"/>
            <w:r w:rsidR="009F5E8B">
              <w:rPr>
                <w:color w:val="000000"/>
                <w:sz w:val="24"/>
                <w:szCs w:val="24"/>
              </w:rPr>
              <w:t xml:space="preserve"> 6.punktu. </w:t>
            </w:r>
          </w:p>
        </w:tc>
      </w:tr>
      <w:tr w:rsidR="00647E32" w:rsidRPr="00FA5834" w:rsidTr="00BD0B63">
        <w:trPr>
          <w:trHeight w:val="70"/>
        </w:trPr>
        <w:tc>
          <w:tcPr>
            <w:tcW w:w="550" w:type="dxa"/>
          </w:tcPr>
          <w:p w:rsidR="00647E32" w:rsidRPr="00FA5834" w:rsidRDefault="00647E32" w:rsidP="00865B60">
            <w:pPr>
              <w:pStyle w:val="naiskr"/>
              <w:spacing w:before="0" w:after="0"/>
              <w:ind w:right="71"/>
            </w:pPr>
            <w:r w:rsidRPr="00FA5834">
              <w:t>2.</w:t>
            </w:r>
          </w:p>
        </w:tc>
        <w:tc>
          <w:tcPr>
            <w:tcW w:w="2155" w:type="dxa"/>
          </w:tcPr>
          <w:p w:rsidR="00647E32" w:rsidRPr="00FA5834" w:rsidRDefault="00647E32" w:rsidP="00865B60">
            <w:pPr>
              <w:pStyle w:val="naiskr"/>
              <w:tabs>
                <w:tab w:val="left" w:pos="170"/>
              </w:tabs>
              <w:spacing w:before="0" w:after="0"/>
              <w:ind w:right="71"/>
            </w:pPr>
            <w:r w:rsidRPr="00FA5834">
              <w:t>P</w:t>
            </w:r>
            <w:r w:rsidR="006C08A8">
              <w:t>ašreizējā situācija un problēmas, kuru risināšanai tiesību akta projekts izstrādāts, tiesiskā regulējuma mērķis un būtība</w:t>
            </w:r>
          </w:p>
        </w:tc>
        <w:tc>
          <w:tcPr>
            <w:tcW w:w="6300" w:type="dxa"/>
          </w:tcPr>
          <w:p w:rsidR="00976500" w:rsidRDefault="00976500" w:rsidP="006B569F">
            <w:pPr>
              <w:pStyle w:val="naisf"/>
              <w:spacing w:before="0" w:after="0"/>
              <w:ind w:right="71" w:firstLine="0"/>
              <w:rPr>
                <w:color w:val="000000"/>
              </w:rPr>
            </w:pPr>
            <w:r>
              <w:rPr>
                <w:color w:val="000000"/>
              </w:rPr>
              <w:t xml:space="preserve">Latvijas Republikas Saeima </w:t>
            </w:r>
            <w:proofErr w:type="gramStart"/>
            <w:r>
              <w:rPr>
                <w:color w:val="000000"/>
              </w:rPr>
              <w:t>2015.gada</w:t>
            </w:r>
            <w:proofErr w:type="gramEnd"/>
            <w:r>
              <w:rPr>
                <w:color w:val="000000"/>
              </w:rPr>
              <w:t xml:space="preserve"> 8.oktobrī pieņēma grozījumus Sugu un biotopu aizsardzības likumā (turpmāk – Grozījumi), mainot deleģējumu Ministru kabinetam izdot noteikumus par </w:t>
            </w:r>
            <w:r>
              <w:t>kārtību, kādā zemes lietotājiem nosakāmi to zaudējumu apmēri, kas saistīti ar īpaši aizsargājamo nemedījamo sugu un migrējošo sugu dzīvnieku nodarītajiem būtiskiem postījumiem, un minimālās nepieciešamo aizsardzības pasākumu prasības postījumu novēršanai.</w:t>
            </w:r>
            <w:r>
              <w:rPr>
                <w:color w:val="000000"/>
              </w:rPr>
              <w:t xml:space="preserve"> Ar grozījumiem ir papildinātas pārejas noteikumu prasības, saskaņā ar kurām </w:t>
            </w:r>
            <w:r w:rsidRPr="009F5E8B">
              <w:rPr>
                <w:color w:val="000000"/>
              </w:rPr>
              <w:t>Mini</w:t>
            </w:r>
            <w:r>
              <w:rPr>
                <w:color w:val="000000"/>
              </w:rPr>
              <w:t xml:space="preserve">stru kabinetam līdz </w:t>
            </w:r>
            <w:proofErr w:type="gramStart"/>
            <w:r>
              <w:rPr>
                <w:color w:val="000000"/>
              </w:rPr>
              <w:t>2016.gada</w:t>
            </w:r>
            <w:proofErr w:type="gramEnd"/>
            <w:r>
              <w:rPr>
                <w:color w:val="000000"/>
              </w:rPr>
              <w:t xml:space="preserve"> 1.janvārim jāizdod</w:t>
            </w:r>
            <w:r w:rsidR="00BE45FD">
              <w:rPr>
                <w:color w:val="000000"/>
              </w:rPr>
              <w:t xml:space="preserve"> noteikumi, ar kuriem nosaka k</w:t>
            </w:r>
            <w:r w:rsidR="00BE45FD">
              <w:t>ārtību, kādā zemes lietotājiem nosakāmi to zaudējumu apmēri, kas saistīti ar īpaši aizsargājamo nemedījamo sugu un migrējošo sugu dzīvnieku nodarītajiem būtiskiem postījumiem, un minimālās nepieciešamo aizsardzības pasākumu prasības postījumu novēršanai.</w:t>
            </w:r>
            <w:r w:rsidR="00BE45FD">
              <w:rPr>
                <w:color w:val="000000"/>
              </w:rPr>
              <w:t xml:space="preserve"> Ministru kabinetam pieņemot noteikumu projektu un stājoties spēkā attiecīgajiem noteikumiem, spēku zaudē </w:t>
            </w:r>
            <w:r>
              <w:t xml:space="preserve">Ministru kabineta </w:t>
            </w:r>
            <w:proofErr w:type="gramStart"/>
            <w:r>
              <w:t>2007.gada</w:t>
            </w:r>
            <w:proofErr w:type="gramEnd"/>
            <w:r>
              <w:t xml:space="preserve"> 20.novembra noteikumi Nr.778 “Kārtība, kādā zemes lietotājiem nosakāmi to zaudējumu apmēri, kas saistīti ar īpaši aizsargājamo nemedījamo un migrējošo sugu dzīvnieku nodarītiem būtiskiem postījumiem” (turpmāk</w:t>
            </w:r>
            <w:r w:rsidR="00BE45FD">
              <w:t xml:space="preserve"> </w:t>
            </w:r>
            <w:r>
              <w:t>-</w:t>
            </w:r>
            <w:r w:rsidR="00BE45FD">
              <w:t xml:space="preserve"> </w:t>
            </w:r>
            <w:r>
              <w:t>noteikumi Nr.778)</w:t>
            </w:r>
            <w:r w:rsidR="00BE45FD">
              <w:t>.</w:t>
            </w:r>
          </w:p>
          <w:p w:rsidR="00091ECD" w:rsidRPr="006B569F" w:rsidRDefault="00647E32" w:rsidP="006B569F">
            <w:pPr>
              <w:pStyle w:val="naisf"/>
              <w:spacing w:before="0" w:after="0"/>
              <w:ind w:right="71" w:firstLine="0"/>
              <w:rPr>
                <w:color w:val="000000"/>
              </w:rPr>
            </w:pPr>
            <w:r w:rsidRPr="00FA5834">
              <w:rPr>
                <w:color w:val="000000"/>
              </w:rPr>
              <w:t>Sugu un biotopu aizsardzības likum</w:t>
            </w:r>
            <w:r w:rsidR="003F631A">
              <w:rPr>
                <w:color w:val="000000"/>
              </w:rPr>
              <w:t>a</w:t>
            </w:r>
            <w:r w:rsidRPr="00FA5834">
              <w:rPr>
                <w:color w:val="000000"/>
              </w:rPr>
              <w:t xml:space="preserve"> </w:t>
            </w:r>
            <w:proofErr w:type="gramStart"/>
            <w:r w:rsidR="003F631A">
              <w:rPr>
                <w:color w:val="000000"/>
              </w:rPr>
              <w:t>10.pants</w:t>
            </w:r>
            <w:proofErr w:type="gramEnd"/>
            <w:r w:rsidR="003F631A">
              <w:rPr>
                <w:color w:val="000000"/>
              </w:rPr>
              <w:t xml:space="preserve"> </w:t>
            </w:r>
            <w:r w:rsidRPr="00FA5834">
              <w:rPr>
                <w:color w:val="000000"/>
              </w:rPr>
              <w:t>paredz</w:t>
            </w:r>
            <w:r w:rsidR="006B569F">
              <w:rPr>
                <w:color w:val="000000"/>
              </w:rPr>
              <w:t>ēja</w:t>
            </w:r>
            <w:r w:rsidRPr="00FA5834">
              <w:rPr>
                <w:color w:val="000000"/>
              </w:rPr>
              <w:t xml:space="preserve"> zemes īpašniekiem</w:t>
            </w:r>
            <w:r w:rsidR="00D30E0A" w:rsidRPr="00FA5834">
              <w:rPr>
                <w:color w:val="000000"/>
              </w:rPr>
              <w:t xml:space="preserve"> un pastāvīgajiem lietotājiem</w:t>
            </w:r>
            <w:r w:rsidRPr="00FA5834">
              <w:rPr>
                <w:color w:val="000000"/>
              </w:rPr>
              <w:t xml:space="preserve"> tiesības saņemt no Latvijas vides aizsardzības fonda līdzekļiem kompensāciju par īpaši aizsargājamo nemedījamo sugu un migrējošo sugu dzīvnieku nodarītajiem būtiskiem postījumiem. Likums </w:t>
            </w:r>
            <w:r w:rsidR="00AB49A4" w:rsidRPr="00FA5834">
              <w:rPr>
                <w:color w:val="000000"/>
              </w:rPr>
              <w:t xml:space="preserve">ir vairākkārtīgi </w:t>
            </w:r>
            <w:r w:rsidRPr="00FA5834">
              <w:rPr>
                <w:color w:val="000000"/>
              </w:rPr>
              <w:t>grozīts, nosakot</w:t>
            </w:r>
            <w:r w:rsidR="003F631A">
              <w:rPr>
                <w:color w:val="000000"/>
              </w:rPr>
              <w:t xml:space="preserve"> Pārejas noteikumos</w:t>
            </w:r>
            <w:r w:rsidRPr="00FA5834">
              <w:rPr>
                <w:color w:val="000000"/>
              </w:rPr>
              <w:t>, ka k</w:t>
            </w:r>
            <w:r w:rsidRPr="00FA5834">
              <w:t>ompensāciju par īpaši aizsargājamo nemedījamo sugu un migrējošo sugu dzīvnieku nodarītajiem būtiskiem postījumiem neaprēķina un neizmaksā 2009.,2010.</w:t>
            </w:r>
            <w:r w:rsidR="00AB49A4" w:rsidRPr="00FA5834">
              <w:t>,</w:t>
            </w:r>
            <w:r w:rsidRPr="00FA5834">
              <w:t>2011.</w:t>
            </w:r>
            <w:r w:rsidR="009157F6">
              <w:t xml:space="preserve">, 2012.un </w:t>
            </w:r>
            <w:proofErr w:type="gramStart"/>
            <w:r w:rsidR="009157F6">
              <w:t>2013.</w:t>
            </w:r>
            <w:r w:rsidRPr="00FA5834">
              <w:t>gadā</w:t>
            </w:r>
            <w:proofErr w:type="gramEnd"/>
            <w:r w:rsidRPr="00FA5834">
              <w:t>.</w:t>
            </w:r>
            <w:r w:rsidRPr="00FA5834">
              <w:rPr>
                <w:color w:val="000000"/>
              </w:rPr>
              <w:t xml:space="preserve"> </w:t>
            </w:r>
          </w:p>
          <w:p w:rsidR="004969D1" w:rsidRDefault="00742888" w:rsidP="00865B60">
            <w:pPr>
              <w:jc w:val="both"/>
            </w:pPr>
            <w:r>
              <w:lastRenderedPageBreak/>
              <w:t>Satversmes tiesa</w:t>
            </w:r>
            <w:r w:rsidRPr="00FA5834">
              <w:t xml:space="preserve"> </w:t>
            </w:r>
            <w:proofErr w:type="gramStart"/>
            <w:r w:rsidR="009157F6">
              <w:t>2013.</w:t>
            </w:r>
            <w:r w:rsidR="00AB49A4" w:rsidRPr="00FA5834">
              <w:t>ga</w:t>
            </w:r>
            <w:r w:rsidR="00A75DE1">
              <w:t>da</w:t>
            </w:r>
            <w:proofErr w:type="gramEnd"/>
            <w:r w:rsidR="00A75DE1">
              <w:t xml:space="preserve"> 16.augustā </w:t>
            </w:r>
            <w:r w:rsidR="00AB49A4" w:rsidRPr="00FA5834">
              <w:t xml:space="preserve">ierosināja lietu </w:t>
            </w:r>
            <w:r>
              <w:t>„</w:t>
            </w:r>
            <w:r w:rsidR="00AB49A4" w:rsidRPr="00FA5834">
              <w:t>Par Sugu un biotopu aizsardzī</w:t>
            </w:r>
            <w:r w:rsidR="00BD4098">
              <w:t>bas likuma pārejas noteikumu 8.</w:t>
            </w:r>
            <w:r w:rsidR="00AB49A4" w:rsidRPr="00FA5834">
              <w:t>punkta atbilstību La</w:t>
            </w:r>
            <w:r w:rsidR="009157F6">
              <w:t>tvijas Republikas Satversmes 1.un 105.</w:t>
            </w:r>
            <w:r w:rsidR="00AB49A4" w:rsidRPr="00FA5834">
              <w:t>pantam</w:t>
            </w:r>
            <w:r>
              <w:t>”</w:t>
            </w:r>
            <w:r w:rsidR="00AB49A4" w:rsidRPr="00FA5834">
              <w:t xml:space="preserve">. </w:t>
            </w:r>
            <w:r>
              <w:t xml:space="preserve"> Satversmes tiesa</w:t>
            </w:r>
            <w:r w:rsidRPr="00FA5834">
              <w:t xml:space="preserve"> </w:t>
            </w:r>
            <w:proofErr w:type="gramStart"/>
            <w:r w:rsidR="009157F6">
              <w:t>2014.gada</w:t>
            </w:r>
            <w:proofErr w:type="gramEnd"/>
            <w:r w:rsidR="009157F6">
              <w:t xml:space="preserve"> 19.</w:t>
            </w:r>
            <w:r w:rsidR="004969D1">
              <w:t xml:space="preserve">martā </w:t>
            </w:r>
            <w:r w:rsidR="009157F6">
              <w:t>pieņēm</w:t>
            </w:r>
            <w:r>
              <w:t>a</w:t>
            </w:r>
            <w:r w:rsidR="009157F6">
              <w:t xml:space="preserve"> spriedumu lietā Nr.</w:t>
            </w:r>
            <w:r w:rsidR="004969D1">
              <w:t>2013-13-01 „Par Sugu un biotopu aizsardzī</w:t>
            </w:r>
            <w:r w:rsidR="00BD4098">
              <w:t>bas likuma pārejas noteikumu 8.</w:t>
            </w:r>
            <w:r w:rsidR="004969D1">
              <w:t>punkta atbilstību La</w:t>
            </w:r>
            <w:r w:rsidR="009157F6">
              <w:t>tvijas Republikas Satversmes 1.</w:t>
            </w:r>
            <w:r w:rsidR="004969D1">
              <w:t>un 105</w:t>
            </w:r>
            <w:r w:rsidR="009157F6">
              <w:t>.</w:t>
            </w:r>
            <w:r w:rsidR="004969D1">
              <w:t>pantam</w:t>
            </w:r>
            <w:r w:rsidR="00C92442">
              <w:t>.</w:t>
            </w:r>
            <w:r w:rsidR="006443D0">
              <w:t>”</w:t>
            </w:r>
          </w:p>
          <w:p w:rsidR="00245027" w:rsidRDefault="00A75DE1" w:rsidP="006B569F">
            <w:pPr>
              <w:jc w:val="both"/>
            </w:pPr>
            <w:r>
              <w:t xml:space="preserve">Satversmes tiesa </w:t>
            </w:r>
            <w:r w:rsidR="00742888">
              <w:t xml:space="preserve">minētajā spriedumā </w:t>
            </w:r>
            <w:r>
              <w:t>atz</w:t>
            </w:r>
            <w:r w:rsidR="006443D0">
              <w:t>ina</w:t>
            </w:r>
            <w:r>
              <w:t xml:space="preserve">, ka </w:t>
            </w:r>
            <w:r w:rsidR="004969D1">
              <w:t>apstrīdētā norma noteic pamattiesību nesamērīgu ierobežojumu. Līdz ar to apstrīdētā norma neatbilst tiesiskās paļāvības principam un attie</w:t>
            </w:r>
            <w:r w:rsidR="009157F6">
              <w:t>cīgi tā neatbilst Satversmes 1.un 105.</w:t>
            </w:r>
            <w:r w:rsidR="004969D1">
              <w:t>pantam</w:t>
            </w:r>
            <w:r w:rsidR="006B569F">
              <w:t>.</w:t>
            </w:r>
            <w:r w:rsidR="009F5E8B">
              <w:t xml:space="preserve"> </w:t>
            </w:r>
            <w:r w:rsidR="00CC290B" w:rsidRPr="00CC290B">
              <w:t>Tomēr Satversmes tiesa ņēma vērā, ka apstrīdētās normas atcelšanai nevar piešķirt vispārēju atpakaļvērstu spēku. Tiesiskās stabilitātes un skaidrības saglabāšanai piemērots risinājums ir apstrīdētās normas atcelšana tikai attiecībā uz SIA „Sātiņi-S”. Attiecībā uz SIA „Sātiņi-S” apstrīdētā norma atzīta par spēkā neesošu no tās pieņemšanas brīža.  Pēc sprieduma pieņemšanas SIA „Sātiņi-S” tika aprēķināta un izmaksāta kompensācija.</w:t>
            </w:r>
          </w:p>
          <w:p w:rsidR="009F5E8B" w:rsidRDefault="00742888" w:rsidP="006B569F">
            <w:pPr>
              <w:jc w:val="both"/>
            </w:pPr>
            <w:r>
              <w:t xml:space="preserve">Kompensācijas </w:t>
            </w:r>
            <w:proofErr w:type="gramStart"/>
            <w:r w:rsidR="009F5E8B">
              <w:t>2015.gadā</w:t>
            </w:r>
            <w:proofErr w:type="gramEnd"/>
            <w:r w:rsidR="009F5E8B">
              <w:t xml:space="preserve">izmaksā saskaņā ar noteikumiem Nr.778, kas zaudēs spēku </w:t>
            </w:r>
            <w:r w:rsidR="009B5005">
              <w:t>2016.gada 1.janvārī.</w:t>
            </w:r>
          </w:p>
          <w:p w:rsidR="00CC1962" w:rsidRDefault="009B5005" w:rsidP="00865B60">
            <w:pPr>
              <w:jc w:val="both"/>
            </w:pPr>
            <w:r>
              <w:t>Noteikumu projekts paredz:</w:t>
            </w:r>
          </w:p>
          <w:p w:rsidR="001A6C7B" w:rsidRDefault="001A6C7B" w:rsidP="009B5005">
            <w:pPr>
              <w:jc w:val="both"/>
            </w:pPr>
            <w:r>
              <w:t>1)</w:t>
            </w:r>
            <w:r w:rsidR="00307004">
              <w:t xml:space="preserve"> </w:t>
            </w:r>
            <w:r w:rsidR="00281E75">
              <w:t>k</w:t>
            </w:r>
            <w:r w:rsidR="009B5005">
              <w:t>ārtību</w:t>
            </w:r>
            <w:r w:rsidR="00742888">
              <w:t>,</w:t>
            </w:r>
            <w:r w:rsidR="009B5005">
              <w:t xml:space="preserve"> kādā zemes lietotājiem nosakāmi zaudējumu apmēri augkopībā, akvakultūrā, lopkopībā un biškopībā par būtiskiem postījumiem, ko nodarījuš</w:t>
            </w:r>
            <w:r w:rsidR="00281E75">
              <w:t>i</w:t>
            </w:r>
            <w:r w:rsidR="009B5005">
              <w:t xml:space="preserve"> īpaši aizsargājamo nemedījamo un migrējošo sugu dz</w:t>
            </w:r>
            <w:r>
              <w:t>īvnieki;</w:t>
            </w:r>
          </w:p>
          <w:p w:rsidR="009B5005" w:rsidRDefault="001A6C7B" w:rsidP="009B5005">
            <w:pPr>
              <w:jc w:val="both"/>
            </w:pPr>
            <w:r>
              <w:t>2)</w:t>
            </w:r>
            <w:r w:rsidR="00307004">
              <w:t xml:space="preserve"> </w:t>
            </w:r>
            <w:r w:rsidR="00281E75">
              <w:t>m</w:t>
            </w:r>
            <w:r>
              <w:t>inimālos aizsardzības pasākumus zaudējumu novēršanai augkopībā, akvakultūrā, lopkopībā un biškopībā;</w:t>
            </w:r>
          </w:p>
          <w:p w:rsidR="001A6C7B" w:rsidRDefault="001A6C7B" w:rsidP="009B5005">
            <w:pPr>
              <w:jc w:val="both"/>
            </w:pPr>
            <w:r>
              <w:t xml:space="preserve">3) </w:t>
            </w:r>
            <w:r w:rsidR="00CA3E6A">
              <w:t>noteikt iesniegumu</w:t>
            </w:r>
            <w:r>
              <w:t xml:space="preserve"> iesniegšanas kārtīb</w:t>
            </w:r>
            <w:r w:rsidR="00281E75">
              <w:t>u</w:t>
            </w:r>
            <w:r>
              <w:t xml:space="preserve"> </w:t>
            </w:r>
            <w:r w:rsidR="00C92439">
              <w:t xml:space="preserve">Dabas aizsardzības pārvaldē </w:t>
            </w:r>
            <w:r>
              <w:t xml:space="preserve">un </w:t>
            </w:r>
            <w:r w:rsidR="00D72B79">
              <w:t>dokument</w:t>
            </w:r>
            <w:r w:rsidR="00281E75">
              <w:t>us</w:t>
            </w:r>
            <w:r>
              <w:t>,</w:t>
            </w:r>
            <w:r w:rsidR="00281E75">
              <w:t xml:space="preserve"> </w:t>
            </w:r>
            <w:r>
              <w:t>kas pievienojami iesniegumam;</w:t>
            </w:r>
          </w:p>
          <w:p w:rsidR="001A6C7B" w:rsidRDefault="001A6C7B" w:rsidP="009B5005">
            <w:pPr>
              <w:jc w:val="both"/>
            </w:pPr>
            <w:r>
              <w:t xml:space="preserve">4) </w:t>
            </w:r>
            <w:r w:rsidR="00281E75">
              <w:t>z</w:t>
            </w:r>
            <w:r>
              <w:t>audējumu novērtēšanai izveidot komisiju un iespēju nepieciešamības gadījumā pieaicināt neatkarīgus ekspertus;</w:t>
            </w:r>
          </w:p>
          <w:p w:rsidR="001A6C7B" w:rsidRDefault="001A6C7B" w:rsidP="009B5005">
            <w:pPr>
              <w:jc w:val="both"/>
            </w:pPr>
            <w:r>
              <w:t>5)</w:t>
            </w:r>
            <w:r w:rsidR="00307004">
              <w:t xml:space="preserve"> </w:t>
            </w:r>
            <w:r w:rsidR="00281E75">
              <w:t>a</w:t>
            </w:r>
            <w:r>
              <w:t>ugkopībā nodarīto zaudējumu novērtēšanai un apmēra aprēķināšanai izmantot formulu, kurā aprēķinos tiek izmantots attiecīgās kultūras bruto seguma izmaksas par iepriekšējo gadu</w:t>
            </w:r>
            <w:r w:rsidR="00C92439">
              <w:t xml:space="preserve">, saistībā ar platību, kurā postījumi nodarīti. </w:t>
            </w:r>
            <w:r w:rsidR="00742888">
              <w:t>Plānots b</w:t>
            </w:r>
            <w:r w:rsidR="00C92439">
              <w:t>ūtiski atvieglot postījumu vietas apsekošanai nepieciešam</w:t>
            </w:r>
            <w:r w:rsidR="00742888">
              <w:t>o</w:t>
            </w:r>
            <w:r w:rsidR="00C92439">
              <w:t xml:space="preserve"> darba apjom</w:t>
            </w:r>
            <w:r w:rsidR="00742888">
              <w:t>u</w:t>
            </w:r>
            <w:r w:rsidR="00C92439">
              <w:t xml:space="preserve">, salīdzinājumā ar noteikumos Nr.778 </w:t>
            </w:r>
            <w:r w:rsidR="00742888">
              <w:t xml:space="preserve">noteikto un praksē līdz šim </w:t>
            </w:r>
            <w:r w:rsidR="00C92439">
              <w:t>pielietoto metodiku;</w:t>
            </w:r>
          </w:p>
          <w:p w:rsidR="00C92439" w:rsidRDefault="00C92439" w:rsidP="009B5005">
            <w:pPr>
              <w:jc w:val="both"/>
            </w:pPr>
            <w:r>
              <w:t xml:space="preserve">6) </w:t>
            </w:r>
            <w:r w:rsidR="00307004">
              <w:t>a</w:t>
            </w:r>
            <w:r>
              <w:t>kvakultūrai nodarītos zaudējumus no</w:t>
            </w:r>
            <w:r w:rsidR="00307004">
              <w:t>teikt</w:t>
            </w:r>
            <w:r>
              <w:t xml:space="preserve"> pēc četru būtiskāko </w:t>
            </w:r>
            <w:proofErr w:type="spellStart"/>
            <w:r>
              <w:t>zivjēdāju</w:t>
            </w:r>
            <w:proofErr w:type="spellEnd"/>
            <w:r>
              <w:t xml:space="preserve"> putnu (gārņi, jūras krauklis, ķīri, zivju ērglis) regulāras klātbūtnes</w:t>
            </w:r>
            <w:r w:rsidR="00342DA3">
              <w:t>;</w:t>
            </w:r>
            <w:r>
              <w:t xml:space="preserve"> </w:t>
            </w:r>
          </w:p>
          <w:p w:rsidR="00C92439" w:rsidRDefault="008D10AA" w:rsidP="009B5005">
            <w:pPr>
              <w:jc w:val="both"/>
            </w:pPr>
            <w:r>
              <w:t>7)</w:t>
            </w:r>
            <w:r w:rsidR="00307004">
              <w:t xml:space="preserve"> z</w:t>
            </w:r>
            <w:r w:rsidR="00C92439">
              <w:t>audējumu apmēru lopkopībai un biškopībai no</w:t>
            </w:r>
            <w:r w:rsidR="00307004">
              <w:t>teikt</w:t>
            </w:r>
            <w:r w:rsidR="00C92439">
              <w:t xml:space="preserve"> pēc attiecīgā lauksaimniecības dzīvnieka vai bišu saimes bojā ejas vai nepieciešamības to likvidēt, izmantojot bruto seguma izmaksas </w:t>
            </w:r>
            <w:r>
              <w:t>par iepriekšējo gadu;</w:t>
            </w:r>
          </w:p>
          <w:p w:rsidR="008D10AA" w:rsidRDefault="008D10AA" w:rsidP="009B5005">
            <w:pPr>
              <w:jc w:val="both"/>
            </w:pPr>
            <w:r>
              <w:t xml:space="preserve">8) </w:t>
            </w:r>
            <w:r w:rsidR="00307004">
              <w:t xml:space="preserve">noteikt </w:t>
            </w:r>
            <w:r>
              <w:t>lēmuma pieņemšanas kārtīb</w:t>
            </w:r>
            <w:r w:rsidR="00307004">
              <w:t>u</w:t>
            </w:r>
            <w:r>
              <w:t xml:space="preserve"> par kompensācijas pie</w:t>
            </w:r>
            <w:r w:rsidR="00F52F1D">
              <w:t>š</w:t>
            </w:r>
            <w:r>
              <w:t xml:space="preserve">ķiršanu </w:t>
            </w:r>
            <w:r w:rsidR="00F52F1D">
              <w:t xml:space="preserve">vai atteikumu piešķirt kompensāciju, lēmuma </w:t>
            </w:r>
            <w:r w:rsidR="00F52F1D">
              <w:lastRenderedPageBreak/>
              <w:t>apstrīdēšanas kārtīb</w:t>
            </w:r>
            <w:r w:rsidR="00307004">
              <w:t>u</w:t>
            </w:r>
            <w:r w:rsidR="00F52F1D">
              <w:t>.</w:t>
            </w:r>
          </w:p>
          <w:p w:rsidR="00CA3E6A" w:rsidRDefault="00D72B79" w:rsidP="00E93AE0">
            <w:pPr>
              <w:jc w:val="both"/>
            </w:pPr>
            <w:r>
              <w:t xml:space="preserve">9) </w:t>
            </w:r>
            <w:r w:rsidR="007C45E8">
              <w:t xml:space="preserve">vienai iestādei – Dabas aizsardzības pārvaldei veikt </w:t>
            </w:r>
            <w:r w:rsidR="00307004">
              <w:t>k</w:t>
            </w:r>
            <w:r>
              <w:t>ompensāciju administrēšanu</w:t>
            </w:r>
            <w:r w:rsidR="007C45E8">
              <w:t xml:space="preserve">, </w:t>
            </w:r>
            <w:r w:rsidR="0042046E">
              <w:t>pārņemot no</w:t>
            </w:r>
            <w:r w:rsidR="00D35C30" w:rsidRPr="00D35C30">
              <w:t xml:space="preserve"> </w:t>
            </w:r>
            <w:r w:rsidR="00D35C30">
              <w:t xml:space="preserve">Valsts vides dienesta </w:t>
            </w:r>
            <w:r w:rsidR="00D35C30" w:rsidRPr="00D35C30">
              <w:t>īpaši aizsargājamo nemedījamo sugu un migrējošo sugu dzīvnieku nodarī</w:t>
            </w:r>
            <w:r w:rsidR="00D35C30">
              <w:t>to</w:t>
            </w:r>
            <w:r w:rsidR="00D35C30" w:rsidRPr="00D35C30">
              <w:t xml:space="preserve"> postījum</w:t>
            </w:r>
            <w:r w:rsidR="00D35C30">
              <w:t>u</w:t>
            </w:r>
            <w:r w:rsidR="00D35C30" w:rsidRPr="00D35C30">
              <w:t xml:space="preserve"> </w:t>
            </w:r>
            <w:r w:rsidR="00D35C30">
              <w:t xml:space="preserve">novērtēšanu un zaudējumu </w:t>
            </w:r>
            <w:r w:rsidR="00D35C30" w:rsidRPr="00D35C30">
              <w:t>apmēra noteikšan</w:t>
            </w:r>
            <w:r w:rsidR="007C45E8">
              <w:t>as funkciju</w:t>
            </w:r>
            <w:r w:rsidR="00D35C30">
              <w:t xml:space="preserve"> un no </w:t>
            </w:r>
            <w:r w:rsidR="00D35C30" w:rsidRPr="00D35C30">
              <w:t>Latvijas vides aizsardzības fond</w:t>
            </w:r>
            <w:r w:rsidR="007C45E8">
              <w:t>a</w:t>
            </w:r>
            <w:proofErr w:type="gramStart"/>
            <w:r w:rsidR="007C45E8">
              <w:t xml:space="preserve">  </w:t>
            </w:r>
            <w:r w:rsidR="00D35C30" w:rsidRPr="00D35C30">
              <w:t xml:space="preserve"> </w:t>
            </w:r>
            <w:proofErr w:type="gramEnd"/>
            <w:r w:rsidR="009C7189">
              <w:t>administrācijas</w:t>
            </w:r>
            <w:r w:rsidR="007C45E8">
              <w:t xml:space="preserve"> - </w:t>
            </w:r>
            <w:r w:rsidR="009C7189">
              <w:t xml:space="preserve"> </w:t>
            </w:r>
            <w:r w:rsidR="00D35C30" w:rsidRPr="00D35C30">
              <w:t>pārņem</w:t>
            </w:r>
            <w:r w:rsidR="007C45E8">
              <w:t>t</w:t>
            </w:r>
            <w:r w:rsidR="00D35C30" w:rsidRPr="00D35C30">
              <w:t xml:space="preserve"> </w:t>
            </w:r>
            <w:r w:rsidR="00D35C30">
              <w:t xml:space="preserve">lēmumu pieņemšanu un šo </w:t>
            </w:r>
            <w:r w:rsidR="00D35C30" w:rsidRPr="00D35C30">
              <w:t xml:space="preserve">kompensāciju </w:t>
            </w:r>
            <w:r w:rsidR="00D35C30">
              <w:t>izmaksu</w:t>
            </w:r>
            <w:r w:rsidR="007A5553">
              <w:t>.</w:t>
            </w:r>
          </w:p>
          <w:p w:rsidR="00120DF6" w:rsidRPr="00FA5834" w:rsidRDefault="00CA3E6A" w:rsidP="00E93AE0">
            <w:pPr>
              <w:jc w:val="both"/>
            </w:pPr>
            <w:r>
              <w:t>10)</w:t>
            </w:r>
            <w:r w:rsidR="007C45E8">
              <w:t xml:space="preserve"> </w:t>
            </w:r>
            <w:r w:rsidR="00E93AE0">
              <w:t>novērst neefektīvas, darbietilpīgas un grūti pārbaudāmas zaudējumu novērtēšanas metodikas izmantošan</w:t>
            </w:r>
            <w:r w:rsidR="007C45E8">
              <w:t>u</w:t>
            </w:r>
            <w:r w:rsidR="00E93AE0">
              <w:t xml:space="preserve">, kas tika pielietotas augkopībai un akvakultūrai </w:t>
            </w:r>
            <w:r w:rsidR="007C45E8">
              <w:t xml:space="preserve">atbilstoši </w:t>
            </w:r>
            <w:r w:rsidR="00E93AE0">
              <w:t>noteikum</w:t>
            </w:r>
            <w:r w:rsidR="007C45E8">
              <w:t>iem</w:t>
            </w:r>
            <w:r w:rsidR="00E93AE0">
              <w:t xml:space="preserve"> Nr.778.</w:t>
            </w:r>
          </w:p>
        </w:tc>
      </w:tr>
      <w:tr w:rsidR="00647E32" w:rsidRPr="00FA5834" w:rsidTr="00BD0B63">
        <w:trPr>
          <w:trHeight w:val="476"/>
        </w:trPr>
        <w:tc>
          <w:tcPr>
            <w:tcW w:w="550" w:type="dxa"/>
          </w:tcPr>
          <w:p w:rsidR="00647E32" w:rsidRPr="00FA5834" w:rsidRDefault="006C08A8" w:rsidP="00865B60">
            <w:pPr>
              <w:pStyle w:val="naiskr"/>
              <w:spacing w:before="0" w:after="0"/>
              <w:ind w:right="71"/>
            </w:pPr>
            <w:r>
              <w:lastRenderedPageBreak/>
              <w:t>3</w:t>
            </w:r>
            <w:r w:rsidR="00647E32" w:rsidRPr="00FA5834">
              <w:t>.</w:t>
            </w:r>
          </w:p>
        </w:tc>
        <w:tc>
          <w:tcPr>
            <w:tcW w:w="2155" w:type="dxa"/>
          </w:tcPr>
          <w:p w:rsidR="00647E32" w:rsidRPr="00FA5834" w:rsidRDefault="00647E32" w:rsidP="00865B60">
            <w:pPr>
              <w:pStyle w:val="naiskr"/>
              <w:spacing w:before="0" w:after="0"/>
              <w:ind w:right="71"/>
            </w:pPr>
            <w:r w:rsidRPr="00FA5834">
              <w:t>Projekta izstrādē iesaistītās institūcijas</w:t>
            </w:r>
          </w:p>
        </w:tc>
        <w:tc>
          <w:tcPr>
            <w:tcW w:w="6300" w:type="dxa"/>
          </w:tcPr>
          <w:p w:rsidR="00647E32" w:rsidRPr="00FA5834" w:rsidRDefault="00647E32" w:rsidP="00865B60">
            <w:pPr>
              <w:pStyle w:val="naiskr"/>
              <w:spacing w:before="0" w:after="0"/>
              <w:ind w:right="71"/>
            </w:pPr>
            <w:r w:rsidRPr="00FA5834">
              <w:t>Vides aizsardzības un reģionālās attīstības ministrija</w:t>
            </w:r>
          </w:p>
          <w:p w:rsidR="00647E32" w:rsidRPr="00FA5834" w:rsidRDefault="006C08A8" w:rsidP="00865B60">
            <w:pPr>
              <w:pStyle w:val="naiskr"/>
              <w:spacing w:before="0" w:after="0"/>
              <w:ind w:right="71"/>
            </w:pPr>
            <w:r>
              <w:t>Dabas aizsardzības pārvalde</w:t>
            </w:r>
          </w:p>
        </w:tc>
      </w:tr>
      <w:tr w:rsidR="00647E32" w:rsidRPr="00FA5834" w:rsidTr="00BD0B63">
        <w:trPr>
          <w:trHeight w:val="437"/>
        </w:trPr>
        <w:tc>
          <w:tcPr>
            <w:tcW w:w="550" w:type="dxa"/>
          </w:tcPr>
          <w:p w:rsidR="00647E32" w:rsidRPr="00FA5834" w:rsidRDefault="00C206A9" w:rsidP="00865B60">
            <w:pPr>
              <w:pStyle w:val="naiskr"/>
              <w:spacing w:before="0" w:after="0"/>
              <w:ind w:right="71"/>
            </w:pPr>
            <w:r>
              <w:t>4</w:t>
            </w:r>
            <w:r w:rsidR="00647E32" w:rsidRPr="00FA5834">
              <w:t>.</w:t>
            </w:r>
          </w:p>
        </w:tc>
        <w:tc>
          <w:tcPr>
            <w:tcW w:w="2155" w:type="dxa"/>
          </w:tcPr>
          <w:p w:rsidR="00647E32" w:rsidRPr="00FA5834" w:rsidRDefault="00647E32" w:rsidP="00865B60">
            <w:pPr>
              <w:pStyle w:val="naiskr"/>
              <w:spacing w:before="0" w:after="0"/>
              <w:ind w:right="71"/>
            </w:pPr>
            <w:r w:rsidRPr="00FA5834">
              <w:t>Cita informācija</w:t>
            </w:r>
          </w:p>
        </w:tc>
        <w:tc>
          <w:tcPr>
            <w:tcW w:w="6300" w:type="dxa"/>
          </w:tcPr>
          <w:p w:rsidR="00647E32" w:rsidRPr="00FA5834" w:rsidRDefault="00647E32" w:rsidP="00865B60">
            <w:pPr>
              <w:pStyle w:val="naiskr"/>
              <w:spacing w:before="0" w:after="0"/>
              <w:ind w:right="71"/>
            </w:pPr>
            <w:r w:rsidRPr="00FA5834">
              <w:t>Nav</w:t>
            </w:r>
          </w:p>
        </w:tc>
      </w:tr>
    </w:tbl>
    <w:p w:rsidR="00DC389A" w:rsidRPr="00FA5834" w:rsidRDefault="00DC389A" w:rsidP="00865B60">
      <w:pPr>
        <w:pStyle w:val="naisf"/>
        <w:spacing w:before="0" w:after="0"/>
        <w:ind w:right="71" w:firstLine="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502"/>
        <w:gridCol w:w="6129"/>
      </w:tblGrid>
      <w:tr w:rsidR="00DC389A" w:rsidRPr="00FA5834" w:rsidTr="009A2C5E">
        <w:tc>
          <w:tcPr>
            <w:tcW w:w="9072" w:type="dxa"/>
            <w:gridSpan w:val="3"/>
            <w:vAlign w:val="center"/>
          </w:tcPr>
          <w:p w:rsidR="00DC389A" w:rsidRPr="00FA5834" w:rsidRDefault="00DC389A" w:rsidP="00865B60">
            <w:pPr>
              <w:pStyle w:val="naisnod"/>
              <w:spacing w:before="0" w:after="0"/>
              <w:ind w:right="71"/>
            </w:pPr>
            <w:r w:rsidRPr="00FA5834">
              <w:t>II. Tiesību akta projekta ietekme uz sabiedrību</w:t>
            </w:r>
          </w:p>
        </w:tc>
      </w:tr>
      <w:tr w:rsidR="00DC389A" w:rsidRPr="00FA5834" w:rsidTr="009A2C5E">
        <w:trPr>
          <w:trHeight w:val="467"/>
        </w:trPr>
        <w:tc>
          <w:tcPr>
            <w:tcW w:w="441" w:type="dxa"/>
          </w:tcPr>
          <w:p w:rsidR="00DC389A" w:rsidRPr="00FA5834" w:rsidRDefault="00DC389A" w:rsidP="00865B60">
            <w:pPr>
              <w:pStyle w:val="naiskr"/>
              <w:spacing w:before="0" w:after="0"/>
              <w:ind w:right="71"/>
            </w:pPr>
            <w:r w:rsidRPr="00FA5834">
              <w:t>1.</w:t>
            </w:r>
          </w:p>
        </w:tc>
        <w:tc>
          <w:tcPr>
            <w:tcW w:w="2502" w:type="dxa"/>
          </w:tcPr>
          <w:p w:rsidR="00DC389A" w:rsidRPr="00FA5834" w:rsidRDefault="001760B2" w:rsidP="00865B60">
            <w:pPr>
              <w:pStyle w:val="naiskr"/>
              <w:spacing w:before="0" w:after="0"/>
              <w:ind w:right="71"/>
            </w:pPr>
            <w:r>
              <w:t>Sabiedrības mērķgrupas, kuras tiesiskais regulējums ietekmē vai varētu ietekmēt</w:t>
            </w:r>
          </w:p>
        </w:tc>
        <w:tc>
          <w:tcPr>
            <w:tcW w:w="6129" w:type="dxa"/>
          </w:tcPr>
          <w:p w:rsidR="00DC389A" w:rsidRPr="00FA5834" w:rsidRDefault="007C45E8" w:rsidP="00C50631">
            <w:pPr>
              <w:pStyle w:val="Default"/>
              <w:ind w:right="74"/>
              <w:jc w:val="both"/>
            </w:pPr>
            <w:r>
              <w:rPr>
                <w:iCs/>
              </w:rPr>
              <w:t>Noteikumu projekts</w:t>
            </w:r>
            <w:r w:rsidR="00DC389A" w:rsidRPr="00FA5834">
              <w:rPr>
                <w:iCs/>
              </w:rPr>
              <w:t xml:space="preserve"> tiešā veidā </w:t>
            </w:r>
            <w:r w:rsidR="00927A73">
              <w:rPr>
                <w:iCs/>
              </w:rPr>
              <w:t>skar tos zemes īpašniekus</w:t>
            </w:r>
            <w:r w:rsidR="0042046E">
              <w:rPr>
                <w:iCs/>
              </w:rPr>
              <w:t xml:space="preserve"> vai lietotājus</w:t>
            </w:r>
            <w:r w:rsidR="00927A73">
              <w:rPr>
                <w:iCs/>
              </w:rPr>
              <w:t>, kuru</w:t>
            </w:r>
            <w:r w:rsidR="00641BBD" w:rsidRPr="00FA5834">
              <w:rPr>
                <w:iCs/>
              </w:rPr>
              <w:t xml:space="preserve"> darbība </w:t>
            </w:r>
            <w:r w:rsidR="00DE4A2F">
              <w:t>(</w:t>
            </w:r>
            <w:r w:rsidR="00641BBD" w:rsidRPr="00FA5834">
              <w:t>augkopība, akvaku</w:t>
            </w:r>
            <w:r w:rsidR="00927A73">
              <w:t>ltūra, lopkopība vai biškopība)</w:t>
            </w:r>
            <w:r w:rsidR="00641BBD" w:rsidRPr="00FA5834">
              <w:rPr>
                <w:iCs/>
              </w:rPr>
              <w:t xml:space="preserve"> var tikt ietekmēta no </w:t>
            </w:r>
            <w:r w:rsidR="00641BBD" w:rsidRPr="00FA5834">
              <w:t xml:space="preserve">īpaši aizsargājamo nemedījamo sugu un migrējošo sugu dzīvnieku būtiskiem postījumiem. </w:t>
            </w:r>
          </w:p>
        </w:tc>
      </w:tr>
      <w:tr w:rsidR="00DC389A" w:rsidRPr="00FA5834" w:rsidTr="009A2C5E">
        <w:trPr>
          <w:trHeight w:val="517"/>
        </w:trPr>
        <w:tc>
          <w:tcPr>
            <w:tcW w:w="441" w:type="dxa"/>
          </w:tcPr>
          <w:p w:rsidR="00DC389A" w:rsidRPr="00FA5834" w:rsidRDefault="00DE4A2F" w:rsidP="00865B60">
            <w:pPr>
              <w:pStyle w:val="naislab"/>
              <w:spacing w:before="0" w:after="0"/>
              <w:ind w:right="71"/>
            </w:pPr>
            <w:r>
              <w:t>2</w:t>
            </w:r>
            <w:r w:rsidR="00DC389A" w:rsidRPr="00FA5834">
              <w:t>.</w:t>
            </w:r>
          </w:p>
        </w:tc>
        <w:tc>
          <w:tcPr>
            <w:tcW w:w="2502" w:type="dxa"/>
          </w:tcPr>
          <w:p w:rsidR="00DC389A" w:rsidRPr="00FA5834" w:rsidRDefault="001760B2" w:rsidP="00865B60">
            <w:pPr>
              <w:pStyle w:val="naislab"/>
              <w:spacing w:before="0" w:after="0"/>
              <w:ind w:right="71"/>
              <w:jc w:val="left"/>
            </w:pPr>
            <w:r>
              <w:t>Tiesiskā regulējuma ietekme uz tautsaimniecību un administratīvo slogu</w:t>
            </w:r>
          </w:p>
        </w:tc>
        <w:tc>
          <w:tcPr>
            <w:tcW w:w="6129" w:type="dxa"/>
          </w:tcPr>
          <w:p w:rsidR="00DC389A" w:rsidRDefault="00F52F1D" w:rsidP="000555FE">
            <w:pPr>
              <w:ind w:right="71"/>
              <w:jc w:val="both"/>
            </w:pPr>
            <w:r>
              <w:t>Kompensāciju izmaksa par īpaši aizsargājamo nemedījamo un migrējošo sugu dzīvnieku nodarītajiem postījumiem pozitīvi ietekmēs tautsaimniecību. Preventīvu aizsardzības pasākumu veikšana var būtiski mazināt vai vispār nov</w:t>
            </w:r>
            <w:r w:rsidR="00AC6696">
              <w:t xml:space="preserve">ērst </w:t>
            </w:r>
            <w:r w:rsidR="002776D3">
              <w:t xml:space="preserve">potenciālos </w:t>
            </w:r>
            <w:r w:rsidR="00AC6696">
              <w:t xml:space="preserve">zaudējumus. </w:t>
            </w:r>
          </w:p>
          <w:p w:rsidR="00013ECC" w:rsidRPr="00FA5834" w:rsidRDefault="00013ECC" w:rsidP="00B72BFB">
            <w:pPr>
              <w:ind w:right="71"/>
              <w:jc w:val="both"/>
            </w:pPr>
            <w:r>
              <w:t xml:space="preserve">Dabas aizsardzības pārvaldei kompensāciju par īpaši aizsargājamo nemedījamo un migrējošo sugu dzīvnieku nodarītajiem postījumiem </w:t>
            </w:r>
            <w:r w:rsidR="008A3E29">
              <w:t>administr</w:t>
            </w:r>
            <w:r w:rsidR="00345AC1">
              <w:t>ēšana</w:t>
            </w:r>
            <w:r w:rsidR="008A3E29">
              <w:t xml:space="preserve"> </w:t>
            </w:r>
            <w:r w:rsidR="00345AC1">
              <w:t xml:space="preserve">radīs papildu </w:t>
            </w:r>
            <w:r>
              <w:t>administratīv</w:t>
            </w:r>
            <w:r w:rsidR="00345AC1">
              <w:t>o</w:t>
            </w:r>
            <w:r>
              <w:t xml:space="preserve"> slog</w:t>
            </w:r>
            <w:r w:rsidR="00345AC1">
              <w:t>u</w:t>
            </w:r>
            <w:r w:rsidR="00C86D71">
              <w:t xml:space="preserve"> un papildu administratīvās izmaksas</w:t>
            </w:r>
            <w:r>
              <w:t>, savukārt Valsts vides dienesta</w:t>
            </w:r>
            <w:r w:rsidR="00A6231E">
              <w:t>m</w:t>
            </w:r>
            <w:r>
              <w:t xml:space="preserve"> un Latvijas </w:t>
            </w:r>
            <w:r w:rsidR="00915820">
              <w:t>v</w:t>
            </w:r>
            <w:r>
              <w:t xml:space="preserve">ides </w:t>
            </w:r>
            <w:r w:rsidR="00DB3BF2">
              <w:t xml:space="preserve">aizsardzības </w:t>
            </w:r>
            <w:r>
              <w:t>fonda administr</w:t>
            </w:r>
            <w:r w:rsidR="00A6231E">
              <w:t>ācijai</w:t>
            </w:r>
            <w:r w:rsidR="001F7351">
              <w:t xml:space="preserve">, kuras atbilstoši noteikumiem Nr.778 </w:t>
            </w:r>
            <w:r w:rsidR="00B72BFB">
              <w:t xml:space="preserve">līdz šim </w:t>
            </w:r>
            <w:r w:rsidR="001F7351">
              <w:t xml:space="preserve">administrēja </w:t>
            </w:r>
            <w:r w:rsidR="00B72BFB">
              <w:t xml:space="preserve">šo </w:t>
            </w:r>
            <w:r w:rsidR="001F7351">
              <w:t>kompensāciju izmaksu</w:t>
            </w:r>
            <w:r w:rsidR="00B72BFB">
              <w:t>,</w:t>
            </w:r>
            <w:r w:rsidR="001F7351">
              <w:t xml:space="preserve"> </w:t>
            </w:r>
            <w:r>
              <w:t>administratīvais slogs samazin</w:t>
            </w:r>
            <w:r w:rsidR="00C86D71">
              <w:t>āsies.</w:t>
            </w:r>
          </w:p>
        </w:tc>
      </w:tr>
      <w:tr w:rsidR="00DC389A" w:rsidRPr="00FA5834" w:rsidTr="009A2C5E">
        <w:trPr>
          <w:trHeight w:val="357"/>
        </w:trPr>
        <w:tc>
          <w:tcPr>
            <w:tcW w:w="441" w:type="dxa"/>
          </w:tcPr>
          <w:p w:rsidR="00DC389A" w:rsidRPr="00FA5834" w:rsidRDefault="004E7A26" w:rsidP="00865B60">
            <w:pPr>
              <w:pStyle w:val="naiskr"/>
              <w:spacing w:before="0" w:after="0"/>
              <w:ind w:right="71"/>
            </w:pPr>
            <w:r>
              <w:t>3</w:t>
            </w:r>
            <w:r w:rsidR="00DC389A" w:rsidRPr="00FA5834">
              <w:t>.</w:t>
            </w:r>
          </w:p>
        </w:tc>
        <w:tc>
          <w:tcPr>
            <w:tcW w:w="2502" w:type="dxa"/>
          </w:tcPr>
          <w:p w:rsidR="00DC389A" w:rsidRPr="00FA5834" w:rsidRDefault="00DC389A" w:rsidP="00865B60">
            <w:pPr>
              <w:pStyle w:val="naiskr"/>
              <w:spacing w:before="0" w:after="0"/>
              <w:ind w:right="71"/>
            </w:pPr>
            <w:r w:rsidRPr="00FA5834">
              <w:t>Administratīvo izmaksu monetārs novērtējums</w:t>
            </w:r>
          </w:p>
        </w:tc>
        <w:tc>
          <w:tcPr>
            <w:tcW w:w="6129" w:type="dxa"/>
          </w:tcPr>
          <w:p w:rsidR="0093084D" w:rsidRPr="0093084D" w:rsidRDefault="00515DDF" w:rsidP="0093084D">
            <w:pPr>
              <w:spacing w:line="259" w:lineRule="auto"/>
              <w:ind w:left="34"/>
              <w:jc w:val="both"/>
              <w:rPr>
                <w:rFonts w:eastAsia="Calibri"/>
                <w:color w:val="000000"/>
                <w:lang w:eastAsia="en-US"/>
              </w:rPr>
            </w:pPr>
            <w:r>
              <w:rPr>
                <w:rFonts w:eastAsia="Calibri"/>
                <w:color w:val="000000"/>
                <w:lang w:eastAsia="en-US"/>
              </w:rPr>
              <w:t xml:space="preserve">Dabas aizsardzības pārvaldes administratīvās izmaksas </w:t>
            </w:r>
            <w:proofErr w:type="gramStart"/>
            <w:r w:rsidR="00747FBC">
              <w:rPr>
                <w:rFonts w:eastAsia="Calibri"/>
                <w:color w:val="000000"/>
                <w:lang w:eastAsia="en-US"/>
              </w:rPr>
              <w:t xml:space="preserve">gadā </w:t>
            </w:r>
            <w:r w:rsidR="009A2C5E">
              <w:rPr>
                <w:rFonts w:eastAsia="Calibri"/>
                <w:color w:val="000000"/>
                <w:lang w:eastAsia="en-US"/>
              </w:rPr>
              <w:t>-</w:t>
            </w:r>
            <w:r w:rsidR="0093084D" w:rsidRPr="0093084D">
              <w:rPr>
                <w:rFonts w:eastAsia="Calibri"/>
                <w:color w:val="000000"/>
                <w:lang w:eastAsia="en-US"/>
              </w:rPr>
              <w:t>5</w:t>
            </w:r>
            <w:proofErr w:type="gramEnd"/>
            <w:r w:rsidR="0093084D" w:rsidRPr="0093084D">
              <w:rPr>
                <w:rFonts w:eastAsia="Calibri"/>
                <w:color w:val="000000"/>
                <w:lang w:eastAsia="en-US"/>
              </w:rPr>
              <w:t xml:space="preserve">6 684,36 </w:t>
            </w:r>
            <w:proofErr w:type="spellStart"/>
            <w:r w:rsidR="00E900B6" w:rsidRPr="00E900B6">
              <w:rPr>
                <w:rFonts w:eastAsia="Calibri"/>
                <w:i/>
                <w:color w:val="000000"/>
                <w:lang w:eastAsia="en-US"/>
              </w:rPr>
              <w:t>euro</w:t>
            </w:r>
            <w:proofErr w:type="spellEnd"/>
            <w:r w:rsidR="000E281B" w:rsidRPr="000E281B">
              <w:rPr>
                <w:rFonts w:eastAsia="Calibri"/>
                <w:color w:val="000000"/>
                <w:lang w:eastAsia="en-US"/>
              </w:rPr>
              <w:t xml:space="preserve">. </w:t>
            </w:r>
            <w:r w:rsidR="0093084D" w:rsidRPr="0093084D">
              <w:rPr>
                <w:rFonts w:eastAsia="Calibri"/>
                <w:color w:val="000000"/>
                <w:lang w:eastAsia="en-US"/>
              </w:rPr>
              <w:t>Administratīvo izmaksu monetārs novērtējums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kompensāciju par īpaši aizsargājamo nemedījamo sugu un migrējošo sugu dzīvnieku nodarītiem būtiskiem postījumiem administrēšanai</w:t>
            </w:r>
            <w:r w:rsidR="009A2C5E">
              <w:rPr>
                <w:rFonts w:eastAsia="Calibri"/>
                <w:color w:val="000000"/>
                <w:lang w:eastAsia="en-US"/>
              </w:rPr>
              <w:t>:</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C = </w:t>
            </w:r>
            <w:proofErr w:type="gramStart"/>
            <w:r w:rsidRPr="0093084D">
              <w:rPr>
                <w:rFonts w:eastAsia="Calibri"/>
                <w:color w:val="000000"/>
                <w:lang w:eastAsia="en-US"/>
              </w:rPr>
              <w:t>(</w:t>
            </w:r>
            <w:proofErr w:type="gramEnd"/>
            <w:r w:rsidRPr="0093084D">
              <w:rPr>
                <w:rFonts w:eastAsia="Calibri"/>
                <w:color w:val="000000"/>
                <w:lang w:eastAsia="en-US"/>
              </w:rPr>
              <w:t>f x l) x (n x b) + i + d, kur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C – administratīvās izmaksas gadā;</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f – finanšu līdzekļu apjoms, kas nepieciešams, lai nodrošinātu projektā paredzētā kompensāciju administrēšanas pienākuma izpildi (stundas samaksas likme);</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lastRenderedPageBreak/>
              <w:t>l – laika patēriņš, kas nepieciešams, lai veiktu projektā paredzētā 1 iesnieguma izskatīšanu – veiktu pārbaudi dabā un sagatavotu dokumentus, kurus paredz projekts;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n – subjektu skaits, uz ko attiecas projektā paredzētās prasības (Pārvaldes amatpersonu skaits, kuras nodrošinās projektā paredzētā kompensāciju administrēšanas pienākuma izpildi); </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b – cik bieži gada laikā veiks projektā paredzēto kompensāciju administrēšanas pienākumu (iesniegumu skaits);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i – biroja uzturēšanas izdevumi kompensāciju administrēšanas pienākuma izpildei (biroja tehnika, datortehnika, kancelejas preces, elektroenerģija u.c.);</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d – autotransporta izmantošanas izdevumi projektā paredzētās pārbaudes dabā veikšanai </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C</w:t>
            </w:r>
            <w:r w:rsidRPr="0093084D">
              <w:rPr>
                <w:rFonts w:eastAsia="Calibri"/>
                <w:color w:val="000000"/>
                <w:lang w:eastAsia="en-US"/>
              </w:rPr>
              <w:t xml:space="preserve"> = </w:t>
            </w:r>
            <w:proofErr w:type="gramStart"/>
            <w:r w:rsidRPr="0093084D">
              <w:rPr>
                <w:rFonts w:eastAsia="Calibri"/>
                <w:color w:val="000000"/>
                <w:lang w:eastAsia="en-US"/>
              </w:rPr>
              <w:t>(</w:t>
            </w:r>
            <w:proofErr w:type="gramEnd"/>
            <w:r w:rsidRPr="0093084D">
              <w:rPr>
                <w:rFonts w:eastAsia="Calibri"/>
                <w:color w:val="000000"/>
                <w:lang w:eastAsia="en-US"/>
              </w:rPr>
              <w:t xml:space="preserve">4,76 x 24) x (4 x 109) + 4482,08 + 2393,64 = 114,24 x 436 + 4482,08 + 2393,64 = 49 808,64 + 4482,08 + 2393,64 = </w:t>
            </w:r>
            <w:r w:rsidRPr="009A2C5E">
              <w:rPr>
                <w:rFonts w:eastAsia="Calibri"/>
                <w:b/>
                <w:color w:val="000000"/>
                <w:lang w:eastAsia="en-US"/>
              </w:rPr>
              <w:t>56</w:t>
            </w:r>
            <w:r w:rsidRPr="0093084D">
              <w:rPr>
                <w:rFonts w:eastAsia="Calibri"/>
                <w:color w:val="000000"/>
                <w:lang w:eastAsia="en-US"/>
              </w:rPr>
              <w:t xml:space="preserve"> </w:t>
            </w:r>
            <w:r w:rsidRPr="009A2C5E">
              <w:rPr>
                <w:rFonts w:eastAsia="Calibri"/>
                <w:b/>
                <w:color w:val="000000"/>
                <w:lang w:eastAsia="en-US"/>
              </w:rPr>
              <w:t>684,36 EUR</w:t>
            </w:r>
            <w:r w:rsidRPr="0093084D">
              <w:rPr>
                <w:rFonts w:eastAsia="Calibri"/>
                <w:color w:val="000000"/>
                <w:lang w:eastAsia="en-US"/>
              </w:rPr>
              <w:t>, kur:</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f</w:t>
            </w:r>
            <w:r w:rsidRPr="0093084D">
              <w:rPr>
                <w:rFonts w:eastAsia="Calibri"/>
                <w:color w:val="000000"/>
                <w:lang w:eastAsia="en-US"/>
              </w:rPr>
              <w:t xml:space="preserve"> – 4,76 EUR/h: </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amatpersonas vid. mēnešalga = 800 EUR;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darba dienu skaits vid. mēnesī = 21 darba diena;</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nostrādāto stundu skaits 1 darba dienā = 8 h;</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stundas samaksas likme = 800 / </w:t>
            </w:r>
            <w:proofErr w:type="gramStart"/>
            <w:r w:rsidRPr="0093084D">
              <w:rPr>
                <w:rFonts w:eastAsia="Calibri"/>
                <w:color w:val="000000"/>
                <w:lang w:eastAsia="en-US"/>
              </w:rPr>
              <w:t>(</w:t>
            </w:r>
            <w:proofErr w:type="gramEnd"/>
            <w:r w:rsidRPr="0093084D">
              <w:rPr>
                <w:rFonts w:eastAsia="Calibri"/>
                <w:color w:val="000000"/>
                <w:lang w:eastAsia="en-US"/>
              </w:rPr>
              <w:t>21 x 8) = 4,76 EUR/h</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l</w:t>
            </w:r>
            <w:r w:rsidRPr="0093084D">
              <w:rPr>
                <w:rFonts w:eastAsia="Calibri"/>
                <w:color w:val="000000"/>
                <w:lang w:eastAsia="en-US"/>
              </w:rPr>
              <w:t xml:space="preserve"> – 24 h:</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laika patēriņš, kas vid. nepieciešams 1 pārbaudes veikšanai dabā = 8 h (1 darba diena);</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laika patēriņš, kas vid. nepieciešams komisijas darba organizēšanai un dokumentu </w:t>
            </w:r>
            <w:r w:rsidRPr="0093084D">
              <w:rPr>
                <w:rFonts w:eastAsia="Calibri"/>
                <w:color w:val="000000"/>
                <w:lang w:eastAsia="en-US"/>
              </w:rPr>
              <w:tab/>
              <w:t xml:space="preserve">(pārbaudes akts ar </w:t>
            </w:r>
            <w:proofErr w:type="spellStart"/>
            <w:r w:rsidRPr="0093084D">
              <w:rPr>
                <w:rFonts w:eastAsia="Calibri"/>
                <w:color w:val="000000"/>
                <w:lang w:eastAsia="en-US"/>
              </w:rPr>
              <w:t>kartoshēmu</w:t>
            </w:r>
            <w:proofErr w:type="spellEnd"/>
            <w:r w:rsidRPr="0093084D">
              <w:rPr>
                <w:rFonts w:eastAsia="Calibri"/>
                <w:color w:val="000000"/>
                <w:lang w:eastAsia="en-US"/>
              </w:rPr>
              <w:t xml:space="preserve">, vēstules, informācijas pieprasījumi un informācijas </w:t>
            </w:r>
            <w:r w:rsidRPr="0093084D">
              <w:rPr>
                <w:rFonts w:eastAsia="Calibri"/>
                <w:color w:val="000000"/>
                <w:lang w:eastAsia="en-US"/>
              </w:rPr>
              <w:tab/>
              <w:t>pārbaude, lēmums) sagatavošanai, izskatot 1 iesniegumu = 16 h (2 darba dienas);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kopā = 8 + 16 = 24 h</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n</w:t>
            </w:r>
            <w:r w:rsidRPr="0093084D">
              <w:rPr>
                <w:rFonts w:eastAsia="Calibri"/>
                <w:color w:val="000000"/>
                <w:lang w:eastAsia="en-US"/>
              </w:rPr>
              <w:t xml:space="preserve"> – 4 amatpersonas: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Projektā paredzēto kompensāciju administrēšanas pienākumu veiks </w:t>
            </w:r>
            <w:r w:rsidR="002776D3">
              <w:rPr>
                <w:rFonts w:eastAsia="Calibri"/>
                <w:color w:val="000000"/>
                <w:lang w:eastAsia="en-US"/>
              </w:rPr>
              <w:t>Dabas</w:t>
            </w:r>
            <w:r w:rsidR="0042046E">
              <w:rPr>
                <w:rFonts w:eastAsia="Calibri"/>
                <w:color w:val="000000"/>
                <w:lang w:eastAsia="en-US"/>
              </w:rPr>
              <w:t xml:space="preserve"> aizsardzības</w:t>
            </w:r>
            <w:proofErr w:type="gramStart"/>
            <w:r w:rsidR="0042046E">
              <w:rPr>
                <w:rFonts w:eastAsia="Calibri"/>
                <w:color w:val="000000"/>
                <w:lang w:eastAsia="en-US"/>
              </w:rPr>
              <w:t xml:space="preserve"> </w:t>
            </w:r>
            <w:r w:rsidR="002776D3">
              <w:rPr>
                <w:rFonts w:eastAsia="Calibri"/>
                <w:color w:val="000000"/>
                <w:lang w:eastAsia="en-US"/>
              </w:rPr>
              <w:t xml:space="preserve"> </w:t>
            </w:r>
            <w:proofErr w:type="gramEnd"/>
            <w:r w:rsidR="002776D3">
              <w:rPr>
                <w:rFonts w:eastAsia="Calibri"/>
                <w:color w:val="000000"/>
                <w:lang w:eastAsia="en-US"/>
              </w:rPr>
              <w:t>p</w:t>
            </w:r>
            <w:r w:rsidRPr="0093084D">
              <w:rPr>
                <w:rFonts w:eastAsia="Calibri"/>
                <w:color w:val="000000"/>
                <w:lang w:eastAsia="en-US"/>
              </w:rPr>
              <w:t xml:space="preserve">ārvaldes </w:t>
            </w:r>
            <w:r w:rsidRPr="0093084D">
              <w:rPr>
                <w:rFonts w:eastAsia="Calibri"/>
                <w:color w:val="000000"/>
                <w:lang w:eastAsia="en-US"/>
              </w:rPr>
              <w:tab/>
              <w:t>teritoriālās struktūrvienības – Vidzemes reģionālā administrācija, Pierīgas reģionālā administrācija, Kurzemes reģionālā admini</w:t>
            </w:r>
            <w:r>
              <w:rPr>
                <w:rFonts w:eastAsia="Calibri"/>
                <w:color w:val="000000"/>
                <w:lang w:eastAsia="en-US"/>
              </w:rPr>
              <w:t xml:space="preserve">strācija un Latgales reģionālā </w:t>
            </w:r>
            <w:r w:rsidRPr="0093084D">
              <w:rPr>
                <w:rFonts w:eastAsia="Calibri"/>
                <w:color w:val="000000"/>
                <w:lang w:eastAsia="en-US"/>
              </w:rPr>
              <w:t>administrācija</w:t>
            </w:r>
            <w:r w:rsidR="002776D3">
              <w:rPr>
                <w:rFonts w:eastAsia="Calibri"/>
                <w:color w:val="000000"/>
                <w:lang w:eastAsia="en-US"/>
              </w:rPr>
              <w:t>. Plānotais nodarbināto skaits ikvienā no minētajām struktūrvienībām: 1 amatpersona.</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b</w:t>
            </w:r>
            <w:r w:rsidRPr="0093084D">
              <w:rPr>
                <w:rFonts w:eastAsia="Calibri"/>
                <w:color w:val="000000"/>
                <w:lang w:eastAsia="en-US"/>
              </w:rPr>
              <w:t xml:space="preserve"> – 109 reizes gadā:</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Atbilstoši projektam kompensāciju ir tiesības saņemt vienu reizi gadā, tādējādi </w:t>
            </w:r>
            <w:r w:rsidRPr="0093084D">
              <w:rPr>
                <w:rFonts w:eastAsia="Calibri"/>
                <w:color w:val="000000"/>
                <w:lang w:eastAsia="en-US"/>
              </w:rPr>
              <w:tab/>
              <w:t xml:space="preserve">projektā paredzētais kompensāciju administrēšanas pienākums jāveic tik reizes, cik ir </w:t>
            </w:r>
            <w:r w:rsidRPr="0093084D">
              <w:rPr>
                <w:rFonts w:eastAsia="Calibri"/>
                <w:color w:val="000000"/>
                <w:lang w:eastAsia="en-US"/>
              </w:rPr>
              <w:tab/>
              <w:t xml:space="preserve">saņemto personu iesniegumu skaits. Atbilstoši Latvijas vides aizsardzības fonda </w:t>
            </w:r>
            <w:r w:rsidRPr="0093084D">
              <w:rPr>
                <w:rFonts w:eastAsia="Calibri"/>
                <w:color w:val="000000"/>
                <w:lang w:eastAsia="en-US"/>
              </w:rPr>
              <w:tab/>
              <w:t xml:space="preserve">administrācijas mājaslapā pieejamajam </w:t>
            </w:r>
            <w:r w:rsidRPr="0093084D">
              <w:rPr>
                <w:rFonts w:eastAsia="Calibri"/>
                <w:color w:val="000000"/>
                <w:lang w:eastAsia="en-US"/>
              </w:rPr>
              <w:lastRenderedPageBreak/>
              <w:t xml:space="preserve">publiskajam pārskatam par </w:t>
            </w:r>
            <w:proofErr w:type="gramStart"/>
            <w:r w:rsidRPr="0093084D">
              <w:rPr>
                <w:rFonts w:eastAsia="Calibri"/>
                <w:color w:val="000000"/>
                <w:lang w:eastAsia="en-US"/>
              </w:rPr>
              <w:t>2008.gadu</w:t>
            </w:r>
            <w:proofErr w:type="gramEnd"/>
            <w:r w:rsidRPr="0093084D">
              <w:rPr>
                <w:rFonts w:eastAsia="Calibri"/>
                <w:color w:val="000000"/>
                <w:lang w:eastAsia="en-US"/>
              </w:rPr>
              <w:t xml:space="preserve">, </w:t>
            </w:r>
            <w:r w:rsidRPr="0093084D">
              <w:rPr>
                <w:rFonts w:eastAsia="Calibri"/>
                <w:color w:val="000000"/>
                <w:lang w:eastAsia="en-US"/>
              </w:rPr>
              <w:tab/>
              <w:t xml:space="preserve">2008.gadā izmaksāta kompensācija 109 personām. 2009.-2014.gadā kompensāciju </w:t>
            </w:r>
            <w:r w:rsidRPr="0093084D">
              <w:rPr>
                <w:rFonts w:eastAsia="Calibri"/>
                <w:color w:val="000000"/>
                <w:lang w:eastAsia="en-US"/>
              </w:rPr>
              <w:tab/>
              <w:t>izmaksa netika veikta.</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 xml:space="preserve">i </w:t>
            </w:r>
            <w:r w:rsidRPr="0093084D">
              <w:rPr>
                <w:rFonts w:eastAsia="Calibri"/>
                <w:color w:val="000000"/>
                <w:lang w:eastAsia="en-US"/>
              </w:rPr>
              <w:t>– 4482,08 EUR: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biroja uzturēšanas izdevumi (biroja tehnika, datortehnika, elektroenerģija u.c.) = 2,57 EUR/h; </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biroja uzturēšanas izdevumi dokumentu sagatavošanai, izskatot 1 iesniegumu = 2,57 x 16 h = 41,12 EUR;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biroja uzturēšanas izdevumi dokumentu sagatavošanai, izskatot 109 iesniegumus = 41,12 x 109 = 4482,08 EUR</w:t>
            </w:r>
          </w:p>
          <w:p w:rsidR="0093084D" w:rsidRPr="0093084D" w:rsidRDefault="0093084D" w:rsidP="0093084D">
            <w:pPr>
              <w:spacing w:line="259" w:lineRule="auto"/>
              <w:ind w:left="34"/>
              <w:jc w:val="both"/>
              <w:rPr>
                <w:rFonts w:eastAsia="Calibri"/>
                <w:color w:val="000000"/>
                <w:lang w:eastAsia="en-US"/>
              </w:rPr>
            </w:pPr>
            <w:proofErr w:type="gramStart"/>
            <w:r w:rsidRPr="009A2C5E">
              <w:rPr>
                <w:rFonts w:eastAsia="Calibri"/>
                <w:b/>
                <w:color w:val="000000"/>
                <w:lang w:eastAsia="en-US"/>
              </w:rPr>
              <w:t>d</w:t>
            </w:r>
            <w:r w:rsidRPr="0093084D">
              <w:rPr>
                <w:rFonts w:eastAsia="Calibri"/>
                <w:color w:val="000000"/>
                <w:lang w:eastAsia="en-US"/>
              </w:rPr>
              <w:t xml:space="preserve"> –2</w:t>
            </w:r>
            <w:proofErr w:type="gramEnd"/>
            <w:r w:rsidRPr="0093084D">
              <w:rPr>
                <w:rFonts w:eastAsia="Calibri"/>
                <w:color w:val="000000"/>
                <w:lang w:eastAsia="en-US"/>
              </w:rPr>
              <w:t>393,64 EUR: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1 pārbaudes dabā (zemes īpašuma atrašanās vietas) vid. attālums (Pārvaldes reģionālās </w:t>
            </w:r>
            <w:r w:rsidRPr="0093084D">
              <w:rPr>
                <w:rFonts w:eastAsia="Calibri"/>
                <w:color w:val="000000"/>
                <w:lang w:eastAsia="en-US"/>
              </w:rPr>
              <w:tab/>
              <w:t>administrācijas birojs–zemes īpašums turp un atpakaļ) = 260 km;</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vid. degvielas patēriņš = 8 litri/100 km;</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degvielas vid. cena = 1,056 EUR/litrs;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degvielas izdevumi 1 pārbaudei dabā = (260 x 8 / 100) x 1,056 = 21,96 EUR;</w:t>
            </w:r>
          </w:p>
          <w:p w:rsidR="00DC389A" w:rsidRPr="00CB5E13" w:rsidRDefault="0093084D" w:rsidP="0093084D">
            <w:pPr>
              <w:spacing w:line="259" w:lineRule="auto"/>
              <w:ind w:left="34"/>
              <w:jc w:val="both"/>
              <w:rPr>
                <w:rFonts w:eastAsia="Calibri"/>
                <w:color w:val="000000"/>
                <w:lang w:eastAsia="en-US"/>
              </w:rPr>
            </w:pPr>
            <w:r w:rsidRPr="0093084D">
              <w:rPr>
                <w:rFonts w:eastAsia="Calibri"/>
                <w:color w:val="000000"/>
                <w:lang w:eastAsia="en-US"/>
              </w:rPr>
              <w:t>degvielas izdevumi 109 pārbaudēm dabā = 21,9</w:t>
            </w:r>
            <w:r w:rsidR="0001640E">
              <w:rPr>
                <w:rFonts w:eastAsia="Calibri"/>
                <w:color w:val="000000"/>
                <w:lang w:eastAsia="en-US"/>
              </w:rPr>
              <w:t>6 x109=2393,64 |EUR</w:t>
            </w:r>
          </w:p>
        </w:tc>
      </w:tr>
      <w:tr w:rsidR="00DC389A" w:rsidRPr="00FA5834" w:rsidTr="009A2C5E">
        <w:tc>
          <w:tcPr>
            <w:tcW w:w="441" w:type="dxa"/>
          </w:tcPr>
          <w:p w:rsidR="00DC389A" w:rsidRPr="00FA5834" w:rsidRDefault="004E7A26" w:rsidP="00865B60">
            <w:pPr>
              <w:pStyle w:val="naiskr"/>
              <w:spacing w:before="0" w:after="0"/>
              <w:ind w:right="71"/>
            </w:pPr>
            <w:r>
              <w:lastRenderedPageBreak/>
              <w:t>4</w:t>
            </w:r>
            <w:r w:rsidR="00DC389A" w:rsidRPr="00FA5834">
              <w:t>.</w:t>
            </w:r>
          </w:p>
        </w:tc>
        <w:tc>
          <w:tcPr>
            <w:tcW w:w="2502" w:type="dxa"/>
          </w:tcPr>
          <w:p w:rsidR="00DC389A" w:rsidRPr="00FA5834" w:rsidRDefault="00DC389A" w:rsidP="00865B60">
            <w:pPr>
              <w:pStyle w:val="naiskr"/>
              <w:spacing w:before="0" w:after="0"/>
              <w:ind w:right="71"/>
            </w:pPr>
            <w:r w:rsidRPr="00FA5834">
              <w:t>Cita informācija</w:t>
            </w:r>
          </w:p>
        </w:tc>
        <w:tc>
          <w:tcPr>
            <w:tcW w:w="6129" w:type="dxa"/>
          </w:tcPr>
          <w:p w:rsidR="00DC389A" w:rsidRPr="00FA5834" w:rsidRDefault="004E7A26" w:rsidP="006653AE">
            <w:pPr>
              <w:pStyle w:val="naiskr"/>
              <w:spacing w:before="0" w:after="0"/>
              <w:ind w:right="71"/>
              <w:jc w:val="both"/>
            </w:pPr>
            <w:r w:rsidRPr="00FA5834">
              <w:rPr>
                <w:iCs/>
              </w:rPr>
              <w:t>Bioloģiskās daudzveidības saglabāšana ir viens no</w:t>
            </w:r>
            <w:r w:rsidRPr="00FA5834">
              <w:t xml:space="preserve"> </w:t>
            </w:r>
            <w:r w:rsidRPr="00FA5834">
              <w:rPr>
                <w:iCs/>
              </w:rPr>
              <w:t>pamatnosacījumiem cilvēku labklājības nodrošināšanai un ekonomisko aktivitāšu pastāvēšanai. Īpaši aizsargājam</w:t>
            </w:r>
            <w:r w:rsidR="002776D3">
              <w:rPr>
                <w:iCs/>
              </w:rPr>
              <w:t>o</w:t>
            </w:r>
            <w:r w:rsidRPr="00FA5834">
              <w:rPr>
                <w:iCs/>
              </w:rPr>
              <w:t xml:space="preserve"> sug</w:t>
            </w:r>
            <w:r w:rsidR="002776D3">
              <w:rPr>
                <w:iCs/>
              </w:rPr>
              <w:t>u</w:t>
            </w:r>
            <w:r w:rsidRPr="00FA5834">
              <w:rPr>
                <w:iCs/>
              </w:rPr>
              <w:t xml:space="preserve"> </w:t>
            </w:r>
            <w:r w:rsidR="0042046E" w:rsidRPr="00FA5834">
              <w:rPr>
                <w:iCs/>
              </w:rPr>
              <w:t>aizsardzību</w:t>
            </w:r>
            <w:r w:rsidRPr="00FA5834">
              <w:rPr>
                <w:iCs/>
              </w:rPr>
              <w:t xml:space="preserve"> </w:t>
            </w:r>
            <w:r w:rsidR="002776D3">
              <w:rPr>
                <w:iCs/>
              </w:rPr>
              <w:t xml:space="preserve">īsteno </w:t>
            </w:r>
            <w:r w:rsidRPr="00FA5834">
              <w:rPr>
                <w:iCs/>
              </w:rPr>
              <w:t>visas sa</w:t>
            </w:r>
            <w:r w:rsidR="005F4749">
              <w:rPr>
                <w:iCs/>
              </w:rPr>
              <w:t>biedrības interesēs</w:t>
            </w:r>
            <w:r w:rsidR="00DB3BF2">
              <w:rPr>
                <w:iCs/>
              </w:rPr>
              <w:t>,</w:t>
            </w:r>
            <w:r w:rsidR="005F4749">
              <w:rPr>
                <w:iCs/>
              </w:rPr>
              <w:t xml:space="preserve"> līdz ar to </w:t>
            </w:r>
            <w:r w:rsidRPr="00FA5834">
              <w:rPr>
                <w:iCs/>
              </w:rPr>
              <w:t xml:space="preserve">ir </w:t>
            </w:r>
            <w:r w:rsidR="002776D3">
              <w:rPr>
                <w:iCs/>
              </w:rPr>
              <w:t>svarīgi</w:t>
            </w:r>
            <w:r w:rsidRPr="00FA5834">
              <w:rPr>
                <w:iCs/>
              </w:rPr>
              <w:t xml:space="preserve"> saglabāt kompensāciju sistēmu, lai novērstu zemes īpašnieku</w:t>
            </w:r>
            <w:r w:rsidR="0042046E">
              <w:rPr>
                <w:iCs/>
              </w:rPr>
              <w:t xml:space="preserve"> vai lietotāju</w:t>
            </w:r>
            <w:proofErr w:type="gramStart"/>
            <w:r w:rsidR="0042046E">
              <w:rPr>
                <w:iCs/>
              </w:rPr>
              <w:t xml:space="preserve"> </w:t>
            </w:r>
            <w:r w:rsidRPr="00FA5834">
              <w:rPr>
                <w:iCs/>
              </w:rPr>
              <w:t xml:space="preserve"> </w:t>
            </w:r>
            <w:proofErr w:type="gramEnd"/>
            <w:r w:rsidRPr="00FA5834">
              <w:rPr>
                <w:iCs/>
              </w:rPr>
              <w:t>un sabiedr</w:t>
            </w:r>
            <w:r w:rsidR="005F4749">
              <w:rPr>
                <w:iCs/>
              </w:rPr>
              <w:t>ības kopumā neapmierinātību par</w:t>
            </w:r>
            <w:r w:rsidR="009E1E82">
              <w:rPr>
                <w:iCs/>
              </w:rPr>
              <w:t xml:space="preserve"> īpaši aizsargājamo nemedījamo </w:t>
            </w:r>
            <w:r w:rsidRPr="00FA5834">
              <w:rPr>
                <w:iCs/>
              </w:rPr>
              <w:t>sugu noda</w:t>
            </w:r>
            <w:r w:rsidR="009E1E82">
              <w:rPr>
                <w:iCs/>
              </w:rPr>
              <w:t xml:space="preserve">rītajiem postījumiem (piemēram, </w:t>
            </w:r>
            <w:r w:rsidRPr="00FA5834">
              <w:rPr>
                <w:iCs/>
              </w:rPr>
              <w:t>lauksaimniecībai, akvakultūr</w:t>
            </w:r>
            <w:r w:rsidR="00404A9D">
              <w:rPr>
                <w:iCs/>
              </w:rPr>
              <w:t xml:space="preserve">ai), kuri </w:t>
            </w:r>
            <w:r w:rsidRPr="00FA5834">
              <w:rPr>
                <w:iCs/>
              </w:rPr>
              <w:t>netiek attiecīgi kompensēti.</w:t>
            </w:r>
          </w:p>
        </w:tc>
      </w:tr>
    </w:tbl>
    <w:p w:rsidR="00B47E53" w:rsidRDefault="00B47E53" w:rsidP="00865B60">
      <w:pPr>
        <w:pStyle w:val="naisf"/>
        <w:spacing w:before="0" w:after="0"/>
        <w:ind w:right="71" w:firstLine="0"/>
      </w:pPr>
    </w:p>
    <w:p w:rsidR="00B47E53" w:rsidRPr="00FA5834" w:rsidRDefault="00B47E53" w:rsidP="00865B60">
      <w:pPr>
        <w:pStyle w:val="naisf"/>
        <w:spacing w:before="0" w:after="0"/>
        <w:ind w:right="71" w:firstLine="0"/>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1354"/>
        <w:gridCol w:w="1424"/>
        <w:gridCol w:w="1423"/>
        <w:gridCol w:w="1423"/>
        <w:gridCol w:w="1375"/>
      </w:tblGrid>
      <w:tr w:rsidR="00EF363F" w:rsidRPr="00FA5834" w:rsidTr="00C54AF0">
        <w:trPr>
          <w:trHeight w:val="652"/>
          <w:jc w:val="center"/>
        </w:trPr>
        <w:tc>
          <w:tcPr>
            <w:tcW w:w="9215" w:type="dxa"/>
            <w:gridSpan w:val="6"/>
          </w:tcPr>
          <w:p w:rsidR="00EF363F" w:rsidRPr="00FA5834" w:rsidRDefault="00EF363F" w:rsidP="00865B60">
            <w:pPr>
              <w:pStyle w:val="naisnod"/>
              <w:spacing w:before="0" w:after="0"/>
              <w:ind w:right="71"/>
              <w:rPr>
                <w:i/>
              </w:rPr>
            </w:pPr>
            <w:r w:rsidRPr="00FA5834">
              <w:br w:type="page"/>
              <w:t>III. Tiesību akta projekta ietekme uz valsts budžetu un pašvaldību budžetiem</w:t>
            </w:r>
          </w:p>
        </w:tc>
      </w:tr>
      <w:tr w:rsidR="00EF363F" w:rsidRPr="00FA5834" w:rsidTr="00C54AF0">
        <w:trPr>
          <w:jc w:val="center"/>
        </w:trPr>
        <w:tc>
          <w:tcPr>
            <w:tcW w:w="2216" w:type="dxa"/>
            <w:vMerge w:val="restart"/>
            <w:vAlign w:val="center"/>
          </w:tcPr>
          <w:p w:rsidR="00EF363F" w:rsidRPr="00FA5834" w:rsidRDefault="00EF363F" w:rsidP="00865B60">
            <w:pPr>
              <w:pStyle w:val="naisf"/>
              <w:spacing w:before="0" w:after="0"/>
              <w:ind w:right="71" w:firstLine="0"/>
              <w:jc w:val="center"/>
              <w:rPr>
                <w:b/>
              </w:rPr>
            </w:pPr>
            <w:r w:rsidRPr="00FA5834">
              <w:rPr>
                <w:b/>
              </w:rPr>
              <w:t>Rādītāji</w:t>
            </w:r>
          </w:p>
        </w:tc>
        <w:tc>
          <w:tcPr>
            <w:tcW w:w="2778" w:type="dxa"/>
            <w:gridSpan w:val="2"/>
            <w:vMerge w:val="restart"/>
            <w:vAlign w:val="center"/>
          </w:tcPr>
          <w:p w:rsidR="00EF363F" w:rsidRPr="00FA5834" w:rsidRDefault="00EF363F" w:rsidP="00865B60">
            <w:pPr>
              <w:pStyle w:val="naisf"/>
              <w:spacing w:before="0" w:after="0"/>
              <w:ind w:right="71" w:firstLine="0"/>
              <w:jc w:val="center"/>
              <w:rPr>
                <w:b/>
              </w:rPr>
            </w:pPr>
            <w:proofErr w:type="gramStart"/>
            <w:r w:rsidRPr="00FA5834">
              <w:rPr>
                <w:b/>
              </w:rPr>
              <w:t>201</w:t>
            </w:r>
            <w:r w:rsidR="00971C1F">
              <w:rPr>
                <w:b/>
              </w:rPr>
              <w:t>5</w:t>
            </w:r>
            <w:r w:rsidRPr="00FA5834">
              <w:rPr>
                <w:b/>
              </w:rPr>
              <w:t>.gads</w:t>
            </w:r>
            <w:proofErr w:type="gramEnd"/>
          </w:p>
        </w:tc>
        <w:tc>
          <w:tcPr>
            <w:tcW w:w="4221" w:type="dxa"/>
            <w:gridSpan w:val="3"/>
            <w:vAlign w:val="center"/>
          </w:tcPr>
          <w:p w:rsidR="00EF363F" w:rsidRPr="00FA5834" w:rsidRDefault="00D4597B" w:rsidP="00865B60">
            <w:pPr>
              <w:pStyle w:val="naisf"/>
              <w:spacing w:before="0" w:after="0"/>
              <w:ind w:right="71" w:firstLine="0"/>
              <w:jc w:val="center"/>
              <w:rPr>
                <w:b/>
                <w:i/>
              </w:rPr>
            </w:pPr>
            <w:r>
              <w:t>Turpmākie trīs gadi (</w:t>
            </w:r>
            <w:proofErr w:type="spellStart"/>
            <w:r w:rsidRPr="00885006">
              <w:rPr>
                <w:i/>
              </w:rPr>
              <w:t>euro</w:t>
            </w:r>
            <w:proofErr w:type="spellEnd"/>
            <w:r w:rsidR="00EF363F" w:rsidRPr="00FA5834">
              <w:t>)</w:t>
            </w:r>
          </w:p>
        </w:tc>
      </w:tr>
      <w:tr w:rsidR="00EF363F" w:rsidRPr="00FA5834" w:rsidTr="00C54AF0">
        <w:trPr>
          <w:jc w:val="center"/>
        </w:trPr>
        <w:tc>
          <w:tcPr>
            <w:tcW w:w="2216" w:type="dxa"/>
            <w:vMerge/>
            <w:vAlign w:val="center"/>
          </w:tcPr>
          <w:p w:rsidR="00EF363F" w:rsidRPr="00FA5834" w:rsidRDefault="00EF363F" w:rsidP="00865B60">
            <w:pPr>
              <w:pStyle w:val="naisf"/>
              <w:spacing w:before="0" w:after="0"/>
              <w:ind w:right="71" w:firstLine="0"/>
              <w:jc w:val="center"/>
              <w:rPr>
                <w:b/>
                <w:i/>
              </w:rPr>
            </w:pPr>
          </w:p>
        </w:tc>
        <w:tc>
          <w:tcPr>
            <w:tcW w:w="2778" w:type="dxa"/>
            <w:gridSpan w:val="2"/>
            <w:vMerge/>
            <w:vAlign w:val="center"/>
          </w:tcPr>
          <w:p w:rsidR="00EF363F" w:rsidRPr="00FA5834" w:rsidRDefault="00EF363F" w:rsidP="00865B60">
            <w:pPr>
              <w:pStyle w:val="naisf"/>
              <w:spacing w:before="0" w:after="0"/>
              <w:ind w:right="71" w:firstLine="0"/>
              <w:jc w:val="center"/>
              <w:rPr>
                <w:b/>
                <w:i/>
              </w:rPr>
            </w:pPr>
          </w:p>
        </w:tc>
        <w:tc>
          <w:tcPr>
            <w:tcW w:w="1423" w:type="dxa"/>
            <w:vAlign w:val="center"/>
          </w:tcPr>
          <w:p w:rsidR="00EF363F" w:rsidRPr="00FA5834" w:rsidRDefault="00EF363F" w:rsidP="00865B60">
            <w:pPr>
              <w:pStyle w:val="naisf"/>
              <w:spacing w:before="0" w:after="0"/>
              <w:ind w:right="71" w:firstLine="0"/>
              <w:jc w:val="center"/>
              <w:rPr>
                <w:b/>
                <w:i/>
              </w:rPr>
            </w:pPr>
            <w:r w:rsidRPr="00FA5834">
              <w:rPr>
                <w:b/>
                <w:bCs/>
              </w:rPr>
              <w:t>201</w:t>
            </w:r>
            <w:r w:rsidR="00971C1F">
              <w:rPr>
                <w:b/>
                <w:bCs/>
              </w:rPr>
              <w:t>6</w:t>
            </w:r>
          </w:p>
        </w:tc>
        <w:tc>
          <w:tcPr>
            <w:tcW w:w="1423" w:type="dxa"/>
            <w:vAlign w:val="center"/>
          </w:tcPr>
          <w:p w:rsidR="00EF363F" w:rsidRPr="00FA5834" w:rsidRDefault="00EF363F" w:rsidP="00865B60">
            <w:pPr>
              <w:pStyle w:val="naisf"/>
              <w:spacing w:before="0" w:after="0"/>
              <w:ind w:right="71" w:firstLine="0"/>
              <w:jc w:val="center"/>
              <w:rPr>
                <w:b/>
                <w:i/>
              </w:rPr>
            </w:pPr>
            <w:r w:rsidRPr="00FA5834">
              <w:rPr>
                <w:b/>
                <w:bCs/>
              </w:rPr>
              <w:t>201</w:t>
            </w:r>
            <w:r w:rsidR="00971C1F">
              <w:rPr>
                <w:b/>
                <w:bCs/>
              </w:rPr>
              <w:t>7</w:t>
            </w:r>
          </w:p>
        </w:tc>
        <w:tc>
          <w:tcPr>
            <w:tcW w:w="1375" w:type="dxa"/>
            <w:vAlign w:val="center"/>
          </w:tcPr>
          <w:p w:rsidR="00EF363F" w:rsidRPr="00FA5834" w:rsidRDefault="00EF363F" w:rsidP="00865B60">
            <w:pPr>
              <w:pStyle w:val="naisf"/>
              <w:spacing w:before="0" w:after="0"/>
              <w:ind w:right="71" w:firstLine="0"/>
              <w:jc w:val="center"/>
              <w:rPr>
                <w:b/>
                <w:i/>
              </w:rPr>
            </w:pPr>
            <w:r w:rsidRPr="00FA5834">
              <w:rPr>
                <w:b/>
                <w:bCs/>
              </w:rPr>
              <w:t>201</w:t>
            </w:r>
            <w:r w:rsidR="00971C1F">
              <w:rPr>
                <w:b/>
                <w:bCs/>
              </w:rPr>
              <w:t>8</w:t>
            </w:r>
          </w:p>
        </w:tc>
      </w:tr>
      <w:tr w:rsidR="00EF363F" w:rsidRPr="00FA5834" w:rsidTr="00C54AF0">
        <w:trPr>
          <w:jc w:val="center"/>
        </w:trPr>
        <w:tc>
          <w:tcPr>
            <w:tcW w:w="2216" w:type="dxa"/>
            <w:vMerge/>
            <w:vAlign w:val="center"/>
          </w:tcPr>
          <w:p w:rsidR="00EF363F" w:rsidRPr="00FA5834" w:rsidRDefault="00EF363F" w:rsidP="00865B60">
            <w:pPr>
              <w:pStyle w:val="naisf"/>
              <w:spacing w:before="0" w:after="0"/>
              <w:ind w:right="71" w:firstLine="0"/>
              <w:jc w:val="center"/>
              <w:rPr>
                <w:b/>
                <w:i/>
              </w:rPr>
            </w:pPr>
          </w:p>
        </w:tc>
        <w:tc>
          <w:tcPr>
            <w:tcW w:w="1354" w:type="dxa"/>
            <w:vAlign w:val="center"/>
          </w:tcPr>
          <w:p w:rsidR="00EF363F" w:rsidRPr="00FA5834" w:rsidRDefault="00EF363F" w:rsidP="00865B60">
            <w:pPr>
              <w:pStyle w:val="naisf"/>
              <w:spacing w:before="0" w:after="0"/>
              <w:ind w:right="71" w:firstLine="0"/>
              <w:jc w:val="center"/>
              <w:rPr>
                <w:b/>
                <w:i/>
              </w:rPr>
            </w:pPr>
            <w:r w:rsidRPr="00FA5834">
              <w:t>Saskaņā ar valsts budžetu kārtējam gadam</w:t>
            </w:r>
          </w:p>
        </w:tc>
        <w:tc>
          <w:tcPr>
            <w:tcW w:w="1424" w:type="dxa"/>
            <w:vAlign w:val="center"/>
          </w:tcPr>
          <w:p w:rsidR="00EF363F" w:rsidRPr="00FA5834" w:rsidRDefault="00EF363F" w:rsidP="00865B60">
            <w:pPr>
              <w:pStyle w:val="naisf"/>
              <w:spacing w:before="0" w:after="0"/>
              <w:ind w:right="71" w:firstLine="0"/>
              <w:jc w:val="center"/>
              <w:rPr>
                <w:b/>
                <w:i/>
              </w:rPr>
            </w:pPr>
            <w:r w:rsidRPr="00FA5834">
              <w:t>Izmaiņas kārtējā gadā, salīdzinot ar budžetu kārtējam gadam</w:t>
            </w:r>
          </w:p>
        </w:tc>
        <w:tc>
          <w:tcPr>
            <w:tcW w:w="1423" w:type="dxa"/>
            <w:vAlign w:val="center"/>
          </w:tcPr>
          <w:p w:rsidR="00EF363F" w:rsidRPr="00FA5834" w:rsidRDefault="00EF363F" w:rsidP="00865B60">
            <w:pPr>
              <w:pStyle w:val="naisf"/>
              <w:spacing w:before="0" w:after="0"/>
              <w:ind w:right="71" w:firstLine="0"/>
              <w:jc w:val="center"/>
              <w:rPr>
                <w:b/>
                <w:i/>
              </w:rPr>
            </w:pPr>
            <w:r w:rsidRPr="00FA5834">
              <w:t>Izmaiņas, salīdzinot ar kārtējo gadu</w:t>
            </w:r>
          </w:p>
        </w:tc>
        <w:tc>
          <w:tcPr>
            <w:tcW w:w="1423" w:type="dxa"/>
            <w:vAlign w:val="center"/>
          </w:tcPr>
          <w:p w:rsidR="00EF363F" w:rsidRPr="00FA5834" w:rsidRDefault="00EF363F" w:rsidP="00865B60">
            <w:pPr>
              <w:pStyle w:val="naisf"/>
              <w:spacing w:before="0" w:after="0"/>
              <w:ind w:right="71" w:firstLine="0"/>
              <w:jc w:val="center"/>
            </w:pPr>
            <w:r w:rsidRPr="00FA5834">
              <w:t xml:space="preserve">Izmaiņas, salīdzinot ar kārtējo </w:t>
            </w:r>
          </w:p>
          <w:p w:rsidR="00EF363F" w:rsidRPr="00FA5834" w:rsidRDefault="00EF363F" w:rsidP="00865B60">
            <w:pPr>
              <w:pStyle w:val="naisf"/>
              <w:spacing w:before="0" w:after="0"/>
              <w:ind w:right="71" w:firstLine="0"/>
              <w:jc w:val="center"/>
              <w:rPr>
                <w:b/>
                <w:i/>
              </w:rPr>
            </w:pPr>
            <w:r w:rsidRPr="00FA5834">
              <w:t>gadu</w:t>
            </w:r>
          </w:p>
        </w:tc>
        <w:tc>
          <w:tcPr>
            <w:tcW w:w="1375" w:type="dxa"/>
            <w:vAlign w:val="center"/>
          </w:tcPr>
          <w:p w:rsidR="00EF363F" w:rsidRPr="00FA5834" w:rsidRDefault="00EF363F" w:rsidP="00865B60">
            <w:pPr>
              <w:pStyle w:val="naisf"/>
              <w:spacing w:before="0" w:after="0"/>
              <w:ind w:right="71" w:firstLine="0"/>
              <w:jc w:val="center"/>
            </w:pPr>
            <w:r w:rsidRPr="00FA5834">
              <w:t>Izmaiņas, salīdzinot ar kārtējo</w:t>
            </w:r>
          </w:p>
          <w:p w:rsidR="00EF363F" w:rsidRPr="00FA5834" w:rsidRDefault="00EF363F" w:rsidP="00865B60">
            <w:pPr>
              <w:pStyle w:val="naisf"/>
              <w:spacing w:before="0" w:after="0"/>
              <w:ind w:right="71" w:firstLine="0"/>
              <w:jc w:val="center"/>
              <w:rPr>
                <w:b/>
                <w:i/>
              </w:rPr>
            </w:pPr>
            <w:r w:rsidRPr="00FA5834">
              <w:t>gadu</w:t>
            </w:r>
          </w:p>
        </w:tc>
      </w:tr>
      <w:tr w:rsidR="00EF363F" w:rsidRPr="00FA5834" w:rsidTr="00C54AF0">
        <w:trPr>
          <w:jc w:val="center"/>
        </w:trPr>
        <w:tc>
          <w:tcPr>
            <w:tcW w:w="2216" w:type="dxa"/>
            <w:vAlign w:val="center"/>
          </w:tcPr>
          <w:p w:rsidR="00EF363F" w:rsidRPr="00FA5834" w:rsidRDefault="00EF363F" w:rsidP="00865B60">
            <w:pPr>
              <w:pStyle w:val="naisf"/>
              <w:spacing w:before="0" w:after="0"/>
              <w:ind w:right="71" w:firstLine="0"/>
              <w:jc w:val="center"/>
              <w:rPr>
                <w:bCs/>
              </w:rPr>
            </w:pPr>
            <w:r w:rsidRPr="00FA5834">
              <w:rPr>
                <w:bCs/>
              </w:rPr>
              <w:t>1</w:t>
            </w:r>
          </w:p>
        </w:tc>
        <w:tc>
          <w:tcPr>
            <w:tcW w:w="1354" w:type="dxa"/>
            <w:vAlign w:val="center"/>
          </w:tcPr>
          <w:p w:rsidR="00EF363F" w:rsidRPr="00FA5834" w:rsidRDefault="00EF363F" w:rsidP="00865B60">
            <w:pPr>
              <w:pStyle w:val="naisf"/>
              <w:spacing w:before="0" w:after="0"/>
              <w:ind w:right="71" w:firstLine="0"/>
              <w:jc w:val="center"/>
              <w:rPr>
                <w:bCs/>
              </w:rPr>
            </w:pPr>
            <w:r w:rsidRPr="00FA5834">
              <w:rPr>
                <w:bCs/>
              </w:rPr>
              <w:t>2</w:t>
            </w:r>
          </w:p>
        </w:tc>
        <w:tc>
          <w:tcPr>
            <w:tcW w:w="1424" w:type="dxa"/>
            <w:vAlign w:val="center"/>
          </w:tcPr>
          <w:p w:rsidR="00EF363F" w:rsidRPr="00FA5834" w:rsidRDefault="00EF363F" w:rsidP="00865B60">
            <w:pPr>
              <w:pStyle w:val="naisf"/>
              <w:spacing w:before="0" w:after="0"/>
              <w:ind w:right="71" w:firstLine="0"/>
              <w:jc w:val="center"/>
              <w:rPr>
                <w:bCs/>
              </w:rPr>
            </w:pPr>
            <w:r w:rsidRPr="00FA5834">
              <w:rPr>
                <w:bCs/>
              </w:rPr>
              <w:t>3</w:t>
            </w:r>
          </w:p>
        </w:tc>
        <w:tc>
          <w:tcPr>
            <w:tcW w:w="1423" w:type="dxa"/>
            <w:vAlign w:val="center"/>
          </w:tcPr>
          <w:p w:rsidR="00EF363F" w:rsidRPr="00FA5834" w:rsidRDefault="00EF363F" w:rsidP="00865B60">
            <w:pPr>
              <w:pStyle w:val="naisf"/>
              <w:spacing w:before="0" w:after="0"/>
              <w:ind w:right="71" w:firstLine="0"/>
              <w:jc w:val="center"/>
              <w:rPr>
                <w:bCs/>
              </w:rPr>
            </w:pPr>
            <w:r w:rsidRPr="00FA5834">
              <w:rPr>
                <w:bCs/>
              </w:rPr>
              <w:t>4</w:t>
            </w:r>
          </w:p>
        </w:tc>
        <w:tc>
          <w:tcPr>
            <w:tcW w:w="1423" w:type="dxa"/>
            <w:vAlign w:val="center"/>
          </w:tcPr>
          <w:p w:rsidR="00EF363F" w:rsidRPr="00FA5834" w:rsidRDefault="00EF363F" w:rsidP="00865B60">
            <w:pPr>
              <w:pStyle w:val="naisf"/>
              <w:spacing w:before="0" w:after="0"/>
              <w:ind w:right="71" w:firstLine="0"/>
              <w:jc w:val="center"/>
              <w:rPr>
                <w:bCs/>
              </w:rPr>
            </w:pPr>
            <w:r w:rsidRPr="00FA5834">
              <w:rPr>
                <w:bCs/>
              </w:rPr>
              <w:t>5</w:t>
            </w:r>
          </w:p>
        </w:tc>
        <w:tc>
          <w:tcPr>
            <w:tcW w:w="1375" w:type="dxa"/>
            <w:vAlign w:val="center"/>
          </w:tcPr>
          <w:p w:rsidR="00EF363F" w:rsidRPr="00FA5834" w:rsidRDefault="00EF363F" w:rsidP="00865B60">
            <w:pPr>
              <w:pStyle w:val="naisf"/>
              <w:spacing w:before="0" w:after="0"/>
              <w:ind w:right="71" w:firstLine="0"/>
              <w:jc w:val="center"/>
              <w:rPr>
                <w:bCs/>
              </w:rPr>
            </w:pPr>
            <w:r w:rsidRPr="00FA5834">
              <w:rPr>
                <w:bCs/>
              </w:rPr>
              <w:t>6</w:t>
            </w:r>
          </w:p>
        </w:tc>
      </w:tr>
      <w:tr w:rsidR="00DC389A" w:rsidRPr="00FA5834" w:rsidTr="00C54AF0">
        <w:trPr>
          <w:jc w:val="center"/>
        </w:trPr>
        <w:tc>
          <w:tcPr>
            <w:tcW w:w="2216" w:type="dxa"/>
          </w:tcPr>
          <w:p w:rsidR="00DC389A" w:rsidRPr="00FA5834" w:rsidRDefault="00DC389A" w:rsidP="00865B60">
            <w:pPr>
              <w:pStyle w:val="naisf"/>
              <w:spacing w:before="0" w:after="0"/>
              <w:ind w:right="71" w:firstLine="0"/>
              <w:rPr>
                <w:i/>
              </w:rPr>
            </w:pPr>
            <w:r w:rsidRPr="00FA5834">
              <w:t xml:space="preserve">1. Budžeta </w:t>
            </w:r>
            <w:r w:rsidRPr="00FA5834">
              <w:lastRenderedPageBreak/>
              <w:t>ieņēmumi:</w:t>
            </w:r>
          </w:p>
        </w:tc>
        <w:tc>
          <w:tcPr>
            <w:tcW w:w="1354" w:type="dxa"/>
            <w:vAlign w:val="center"/>
          </w:tcPr>
          <w:p w:rsidR="00DC389A" w:rsidRPr="002A2FEE" w:rsidRDefault="002A2FEE" w:rsidP="00865B60">
            <w:pPr>
              <w:ind w:right="71"/>
              <w:jc w:val="center"/>
            </w:pPr>
            <w:r>
              <w:rPr>
                <w:iCs/>
              </w:rPr>
              <w:lastRenderedPageBreak/>
              <w:t>0</w:t>
            </w:r>
          </w:p>
        </w:tc>
        <w:tc>
          <w:tcPr>
            <w:tcW w:w="1424" w:type="dxa"/>
            <w:vAlign w:val="center"/>
          </w:tcPr>
          <w:p w:rsidR="00DC389A" w:rsidRPr="002A2FEE" w:rsidRDefault="002A2FEE" w:rsidP="00865B60">
            <w:pPr>
              <w:ind w:right="71"/>
              <w:jc w:val="center"/>
            </w:pPr>
            <w:r>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pStyle w:val="naisf"/>
              <w:spacing w:before="0" w:after="0"/>
              <w:ind w:right="71" w:firstLine="0"/>
            </w:pPr>
            <w:r w:rsidRPr="00FA5834">
              <w:lastRenderedPageBreak/>
              <w:t>1.1. valsts pamatbudžets, tai skaitā ieņēmumi no maksas pakalpojumiem un citi pašu ieņēmumi</w:t>
            </w:r>
          </w:p>
          <w:p w:rsidR="00DC389A" w:rsidRPr="00FA5834" w:rsidRDefault="00DC389A" w:rsidP="00865B60">
            <w:pPr>
              <w:ind w:right="71"/>
              <w:jc w:val="center"/>
              <w:rPr>
                <w:i/>
              </w:rPr>
            </w:pPr>
          </w:p>
        </w:tc>
        <w:tc>
          <w:tcPr>
            <w:tcW w:w="1354" w:type="dxa"/>
            <w:vAlign w:val="center"/>
          </w:tcPr>
          <w:p w:rsidR="00DC389A" w:rsidRPr="002A2FEE" w:rsidRDefault="002A2FEE" w:rsidP="00865B60">
            <w:pPr>
              <w:ind w:right="71"/>
              <w:jc w:val="center"/>
            </w:pPr>
            <w:r w:rsidRPr="002A2FEE">
              <w:rPr>
                <w:iCs/>
              </w:rPr>
              <w:t>0</w:t>
            </w:r>
          </w:p>
        </w:tc>
        <w:tc>
          <w:tcPr>
            <w:tcW w:w="1424"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pStyle w:val="naisf"/>
              <w:spacing w:before="0" w:after="0"/>
              <w:ind w:right="71" w:firstLine="0"/>
              <w:rPr>
                <w:i/>
              </w:rPr>
            </w:pPr>
            <w:r w:rsidRPr="00FA5834">
              <w:t>1.2. valsts speciālais budžets</w:t>
            </w:r>
          </w:p>
        </w:tc>
        <w:tc>
          <w:tcPr>
            <w:tcW w:w="1354" w:type="dxa"/>
            <w:vAlign w:val="center"/>
          </w:tcPr>
          <w:p w:rsidR="00DC389A" w:rsidRPr="002A2FEE" w:rsidRDefault="002A2FEE" w:rsidP="00865B60">
            <w:pPr>
              <w:ind w:right="71"/>
              <w:jc w:val="center"/>
            </w:pPr>
            <w:r w:rsidRPr="002A2FEE">
              <w:rPr>
                <w:iCs/>
              </w:rPr>
              <w:t>0</w:t>
            </w:r>
          </w:p>
        </w:tc>
        <w:tc>
          <w:tcPr>
            <w:tcW w:w="1424"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1958F6" w:rsidRDefault="002A2FEE" w:rsidP="00865B60">
            <w:pPr>
              <w:ind w:right="71"/>
              <w:jc w:val="center"/>
            </w:pPr>
            <w:r>
              <w:rPr>
                <w:iCs/>
              </w:rPr>
              <w:t>0</w:t>
            </w:r>
          </w:p>
        </w:tc>
        <w:tc>
          <w:tcPr>
            <w:tcW w:w="1423" w:type="dxa"/>
            <w:vAlign w:val="center"/>
          </w:tcPr>
          <w:p w:rsidR="00DC389A" w:rsidRPr="001958F6" w:rsidRDefault="002A2FEE" w:rsidP="00865B60">
            <w:pPr>
              <w:ind w:right="71"/>
              <w:jc w:val="center"/>
            </w:pPr>
            <w:r>
              <w:rPr>
                <w:iCs/>
              </w:rPr>
              <w:t>0</w:t>
            </w:r>
          </w:p>
        </w:tc>
        <w:tc>
          <w:tcPr>
            <w:tcW w:w="1375" w:type="dxa"/>
            <w:vAlign w:val="center"/>
          </w:tcPr>
          <w:p w:rsidR="00DC389A" w:rsidRPr="001958F6" w:rsidRDefault="002A2FEE" w:rsidP="00865B60">
            <w:pPr>
              <w:ind w:right="71"/>
              <w:jc w:val="center"/>
            </w:pPr>
            <w:r>
              <w:rPr>
                <w:iCs/>
              </w:rPr>
              <w:t>0</w:t>
            </w:r>
          </w:p>
        </w:tc>
      </w:tr>
      <w:tr w:rsidR="00DC389A" w:rsidRPr="00FA5834" w:rsidTr="00C54AF0">
        <w:trPr>
          <w:jc w:val="center"/>
        </w:trPr>
        <w:tc>
          <w:tcPr>
            <w:tcW w:w="2216" w:type="dxa"/>
          </w:tcPr>
          <w:p w:rsidR="00DC389A" w:rsidRPr="00FA5834" w:rsidRDefault="00DC389A" w:rsidP="00865B60">
            <w:pPr>
              <w:pStyle w:val="naisf"/>
              <w:spacing w:before="0" w:after="0"/>
              <w:ind w:right="71" w:firstLine="0"/>
              <w:rPr>
                <w:i/>
              </w:rPr>
            </w:pPr>
            <w:r w:rsidRPr="00FA5834">
              <w:t>1.3. pašvaldību budžets</w:t>
            </w:r>
          </w:p>
        </w:tc>
        <w:tc>
          <w:tcPr>
            <w:tcW w:w="1354" w:type="dxa"/>
            <w:vAlign w:val="center"/>
          </w:tcPr>
          <w:p w:rsidR="00DC389A" w:rsidRPr="002A2FEE" w:rsidRDefault="002A2FEE" w:rsidP="009A2C5E">
            <w:pPr>
              <w:ind w:right="71"/>
              <w:jc w:val="center"/>
            </w:pPr>
            <w:r w:rsidRPr="002A2FEE">
              <w:rPr>
                <w:iCs/>
              </w:rPr>
              <w:t>0</w:t>
            </w:r>
          </w:p>
        </w:tc>
        <w:tc>
          <w:tcPr>
            <w:tcW w:w="1424" w:type="dxa"/>
            <w:vAlign w:val="center"/>
          </w:tcPr>
          <w:p w:rsidR="00DC389A" w:rsidRPr="002A2FEE" w:rsidRDefault="002A2FEE" w:rsidP="009A2C5E">
            <w:pPr>
              <w:ind w:right="71"/>
              <w:jc w:val="center"/>
            </w:pPr>
            <w:r w:rsidRPr="002A2FEE">
              <w:rPr>
                <w:iCs/>
              </w:rPr>
              <w:t>0</w:t>
            </w:r>
          </w:p>
        </w:tc>
        <w:tc>
          <w:tcPr>
            <w:tcW w:w="1423" w:type="dxa"/>
            <w:vAlign w:val="center"/>
          </w:tcPr>
          <w:p w:rsidR="00DC389A" w:rsidRPr="002A2FEE" w:rsidRDefault="002A2FEE" w:rsidP="009A2C5E">
            <w:pPr>
              <w:ind w:right="71"/>
              <w:jc w:val="center"/>
            </w:pPr>
            <w:r w:rsidRPr="002A2FEE">
              <w:rPr>
                <w:iCs/>
              </w:rPr>
              <w:t>0</w:t>
            </w:r>
          </w:p>
        </w:tc>
        <w:tc>
          <w:tcPr>
            <w:tcW w:w="1423" w:type="dxa"/>
            <w:vAlign w:val="center"/>
          </w:tcPr>
          <w:p w:rsidR="00DC389A" w:rsidRPr="002A2FEE" w:rsidRDefault="002A2FEE" w:rsidP="009A2C5E">
            <w:pPr>
              <w:ind w:right="71"/>
              <w:jc w:val="center"/>
            </w:pPr>
            <w:r w:rsidRPr="002A2FEE">
              <w:rPr>
                <w:iCs/>
              </w:rPr>
              <w:t>0</w:t>
            </w:r>
          </w:p>
        </w:tc>
        <w:tc>
          <w:tcPr>
            <w:tcW w:w="1375" w:type="dxa"/>
            <w:vAlign w:val="center"/>
          </w:tcPr>
          <w:p w:rsidR="00DC389A" w:rsidRPr="002A2FEE" w:rsidRDefault="002A2FEE" w:rsidP="009A2C5E">
            <w:pPr>
              <w:ind w:right="71"/>
              <w:jc w:val="center"/>
            </w:pPr>
            <w:r w:rsidRPr="002A2FEE">
              <w:rPr>
                <w:iCs/>
              </w:rPr>
              <w:t>0</w:t>
            </w:r>
          </w:p>
        </w:tc>
      </w:tr>
      <w:tr w:rsidR="00AD4609" w:rsidRPr="001958F6" w:rsidTr="00C54AF0">
        <w:trPr>
          <w:jc w:val="center"/>
        </w:trPr>
        <w:tc>
          <w:tcPr>
            <w:tcW w:w="2216" w:type="dxa"/>
          </w:tcPr>
          <w:p w:rsidR="00AD4609" w:rsidRPr="00FA5834" w:rsidRDefault="00AD4609" w:rsidP="009A2C5E">
            <w:pPr>
              <w:ind w:right="71"/>
            </w:pPr>
            <w:r w:rsidRPr="00FA5834">
              <w:t>2. Budžeta izdevumi:</w:t>
            </w:r>
          </w:p>
        </w:tc>
        <w:tc>
          <w:tcPr>
            <w:tcW w:w="1354" w:type="dxa"/>
            <w:vAlign w:val="center"/>
          </w:tcPr>
          <w:p w:rsidR="00AD4609" w:rsidRPr="00530219" w:rsidRDefault="00AD4609" w:rsidP="009A2C5E">
            <w:pPr>
              <w:ind w:right="71"/>
              <w:jc w:val="center"/>
            </w:pPr>
            <w:r w:rsidRPr="00D71353">
              <w:t>0</w:t>
            </w:r>
          </w:p>
        </w:tc>
        <w:tc>
          <w:tcPr>
            <w:tcW w:w="1424" w:type="dxa"/>
            <w:vAlign w:val="center"/>
          </w:tcPr>
          <w:p w:rsidR="00AD4609" w:rsidRPr="00530219" w:rsidRDefault="00F671BE" w:rsidP="009A2C5E">
            <w:pPr>
              <w:ind w:right="71"/>
              <w:jc w:val="center"/>
            </w:pPr>
            <w:r>
              <w:t>291 374</w:t>
            </w:r>
          </w:p>
        </w:tc>
        <w:tc>
          <w:tcPr>
            <w:tcW w:w="1423" w:type="dxa"/>
            <w:vAlign w:val="center"/>
          </w:tcPr>
          <w:p w:rsidR="00B7335F" w:rsidRPr="00530219" w:rsidRDefault="00F671BE" w:rsidP="009A2C5E">
            <w:pPr>
              <w:ind w:right="71"/>
            </w:pPr>
            <w:r>
              <w:t>348 058,36</w:t>
            </w:r>
          </w:p>
        </w:tc>
        <w:tc>
          <w:tcPr>
            <w:tcW w:w="1423" w:type="dxa"/>
            <w:vAlign w:val="center"/>
          </w:tcPr>
          <w:p w:rsidR="00B7335F" w:rsidRPr="00530219" w:rsidRDefault="00F671BE" w:rsidP="009A2C5E">
            <w:pPr>
              <w:ind w:right="71"/>
            </w:pPr>
            <w:r w:rsidRPr="00F671BE">
              <w:t>348</w:t>
            </w:r>
            <w:r>
              <w:t xml:space="preserve"> </w:t>
            </w:r>
            <w:r w:rsidRPr="00F671BE">
              <w:t>058,36</w:t>
            </w:r>
          </w:p>
        </w:tc>
        <w:tc>
          <w:tcPr>
            <w:tcW w:w="1375" w:type="dxa"/>
            <w:vAlign w:val="center"/>
          </w:tcPr>
          <w:p w:rsidR="00B7335F" w:rsidRPr="00B7335F" w:rsidRDefault="00F671BE" w:rsidP="009A2C5E">
            <w:pPr>
              <w:ind w:right="71"/>
            </w:pPr>
            <w:r w:rsidRPr="00F671BE">
              <w:t>348</w:t>
            </w:r>
            <w:r>
              <w:t xml:space="preserve"> </w:t>
            </w:r>
            <w:r w:rsidRPr="00F671BE">
              <w:t>058,36</w:t>
            </w:r>
          </w:p>
        </w:tc>
      </w:tr>
      <w:tr w:rsidR="00AD4609" w:rsidRPr="001958F6" w:rsidTr="00C54AF0">
        <w:trPr>
          <w:jc w:val="center"/>
        </w:trPr>
        <w:tc>
          <w:tcPr>
            <w:tcW w:w="2216" w:type="dxa"/>
          </w:tcPr>
          <w:p w:rsidR="00AD4609" w:rsidRPr="00FA5834" w:rsidRDefault="00AD4609" w:rsidP="00865B60">
            <w:pPr>
              <w:ind w:right="71"/>
            </w:pPr>
            <w:r w:rsidRPr="00FA5834">
              <w:t>2.1. valsts pamatbudžets</w:t>
            </w:r>
          </w:p>
        </w:tc>
        <w:tc>
          <w:tcPr>
            <w:tcW w:w="1354" w:type="dxa"/>
            <w:vAlign w:val="center"/>
          </w:tcPr>
          <w:p w:rsidR="00AD4609" w:rsidRPr="002A2FEE" w:rsidRDefault="00AD4609" w:rsidP="009A2C5E">
            <w:pPr>
              <w:ind w:right="71"/>
              <w:jc w:val="center"/>
            </w:pPr>
            <w:r>
              <w:t>0</w:t>
            </w:r>
          </w:p>
        </w:tc>
        <w:tc>
          <w:tcPr>
            <w:tcW w:w="1424" w:type="dxa"/>
            <w:vAlign w:val="center"/>
          </w:tcPr>
          <w:p w:rsidR="00AD4609" w:rsidRPr="002A2FEE" w:rsidRDefault="00F671BE" w:rsidP="009A2C5E">
            <w:pPr>
              <w:ind w:right="71"/>
              <w:jc w:val="center"/>
            </w:pPr>
            <w:r>
              <w:t xml:space="preserve">291 </w:t>
            </w:r>
            <w:r w:rsidR="00BA0598" w:rsidRPr="00BA0598">
              <w:t>374</w:t>
            </w:r>
          </w:p>
        </w:tc>
        <w:tc>
          <w:tcPr>
            <w:tcW w:w="1423" w:type="dxa"/>
            <w:vAlign w:val="center"/>
          </w:tcPr>
          <w:p w:rsidR="00AD4609" w:rsidRPr="00FA5834" w:rsidRDefault="00F671BE" w:rsidP="009A2C5E">
            <w:pPr>
              <w:ind w:right="71"/>
              <w:jc w:val="center"/>
            </w:pPr>
            <w:r w:rsidRPr="00F671BE">
              <w:t>348</w:t>
            </w:r>
            <w:r>
              <w:t xml:space="preserve"> </w:t>
            </w:r>
            <w:r w:rsidRPr="00F671BE">
              <w:t>058,36</w:t>
            </w:r>
          </w:p>
        </w:tc>
        <w:tc>
          <w:tcPr>
            <w:tcW w:w="1423" w:type="dxa"/>
            <w:vAlign w:val="center"/>
          </w:tcPr>
          <w:p w:rsidR="00AD4609" w:rsidRPr="00FA5834" w:rsidRDefault="00F671BE" w:rsidP="009A2C5E">
            <w:pPr>
              <w:ind w:right="71"/>
              <w:jc w:val="center"/>
            </w:pPr>
            <w:r w:rsidRPr="00F671BE">
              <w:t>348</w:t>
            </w:r>
            <w:r>
              <w:t xml:space="preserve"> </w:t>
            </w:r>
            <w:r w:rsidRPr="00F671BE">
              <w:t>058,36</w:t>
            </w:r>
          </w:p>
        </w:tc>
        <w:tc>
          <w:tcPr>
            <w:tcW w:w="1375" w:type="dxa"/>
            <w:vAlign w:val="center"/>
          </w:tcPr>
          <w:p w:rsidR="00AD4609" w:rsidRPr="001958F6" w:rsidRDefault="00F671BE" w:rsidP="009A2C5E">
            <w:pPr>
              <w:ind w:right="71"/>
              <w:jc w:val="center"/>
            </w:pPr>
            <w:r w:rsidRPr="00F671BE">
              <w:t>348</w:t>
            </w:r>
            <w:r>
              <w:t xml:space="preserve"> </w:t>
            </w:r>
            <w:r w:rsidRPr="00F671BE">
              <w:t>058,36</w:t>
            </w:r>
          </w:p>
        </w:tc>
      </w:tr>
      <w:tr w:rsidR="00DC389A" w:rsidRPr="00FA5834" w:rsidTr="00C54AF0">
        <w:trPr>
          <w:jc w:val="center"/>
        </w:trPr>
        <w:tc>
          <w:tcPr>
            <w:tcW w:w="2216" w:type="dxa"/>
          </w:tcPr>
          <w:p w:rsidR="00DC389A" w:rsidRPr="00FA5834" w:rsidRDefault="00DC389A" w:rsidP="00865B60">
            <w:pPr>
              <w:ind w:right="71"/>
            </w:pPr>
            <w:r w:rsidRPr="00FA5834">
              <w:t>2.2. valsts speciālais budžets</w:t>
            </w:r>
          </w:p>
        </w:tc>
        <w:tc>
          <w:tcPr>
            <w:tcW w:w="1354" w:type="dxa"/>
            <w:vAlign w:val="center"/>
          </w:tcPr>
          <w:p w:rsidR="00DC389A" w:rsidRPr="002A2FEE" w:rsidRDefault="002A2FEE" w:rsidP="00865B60">
            <w:pPr>
              <w:ind w:right="71"/>
              <w:jc w:val="center"/>
            </w:pPr>
            <w:r>
              <w:rPr>
                <w:iCs/>
              </w:rPr>
              <w:t>0</w:t>
            </w:r>
          </w:p>
        </w:tc>
        <w:tc>
          <w:tcPr>
            <w:tcW w:w="1424" w:type="dxa"/>
            <w:vAlign w:val="center"/>
          </w:tcPr>
          <w:p w:rsidR="00DC389A" w:rsidRPr="002A2FEE" w:rsidRDefault="002A2FEE" w:rsidP="00865B60">
            <w:pPr>
              <w:ind w:right="71"/>
              <w:jc w:val="center"/>
            </w:pPr>
            <w:r>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ind w:right="71"/>
            </w:pPr>
            <w:r w:rsidRPr="00FA5834">
              <w:t xml:space="preserve">2.3. pašvaldību budžets </w:t>
            </w:r>
          </w:p>
        </w:tc>
        <w:tc>
          <w:tcPr>
            <w:tcW w:w="1354" w:type="dxa"/>
            <w:vAlign w:val="center"/>
          </w:tcPr>
          <w:p w:rsidR="00DC389A" w:rsidRPr="002A2FEE" w:rsidRDefault="002A2FEE" w:rsidP="00865B60">
            <w:pPr>
              <w:ind w:right="71"/>
              <w:jc w:val="center"/>
            </w:pPr>
            <w:r>
              <w:rPr>
                <w:iCs/>
              </w:rPr>
              <w:t>0</w:t>
            </w:r>
          </w:p>
        </w:tc>
        <w:tc>
          <w:tcPr>
            <w:tcW w:w="1424" w:type="dxa"/>
            <w:vAlign w:val="center"/>
          </w:tcPr>
          <w:p w:rsidR="00DC389A" w:rsidRPr="002A2FEE" w:rsidRDefault="002A2FEE" w:rsidP="00865B60">
            <w:pPr>
              <w:ind w:right="71"/>
              <w:jc w:val="center"/>
            </w:pPr>
            <w:r>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AD4609" w:rsidRPr="00FA5834" w:rsidTr="00C54AF0">
        <w:trPr>
          <w:jc w:val="center"/>
        </w:trPr>
        <w:tc>
          <w:tcPr>
            <w:tcW w:w="2216" w:type="dxa"/>
          </w:tcPr>
          <w:p w:rsidR="00AD4609" w:rsidRPr="00FA5834" w:rsidRDefault="00AD4609" w:rsidP="00865B60">
            <w:pPr>
              <w:ind w:right="71"/>
            </w:pPr>
            <w:r w:rsidRPr="00FA5834">
              <w:t>3. Finansiālā ietekme:</w:t>
            </w:r>
          </w:p>
        </w:tc>
        <w:tc>
          <w:tcPr>
            <w:tcW w:w="1354" w:type="dxa"/>
            <w:shd w:val="clear" w:color="auto" w:fill="auto"/>
            <w:vAlign w:val="center"/>
          </w:tcPr>
          <w:p w:rsidR="00AD4609" w:rsidRPr="002A2FEE" w:rsidRDefault="00AD4609" w:rsidP="00865B60">
            <w:pPr>
              <w:ind w:right="71"/>
              <w:jc w:val="center"/>
            </w:pPr>
            <w:r>
              <w:t>0</w:t>
            </w:r>
          </w:p>
        </w:tc>
        <w:tc>
          <w:tcPr>
            <w:tcW w:w="1424" w:type="dxa"/>
            <w:vAlign w:val="center"/>
          </w:tcPr>
          <w:p w:rsidR="00AD4609" w:rsidRPr="002A2FEE" w:rsidRDefault="0093084D" w:rsidP="00BA0598">
            <w:pPr>
              <w:ind w:right="71"/>
            </w:pPr>
            <w:r>
              <w:t xml:space="preserve">   </w:t>
            </w:r>
            <w:r w:rsidR="00F671BE">
              <w:t>291</w:t>
            </w:r>
            <w:r w:rsidR="00BA0598" w:rsidRPr="00BA0598">
              <w:t>374</w:t>
            </w:r>
          </w:p>
        </w:tc>
        <w:tc>
          <w:tcPr>
            <w:tcW w:w="1423" w:type="dxa"/>
            <w:vAlign w:val="center"/>
          </w:tcPr>
          <w:p w:rsidR="00AD4609" w:rsidRPr="00D43755" w:rsidRDefault="00F671BE" w:rsidP="00865B60">
            <w:pPr>
              <w:ind w:right="71"/>
              <w:jc w:val="center"/>
            </w:pPr>
            <w:r w:rsidRPr="00F671BE">
              <w:t>348</w:t>
            </w:r>
            <w:r>
              <w:t xml:space="preserve"> </w:t>
            </w:r>
            <w:r w:rsidRPr="00F671BE">
              <w:t>058,36</w:t>
            </w:r>
          </w:p>
        </w:tc>
        <w:tc>
          <w:tcPr>
            <w:tcW w:w="1423" w:type="dxa"/>
            <w:vAlign w:val="center"/>
          </w:tcPr>
          <w:p w:rsidR="00AD4609" w:rsidRPr="00D43755" w:rsidRDefault="00F671BE" w:rsidP="00865B60">
            <w:pPr>
              <w:ind w:right="71"/>
              <w:jc w:val="center"/>
            </w:pPr>
            <w:r w:rsidRPr="00F671BE">
              <w:t>348</w:t>
            </w:r>
            <w:r>
              <w:t xml:space="preserve"> </w:t>
            </w:r>
            <w:r w:rsidRPr="00F671BE">
              <w:t>058,36</w:t>
            </w:r>
          </w:p>
        </w:tc>
        <w:tc>
          <w:tcPr>
            <w:tcW w:w="1375" w:type="dxa"/>
            <w:vAlign w:val="center"/>
          </w:tcPr>
          <w:p w:rsidR="00AD4609" w:rsidRPr="00D43755" w:rsidRDefault="00F671BE" w:rsidP="00865B60">
            <w:pPr>
              <w:ind w:right="71"/>
              <w:jc w:val="center"/>
            </w:pPr>
            <w:r w:rsidRPr="00F671BE">
              <w:t>348</w:t>
            </w:r>
            <w:r>
              <w:t xml:space="preserve"> </w:t>
            </w:r>
            <w:r w:rsidRPr="00F671BE">
              <w:t>058,36</w:t>
            </w:r>
          </w:p>
        </w:tc>
      </w:tr>
      <w:tr w:rsidR="00AD4609" w:rsidRPr="00FA5834" w:rsidTr="00C54AF0">
        <w:trPr>
          <w:jc w:val="center"/>
        </w:trPr>
        <w:tc>
          <w:tcPr>
            <w:tcW w:w="2216" w:type="dxa"/>
          </w:tcPr>
          <w:p w:rsidR="00AD4609" w:rsidRPr="00FA5834" w:rsidRDefault="00AD4609" w:rsidP="00865B60">
            <w:pPr>
              <w:ind w:right="71"/>
            </w:pPr>
            <w:r w:rsidRPr="00FA5834">
              <w:t>3.1. valsts pamatbudžets</w:t>
            </w:r>
          </w:p>
        </w:tc>
        <w:tc>
          <w:tcPr>
            <w:tcW w:w="1354" w:type="dxa"/>
            <w:shd w:val="clear" w:color="auto" w:fill="auto"/>
            <w:vAlign w:val="center"/>
          </w:tcPr>
          <w:p w:rsidR="00AD4609" w:rsidRPr="002A2FEE" w:rsidRDefault="00AD4609" w:rsidP="00865B60">
            <w:pPr>
              <w:ind w:right="71"/>
              <w:jc w:val="center"/>
            </w:pPr>
            <w:r>
              <w:t>0</w:t>
            </w:r>
          </w:p>
        </w:tc>
        <w:tc>
          <w:tcPr>
            <w:tcW w:w="1424" w:type="dxa"/>
            <w:vAlign w:val="center"/>
          </w:tcPr>
          <w:p w:rsidR="00AD4609" w:rsidRPr="002A2FEE" w:rsidRDefault="00BA0598" w:rsidP="00865B60">
            <w:pPr>
              <w:ind w:right="71"/>
              <w:jc w:val="center"/>
            </w:pPr>
            <w:r w:rsidRPr="00BA0598">
              <w:t>291 374</w:t>
            </w:r>
          </w:p>
        </w:tc>
        <w:tc>
          <w:tcPr>
            <w:tcW w:w="1423" w:type="dxa"/>
            <w:vAlign w:val="center"/>
          </w:tcPr>
          <w:p w:rsidR="00AD4609" w:rsidRPr="00D43755" w:rsidRDefault="00F671BE" w:rsidP="00865B60">
            <w:pPr>
              <w:ind w:right="71"/>
              <w:jc w:val="center"/>
            </w:pPr>
            <w:r w:rsidRPr="00F671BE">
              <w:t>348</w:t>
            </w:r>
            <w:r>
              <w:t xml:space="preserve"> </w:t>
            </w:r>
            <w:r w:rsidRPr="00F671BE">
              <w:t>058,36</w:t>
            </w:r>
          </w:p>
        </w:tc>
        <w:tc>
          <w:tcPr>
            <w:tcW w:w="1423" w:type="dxa"/>
            <w:vAlign w:val="center"/>
          </w:tcPr>
          <w:p w:rsidR="00AD4609" w:rsidRPr="00D43755" w:rsidRDefault="00F671BE" w:rsidP="00865B60">
            <w:pPr>
              <w:ind w:right="71"/>
              <w:jc w:val="center"/>
            </w:pPr>
            <w:r w:rsidRPr="00F671BE">
              <w:t>348</w:t>
            </w:r>
            <w:r>
              <w:t xml:space="preserve"> </w:t>
            </w:r>
            <w:r w:rsidRPr="00F671BE">
              <w:t>058,36</w:t>
            </w:r>
          </w:p>
        </w:tc>
        <w:tc>
          <w:tcPr>
            <w:tcW w:w="1375" w:type="dxa"/>
            <w:vAlign w:val="center"/>
          </w:tcPr>
          <w:p w:rsidR="00AD4609" w:rsidRPr="00D43755" w:rsidRDefault="00F671BE" w:rsidP="00865B60">
            <w:pPr>
              <w:ind w:right="71"/>
              <w:jc w:val="center"/>
            </w:pPr>
            <w:r w:rsidRPr="00F671BE">
              <w:t>348</w:t>
            </w:r>
            <w:r>
              <w:t xml:space="preserve"> </w:t>
            </w:r>
            <w:r w:rsidRPr="00F671BE">
              <w:t>058,36</w:t>
            </w:r>
          </w:p>
        </w:tc>
      </w:tr>
      <w:tr w:rsidR="00DC389A" w:rsidRPr="00FA5834" w:rsidTr="00C54AF0">
        <w:trPr>
          <w:jc w:val="center"/>
        </w:trPr>
        <w:tc>
          <w:tcPr>
            <w:tcW w:w="2216" w:type="dxa"/>
          </w:tcPr>
          <w:p w:rsidR="00DC389A" w:rsidRPr="00FA5834" w:rsidRDefault="00DC389A" w:rsidP="00865B60">
            <w:pPr>
              <w:ind w:right="71"/>
            </w:pPr>
            <w:r w:rsidRPr="00FA5834">
              <w:t>3.2. speciālais budžets</w:t>
            </w:r>
          </w:p>
        </w:tc>
        <w:tc>
          <w:tcPr>
            <w:tcW w:w="1354" w:type="dxa"/>
            <w:shd w:val="clear" w:color="auto" w:fill="auto"/>
            <w:vAlign w:val="center"/>
          </w:tcPr>
          <w:p w:rsidR="00DC389A" w:rsidRPr="002A2FEE" w:rsidRDefault="002A2FEE" w:rsidP="00865B60">
            <w:pPr>
              <w:ind w:right="71"/>
              <w:jc w:val="center"/>
            </w:pPr>
            <w:r>
              <w:rPr>
                <w:iCs/>
              </w:rPr>
              <w:t>0</w:t>
            </w:r>
          </w:p>
        </w:tc>
        <w:tc>
          <w:tcPr>
            <w:tcW w:w="1424" w:type="dxa"/>
            <w:vAlign w:val="center"/>
          </w:tcPr>
          <w:p w:rsidR="00DC389A" w:rsidRPr="002A2FEE" w:rsidRDefault="002A2FEE" w:rsidP="00865B60">
            <w:pPr>
              <w:ind w:right="71"/>
              <w:jc w:val="center"/>
            </w:pPr>
            <w:r>
              <w:rPr>
                <w:iCs/>
              </w:rPr>
              <w:t>0</w:t>
            </w:r>
          </w:p>
        </w:tc>
        <w:tc>
          <w:tcPr>
            <w:tcW w:w="1423" w:type="dxa"/>
            <w:vAlign w:val="center"/>
          </w:tcPr>
          <w:p w:rsidR="00DC389A" w:rsidRPr="00D43755" w:rsidRDefault="002A2FEE" w:rsidP="00865B60">
            <w:pPr>
              <w:ind w:right="71"/>
              <w:jc w:val="center"/>
            </w:pPr>
            <w:r>
              <w:rPr>
                <w:iCs/>
              </w:rPr>
              <w:t>0</w:t>
            </w:r>
          </w:p>
        </w:tc>
        <w:tc>
          <w:tcPr>
            <w:tcW w:w="1423" w:type="dxa"/>
            <w:vAlign w:val="center"/>
          </w:tcPr>
          <w:p w:rsidR="00DC389A" w:rsidRPr="00D43755" w:rsidRDefault="002A2FEE" w:rsidP="00865B60">
            <w:pPr>
              <w:ind w:right="71"/>
              <w:jc w:val="center"/>
            </w:pPr>
            <w:r>
              <w:rPr>
                <w:iCs/>
              </w:rPr>
              <w:t>0</w:t>
            </w:r>
          </w:p>
        </w:tc>
        <w:tc>
          <w:tcPr>
            <w:tcW w:w="1375" w:type="dxa"/>
            <w:vAlign w:val="center"/>
          </w:tcPr>
          <w:p w:rsidR="00DC389A" w:rsidRPr="00D43755" w:rsidRDefault="002A2FEE" w:rsidP="00865B60">
            <w:pPr>
              <w:ind w:right="71"/>
              <w:jc w:val="center"/>
            </w:pPr>
            <w:r>
              <w:rPr>
                <w:iCs/>
              </w:rPr>
              <w:t>0</w:t>
            </w:r>
          </w:p>
        </w:tc>
      </w:tr>
      <w:tr w:rsidR="00DC389A" w:rsidRPr="00FA5834" w:rsidTr="00C54AF0">
        <w:trPr>
          <w:jc w:val="center"/>
        </w:trPr>
        <w:tc>
          <w:tcPr>
            <w:tcW w:w="2216" w:type="dxa"/>
          </w:tcPr>
          <w:p w:rsidR="00DC389A" w:rsidRPr="00FA5834" w:rsidRDefault="00DC389A" w:rsidP="00865B60">
            <w:pPr>
              <w:ind w:right="71"/>
            </w:pPr>
            <w:r w:rsidRPr="00FA5834">
              <w:t xml:space="preserve">3.3. pašvaldību budžets </w:t>
            </w:r>
          </w:p>
        </w:tc>
        <w:tc>
          <w:tcPr>
            <w:tcW w:w="1354" w:type="dxa"/>
            <w:tcBorders>
              <w:bottom w:val="single" w:sz="4" w:space="0" w:color="auto"/>
            </w:tcBorders>
            <w:shd w:val="clear" w:color="auto" w:fill="auto"/>
            <w:vAlign w:val="center"/>
          </w:tcPr>
          <w:p w:rsidR="00DC389A" w:rsidRPr="002A2FEE" w:rsidRDefault="002A2FEE" w:rsidP="00865B60">
            <w:pPr>
              <w:ind w:right="71"/>
              <w:jc w:val="center"/>
            </w:pPr>
            <w:r>
              <w:rPr>
                <w:iCs/>
              </w:rPr>
              <w:t>0</w:t>
            </w:r>
          </w:p>
        </w:tc>
        <w:tc>
          <w:tcPr>
            <w:tcW w:w="1424" w:type="dxa"/>
            <w:tcBorders>
              <w:bottom w:val="single" w:sz="4" w:space="0" w:color="auto"/>
            </w:tcBorders>
            <w:vAlign w:val="center"/>
          </w:tcPr>
          <w:p w:rsidR="00DC389A" w:rsidRPr="002A2FEE" w:rsidRDefault="002A2FEE" w:rsidP="00865B60">
            <w:pPr>
              <w:ind w:right="71"/>
              <w:jc w:val="center"/>
            </w:pPr>
            <w:r>
              <w:rPr>
                <w:iCs/>
              </w:rPr>
              <w:t>0</w:t>
            </w:r>
          </w:p>
        </w:tc>
        <w:tc>
          <w:tcPr>
            <w:tcW w:w="1423" w:type="dxa"/>
            <w:tcBorders>
              <w:bottom w:val="single" w:sz="4" w:space="0" w:color="auto"/>
            </w:tcBorders>
            <w:vAlign w:val="center"/>
          </w:tcPr>
          <w:p w:rsidR="00DC389A" w:rsidRPr="00D43755" w:rsidRDefault="002A2FEE" w:rsidP="00865B60">
            <w:pPr>
              <w:ind w:right="71"/>
              <w:jc w:val="center"/>
            </w:pPr>
            <w:r>
              <w:rPr>
                <w:iCs/>
              </w:rPr>
              <w:t>0</w:t>
            </w:r>
          </w:p>
        </w:tc>
        <w:tc>
          <w:tcPr>
            <w:tcW w:w="1423" w:type="dxa"/>
            <w:tcBorders>
              <w:bottom w:val="single" w:sz="4" w:space="0" w:color="auto"/>
            </w:tcBorders>
            <w:vAlign w:val="center"/>
          </w:tcPr>
          <w:p w:rsidR="00DC389A" w:rsidRPr="00D43755" w:rsidRDefault="002A2FEE" w:rsidP="00865B60">
            <w:pPr>
              <w:ind w:right="71"/>
              <w:jc w:val="center"/>
            </w:pPr>
            <w:r>
              <w:rPr>
                <w:iCs/>
              </w:rPr>
              <w:t>0</w:t>
            </w:r>
          </w:p>
        </w:tc>
        <w:tc>
          <w:tcPr>
            <w:tcW w:w="1375" w:type="dxa"/>
            <w:tcBorders>
              <w:bottom w:val="single" w:sz="4" w:space="0" w:color="auto"/>
            </w:tcBorders>
            <w:vAlign w:val="center"/>
          </w:tcPr>
          <w:p w:rsidR="00DC389A" w:rsidRPr="00D43755" w:rsidRDefault="002A2FEE" w:rsidP="00865B60">
            <w:pPr>
              <w:ind w:right="71"/>
              <w:jc w:val="center"/>
            </w:pPr>
            <w:r>
              <w:rPr>
                <w:iCs/>
              </w:rPr>
              <w:t>0</w:t>
            </w:r>
          </w:p>
        </w:tc>
      </w:tr>
      <w:tr w:rsidR="00AD4609" w:rsidRPr="00FA5834" w:rsidTr="00C54AF0">
        <w:trPr>
          <w:jc w:val="center"/>
        </w:trPr>
        <w:tc>
          <w:tcPr>
            <w:tcW w:w="2216" w:type="dxa"/>
          </w:tcPr>
          <w:p w:rsidR="00AD4609" w:rsidRPr="00FA5834" w:rsidRDefault="00AD4609" w:rsidP="00865B60">
            <w:pPr>
              <w:ind w:right="71"/>
            </w:pPr>
            <w:r w:rsidRPr="00FA5834">
              <w:t>4. Finanšu līdzekļi papildu izde</w:t>
            </w:r>
            <w:r w:rsidRPr="00FA5834">
              <w:softHyphen/>
              <w:t>vumu finansēšanai (kompensējošu izdevumu samazinājumu norāda ar "+" zīmi)</w:t>
            </w:r>
          </w:p>
        </w:tc>
        <w:tc>
          <w:tcPr>
            <w:tcW w:w="1354" w:type="dxa"/>
            <w:tcBorders>
              <w:bottom w:val="single" w:sz="4" w:space="0" w:color="auto"/>
              <w:right w:val="single" w:sz="4" w:space="0" w:color="auto"/>
            </w:tcBorders>
            <w:vAlign w:val="center"/>
          </w:tcPr>
          <w:p w:rsidR="00AD4609" w:rsidRPr="002A2FEE" w:rsidRDefault="00AD4609" w:rsidP="00865B60">
            <w:pPr>
              <w:ind w:right="71"/>
              <w:jc w:val="center"/>
            </w:pPr>
            <w:r w:rsidRPr="002A2FEE">
              <w:t>x</w:t>
            </w:r>
          </w:p>
        </w:tc>
        <w:tc>
          <w:tcPr>
            <w:tcW w:w="1424" w:type="dxa"/>
            <w:tcBorders>
              <w:top w:val="single" w:sz="4" w:space="0" w:color="auto"/>
              <w:left w:val="single" w:sz="4" w:space="0" w:color="auto"/>
              <w:bottom w:val="single" w:sz="4" w:space="0" w:color="auto"/>
              <w:right w:val="single" w:sz="4" w:space="0" w:color="auto"/>
            </w:tcBorders>
            <w:vAlign w:val="center"/>
          </w:tcPr>
          <w:p w:rsidR="00AD4609" w:rsidRPr="002A2FEE" w:rsidRDefault="00AD4609" w:rsidP="00865B60">
            <w:pPr>
              <w:ind w:right="71"/>
              <w:jc w:val="center"/>
              <w:rPr>
                <w:highlight w:val="yellow"/>
              </w:rPr>
            </w:pPr>
            <w:r w:rsidRPr="00BD347B">
              <w:t>291 374</w:t>
            </w:r>
          </w:p>
        </w:tc>
        <w:tc>
          <w:tcPr>
            <w:tcW w:w="1423" w:type="dxa"/>
            <w:tcBorders>
              <w:top w:val="single" w:sz="4" w:space="0" w:color="auto"/>
              <w:left w:val="single" w:sz="4" w:space="0" w:color="auto"/>
              <w:bottom w:val="single" w:sz="4" w:space="0" w:color="auto"/>
              <w:right w:val="single" w:sz="4" w:space="0" w:color="auto"/>
            </w:tcBorders>
            <w:vAlign w:val="center"/>
          </w:tcPr>
          <w:p w:rsidR="00AD4609" w:rsidRPr="00F775D8" w:rsidRDefault="00F671BE" w:rsidP="00865B60">
            <w:pPr>
              <w:ind w:right="71"/>
              <w:jc w:val="center"/>
              <w:rPr>
                <w:highlight w:val="yellow"/>
              </w:rPr>
            </w:pPr>
            <w:r w:rsidRPr="00F671BE">
              <w:t>348</w:t>
            </w:r>
            <w:r>
              <w:t xml:space="preserve"> </w:t>
            </w:r>
            <w:r w:rsidRPr="00F671BE">
              <w:t>058,36</w:t>
            </w:r>
          </w:p>
        </w:tc>
        <w:tc>
          <w:tcPr>
            <w:tcW w:w="1423" w:type="dxa"/>
            <w:tcBorders>
              <w:top w:val="single" w:sz="4" w:space="0" w:color="auto"/>
              <w:left w:val="single" w:sz="4" w:space="0" w:color="auto"/>
              <w:bottom w:val="single" w:sz="4" w:space="0" w:color="auto"/>
              <w:right w:val="single" w:sz="4" w:space="0" w:color="auto"/>
            </w:tcBorders>
            <w:vAlign w:val="center"/>
          </w:tcPr>
          <w:p w:rsidR="00AD4609" w:rsidRPr="00F775D8" w:rsidRDefault="00F671BE" w:rsidP="00865B60">
            <w:pPr>
              <w:ind w:right="71"/>
              <w:jc w:val="center"/>
              <w:rPr>
                <w:highlight w:val="yellow"/>
              </w:rPr>
            </w:pPr>
            <w:r w:rsidRPr="00F671BE">
              <w:t>348</w:t>
            </w:r>
            <w:r w:rsidR="009A2C5E">
              <w:t xml:space="preserve"> </w:t>
            </w:r>
            <w:r w:rsidRPr="00F671BE">
              <w:t>058,36</w:t>
            </w:r>
          </w:p>
        </w:tc>
        <w:tc>
          <w:tcPr>
            <w:tcW w:w="1375" w:type="dxa"/>
            <w:tcBorders>
              <w:top w:val="single" w:sz="4" w:space="0" w:color="auto"/>
              <w:left w:val="single" w:sz="4" w:space="0" w:color="auto"/>
              <w:bottom w:val="single" w:sz="4" w:space="0" w:color="auto"/>
              <w:right w:val="single" w:sz="4" w:space="0" w:color="auto"/>
            </w:tcBorders>
            <w:vAlign w:val="center"/>
          </w:tcPr>
          <w:p w:rsidR="00AD4609" w:rsidRPr="001958F6" w:rsidRDefault="009A2C5E" w:rsidP="00865B60">
            <w:pPr>
              <w:ind w:right="71"/>
              <w:jc w:val="center"/>
            </w:pPr>
            <w:r w:rsidRPr="009A2C5E">
              <w:t>348058,36</w:t>
            </w:r>
          </w:p>
        </w:tc>
      </w:tr>
      <w:tr w:rsidR="00DC389A" w:rsidRPr="00FA5834" w:rsidTr="00C54AF0">
        <w:trPr>
          <w:jc w:val="center"/>
        </w:trPr>
        <w:tc>
          <w:tcPr>
            <w:tcW w:w="2216" w:type="dxa"/>
          </w:tcPr>
          <w:p w:rsidR="00DC389A" w:rsidRPr="00FA5834" w:rsidRDefault="00DC389A" w:rsidP="00865B60">
            <w:pPr>
              <w:ind w:right="71"/>
            </w:pPr>
            <w:r w:rsidRPr="00FA5834">
              <w:t>5. Precizēta finansiālā ietekme:</w:t>
            </w:r>
          </w:p>
        </w:tc>
        <w:tc>
          <w:tcPr>
            <w:tcW w:w="1354" w:type="dxa"/>
            <w:vMerge w:val="restart"/>
            <w:tcBorders>
              <w:top w:val="single" w:sz="4" w:space="0" w:color="auto"/>
            </w:tcBorders>
            <w:vAlign w:val="center"/>
          </w:tcPr>
          <w:p w:rsidR="00DC389A" w:rsidRPr="002A2FEE" w:rsidRDefault="00E21C4A" w:rsidP="00865B60">
            <w:pPr>
              <w:ind w:right="71"/>
              <w:jc w:val="center"/>
            </w:pPr>
            <w:r w:rsidRPr="002A2FEE">
              <w:rPr>
                <w:iCs/>
              </w:rPr>
              <w:t>x</w:t>
            </w:r>
          </w:p>
        </w:tc>
        <w:tc>
          <w:tcPr>
            <w:tcW w:w="1424" w:type="dxa"/>
            <w:tcBorders>
              <w:top w:val="single" w:sz="4" w:space="0" w:color="auto"/>
            </w:tcBorders>
            <w:vAlign w:val="center"/>
          </w:tcPr>
          <w:p w:rsidR="00DC389A" w:rsidRPr="002A2FEE" w:rsidRDefault="00AB3B54" w:rsidP="00865B60">
            <w:pPr>
              <w:ind w:right="71"/>
              <w:jc w:val="center"/>
            </w:pPr>
            <w:r w:rsidRPr="002A2FEE">
              <w:t>0</w:t>
            </w:r>
          </w:p>
        </w:tc>
        <w:tc>
          <w:tcPr>
            <w:tcW w:w="1423" w:type="dxa"/>
            <w:tcBorders>
              <w:top w:val="single" w:sz="4" w:space="0" w:color="auto"/>
            </w:tcBorders>
            <w:vAlign w:val="center"/>
          </w:tcPr>
          <w:p w:rsidR="00DC389A" w:rsidRPr="002A2FEE" w:rsidRDefault="00AB3B54" w:rsidP="00865B60">
            <w:pPr>
              <w:ind w:right="71"/>
              <w:jc w:val="center"/>
            </w:pPr>
            <w:r w:rsidRPr="002A2FEE">
              <w:t>0</w:t>
            </w:r>
          </w:p>
        </w:tc>
        <w:tc>
          <w:tcPr>
            <w:tcW w:w="1423" w:type="dxa"/>
            <w:tcBorders>
              <w:top w:val="single" w:sz="4" w:space="0" w:color="auto"/>
            </w:tcBorders>
            <w:vAlign w:val="center"/>
          </w:tcPr>
          <w:p w:rsidR="00DC389A" w:rsidRPr="002A2FEE" w:rsidRDefault="00AB3B54" w:rsidP="00865B60">
            <w:pPr>
              <w:ind w:right="71"/>
              <w:jc w:val="center"/>
            </w:pPr>
            <w:r w:rsidRPr="002A2FEE">
              <w:t>0</w:t>
            </w:r>
          </w:p>
        </w:tc>
        <w:tc>
          <w:tcPr>
            <w:tcW w:w="1375" w:type="dxa"/>
            <w:tcBorders>
              <w:top w:val="single" w:sz="4" w:space="0" w:color="auto"/>
            </w:tcBorders>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ind w:right="71"/>
            </w:pPr>
            <w:r w:rsidRPr="00FA5834">
              <w:t>5.1. valsts pamatbudžets</w:t>
            </w:r>
          </w:p>
        </w:tc>
        <w:tc>
          <w:tcPr>
            <w:tcW w:w="1354" w:type="dxa"/>
            <w:vMerge/>
            <w:vAlign w:val="center"/>
          </w:tcPr>
          <w:p w:rsidR="00DC389A" w:rsidRPr="002A2FEE" w:rsidRDefault="00DC389A" w:rsidP="00865B60">
            <w:pPr>
              <w:pStyle w:val="naisf"/>
              <w:spacing w:before="0" w:after="0"/>
              <w:ind w:right="71" w:firstLine="0"/>
              <w:jc w:val="center"/>
            </w:pPr>
          </w:p>
        </w:tc>
        <w:tc>
          <w:tcPr>
            <w:tcW w:w="1424" w:type="dxa"/>
            <w:vAlign w:val="center"/>
          </w:tcPr>
          <w:p w:rsidR="00DC389A" w:rsidRPr="002A2FEE" w:rsidRDefault="00AB3B54" w:rsidP="00865B60">
            <w:pPr>
              <w:ind w:right="71"/>
              <w:jc w:val="center"/>
            </w:pPr>
            <w:r w:rsidRPr="002A2FEE">
              <w:t>0</w:t>
            </w:r>
          </w:p>
        </w:tc>
        <w:tc>
          <w:tcPr>
            <w:tcW w:w="1423" w:type="dxa"/>
            <w:vAlign w:val="center"/>
          </w:tcPr>
          <w:p w:rsidR="00DC389A" w:rsidRPr="002A2FEE" w:rsidRDefault="00AB3B54" w:rsidP="00865B60">
            <w:pPr>
              <w:ind w:right="71"/>
              <w:jc w:val="center"/>
            </w:pPr>
            <w:r w:rsidRPr="002A2FEE">
              <w:t>0</w:t>
            </w:r>
          </w:p>
        </w:tc>
        <w:tc>
          <w:tcPr>
            <w:tcW w:w="1423" w:type="dxa"/>
            <w:vAlign w:val="center"/>
          </w:tcPr>
          <w:p w:rsidR="00DC389A" w:rsidRPr="002A2FEE" w:rsidRDefault="00AB3B54" w:rsidP="00865B60">
            <w:pPr>
              <w:ind w:right="71"/>
              <w:jc w:val="center"/>
            </w:pPr>
            <w:r w:rsidRPr="002A2FEE">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ind w:right="71"/>
            </w:pPr>
            <w:r w:rsidRPr="00FA5834">
              <w:t>5.2. speciālais budžets</w:t>
            </w:r>
          </w:p>
        </w:tc>
        <w:tc>
          <w:tcPr>
            <w:tcW w:w="1354" w:type="dxa"/>
            <w:vMerge/>
            <w:vAlign w:val="center"/>
          </w:tcPr>
          <w:p w:rsidR="00DC389A" w:rsidRPr="002A2FEE" w:rsidRDefault="00DC389A" w:rsidP="00865B60">
            <w:pPr>
              <w:pStyle w:val="naisf"/>
              <w:spacing w:before="0" w:after="0"/>
              <w:ind w:right="71" w:firstLine="0"/>
              <w:jc w:val="center"/>
            </w:pPr>
          </w:p>
        </w:tc>
        <w:tc>
          <w:tcPr>
            <w:tcW w:w="1424"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ind w:right="71"/>
            </w:pPr>
            <w:r w:rsidRPr="00FA5834">
              <w:t xml:space="preserve">5.3. pašvaldību budžets </w:t>
            </w:r>
          </w:p>
        </w:tc>
        <w:tc>
          <w:tcPr>
            <w:tcW w:w="1354" w:type="dxa"/>
            <w:vMerge/>
            <w:vAlign w:val="center"/>
          </w:tcPr>
          <w:p w:rsidR="00DC389A" w:rsidRPr="002A2FEE" w:rsidRDefault="00DC389A" w:rsidP="00865B60">
            <w:pPr>
              <w:pStyle w:val="naisf"/>
              <w:spacing w:before="0" w:after="0"/>
              <w:ind w:right="71" w:firstLine="0"/>
              <w:jc w:val="center"/>
            </w:pPr>
          </w:p>
        </w:tc>
        <w:tc>
          <w:tcPr>
            <w:tcW w:w="1424"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EF363F" w:rsidRPr="00FA5834" w:rsidTr="00C54AF0">
        <w:trPr>
          <w:jc w:val="center"/>
        </w:trPr>
        <w:tc>
          <w:tcPr>
            <w:tcW w:w="2216" w:type="dxa"/>
          </w:tcPr>
          <w:p w:rsidR="00EF363F" w:rsidRPr="00FA5834" w:rsidRDefault="00EF363F" w:rsidP="00865B60">
            <w:pPr>
              <w:ind w:right="71"/>
            </w:pPr>
            <w:r w:rsidRPr="00FA5834">
              <w:t>6. Detalizēts ieņēmumu un izdevu</w:t>
            </w:r>
            <w:r w:rsidRPr="00FA5834">
              <w:softHyphen/>
              <w:t xml:space="preserve">mu aprēķins </w:t>
            </w:r>
            <w:r w:rsidRPr="00FA5834">
              <w:lastRenderedPageBreak/>
              <w:t>(ja nepieciešams, detalizētu ieņēmumu un izdevumu aprēķinu var pievienot anotācijas pielikumā):</w:t>
            </w:r>
          </w:p>
        </w:tc>
        <w:tc>
          <w:tcPr>
            <w:tcW w:w="6999" w:type="dxa"/>
            <w:gridSpan w:val="5"/>
            <w:vMerge w:val="restart"/>
          </w:tcPr>
          <w:p w:rsidR="00014B7F" w:rsidRDefault="00AC6696" w:rsidP="00865B60">
            <w:pPr>
              <w:pStyle w:val="NormalWeb"/>
              <w:spacing w:before="0" w:beforeAutospacing="0" w:after="0" w:afterAutospacing="0"/>
              <w:ind w:right="71"/>
              <w:jc w:val="both"/>
            </w:pPr>
            <w:r>
              <w:lastRenderedPageBreak/>
              <w:t>N</w:t>
            </w:r>
            <w:r w:rsidR="00ED18F9">
              <w:t xml:space="preserve">av iespējams iepriekš veikt </w:t>
            </w:r>
            <w:r w:rsidR="00794C76">
              <w:t xml:space="preserve">detalizētu </w:t>
            </w:r>
            <w:r w:rsidR="00ED18F9">
              <w:t>aprēķi</w:t>
            </w:r>
            <w:r w:rsidR="00794C76">
              <w:t>nu par kompensāciju izmaksu</w:t>
            </w:r>
            <w:r w:rsidR="00ED18F9">
              <w:t xml:space="preserve"> apmēru</w:t>
            </w:r>
            <w:r w:rsidR="007A7DD2">
              <w:t xml:space="preserve">. </w:t>
            </w:r>
            <w:r>
              <w:t xml:space="preserve">Situācija ir mainīga ne tikai katra gada griezumā, bet arī sezonāli. Būtiskākos postījumus nodara migrējošās putnu </w:t>
            </w:r>
            <w:r>
              <w:lastRenderedPageBreak/>
              <w:t xml:space="preserve">sugas migrāciju laikā, ko savukārt ietekmē klimatiskie, meteoroloģiskie un daudzi citi apstākļi. Klātbūtne un attiecīgi </w:t>
            </w:r>
            <w:r w:rsidR="00A40310">
              <w:t>postījumu nodarīšana vienā konkrēt</w:t>
            </w:r>
            <w:r w:rsidR="00DB3BF2">
              <w:t>ā</w:t>
            </w:r>
            <w:r w:rsidR="00A40310">
              <w:t xml:space="preserve"> vietā var variēt no dažām dienām līdz vairākiem mēnešiem. </w:t>
            </w:r>
            <w:r>
              <w:t xml:space="preserve"> </w:t>
            </w:r>
            <w:r w:rsidR="008F5523">
              <w:t>T</w:t>
            </w:r>
            <w:r w:rsidR="00455F0D">
              <w:t xml:space="preserve">iek paredzēts, ka finansējuma apmērs </w:t>
            </w:r>
            <w:r w:rsidR="008F5523">
              <w:t xml:space="preserve">kompensāciju izmaksām </w:t>
            </w:r>
            <w:r w:rsidR="009B7A97">
              <w:t>par 2015.–</w:t>
            </w:r>
            <w:proofErr w:type="gramStart"/>
            <w:r w:rsidR="00AD4609" w:rsidRPr="00D5493C">
              <w:t>201</w:t>
            </w:r>
            <w:r w:rsidR="00AD4609">
              <w:t>8</w:t>
            </w:r>
            <w:r w:rsidR="00455F0D">
              <w:t>.gadu</w:t>
            </w:r>
            <w:proofErr w:type="gramEnd"/>
            <w:r w:rsidR="00455F0D">
              <w:t xml:space="preserve"> </w:t>
            </w:r>
            <w:r w:rsidR="008F5523">
              <w:t>būs šim mērķim</w:t>
            </w:r>
            <w:r w:rsidR="0001640E">
              <w:t xml:space="preserve"> paredzētā finansējuma ietvaros 291 374 </w:t>
            </w:r>
            <w:proofErr w:type="spellStart"/>
            <w:r w:rsidR="0001640E">
              <w:t>euro</w:t>
            </w:r>
            <w:proofErr w:type="spellEnd"/>
            <w:r w:rsidR="0001640E">
              <w:t xml:space="preserve"> apmērā.</w:t>
            </w:r>
          </w:p>
          <w:p w:rsidR="00471D66" w:rsidRPr="00471D66" w:rsidRDefault="00F54147" w:rsidP="0093084D">
            <w:pPr>
              <w:pStyle w:val="NormalWeb"/>
              <w:spacing w:before="0" w:beforeAutospacing="0" w:after="0" w:afterAutospacing="0"/>
              <w:ind w:right="71"/>
              <w:jc w:val="both"/>
              <w:rPr>
                <w:color w:val="FF0000"/>
              </w:rPr>
            </w:pPr>
            <w:r w:rsidRPr="00F54147">
              <w:rPr>
                <w:color w:val="000000"/>
              </w:rPr>
              <w:t>Dabas aizsardzības pārvaldes administratīv</w:t>
            </w:r>
            <w:r>
              <w:rPr>
                <w:color w:val="000000"/>
              </w:rPr>
              <w:t>o</w:t>
            </w:r>
            <w:r w:rsidRPr="00F54147">
              <w:rPr>
                <w:color w:val="000000"/>
              </w:rPr>
              <w:t xml:space="preserve"> izmaks</w:t>
            </w:r>
            <w:r>
              <w:rPr>
                <w:color w:val="000000"/>
              </w:rPr>
              <w:t>u</w:t>
            </w:r>
            <w:r w:rsidRPr="00F54147">
              <w:rPr>
                <w:color w:val="000000"/>
              </w:rPr>
              <w:t xml:space="preserve"> monetārs novērtējums </w:t>
            </w:r>
            <w:r>
              <w:rPr>
                <w:color w:val="000000"/>
              </w:rPr>
              <w:t>norādīts anotācijas II</w:t>
            </w:r>
            <w:r w:rsidRPr="00F54147">
              <w:rPr>
                <w:color w:val="000000"/>
              </w:rPr>
              <w:t xml:space="preserve"> sadaļas </w:t>
            </w:r>
            <w:r>
              <w:rPr>
                <w:color w:val="000000"/>
              </w:rPr>
              <w:t>3</w:t>
            </w:r>
            <w:r w:rsidRPr="00F54147">
              <w:rPr>
                <w:color w:val="000000"/>
              </w:rPr>
              <w:t>.punktā</w:t>
            </w:r>
            <w:r w:rsidR="0093084D">
              <w:rPr>
                <w:color w:val="000000"/>
              </w:rPr>
              <w:t>.</w:t>
            </w:r>
          </w:p>
        </w:tc>
      </w:tr>
      <w:tr w:rsidR="00EF363F" w:rsidRPr="00FA5834" w:rsidTr="00C54AF0">
        <w:trPr>
          <w:jc w:val="center"/>
        </w:trPr>
        <w:tc>
          <w:tcPr>
            <w:tcW w:w="2216" w:type="dxa"/>
          </w:tcPr>
          <w:p w:rsidR="00EF363F" w:rsidRPr="00FA5834" w:rsidRDefault="00EF363F" w:rsidP="00865B60">
            <w:pPr>
              <w:ind w:right="71"/>
            </w:pPr>
            <w:r w:rsidRPr="00FA5834">
              <w:lastRenderedPageBreak/>
              <w:t>6.1. detalizēts ieņēmumu aprēķins</w:t>
            </w:r>
          </w:p>
        </w:tc>
        <w:tc>
          <w:tcPr>
            <w:tcW w:w="6999" w:type="dxa"/>
            <w:gridSpan w:val="5"/>
            <w:vMerge/>
          </w:tcPr>
          <w:p w:rsidR="00EF363F" w:rsidRPr="00FA5834" w:rsidRDefault="00EF363F" w:rsidP="00865B60">
            <w:pPr>
              <w:pStyle w:val="naisf"/>
              <w:spacing w:before="0" w:after="0"/>
              <w:ind w:right="71" w:firstLine="0"/>
              <w:rPr>
                <w:b/>
                <w:i/>
              </w:rPr>
            </w:pPr>
          </w:p>
        </w:tc>
      </w:tr>
      <w:tr w:rsidR="00EF363F" w:rsidRPr="00FA5834" w:rsidTr="00C54AF0">
        <w:trPr>
          <w:jc w:val="center"/>
        </w:trPr>
        <w:tc>
          <w:tcPr>
            <w:tcW w:w="2216" w:type="dxa"/>
          </w:tcPr>
          <w:p w:rsidR="00EF363F" w:rsidRPr="00FA5834" w:rsidRDefault="00EF363F" w:rsidP="00865B60">
            <w:pPr>
              <w:ind w:right="71"/>
            </w:pPr>
            <w:r w:rsidRPr="00FA5834">
              <w:t>6.2. detalizēts izdevumu aprēķins</w:t>
            </w:r>
          </w:p>
        </w:tc>
        <w:tc>
          <w:tcPr>
            <w:tcW w:w="6999" w:type="dxa"/>
            <w:gridSpan w:val="5"/>
            <w:vMerge/>
          </w:tcPr>
          <w:p w:rsidR="00EF363F" w:rsidRPr="00FA5834" w:rsidRDefault="00EF363F" w:rsidP="00865B60">
            <w:pPr>
              <w:pStyle w:val="naisf"/>
              <w:spacing w:before="0" w:after="0"/>
              <w:ind w:right="71" w:firstLine="0"/>
              <w:rPr>
                <w:b/>
                <w:i/>
              </w:rPr>
            </w:pPr>
          </w:p>
        </w:tc>
      </w:tr>
      <w:tr w:rsidR="00EF363F" w:rsidRPr="00FA5834" w:rsidTr="00C54AF0">
        <w:trPr>
          <w:jc w:val="center"/>
        </w:trPr>
        <w:tc>
          <w:tcPr>
            <w:tcW w:w="2216" w:type="dxa"/>
          </w:tcPr>
          <w:p w:rsidR="00EF363F" w:rsidRPr="00FA5834" w:rsidRDefault="00EF363F" w:rsidP="00865B60">
            <w:pPr>
              <w:ind w:right="71"/>
            </w:pPr>
            <w:r w:rsidRPr="00FA5834">
              <w:t>7. Cita informācija</w:t>
            </w:r>
          </w:p>
        </w:tc>
        <w:tc>
          <w:tcPr>
            <w:tcW w:w="6999" w:type="dxa"/>
            <w:gridSpan w:val="5"/>
          </w:tcPr>
          <w:p w:rsidR="00BC3FA0" w:rsidRDefault="00957FFB" w:rsidP="00865B60">
            <w:pPr>
              <w:tabs>
                <w:tab w:val="left" w:pos="993"/>
                <w:tab w:val="left" w:pos="1134"/>
              </w:tabs>
              <w:jc w:val="both"/>
            </w:pPr>
            <w:r>
              <w:t xml:space="preserve">Kompensācijas par </w:t>
            </w:r>
            <w:r w:rsidRPr="00FA5834">
              <w:rPr>
                <w:color w:val="000000"/>
              </w:rPr>
              <w:t>īpaši aizsargājamo nemedījamo sugu un migrējošo sugu dzīvnieku nodarītajiem būtiskiem postījumiem</w:t>
            </w:r>
            <w:r>
              <w:rPr>
                <w:color w:val="000000"/>
              </w:rPr>
              <w:t xml:space="preserve"> paredzēts izmaksāt no </w:t>
            </w:r>
            <w:r>
              <w:t>Dabas aizsardzības pārvaldes līdzekļiem, kas paredzēti kompensāciju izmaksai par saimnieciskās darbības ierobežojumiem īpaši aizsargājamās dabas teritorijās un mikroliegumos 2015.–</w:t>
            </w:r>
            <w:proofErr w:type="gramStart"/>
            <w:r w:rsidR="00AD4609">
              <w:t>2018</w:t>
            </w:r>
            <w:r>
              <w:t>.</w:t>
            </w:r>
            <w:r w:rsidRPr="00511E37">
              <w:t>gada</w:t>
            </w:r>
            <w:r>
              <w:t>m</w:t>
            </w:r>
            <w:proofErr w:type="gramEnd"/>
            <w:r>
              <w:t xml:space="preserve">. </w:t>
            </w:r>
            <w:r w:rsidR="00050566">
              <w:t xml:space="preserve">Šo kompensāciju izmaksām, saskaņā ar likumu </w:t>
            </w:r>
            <w:r w:rsidR="00BC3FA0">
              <w:t>Par kompensāciju par saimnieciskās darbības ierobežojumiem aizsargājamās teritorijās,</w:t>
            </w:r>
            <w:r w:rsidR="00050566">
              <w:t xml:space="preserve"> </w:t>
            </w:r>
            <w:r>
              <w:t xml:space="preserve">ir pieejami 658 605 </w:t>
            </w:r>
            <w:proofErr w:type="spellStart"/>
            <w:r w:rsidRPr="00F11B1C">
              <w:rPr>
                <w:i/>
              </w:rPr>
              <w:t>euro</w:t>
            </w:r>
            <w:proofErr w:type="spellEnd"/>
            <w:r>
              <w:t xml:space="preserve"> katru gadu</w:t>
            </w:r>
            <w:r w:rsidR="00050566">
              <w:t xml:space="preserve">. </w:t>
            </w:r>
          </w:p>
          <w:p w:rsidR="00957FFB" w:rsidRDefault="00BC3FA0" w:rsidP="00865B60">
            <w:pPr>
              <w:tabs>
                <w:tab w:val="left" w:pos="993"/>
                <w:tab w:val="left" w:pos="1134"/>
              </w:tabs>
              <w:jc w:val="both"/>
            </w:pPr>
            <w:proofErr w:type="gramStart"/>
            <w:r>
              <w:t>Ņemot vērā iepriekšējo</w:t>
            </w:r>
            <w:proofErr w:type="gramEnd"/>
            <w:r>
              <w:t xml:space="preserve"> gadu pieredzi, kad kompensāciju </w:t>
            </w:r>
            <w:r w:rsidR="00957FFB">
              <w:t xml:space="preserve">izmaksai nepieciešamais līdzekļu apjoms indikatīvi ir </w:t>
            </w:r>
            <w:r>
              <w:t xml:space="preserve">bijis </w:t>
            </w:r>
            <w:r w:rsidR="00957FFB">
              <w:t xml:space="preserve">367 231 </w:t>
            </w:r>
            <w:proofErr w:type="spellStart"/>
            <w:r w:rsidR="00957FFB" w:rsidRPr="00F11B1C">
              <w:rPr>
                <w:i/>
              </w:rPr>
              <w:t>euro</w:t>
            </w:r>
            <w:proofErr w:type="spellEnd"/>
            <w:r w:rsidR="00957FFB">
              <w:t xml:space="preserve"> katru gadu</w:t>
            </w:r>
            <w:r>
              <w:t xml:space="preserve">, </w:t>
            </w:r>
            <w:r w:rsidR="00957FFB">
              <w:t xml:space="preserve">pārpalikumu, kas </w:t>
            </w:r>
            <w:r w:rsidR="00014B7F">
              <w:t xml:space="preserve">ir </w:t>
            </w:r>
            <w:r w:rsidR="00957FFB">
              <w:t xml:space="preserve">291 374 </w:t>
            </w:r>
            <w:proofErr w:type="spellStart"/>
            <w:r w:rsidR="00957FFB" w:rsidRPr="00F11B1C">
              <w:rPr>
                <w:i/>
              </w:rPr>
              <w:t>euro</w:t>
            </w:r>
            <w:proofErr w:type="spellEnd"/>
            <w:r>
              <w:t xml:space="preserve"> apmērā katru gadu, </w:t>
            </w:r>
            <w:r w:rsidR="00957FFB">
              <w:t xml:space="preserve">pārdalīt kompensācijām par </w:t>
            </w:r>
            <w:r w:rsidR="00957FFB" w:rsidRPr="00FA5834">
              <w:rPr>
                <w:color w:val="000000"/>
              </w:rPr>
              <w:t>īpaši aizsargājamo nemedījamo sugu un migrējošo sugu dzīvnieku nodarītajiem būtiskiem postījumiem</w:t>
            </w:r>
            <w:r w:rsidR="00014B7F">
              <w:rPr>
                <w:color w:val="000000"/>
              </w:rPr>
              <w:t xml:space="preserve">, tādējādi </w:t>
            </w:r>
            <w:r w:rsidR="00DC0393">
              <w:rPr>
                <w:color w:val="000000"/>
              </w:rPr>
              <w:t xml:space="preserve">kompensāciju izmaksai </w:t>
            </w:r>
            <w:r w:rsidR="00014B7F">
              <w:rPr>
                <w:color w:val="000000"/>
              </w:rPr>
              <w:t xml:space="preserve">neprasot </w:t>
            </w:r>
            <w:r w:rsidR="00AD5382">
              <w:rPr>
                <w:color w:val="000000"/>
              </w:rPr>
              <w:t xml:space="preserve">papildus </w:t>
            </w:r>
            <w:r w:rsidR="00014B7F">
              <w:rPr>
                <w:color w:val="000000"/>
              </w:rPr>
              <w:t xml:space="preserve">atsevišķus līdzekļus no valsts budžeta. </w:t>
            </w:r>
          </w:p>
          <w:p w:rsidR="00EF363F" w:rsidRPr="00FA5834" w:rsidRDefault="00DC0393" w:rsidP="0093084D">
            <w:pPr>
              <w:pStyle w:val="naisf"/>
              <w:tabs>
                <w:tab w:val="left" w:pos="4644"/>
              </w:tabs>
              <w:spacing w:before="0" w:after="0"/>
              <w:ind w:right="71" w:firstLine="0"/>
            </w:pPr>
            <w:r>
              <w:t xml:space="preserve">Papildus valsts budžeta līdzekļi ir nepieciešami </w:t>
            </w:r>
            <w:r w:rsidRPr="00DC0393">
              <w:t>Dabas aizsardzības pārvalde</w:t>
            </w:r>
            <w:r>
              <w:t>i</w:t>
            </w:r>
            <w:r w:rsidRPr="00DC0393">
              <w:t xml:space="preserve"> administratīvo izmaksu </w:t>
            </w:r>
            <w:r>
              <w:t>segšanai</w:t>
            </w:r>
            <w:r w:rsidR="009A2C5E">
              <w:t xml:space="preserve"> </w:t>
            </w:r>
            <w:r w:rsidR="00F671BE" w:rsidRPr="00F671BE">
              <w:t>56 684,36</w:t>
            </w:r>
            <w:proofErr w:type="gramStart"/>
            <w:r w:rsidR="00F671BE" w:rsidRPr="00F671BE">
              <w:t xml:space="preserve"> </w:t>
            </w:r>
            <w:r w:rsidR="00CE54F5">
              <w:t xml:space="preserve"> </w:t>
            </w:r>
            <w:proofErr w:type="spellStart"/>
            <w:proofErr w:type="gramEnd"/>
            <w:r w:rsidR="00CE54F5" w:rsidRPr="00CE54F5">
              <w:rPr>
                <w:i/>
              </w:rPr>
              <w:t>euro</w:t>
            </w:r>
            <w:proofErr w:type="spellEnd"/>
            <w:r w:rsidR="00CE54F5">
              <w:t xml:space="preserve"> apmērā</w:t>
            </w:r>
            <w:r w:rsidR="00857112">
              <w:t xml:space="preserve"> katru gadu</w:t>
            </w:r>
            <w:r>
              <w:t>.</w:t>
            </w:r>
          </w:p>
        </w:tc>
      </w:tr>
    </w:tbl>
    <w:p w:rsidR="00DC389A" w:rsidRPr="00FA5834" w:rsidRDefault="00DC389A" w:rsidP="00865B60">
      <w:pPr>
        <w:pStyle w:val="naisf"/>
        <w:spacing w:before="0" w:after="0"/>
        <w:ind w:right="71"/>
        <w:rPr>
          <w:i/>
        </w:rPr>
      </w:pPr>
    </w:p>
    <w:p w:rsidR="00DC389A" w:rsidRPr="00FA5834" w:rsidRDefault="00DC389A" w:rsidP="00865B60">
      <w:pPr>
        <w:pStyle w:val="naisf"/>
        <w:spacing w:before="0" w:after="0"/>
        <w:ind w:right="71"/>
      </w:pPr>
    </w:p>
    <w:tbl>
      <w:tblPr>
        <w:tblW w:w="9214" w:type="dxa"/>
        <w:tblInd w:w="-5" w:type="dxa"/>
        <w:tblLook w:val="01E0" w:firstRow="1" w:lastRow="1" w:firstColumn="1" w:lastColumn="1" w:noHBand="0" w:noVBand="0"/>
      </w:tblPr>
      <w:tblGrid>
        <w:gridCol w:w="930"/>
        <w:gridCol w:w="2155"/>
        <w:gridCol w:w="6129"/>
      </w:tblGrid>
      <w:tr w:rsidR="00DC389A" w:rsidRPr="00FA5834" w:rsidTr="00225A41">
        <w:trPr>
          <w:trHeight w:val="652"/>
        </w:trPr>
        <w:tc>
          <w:tcPr>
            <w:tcW w:w="9214" w:type="dxa"/>
            <w:gridSpan w:val="3"/>
            <w:tcBorders>
              <w:top w:val="single" w:sz="4" w:space="0" w:color="auto"/>
              <w:left w:val="single" w:sz="4" w:space="0" w:color="auto"/>
              <w:bottom w:val="single" w:sz="4" w:space="0" w:color="auto"/>
              <w:right w:val="single" w:sz="4" w:space="0" w:color="auto"/>
            </w:tcBorders>
          </w:tcPr>
          <w:p w:rsidR="00DC389A" w:rsidRPr="00FA5834" w:rsidRDefault="00DC389A" w:rsidP="00865B60">
            <w:pPr>
              <w:pStyle w:val="naisnod"/>
              <w:tabs>
                <w:tab w:val="left" w:pos="8892"/>
              </w:tabs>
              <w:spacing w:before="0" w:after="0"/>
              <w:ind w:right="71"/>
            </w:pPr>
            <w:r w:rsidRPr="00FA5834">
              <w:t>IV. Tiesību akta projekta ietekme uz spēkā esošo tiesību normu sistēmu</w:t>
            </w:r>
          </w:p>
        </w:tc>
      </w:tr>
      <w:tr w:rsidR="00DC389A" w:rsidRPr="00FA5834" w:rsidTr="00225A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0" w:type="dxa"/>
          </w:tcPr>
          <w:p w:rsidR="00DC389A" w:rsidRPr="00FA5834" w:rsidRDefault="00DC389A" w:rsidP="00865B60">
            <w:pPr>
              <w:pStyle w:val="naiskr"/>
              <w:tabs>
                <w:tab w:val="left" w:pos="2628"/>
              </w:tabs>
              <w:spacing w:before="0" w:after="0"/>
              <w:ind w:right="71"/>
              <w:jc w:val="both"/>
              <w:rPr>
                <w:iCs/>
              </w:rPr>
            </w:pPr>
            <w:r w:rsidRPr="00FA5834">
              <w:rPr>
                <w:iCs/>
              </w:rPr>
              <w:t>1.</w:t>
            </w:r>
          </w:p>
        </w:tc>
        <w:tc>
          <w:tcPr>
            <w:tcW w:w="2155" w:type="dxa"/>
          </w:tcPr>
          <w:p w:rsidR="00DC389A" w:rsidRPr="00FA5834" w:rsidRDefault="00E83EA0" w:rsidP="00865B60">
            <w:pPr>
              <w:pStyle w:val="naiskr"/>
              <w:tabs>
                <w:tab w:val="left" w:pos="2628"/>
              </w:tabs>
              <w:spacing w:before="0" w:after="0"/>
              <w:ind w:right="71"/>
              <w:jc w:val="both"/>
              <w:rPr>
                <w:iCs/>
              </w:rPr>
            </w:pPr>
            <w:r>
              <w:t>Nepieciešamie saistītie tiesību aktu projekti</w:t>
            </w:r>
          </w:p>
        </w:tc>
        <w:tc>
          <w:tcPr>
            <w:tcW w:w="6129" w:type="dxa"/>
          </w:tcPr>
          <w:p w:rsidR="00DC389A" w:rsidRPr="00FA5834" w:rsidRDefault="00A40310" w:rsidP="00865B60">
            <w:pPr>
              <w:pStyle w:val="NormalWeb"/>
              <w:spacing w:before="0" w:beforeAutospacing="0" w:after="0" w:afterAutospacing="0"/>
              <w:ind w:right="71"/>
              <w:jc w:val="both"/>
              <w:rPr>
                <w:iCs/>
              </w:rPr>
            </w:pPr>
            <w:r>
              <w:rPr>
                <w:iCs/>
              </w:rPr>
              <w:t>Nav nepieciešams</w:t>
            </w:r>
          </w:p>
        </w:tc>
      </w:tr>
      <w:tr w:rsidR="00DC389A" w:rsidRPr="00FA5834" w:rsidTr="00225A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0" w:type="dxa"/>
          </w:tcPr>
          <w:p w:rsidR="00DC389A" w:rsidRPr="00FA5834" w:rsidRDefault="00DC389A" w:rsidP="00865B60">
            <w:pPr>
              <w:pStyle w:val="naiskr"/>
              <w:tabs>
                <w:tab w:val="left" w:pos="2628"/>
              </w:tabs>
              <w:spacing w:before="0" w:after="0"/>
              <w:ind w:right="71"/>
              <w:jc w:val="both"/>
              <w:rPr>
                <w:iCs/>
              </w:rPr>
            </w:pPr>
            <w:r w:rsidRPr="00FA5834">
              <w:rPr>
                <w:iCs/>
              </w:rPr>
              <w:t>2.</w:t>
            </w:r>
          </w:p>
        </w:tc>
        <w:tc>
          <w:tcPr>
            <w:tcW w:w="2155" w:type="dxa"/>
          </w:tcPr>
          <w:p w:rsidR="00DC389A" w:rsidRPr="00FA5834" w:rsidRDefault="00E83EA0" w:rsidP="00865B60">
            <w:pPr>
              <w:pStyle w:val="naiskr"/>
              <w:tabs>
                <w:tab w:val="left" w:pos="2628"/>
              </w:tabs>
              <w:spacing w:before="0" w:after="0"/>
              <w:ind w:right="71"/>
              <w:jc w:val="both"/>
              <w:rPr>
                <w:iCs/>
              </w:rPr>
            </w:pPr>
            <w:r>
              <w:rPr>
                <w:iCs/>
              </w:rPr>
              <w:t>Atbildīgā institūcija</w:t>
            </w:r>
          </w:p>
        </w:tc>
        <w:tc>
          <w:tcPr>
            <w:tcW w:w="6129" w:type="dxa"/>
          </w:tcPr>
          <w:p w:rsidR="00DC389A" w:rsidRPr="00FA5834" w:rsidRDefault="005B4046" w:rsidP="00865B60">
            <w:pPr>
              <w:pStyle w:val="naiskr"/>
              <w:tabs>
                <w:tab w:val="left" w:pos="2628"/>
              </w:tabs>
              <w:spacing w:before="0" w:after="0"/>
              <w:ind w:right="71"/>
              <w:jc w:val="both"/>
              <w:rPr>
                <w:iCs/>
              </w:rPr>
            </w:pPr>
            <w:r>
              <w:rPr>
                <w:iCs/>
              </w:rPr>
              <w:t>Projekts šo jomu neskar.</w:t>
            </w:r>
          </w:p>
        </w:tc>
      </w:tr>
      <w:tr w:rsidR="00E83EA0" w:rsidRPr="00FA5834" w:rsidTr="00225A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0" w:type="dxa"/>
          </w:tcPr>
          <w:p w:rsidR="00E83EA0" w:rsidRPr="00FA5834" w:rsidRDefault="00E83EA0" w:rsidP="00865B60">
            <w:pPr>
              <w:pStyle w:val="naiskr"/>
              <w:tabs>
                <w:tab w:val="left" w:pos="2628"/>
              </w:tabs>
              <w:spacing w:before="0" w:after="0"/>
              <w:ind w:right="71"/>
              <w:jc w:val="both"/>
              <w:rPr>
                <w:iCs/>
              </w:rPr>
            </w:pPr>
            <w:r>
              <w:rPr>
                <w:iCs/>
              </w:rPr>
              <w:t>3.</w:t>
            </w:r>
          </w:p>
        </w:tc>
        <w:tc>
          <w:tcPr>
            <w:tcW w:w="2155" w:type="dxa"/>
          </w:tcPr>
          <w:p w:rsidR="00E83EA0" w:rsidRPr="00FA5834" w:rsidRDefault="00E83EA0" w:rsidP="00865B60">
            <w:pPr>
              <w:pStyle w:val="naiskr"/>
              <w:tabs>
                <w:tab w:val="left" w:pos="2628"/>
              </w:tabs>
              <w:spacing w:before="0" w:after="0"/>
              <w:ind w:right="71"/>
              <w:jc w:val="both"/>
              <w:rPr>
                <w:iCs/>
              </w:rPr>
            </w:pPr>
            <w:r w:rsidRPr="00FA5834">
              <w:t>Cita informācija</w:t>
            </w:r>
          </w:p>
        </w:tc>
        <w:tc>
          <w:tcPr>
            <w:tcW w:w="6129" w:type="dxa"/>
          </w:tcPr>
          <w:p w:rsidR="00E83EA0" w:rsidRPr="00C31EC2" w:rsidRDefault="00A80C80" w:rsidP="00865B60">
            <w:pPr>
              <w:jc w:val="both"/>
              <w:rPr>
                <w:color w:val="000000"/>
              </w:rPr>
            </w:pPr>
            <w:r>
              <w:rPr>
                <w:color w:val="000000"/>
              </w:rPr>
              <w:t>Nav</w:t>
            </w:r>
          </w:p>
        </w:tc>
      </w:tr>
    </w:tbl>
    <w:p w:rsidR="00DC389A" w:rsidRPr="00FA5834" w:rsidRDefault="00DC389A" w:rsidP="00865B60">
      <w:pPr>
        <w:pStyle w:val="naisf"/>
        <w:spacing w:before="0" w:after="0"/>
        <w:ind w:right="71"/>
      </w:pPr>
    </w:p>
    <w:p w:rsidR="00DC389A" w:rsidRPr="00FA5834" w:rsidRDefault="00DC389A" w:rsidP="00865B60">
      <w:pPr>
        <w:pStyle w:val="naisf"/>
        <w:spacing w:before="0" w:after="0"/>
        <w:ind w:right="71"/>
      </w:pPr>
    </w:p>
    <w:p w:rsidR="00EF363F" w:rsidRPr="00FA5834" w:rsidRDefault="00EF363F" w:rsidP="00865B60">
      <w:pPr>
        <w:pStyle w:val="naisf"/>
        <w:spacing w:before="0" w:after="0"/>
        <w:ind w:right="71" w:firstLine="0"/>
        <w:rPr>
          <w:b/>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4"/>
        <w:gridCol w:w="4148"/>
        <w:gridCol w:w="4494"/>
      </w:tblGrid>
      <w:tr w:rsidR="00647E32" w:rsidRPr="00FA5834" w:rsidTr="00225A41">
        <w:trPr>
          <w:jc w:val="center"/>
        </w:trPr>
        <w:tc>
          <w:tcPr>
            <w:tcW w:w="9176" w:type="dxa"/>
            <w:gridSpan w:val="3"/>
          </w:tcPr>
          <w:p w:rsidR="00647E32" w:rsidRPr="00FA5834" w:rsidRDefault="00647E32" w:rsidP="00865B60">
            <w:pPr>
              <w:pStyle w:val="naisnod"/>
              <w:spacing w:before="0" w:after="0"/>
              <w:ind w:right="71"/>
            </w:pPr>
            <w:r w:rsidRPr="00FA5834">
              <w:t>VI. Sabiedrības līdzdalība un šīs līdzdalības rezultāti</w:t>
            </w:r>
          </w:p>
        </w:tc>
      </w:tr>
      <w:tr w:rsidR="00647E32" w:rsidRPr="00FA5834" w:rsidTr="00225A41">
        <w:trPr>
          <w:trHeight w:val="553"/>
          <w:jc w:val="center"/>
        </w:trPr>
        <w:tc>
          <w:tcPr>
            <w:tcW w:w="534" w:type="dxa"/>
          </w:tcPr>
          <w:p w:rsidR="00647E32" w:rsidRPr="00FA5834" w:rsidRDefault="00647E32" w:rsidP="00865B60">
            <w:pPr>
              <w:pStyle w:val="naiskr"/>
              <w:spacing w:before="0" w:after="0"/>
              <w:ind w:right="71"/>
              <w:rPr>
                <w:bCs/>
              </w:rPr>
            </w:pPr>
            <w:r w:rsidRPr="00FA5834">
              <w:rPr>
                <w:bCs/>
              </w:rPr>
              <w:t>1.</w:t>
            </w:r>
          </w:p>
        </w:tc>
        <w:tc>
          <w:tcPr>
            <w:tcW w:w="4148" w:type="dxa"/>
          </w:tcPr>
          <w:p w:rsidR="00647E32" w:rsidRPr="00FA5834" w:rsidRDefault="006E3F2A" w:rsidP="00865B60">
            <w:pPr>
              <w:pStyle w:val="naiskr"/>
              <w:tabs>
                <w:tab w:val="left" w:pos="170"/>
              </w:tabs>
              <w:spacing w:before="0" w:after="0"/>
              <w:ind w:right="71"/>
            </w:pPr>
            <w:r>
              <w:t>Plānotās sabiedrības līdzdalības un komunikācijas aktivitātes saistībā ar projektu</w:t>
            </w:r>
          </w:p>
        </w:tc>
        <w:tc>
          <w:tcPr>
            <w:tcW w:w="4494" w:type="dxa"/>
          </w:tcPr>
          <w:p w:rsidR="00076958" w:rsidRDefault="00076958" w:rsidP="00076958">
            <w:pPr>
              <w:ind w:left="57" w:right="57"/>
              <w:jc w:val="both"/>
            </w:pPr>
            <w:r w:rsidRPr="00F42059">
              <w:t xml:space="preserve">Saskaņā ar Ministru kabineta </w:t>
            </w:r>
            <w:proofErr w:type="gramStart"/>
            <w:r w:rsidRPr="00F42059">
              <w:t>2009.gada</w:t>
            </w:r>
            <w:proofErr w:type="gramEnd"/>
            <w:r w:rsidRPr="00F42059">
              <w:t xml:space="preserve"> 25.augusta noteikumu Nr.970 „Sabiedrības līdzdalības kārtība attīstības plānošanas </w:t>
            </w:r>
            <w:r w:rsidRPr="00F42059">
              <w:lastRenderedPageBreak/>
              <w:t>procesā” 7.4.</w:t>
            </w:r>
            <w:r w:rsidRPr="00F42059">
              <w:rPr>
                <w:vertAlign w:val="superscript"/>
              </w:rPr>
              <w:t>1</w:t>
            </w:r>
            <w:r w:rsidRPr="00F42059">
              <w:t>apakšpunktu sabiedrības pārstāvji ir aicināti līdzdarboties, rakstiski sniedzot viedokli par noteikumu projektu tā izstrādes stadijā. Sabiedrības pārstāvji ir informēti par iespēju līdzdarboties, publicējot paziņoju</w:t>
            </w:r>
            <w:r>
              <w:t>mu par līdzdalības procesu ministrijas</w:t>
            </w:r>
            <w:r w:rsidRPr="00F42059">
              <w:t xml:space="preserve"> tīmekļa vietnē.</w:t>
            </w:r>
          </w:p>
          <w:p w:rsidR="00647E32" w:rsidRPr="00FA5834" w:rsidRDefault="00647E32" w:rsidP="00442C4B">
            <w:pPr>
              <w:jc w:val="both"/>
            </w:pPr>
          </w:p>
        </w:tc>
      </w:tr>
      <w:tr w:rsidR="00647E32" w:rsidRPr="00FA5834" w:rsidTr="00225A41">
        <w:trPr>
          <w:trHeight w:val="339"/>
          <w:jc w:val="center"/>
        </w:trPr>
        <w:tc>
          <w:tcPr>
            <w:tcW w:w="534" w:type="dxa"/>
          </w:tcPr>
          <w:p w:rsidR="00647E32" w:rsidRPr="00FA5834" w:rsidRDefault="00647E32" w:rsidP="00865B60">
            <w:pPr>
              <w:pStyle w:val="naiskr"/>
              <w:spacing w:before="0" w:after="0"/>
              <w:ind w:right="71"/>
              <w:rPr>
                <w:bCs/>
              </w:rPr>
            </w:pPr>
            <w:r w:rsidRPr="00FA5834">
              <w:rPr>
                <w:bCs/>
              </w:rPr>
              <w:lastRenderedPageBreak/>
              <w:t>2.</w:t>
            </w:r>
          </w:p>
        </w:tc>
        <w:tc>
          <w:tcPr>
            <w:tcW w:w="4148" w:type="dxa"/>
          </w:tcPr>
          <w:p w:rsidR="00647E32" w:rsidRPr="00FA5834" w:rsidRDefault="00647E32" w:rsidP="00865B60">
            <w:pPr>
              <w:pStyle w:val="naiskr"/>
              <w:spacing w:before="0" w:after="0"/>
              <w:ind w:right="71"/>
            </w:pPr>
            <w:r w:rsidRPr="00FA5834">
              <w:t xml:space="preserve">Sabiedrības līdzdalība projekta izstrādē </w:t>
            </w:r>
          </w:p>
        </w:tc>
        <w:tc>
          <w:tcPr>
            <w:tcW w:w="4494" w:type="dxa"/>
          </w:tcPr>
          <w:p w:rsidR="00076958" w:rsidRDefault="00076958" w:rsidP="00076958">
            <w:pPr>
              <w:ind w:right="88"/>
              <w:jc w:val="both"/>
            </w:pPr>
            <w:r w:rsidRPr="00623CA6">
              <w:t xml:space="preserve">Noteikumu projekts </w:t>
            </w:r>
            <w:proofErr w:type="gramStart"/>
            <w:r w:rsidRPr="00D74D0A">
              <w:t>2015.gada</w:t>
            </w:r>
            <w:proofErr w:type="gramEnd"/>
            <w:r w:rsidRPr="00D74D0A">
              <w:t xml:space="preserve"> </w:t>
            </w:r>
            <w:r w:rsidR="00442C4B">
              <w:t xml:space="preserve">28.oktobrī </w:t>
            </w:r>
            <w:r>
              <w:t>.....</w:t>
            </w:r>
            <w:r w:rsidRPr="00623CA6">
              <w:t xml:space="preserve"> </w:t>
            </w:r>
            <w:r>
              <w:t>ievietots ministrijas</w:t>
            </w:r>
            <w:r w:rsidRPr="00623CA6">
              <w:t xml:space="preserve"> publiskā tīmekļa vietnē</w:t>
            </w:r>
            <w:r>
              <w:t>:</w:t>
            </w:r>
          </w:p>
          <w:p w:rsidR="00647E32" w:rsidRPr="00FA5834" w:rsidRDefault="004B4BA3" w:rsidP="00076958">
            <w:pPr>
              <w:pStyle w:val="naiskr"/>
              <w:spacing w:before="0" w:after="0"/>
              <w:ind w:right="71"/>
              <w:jc w:val="both"/>
            </w:pPr>
            <w:hyperlink r:id="rId9" w:history="1">
              <w:r w:rsidR="00076958" w:rsidRPr="00AC3E88">
                <w:rPr>
                  <w:rStyle w:val="Hyperlink"/>
                </w:rPr>
                <w:t>www.varam.gov.lv</w:t>
              </w:r>
            </w:hyperlink>
            <w:proofErr w:type="gramStart"/>
            <w:r w:rsidR="00076958">
              <w:t xml:space="preserve">  </w:t>
            </w:r>
            <w:proofErr w:type="gramEnd"/>
          </w:p>
        </w:tc>
      </w:tr>
      <w:tr w:rsidR="00647E32" w:rsidRPr="00FA5834" w:rsidTr="00225A41">
        <w:trPr>
          <w:trHeight w:val="375"/>
          <w:jc w:val="center"/>
        </w:trPr>
        <w:tc>
          <w:tcPr>
            <w:tcW w:w="534" w:type="dxa"/>
          </w:tcPr>
          <w:p w:rsidR="00647E32" w:rsidRPr="00FA5834" w:rsidRDefault="00647E32" w:rsidP="00865B60">
            <w:pPr>
              <w:pStyle w:val="naiskr"/>
              <w:spacing w:before="0" w:after="0"/>
              <w:ind w:right="71"/>
              <w:rPr>
                <w:bCs/>
              </w:rPr>
            </w:pPr>
            <w:r w:rsidRPr="00FA5834">
              <w:rPr>
                <w:bCs/>
              </w:rPr>
              <w:t>3.</w:t>
            </w:r>
          </w:p>
        </w:tc>
        <w:tc>
          <w:tcPr>
            <w:tcW w:w="4148" w:type="dxa"/>
          </w:tcPr>
          <w:p w:rsidR="00647E32" w:rsidRPr="00FA5834" w:rsidRDefault="00647E32" w:rsidP="00865B60">
            <w:pPr>
              <w:pStyle w:val="naiskr"/>
              <w:spacing w:before="0" w:after="0"/>
              <w:ind w:right="71"/>
            </w:pPr>
            <w:r w:rsidRPr="00FA5834">
              <w:t xml:space="preserve">Sabiedrības līdzdalības rezultāti </w:t>
            </w:r>
          </w:p>
        </w:tc>
        <w:tc>
          <w:tcPr>
            <w:tcW w:w="4494" w:type="dxa"/>
          </w:tcPr>
          <w:p w:rsidR="00647E32" w:rsidRPr="00FA5834" w:rsidRDefault="00076958" w:rsidP="00865B60">
            <w:pPr>
              <w:pStyle w:val="naiskr"/>
              <w:spacing w:before="0" w:after="0"/>
              <w:ind w:right="71"/>
              <w:jc w:val="both"/>
            </w:pPr>
            <w:r w:rsidRPr="00623CA6">
              <w:t>Sadaļa tiks precizēta pēc sabiedrības viedokļu saņemšanas.</w:t>
            </w:r>
          </w:p>
        </w:tc>
      </w:tr>
      <w:tr w:rsidR="00647E32" w:rsidRPr="00FA5834" w:rsidTr="00225A41">
        <w:trPr>
          <w:trHeight w:val="476"/>
          <w:jc w:val="center"/>
        </w:trPr>
        <w:tc>
          <w:tcPr>
            <w:tcW w:w="534" w:type="dxa"/>
          </w:tcPr>
          <w:p w:rsidR="00647E32" w:rsidRPr="00FA5834" w:rsidRDefault="006E3F2A" w:rsidP="00865B60">
            <w:pPr>
              <w:pStyle w:val="naiskr"/>
              <w:spacing w:before="0" w:after="0"/>
              <w:ind w:right="71"/>
              <w:rPr>
                <w:bCs/>
              </w:rPr>
            </w:pPr>
            <w:r>
              <w:rPr>
                <w:bCs/>
              </w:rPr>
              <w:t>4</w:t>
            </w:r>
            <w:r w:rsidR="00647E32" w:rsidRPr="00FA5834">
              <w:rPr>
                <w:bCs/>
              </w:rPr>
              <w:t>.</w:t>
            </w:r>
          </w:p>
        </w:tc>
        <w:tc>
          <w:tcPr>
            <w:tcW w:w="4148" w:type="dxa"/>
          </w:tcPr>
          <w:p w:rsidR="00647E32" w:rsidRPr="00FA5834" w:rsidRDefault="00647E32" w:rsidP="00865B60">
            <w:pPr>
              <w:pStyle w:val="naiskr"/>
              <w:spacing w:before="0" w:after="0"/>
              <w:ind w:right="71"/>
            </w:pPr>
            <w:r w:rsidRPr="00FA5834">
              <w:t>Cita informācija</w:t>
            </w:r>
          </w:p>
          <w:p w:rsidR="00647E32" w:rsidRPr="00FA5834" w:rsidRDefault="00647E32" w:rsidP="00865B60">
            <w:pPr>
              <w:pStyle w:val="naiskr"/>
              <w:spacing w:before="0" w:after="0"/>
              <w:ind w:right="71"/>
            </w:pPr>
          </w:p>
        </w:tc>
        <w:tc>
          <w:tcPr>
            <w:tcW w:w="4494" w:type="dxa"/>
          </w:tcPr>
          <w:p w:rsidR="00647E32" w:rsidRPr="00FA5834" w:rsidRDefault="00647E32" w:rsidP="00865B60">
            <w:pPr>
              <w:pStyle w:val="naiskr"/>
              <w:spacing w:before="0" w:after="0"/>
              <w:ind w:right="71"/>
              <w:jc w:val="both"/>
            </w:pPr>
            <w:r w:rsidRPr="00FA5834">
              <w:t>Nav</w:t>
            </w:r>
          </w:p>
        </w:tc>
      </w:tr>
    </w:tbl>
    <w:p w:rsidR="00647E32" w:rsidRPr="00FA5834" w:rsidRDefault="00647E32" w:rsidP="00865B60">
      <w:pPr>
        <w:pStyle w:val="naisf"/>
        <w:spacing w:before="0" w:after="0"/>
        <w:ind w:right="71"/>
      </w:pP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0"/>
        <w:gridCol w:w="3757"/>
        <w:gridCol w:w="4883"/>
      </w:tblGrid>
      <w:tr w:rsidR="00647E32" w:rsidRPr="00FA5834" w:rsidTr="00E62B66">
        <w:tc>
          <w:tcPr>
            <w:tcW w:w="9180" w:type="dxa"/>
            <w:gridSpan w:val="3"/>
            <w:tcBorders>
              <w:top w:val="single" w:sz="4" w:space="0" w:color="auto"/>
            </w:tcBorders>
          </w:tcPr>
          <w:p w:rsidR="00647E32" w:rsidRPr="00FA5834" w:rsidRDefault="00647E32" w:rsidP="00865B60">
            <w:pPr>
              <w:pStyle w:val="naisnod"/>
              <w:spacing w:before="0" w:after="0"/>
              <w:ind w:right="71"/>
            </w:pPr>
            <w:r w:rsidRPr="00FA5834">
              <w:t>VII. Tiesību akta projekta izpildes nodrošināšana un tās ietekme uz institūcijām</w:t>
            </w:r>
          </w:p>
        </w:tc>
      </w:tr>
      <w:tr w:rsidR="00647E32" w:rsidRPr="00FA5834" w:rsidTr="00E62B66">
        <w:trPr>
          <w:trHeight w:val="427"/>
        </w:trPr>
        <w:tc>
          <w:tcPr>
            <w:tcW w:w="540" w:type="dxa"/>
          </w:tcPr>
          <w:p w:rsidR="00647E32" w:rsidRPr="00FA5834" w:rsidRDefault="00647E32" w:rsidP="00865B60">
            <w:pPr>
              <w:pStyle w:val="naisnod"/>
              <w:spacing w:before="0" w:after="0"/>
              <w:ind w:right="71"/>
              <w:jc w:val="left"/>
              <w:rPr>
                <w:b w:val="0"/>
              </w:rPr>
            </w:pPr>
            <w:r w:rsidRPr="00FA5834">
              <w:rPr>
                <w:b w:val="0"/>
              </w:rPr>
              <w:t>1.</w:t>
            </w:r>
          </w:p>
        </w:tc>
        <w:tc>
          <w:tcPr>
            <w:tcW w:w="3757" w:type="dxa"/>
          </w:tcPr>
          <w:p w:rsidR="00647E32" w:rsidRPr="00FA5834" w:rsidRDefault="00647E32" w:rsidP="00865B60">
            <w:pPr>
              <w:pStyle w:val="naisf"/>
              <w:spacing w:before="0" w:after="0"/>
              <w:ind w:right="71" w:firstLine="0"/>
              <w:jc w:val="left"/>
            </w:pPr>
            <w:r w:rsidRPr="00FA5834">
              <w:t xml:space="preserve">Projekta izpildē iesaistītās institūcijas </w:t>
            </w:r>
          </w:p>
        </w:tc>
        <w:tc>
          <w:tcPr>
            <w:tcW w:w="4883" w:type="dxa"/>
          </w:tcPr>
          <w:p w:rsidR="00647E32" w:rsidRPr="00FA5834" w:rsidRDefault="00647E32" w:rsidP="00A40310">
            <w:pPr>
              <w:pStyle w:val="naisnod"/>
              <w:spacing w:before="0" w:after="0"/>
              <w:ind w:right="71"/>
              <w:jc w:val="left"/>
              <w:rPr>
                <w:b w:val="0"/>
              </w:rPr>
            </w:pPr>
            <w:r w:rsidRPr="00FA5834">
              <w:rPr>
                <w:b w:val="0"/>
                <w:iCs/>
              </w:rPr>
              <w:t>Vides aizsardzības un reģionālās attīstības ministrija</w:t>
            </w:r>
            <w:r w:rsidR="00D30E0A" w:rsidRPr="00FA5834">
              <w:rPr>
                <w:b w:val="0"/>
                <w:iCs/>
              </w:rPr>
              <w:t xml:space="preserve">, </w:t>
            </w:r>
            <w:r w:rsidR="00A40310">
              <w:rPr>
                <w:b w:val="0"/>
                <w:iCs/>
              </w:rPr>
              <w:t>Valsts vides dienests</w:t>
            </w:r>
            <w:r w:rsidR="006515E8">
              <w:rPr>
                <w:b w:val="0"/>
                <w:iCs/>
              </w:rPr>
              <w:t>, Dabas aizsardzības p</w:t>
            </w:r>
            <w:r w:rsidR="00B1306B">
              <w:rPr>
                <w:b w:val="0"/>
                <w:iCs/>
              </w:rPr>
              <w:t>ārvalde.</w:t>
            </w:r>
          </w:p>
        </w:tc>
      </w:tr>
      <w:tr w:rsidR="00647E32" w:rsidRPr="00FA5834" w:rsidTr="00E62B66">
        <w:trPr>
          <w:trHeight w:val="463"/>
        </w:trPr>
        <w:tc>
          <w:tcPr>
            <w:tcW w:w="540" w:type="dxa"/>
          </w:tcPr>
          <w:p w:rsidR="00647E32" w:rsidRPr="00FA5834" w:rsidRDefault="00647E32" w:rsidP="00865B60">
            <w:pPr>
              <w:pStyle w:val="naisnod"/>
              <w:spacing w:before="0" w:after="0"/>
              <w:ind w:right="71"/>
              <w:jc w:val="left"/>
              <w:rPr>
                <w:b w:val="0"/>
              </w:rPr>
            </w:pPr>
            <w:r w:rsidRPr="00FA5834">
              <w:rPr>
                <w:b w:val="0"/>
              </w:rPr>
              <w:t>2.</w:t>
            </w:r>
          </w:p>
        </w:tc>
        <w:tc>
          <w:tcPr>
            <w:tcW w:w="3757" w:type="dxa"/>
          </w:tcPr>
          <w:p w:rsidR="00647E32" w:rsidRPr="00FA5834" w:rsidRDefault="00386C85" w:rsidP="00A80C80">
            <w:pPr>
              <w:pStyle w:val="naisf"/>
              <w:spacing w:before="0" w:after="0"/>
              <w:ind w:left="57" w:right="57" w:firstLine="0"/>
              <w:jc w:val="left"/>
            </w:pPr>
            <w:r w:rsidRPr="00DD49B6">
              <w:t>Projekta izpildes iet</w:t>
            </w:r>
            <w:r>
              <w:t xml:space="preserve">ekme uz pārvaldes funkcijām un </w:t>
            </w:r>
            <w:r w:rsidRPr="00DD49B6">
              <w:t>institucionālo struktūru.</w:t>
            </w:r>
            <w:r w:rsidR="00215D8A">
              <w:t xml:space="preserve"> </w:t>
            </w:r>
            <w:r w:rsidRPr="00DD49B6">
              <w:t>Jaunu institūciju izveide, esošu institūciju likvidācija vai reorga</w:t>
            </w:r>
            <w:r>
              <w:softHyphen/>
            </w:r>
            <w:r w:rsidRPr="00DD49B6">
              <w:t xml:space="preserve">nizācija, to ietekme uz </w:t>
            </w:r>
            <w:r>
              <w:t>institūcijas cilvēkresursiem</w:t>
            </w:r>
          </w:p>
        </w:tc>
        <w:tc>
          <w:tcPr>
            <w:tcW w:w="4883" w:type="dxa"/>
          </w:tcPr>
          <w:p w:rsidR="00442C4B" w:rsidRDefault="00A40310" w:rsidP="00442C4B">
            <w:pPr>
              <w:jc w:val="both"/>
            </w:pPr>
            <w:r>
              <w:rPr>
                <w:color w:val="000000"/>
              </w:rPr>
              <w:t>P</w:t>
            </w:r>
            <w:r w:rsidR="009F6E17">
              <w:rPr>
                <w:color w:val="000000"/>
              </w:rPr>
              <w:t>aredz</w:t>
            </w:r>
            <w:r w:rsidR="00774DAF">
              <w:rPr>
                <w:color w:val="000000"/>
              </w:rPr>
              <w:t>ēta</w:t>
            </w:r>
            <w:r w:rsidR="009F6E17">
              <w:rPr>
                <w:color w:val="000000"/>
              </w:rPr>
              <w:t xml:space="preserve"> pārvaldes funkciju maiņ</w:t>
            </w:r>
            <w:r w:rsidR="00215D8A">
              <w:rPr>
                <w:color w:val="000000"/>
              </w:rPr>
              <w:t>a</w:t>
            </w:r>
            <w:r w:rsidR="00442C4B">
              <w:rPr>
                <w:b/>
                <w:color w:val="000000"/>
              </w:rPr>
              <w:t>.</w:t>
            </w:r>
            <w:r w:rsidR="009F6E17">
              <w:rPr>
                <w:color w:val="000000"/>
              </w:rPr>
              <w:t xml:space="preserve"> </w:t>
            </w:r>
            <w:r w:rsidR="00442C4B">
              <w:t>Viena iestāde – Dabas aizsardzības pārvalde veiks kompensāciju administrēšanu, pārņemot no</w:t>
            </w:r>
            <w:r w:rsidR="00442C4B" w:rsidRPr="00D35C30">
              <w:t xml:space="preserve"> </w:t>
            </w:r>
            <w:r w:rsidR="00442C4B">
              <w:t xml:space="preserve">Valsts vides dienesta </w:t>
            </w:r>
            <w:r w:rsidR="00442C4B" w:rsidRPr="00D35C30">
              <w:t>īpaši aizsargājamo nemedījamo sugu un migrējošo sugu dzīvnieku nodarī</w:t>
            </w:r>
            <w:r w:rsidR="00442C4B">
              <w:t>to</w:t>
            </w:r>
            <w:r w:rsidR="00442C4B" w:rsidRPr="00D35C30">
              <w:t xml:space="preserve"> postījum</w:t>
            </w:r>
            <w:r w:rsidR="00442C4B">
              <w:t>u</w:t>
            </w:r>
            <w:r w:rsidR="00442C4B" w:rsidRPr="00D35C30">
              <w:t xml:space="preserve"> </w:t>
            </w:r>
            <w:r w:rsidR="00442C4B">
              <w:t xml:space="preserve">novērtēšanu un zaudējumu </w:t>
            </w:r>
            <w:r w:rsidR="00442C4B" w:rsidRPr="00D35C30">
              <w:t>apmēra noteikšan</w:t>
            </w:r>
            <w:r w:rsidR="00442C4B">
              <w:t xml:space="preserve">as funkciju un no </w:t>
            </w:r>
            <w:r w:rsidR="00442C4B" w:rsidRPr="00D35C30">
              <w:t>Latvijas vides aizsardzības fond</w:t>
            </w:r>
            <w:r w:rsidR="00442C4B">
              <w:t>a</w:t>
            </w:r>
            <w:proofErr w:type="gramStart"/>
            <w:r w:rsidR="00442C4B">
              <w:t xml:space="preserve">  </w:t>
            </w:r>
            <w:r w:rsidR="00442C4B" w:rsidRPr="00D35C30">
              <w:t xml:space="preserve"> </w:t>
            </w:r>
            <w:proofErr w:type="gramEnd"/>
            <w:r w:rsidR="00442C4B">
              <w:t xml:space="preserve">administrācijas - lēmumu pieņemšanu un šo </w:t>
            </w:r>
            <w:r w:rsidR="00442C4B" w:rsidRPr="00D35C30">
              <w:t xml:space="preserve">kompensāciju </w:t>
            </w:r>
            <w:r w:rsidR="00442C4B">
              <w:t xml:space="preserve">izmaksu. Nav plānota jaunu institūciju veidošana vai esošo reorganizācija. </w:t>
            </w:r>
          </w:p>
          <w:p w:rsidR="00A80C80" w:rsidRPr="00FA5834" w:rsidRDefault="00BB420C" w:rsidP="00442C4B">
            <w:pPr>
              <w:pStyle w:val="naisnod"/>
              <w:tabs>
                <w:tab w:val="left" w:pos="1432"/>
              </w:tabs>
              <w:spacing w:before="0" w:after="0"/>
              <w:ind w:right="71"/>
              <w:jc w:val="left"/>
              <w:rPr>
                <w:b w:val="0"/>
              </w:rPr>
            </w:pPr>
            <w:r>
              <w:rPr>
                <w:b w:val="0"/>
              </w:rPr>
              <w:tab/>
            </w:r>
          </w:p>
        </w:tc>
      </w:tr>
      <w:tr w:rsidR="00A80C80" w:rsidRPr="00FA5834" w:rsidTr="00E62B66">
        <w:trPr>
          <w:trHeight w:val="463"/>
        </w:trPr>
        <w:tc>
          <w:tcPr>
            <w:tcW w:w="540" w:type="dxa"/>
          </w:tcPr>
          <w:p w:rsidR="00A80C80" w:rsidRPr="00FA5834" w:rsidRDefault="00A80C80" w:rsidP="00865B60">
            <w:pPr>
              <w:pStyle w:val="naisnod"/>
              <w:spacing w:before="0" w:after="0"/>
              <w:ind w:right="71"/>
              <w:jc w:val="left"/>
              <w:rPr>
                <w:b w:val="0"/>
              </w:rPr>
            </w:pPr>
            <w:r>
              <w:rPr>
                <w:b w:val="0"/>
              </w:rPr>
              <w:t>3.</w:t>
            </w:r>
          </w:p>
        </w:tc>
        <w:tc>
          <w:tcPr>
            <w:tcW w:w="3757" w:type="dxa"/>
          </w:tcPr>
          <w:p w:rsidR="00A80C80" w:rsidRPr="00DD49B6" w:rsidRDefault="00A80C80" w:rsidP="00A80C80">
            <w:pPr>
              <w:pStyle w:val="naisf"/>
              <w:spacing w:before="0" w:after="0"/>
              <w:ind w:right="57" w:firstLine="0"/>
              <w:jc w:val="left"/>
            </w:pPr>
            <w:r>
              <w:t>Cita informācija</w:t>
            </w:r>
          </w:p>
        </w:tc>
        <w:tc>
          <w:tcPr>
            <w:tcW w:w="4883" w:type="dxa"/>
          </w:tcPr>
          <w:p w:rsidR="00A80C80" w:rsidRPr="00A80C80" w:rsidRDefault="00A80C80" w:rsidP="00865B60">
            <w:pPr>
              <w:pStyle w:val="naisnod"/>
              <w:spacing w:before="0" w:after="0"/>
              <w:ind w:right="71"/>
              <w:jc w:val="left"/>
              <w:rPr>
                <w:b w:val="0"/>
                <w:color w:val="000000"/>
              </w:rPr>
            </w:pPr>
            <w:r w:rsidRPr="00A80C80">
              <w:rPr>
                <w:b w:val="0"/>
              </w:rPr>
              <w:t>Nav</w:t>
            </w:r>
          </w:p>
        </w:tc>
      </w:tr>
    </w:tbl>
    <w:p w:rsidR="002C4DAF" w:rsidRDefault="00A80C80" w:rsidP="0054357B">
      <w:pPr>
        <w:spacing w:after="120"/>
        <w:jc w:val="both"/>
        <w:rPr>
          <w:bCs/>
        </w:rPr>
      </w:pPr>
      <w:r>
        <w:tab/>
      </w:r>
    </w:p>
    <w:p w:rsidR="0054357B" w:rsidRPr="0054357B" w:rsidRDefault="0054357B" w:rsidP="0054357B">
      <w:pPr>
        <w:spacing w:after="120"/>
        <w:jc w:val="both"/>
        <w:rPr>
          <w:bCs/>
        </w:rPr>
      </w:pPr>
      <w:r w:rsidRPr="0054357B">
        <w:rPr>
          <w:bCs/>
        </w:rPr>
        <w:t>Anotācijas V.</w:t>
      </w:r>
      <w:r w:rsidR="008312CD">
        <w:rPr>
          <w:bCs/>
        </w:rPr>
        <w:t xml:space="preserve"> </w:t>
      </w:r>
      <w:r w:rsidRPr="0054357B">
        <w:rPr>
          <w:bCs/>
        </w:rPr>
        <w:t>sadaļa – projekts šo jomu neskar.</w:t>
      </w:r>
    </w:p>
    <w:p w:rsidR="00A80C80" w:rsidRDefault="00A80C80" w:rsidP="00A80C80"/>
    <w:p w:rsidR="00A80C80" w:rsidRDefault="00A80C80" w:rsidP="00A80C80"/>
    <w:p w:rsidR="00A80C80" w:rsidRDefault="00A80C80" w:rsidP="00A80C80">
      <w:r>
        <w:t xml:space="preserve">Vides aizsardzības un </w:t>
      </w:r>
    </w:p>
    <w:p w:rsidR="00A80C80" w:rsidRDefault="00A80C80" w:rsidP="00A80C80">
      <w:r>
        <w:t>reģionālās attīstības ministrs</w:t>
      </w:r>
      <w:r>
        <w:tab/>
      </w:r>
      <w:r>
        <w:tab/>
      </w:r>
      <w:r>
        <w:tab/>
      </w:r>
      <w:r>
        <w:tab/>
      </w:r>
      <w:r>
        <w:tab/>
      </w:r>
      <w:r>
        <w:tab/>
      </w:r>
      <w:r>
        <w:tab/>
      </w:r>
      <w:r w:rsidR="00BB420C">
        <w:t>K.</w:t>
      </w:r>
      <w:r>
        <w:t>Gerhards</w:t>
      </w:r>
    </w:p>
    <w:p w:rsidR="00A80C80" w:rsidRDefault="00A80C80" w:rsidP="00A80C80"/>
    <w:p w:rsidR="00BB420C" w:rsidRPr="00BB420C" w:rsidRDefault="00BB420C" w:rsidP="00BB420C">
      <w:pPr>
        <w:tabs>
          <w:tab w:val="left" w:pos="0"/>
        </w:tabs>
        <w:jc w:val="both"/>
        <w:rPr>
          <w:b/>
        </w:rPr>
      </w:pPr>
      <w:r w:rsidRPr="00BB420C">
        <w:rPr>
          <w:b/>
        </w:rPr>
        <w:t>Iesniedzējs:</w:t>
      </w:r>
    </w:p>
    <w:p w:rsidR="00BB420C" w:rsidRPr="00BB420C" w:rsidRDefault="00BB420C" w:rsidP="00BB420C">
      <w:pPr>
        <w:tabs>
          <w:tab w:val="left" w:pos="0"/>
        </w:tabs>
        <w:jc w:val="both"/>
      </w:pPr>
    </w:p>
    <w:p w:rsidR="00BB420C" w:rsidRPr="00BB420C" w:rsidRDefault="00BB420C" w:rsidP="00BB420C">
      <w:pPr>
        <w:spacing w:after="120"/>
      </w:pPr>
      <w:r w:rsidRPr="00BB420C">
        <w:t xml:space="preserve">Vides aizsardzības un </w:t>
      </w:r>
    </w:p>
    <w:p w:rsidR="00BB420C" w:rsidRPr="00BB420C" w:rsidRDefault="00BB420C" w:rsidP="00BB420C">
      <w:pPr>
        <w:tabs>
          <w:tab w:val="left" w:pos="6804"/>
        </w:tabs>
        <w:rPr>
          <w:b/>
          <w:color w:val="000000"/>
        </w:rPr>
      </w:pPr>
      <w:r w:rsidRPr="00BB420C">
        <w:lastRenderedPageBreak/>
        <w:t>reģionālās attīstības ministrs</w:t>
      </w:r>
      <w:r w:rsidRPr="00BB420C">
        <w:tab/>
      </w:r>
      <w:r w:rsidRPr="00BB420C">
        <w:tab/>
        <w:t>K.Gerhards</w:t>
      </w:r>
      <w:r w:rsidRPr="00BB420C">
        <w:rPr>
          <w:b/>
          <w:color w:val="000000"/>
        </w:rPr>
        <w:t xml:space="preserve"> </w:t>
      </w:r>
    </w:p>
    <w:p w:rsidR="00BB420C" w:rsidRPr="00BB420C" w:rsidRDefault="00BB420C" w:rsidP="00BB420C">
      <w:pPr>
        <w:tabs>
          <w:tab w:val="left" w:pos="6804"/>
        </w:tabs>
        <w:rPr>
          <w:b/>
          <w:color w:val="000000"/>
        </w:rPr>
      </w:pPr>
    </w:p>
    <w:p w:rsidR="00BB420C" w:rsidRPr="00BB420C" w:rsidRDefault="00BB420C" w:rsidP="00BB420C">
      <w:pPr>
        <w:tabs>
          <w:tab w:val="left" w:pos="6804"/>
        </w:tabs>
        <w:rPr>
          <w:b/>
          <w:color w:val="000000"/>
        </w:rPr>
      </w:pPr>
      <w:r w:rsidRPr="00BB420C">
        <w:rPr>
          <w:b/>
          <w:color w:val="000000"/>
        </w:rPr>
        <w:t xml:space="preserve">Vīza: </w:t>
      </w:r>
    </w:p>
    <w:p w:rsidR="00BB420C" w:rsidRPr="00067D6C" w:rsidRDefault="00BB420C" w:rsidP="00BB420C">
      <w:pPr>
        <w:tabs>
          <w:tab w:val="left" w:pos="6804"/>
        </w:tabs>
        <w:rPr>
          <w:color w:val="000000"/>
          <w:sz w:val="28"/>
          <w:szCs w:val="28"/>
        </w:rPr>
      </w:pPr>
      <w:r w:rsidRPr="00BB420C">
        <w:rPr>
          <w:color w:val="000000"/>
        </w:rPr>
        <w:t>valsts sekretārs</w:t>
      </w:r>
      <w:proofErr w:type="gramStart"/>
      <w:r w:rsidRPr="00BB420C">
        <w:rPr>
          <w:color w:val="000000"/>
        </w:rPr>
        <w:t xml:space="preserve">          </w:t>
      </w:r>
      <w:proofErr w:type="gramEnd"/>
      <w:r w:rsidRPr="00BB420C">
        <w:rPr>
          <w:color w:val="000000"/>
        </w:rPr>
        <w:tab/>
        <w:t xml:space="preserve">      G.Puķītis</w:t>
      </w:r>
    </w:p>
    <w:p w:rsidR="00A80C80" w:rsidRDefault="00A80C80" w:rsidP="00A80C80"/>
    <w:p w:rsidR="00A80C80" w:rsidRDefault="00A80C80" w:rsidP="00A80C80"/>
    <w:p w:rsidR="00A80C80" w:rsidRDefault="00225A41" w:rsidP="00A80C80">
      <w:r>
        <w:t>2</w:t>
      </w:r>
      <w:r w:rsidR="008312CD">
        <w:t>9</w:t>
      </w:r>
      <w:r w:rsidR="00A80C80">
        <w:t>.10.2015</w:t>
      </w:r>
      <w:r w:rsidR="00BB420C">
        <w:t>.</w:t>
      </w:r>
      <w:r w:rsidR="00D72B79">
        <w:t xml:space="preserve"> 1</w:t>
      </w:r>
      <w:r w:rsidR="008312CD">
        <w:t>1</w:t>
      </w:r>
      <w:r w:rsidR="00CC290B">
        <w:t>:00</w:t>
      </w:r>
    </w:p>
    <w:p w:rsidR="00A80C80" w:rsidRDefault="00BB420C" w:rsidP="00A80C80">
      <w:r>
        <w:t>20</w:t>
      </w:r>
      <w:r w:rsidR="008312CD">
        <w:t>97</w:t>
      </w:r>
    </w:p>
    <w:p w:rsidR="00A80C80" w:rsidRDefault="00A80C80" w:rsidP="00A80C80">
      <w:r>
        <w:t>V.Bernards</w:t>
      </w:r>
    </w:p>
    <w:p w:rsidR="008312CD" w:rsidRDefault="008312CD" w:rsidP="00A80C80">
      <w:r>
        <w:t>Dabas aizsardzības departamenta</w:t>
      </w:r>
    </w:p>
    <w:p w:rsidR="00A80C80" w:rsidRDefault="008312CD" w:rsidP="00A80C80">
      <w:r>
        <w:t xml:space="preserve">vecākais referents </w:t>
      </w:r>
      <w:r w:rsidR="00A80C80">
        <w:t>6702652</w:t>
      </w:r>
    </w:p>
    <w:p w:rsidR="00A80C80" w:rsidRDefault="00A80C80" w:rsidP="00A80C80">
      <w:r>
        <w:t>Vilnis.bernards@varam.gov.lv</w:t>
      </w:r>
    </w:p>
    <w:p w:rsidR="00A80C80" w:rsidRDefault="00A80C80" w:rsidP="00A80C80"/>
    <w:p w:rsidR="00A80C80" w:rsidRDefault="00A80C80" w:rsidP="00A80C80"/>
    <w:p w:rsidR="00A80C80" w:rsidRDefault="00A80C8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Default="00865B60" w:rsidP="00865B60"/>
    <w:p w:rsidR="00865B60" w:rsidRPr="00865B60" w:rsidRDefault="00865B60" w:rsidP="00865B60">
      <w:pPr>
        <w:rPr>
          <w:sz w:val="20"/>
          <w:szCs w:val="20"/>
        </w:rPr>
      </w:pPr>
    </w:p>
    <w:sectPr w:rsidR="00865B60" w:rsidRPr="00865B60" w:rsidSect="00865B60">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A3" w:rsidRDefault="004B4BA3">
      <w:r>
        <w:separator/>
      </w:r>
    </w:p>
  </w:endnote>
  <w:endnote w:type="continuationSeparator" w:id="0">
    <w:p w:rsidR="004B4BA3" w:rsidRDefault="004B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57B" w:rsidRPr="00865B60" w:rsidRDefault="0054357B" w:rsidP="00EE1E3E">
    <w:pPr>
      <w:pStyle w:val="Title"/>
      <w:spacing w:before="120"/>
      <w:jc w:val="both"/>
      <w:rPr>
        <w:sz w:val="20"/>
        <w:szCs w:val="20"/>
      </w:rPr>
    </w:pPr>
    <w:r w:rsidRPr="00865B60">
      <w:rPr>
        <w:b w:val="0"/>
        <w:sz w:val="20"/>
        <w:szCs w:val="20"/>
      </w:rPr>
      <w:fldChar w:fldCharType="begin"/>
    </w:r>
    <w:r w:rsidRPr="00865B60">
      <w:rPr>
        <w:b w:val="0"/>
        <w:sz w:val="20"/>
        <w:szCs w:val="20"/>
      </w:rPr>
      <w:instrText>VARAMAnot_031214_sugas</w:instrText>
    </w:r>
    <w:r w:rsidRPr="00865B60">
      <w:rPr>
        <w:b w:val="0"/>
        <w:sz w:val="20"/>
        <w:szCs w:val="20"/>
      </w:rPr>
      <w:fldChar w:fldCharType="separate"/>
    </w:r>
    <w:r>
      <w:rPr>
        <w:b w:val="0"/>
        <w:noProof/>
        <w:sz w:val="20"/>
        <w:szCs w:val="20"/>
      </w:rPr>
      <w:t>VARAMAnot_2</w:t>
    </w:r>
    <w:r w:rsidR="008312CD">
      <w:rPr>
        <w:b w:val="0"/>
        <w:noProof/>
        <w:sz w:val="20"/>
        <w:szCs w:val="20"/>
      </w:rPr>
      <w:t>9</w:t>
    </w:r>
    <w:r>
      <w:rPr>
        <w:b w:val="0"/>
        <w:noProof/>
        <w:sz w:val="20"/>
        <w:szCs w:val="20"/>
      </w:rPr>
      <w:t>1015</w:t>
    </w:r>
    <w:r w:rsidRPr="00865B60">
      <w:rPr>
        <w:b w:val="0"/>
        <w:noProof/>
        <w:sz w:val="20"/>
        <w:szCs w:val="20"/>
      </w:rPr>
      <w:t>_</w:t>
    </w:r>
    <w:r w:rsidRPr="00865B60">
      <w:rPr>
        <w:b w:val="0"/>
        <w:sz w:val="20"/>
        <w:szCs w:val="20"/>
      </w:rPr>
      <w:fldChar w:fldCharType="end"/>
    </w:r>
    <w:proofErr w:type="spellStart"/>
    <w:r>
      <w:rPr>
        <w:b w:val="0"/>
        <w:sz w:val="20"/>
        <w:szCs w:val="20"/>
      </w:rPr>
      <w:t>kompensacijas</w:t>
    </w:r>
    <w:proofErr w:type="spellEnd"/>
    <w:r w:rsidRPr="00865B60">
      <w:rPr>
        <w:b w:val="0"/>
        <w:sz w:val="20"/>
        <w:szCs w:val="20"/>
      </w:rPr>
      <w:t xml:space="preserve">; </w:t>
    </w:r>
    <w:r>
      <w:rPr>
        <w:b w:val="0"/>
        <w:sz w:val="20"/>
        <w:szCs w:val="20"/>
      </w:rPr>
      <w:t>M</w:t>
    </w:r>
    <w:r w:rsidR="00BB420C">
      <w:rPr>
        <w:b w:val="0"/>
        <w:sz w:val="20"/>
        <w:szCs w:val="20"/>
      </w:rPr>
      <w:t xml:space="preserve">inistru </w:t>
    </w:r>
    <w:r w:rsidR="008312CD">
      <w:rPr>
        <w:b w:val="0"/>
        <w:sz w:val="20"/>
        <w:szCs w:val="20"/>
      </w:rPr>
      <w:t>kabineta noteikumu</w:t>
    </w:r>
    <w:r>
      <w:rPr>
        <w:b w:val="0"/>
        <w:sz w:val="20"/>
        <w:szCs w:val="20"/>
      </w:rPr>
      <w:t xml:space="preserve"> projekt</w:t>
    </w:r>
    <w:r w:rsidR="00BB420C">
      <w:rPr>
        <w:b w:val="0"/>
        <w:sz w:val="20"/>
        <w:szCs w:val="20"/>
      </w:rPr>
      <w:t>a</w:t>
    </w:r>
    <w:r>
      <w:rPr>
        <w:b w:val="0"/>
        <w:sz w:val="20"/>
        <w:szCs w:val="20"/>
      </w:rPr>
      <w:t xml:space="preserve"> </w:t>
    </w:r>
    <w:r w:rsidRPr="000B06EF">
      <w:rPr>
        <w:rStyle w:val="Strong"/>
        <w:bCs/>
        <w:sz w:val="20"/>
        <w:szCs w:val="20"/>
      </w:rPr>
      <w:t>„</w:t>
    </w:r>
    <w:r>
      <w:rPr>
        <w:b w:val="0"/>
        <w:sz w:val="20"/>
        <w:szCs w:val="20"/>
      </w:rPr>
      <w:t>Kārtība, kādā zemes lietotājiem nosakāmi zaudējumu apmēri, kas saistīti ar īpaši aizsargājamo nemedījamo sugu un migrējošo sugu dzīvnieku nodarītiem būtiskiem postījumiem un minimālās aizsardzības pasākumu prasības postījumu novēršanai”</w:t>
    </w:r>
    <w:r w:rsidR="00BB420C">
      <w:rPr>
        <w:b w:val="0"/>
        <w:sz w:val="20"/>
        <w:szCs w:val="20"/>
      </w:rPr>
      <w:t xml:space="preserve"> sākotnējās ietekmes novērtējuma ziņojums (anotācija)</w:t>
    </w:r>
  </w:p>
  <w:p w:rsidR="0054357B" w:rsidRDefault="0054357B">
    <w:pPr>
      <w:pStyle w:val="Footer"/>
    </w:pPr>
  </w:p>
  <w:p w:rsidR="0054357B" w:rsidRPr="00465712" w:rsidRDefault="0054357B" w:rsidP="00865B60">
    <w:pPr>
      <w:pStyle w:val="Title"/>
      <w:spacing w:before="1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CD" w:rsidRPr="00865B60" w:rsidRDefault="008312CD" w:rsidP="008312CD">
    <w:pPr>
      <w:pStyle w:val="Title"/>
      <w:spacing w:before="120"/>
      <w:jc w:val="both"/>
      <w:rPr>
        <w:sz w:val="20"/>
        <w:szCs w:val="20"/>
      </w:rPr>
    </w:pPr>
    <w:r w:rsidRPr="00865B60">
      <w:rPr>
        <w:b w:val="0"/>
        <w:sz w:val="20"/>
        <w:szCs w:val="20"/>
      </w:rPr>
      <w:fldChar w:fldCharType="begin"/>
    </w:r>
    <w:r w:rsidRPr="00865B60">
      <w:rPr>
        <w:b w:val="0"/>
        <w:sz w:val="20"/>
        <w:szCs w:val="20"/>
      </w:rPr>
      <w:instrText>VARAMAnot_031214_sugas</w:instrText>
    </w:r>
    <w:r w:rsidRPr="00865B60">
      <w:rPr>
        <w:b w:val="0"/>
        <w:sz w:val="20"/>
        <w:szCs w:val="20"/>
      </w:rPr>
      <w:fldChar w:fldCharType="separate"/>
    </w:r>
    <w:r>
      <w:rPr>
        <w:b w:val="0"/>
        <w:noProof/>
        <w:sz w:val="20"/>
        <w:szCs w:val="20"/>
      </w:rPr>
      <w:t>VARAMAnot_291015</w:t>
    </w:r>
    <w:r w:rsidRPr="00865B60">
      <w:rPr>
        <w:b w:val="0"/>
        <w:noProof/>
        <w:sz w:val="20"/>
        <w:szCs w:val="20"/>
      </w:rPr>
      <w:t>_</w:t>
    </w:r>
    <w:r w:rsidRPr="00865B60">
      <w:rPr>
        <w:b w:val="0"/>
        <w:sz w:val="20"/>
        <w:szCs w:val="20"/>
      </w:rPr>
      <w:fldChar w:fldCharType="end"/>
    </w:r>
    <w:proofErr w:type="spellStart"/>
    <w:r>
      <w:rPr>
        <w:b w:val="0"/>
        <w:sz w:val="20"/>
        <w:szCs w:val="20"/>
      </w:rPr>
      <w:t>kompensacijas</w:t>
    </w:r>
    <w:proofErr w:type="spellEnd"/>
    <w:r w:rsidRPr="00865B60">
      <w:rPr>
        <w:b w:val="0"/>
        <w:sz w:val="20"/>
        <w:szCs w:val="20"/>
      </w:rPr>
      <w:t xml:space="preserve">; </w:t>
    </w:r>
    <w:r>
      <w:rPr>
        <w:b w:val="0"/>
        <w:sz w:val="20"/>
        <w:szCs w:val="20"/>
      </w:rPr>
      <w:t xml:space="preserve">Ministru kabineta noteikumu projekta </w:t>
    </w:r>
    <w:r w:rsidRPr="000B06EF">
      <w:rPr>
        <w:rStyle w:val="Strong"/>
        <w:bCs/>
        <w:sz w:val="20"/>
        <w:szCs w:val="20"/>
      </w:rPr>
      <w:t>„</w:t>
    </w:r>
    <w:r>
      <w:rPr>
        <w:b w:val="0"/>
        <w:sz w:val="20"/>
        <w:szCs w:val="20"/>
      </w:rPr>
      <w:t>Kārtība, kādā zemes lietotājiem nosakāmi zaudējumu apmēri, kas saistīti ar īpaši aizsargājamo nemedījamo sugu un migrējošo sugu dzīvnieku nodarītiem būtiskiem postījumiem un minimālās aizsardzības pasākumu prasības postījumu novēršanai” sākotnējās ietekmes novērtējuma ziņojums (anotācija)</w:t>
    </w:r>
  </w:p>
  <w:p w:rsidR="008312CD" w:rsidRDefault="008312CD" w:rsidP="008312CD">
    <w:pPr>
      <w:pStyle w:val="Footer"/>
    </w:pPr>
  </w:p>
  <w:p w:rsidR="0054357B" w:rsidRPr="00865B60" w:rsidRDefault="0054357B" w:rsidP="00865B60">
    <w:pPr>
      <w:pStyle w:val="Title"/>
      <w:spacing w:before="12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A3" w:rsidRDefault="004B4BA3">
      <w:r>
        <w:separator/>
      </w:r>
    </w:p>
  </w:footnote>
  <w:footnote w:type="continuationSeparator" w:id="0">
    <w:p w:rsidR="004B4BA3" w:rsidRDefault="004B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57B" w:rsidRDefault="0054357B" w:rsidP="00647E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57B" w:rsidRDefault="00543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57B" w:rsidRDefault="0054357B" w:rsidP="00647E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896">
      <w:rPr>
        <w:rStyle w:val="PageNumber"/>
        <w:noProof/>
      </w:rPr>
      <w:t>9</w:t>
    </w:r>
    <w:r>
      <w:rPr>
        <w:rStyle w:val="PageNumber"/>
      </w:rPr>
      <w:fldChar w:fldCharType="end"/>
    </w:r>
  </w:p>
  <w:p w:rsidR="0054357B" w:rsidRDefault="00543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29"/>
    <w:multiLevelType w:val="hybridMultilevel"/>
    <w:tmpl w:val="F7369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0E753F"/>
    <w:multiLevelType w:val="hybridMultilevel"/>
    <w:tmpl w:val="7FFA40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673053"/>
    <w:multiLevelType w:val="hybridMultilevel"/>
    <w:tmpl w:val="57888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186AB9"/>
    <w:multiLevelType w:val="multilevel"/>
    <w:tmpl w:val="448ADFE0"/>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nsid w:val="476B2570"/>
    <w:multiLevelType w:val="hybridMultilevel"/>
    <w:tmpl w:val="9814E39C"/>
    <w:lvl w:ilvl="0" w:tplc="D4CE8BE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47B65B6A"/>
    <w:multiLevelType w:val="hybridMultilevel"/>
    <w:tmpl w:val="2C9E2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FA3DC6"/>
    <w:multiLevelType w:val="hybridMultilevel"/>
    <w:tmpl w:val="3C8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BC4019D"/>
    <w:multiLevelType w:val="hybridMultilevel"/>
    <w:tmpl w:val="BE82094E"/>
    <w:lvl w:ilvl="0" w:tplc="851C0C5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32"/>
    <w:rsid w:val="000004D6"/>
    <w:rsid w:val="00003AAD"/>
    <w:rsid w:val="0001101B"/>
    <w:rsid w:val="00013ECC"/>
    <w:rsid w:val="00014B7F"/>
    <w:rsid w:val="0001640E"/>
    <w:rsid w:val="00023281"/>
    <w:rsid w:val="0002641E"/>
    <w:rsid w:val="000265AA"/>
    <w:rsid w:val="00026DBF"/>
    <w:rsid w:val="000362E8"/>
    <w:rsid w:val="00040DCF"/>
    <w:rsid w:val="00043B73"/>
    <w:rsid w:val="0004465A"/>
    <w:rsid w:val="00044E83"/>
    <w:rsid w:val="00050566"/>
    <w:rsid w:val="00054B93"/>
    <w:rsid w:val="000555FE"/>
    <w:rsid w:val="000576AA"/>
    <w:rsid w:val="00060CF4"/>
    <w:rsid w:val="0006520A"/>
    <w:rsid w:val="0006629F"/>
    <w:rsid w:val="00075A14"/>
    <w:rsid w:val="00076958"/>
    <w:rsid w:val="0007746F"/>
    <w:rsid w:val="00083DEF"/>
    <w:rsid w:val="00090417"/>
    <w:rsid w:val="00091ECD"/>
    <w:rsid w:val="000A16EF"/>
    <w:rsid w:val="000A3EBF"/>
    <w:rsid w:val="000A685D"/>
    <w:rsid w:val="000B06EF"/>
    <w:rsid w:val="000B41E1"/>
    <w:rsid w:val="000B4540"/>
    <w:rsid w:val="000C426C"/>
    <w:rsid w:val="000C6F06"/>
    <w:rsid w:val="000D5EB2"/>
    <w:rsid w:val="000E281B"/>
    <w:rsid w:val="000E5503"/>
    <w:rsid w:val="000F5127"/>
    <w:rsid w:val="00113639"/>
    <w:rsid w:val="00120222"/>
    <w:rsid w:val="00120DF6"/>
    <w:rsid w:val="00143EC3"/>
    <w:rsid w:val="001457E6"/>
    <w:rsid w:val="001469E7"/>
    <w:rsid w:val="00153F32"/>
    <w:rsid w:val="00154249"/>
    <w:rsid w:val="00161D8C"/>
    <w:rsid w:val="00163DA7"/>
    <w:rsid w:val="00167B48"/>
    <w:rsid w:val="00170264"/>
    <w:rsid w:val="00175991"/>
    <w:rsid w:val="001760B2"/>
    <w:rsid w:val="001764DC"/>
    <w:rsid w:val="0018327D"/>
    <w:rsid w:val="00186EFA"/>
    <w:rsid w:val="0019127C"/>
    <w:rsid w:val="001940C2"/>
    <w:rsid w:val="001958F6"/>
    <w:rsid w:val="001A4012"/>
    <w:rsid w:val="001A6C7B"/>
    <w:rsid w:val="001B43BE"/>
    <w:rsid w:val="001C5B85"/>
    <w:rsid w:val="001C6DFC"/>
    <w:rsid w:val="001D0CDA"/>
    <w:rsid w:val="001D10CC"/>
    <w:rsid w:val="001D221A"/>
    <w:rsid w:val="001E047E"/>
    <w:rsid w:val="001E370A"/>
    <w:rsid w:val="001E6289"/>
    <w:rsid w:val="001F1988"/>
    <w:rsid w:val="001F31DD"/>
    <w:rsid w:val="001F4CB5"/>
    <w:rsid w:val="001F53F0"/>
    <w:rsid w:val="001F7351"/>
    <w:rsid w:val="001F74BE"/>
    <w:rsid w:val="00206693"/>
    <w:rsid w:val="00215D8A"/>
    <w:rsid w:val="002218D0"/>
    <w:rsid w:val="00225A41"/>
    <w:rsid w:val="00225E40"/>
    <w:rsid w:val="00231300"/>
    <w:rsid w:val="00234648"/>
    <w:rsid w:val="00242673"/>
    <w:rsid w:val="00245027"/>
    <w:rsid w:val="00250CB9"/>
    <w:rsid w:val="0026097D"/>
    <w:rsid w:val="00261B54"/>
    <w:rsid w:val="00262D18"/>
    <w:rsid w:val="00262E25"/>
    <w:rsid w:val="00263071"/>
    <w:rsid w:val="00274BFA"/>
    <w:rsid w:val="002776D3"/>
    <w:rsid w:val="00281E75"/>
    <w:rsid w:val="002908E3"/>
    <w:rsid w:val="002968E7"/>
    <w:rsid w:val="002A2FEE"/>
    <w:rsid w:val="002C1193"/>
    <w:rsid w:val="002C1D64"/>
    <w:rsid w:val="002C3E7F"/>
    <w:rsid w:val="002C4DAF"/>
    <w:rsid w:val="002C72DA"/>
    <w:rsid w:val="002D1BEE"/>
    <w:rsid w:val="002D318E"/>
    <w:rsid w:val="002E1D95"/>
    <w:rsid w:val="002E32A4"/>
    <w:rsid w:val="002F33CB"/>
    <w:rsid w:val="002F532B"/>
    <w:rsid w:val="002F78C1"/>
    <w:rsid w:val="003001F2"/>
    <w:rsid w:val="00301042"/>
    <w:rsid w:val="0030591C"/>
    <w:rsid w:val="00306655"/>
    <w:rsid w:val="00307004"/>
    <w:rsid w:val="00307827"/>
    <w:rsid w:val="00323C97"/>
    <w:rsid w:val="00335C83"/>
    <w:rsid w:val="00342DA3"/>
    <w:rsid w:val="00345AC1"/>
    <w:rsid w:val="00345E9B"/>
    <w:rsid w:val="00365541"/>
    <w:rsid w:val="00366542"/>
    <w:rsid w:val="0037146F"/>
    <w:rsid w:val="00372BEB"/>
    <w:rsid w:val="003757CD"/>
    <w:rsid w:val="0038206D"/>
    <w:rsid w:val="00382AA7"/>
    <w:rsid w:val="00382E60"/>
    <w:rsid w:val="003834B9"/>
    <w:rsid w:val="00384282"/>
    <w:rsid w:val="00386C85"/>
    <w:rsid w:val="00387F3A"/>
    <w:rsid w:val="003A6C56"/>
    <w:rsid w:val="003C5544"/>
    <w:rsid w:val="003C65F7"/>
    <w:rsid w:val="003D0449"/>
    <w:rsid w:val="003D4DEC"/>
    <w:rsid w:val="003E58D7"/>
    <w:rsid w:val="003E79E0"/>
    <w:rsid w:val="003F16B5"/>
    <w:rsid w:val="003F3B6D"/>
    <w:rsid w:val="003F631A"/>
    <w:rsid w:val="00404A9D"/>
    <w:rsid w:val="00406292"/>
    <w:rsid w:val="004133D9"/>
    <w:rsid w:val="00420066"/>
    <w:rsid w:val="0042046E"/>
    <w:rsid w:val="00423685"/>
    <w:rsid w:val="00425CBE"/>
    <w:rsid w:val="004266B0"/>
    <w:rsid w:val="00426BAB"/>
    <w:rsid w:val="00442C4B"/>
    <w:rsid w:val="00443189"/>
    <w:rsid w:val="00450860"/>
    <w:rsid w:val="00455F0D"/>
    <w:rsid w:val="00464D2D"/>
    <w:rsid w:val="00465712"/>
    <w:rsid w:val="00470983"/>
    <w:rsid w:val="00471D66"/>
    <w:rsid w:val="00474A96"/>
    <w:rsid w:val="004757BD"/>
    <w:rsid w:val="004765E0"/>
    <w:rsid w:val="00480C4F"/>
    <w:rsid w:val="00483008"/>
    <w:rsid w:val="00485781"/>
    <w:rsid w:val="004859BE"/>
    <w:rsid w:val="004969D1"/>
    <w:rsid w:val="0049725F"/>
    <w:rsid w:val="004A31D3"/>
    <w:rsid w:val="004A3288"/>
    <w:rsid w:val="004B198C"/>
    <w:rsid w:val="004B4BA3"/>
    <w:rsid w:val="004C270C"/>
    <w:rsid w:val="004C6205"/>
    <w:rsid w:val="004D07CF"/>
    <w:rsid w:val="004D4EF6"/>
    <w:rsid w:val="004E46D2"/>
    <w:rsid w:val="004E60AB"/>
    <w:rsid w:val="004E7A26"/>
    <w:rsid w:val="004F191E"/>
    <w:rsid w:val="004F2995"/>
    <w:rsid w:val="004F343F"/>
    <w:rsid w:val="004F5D89"/>
    <w:rsid w:val="004F648B"/>
    <w:rsid w:val="00502A5F"/>
    <w:rsid w:val="00502DFD"/>
    <w:rsid w:val="00507357"/>
    <w:rsid w:val="00514D86"/>
    <w:rsid w:val="0051540A"/>
    <w:rsid w:val="00515DDF"/>
    <w:rsid w:val="005207EF"/>
    <w:rsid w:val="00523AD0"/>
    <w:rsid w:val="00530219"/>
    <w:rsid w:val="005313F5"/>
    <w:rsid w:val="00534E4A"/>
    <w:rsid w:val="00540896"/>
    <w:rsid w:val="00541C21"/>
    <w:rsid w:val="0054357B"/>
    <w:rsid w:val="00544BD4"/>
    <w:rsid w:val="005456C7"/>
    <w:rsid w:val="00553463"/>
    <w:rsid w:val="005611E3"/>
    <w:rsid w:val="00561DEF"/>
    <w:rsid w:val="005622E4"/>
    <w:rsid w:val="005666A9"/>
    <w:rsid w:val="00567E7D"/>
    <w:rsid w:val="00572157"/>
    <w:rsid w:val="005806BC"/>
    <w:rsid w:val="00587425"/>
    <w:rsid w:val="005943C2"/>
    <w:rsid w:val="00594B26"/>
    <w:rsid w:val="0059575C"/>
    <w:rsid w:val="005A08B4"/>
    <w:rsid w:val="005B4046"/>
    <w:rsid w:val="005C2488"/>
    <w:rsid w:val="005C44CE"/>
    <w:rsid w:val="005C60EA"/>
    <w:rsid w:val="005C6210"/>
    <w:rsid w:val="005C6DCD"/>
    <w:rsid w:val="005D22CD"/>
    <w:rsid w:val="005D3D50"/>
    <w:rsid w:val="005D5C70"/>
    <w:rsid w:val="005E0748"/>
    <w:rsid w:val="005E24C0"/>
    <w:rsid w:val="005F4749"/>
    <w:rsid w:val="005F7A16"/>
    <w:rsid w:val="005F7C8E"/>
    <w:rsid w:val="006000ED"/>
    <w:rsid w:val="00603548"/>
    <w:rsid w:val="006039BF"/>
    <w:rsid w:val="0062504D"/>
    <w:rsid w:val="00626F05"/>
    <w:rsid w:val="00632EE4"/>
    <w:rsid w:val="00634144"/>
    <w:rsid w:val="006374A8"/>
    <w:rsid w:val="00640814"/>
    <w:rsid w:val="00641BBD"/>
    <w:rsid w:val="006443D0"/>
    <w:rsid w:val="00646C9C"/>
    <w:rsid w:val="00647E32"/>
    <w:rsid w:val="006515E8"/>
    <w:rsid w:val="00661B6A"/>
    <w:rsid w:val="006624D3"/>
    <w:rsid w:val="0066536B"/>
    <w:rsid w:val="006653AE"/>
    <w:rsid w:val="0067732C"/>
    <w:rsid w:val="00684B62"/>
    <w:rsid w:val="006850A4"/>
    <w:rsid w:val="00693F7C"/>
    <w:rsid w:val="00697C6C"/>
    <w:rsid w:val="006A6337"/>
    <w:rsid w:val="006B105C"/>
    <w:rsid w:val="006B3F30"/>
    <w:rsid w:val="006B569F"/>
    <w:rsid w:val="006B7C42"/>
    <w:rsid w:val="006C08A8"/>
    <w:rsid w:val="006C6EF0"/>
    <w:rsid w:val="006E06A4"/>
    <w:rsid w:val="006E3F2A"/>
    <w:rsid w:val="006F1121"/>
    <w:rsid w:val="006F1BB7"/>
    <w:rsid w:val="00703C5C"/>
    <w:rsid w:val="00704C1C"/>
    <w:rsid w:val="007052ED"/>
    <w:rsid w:val="00711861"/>
    <w:rsid w:val="0071278B"/>
    <w:rsid w:val="00712920"/>
    <w:rsid w:val="007163F2"/>
    <w:rsid w:val="007248CC"/>
    <w:rsid w:val="00724CE2"/>
    <w:rsid w:val="00726B69"/>
    <w:rsid w:val="007321B5"/>
    <w:rsid w:val="00742888"/>
    <w:rsid w:val="00747FBC"/>
    <w:rsid w:val="00751FB7"/>
    <w:rsid w:val="00753657"/>
    <w:rsid w:val="00765CF7"/>
    <w:rsid w:val="007670F9"/>
    <w:rsid w:val="007723AB"/>
    <w:rsid w:val="00774D83"/>
    <w:rsid w:val="00774DAF"/>
    <w:rsid w:val="007803EA"/>
    <w:rsid w:val="00793084"/>
    <w:rsid w:val="00794C76"/>
    <w:rsid w:val="007A5553"/>
    <w:rsid w:val="007A7DD2"/>
    <w:rsid w:val="007B43B7"/>
    <w:rsid w:val="007C1E29"/>
    <w:rsid w:val="007C32E6"/>
    <w:rsid w:val="007C45E8"/>
    <w:rsid w:val="007C5CF7"/>
    <w:rsid w:val="007C6359"/>
    <w:rsid w:val="007D396D"/>
    <w:rsid w:val="007D4CD3"/>
    <w:rsid w:val="007E1355"/>
    <w:rsid w:val="007E61BB"/>
    <w:rsid w:val="007E704C"/>
    <w:rsid w:val="007E7A9A"/>
    <w:rsid w:val="007F04CB"/>
    <w:rsid w:val="007F0552"/>
    <w:rsid w:val="007F060F"/>
    <w:rsid w:val="007F6954"/>
    <w:rsid w:val="00813C77"/>
    <w:rsid w:val="00814F3E"/>
    <w:rsid w:val="00817F5C"/>
    <w:rsid w:val="0082464F"/>
    <w:rsid w:val="008254C6"/>
    <w:rsid w:val="00830A87"/>
    <w:rsid w:val="008312CD"/>
    <w:rsid w:val="008343BE"/>
    <w:rsid w:val="008419D8"/>
    <w:rsid w:val="00843702"/>
    <w:rsid w:val="00847A56"/>
    <w:rsid w:val="00847BB7"/>
    <w:rsid w:val="008514AB"/>
    <w:rsid w:val="00857112"/>
    <w:rsid w:val="008572CD"/>
    <w:rsid w:val="00860F39"/>
    <w:rsid w:val="00863111"/>
    <w:rsid w:val="00865B60"/>
    <w:rsid w:val="0087436A"/>
    <w:rsid w:val="00875638"/>
    <w:rsid w:val="0088470B"/>
    <w:rsid w:val="00885006"/>
    <w:rsid w:val="00885CD9"/>
    <w:rsid w:val="00885D61"/>
    <w:rsid w:val="00894504"/>
    <w:rsid w:val="00894DEB"/>
    <w:rsid w:val="008960A3"/>
    <w:rsid w:val="008A0B56"/>
    <w:rsid w:val="008A24EB"/>
    <w:rsid w:val="008A3E29"/>
    <w:rsid w:val="008B0302"/>
    <w:rsid w:val="008B3DDA"/>
    <w:rsid w:val="008B55D6"/>
    <w:rsid w:val="008B6E40"/>
    <w:rsid w:val="008C3F47"/>
    <w:rsid w:val="008C6CC3"/>
    <w:rsid w:val="008D0057"/>
    <w:rsid w:val="008D10AA"/>
    <w:rsid w:val="008D25A0"/>
    <w:rsid w:val="008D5A26"/>
    <w:rsid w:val="008D6E37"/>
    <w:rsid w:val="008E0B2D"/>
    <w:rsid w:val="008E0BE2"/>
    <w:rsid w:val="008E41CE"/>
    <w:rsid w:val="008E4CFA"/>
    <w:rsid w:val="008E6B21"/>
    <w:rsid w:val="008F2BCA"/>
    <w:rsid w:val="008F5523"/>
    <w:rsid w:val="00907750"/>
    <w:rsid w:val="009116DE"/>
    <w:rsid w:val="00912CFE"/>
    <w:rsid w:val="009157F6"/>
    <w:rsid w:val="00915820"/>
    <w:rsid w:val="00916719"/>
    <w:rsid w:val="009208EA"/>
    <w:rsid w:val="009228D4"/>
    <w:rsid w:val="009258B8"/>
    <w:rsid w:val="00927A73"/>
    <w:rsid w:val="00930293"/>
    <w:rsid w:val="0093084D"/>
    <w:rsid w:val="009450DF"/>
    <w:rsid w:val="00955933"/>
    <w:rsid w:val="00955CFA"/>
    <w:rsid w:val="009572DF"/>
    <w:rsid w:val="00957864"/>
    <w:rsid w:val="00957FFB"/>
    <w:rsid w:val="009607BC"/>
    <w:rsid w:val="00965FB5"/>
    <w:rsid w:val="00971C1F"/>
    <w:rsid w:val="00974FCF"/>
    <w:rsid w:val="009763A1"/>
    <w:rsid w:val="00976500"/>
    <w:rsid w:val="00976B76"/>
    <w:rsid w:val="009776DB"/>
    <w:rsid w:val="009807D9"/>
    <w:rsid w:val="00990B79"/>
    <w:rsid w:val="00991989"/>
    <w:rsid w:val="00992642"/>
    <w:rsid w:val="00993283"/>
    <w:rsid w:val="0099513F"/>
    <w:rsid w:val="009A187D"/>
    <w:rsid w:val="009A2C5E"/>
    <w:rsid w:val="009A7A6A"/>
    <w:rsid w:val="009B5005"/>
    <w:rsid w:val="009B6221"/>
    <w:rsid w:val="009B7A97"/>
    <w:rsid w:val="009C0BAD"/>
    <w:rsid w:val="009C3577"/>
    <w:rsid w:val="009C5521"/>
    <w:rsid w:val="009C5D72"/>
    <w:rsid w:val="009C7189"/>
    <w:rsid w:val="009E1E82"/>
    <w:rsid w:val="009E5792"/>
    <w:rsid w:val="009E75CD"/>
    <w:rsid w:val="009F459A"/>
    <w:rsid w:val="009F5E8B"/>
    <w:rsid w:val="009F6E17"/>
    <w:rsid w:val="00A2035B"/>
    <w:rsid w:val="00A20A4A"/>
    <w:rsid w:val="00A21956"/>
    <w:rsid w:val="00A237D6"/>
    <w:rsid w:val="00A26C55"/>
    <w:rsid w:val="00A2717B"/>
    <w:rsid w:val="00A351CD"/>
    <w:rsid w:val="00A40310"/>
    <w:rsid w:val="00A45AB8"/>
    <w:rsid w:val="00A468D6"/>
    <w:rsid w:val="00A52030"/>
    <w:rsid w:val="00A5776F"/>
    <w:rsid w:val="00A57BDE"/>
    <w:rsid w:val="00A57C4A"/>
    <w:rsid w:val="00A60B11"/>
    <w:rsid w:val="00A6154F"/>
    <w:rsid w:val="00A6231E"/>
    <w:rsid w:val="00A66769"/>
    <w:rsid w:val="00A70F28"/>
    <w:rsid w:val="00A75DE1"/>
    <w:rsid w:val="00A8008B"/>
    <w:rsid w:val="00A80C80"/>
    <w:rsid w:val="00A83698"/>
    <w:rsid w:val="00A844FF"/>
    <w:rsid w:val="00A86186"/>
    <w:rsid w:val="00A8646B"/>
    <w:rsid w:val="00A9141E"/>
    <w:rsid w:val="00A924AF"/>
    <w:rsid w:val="00A95CE5"/>
    <w:rsid w:val="00A97C70"/>
    <w:rsid w:val="00AB1463"/>
    <w:rsid w:val="00AB3B54"/>
    <w:rsid w:val="00AB49A4"/>
    <w:rsid w:val="00AC2050"/>
    <w:rsid w:val="00AC3C7C"/>
    <w:rsid w:val="00AC4136"/>
    <w:rsid w:val="00AC54FD"/>
    <w:rsid w:val="00AC6696"/>
    <w:rsid w:val="00AC67C2"/>
    <w:rsid w:val="00AD4609"/>
    <w:rsid w:val="00AD5382"/>
    <w:rsid w:val="00AD5548"/>
    <w:rsid w:val="00AD582D"/>
    <w:rsid w:val="00AD6CEC"/>
    <w:rsid w:val="00AE150F"/>
    <w:rsid w:val="00AF268E"/>
    <w:rsid w:val="00AF31C9"/>
    <w:rsid w:val="00AF4D01"/>
    <w:rsid w:val="00B00E1F"/>
    <w:rsid w:val="00B056A2"/>
    <w:rsid w:val="00B07BEC"/>
    <w:rsid w:val="00B1306B"/>
    <w:rsid w:val="00B2196D"/>
    <w:rsid w:val="00B22CAC"/>
    <w:rsid w:val="00B27296"/>
    <w:rsid w:val="00B30652"/>
    <w:rsid w:val="00B31DB4"/>
    <w:rsid w:val="00B32B55"/>
    <w:rsid w:val="00B3404E"/>
    <w:rsid w:val="00B35334"/>
    <w:rsid w:val="00B36DA3"/>
    <w:rsid w:val="00B41EDE"/>
    <w:rsid w:val="00B46EB5"/>
    <w:rsid w:val="00B47E53"/>
    <w:rsid w:val="00B607A6"/>
    <w:rsid w:val="00B62210"/>
    <w:rsid w:val="00B6352B"/>
    <w:rsid w:val="00B644EC"/>
    <w:rsid w:val="00B7026F"/>
    <w:rsid w:val="00B72BFB"/>
    <w:rsid w:val="00B7335F"/>
    <w:rsid w:val="00B76010"/>
    <w:rsid w:val="00B7625F"/>
    <w:rsid w:val="00B815C6"/>
    <w:rsid w:val="00B827F9"/>
    <w:rsid w:val="00B9214C"/>
    <w:rsid w:val="00BA02E0"/>
    <w:rsid w:val="00BA0598"/>
    <w:rsid w:val="00BA2D8F"/>
    <w:rsid w:val="00BB0FF4"/>
    <w:rsid w:val="00BB420C"/>
    <w:rsid w:val="00BC3FA0"/>
    <w:rsid w:val="00BC4A6F"/>
    <w:rsid w:val="00BC4ED3"/>
    <w:rsid w:val="00BC5699"/>
    <w:rsid w:val="00BD0B63"/>
    <w:rsid w:val="00BD4098"/>
    <w:rsid w:val="00BE45FD"/>
    <w:rsid w:val="00BE575C"/>
    <w:rsid w:val="00BF12CF"/>
    <w:rsid w:val="00BF4E09"/>
    <w:rsid w:val="00BF5CE9"/>
    <w:rsid w:val="00BF7255"/>
    <w:rsid w:val="00C016BF"/>
    <w:rsid w:val="00C05EDF"/>
    <w:rsid w:val="00C12290"/>
    <w:rsid w:val="00C14B40"/>
    <w:rsid w:val="00C153DB"/>
    <w:rsid w:val="00C15877"/>
    <w:rsid w:val="00C1780D"/>
    <w:rsid w:val="00C17F09"/>
    <w:rsid w:val="00C206A9"/>
    <w:rsid w:val="00C20963"/>
    <w:rsid w:val="00C23413"/>
    <w:rsid w:val="00C268E5"/>
    <w:rsid w:val="00C31EC2"/>
    <w:rsid w:val="00C36809"/>
    <w:rsid w:val="00C41097"/>
    <w:rsid w:val="00C429CE"/>
    <w:rsid w:val="00C50631"/>
    <w:rsid w:val="00C534E4"/>
    <w:rsid w:val="00C54AF0"/>
    <w:rsid w:val="00C62CB7"/>
    <w:rsid w:val="00C62E27"/>
    <w:rsid w:val="00C74B53"/>
    <w:rsid w:val="00C86D71"/>
    <w:rsid w:val="00C92439"/>
    <w:rsid w:val="00C92442"/>
    <w:rsid w:val="00C96310"/>
    <w:rsid w:val="00CA3E6A"/>
    <w:rsid w:val="00CB1BEE"/>
    <w:rsid w:val="00CB5E13"/>
    <w:rsid w:val="00CB66C0"/>
    <w:rsid w:val="00CC1962"/>
    <w:rsid w:val="00CC290B"/>
    <w:rsid w:val="00CC2CCD"/>
    <w:rsid w:val="00CC3BA4"/>
    <w:rsid w:val="00CC57D7"/>
    <w:rsid w:val="00CD575D"/>
    <w:rsid w:val="00CE42BB"/>
    <w:rsid w:val="00CE4CF6"/>
    <w:rsid w:val="00CE54F5"/>
    <w:rsid w:val="00CE6DF5"/>
    <w:rsid w:val="00CF140D"/>
    <w:rsid w:val="00CF2F7E"/>
    <w:rsid w:val="00D06721"/>
    <w:rsid w:val="00D10E3B"/>
    <w:rsid w:val="00D13A5D"/>
    <w:rsid w:val="00D17398"/>
    <w:rsid w:val="00D176FD"/>
    <w:rsid w:val="00D17BB1"/>
    <w:rsid w:val="00D21673"/>
    <w:rsid w:val="00D307B5"/>
    <w:rsid w:val="00D30E0A"/>
    <w:rsid w:val="00D35C30"/>
    <w:rsid w:val="00D361CE"/>
    <w:rsid w:val="00D37A93"/>
    <w:rsid w:val="00D43755"/>
    <w:rsid w:val="00D45532"/>
    <w:rsid w:val="00D4597B"/>
    <w:rsid w:val="00D47FC2"/>
    <w:rsid w:val="00D51A7A"/>
    <w:rsid w:val="00D5493C"/>
    <w:rsid w:val="00D553DD"/>
    <w:rsid w:val="00D60A84"/>
    <w:rsid w:val="00D619F8"/>
    <w:rsid w:val="00D64F43"/>
    <w:rsid w:val="00D70C31"/>
    <w:rsid w:val="00D71353"/>
    <w:rsid w:val="00D72B79"/>
    <w:rsid w:val="00D80DA3"/>
    <w:rsid w:val="00D81636"/>
    <w:rsid w:val="00D83C2B"/>
    <w:rsid w:val="00D841D0"/>
    <w:rsid w:val="00D922CB"/>
    <w:rsid w:val="00DA46B6"/>
    <w:rsid w:val="00DA4F40"/>
    <w:rsid w:val="00DB081D"/>
    <w:rsid w:val="00DB3BF2"/>
    <w:rsid w:val="00DC0393"/>
    <w:rsid w:val="00DC389A"/>
    <w:rsid w:val="00DC463E"/>
    <w:rsid w:val="00DC55AB"/>
    <w:rsid w:val="00DC67D4"/>
    <w:rsid w:val="00DD0FCE"/>
    <w:rsid w:val="00DD1C77"/>
    <w:rsid w:val="00DD34E2"/>
    <w:rsid w:val="00DE1AB1"/>
    <w:rsid w:val="00DE212B"/>
    <w:rsid w:val="00DE33DF"/>
    <w:rsid w:val="00DE4A2F"/>
    <w:rsid w:val="00E0591F"/>
    <w:rsid w:val="00E10AC0"/>
    <w:rsid w:val="00E11F35"/>
    <w:rsid w:val="00E16CF5"/>
    <w:rsid w:val="00E21C4A"/>
    <w:rsid w:val="00E21CE3"/>
    <w:rsid w:val="00E3028D"/>
    <w:rsid w:val="00E3494E"/>
    <w:rsid w:val="00E3658E"/>
    <w:rsid w:val="00E372EF"/>
    <w:rsid w:val="00E43B56"/>
    <w:rsid w:val="00E442BB"/>
    <w:rsid w:val="00E510B0"/>
    <w:rsid w:val="00E539F0"/>
    <w:rsid w:val="00E544C8"/>
    <w:rsid w:val="00E6005D"/>
    <w:rsid w:val="00E62B66"/>
    <w:rsid w:val="00E6458D"/>
    <w:rsid w:val="00E83B10"/>
    <w:rsid w:val="00E83EA0"/>
    <w:rsid w:val="00E87269"/>
    <w:rsid w:val="00E900B6"/>
    <w:rsid w:val="00E93AE0"/>
    <w:rsid w:val="00E9690F"/>
    <w:rsid w:val="00EA0CC3"/>
    <w:rsid w:val="00EA1AF7"/>
    <w:rsid w:val="00EB5542"/>
    <w:rsid w:val="00EC76AC"/>
    <w:rsid w:val="00ED18F9"/>
    <w:rsid w:val="00ED2139"/>
    <w:rsid w:val="00ED7D6D"/>
    <w:rsid w:val="00EE01EF"/>
    <w:rsid w:val="00EE1E3E"/>
    <w:rsid w:val="00EE7E26"/>
    <w:rsid w:val="00EF363F"/>
    <w:rsid w:val="00EF527F"/>
    <w:rsid w:val="00F1094B"/>
    <w:rsid w:val="00F11B1C"/>
    <w:rsid w:val="00F1242F"/>
    <w:rsid w:val="00F12F63"/>
    <w:rsid w:val="00F1488C"/>
    <w:rsid w:val="00F241E3"/>
    <w:rsid w:val="00F25A3F"/>
    <w:rsid w:val="00F32D7F"/>
    <w:rsid w:val="00F332E2"/>
    <w:rsid w:val="00F35EF1"/>
    <w:rsid w:val="00F36818"/>
    <w:rsid w:val="00F3769E"/>
    <w:rsid w:val="00F413FA"/>
    <w:rsid w:val="00F46B54"/>
    <w:rsid w:val="00F52F1D"/>
    <w:rsid w:val="00F54147"/>
    <w:rsid w:val="00F671BE"/>
    <w:rsid w:val="00F73C90"/>
    <w:rsid w:val="00F7437F"/>
    <w:rsid w:val="00F775D8"/>
    <w:rsid w:val="00F8475B"/>
    <w:rsid w:val="00F9564E"/>
    <w:rsid w:val="00FA5834"/>
    <w:rsid w:val="00FA5DFA"/>
    <w:rsid w:val="00FB1B52"/>
    <w:rsid w:val="00FC7390"/>
    <w:rsid w:val="00FD674D"/>
    <w:rsid w:val="00FF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7E32"/>
    <w:pPr>
      <w:tabs>
        <w:tab w:val="center" w:pos="4153"/>
        <w:tab w:val="right" w:pos="8306"/>
      </w:tabs>
    </w:pPr>
  </w:style>
  <w:style w:type="character" w:styleId="PageNumber">
    <w:name w:val="page number"/>
    <w:basedOn w:val="DefaultParagraphFont"/>
    <w:rsid w:val="00647E32"/>
  </w:style>
  <w:style w:type="paragraph" w:customStyle="1" w:styleId="naisf">
    <w:name w:val="naisf"/>
    <w:basedOn w:val="Normal"/>
    <w:uiPriority w:val="99"/>
    <w:rsid w:val="00647E32"/>
    <w:pPr>
      <w:spacing w:before="75" w:after="75"/>
      <w:ind w:firstLine="375"/>
      <w:jc w:val="both"/>
    </w:pPr>
  </w:style>
  <w:style w:type="paragraph" w:customStyle="1" w:styleId="naisnod">
    <w:name w:val="naisnod"/>
    <w:basedOn w:val="Normal"/>
    <w:rsid w:val="00647E32"/>
    <w:pPr>
      <w:spacing w:before="150" w:after="150"/>
      <w:jc w:val="center"/>
    </w:pPr>
    <w:rPr>
      <w:b/>
      <w:bCs/>
    </w:rPr>
  </w:style>
  <w:style w:type="paragraph" w:customStyle="1" w:styleId="naislab">
    <w:name w:val="naislab"/>
    <w:basedOn w:val="Normal"/>
    <w:rsid w:val="00647E32"/>
    <w:pPr>
      <w:spacing w:before="75" w:after="75"/>
      <w:jc w:val="right"/>
    </w:pPr>
  </w:style>
  <w:style w:type="paragraph" w:customStyle="1" w:styleId="naiskr">
    <w:name w:val="naiskr"/>
    <w:basedOn w:val="Normal"/>
    <w:rsid w:val="00647E32"/>
    <w:pPr>
      <w:spacing w:before="75" w:after="75"/>
    </w:pPr>
  </w:style>
  <w:style w:type="paragraph" w:styleId="FootnoteText">
    <w:name w:val="footnote text"/>
    <w:basedOn w:val="Normal"/>
    <w:semiHidden/>
    <w:rsid w:val="00647E32"/>
    <w:rPr>
      <w:sz w:val="20"/>
      <w:szCs w:val="20"/>
    </w:rPr>
  </w:style>
  <w:style w:type="paragraph" w:styleId="Footer">
    <w:name w:val="footer"/>
    <w:basedOn w:val="Normal"/>
    <w:link w:val="FooterChar"/>
    <w:uiPriority w:val="99"/>
    <w:rsid w:val="00647E32"/>
    <w:pPr>
      <w:tabs>
        <w:tab w:val="center" w:pos="4153"/>
        <w:tab w:val="right" w:pos="8306"/>
      </w:tabs>
    </w:pPr>
  </w:style>
  <w:style w:type="character" w:customStyle="1" w:styleId="FooterChar">
    <w:name w:val="Footer Char"/>
    <w:link w:val="Footer"/>
    <w:uiPriority w:val="99"/>
    <w:rsid w:val="00647E32"/>
    <w:rPr>
      <w:sz w:val="24"/>
      <w:szCs w:val="24"/>
      <w:lang w:val="lv-LV" w:eastAsia="lv-LV" w:bidi="ar-SA"/>
    </w:rPr>
  </w:style>
  <w:style w:type="character" w:styleId="Hyperlink">
    <w:name w:val="Hyperlink"/>
    <w:uiPriority w:val="99"/>
    <w:rsid w:val="00647E32"/>
    <w:rPr>
      <w:color w:val="0000FF"/>
      <w:u w:val="single"/>
    </w:rPr>
  </w:style>
  <w:style w:type="paragraph" w:styleId="NormalWeb">
    <w:name w:val="Normal (Web)"/>
    <w:basedOn w:val="Normal"/>
    <w:rsid w:val="00647E32"/>
    <w:pPr>
      <w:spacing w:before="100" w:beforeAutospacing="1" w:after="100" w:afterAutospacing="1"/>
    </w:pPr>
  </w:style>
  <w:style w:type="character" w:styleId="Strong">
    <w:name w:val="Strong"/>
    <w:qFormat/>
    <w:rsid w:val="00647E32"/>
    <w:rPr>
      <w:b/>
      <w:bCs/>
    </w:rPr>
  </w:style>
  <w:style w:type="paragraph" w:styleId="Title">
    <w:name w:val="Title"/>
    <w:basedOn w:val="Normal"/>
    <w:qFormat/>
    <w:rsid w:val="00647E32"/>
    <w:pPr>
      <w:jc w:val="center"/>
    </w:pPr>
    <w:rPr>
      <w:b/>
      <w:bCs/>
      <w:lang w:eastAsia="en-US"/>
    </w:rPr>
  </w:style>
  <w:style w:type="paragraph" w:customStyle="1" w:styleId="parasts">
    <w:name w:val="parasts"/>
    <w:basedOn w:val="Normal"/>
    <w:link w:val="parastsChar"/>
    <w:rsid w:val="00DC389A"/>
    <w:pPr>
      <w:spacing w:before="50" w:after="50"/>
      <w:jc w:val="both"/>
    </w:pPr>
    <w:rPr>
      <w:lang w:eastAsia="en-US"/>
    </w:rPr>
  </w:style>
  <w:style w:type="character" w:customStyle="1" w:styleId="parastsChar">
    <w:name w:val="parasts Char"/>
    <w:link w:val="parasts"/>
    <w:rsid w:val="00DC389A"/>
    <w:rPr>
      <w:sz w:val="24"/>
      <w:szCs w:val="24"/>
      <w:lang w:val="lv-LV" w:eastAsia="en-US" w:bidi="ar-SA"/>
    </w:rPr>
  </w:style>
  <w:style w:type="paragraph" w:customStyle="1" w:styleId="Default">
    <w:name w:val="Default"/>
    <w:rsid w:val="00641BBD"/>
    <w:pPr>
      <w:autoSpaceDE w:val="0"/>
      <w:autoSpaceDN w:val="0"/>
      <w:adjustRightInd w:val="0"/>
    </w:pPr>
    <w:rPr>
      <w:color w:val="000000"/>
      <w:sz w:val="24"/>
      <w:szCs w:val="24"/>
    </w:rPr>
  </w:style>
  <w:style w:type="paragraph" w:styleId="ListParagraph">
    <w:name w:val="List Paragraph"/>
    <w:basedOn w:val="Normal"/>
    <w:qFormat/>
    <w:rsid w:val="00AB49A4"/>
    <w:pPr>
      <w:spacing w:after="200" w:line="276" w:lineRule="auto"/>
      <w:ind w:left="720"/>
      <w:contextualSpacing/>
    </w:pPr>
    <w:rPr>
      <w:rFonts w:ascii="Calibri" w:eastAsia="Calibri" w:hAnsi="Calibri"/>
      <w:sz w:val="22"/>
      <w:szCs w:val="22"/>
      <w:lang w:eastAsia="en-US"/>
    </w:rPr>
  </w:style>
  <w:style w:type="character" w:styleId="FootnoteReference">
    <w:name w:val="footnote reference"/>
    <w:rsid w:val="000F5127"/>
    <w:rPr>
      <w:position w:val="0"/>
      <w:vertAlign w:val="superscript"/>
    </w:rPr>
  </w:style>
  <w:style w:type="character" w:styleId="CommentReference">
    <w:name w:val="annotation reference"/>
    <w:rsid w:val="00301042"/>
    <w:rPr>
      <w:sz w:val="16"/>
      <w:szCs w:val="16"/>
    </w:rPr>
  </w:style>
  <w:style w:type="paragraph" w:styleId="CommentText">
    <w:name w:val="annotation text"/>
    <w:basedOn w:val="Normal"/>
    <w:link w:val="CommentTextChar"/>
    <w:uiPriority w:val="99"/>
    <w:rsid w:val="00301042"/>
    <w:rPr>
      <w:sz w:val="20"/>
      <w:szCs w:val="20"/>
    </w:rPr>
  </w:style>
  <w:style w:type="character" w:customStyle="1" w:styleId="CommentTextChar">
    <w:name w:val="Comment Text Char"/>
    <w:basedOn w:val="DefaultParagraphFont"/>
    <w:link w:val="CommentText"/>
    <w:uiPriority w:val="99"/>
    <w:rsid w:val="00301042"/>
  </w:style>
  <w:style w:type="paragraph" w:styleId="CommentSubject">
    <w:name w:val="annotation subject"/>
    <w:basedOn w:val="CommentText"/>
    <w:next w:val="CommentText"/>
    <w:link w:val="CommentSubjectChar"/>
    <w:rsid w:val="00301042"/>
    <w:rPr>
      <w:b/>
      <w:bCs/>
    </w:rPr>
  </w:style>
  <w:style w:type="character" w:customStyle="1" w:styleId="CommentSubjectChar">
    <w:name w:val="Comment Subject Char"/>
    <w:link w:val="CommentSubject"/>
    <w:rsid w:val="00301042"/>
    <w:rPr>
      <w:b/>
      <w:bCs/>
    </w:rPr>
  </w:style>
  <w:style w:type="paragraph" w:styleId="BalloonText">
    <w:name w:val="Balloon Text"/>
    <w:basedOn w:val="Normal"/>
    <w:link w:val="BalloonTextChar"/>
    <w:rsid w:val="00301042"/>
    <w:rPr>
      <w:rFonts w:ascii="Segoe UI" w:hAnsi="Segoe UI"/>
      <w:sz w:val="18"/>
      <w:szCs w:val="18"/>
    </w:rPr>
  </w:style>
  <w:style w:type="character" w:customStyle="1" w:styleId="BalloonTextChar">
    <w:name w:val="Balloon Text Char"/>
    <w:link w:val="BalloonText"/>
    <w:rsid w:val="00301042"/>
    <w:rPr>
      <w:rFonts w:ascii="Segoe UI" w:hAnsi="Segoe UI" w:cs="Segoe UI"/>
      <w:sz w:val="18"/>
      <w:szCs w:val="18"/>
    </w:rPr>
  </w:style>
  <w:style w:type="paragraph" w:styleId="PlainText">
    <w:name w:val="Plain Text"/>
    <w:basedOn w:val="Normal"/>
    <w:link w:val="PlainTextChar"/>
    <w:uiPriority w:val="99"/>
    <w:unhideWhenUsed/>
    <w:rsid w:val="00245027"/>
    <w:rPr>
      <w:rFonts w:ascii="Consolas" w:eastAsia="Calibri" w:hAnsi="Consolas"/>
      <w:sz w:val="21"/>
      <w:szCs w:val="21"/>
      <w:lang w:eastAsia="en-US"/>
    </w:rPr>
  </w:style>
  <w:style w:type="character" w:customStyle="1" w:styleId="PlainTextChar">
    <w:name w:val="Plain Text Char"/>
    <w:link w:val="PlainText"/>
    <w:uiPriority w:val="99"/>
    <w:rsid w:val="00245027"/>
    <w:rPr>
      <w:rFonts w:ascii="Consolas" w:eastAsia="Calibri" w:hAnsi="Consolas" w:cs="Times New Roman"/>
      <w:sz w:val="21"/>
      <w:szCs w:val="21"/>
      <w:lang w:eastAsia="en-US"/>
    </w:rPr>
  </w:style>
  <w:style w:type="paragraph" w:customStyle="1" w:styleId="tv213">
    <w:name w:val="tv213"/>
    <w:basedOn w:val="Normal"/>
    <w:rsid w:val="005B4046"/>
    <w:pPr>
      <w:spacing w:before="100" w:beforeAutospacing="1" w:after="100" w:afterAutospacing="1"/>
    </w:pPr>
    <w:rPr>
      <w:lang w:val="en-US" w:eastAsia="en-US"/>
    </w:rPr>
  </w:style>
  <w:style w:type="character" w:customStyle="1" w:styleId="HeaderChar">
    <w:name w:val="Header Char"/>
    <w:link w:val="Header"/>
    <w:uiPriority w:val="99"/>
    <w:locked/>
    <w:rsid w:val="000769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7E32"/>
    <w:pPr>
      <w:tabs>
        <w:tab w:val="center" w:pos="4153"/>
        <w:tab w:val="right" w:pos="8306"/>
      </w:tabs>
    </w:pPr>
  </w:style>
  <w:style w:type="character" w:styleId="PageNumber">
    <w:name w:val="page number"/>
    <w:basedOn w:val="DefaultParagraphFont"/>
    <w:rsid w:val="00647E32"/>
  </w:style>
  <w:style w:type="paragraph" w:customStyle="1" w:styleId="naisf">
    <w:name w:val="naisf"/>
    <w:basedOn w:val="Normal"/>
    <w:uiPriority w:val="99"/>
    <w:rsid w:val="00647E32"/>
    <w:pPr>
      <w:spacing w:before="75" w:after="75"/>
      <w:ind w:firstLine="375"/>
      <w:jc w:val="both"/>
    </w:pPr>
  </w:style>
  <w:style w:type="paragraph" w:customStyle="1" w:styleId="naisnod">
    <w:name w:val="naisnod"/>
    <w:basedOn w:val="Normal"/>
    <w:rsid w:val="00647E32"/>
    <w:pPr>
      <w:spacing w:before="150" w:after="150"/>
      <w:jc w:val="center"/>
    </w:pPr>
    <w:rPr>
      <w:b/>
      <w:bCs/>
    </w:rPr>
  </w:style>
  <w:style w:type="paragraph" w:customStyle="1" w:styleId="naislab">
    <w:name w:val="naislab"/>
    <w:basedOn w:val="Normal"/>
    <w:rsid w:val="00647E32"/>
    <w:pPr>
      <w:spacing w:before="75" w:after="75"/>
      <w:jc w:val="right"/>
    </w:pPr>
  </w:style>
  <w:style w:type="paragraph" w:customStyle="1" w:styleId="naiskr">
    <w:name w:val="naiskr"/>
    <w:basedOn w:val="Normal"/>
    <w:rsid w:val="00647E32"/>
    <w:pPr>
      <w:spacing w:before="75" w:after="75"/>
    </w:pPr>
  </w:style>
  <w:style w:type="paragraph" w:styleId="FootnoteText">
    <w:name w:val="footnote text"/>
    <w:basedOn w:val="Normal"/>
    <w:semiHidden/>
    <w:rsid w:val="00647E32"/>
    <w:rPr>
      <w:sz w:val="20"/>
      <w:szCs w:val="20"/>
    </w:rPr>
  </w:style>
  <w:style w:type="paragraph" w:styleId="Footer">
    <w:name w:val="footer"/>
    <w:basedOn w:val="Normal"/>
    <w:link w:val="FooterChar"/>
    <w:uiPriority w:val="99"/>
    <w:rsid w:val="00647E32"/>
    <w:pPr>
      <w:tabs>
        <w:tab w:val="center" w:pos="4153"/>
        <w:tab w:val="right" w:pos="8306"/>
      </w:tabs>
    </w:pPr>
  </w:style>
  <w:style w:type="character" w:customStyle="1" w:styleId="FooterChar">
    <w:name w:val="Footer Char"/>
    <w:link w:val="Footer"/>
    <w:uiPriority w:val="99"/>
    <w:rsid w:val="00647E32"/>
    <w:rPr>
      <w:sz w:val="24"/>
      <w:szCs w:val="24"/>
      <w:lang w:val="lv-LV" w:eastAsia="lv-LV" w:bidi="ar-SA"/>
    </w:rPr>
  </w:style>
  <w:style w:type="character" w:styleId="Hyperlink">
    <w:name w:val="Hyperlink"/>
    <w:uiPriority w:val="99"/>
    <w:rsid w:val="00647E32"/>
    <w:rPr>
      <w:color w:val="0000FF"/>
      <w:u w:val="single"/>
    </w:rPr>
  </w:style>
  <w:style w:type="paragraph" w:styleId="NormalWeb">
    <w:name w:val="Normal (Web)"/>
    <w:basedOn w:val="Normal"/>
    <w:rsid w:val="00647E32"/>
    <w:pPr>
      <w:spacing w:before="100" w:beforeAutospacing="1" w:after="100" w:afterAutospacing="1"/>
    </w:pPr>
  </w:style>
  <w:style w:type="character" w:styleId="Strong">
    <w:name w:val="Strong"/>
    <w:qFormat/>
    <w:rsid w:val="00647E32"/>
    <w:rPr>
      <w:b/>
      <w:bCs/>
    </w:rPr>
  </w:style>
  <w:style w:type="paragraph" w:styleId="Title">
    <w:name w:val="Title"/>
    <w:basedOn w:val="Normal"/>
    <w:qFormat/>
    <w:rsid w:val="00647E32"/>
    <w:pPr>
      <w:jc w:val="center"/>
    </w:pPr>
    <w:rPr>
      <w:b/>
      <w:bCs/>
      <w:lang w:eastAsia="en-US"/>
    </w:rPr>
  </w:style>
  <w:style w:type="paragraph" w:customStyle="1" w:styleId="parasts">
    <w:name w:val="parasts"/>
    <w:basedOn w:val="Normal"/>
    <w:link w:val="parastsChar"/>
    <w:rsid w:val="00DC389A"/>
    <w:pPr>
      <w:spacing w:before="50" w:after="50"/>
      <w:jc w:val="both"/>
    </w:pPr>
    <w:rPr>
      <w:lang w:eastAsia="en-US"/>
    </w:rPr>
  </w:style>
  <w:style w:type="character" w:customStyle="1" w:styleId="parastsChar">
    <w:name w:val="parasts Char"/>
    <w:link w:val="parasts"/>
    <w:rsid w:val="00DC389A"/>
    <w:rPr>
      <w:sz w:val="24"/>
      <w:szCs w:val="24"/>
      <w:lang w:val="lv-LV" w:eastAsia="en-US" w:bidi="ar-SA"/>
    </w:rPr>
  </w:style>
  <w:style w:type="paragraph" w:customStyle="1" w:styleId="Default">
    <w:name w:val="Default"/>
    <w:rsid w:val="00641BBD"/>
    <w:pPr>
      <w:autoSpaceDE w:val="0"/>
      <w:autoSpaceDN w:val="0"/>
      <w:adjustRightInd w:val="0"/>
    </w:pPr>
    <w:rPr>
      <w:color w:val="000000"/>
      <w:sz w:val="24"/>
      <w:szCs w:val="24"/>
    </w:rPr>
  </w:style>
  <w:style w:type="paragraph" w:styleId="ListParagraph">
    <w:name w:val="List Paragraph"/>
    <w:basedOn w:val="Normal"/>
    <w:qFormat/>
    <w:rsid w:val="00AB49A4"/>
    <w:pPr>
      <w:spacing w:after="200" w:line="276" w:lineRule="auto"/>
      <w:ind w:left="720"/>
      <w:contextualSpacing/>
    </w:pPr>
    <w:rPr>
      <w:rFonts w:ascii="Calibri" w:eastAsia="Calibri" w:hAnsi="Calibri"/>
      <w:sz w:val="22"/>
      <w:szCs w:val="22"/>
      <w:lang w:eastAsia="en-US"/>
    </w:rPr>
  </w:style>
  <w:style w:type="character" w:styleId="FootnoteReference">
    <w:name w:val="footnote reference"/>
    <w:rsid w:val="000F5127"/>
    <w:rPr>
      <w:position w:val="0"/>
      <w:vertAlign w:val="superscript"/>
    </w:rPr>
  </w:style>
  <w:style w:type="character" w:styleId="CommentReference">
    <w:name w:val="annotation reference"/>
    <w:rsid w:val="00301042"/>
    <w:rPr>
      <w:sz w:val="16"/>
      <w:szCs w:val="16"/>
    </w:rPr>
  </w:style>
  <w:style w:type="paragraph" w:styleId="CommentText">
    <w:name w:val="annotation text"/>
    <w:basedOn w:val="Normal"/>
    <w:link w:val="CommentTextChar"/>
    <w:uiPriority w:val="99"/>
    <w:rsid w:val="00301042"/>
    <w:rPr>
      <w:sz w:val="20"/>
      <w:szCs w:val="20"/>
    </w:rPr>
  </w:style>
  <w:style w:type="character" w:customStyle="1" w:styleId="CommentTextChar">
    <w:name w:val="Comment Text Char"/>
    <w:basedOn w:val="DefaultParagraphFont"/>
    <w:link w:val="CommentText"/>
    <w:uiPriority w:val="99"/>
    <w:rsid w:val="00301042"/>
  </w:style>
  <w:style w:type="paragraph" w:styleId="CommentSubject">
    <w:name w:val="annotation subject"/>
    <w:basedOn w:val="CommentText"/>
    <w:next w:val="CommentText"/>
    <w:link w:val="CommentSubjectChar"/>
    <w:rsid w:val="00301042"/>
    <w:rPr>
      <w:b/>
      <w:bCs/>
    </w:rPr>
  </w:style>
  <w:style w:type="character" w:customStyle="1" w:styleId="CommentSubjectChar">
    <w:name w:val="Comment Subject Char"/>
    <w:link w:val="CommentSubject"/>
    <w:rsid w:val="00301042"/>
    <w:rPr>
      <w:b/>
      <w:bCs/>
    </w:rPr>
  </w:style>
  <w:style w:type="paragraph" w:styleId="BalloonText">
    <w:name w:val="Balloon Text"/>
    <w:basedOn w:val="Normal"/>
    <w:link w:val="BalloonTextChar"/>
    <w:rsid w:val="00301042"/>
    <w:rPr>
      <w:rFonts w:ascii="Segoe UI" w:hAnsi="Segoe UI"/>
      <w:sz w:val="18"/>
      <w:szCs w:val="18"/>
    </w:rPr>
  </w:style>
  <w:style w:type="character" w:customStyle="1" w:styleId="BalloonTextChar">
    <w:name w:val="Balloon Text Char"/>
    <w:link w:val="BalloonText"/>
    <w:rsid w:val="00301042"/>
    <w:rPr>
      <w:rFonts w:ascii="Segoe UI" w:hAnsi="Segoe UI" w:cs="Segoe UI"/>
      <w:sz w:val="18"/>
      <w:szCs w:val="18"/>
    </w:rPr>
  </w:style>
  <w:style w:type="paragraph" w:styleId="PlainText">
    <w:name w:val="Plain Text"/>
    <w:basedOn w:val="Normal"/>
    <w:link w:val="PlainTextChar"/>
    <w:uiPriority w:val="99"/>
    <w:unhideWhenUsed/>
    <w:rsid w:val="00245027"/>
    <w:rPr>
      <w:rFonts w:ascii="Consolas" w:eastAsia="Calibri" w:hAnsi="Consolas"/>
      <w:sz w:val="21"/>
      <w:szCs w:val="21"/>
      <w:lang w:eastAsia="en-US"/>
    </w:rPr>
  </w:style>
  <w:style w:type="character" w:customStyle="1" w:styleId="PlainTextChar">
    <w:name w:val="Plain Text Char"/>
    <w:link w:val="PlainText"/>
    <w:uiPriority w:val="99"/>
    <w:rsid w:val="00245027"/>
    <w:rPr>
      <w:rFonts w:ascii="Consolas" w:eastAsia="Calibri" w:hAnsi="Consolas" w:cs="Times New Roman"/>
      <w:sz w:val="21"/>
      <w:szCs w:val="21"/>
      <w:lang w:eastAsia="en-US"/>
    </w:rPr>
  </w:style>
  <w:style w:type="paragraph" w:customStyle="1" w:styleId="tv213">
    <w:name w:val="tv213"/>
    <w:basedOn w:val="Normal"/>
    <w:rsid w:val="005B4046"/>
    <w:pPr>
      <w:spacing w:before="100" w:beforeAutospacing="1" w:after="100" w:afterAutospacing="1"/>
    </w:pPr>
    <w:rPr>
      <w:lang w:val="en-US" w:eastAsia="en-US"/>
    </w:rPr>
  </w:style>
  <w:style w:type="character" w:customStyle="1" w:styleId="HeaderChar">
    <w:name w:val="Header Char"/>
    <w:link w:val="Header"/>
    <w:uiPriority w:val="99"/>
    <w:locked/>
    <w:rsid w:val="000769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31059">
      <w:bodyDiv w:val="1"/>
      <w:marLeft w:val="0"/>
      <w:marRight w:val="0"/>
      <w:marTop w:val="0"/>
      <w:marBottom w:val="0"/>
      <w:divBdr>
        <w:top w:val="none" w:sz="0" w:space="0" w:color="auto"/>
        <w:left w:val="none" w:sz="0" w:space="0" w:color="auto"/>
        <w:bottom w:val="none" w:sz="0" w:space="0" w:color="auto"/>
        <w:right w:val="none" w:sz="0" w:space="0" w:color="auto"/>
      </w:divBdr>
    </w:div>
    <w:div w:id="1205681596">
      <w:bodyDiv w:val="1"/>
      <w:marLeft w:val="0"/>
      <w:marRight w:val="0"/>
      <w:marTop w:val="0"/>
      <w:marBottom w:val="0"/>
      <w:divBdr>
        <w:top w:val="none" w:sz="0" w:space="0" w:color="auto"/>
        <w:left w:val="none" w:sz="0" w:space="0" w:color="auto"/>
        <w:bottom w:val="none" w:sz="0" w:space="0" w:color="auto"/>
        <w:right w:val="none" w:sz="0" w:space="0" w:color="auto"/>
      </w:divBdr>
    </w:div>
    <w:div w:id="1310867762">
      <w:bodyDiv w:val="1"/>
      <w:marLeft w:val="0"/>
      <w:marRight w:val="0"/>
      <w:marTop w:val="0"/>
      <w:marBottom w:val="0"/>
      <w:divBdr>
        <w:top w:val="none" w:sz="0" w:space="0" w:color="auto"/>
        <w:left w:val="none" w:sz="0" w:space="0" w:color="auto"/>
        <w:bottom w:val="none" w:sz="0" w:space="0" w:color="auto"/>
        <w:right w:val="none" w:sz="0" w:space="0" w:color="auto"/>
      </w:divBdr>
    </w:div>
    <w:div w:id="1781337569">
      <w:bodyDiv w:val="1"/>
      <w:marLeft w:val="0"/>
      <w:marRight w:val="0"/>
      <w:marTop w:val="0"/>
      <w:marBottom w:val="0"/>
      <w:divBdr>
        <w:top w:val="none" w:sz="0" w:space="0" w:color="auto"/>
        <w:left w:val="none" w:sz="0" w:space="0" w:color="auto"/>
        <w:bottom w:val="none" w:sz="0" w:space="0" w:color="auto"/>
        <w:right w:val="none" w:sz="0" w:space="0" w:color="auto"/>
      </w:divBdr>
    </w:div>
    <w:div w:id="1783331581">
      <w:bodyDiv w:val="1"/>
      <w:marLeft w:val="0"/>
      <w:marRight w:val="0"/>
      <w:marTop w:val="0"/>
      <w:marBottom w:val="0"/>
      <w:divBdr>
        <w:top w:val="none" w:sz="0" w:space="0" w:color="auto"/>
        <w:left w:val="none" w:sz="0" w:space="0" w:color="auto"/>
        <w:bottom w:val="none" w:sz="0" w:space="0" w:color="auto"/>
        <w:right w:val="none" w:sz="0" w:space="0" w:color="auto"/>
      </w:divBdr>
      <w:divsChild>
        <w:div w:id="1106386186">
          <w:marLeft w:val="0"/>
          <w:marRight w:val="0"/>
          <w:marTop w:val="0"/>
          <w:marBottom w:val="0"/>
          <w:divBdr>
            <w:top w:val="none" w:sz="0" w:space="0" w:color="auto"/>
            <w:left w:val="none" w:sz="0" w:space="0" w:color="auto"/>
            <w:bottom w:val="none" w:sz="0" w:space="0" w:color="auto"/>
            <w:right w:val="none" w:sz="0" w:space="0" w:color="auto"/>
          </w:divBdr>
        </w:div>
        <w:div w:id="291324856">
          <w:marLeft w:val="0"/>
          <w:marRight w:val="0"/>
          <w:marTop w:val="0"/>
          <w:marBottom w:val="0"/>
          <w:divBdr>
            <w:top w:val="none" w:sz="0" w:space="0" w:color="auto"/>
            <w:left w:val="none" w:sz="0" w:space="0" w:color="auto"/>
            <w:bottom w:val="none" w:sz="0" w:space="0" w:color="auto"/>
            <w:right w:val="none" w:sz="0" w:space="0" w:color="auto"/>
          </w:divBdr>
        </w:div>
        <w:div w:id="79721013">
          <w:marLeft w:val="0"/>
          <w:marRight w:val="0"/>
          <w:marTop w:val="0"/>
          <w:marBottom w:val="0"/>
          <w:divBdr>
            <w:top w:val="none" w:sz="0" w:space="0" w:color="auto"/>
            <w:left w:val="none" w:sz="0" w:space="0" w:color="auto"/>
            <w:bottom w:val="none" w:sz="0" w:space="0" w:color="auto"/>
            <w:right w:val="none" w:sz="0" w:space="0" w:color="auto"/>
          </w:divBdr>
        </w:div>
        <w:div w:id="1921451938">
          <w:marLeft w:val="0"/>
          <w:marRight w:val="0"/>
          <w:marTop w:val="0"/>
          <w:marBottom w:val="0"/>
          <w:divBdr>
            <w:top w:val="none" w:sz="0" w:space="0" w:color="auto"/>
            <w:left w:val="none" w:sz="0" w:space="0" w:color="auto"/>
            <w:bottom w:val="none" w:sz="0" w:space="0" w:color="auto"/>
            <w:right w:val="none" w:sz="0" w:space="0" w:color="auto"/>
          </w:divBdr>
        </w:div>
      </w:divsChild>
    </w:div>
    <w:div w:id="1793865608">
      <w:bodyDiv w:val="1"/>
      <w:marLeft w:val="0"/>
      <w:marRight w:val="0"/>
      <w:marTop w:val="0"/>
      <w:marBottom w:val="0"/>
      <w:divBdr>
        <w:top w:val="none" w:sz="0" w:space="0" w:color="auto"/>
        <w:left w:val="none" w:sz="0" w:space="0" w:color="auto"/>
        <w:bottom w:val="none" w:sz="0" w:space="0" w:color="auto"/>
        <w:right w:val="none" w:sz="0" w:space="0" w:color="auto"/>
      </w:divBdr>
    </w:div>
    <w:div w:id="18291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B293C-05EF-4CA5-9D96-A9BD5BDF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10659</Words>
  <Characters>6076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Likumprojekta anotācija</vt:lpstr>
    </vt:vector>
  </TitlesOfParts>
  <Company>vidm</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anotācija</dc:title>
  <dc:creator>LindaT</dc:creator>
  <cp:lastModifiedBy>Jekaterina Borovika</cp:lastModifiedBy>
  <cp:revision>3</cp:revision>
  <cp:lastPrinted>2015-05-11T13:43:00Z</cp:lastPrinted>
  <dcterms:created xsi:type="dcterms:W3CDTF">2015-11-10T12:57:00Z</dcterms:created>
  <dcterms:modified xsi:type="dcterms:W3CDTF">2015-11-10T12:58:00Z</dcterms:modified>
</cp:coreProperties>
</file>