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51" w:rsidRPr="00D16D7C" w:rsidRDefault="00CB5E51" w:rsidP="00CB5E51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15DC1" w:rsidRPr="00D16D7C" w:rsidRDefault="00D61CC9" w:rsidP="00515DC1">
      <w:pPr>
        <w:pStyle w:val="Heading3"/>
        <w:numPr>
          <w:ilvl w:val="0"/>
          <w:numId w:val="4"/>
        </w:numPr>
        <w:jc w:val="right"/>
        <w:rPr>
          <w:rFonts w:ascii="Times New Roman" w:hAnsi="Times New Roman" w:cs="Times New Roman"/>
          <w:color w:val="auto"/>
        </w:rPr>
      </w:pPr>
      <w:bookmarkStart w:id="0" w:name="_Toc426099714"/>
      <w:bookmarkStart w:id="1" w:name="_Toc426112326"/>
      <w:r>
        <w:rPr>
          <w:rFonts w:ascii="Times New Roman" w:hAnsi="Times New Roman" w:cs="Times New Roman"/>
          <w:color w:val="auto"/>
        </w:rPr>
        <w:t>p</w:t>
      </w:r>
      <w:r w:rsidR="00CB5E51" w:rsidRPr="00D16D7C">
        <w:rPr>
          <w:rFonts w:ascii="Times New Roman" w:hAnsi="Times New Roman" w:cs="Times New Roman"/>
          <w:color w:val="auto"/>
        </w:rPr>
        <w:t>ielikums</w:t>
      </w:r>
      <w:r w:rsidR="00515DC1" w:rsidRPr="00D16D7C">
        <w:rPr>
          <w:rFonts w:ascii="Times New Roman" w:hAnsi="Times New Roman" w:cs="Times New Roman"/>
          <w:color w:val="auto"/>
        </w:rPr>
        <w:t xml:space="preserve"> informatīvajam ziņojumam </w:t>
      </w:r>
    </w:p>
    <w:p w:rsidR="001F6F77" w:rsidRPr="00D16D7C" w:rsidRDefault="00515DC1" w:rsidP="00515DC1">
      <w:pPr>
        <w:pStyle w:val="Heading3"/>
        <w:ind w:left="720"/>
        <w:jc w:val="right"/>
        <w:rPr>
          <w:rFonts w:ascii="Times New Roman" w:hAnsi="Times New Roman" w:cs="Times New Roman"/>
          <w:color w:val="auto"/>
        </w:rPr>
      </w:pPr>
      <w:r w:rsidRPr="00D16D7C">
        <w:rPr>
          <w:rFonts w:ascii="Times New Roman" w:hAnsi="Times New Roman" w:cs="Times New Roman"/>
          <w:color w:val="auto"/>
        </w:rPr>
        <w:t xml:space="preserve">“Par pasākumiem aizsargājamo biotopu </w:t>
      </w:r>
    </w:p>
    <w:p w:rsidR="00CB5E51" w:rsidRPr="00D16D7C" w:rsidRDefault="00515DC1" w:rsidP="00515DC1">
      <w:pPr>
        <w:pStyle w:val="Heading3"/>
        <w:ind w:left="720"/>
        <w:jc w:val="right"/>
        <w:rPr>
          <w:rFonts w:ascii="Times New Roman" w:hAnsi="Times New Roman" w:cs="Times New Roman"/>
          <w:color w:val="auto"/>
        </w:rPr>
      </w:pPr>
      <w:r w:rsidRPr="00D16D7C">
        <w:rPr>
          <w:rFonts w:ascii="Times New Roman" w:hAnsi="Times New Roman" w:cs="Times New Roman"/>
          <w:color w:val="auto"/>
        </w:rPr>
        <w:t>izplatības un kvalitātes apzināšanai”</w:t>
      </w:r>
    </w:p>
    <w:p w:rsidR="00CB5E51" w:rsidRPr="00D16D7C" w:rsidRDefault="00CB5E51" w:rsidP="00515DC1">
      <w:pPr>
        <w:pStyle w:val="Heading3"/>
        <w:rPr>
          <w:rFonts w:ascii="Times New Roman" w:hAnsi="Times New Roman" w:cs="Times New Roman"/>
          <w:color w:val="auto"/>
        </w:rPr>
      </w:pPr>
    </w:p>
    <w:p w:rsidR="001F6F77" w:rsidRPr="00D16D7C" w:rsidRDefault="001F6F77" w:rsidP="001F6F77"/>
    <w:p w:rsidR="00CB5E51" w:rsidRPr="00EF798B" w:rsidRDefault="00CB5E51" w:rsidP="00CB5E51">
      <w:pPr>
        <w:pStyle w:val="Heading3"/>
        <w:rPr>
          <w:rFonts w:ascii="Times New Roman" w:hAnsi="Times New Roman" w:cs="Times New Roman"/>
          <w:b/>
          <w:color w:val="auto"/>
        </w:rPr>
      </w:pPr>
      <w:r w:rsidRPr="00EF798B">
        <w:rPr>
          <w:rFonts w:ascii="Times New Roman" w:hAnsi="Times New Roman" w:cs="Times New Roman"/>
          <w:b/>
          <w:color w:val="auto"/>
        </w:rPr>
        <w:t>Obligāti apsekojamās teritorijas</w:t>
      </w:r>
    </w:p>
    <w:p w:rsidR="00CB5E51" w:rsidRPr="00D16D7C" w:rsidRDefault="00CB5E51" w:rsidP="00CB5E51"/>
    <w:p w:rsidR="00CB5E51" w:rsidRPr="00EF798B" w:rsidRDefault="00CB5E51" w:rsidP="00CB5E51">
      <w:pPr>
        <w:pStyle w:val="Heading3"/>
        <w:rPr>
          <w:rFonts w:ascii="Times New Roman" w:hAnsi="Times New Roman" w:cs="Times New Roman"/>
          <w:b/>
          <w:color w:val="auto"/>
        </w:rPr>
      </w:pPr>
      <w:r w:rsidRPr="00EF798B">
        <w:rPr>
          <w:rFonts w:ascii="Times New Roman" w:hAnsi="Times New Roman" w:cs="Times New Roman"/>
          <w:b/>
          <w:color w:val="auto"/>
        </w:rPr>
        <w:t>I. Mežaudzes:</w:t>
      </w:r>
      <w:bookmarkEnd w:id="0"/>
      <w:bookmarkEnd w:id="1"/>
    </w:p>
    <w:p w:rsidR="00CB5E51" w:rsidRPr="00D16D7C" w:rsidRDefault="00CB5E51" w:rsidP="00CB5E51">
      <w:pPr>
        <w:pStyle w:val="ListParagraph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D16D7C">
        <w:rPr>
          <w:rFonts w:ascii="Times New Roman" w:hAnsi="Times New Roman" w:cs="Times New Roman"/>
          <w:sz w:val="24"/>
          <w:szCs w:val="24"/>
        </w:rPr>
        <w:t xml:space="preserve">1.Ģeotelpisko datu slānis, kura atribūtu datos norādāmi dati, kas atlasīti pēc 1., 2. un 3. tabulā minētajiem kritērijiem, un nogabalus aprakstošie dati: </w:t>
      </w:r>
    </w:p>
    <w:p w:rsidR="00CB5E51" w:rsidRPr="00D16D7C" w:rsidRDefault="00CB5E51" w:rsidP="00CB5E51">
      <w:pPr>
        <w:ind w:left="1418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D7C">
        <w:rPr>
          <w:rFonts w:ascii="Times New Roman" w:hAnsi="Times New Roman" w:cs="Times New Roman"/>
          <w:sz w:val="24"/>
          <w:szCs w:val="24"/>
        </w:rPr>
        <w:t xml:space="preserve">1.1. nogabala raksturojošā īpatnība - speciālā informācija - atzīme par vides un dabas resursu aizsargjoslām, bioloģiski nozīmīgiem meža struktūras elementiem – mežaudzēm ezeru salās, mežaudzēm purvu salās, meža puduriem, mežaudzēm ūdens teču un ūdenstilpju palienēs, ģeoloģiskiem un ģeomorfoloģiskiem veidojumiem (gravām, kritenēm, noslīdeņiem, iežu atsegumiem), avotiem, </w:t>
      </w:r>
      <w:proofErr w:type="spellStart"/>
      <w:r w:rsidRPr="00D16D7C">
        <w:rPr>
          <w:rFonts w:ascii="Times New Roman" w:hAnsi="Times New Roman" w:cs="Times New Roman"/>
          <w:sz w:val="24"/>
          <w:szCs w:val="24"/>
        </w:rPr>
        <w:t>avoksnājiem</w:t>
      </w:r>
      <w:proofErr w:type="spellEnd"/>
      <w:r w:rsidRPr="00D16D7C">
        <w:rPr>
          <w:rFonts w:ascii="Times New Roman" w:hAnsi="Times New Roman" w:cs="Times New Roman"/>
          <w:sz w:val="24"/>
          <w:szCs w:val="24"/>
        </w:rPr>
        <w:t xml:space="preserve"> un bioloģiski vērtīgām mežaudzēm (īpaši aizsargājamiem meža iecirkņiem);</w:t>
      </w:r>
    </w:p>
    <w:p w:rsidR="00CB5E51" w:rsidRPr="00D16D7C" w:rsidRDefault="00CB5E51" w:rsidP="00CB5E51">
      <w:p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6D7C">
        <w:rPr>
          <w:rFonts w:ascii="Times New Roman" w:hAnsi="Times New Roman" w:cs="Times New Roman"/>
          <w:sz w:val="24"/>
          <w:szCs w:val="24"/>
        </w:rPr>
        <w:t>1.2. mežaudzes izcelsmes veids;</w:t>
      </w:r>
    </w:p>
    <w:p w:rsidR="00CB5E51" w:rsidRPr="00D16D7C" w:rsidRDefault="00CB5E51" w:rsidP="00CB5E51">
      <w:p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6D7C">
        <w:rPr>
          <w:rFonts w:ascii="Times New Roman" w:hAnsi="Times New Roman" w:cs="Times New Roman"/>
          <w:sz w:val="24"/>
          <w:szCs w:val="24"/>
        </w:rPr>
        <w:t>1.3. mežaudzes sastāvs, mežaudzes vecums, meža tips;</w:t>
      </w:r>
    </w:p>
    <w:p w:rsidR="00CB5E51" w:rsidRPr="00D16D7C" w:rsidRDefault="00CB5E51" w:rsidP="00CB5E51">
      <w:p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6D7C">
        <w:rPr>
          <w:rFonts w:ascii="Times New Roman" w:hAnsi="Times New Roman" w:cs="Times New Roman"/>
          <w:sz w:val="24"/>
          <w:szCs w:val="24"/>
        </w:rPr>
        <w:t>1.4. meža inventarizācijas gads.</w:t>
      </w:r>
    </w:p>
    <w:p w:rsidR="00CB5E51" w:rsidRPr="00D16D7C" w:rsidRDefault="00CB5E51" w:rsidP="00CB5E51">
      <w:pPr>
        <w:spacing w:after="200" w:line="276" w:lineRule="auto"/>
        <w:ind w:left="142" w:hanging="142"/>
        <w:jc w:val="both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bookmarkStart w:id="2" w:name="_Toc465742517"/>
      <w:r w:rsidRPr="00D16D7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2. ģeotelpiskais slānis ar informāciju par meža ugunsgrēkiem kopš 2007. gada. </w:t>
      </w:r>
      <w:proofErr w:type="spellStart"/>
      <w:r w:rsidRPr="00D16D7C">
        <w:rPr>
          <w:rFonts w:ascii="Times New Roman" w:eastAsia="Calibri" w:hAnsi="Times New Roman" w:cs="Times New Roman"/>
          <w:sz w:val="24"/>
          <w:szCs w:val="24"/>
          <w:lang w:eastAsia="lv-LV"/>
        </w:rPr>
        <w:t>Atribūtdatos</w:t>
      </w:r>
      <w:proofErr w:type="spellEnd"/>
      <w:r w:rsidRPr="00D16D7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– gads, nogabalu aprakstošie lauki (sk. pielikumu).</w:t>
      </w:r>
    </w:p>
    <w:p w:rsidR="00CB5E51" w:rsidRPr="00D16D7C" w:rsidRDefault="00CB5E51" w:rsidP="00CB5E51">
      <w:pPr>
        <w:pStyle w:val="ListParagraph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D7C">
        <w:rPr>
          <w:rFonts w:ascii="Times New Roman" w:eastAsia="Calibri" w:hAnsi="Times New Roman" w:cs="Times New Roman"/>
          <w:sz w:val="24"/>
          <w:szCs w:val="24"/>
        </w:rPr>
        <w:t xml:space="preserve">2.1. Mežaudzes, kur sastāva formulā „plusos” (&lt;5%) ir P, </w:t>
      </w:r>
      <w:proofErr w:type="spellStart"/>
      <w:r w:rsidRPr="00D16D7C">
        <w:rPr>
          <w:rFonts w:ascii="Times New Roman" w:eastAsia="Calibri" w:hAnsi="Times New Roman" w:cs="Times New Roman"/>
          <w:sz w:val="24"/>
          <w:szCs w:val="24"/>
        </w:rPr>
        <w:t>Oz</w:t>
      </w:r>
      <w:proofErr w:type="spellEnd"/>
      <w:r w:rsidRPr="00D16D7C">
        <w:rPr>
          <w:rFonts w:ascii="Times New Roman" w:eastAsia="Calibri" w:hAnsi="Times New Roman" w:cs="Times New Roman"/>
          <w:sz w:val="24"/>
          <w:szCs w:val="24"/>
        </w:rPr>
        <w:t xml:space="preserve"> &gt; 140 gadiem (+</w:t>
      </w:r>
      <w:r w:rsidRPr="00D16D7C">
        <w:rPr>
          <w:rFonts w:ascii="Times New Roman" w:eastAsia="Calibri" w:hAnsi="Times New Roman" w:cs="Times New Roman"/>
          <w:sz w:val="24"/>
          <w:szCs w:val="24"/>
          <w:lang w:eastAsia="lv-LV"/>
        </w:rPr>
        <w:t>nogabalu aprakstošie lauki</w:t>
      </w:r>
      <w:r w:rsidRPr="00D16D7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B5E51" w:rsidRPr="00D16D7C" w:rsidRDefault="00CB5E51" w:rsidP="00CB5E51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D7C">
        <w:rPr>
          <w:rFonts w:ascii="Times New Roman" w:eastAsia="Calibri" w:hAnsi="Times New Roman" w:cs="Times New Roman"/>
          <w:sz w:val="24"/>
          <w:szCs w:val="24"/>
        </w:rPr>
        <w:t xml:space="preserve">2.2. egle pirmajā stāvā sastāda </w:t>
      </w:r>
      <w:r w:rsidRPr="00D16D7C">
        <w:rPr>
          <w:rFonts w:ascii="Times New Roman" w:eastAsia="Calibri" w:hAnsi="Times New Roman" w:cs="Times New Roman"/>
          <w:sz w:val="24"/>
          <w:szCs w:val="24"/>
          <w:u w:val="single"/>
        </w:rPr>
        <w:t>&gt;</w:t>
      </w:r>
      <w:r w:rsidRPr="00D16D7C">
        <w:rPr>
          <w:rFonts w:ascii="Times New Roman" w:eastAsia="Calibri" w:hAnsi="Times New Roman" w:cs="Times New Roman"/>
          <w:sz w:val="24"/>
          <w:szCs w:val="24"/>
        </w:rPr>
        <w:t xml:space="preserve"> 4 un vecums ir </w:t>
      </w:r>
      <w:r w:rsidRPr="00D16D7C">
        <w:rPr>
          <w:rFonts w:ascii="Times New Roman" w:eastAsia="Calibri" w:hAnsi="Times New Roman" w:cs="Times New Roman"/>
          <w:sz w:val="24"/>
          <w:szCs w:val="24"/>
          <w:u w:val="single"/>
        </w:rPr>
        <w:t>&gt;</w:t>
      </w:r>
      <w:r w:rsidRPr="00D16D7C">
        <w:rPr>
          <w:rFonts w:ascii="Times New Roman" w:eastAsia="Calibri" w:hAnsi="Times New Roman" w:cs="Times New Roman"/>
          <w:sz w:val="24"/>
          <w:szCs w:val="24"/>
        </w:rPr>
        <w:t xml:space="preserve"> 60 gadiem. (+</w:t>
      </w:r>
      <w:r w:rsidRPr="00D16D7C">
        <w:rPr>
          <w:rFonts w:ascii="Times New Roman" w:eastAsia="Calibri" w:hAnsi="Times New Roman" w:cs="Times New Roman"/>
          <w:sz w:val="24"/>
          <w:szCs w:val="24"/>
          <w:lang w:eastAsia="lv-LV"/>
        </w:rPr>
        <w:t>nogabalu aprakstošie lauki</w:t>
      </w:r>
      <w:r w:rsidRPr="00D16D7C">
        <w:rPr>
          <w:rFonts w:ascii="Times New Roman" w:eastAsia="Calibri" w:hAnsi="Times New Roman" w:cs="Times New Roman"/>
          <w:sz w:val="24"/>
          <w:szCs w:val="24"/>
        </w:rPr>
        <w:t xml:space="preserve">). Meža tips: vēris, gārša, damaksnis, platlapju </w:t>
      </w:r>
      <w:proofErr w:type="spellStart"/>
      <w:r w:rsidRPr="00D16D7C">
        <w:rPr>
          <w:rFonts w:ascii="Times New Roman" w:eastAsia="Calibri" w:hAnsi="Times New Roman" w:cs="Times New Roman"/>
          <w:sz w:val="24"/>
          <w:szCs w:val="24"/>
        </w:rPr>
        <w:t>ārenis</w:t>
      </w:r>
      <w:proofErr w:type="spellEnd"/>
      <w:r w:rsidRPr="00D16D7C">
        <w:rPr>
          <w:rFonts w:ascii="Times New Roman" w:eastAsia="Calibri" w:hAnsi="Times New Roman" w:cs="Times New Roman"/>
          <w:sz w:val="24"/>
          <w:szCs w:val="24"/>
        </w:rPr>
        <w:t xml:space="preserve">, platlapju </w:t>
      </w:r>
      <w:proofErr w:type="spellStart"/>
      <w:r w:rsidRPr="00D16D7C">
        <w:rPr>
          <w:rFonts w:ascii="Times New Roman" w:eastAsia="Calibri" w:hAnsi="Times New Roman" w:cs="Times New Roman"/>
          <w:sz w:val="24"/>
          <w:szCs w:val="24"/>
        </w:rPr>
        <w:t>kūdrenis</w:t>
      </w:r>
      <w:proofErr w:type="spellEnd"/>
      <w:r w:rsidRPr="00D16D7C">
        <w:rPr>
          <w:rFonts w:ascii="Times New Roman" w:eastAsia="Calibri" w:hAnsi="Times New Roman" w:cs="Times New Roman"/>
          <w:sz w:val="24"/>
          <w:szCs w:val="24"/>
        </w:rPr>
        <w:t>, slapjā gārša, slapjais vēris, dumbrājs.</w:t>
      </w:r>
    </w:p>
    <w:p w:rsidR="00CB5E51" w:rsidRPr="00D16D7C" w:rsidRDefault="00CB5E51" w:rsidP="00CB5E51">
      <w:pPr>
        <w:keepNext/>
        <w:numPr>
          <w:ilvl w:val="0"/>
          <w:numId w:val="1"/>
        </w:numPr>
        <w:spacing w:before="24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16D7C">
        <w:rPr>
          <w:rFonts w:ascii="Times New Roman" w:eastAsia="Times New Roman" w:hAnsi="Times New Roman" w:cs="Times New Roman"/>
          <w:sz w:val="24"/>
          <w:szCs w:val="24"/>
          <w:lang w:eastAsia="lv-LV"/>
        </w:rPr>
        <w:t>2.3. Purvi – sūnu, zāļu, pārejas (meža zemes veidi – 21, 22, 23).</w:t>
      </w:r>
    </w:p>
    <w:p w:rsidR="00CB5E51" w:rsidRPr="00D16D7C" w:rsidRDefault="00CB5E51" w:rsidP="00CB5E51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D7C">
        <w:rPr>
          <w:rFonts w:ascii="Times New Roman" w:eastAsia="Calibri" w:hAnsi="Times New Roman" w:cs="Times New Roman"/>
          <w:sz w:val="24"/>
          <w:szCs w:val="24"/>
        </w:rPr>
        <w:t xml:space="preserve">2.4. Valsts meža dienesta slānis par dabiskajiem meža biotopiem (MKT) un 10 gadus vecie, neaktualizētie </w:t>
      </w:r>
      <w:proofErr w:type="spellStart"/>
      <w:r w:rsidRPr="00D16D7C">
        <w:rPr>
          <w:rFonts w:ascii="Times New Roman" w:eastAsia="Calibri" w:hAnsi="Times New Roman" w:cs="Times New Roman"/>
          <w:sz w:val="24"/>
          <w:szCs w:val="24"/>
        </w:rPr>
        <w:t>atribūtdati</w:t>
      </w:r>
      <w:proofErr w:type="spellEnd"/>
      <w:r w:rsidRPr="00D16D7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B5E51" w:rsidRPr="00D16D7C" w:rsidRDefault="00CB5E51" w:rsidP="00CB5E51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D7C">
        <w:rPr>
          <w:rFonts w:ascii="Times New Roman" w:eastAsia="Calibri" w:hAnsi="Times New Roman" w:cs="Times New Roman"/>
          <w:sz w:val="24"/>
          <w:szCs w:val="24"/>
        </w:rPr>
        <w:t>2.5. Īpaši aizsargājamie meža iecirkņi (no tekstuālās bāzes) – aizsargājams augs (aizsardzības atzīme 99010086)</w:t>
      </w:r>
    </w:p>
    <w:p w:rsidR="00CB5E51" w:rsidRPr="00D16D7C" w:rsidRDefault="00CB5E51" w:rsidP="00CB5E51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D7C">
        <w:rPr>
          <w:rFonts w:ascii="Times New Roman" w:eastAsia="Calibri" w:hAnsi="Times New Roman" w:cs="Times New Roman"/>
          <w:sz w:val="24"/>
          <w:szCs w:val="24"/>
        </w:rPr>
        <w:t xml:space="preserve">2.6. Ģeotelpisko datu slānis, kas ietver informāciju par dabiskajiem meža biotopiem (turpmāk – DMB) un potenciālajiem dabiskajiem meža biotopiem (turpmāk – </w:t>
      </w:r>
      <w:proofErr w:type="spellStart"/>
      <w:r w:rsidRPr="00D16D7C">
        <w:rPr>
          <w:rFonts w:ascii="Times New Roman" w:eastAsia="Calibri" w:hAnsi="Times New Roman" w:cs="Times New Roman"/>
          <w:sz w:val="24"/>
          <w:szCs w:val="24"/>
        </w:rPr>
        <w:t>pDMB</w:t>
      </w:r>
      <w:proofErr w:type="spellEnd"/>
      <w:r w:rsidRPr="00D16D7C">
        <w:rPr>
          <w:rFonts w:ascii="Times New Roman" w:eastAsia="Calibri" w:hAnsi="Times New Roman" w:cs="Times New Roman"/>
          <w:sz w:val="24"/>
          <w:szCs w:val="24"/>
        </w:rPr>
        <w:t xml:space="preserve">), norādot atribūtu datos DMB vai </w:t>
      </w:r>
      <w:proofErr w:type="spellStart"/>
      <w:r w:rsidRPr="00D16D7C">
        <w:rPr>
          <w:rFonts w:ascii="Times New Roman" w:eastAsia="Calibri" w:hAnsi="Times New Roman" w:cs="Times New Roman"/>
          <w:sz w:val="24"/>
          <w:szCs w:val="24"/>
        </w:rPr>
        <w:t>pDMB</w:t>
      </w:r>
      <w:proofErr w:type="spellEnd"/>
      <w:r w:rsidRPr="00D16D7C">
        <w:rPr>
          <w:rFonts w:ascii="Times New Roman" w:eastAsia="Calibri" w:hAnsi="Times New Roman" w:cs="Times New Roman"/>
          <w:sz w:val="24"/>
          <w:szCs w:val="24"/>
        </w:rPr>
        <w:t xml:space="preserve"> veidu – skuju koku mežs (SKUJ), mistrots skuju-lapu koku mežs (MIS), platlapju mežs (PLAT), apšu mežs (APS), cits lapu koku mežs (LAP), slapjš melnalkšņu mežs (MELN), egļu un mistrots slapjš egļu mežs (SLAP-EGL), slapjie priežu un bērzu mežs (SLAP-PRIE), slapjš platlapju mežs (SLAP-PLA), gravas mežs (GRAV), nogāzes mežs (NOGĀZ), krastmalas mežs (KRAST), avotains mežs (AVOT), kaļķains skuju koku mežs </w:t>
      </w:r>
      <w:r w:rsidRPr="00D16D7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(KAĻĶ-SKUJ), kaļķains zāļu purvs vai pļava (ZĀĻ-PURV), purva un meža mozaīka (MOZA), </w:t>
      </w:r>
      <w:proofErr w:type="spellStart"/>
      <w:r w:rsidRPr="00D16D7C">
        <w:rPr>
          <w:rFonts w:ascii="Times New Roman" w:eastAsia="Calibri" w:hAnsi="Times New Roman" w:cs="Times New Roman"/>
          <w:sz w:val="24"/>
          <w:szCs w:val="24"/>
        </w:rPr>
        <w:t>biokoks</w:t>
      </w:r>
      <w:proofErr w:type="spellEnd"/>
      <w:r w:rsidRPr="00D16D7C">
        <w:rPr>
          <w:rFonts w:ascii="Times New Roman" w:eastAsia="Calibri" w:hAnsi="Times New Roman" w:cs="Times New Roman"/>
          <w:sz w:val="24"/>
          <w:szCs w:val="24"/>
        </w:rPr>
        <w:t xml:space="preserve"> (KOKS), bioloģiski nozīmīga </w:t>
      </w:r>
      <w:proofErr w:type="spellStart"/>
      <w:r w:rsidRPr="00D16D7C">
        <w:rPr>
          <w:rFonts w:ascii="Times New Roman" w:eastAsia="Calibri" w:hAnsi="Times New Roman" w:cs="Times New Roman"/>
          <w:sz w:val="24"/>
          <w:szCs w:val="24"/>
        </w:rPr>
        <w:t>bebraine</w:t>
      </w:r>
      <w:proofErr w:type="spellEnd"/>
      <w:r w:rsidRPr="00D16D7C">
        <w:rPr>
          <w:rFonts w:ascii="Times New Roman" w:eastAsia="Calibri" w:hAnsi="Times New Roman" w:cs="Times New Roman"/>
          <w:sz w:val="24"/>
          <w:szCs w:val="24"/>
        </w:rPr>
        <w:t xml:space="preserve"> (BEBR). </w:t>
      </w:r>
    </w:p>
    <w:p w:rsidR="00CB5E51" w:rsidRPr="00D16D7C" w:rsidRDefault="00CB5E51" w:rsidP="00CB5E51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D7C">
        <w:rPr>
          <w:rFonts w:ascii="Times New Roman" w:eastAsia="Calibri" w:hAnsi="Times New Roman" w:cs="Times New Roman"/>
          <w:sz w:val="24"/>
          <w:szCs w:val="24"/>
        </w:rPr>
        <w:t>2.2. Ģeotelpisko datu slānis, kas ietver informāciju par medņu riestu vietām (poligoni bez atribūtu datiem).</w:t>
      </w:r>
    </w:p>
    <w:bookmarkEnd w:id="2"/>
    <w:p w:rsidR="00CB5E51" w:rsidRPr="00D16D7C" w:rsidRDefault="00CB5E51" w:rsidP="00CB5E51">
      <w:pPr>
        <w:spacing w:after="0" w:line="276" w:lineRule="auto"/>
        <w:ind w:left="1080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</w:p>
    <w:p w:rsidR="00CB5E51" w:rsidRPr="00D16D7C" w:rsidRDefault="00CB5E51" w:rsidP="00CB5E51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D16D7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tabula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118"/>
        <w:gridCol w:w="1559"/>
        <w:gridCol w:w="1701"/>
      </w:tblGrid>
      <w:tr w:rsidR="00CB5E51" w:rsidRPr="00D16D7C" w:rsidTr="00454887">
        <w:tc>
          <w:tcPr>
            <w:tcW w:w="31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Suga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Vecums no: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% sastāvs audzē sākot no:</w:t>
            </w:r>
          </w:p>
        </w:tc>
      </w:tr>
      <w:tr w:rsidR="00CB5E51" w:rsidRPr="00D16D7C" w:rsidTr="00454887">
        <w:tc>
          <w:tcPr>
            <w:tcW w:w="3118" w:type="dxa"/>
            <w:tcBorders>
              <w:left w:val="double" w:sz="6" w:space="0" w:color="auto"/>
              <w:bottom w:val="sing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Priede </w:t>
            </w:r>
          </w:p>
        </w:tc>
        <w:tc>
          <w:tcPr>
            <w:tcW w:w="1559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CB5E51" w:rsidRPr="00D16D7C" w:rsidTr="00454887"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Egle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CB5E51" w:rsidRPr="00D16D7C" w:rsidTr="00454887"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Ozols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CB5E51" w:rsidRPr="00D16D7C" w:rsidTr="00454887">
        <w:trPr>
          <w:trHeight w:val="217"/>
        </w:trPr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Bērzs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CB5E51" w:rsidRPr="00D16D7C" w:rsidTr="00454887"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Melnalksnis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CB5E51" w:rsidRPr="00D16D7C" w:rsidTr="00454887"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Osis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CB5E51" w:rsidRPr="00D16D7C" w:rsidTr="00454887"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Liepa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CB5E51" w:rsidRPr="00D16D7C" w:rsidTr="00454887"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Goba, Vīksna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CB5E51" w:rsidRPr="00D16D7C" w:rsidTr="00454887"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Kļava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CB5E51" w:rsidRPr="00D16D7C" w:rsidTr="00454887"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Baltalksnis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CB5E51" w:rsidRPr="00D16D7C" w:rsidTr="00454887"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Blīgzna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CB5E51" w:rsidRPr="00D16D7C" w:rsidTr="00454887"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Apse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CB5E51" w:rsidRPr="00D16D7C" w:rsidTr="00454887"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Ozols, kļava, liepa, osis goba, vīksna (savstarpēji mistrojumā)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</w:tbl>
    <w:p w:rsidR="00CB5E51" w:rsidRPr="00D16D7C" w:rsidRDefault="00CB5E51" w:rsidP="00CB5E5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16D7C">
        <w:rPr>
          <w:rFonts w:ascii="Times New Roman" w:eastAsia="Times New Roman" w:hAnsi="Times New Roman" w:cs="Times New Roman"/>
          <w:sz w:val="24"/>
          <w:szCs w:val="24"/>
          <w:lang w:eastAsia="lv-LV"/>
        </w:rPr>
        <w:t>2. tabula</w:t>
      </w:r>
    </w:p>
    <w:p w:rsidR="00CB5E51" w:rsidRPr="00D16D7C" w:rsidRDefault="00CB5E51" w:rsidP="00CB5E5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B5E51" w:rsidRPr="00D16D7C" w:rsidRDefault="00CB5E51" w:rsidP="00CB5E5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D7C">
        <w:rPr>
          <w:rFonts w:ascii="Times New Roman" w:eastAsia="Calibri" w:hAnsi="Times New Roman" w:cs="Times New Roman"/>
          <w:sz w:val="24"/>
          <w:szCs w:val="24"/>
        </w:rPr>
        <w:t xml:space="preserve">Tikai Am; Ap; As; Km; </w:t>
      </w:r>
      <w:proofErr w:type="spellStart"/>
      <w:r w:rsidRPr="00D16D7C">
        <w:rPr>
          <w:rFonts w:ascii="Times New Roman" w:eastAsia="Calibri" w:hAnsi="Times New Roman" w:cs="Times New Roman"/>
          <w:sz w:val="24"/>
          <w:szCs w:val="24"/>
        </w:rPr>
        <w:t>Kp</w:t>
      </w:r>
      <w:proofErr w:type="spellEnd"/>
      <w:r w:rsidRPr="00D16D7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D16D7C">
        <w:rPr>
          <w:rFonts w:ascii="Times New Roman" w:eastAsia="Calibri" w:hAnsi="Times New Roman" w:cs="Times New Roman"/>
          <w:sz w:val="24"/>
          <w:szCs w:val="24"/>
        </w:rPr>
        <w:t>Ks</w:t>
      </w:r>
      <w:proofErr w:type="spellEnd"/>
      <w:r w:rsidRPr="00D16D7C">
        <w:rPr>
          <w:rFonts w:ascii="Times New Roman" w:eastAsia="Calibri" w:hAnsi="Times New Roman" w:cs="Times New Roman"/>
          <w:sz w:val="24"/>
          <w:szCs w:val="24"/>
        </w:rPr>
        <w:t xml:space="preserve">; Gr; </w:t>
      </w:r>
      <w:proofErr w:type="spellStart"/>
      <w:r w:rsidRPr="00D16D7C">
        <w:rPr>
          <w:rFonts w:ascii="Times New Roman" w:eastAsia="Calibri" w:hAnsi="Times New Roman" w:cs="Times New Roman"/>
          <w:sz w:val="24"/>
          <w:szCs w:val="24"/>
        </w:rPr>
        <w:t>Mrs</w:t>
      </w:r>
      <w:proofErr w:type="spellEnd"/>
      <w:r w:rsidRPr="00D16D7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D16D7C">
        <w:rPr>
          <w:rFonts w:ascii="Times New Roman" w:eastAsia="Calibri" w:hAnsi="Times New Roman" w:cs="Times New Roman"/>
          <w:sz w:val="24"/>
          <w:szCs w:val="24"/>
        </w:rPr>
        <w:t>Dms</w:t>
      </w:r>
      <w:proofErr w:type="spellEnd"/>
      <w:r w:rsidRPr="00D16D7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D16D7C">
        <w:rPr>
          <w:rFonts w:ascii="Times New Roman" w:eastAsia="Calibri" w:hAnsi="Times New Roman" w:cs="Times New Roman"/>
          <w:sz w:val="24"/>
          <w:szCs w:val="24"/>
        </w:rPr>
        <w:t>Vrs</w:t>
      </w:r>
      <w:proofErr w:type="spellEnd"/>
      <w:r w:rsidRPr="00D16D7C">
        <w:rPr>
          <w:rFonts w:ascii="Times New Roman" w:eastAsia="Calibri" w:hAnsi="Times New Roman" w:cs="Times New Roman"/>
          <w:sz w:val="24"/>
          <w:szCs w:val="24"/>
        </w:rPr>
        <w:t xml:space="preserve"> meža tipos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118"/>
        <w:gridCol w:w="1559"/>
        <w:gridCol w:w="1701"/>
      </w:tblGrid>
      <w:tr w:rsidR="00CB5E51" w:rsidRPr="00D16D7C" w:rsidTr="00454887">
        <w:tc>
          <w:tcPr>
            <w:tcW w:w="31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Suga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Vecums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% sastāvs audzē sākot no:</w:t>
            </w:r>
          </w:p>
        </w:tc>
      </w:tr>
      <w:tr w:rsidR="00CB5E51" w:rsidRPr="00D16D7C" w:rsidTr="00454887">
        <w:tc>
          <w:tcPr>
            <w:tcW w:w="3118" w:type="dxa"/>
            <w:tcBorders>
              <w:left w:val="double" w:sz="6" w:space="0" w:color="auto"/>
              <w:bottom w:val="sing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Priede</w:t>
            </w:r>
          </w:p>
        </w:tc>
        <w:tc>
          <w:tcPr>
            <w:tcW w:w="1559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CB5E51" w:rsidRPr="00D16D7C" w:rsidTr="00454887"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Egle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CB5E51" w:rsidRPr="00D16D7C" w:rsidTr="00454887"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Ozols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CB5E51" w:rsidRPr="00D16D7C" w:rsidTr="00454887"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Bērzs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CB5E51" w:rsidRPr="00D16D7C" w:rsidTr="00454887"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Melnalksnis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CB5E51" w:rsidRPr="00D16D7C" w:rsidTr="00454887"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Liepa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CB5E51" w:rsidRPr="00D16D7C" w:rsidTr="00454887">
        <w:tc>
          <w:tcPr>
            <w:tcW w:w="3118" w:type="dxa"/>
            <w:tcBorders>
              <w:top w:val="single" w:sz="6" w:space="0" w:color="auto"/>
              <w:lef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Goba, Vīksna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CB5E51" w:rsidRPr="00D16D7C" w:rsidTr="00454887"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Kļava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</w:tbl>
    <w:p w:rsidR="00CB5E51" w:rsidRPr="00D16D7C" w:rsidRDefault="00CB5E51" w:rsidP="00CB5E51">
      <w:pPr>
        <w:keepNext/>
        <w:tabs>
          <w:tab w:val="left" w:pos="2010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16D7C">
        <w:rPr>
          <w:rFonts w:ascii="Times New Roman" w:eastAsia="Times New Roman" w:hAnsi="Times New Roman" w:cs="Times New Roman"/>
          <w:sz w:val="24"/>
          <w:szCs w:val="24"/>
          <w:lang w:eastAsia="lv-LV"/>
        </w:rPr>
        <w:t>3. tabula</w:t>
      </w:r>
    </w:p>
    <w:p w:rsidR="00CB5E51" w:rsidRPr="00D16D7C" w:rsidRDefault="00CB5E51" w:rsidP="00CB5E5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D7C">
        <w:rPr>
          <w:rFonts w:ascii="Times New Roman" w:eastAsia="Calibri" w:hAnsi="Times New Roman" w:cs="Times New Roman"/>
          <w:sz w:val="24"/>
          <w:szCs w:val="24"/>
        </w:rPr>
        <w:t xml:space="preserve">Tikai </w:t>
      </w:r>
      <w:proofErr w:type="spellStart"/>
      <w:r w:rsidRPr="00D16D7C">
        <w:rPr>
          <w:rFonts w:ascii="Times New Roman" w:eastAsia="Calibri" w:hAnsi="Times New Roman" w:cs="Times New Roman"/>
          <w:sz w:val="24"/>
          <w:szCs w:val="24"/>
        </w:rPr>
        <w:t>Nd</w:t>
      </w:r>
      <w:proofErr w:type="spellEnd"/>
      <w:r w:rsidRPr="00D16D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16D7C">
        <w:rPr>
          <w:rFonts w:ascii="Times New Roman" w:eastAsia="Calibri" w:hAnsi="Times New Roman" w:cs="Times New Roman"/>
          <w:sz w:val="24"/>
          <w:szCs w:val="24"/>
        </w:rPr>
        <w:t>Db</w:t>
      </w:r>
      <w:proofErr w:type="spellEnd"/>
      <w:r w:rsidRPr="00D16D7C">
        <w:rPr>
          <w:rFonts w:ascii="Times New Roman" w:eastAsia="Calibri" w:hAnsi="Times New Roman" w:cs="Times New Roman"/>
          <w:sz w:val="24"/>
          <w:szCs w:val="24"/>
        </w:rPr>
        <w:t xml:space="preserve">, Gr, Gs, </w:t>
      </w:r>
      <w:proofErr w:type="spellStart"/>
      <w:r w:rsidRPr="00D16D7C">
        <w:rPr>
          <w:rFonts w:ascii="Times New Roman" w:eastAsia="Calibri" w:hAnsi="Times New Roman" w:cs="Times New Roman"/>
          <w:sz w:val="24"/>
          <w:szCs w:val="24"/>
        </w:rPr>
        <w:t>Grs</w:t>
      </w:r>
      <w:proofErr w:type="spellEnd"/>
      <w:r w:rsidRPr="00D16D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16D7C">
        <w:rPr>
          <w:rFonts w:ascii="Times New Roman" w:eastAsia="Calibri" w:hAnsi="Times New Roman" w:cs="Times New Roman"/>
          <w:sz w:val="24"/>
          <w:szCs w:val="24"/>
        </w:rPr>
        <w:t>Lk</w:t>
      </w:r>
      <w:proofErr w:type="spellEnd"/>
      <w:r w:rsidRPr="00D16D7C">
        <w:rPr>
          <w:rFonts w:ascii="Times New Roman" w:eastAsia="Calibri" w:hAnsi="Times New Roman" w:cs="Times New Roman"/>
          <w:sz w:val="24"/>
          <w:szCs w:val="24"/>
        </w:rPr>
        <w:t xml:space="preserve"> meža tipā</w:t>
      </w:r>
    </w:p>
    <w:tbl>
      <w:tblPr>
        <w:tblW w:w="0" w:type="auto"/>
        <w:tblInd w:w="5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1559"/>
        <w:gridCol w:w="1701"/>
      </w:tblGrid>
      <w:tr w:rsidR="00CB5E51" w:rsidRPr="00D16D7C" w:rsidTr="00454887">
        <w:tc>
          <w:tcPr>
            <w:tcW w:w="3118" w:type="dxa"/>
          </w:tcPr>
          <w:p w:rsidR="00CB5E51" w:rsidRPr="00D16D7C" w:rsidRDefault="00CB5E51" w:rsidP="0045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Suga</w:t>
            </w:r>
          </w:p>
        </w:tc>
        <w:tc>
          <w:tcPr>
            <w:tcW w:w="1559" w:type="dxa"/>
          </w:tcPr>
          <w:p w:rsidR="00CB5E51" w:rsidRPr="00D16D7C" w:rsidRDefault="00CB5E51" w:rsidP="0045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Vecums</w:t>
            </w:r>
          </w:p>
        </w:tc>
        <w:tc>
          <w:tcPr>
            <w:tcW w:w="1701" w:type="dxa"/>
          </w:tcPr>
          <w:p w:rsidR="00CB5E51" w:rsidRPr="00D16D7C" w:rsidRDefault="00CB5E51" w:rsidP="0045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% sastāvs audzē sākot no :</w:t>
            </w:r>
          </w:p>
        </w:tc>
      </w:tr>
      <w:tr w:rsidR="00CB5E51" w:rsidRPr="00D16D7C" w:rsidTr="00454887">
        <w:tc>
          <w:tcPr>
            <w:tcW w:w="3118" w:type="dxa"/>
          </w:tcPr>
          <w:p w:rsidR="00CB5E51" w:rsidRPr="00D16D7C" w:rsidRDefault="00CB5E51" w:rsidP="0045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Egle</w:t>
            </w:r>
          </w:p>
        </w:tc>
        <w:tc>
          <w:tcPr>
            <w:tcW w:w="1559" w:type="dxa"/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1701" w:type="dxa"/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CB5E51" w:rsidRPr="00D16D7C" w:rsidTr="00454887">
        <w:tc>
          <w:tcPr>
            <w:tcW w:w="3118" w:type="dxa"/>
          </w:tcPr>
          <w:p w:rsidR="00CB5E51" w:rsidRPr="00D16D7C" w:rsidRDefault="00CB5E51" w:rsidP="0045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Bērzs</w:t>
            </w:r>
          </w:p>
        </w:tc>
        <w:tc>
          <w:tcPr>
            <w:tcW w:w="1559" w:type="dxa"/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1701" w:type="dxa"/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CB5E51" w:rsidRPr="00D16D7C" w:rsidTr="00454887">
        <w:tc>
          <w:tcPr>
            <w:tcW w:w="3118" w:type="dxa"/>
          </w:tcPr>
          <w:p w:rsidR="00CB5E51" w:rsidRPr="00D16D7C" w:rsidRDefault="00CB5E51" w:rsidP="00454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D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Priede</w:t>
            </w:r>
          </w:p>
        </w:tc>
        <w:tc>
          <w:tcPr>
            <w:tcW w:w="1559" w:type="dxa"/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D7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D7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CB5E51" w:rsidRPr="00D16D7C" w:rsidTr="00454887">
        <w:tc>
          <w:tcPr>
            <w:tcW w:w="3118" w:type="dxa"/>
          </w:tcPr>
          <w:p w:rsidR="00CB5E51" w:rsidRPr="00D16D7C" w:rsidRDefault="00CB5E51" w:rsidP="00454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D7C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D16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elnalksnis</w:t>
            </w:r>
          </w:p>
        </w:tc>
        <w:tc>
          <w:tcPr>
            <w:tcW w:w="1559" w:type="dxa"/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D7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B5E51" w:rsidRPr="00D16D7C" w:rsidRDefault="00CB5E51" w:rsidP="0045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D7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D16D7C" w:rsidRDefault="00D16D7C" w:rsidP="00CB5E51">
      <w:pPr>
        <w:spacing w:after="200" w:line="276" w:lineRule="auto"/>
        <w:ind w:left="1080" w:hanging="938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CB5E51" w:rsidRPr="00D16D7C" w:rsidRDefault="00CB5E51" w:rsidP="00CB5E51">
      <w:pPr>
        <w:spacing w:after="200" w:line="276" w:lineRule="auto"/>
        <w:ind w:left="1080" w:hanging="938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D16D7C">
        <w:rPr>
          <w:rFonts w:ascii="Times New Roman" w:eastAsia="Calibri" w:hAnsi="Times New Roman" w:cs="Times New Roman"/>
          <w:sz w:val="24"/>
          <w:szCs w:val="24"/>
          <w:lang w:eastAsia="lv-LV"/>
        </w:rPr>
        <w:t>Datu avots – Valsts meža dienests; AS “Latvijas Valsts meži”</w:t>
      </w:r>
    </w:p>
    <w:p w:rsidR="00CB5E51" w:rsidRPr="00EF798B" w:rsidRDefault="00CB5E51" w:rsidP="00CB5E51">
      <w:pPr>
        <w:pStyle w:val="Heading3"/>
        <w:rPr>
          <w:rFonts w:ascii="Times New Roman" w:eastAsia="Calibri" w:hAnsi="Times New Roman" w:cs="Times New Roman"/>
          <w:b/>
          <w:color w:val="auto"/>
          <w:lang w:eastAsia="lv-LV"/>
        </w:rPr>
      </w:pPr>
      <w:bookmarkStart w:id="3" w:name="_Toc426099715"/>
      <w:bookmarkStart w:id="4" w:name="_Toc426112327"/>
      <w:r w:rsidRPr="00EF798B">
        <w:rPr>
          <w:rFonts w:ascii="Times New Roman" w:eastAsia="Calibri" w:hAnsi="Times New Roman" w:cs="Times New Roman"/>
          <w:b/>
          <w:color w:val="auto"/>
          <w:lang w:eastAsia="lv-LV"/>
        </w:rPr>
        <w:t>II Lauksaimniecības zemes:</w:t>
      </w:r>
      <w:bookmarkEnd w:id="3"/>
      <w:bookmarkEnd w:id="4"/>
      <w:r w:rsidRPr="00EF798B">
        <w:rPr>
          <w:rFonts w:ascii="Times New Roman" w:eastAsia="Calibri" w:hAnsi="Times New Roman" w:cs="Times New Roman"/>
          <w:b/>
          <w:color w:val="auto"/>
          <w:lang w:eastAsia="lv-LV"/>
        </w:rPr>
        <w:t xml:space="preserve"> </w:t>
      </w:r>
    </w:p>
    <w:p w:rsidR="00CB5E51" w:rsidRPr="00D16D7C" w:rsidRDefault="00CB5E51" w:rsidP="00EF798B">
      <w:pPr>
        <w:spacing w:after="200" w:line="276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D16D7C">
        <w:rPr>
          <w:rFonts w:ascii="Times New Roman" w:eastAsia="Calibri" w:hAnsi="Times New Roman" w:cs="Times New Roman"/>
          <w:sz w:val="24"/>
          <w:szCs w:val="24"/>
          <w:lang w:eastAsia="lv-LV"/>
        </w:rPr>
        <w:t>1.Kultūraugu un zemes izmantošanas veida kods Lauku atbalsta dienesta datubāzē “710 – ilggadīgs zālājs”;</w:t>
      </w:r>
    </w:p>
    <w:p w:rsidR="00CB5E51" w:rsidRPr="00D16D7C" w:rsidRDefault="00CB5E51" w:rsidP="00CB5E51">
      <w:pPr>
        <w:spacing w:after="200" w:line="276" w:lineRule="auto"/>
        <w:ind w:left="142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D16D7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2. Bioloģiski vērtīgi zālāji, kas noteikti līdz 2013.gadam </w:t>
      </w:r>
    </w:p>
    <w:p w:rsidR="00CB5E51" w:rsidRPr="00D16D7C" w:rsidRDefault="00CB5E51" w:rsidP="00EF798B">
      <w:pPr>
        <w:spacing w:after="200" w:line="276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D16D7C">
        <w:rPr>
          <w:rFonts w:ascii="Times New Roman" w:eastAsia="Calibri" w:hAnsi="Times New Roman" w:cs="Times New Roman"/>
          <w:sz w:val="24"/>
          <w:szCs w:val="24"/>
          <w:lang w:eastAsia="lv-LV"/>
        </w:rPr>
        <w:t>Datu avots – Lauku atbalsta dienests, Latvijas Dabas fonds, Dabas aizsardzības pārvalde.</w:t>
      </w:r>
    </w:p>
    <w:p w:rsidR="00CB5E51" w:rsidRPr="00EF798B" w:rsidRDefault="00CB5E51" w:rsidP="00CB5E51">
      <w:pPr>
        <w:pStyle w:val="Heading3"/>
        <w:rPr>
          <w:rFonts w:ascii="Times New Roman" w:eastAsia="Calibri" w:hAnsi="Times New Roman" w:cs="Times New Roman"/>
          <w:b/>
          <w:color w:val="auto"/>
          <w:lang w:eastAsia="lv-LV"/>
        </w:rPr>
      </w:pPr>
      <w:bookmarkStart w:id="5" w:name="_Toc426099716"/>
      <w:bookmarkStart w:id="6" w:name="_Toc426112328"/>
      <w:r w:rsidRPr="00EF798B">
        <w:rPr>
          <w:rFonts w:ascii="Times New Roman" w:eastAsia="Calibri" w:hAnsi="Times New Roman" w:cs="Times New Roman"/>
          <w:b/>
          <w:color w:val="auto"/>
          <w:lang w:eastAsia="lv-LV"/>
        </w:rPr>
        <w:t>III Cits:</w:t>
      </w:r>
      <w:bookmarkEnd w:id="5"/>
      <w:bookmarkEnd w:id="6"/>
    </w:p>
    <w:p w:rsidR="00CB5E51" w:rsidRPr="00D16D7C" w:rsidRDefault="00CB5E51" w:rsidP="00515DC1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D16D7C">
        <w:rPr>
          <w:rFonts w:ascii="Times New Roman" w:eastAsia="Calibri" w:hAnsi="Times New Roman" w:cs="Times New Roman"/>
          <w:sz w:val="24"/>
          <w:szCs w:val="24"/>
          <w:lang w:eastAsia="lv-LV"/>
        </w:rPr>
        <w:t>Informācija par īpaši aizsargājamiem biotopiem, sugu atradnēm, mikroliegumiem;</w:t>
      </w:r>
    </w:p>
    <w:p w:rsidR="00CB5E51" w:rsidRPr="00D16D7C" w:rsidRDefault="00CB5E51" w:rsidP="00515DC1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D16D7C">
        <w:rPr>
          <w:rFonts w:ascii="Times New Roman" w:eastAsia="Calibri" w:hAnsi="Times New Roman" w:cs="Times New Roman"/>
          <w:sz w:val="24"/>
          <w:szCs w:val="24"/>
          <w:lang w:eastAsia="lv-LV"/>
        </w:rPr>
        <w:t>Ģeomorfoloģiskā informācija par osu un iekšzemes kāpu izplatību, topogrāfiskā informācija;</w:t>
      </w:r>
    </w:p>
    <w:p w:rsidR="00CB5E51" w:rsidRPr="00D16D7C" w:rsidRDefault="00CB5E51" w:rsidP="00CB5E51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D16D7C">
        <w:rPr>
          <w:rFonts w:ascii="Times New Roman" w:eastAsia="Calibri" w:hAnsi="Times New Roman" w:cs="Times New Roman"/>
          <w:sz w:val="24"/>
          <w:szCs w:val="24"/>
          <w:lang w:eastAsia="lv-LV"/>
        </w:rPr>
        <w:t>Upes un ezeri.</w:t>
      </w:r>
    </w:p>
    <w:p w:rsidR="00CB5E51" w:rsidRPr="00D16D7C" w:rsidRDefault="00CB5E51" w:rsidP="00EF798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D16D7C">
        <w:rPr>
          <w:rFonts w:ascii="Times New Roman" w:eastAsia="Calibri" w:hAnsi="Times New Roman" w:cs="Times New Roman"/>
          <w:sz w:val="24"/>
          <w:szCs w:val="24"/>
          <w:lang w:eastAsia="lv-LV"/>
        </w:rPr>
        <w:t>Datu avots – Dabas aizsardzības pārvalde, Latvijas Vides</w:t>
      </w:r>
      <w:r w:rsidR="00D16D7C">
        <w:rPr>
          <w:rFonts w:ascii="Times New Roman" w:eastAsia="Calibri" w:hAnsi="Times New Roman" w:cs="Times New Roman"/>
          <w:sz w:val="24"/>
          <w:szCs w:val="24"/>
          <w:lang w:eastAsia="lv-LV"/>
        </w:rPr>
        <w:t>, ģ</w:t>
      </w:r>
      <w:r w:rsidRPr="00D16D7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eoloģijas un </w:t>
      </w:r>
      <w:r w:rsidR="00D16D7C">
        <w:rPr>
          <w:rFonts w:ascii="Times New Roman" w:eastAsia="Calibri" w:hAnsi="Times New Roman" w:cs="Times New Roman"/>
          <w:sz w:val="24"/>
          <w:szCs w:val="24"/>
          <w:lang w:eastAsia="lv-LV"/>
        </w:rPr>
        <w:t>meteoroloģijas centrs, Latvijas Ģeotelpiskās i</w:t>
      </w:r>
      <w:r w:rsidRPr="00D16D7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nformācijas </w:t>
      </w:r>
      <w:r w:rsidR="00D16D7C">
        <w:rPr>
          <w:rFonts w:ascii="Times New Roman" w:eastAsia="Calibri" w:hAnsi="Times New Roman" w:cs="Times New Roman"/>
          <w:sz w:val="24"/>
          <w:szCs w:val="24"/>
          <w:lang w:eastAsia="lv-LV"/>
        </w:rPr>
        <w:t>a</w:t>
      </w:r>
      <w:r w:rsidRPr="00D16D7C">
        <w:rPr>
          <w:rFonts w:ascii="Times New Roman" w:eastAsia="Calibri" w:hAnsi="Times New Roman" w:cs="Times New Roman"/>
          <w:sz w:val="24"/>
          <w:szCs w:val="24"/>
          <w:lang w:eastAsia="lv-LV"/>
        </w:rPr>
        <w:t>ģentūra</w:t>
      </w:r>
    </w:p>
    <w:p w:rsidR="00CB5E51" w:rsidRPr="00D16D7C" w:rsidRDefault="00CB5E51" w:rsidP="00CB5E51">
      <w:pPr>
        <w:rPr>
          <w:rFonts w:asciiTheme="majorBidi" w:hAnsiTheme="majorBidi" w:cstheme="majorBidi"/>
          <w:sz w:val="24"/>
          <w:szCs w:val="24"/>
        </w:rPr>
      </w:pPr>
    </w:p>
    <w:p w:rsidR="00D16D7C" w:rsidRPr="00D16D7C" w:rsidRDefault="001F6F77" w:rsidP="001F6F7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16D7C">
        <w:rPr>
          <w:rFonts w:asciiTheme="majorBidi" w:hAnsiTheme="majorBidi" w:cstheme="majorBidi"/>
          <w:sz w:val="24"/>
          <w:szCs w:val="24"/>
        </w:rPr>
        <w:t>Vides aizsardzības un reģionālās attīstības ministrs</w:t>
      </w:r>
      <w:r w:rsidRPr="00D16D7C">
        <w:rPr>
          <w:rFonts w:asciiTheme="majorBidi" w:hAnsiTheme="majorBidi" w:cstheme="majorBidi"/>
          <w:sz w:val="24"/>
          <w:szCs w:val="24"/>
        </w:rPr>
        <w:tab/>
      </w:r>
      <w:r w:rsidRPr="00D16D7C">
        <w:rPr>
          <w:rFonts w:asciiTheme="majorBidi" w:hAnsiTheme="majorBidi" w:cstheme="majorBidi"/>
          <w:sz w:val="24"/>
          <w:szCs w:val="24"/>
        </w:rPr>
        <w:tab/>
      </w:r>
      <w:r w:rsidRPr="00D16D7C">
        <w:rPr>
          <w:rFonts w:asciiTheme="majorBidi" w:hAnsiTheme="majorBidi" w:cstheme="majorBidi"/>
          <w:sz w:val="24"/>
          <w:szCs w:val="24"/>
        </w:rPr>
        <w:tab/>
        <w:t>K.Gerhards</w:t>
      </w:r>
    </w:p>
    <w:p w:rsidR="00D16D7C" w:rsidRPr="00D16D7C" w:rsidRDefault="00D16D7C" w:rsidP="00D16D7C">
      <w:pPr>
        <w:rPr>
          <w:rFonts w:asciiTheme="majorBidi" w:hAnsiTheme="majorBidi" w:cstheme="majorBidi"/>
          <w:sz w:val="24"/>
          <w:szCs w:val="24"/>
        </w:rPr>
      </w:pPr>
    </w:p>
    <w:p w:rsidR="00D16D7C" w:rsidRPr="00D16D7C" w:rsidRDefault="00D16D7C" w:rsidP="00D16D7C">
      <w:pPr>
        <w:rPr>
          <w:rFonts w:asciiTheme="majorBidi" w:hAnsiTheme="majorBidi" w:cstheme="majorBidi"/>
          <w:sz w:val="24"/>
          <w:szCs w:val="24"/>
        </w:rPr>
      </w:pPr>
    </w:p>
    <w:p w:rsidR="00D16D7C" w:rsidRPr="00D16D7C" w:rsidRDefault="00D16D7C" w:rsidP="00D16D7C">
      <w:pPr>
        <w:rPr>
          <w:rFonts w:asciiTheme="majorBidi" w:hAnsiTheme="majorBidi" w:cstheme="majorBidi"/>
          <w:sz w:val="24"/>
          <w:szCs w:val="24"/>
        </w:rPr>
      </w:pPr>
    </w:p>
    <w:p w:rsidR="00D16D7C" w:rsidRPr="00D16D7C" w:rsidRDefault="00D16D7C" w:rsidP="00D16D7C">
      <w:pPr>
        <w:rPr>
          <w:rFonts w:asciiTheme="majorBidi" w:hAnsiTheme="majorBidi" w:cstheme="majorBidi"/>
          <w:sz w:val="24"/>
          <w:szCs w:val="24"/>
        </w:rPr>
      </w:pPr>
    </w:p>
    <w:p w:rsidR="00D16D7C" w:rsidRPr="00D16D7C" w:rsidRDefault="00D16D7C" w:rsidP="00D16D7C">
      <w:pPr>
        <w:rPr>
          <w:rFonts w:asciiTheme="majorBidi" w:hAnsiTheme="majorBidi" w:cstheme="majorBidi"/>
          <w:sz w:val="24"/>
          <w:szCs w:val="24"/>
        </w:rPr>
      </w:pPr>
    </w:p>
    <w:p w:rsidR="00D16D7C" w:rsidRPr="00D16D7C" w:rsidRDefault="00D16D7C" w:rsidP="00D16D7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321CA" w:rsidRDefault="00D321CA" w:rsidP="00D16D7C">
      <w:pPr>
        <w:spacing w:after="0" w:line="240" w:lineRule="auto"/>
        <w:rPr>
          <w:rFonts w:asciiTheme="majorBidi" w:hAnsiTheme="majorBidi" w:cstheme="majorBidi"/>
          <w:sz w:val="20"/>
          <w:szCs w:val="24"/>
        </w:rPr>
      </w:pPr>
      <w:r>
        <w:rPr>
          <w:rFonts w:asciiTheme="majorBidi" w:hAnsiTheme="majorBidi" w:cstheme="majorBidi"/>
          <w:sz w:val="20"/>
          <w:szCs w:val="24"/>
        </w:rPr>
        <w:t>2015.10.23. 9:21</w:t>
      </w:r>
    </w:p>
    <w:p w:rsidR="00D16D7C" w:rsidRPr="00D16D7C" w:rsidRDefault="00D16D7C" w:rsidP="00D16D7C">
      <w:pPr>
        <w:spacing w:after="0" w:line="240" w:lineRule="auto"/>
        <w:rPr>
          <w:rFonts w:asciiTheme="majorBidi" w:hAnsiTheme="majorBidi" w:cstheme="majorBidi"/>
          <w:sz w:val="20"/>
          <w:szCs w:val="24"/>
        </w:rPr>
      </w:pPr>
      <w:bookmarkStart w:id="7" w:name="_GoBack"/>
      <w:bookmarkEnd w:id="7"/>
      <w:r w:rsidRPr="00D16D7C">
        <w:rPr>
          <w:rFonts w:asciiTheme="majorBidi" w:hAnsiTheme="majorBidi" w:cstheme="majorBidi"/>
          <w:sz w:val="20"/>
          <w:szCs w:val="24"/>
        </w:rPr>
        <w:t>56</w:t>
      </w:r>
      <w:r w:rsidR="00EF798B">
        <w:rPr>
          <w:rFonts w:asciiTheme="majorBidi" w:hAnsiTheme="majorBidi" w:cstheme="majorBidi"/>
          <w:sz w:val="20"/>
          <w:szCs w:val="24"/>
        </w:rPr>
        <w:t>8</w:t>
      </w:r>
    </w:p>
    <w:p w:rsidR="00D16D7C" w:rsidRPr="00D16D7C" w:rsidRDefault="00D16D7C" w:rsidP="00D16D7C">
      <w:pPr>
        <w:spacing w:after="0" w:line="240" w:lineRule="auto"/>
        <w:rPr>
          <w:rFonts w:asciiTheme="majorBidi" w:hAnsiTheme="majorBidi" w:cstheme="majorBidi"/>
          <w:sz w:val="20"/>
          <w:szCs w:val="24"/>
        </w:rPr>
      </w:pPr>
      <w:r w:rsidRPr="00D16D7C">
        <w:rPr>
          <w:rFonts w:asciiTheme="majorBidi" w:hAnsiTheme="majorBidi" w:cstheme="majorBidi"/>
          <w:sz w:val="20"/>
          <w:szCs w:val="24"/>
        </w:rPr>
        <w:t>I.Mendziņa, 67026432</w:t>
      </w:r>
    </w:p>
    <w:p w:rsidR="00D16D7C" w:rsidRPr="00D16D7C" w:rsidRDefault="00D477A4" w:rsidP="00D16D7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hyperlink r:id="rId8" w:history="1">
        <w:r w:rsidR="00D16D7C" w:rsidRPr="00D16D7C">
          <w:rPr>
            <w:rStyle w:val="Hyperlink"/>
            <w:rFonts w:asciiTheme="majorBidi" w:hAnsiTheme="majorBidi" w:cstheme="majorBidi"/>
            <w:sz w:val="20"/>
            <w:szCs w:val="24"/>
          </w:rPr>
          <w:t>ilona.mendzina@varam.gov.lv</w:t>
        </w:r>
      </w:hyperlink>
      <w:r w:rsidR="00D16D7C" w:rsidRPr="00D16D7C">
        <w:rPr>
          <w:rFonts w:asciiTheme="majorBidi" w:hAnsiTheme="majorBidi" w:cstheme="majorBidi"/>
          <w:sz w:val="20"/>
          <w:szCs w:val="24"/>
        </w:rPr>
        <w:t xml:space="preserve"> </w:t>
      </w:r>
    </w:p>
    <w:p w:rsidR="00CB5E51" w:rsidRPr="00D16D7C" w:rsidRDefault="00CB5E51" w:rsidP="00D16D7C">
      <w:pPr>
        <w:rPr>
          <w:rFonts w:asciiTheme="majorBidi" w:hAnsiTheme="majorBidi" w:cstheme="majorBidi"/>
          <w:sz w:val="24"/>
          <w:szCs w:val="24"/>
        </w:rPr>
      </w:pPr>
    </w:p>
    <w:sectPr w:rsidR="00CB5E51" w:rsidRPr="00D16D7C" w:rsidSect="00A92C4F">
      <w:headerReference w:type="default" r:id="rId9"/>
      <w:footerReference w:type="default" r:id="rId10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A4" w:rsidRDefault="00D477A4" w:rsidP="00462D9F">
      <w:pPr>
        <w:spacing w:after="0" w:line="240" w:lineRule="auto"/>
      </w:pPr>
      <w:r>
        <w:separator/>
      </w:r>
    </w:p>
  </w:endnote>
  <w:endnote w:type="continuationSeparator" w:id="0">
    <w:p w:rsidR="00D477A4" w:rsidRDefault="00D477A4" w:rsidP="0046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9F" w:rsidRPr="00462D9F" w:rsidRDefault="00CE1CC7" w:rsidP="00462D9F">
    <w:pPr>
      <w:pStyle w:val="Footer"/>
      <w:rPr>
        <w:rFonts w:ascii="Times New Roman" w:hAnsi="Times New Roman" w:cs="Times New Roman"/>
        <w:sz w:val="20"/>
        <w:szCs w:val="20"/>
      </w:rPr>
    </w:pPr>
    <w:fldSimple w:instr=" FILENAME   \* MERGEFORMAT ">
      <w:r w:rsidR="00462D9F" w:rsidRPr="00462D9F">
        <w:rPr>
          <w:rFonts w:ascii="Times New Roman" w:hAnsi="Times New Roman" w:cs="Times New Roman"/>
          <w:noProof/>
          <w:sz w:val="20"/>
          <w:szCs w:val="20"/>
        </w:rPr>
        <w:t>VARAMInfp1_14102015_biotopi</w:t>
      </w:r>
    </w:fldSimple>
    <w:r w:rsidR="00462D9F" w:rsidRPr="00462D9F">
      <w:rPr>
        <w:rFonts w:ascii="Times New Roman" w:hAnsi="Times New Roman" w:cs="Times New Roman"/>
        <w:sz w:val="20"/>
        <w:szCs w:val="20"/>
      </w:rPr>
      <w:t>; 1.pPielikums informatīvajam ziņojumam “Par pasākumiem aizsargājamo biotopu izplatības un kvalitātes apzināšanai”</w:t>
    </w:r>
  </w:p>
  <w:p w:rsidR="00D27B76" w:rsidRDefault="00D47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A4" w:rsidRDefault="00D477A4" w:rsidP="00462D9F">
      <w:pPr>
        <w:spacing w:after="0" w:line="240" w:lineRule="auto"/>
      </w:pPr>
      <w:r>
        <w:separator/>
      </w:r>
    </w:p>
  </w:footnote>
  <w:footnote w:type="continuationSeparator" w:id="0">
    <w:p w:rsidR="00D477A4" w:rsidRDefault="00D477A4" w:rsidP="00462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5988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27B76" w:rsidRDefault="000A6418">
        <w:pPr>
          <w:pStyle w:val="Header"/>
          <w:jc w:val="center"/>
        </w:pPr>
        <w:r>
          <w:fldChar w:fldCharType="begin"/>
        </w:r>
        <w:r w:rsidR="006E7665">
          <w:instrText xml:space="preserve"> PAGE   \* MERGEFORMAT </w:instrText>
        </w:r>
        <w:r>
          <w:fldChar w:fldCharType="separate"/>
        </w:r>
        <w:r w:rsidR="00D321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7B76" w:rsidRDefault="00D477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72EB"/>
    <w:multiLevelType w:val="multilevel"/>
    <w:tmpl w:val="D6727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2A2FBD"/>
    <w:multiLevelType w:val="hybridMultilevel"/>
    <w:tmpl w:val="B8BC76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A4601"/>
    <w:multiLevelType w:val="hybridMultilevel"/>
    <w:tmpl w:val="37284C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0130C"/>
    <w:multiLevelType w:val="hybridMultilevel"/>
    <w:tmpl w:val="35A8B8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F7702"/>
    <w:multiLevelType w:val="hybridMultilevel"/>
    <w:tmpl w:val="37284C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73475"/>
    <w:multiLevelType w:val="multilevel"/>
    <w:tmpl w:val="2A16E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DAA70E1"/>
    <w:multiLevelType w:val="multilevel"/>
    <w:tmpl w:val="2A16E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51"/>
    <w:rsid w:val="000A6418"/>
    <w:rsid w:val="001F6F77"/>
    <w:rsid w:val="00462D9F"/>
    <w:rsid w:val="00515DC1"/>
    <w:rsid w:val="006E7665"/>
    <w:rsid w:val="00877438"/>
    <w:rsid w:val="00927E8E"/>
    <w:rsid w:val="00A92C4F"/>
    <w:rsid w:val="00CB5E51"/>
    <w:rsid w:val="00CE1CC7"/>
    <w:rsid w:val="00D16D7C"/>
    <w:rsid w:val="00D321CA"/>
    <w:rsid w:val="00D477A4"/>
    <w:rsid w:val="00D61CC9"/>
    <w:rsid w:val="00E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51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1"/>
    <w:unhideWhenUsed/>
    <w:qFormat/>
    <w:rsid w:val="00CB5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CB5E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qFormat/>
    <w:rsid w:val="00CB5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E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E51"/>
  </w:style>
  <w:style w:type="paragraph" w:styleId="Footer">
    <w:name w:val="footer"/>
    <w:basedOn w:val="Normal"/>
    <w:link w:val="FooterChar"/>
    <w:uiPriority w:val="99"/>
    <w:unhideWhenUsed/>
    <w:rsid w:val="00CB5E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E51"/>
  </w:style>
  <w:style w:type="character" w:styleId="CommentReference">
    <w:name w:val="annotation reference"/>
    <w:basedOn w:val="DefaultParagraphFont"/>
    <w:unhideWhenUsed/>
    <w:rsid w:val="00CB5E5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B5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5E51"/>
    <w:rPr>
      <w:sz w:val="20"/>
      <w:szCs w:val="20"/>
    </w:rPr>
  </w:style>
  <w:style w:type="character" w:customStyle="1" w:styleId="Heading3Char1">
    <w:name w:val="Heading 3 Char1"/>
    <w:basedOn w:val="DefaultParagraphFont"/>
    <w:link w:val="Heading3"/>
    <w:rsid w:val="00CB5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E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51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1"/>
    <w:unhideWhenUsed/>
    <w:qFormat/>
    <w:rsid w:val="00CB5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CB5E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qFormat/>
    <w:rsid w:val="00CB5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E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E51"/>
  </w:style>
  <w:style w:type="paragraph" w:styleId="Footer">
    <w:name w:val="footer"/>
    <w:basedOn w:val="Normal"/>
    <w:link w:val="FooterChar"/>
    <w:uiPriority w:val="99"/>
    <w:unhideWhenUsed/>
    <w:rsid w:val="00CB5E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E51"/>
  </w:style>
  <w:style w:type="character" w:styleId="CommentReference">
    <w:name w:val="annotation reference"/>
    <w:basedOn w:val="DefaultParagraphFont"/>
    <w:unhideWhenUsed/>
    <w:rsid w:val="00CB5E5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B5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5E51"/>
    <w:rPr>
      <w:sz w:val="20"/>
      <w:szCs w:val="20"/>
    </w:rPr>
  </w:style>
  <w:style w:type="character" w:customStyle="1" w:styleId="Heading3Char1">
    <w:name w:val="Heading 3 Char1"/>
    <w:basedOn w:val="DefaultParagraphFont"/>
    <w:link w:val="Heading3"/>
    <w:rsid w:val="00CB5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E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zina@vara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2573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Mendziņa</dc:creator>
  <cp:lastModifiedBy>varam</cp:lastModifiedBy>
  <cp:revision>2</cp:revision>
  <dcterms:created xsi:type="dcterms:W3CDTF">2015-10-23T06:21:00Z</dcterms:created>
  <dcterms:modified xsi:type="dcterms:W3CDTF">2015-10-23T06:21:00Z</dcterms:modified>
</cp:coreProperties>
</file>