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6F" w:rsidRPr="00426F0B" w:rsidRDefault="00C8486F" w:rsidP="00C8486F">
      <w:pPr>
        <w:jc w:val="center"/>
        <w:rPr>
          <w:rFonts w:eastAsia="SimSun" w:cs="Times New Roman"/>
          <w:b/>
          <w:sz w:val="24"/>
          <w:szCs w:val="24"/>
          <w:lang w:eastAsia="lv-LV" w:bidi="ar-SA"/>
        </w:rPr>
      </w:pPr>
      <w:r w:rsidRPr="00426F0B">
        <w:rPr>
          <w:rFonts w:eastAsia="SimSun" w:cs="Times New Roman"/>
          <w:b/>
          <w:sz w:val="24"/>
          <w:szCs w:val="24"/>
          <w:lang w:eastAsia="lv-LV" w:bidi="ar-SA"/>
        </w:rPr>
        <w:t>Ministru kabineta noteikumu projekta</w:t>
      </w:r>
    </w:p>
    <w:p w:rsidR="00C8486F" w:rsidRPr="00426F0B" w:rsidRDefault="00C8486F" w:rsidP="00F67EEB">
      <w:pPr>
        <w:jc w:val="center"/>
        <w:rPr>
          <w:iCs/>
          <w:color w:val="FF0000"/>
          <w:sz w:val="24"/>
          <w:szCs w:val="24"/>
        </w:rPr>
      </w:pPr>
      <w:r w:rsidRPr="00426F0B">
        <w:rPr>
          <w:rFonts w:eastAsia="SimSun" w:cs="Times New Roman"/>
          <w:b/>
          <w:sz w:val="24"/>
          <w:szCs w:val="24"/>
          <w:lang w:eastAsia="lv-LV" w:bidi="ar-SA"/>
        </w:rPr>
        <w:t>„</w:t>
      </w:r>
      <w:bookmarkStart w:id="0" w:name="OLE_LINK5"/>
      <w:bookmarkStart w:id="1" w:name="OLE_LINK6"/>
      <w:r w:rsidRPr="00426F0B">
        <w:rPr>
          <w:rFonts w:eastAsia="SimSun" w:cs="Times New Roman"/>
          <w:b/>
          <w:bCs/>
          <w:sz w:val="24"/>
          <w:szCs w:val="24"/>
          <w:lang w:eastAsia="lv-LV" w:bidi="ar-SA"/>
        </w:rPr>
        <w:t>Grozījum</w:t>
      </w:r>
      <w:r w:rsidR="00EC0541" w:rsidRPr="00426F0B">
        <w:rPr>
          <w:rFonts w:eastAsia="SimSun" w:cs="Times New Roman"/>
          <w:b/>
          <w:bCs/>
          <w:sz w:val="24"/>
          <w:szCs w:val="24"/>
          <w:lang w:eastAsia="lv-LV" w:bidi="ar-SA"/>
        </w:rPr>
        <w:t xml:space="preserve">i </w:t>
      </w:r>
      <w:r w:rsidRPr="00426F0B">
        <w:rPr>
          <w:rFonts w:eastAsia="SimSun" w:cs="Times New Roman"/>
          <w:b/>
          <w:bCs/>
          <w:sz w:val="24"/>
          <w:szCs w:val="24"/>
          <w:lang w:eastAsia="lv-LV" w:bidi="ar-SA"/>
        </w:rPr>
        <w:t>Ministru kabineta 2008. gada 2.jūnija noteikumos Nr.394 „Alkohola, narkotisko, psihotropo vai toksisko vielu ietekmes pārbaudes kārtība”</w:t>
      </w:r>
      <w:bookmarkEnd w:id="0"/>
      <w:bookmarkEnd w:id="1"/>
      <w:r w:rsidRPr="00426F0B">
        <w:rPr>
          <w:rFonts w:eastAsia="SimSun" w:cs="Times New Roman"/>
          <w:b/>
          <w:bCs/>
          <w:kern w:val="36"/>
          <w:sz w:val="24"/>
          <w:szCs w:val="24"/>
          <w:lang w:eastAsia="lv-LV" w:bidi="ar-SA"/>
        </w:rPr>
        <w:t>” sākotnējās ietekmes novērtējuma ziņojums (</w:t>
      </w:r>
      <w:r w:rsidRPr="00426F0B">
        <w:rPr>
          <w:rFonts w:eastAsia="SimSun" w:cs="Times New Roman"/>
          <w:b/>
          <w:sz w:val="24"/>
          <w:szCs w:val="24"/>
          <w:lang w:eastAsia="lv-LV" w:bidi="ar-SA"/>
        </w:rPr>
        <w:t>anotācija)</w:t>
      </w:r>
    </w:p>
    <w:tbl>
      <w:tblPr>
        <w:tblW w:w="5068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"/>
        <w:gridCol w:w="2554"/>
        <w:gridCol w:w="5996"/>
      </w:tblGrid>
      <w:tr w:rsidR="00C8486F" w:rsidRPr="00426F0B" w:rsidTr="002A5486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6F" w:rsidRPr="00426F0B" w:rsidRDefault="00C8486F" w:rsidP="004B0D09">
            <w:pPr>
              <w:jc w:val="center"/>
              <w:rPr>
                <w:b/>
                <w:bCs/>
                <w:sz w:val="24"/>
                <w:szCs w:val="24"/>
              </w:rPr>
            </w:pPr>
            <w:r w:rsidRPr="00426F0B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8486F" w:rsidRPr="00426F0B" w:rsidTr="002A5486">
        <w:trPr>
          <w:trHeight w:val="405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Pamatojums</w:t>
            </w:r>
          </w:p>
          <w:p w:rsidR="00C8486F" w:rsidRPr="00426F0B" w:rsidRDefault="00C8486F" w:rsidP="00764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384CC7" w:rsidP="001D39D0">
            <w:pPr>
              <w:ind w:firstLine="554"/>
              <w:jc w:val="both"/>
              <w:rPr>
                <w:sz w:val="24"/>
                <w:szCs w:val="24"/>
              </w:rPr>
            </w:pPr>
            <w:r w:rsidRPr="00426F0B">
              <w:rPr>
                <w:bCs/>
                <w:sz w:val="24"/>
                <w:szCs w:val="24"/>
              </w:rPr>
              <w:t>Ministru kabineta noteikumu projekts „Grozījum</w:t>
            </w:r>
            <w:r w:rsidR="00EC0541" w:rsidRPr="00426F0B">
              <w:rPr>
                <w:bCs/>
                <w:sz w:val="24"/>
                <w:szCs w:val="24"/>
              </w:rPr>
              <w:t>i</w:t>
            </w:r>
            <w:r w:rsidRPr="00426F0B">
              <w:rPr>
                <w:bCs/>
                <w:sz w:val="24"/>
                <w:szCs w:val="24"/>
              </w:rPr>
              <w:t xml:space="preserve"> Ministru kabineta 2008. gada 2.jūnija noteikumos Nr.394 „Alkohola, narkotisko, psihotropo vai toksisko vielu ietekmes pārbaudes kārtība” ir izstrādāts saistībā ar grozījumiem Jūrlietu pārvaldes un jūras drošības likum</w:t>
            </w:r>
            <w:r w:rsidR="001D39D0" w:rsidRPr="00426F0B">
              <w:rPr>
                <w:bCs/>
                <w:sz w:val="24"/>
                <w:szCs w:val="24"/>
              </w:rPr>
              <w:t>ā</w:t>
            </w:r>
            <w:r w:rsidR="000A722F" w:rsidRPr="00426F0B">
              <w:rPr>
                <w:bCs/>
                <w:sz w:val="24"/>
                <w:szCs w:val="24"/>
              </w:rPr>
              <w:t xml:space="preserve"> (turpmāk</w:t>
            </w:r>
            <w:r w:rsidR="00471BAD" w:rsidRPr="00426F0B">
              <w:rPr>
                <w:bCs/>
                <w:sz w:val="24"/>
                <w:szCs w:val="24"/>
              </w:rPr>
              <w:t xml:space="preserve"> – </w:t>
            </w:r>
            <w:r w:rsidR="000A722F" w:rsidRPr="00426F0B">
              <w:rPr>
                <w:bCs/>
                <w:sz w:val="24"/>
                <w:szCs w:val="24"/>
              </w:rPr>
              <w:t>JPJDL)</w:t>
            </w:r>
            <w:r w:rsidR="009F7D9F" w:rsidRPr="00426F0B">
              <w:rPr>
                <w:bCs/>
                <w:sz w:val="24"/>
                <w:szCs w:val="24"/>
              </w:rPr>
              <w:t xml:space="preserve">, kas </w:t>
            </w:r>
            <w:r w:rsidR="001D39D0" w:rsidRPr="00426F0B">
              <w:rPr>
                <w:bCs/>
                <w:sz w:val="24"/>
                <w:szCs w:val="24"/>
              </w:rPr>
              <w:t xml:space="preserve">stājās </w:t>
            </w:r>
            <w:r w:rsidR="00471BAD" w:rsidRPr="00426F0B">
              <w:rPr>
                <w:bCs/>
                <w:sz w:val="24"/>
                <w:szCs w:val="24"/>
              </w:rPr>
              <w:t>spēkā</w:t>
            </w:r>
            <w:r w:rsidR="001D39D0" w:rsidRPr="00426F0B">
              <w:rPr>
                <w:bCs/>
                <w:sz w:val="24"/>
                <w:szCs w:val="24"/>
              </w:rPr>
              <w:t xml:space="preserve"> </w:t>
            </w:r>
            <w:r w:rsidR="00471BAD" w:rsidRPr="00426F0B">
              <w:rPr>
                <w:bCs/>
                <w:sz w:val="24"/>
                <w:szCs w:val="24"/>
              </w:rPr>
              <w:t>2015.</w:t>
            </w:r>
            <w:r w:rsidR="001D39D0" w:rsidRPr="00426F0B">
              <w:rPr>
                <w:bCs/>
                <w:sz w:val="24"/>
                <w:szCs w:val="24"/>
              </w:rPr>
              <w:t>gada 3.jūnijā</w:t>
            </w:r>
            <w:r w:rsidR="000A722F" w:rsidRPr="00426F0B">
              <w:rPr>
                <w:bCs/>
                <w:sz w:val="24"/>
                <w:szCs w:val="24"/>
              </w:rPr>
              <w:t>.</w:t>
            </w:r>
          </w:p>
        </w:tc>
      </w:tr>
      <w:tr w:rsidR="00C8486F" w:rsidRPr="00426F0B" w:rsidTr="002A5486">
        <w:trPr>
          <w:trHeight w:val="465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4E6" w:rsidRPr="00426F0B" w:rsidRDefault="00384CC7" w:rsidP="006E14E6">
            <w:pPr>
              <w:jc w:val="both"/>
              <w:rPr>
                <w:rFonts w:eastAsia="SimSun" w:cs="Times New Roman"/>
                <w:sz w:val="24"/>
                <w:szCs w:val="24"/>
                <w:lang w:eastAsia="lv-LV" w:bidi="ar-SA"/>
              </w:rPr>
            </w:pP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2015.gada 30.aprīlī</w:t>
            </w:r>
            <w:r w:rsidR="005172CE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Saeima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</w:t>
            </w:r>
            <w:r w:rsidR="005172CE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pieņēma 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likumprojektu „Grozījumi Jūrlietu pārvaldes un jūras drošības likumā”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, kas stājās spēkā 2015.gada 3.jūnijā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. Ar grozījumiem, tiek papildināt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a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</w:t>
            </w:r>
            <w:r w:rsidR="000A722F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JPJDL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7.panta pirmā daļa ar 8.punktu, paredzot</w:t>
            </w:r>
            <w:r w:rsidR="000A722F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, ka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Nacionālo bruņoto spēku (turpmāk – NBS) Jūras spēku flotiles vienības, kas veic krasta apsardzes funkcijas (turpmāk – 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Krasta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apsardze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)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normatīvajos aktos n</w:t>
            </w:r>
            <w:r w:rsidR="000A722F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oteiktajā kārtībā pārbauda, vai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jūrnieks, atrodoties uz kuģa Latvijas</w:t>
            </w:r>
            <w:r w:rsidR="004B0D09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jurisdikcijā esošajos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ūdeņos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(jūras)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, ir lietojis alkoholu, narkotiskās, psihotropās vai toksiskās vielas. </w:t>
            </w:r>
            <w:r w:rsidR="00A528EB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Likums paredz, ka pārbaude notiks normatīvajos aktos noteiktajā kārtībā.</w:t>
            </w:r>
          </w:p>
          <w:p w:rsidR="006E14E6" w:rsidRPr="00426F0B" w:rsidRDefault="00384CC7" w:rsidP="006E14E6">
            <w:pPr>
              <w:jc w:val="both"/>
              <w:rPr>
                <w:rFonts w:eastAsia="SimSun" w:cs="Times New Roman"/>
                <w:sz w:val="24"/>
                <w:szCs w:val="24"/>
                <w:lang w:eastAsia="lv-LV" w:bidi="ar-SA"/>
              </w:rPr>
            </w:pP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Šobrīd </w:t>
            </w:r>
            <w:r w:rsidR="00D72F9E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JPJDL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31.pants paredz aizliegumu jūrniekiem atrasties uz kuģa, ja alkohol</w:t>
            </w:r>
            <w:r w:rsidR="00FD32D4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a koncentrācija asinīs pārsniedz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0,5 promiles </w:t>
            </w:r>
            <w:r w:rsidR="00B92B7B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vai, ja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jūrniek</w:t>
            </w:r>
            <w:r w:rsidR="00B92B7B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s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uz </w:t>
            </w:r>
            <w:r w:rsidR="00B92B7B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kuģa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</w:t>
            </w:r>
            <w:r w:rsidR="00B92B7B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atrodas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narkotisko un psihotropo vielu iespaidā. Par minētā likuma panta neievērošanu atbildība ir paredzēta</w:t>
            </w:r>
            <w:r w:rsidR="00B92B7B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Latvijas Administratīvo pārkāpumu kodeksa (turpmāk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– 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LAPK) 116.</w:t>
            </w:r>
            <w:r w:rsidRPr="00426F0B">
              <w:rPr>
                <w:rFonts w:eastAsia="SimSun" w:cs="Times New Roman"/>
                <w:sz w:val="24"/>
                <w:szCs w:val="24"/>
                <w:vertAlign w:val="superscript"/>
                <w:lang w:eastAsia="lv-LV" w:bidi="ar-SA"/>
              </w:rPr>
              <w:t>1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pantā. Pārkāpumu</w:t>
            </w:r>
            <w:r w:rsidR="00983DE4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s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par apreibinošu vielu </w:t>
            </w:r>
            <w:r w:rsidR="00D72F9E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lietošanu uz kuģiem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,</w:t>
            </w:r>
            <w:r w:rsidR="00D72F9E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atbilstoši 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LAPK 226.</w:t>
            </w:r>
            <w:r w:rsidRPr="00426F0B">
              <w:rPr>
                <w:rFonts w:eastAsia="SimSun" w:cs="Times New Roman"/>
                <w:sz w:val="24"/>
                <w:szCs w:val="24"/>
                <w:vertAlign w:val="superscript"/>
                <w:lang w:eastAsia="lv-LV" w:bidi="ar-SA"/>
              </w:rPr>
              <w:t>2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pantam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,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izskata NBS Jūras spēku flotiles Krasta apsardzes dienests.</w:t>
            </w:r>
            <w:r w:rsidR="000A722F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Krasta apsardzes amatpersona</w:t>
            </w:r>
            <w:r w:rsidR="006E14E6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,</w:t>
            </w:r>
            <w:r w:rsidR="000A722F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atbilstoši</w:t>
            </w:r>
            <w:r w:rsidR="00D72F9E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JPJDL 44.pantam un </w:t>
            </w:r>
            <w:r w:rsidR="006E14E6" w:rsidRPr="00426F0B">
              <w:rPr>
                <w:sz w:val="24"/>
                <w:szCs w:val="24"/>
              </w:rPr>
              <w:t xml:space="preserve">Ministru kabineta </w:t>
            </w:r>
            <w:r w:rsidR="00D72F9E" w:rsidRPr="00426F0B">
              <w:rPr>
                <w:sz w:val="24"/>
                <w:szCs w:val="24"/>
              </w:rPr>
              <w:t>2004.gada 1.jūnija noteikumiem Nr.508 „Kuģu kontroles, pārbaudes un aizturēšanas kārtība Latvijas ūdeņos</w:t>
            </w:r>
            <w:r w:rsidR="006E14E6" w:rsidRPr="00426F0B">
              <w:rPr>
                <w:sz w:val="24"/>
                <w:szCs w:val="24"/>
              </w:rPr>
              <w:t xml:space="preserve">” arī </w:t>
            </w:r>
            <w:r w:rsidR="00D72F9E" w:rsidRPr="00426F0B">
              <w:rPr>
                <w:sz w:val="24"/>
                <w:szCs w:val="24"/>
              </w:rPr>
              <w:t>kontrolē un pārbauda</w:t>
            </w:r>
            <w:r w:rsidR="00983DE4" w:rsidRPr="00426F0B">
              <w:rPr>
                <w:sz w:val="24"/>
                <w:szCs w:val="24"/>
              </w:rPr>
              <w:t>,</w:t>
            </w:r>
            <w:r w:rsidR="00D72F9E" w:rsidRPr="00426F0B">
              <w:rPr>
                <w:sz w:val="24"/>
                <w:szCs w:val="24"/>
              </w:rPr>
              <w:t xml:space="preserve"> kā tiek ievēroti normatīvo aktu un Latvijai saistošo starptautisko līgumu izpilde.</w:t>
            </w:r>
            <w:r w:rsidR="00D72F9E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</w:t>
            </w:r>
          </w:p>
          <w:p w:rsidR="00027620" w:rsidRDefault="00A528EB" w:rsidP="00E8349A">
            <w:pPr>
              <w:jc w:val="both"/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</w:pP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Sakarā ar notikušajām izmaiņām JPJDL un ņemot vērā, ka alkohola, narkotisko, psihotropo vai toksisko vielu ietekmes pārbaudes kārtību regulē </w:t>
            </w:r>
            <w:r w:rsidRPr="00426F0B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>Ministru kabineta 2008. gada 2.jūnija noteikumi Nr.394 „Alkohola, narkotisko, psihotropo vai toksisko vielu ietekmes pārbaudes kārtība”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,</w:t>
            </w:r>
            <w:r w:rsidR="00384CC7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attiecīgi ir sagatavoti grozījumi šajos noteikumos,</w:t>
            </w:r>
            <w:r w:rsidR="00384CC7"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 xml:space="preserve"> </w:t>
            </w:r>
            <w:r w:rsidRPr="00426F0B">
              <w:rPr>
                <w:rFonts w:eastAsia="SimSun" w:cs="Times New Roman"/>
                <w:sz w:val="24"/>
                <w:szCs w:val="24"/>
                <w:lang w:eastAsia="lv-LV" w:bidi="ar-SA"/>
              </w:rPr>
              <w:t>paredzot</w:t>
            </w:r>
            <w:r w:rsidR="00384CC7" w:rsidRPr="00426F0B">
              <w:rPr>
                <w:rFonts w:eastAsia="SimSun" w:cs="Times New Roman"/>
                <w:bCs/>
                <w:kern w:val="36"/>
                <w:sz w:val="24"/>
                <w:szCs w:val="24"/>
                <w:lang w:eastAsia="lv-LV" w:bidi="ar-SA"/>
              </w:rPr>
              <w:t>, ka</w:t>
            </w:r>
            <w:r w:rsidRPr="00426F0B">
              <w:rPr>
                <w:rFonts w:eastAsia="SimSun" w:cs="Times New Roman"/>
                <w:bCs/>
                <w:kern w:val="36"/>
                <w:sz w:val="24"/>
                <w:szCs w:val="24"/>
                <w:lang w:eastAsia="lv-LV" w:bidi="ar-SA"/>
              </w:rPr>
              <w:t xml:space="preserve"> alkohola</w:t>
            </w:r>
            <w:r w:rsidR="00972C35">
              <w:rPr>
                <w:rFonts w:eastAsia="SimSun" w:cs="Times New Roman"/>
                <w:bCs/>
                <w:kern w:val="36"/>
                <w:sz w:val="24"/>
                <w:szCs w:val="24"/>
                <w:lang w:eastAsia="lv-LV" w:bidi="ar-SA"/>
              </w:rPr>
              <w:t xml:space="preserve"> </w:t>
            </w:r>
            <w:r w:rsidRPr="00426F0B">
              <w:rPr>
                <w:rFonts w:eastAsia="SimSun" w:cs="Times New Roman"/>
                <w:bCs/>
                <w:kern w:val="36"/>
                <w:sz w:val="24"/>
                <w:szCs w:val="24"/>
                <w:lang w:eastAsia="lv-LV" w:bidi="ar-SA"/>
              </w:rPr>
              <w:t>ietekmes pārbaudi ir tiesīga veikt</w:t>
            </w:r>
            <w:r w:rsidR="00384CC7" w:rsidRPr="00426F0B">
              <w:rPr>
                <w:rFonts w:eastAsia="SimSun" w:cs="Times New Roman"/>
                <w:bCs/>
                <w:kern w:val="36"/>
                <w:sz w:val="24"/>
                <w:szCs w:val="24"/>
                <w:lang w:eastAsia="lv-LV" w:bidi="ar-SA"/>
              </w:rPr>
              <w:t xml:space="preserve"> Krasta apsardzes amatpersona </w:t>
            </w:r>
            <w:r w:rsidR="00763846" w:rsidRPr="00426F0B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>jūrniekam uz kuģa</w:t>
            </w:r>
            <w:r w:rsidRPr="00426F0B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 </w:t>
            </w:r>
            <w:r w:rsidRPr="00335604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>Latvijas</w:t>
            </w:r>
            <w:r w:rsidR="004B0D09" w:rsidRPr="00335604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 jurisdikcijā esošajos</w:t>
            </w:r>
            <w:r w:rsidRPr="00335604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 ūdeņos (jūras)</w:t>
            </w:r>
            <w:r w:rsidR="005E715B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>, pārbaudot</w:t>
            </w:r>
            <w:r w:rsidR="00763846" w:rsidRPr="00335604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 </w:t>
            </w:r>
            <w:r w:rsidR="00983DE4" w:rsidRPr="00335604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>jūrniekam</w:t>
            </w:r>
            <w:r w:rsidR="00763846" w:rsidRPr="00335604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 alkohola koncentrāciju </w:t>
            </w:r>
            <w:r w:rsidR="00CA7BB1" w:rsidRPr="00335604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>izelpotajā gaisā</w:t>
            </w:r>
            <w:r w:rsidR="00763846" w:rsidRPr="00335604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. </w:t>
            </w:r>
          </w:p>
          <w:p w:rsidR="005E715B" w:rsidRDefault="00027620" w:rsidP="00E8349A">
            <w:pPr>
              <w:jc w:val="both"/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</w:pPr>
            <w:r>
              <w:rPr>
                <w:sz w:val="24"/>
                <w:szCs w:val="24"/>
              </w:rPr>
              <w:lastRenderedPageBreak/>
              <w:t xml:space="preserve">Kopš 2008.gada </w:t>
            </w:r>
            <w:r w:rsidR="00A4377C">
              <w:rPr>
                <w:sz w:val="24"/>
                <w:szCs w:val="24"/>
              </w:rPr>
              <w:t xml:space="preserve">likuma </w:t>
            </w:r>
            <w:r w:rsidRPr="00A4377C">
              <w:rPr>
                <w:sz w:val="24"/>
                <w:szCs w:val="24"/>
              </w:rPr>
              <w:t>„Par policiju”</w:t>
            </w:r>
            <w:r>
              <w:rPr>
                <w:sz w:val="24"/>
                <w:szCs w:val="24"/>
              </w:rPr>
              <w:t xml:space="preserve"> 12.panta </w:t>
            </w:r>
            <w:r w:rsidR="00A4377C">
              <w:rPr>
                <w:sz w:val="24"/>
                <w:szCs w:val="24"/>
              </w:rPr>
              <w:t>17.punkts</w:t>
            </w:r>
            <w:r w:rsidR="0053629D">
              <w:rPr>
                <w:sz w:val="24"/>
                <w:szCs w:val="24"/>
              </w:rPr>
              <w:t xml:space="preserve"> nosaka</w:t>
            </w:r>
            <w:r>
              <w:rPr>
                <w:sz w:val="24"/>
                <w:szCs w:val="24"/>
              </w:rPr>
              <w:t xml:space="preserve"> policijas darbiniekam, </w:t>
            </w:r>
            <w:r>
              <w:rPr>
                <w:rFonts w:cs="Times New Roman"/>
                <w:sz w:val="24"/>
                <w:szCs w:val="24"/>
              </w:rPr>
              <w:t>pildot viņam uzliktos pienākumus atbilstoši dienesta kompetencei,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„</w:t>
            </w:r>
            <w:r w:rsidRPr="0053629D">
              <w:rPr>
                <w:sz w:val="24"/>
                <w:szCs w:val="24"/>
              </w:rPr>
              <w:t xml:space="preserve">nolūkā konstatēt, vai personas ir lietojušas alkoholu, narkotiskās, psihotropās vai toksiskās vielas, normatīvajos aktos noteiktajā kārtībā tās pārbaudīt ar </w:t>
            </w:r>
            <w:proofErr w:type="spellStart"/>
            <w:r w:rsidRPr="0053629D">
              <w:rPr>
                <w:sz w:val="24"/>
                <w:szCs w:val="24"/>
              </w:rPr>
              <w:t>ekspresdiagnostikas</w:t>
            </w:r>
            <w:proofErr w:type="spellEnd"/>
            <w:r w:rsidRPr="0053629D">
              <w:rPr>
                <w:sz w:val="24"/>
                <w:szCs w:val="24"/>
              </w:rPr>
              <w:t xml:space="preserve"> testu narkotisko un psihotropo vielu ietekmes konstatēšanai (..)”.</w:t>
            </w:r>
            <w:r w:rsidR="00A817D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817DD">
              <w:rPr>
                <w:rFonts w:cs="Times New Roman"/>
                <w:sz w:val="24"/>
                <w:szCs w:val="24"/>
                <w:lang w:eastAsia="lv-LV"/>
              </w:rPr>
              <w:t>Ministru kabineta</w:t>
            </w:r>
            <w:r w:rsidR="00A817DD">
              <w:rPr>
                <w:rFonts w:cs="Times New Roman"/>
                <w:sz w:val="24"/>
                <w:szCs w:val="24"/>
              </w:rPr>
              <w:t xml:space="preserve"> 2010.gada 27.jūlija noteikumos Nr.675 </w:t>
            </w:r>
            <w:r w:rsidR="00A817DD" w:rsidRPr="00A817DD">
              <w:rPr>
                <w:rFonts w:cs="Times New Roman"/>
                <w:sz w:val="24"/>
                <w:szCs w:val="24"/>
              </w:rPr>
              <w:t xml:space="preserve">„Noteikumi par </w:t>
            </w:r>
            <w:proofErr w:type="spellStart"/>
            <w:r w:rsidR="00A817DD" w:rsidRPr="00A817DD">
              <w:rPr>
                <w:rFonts w:cs="Times New Roman"/>
                <w:sz w:val="24"/>
                <w:szCs w:val="24"/>
              </w:rPr>
              <w:t>robežpārbaudei</w:t>
            </w:r>
            <w:proofErr w:type="spellEnd"/>
            <w:r w:rsidR="00A817DD" w:rsidRPr="00A817DD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="00A817DD" w:rsidRPr="00A817DD">
              <w:rPr>
                <w:rFonts w:cs="Times New Roman"/>
                <w:sz w:val="24"/>
                <w:szCs w:val="24"/>
              </w:rPr>
              <w:t>robežuzraudzībai</w:t>
            </w:r>
            <w:proofErr w:type="spellEnd"/>
            <w:r w:rsidR="00A817DD" w:rsidRPr="00A817DD">
              <w:rPr>
                <w:rFonts w:cs="Times New Roman"/>
                <w:sz w:val="24"/>
                <w:szCs w:val="24"/>
              </w:rPr>
              <w:t xml:space="preserve"> nepieciešamajiem tehniskajiem līdzekļiem”</w:t>
            </w:r>
            <w:r w:rsidR="00A817DD">
              <w:rPr>
                <w:rFonts w:cs="Times New Roman"/>
                <w:sz w:val="24"/>
                <w:szCs w:val="24"/>
              </w:rPr>
              <w:t xml:space="preserve"> kas noteikts, ka robežsargs valsts robežu šķērsojošo personu pārbaudēs izmanto </w:t>
            </w:r>
            <w:r w:rsidR="00A817DD" w:rsidRPr="00A817DD">
              <w:rPr>
                <w:rFonts w:cs="Times New Roman"/>
                <w:sz w:val="24"/>
                <w:szCs w:val="24"/>
              </w:rPr>
              <w:t>narkotisko vielu atklāšanas iekārtas (testerus)</w:t>
            </w:r>
            <w:r w:rsidR="00A817DD">
              <w:rPr>
                <w:rFonts w:cs="Times New Roman"/>
                <w:sz w:val="24"/>
                <w:szCs w:val="24"/>
              </w:rPr>
              <w:t>.</w:t>
            </w:r>
            <w:r w:rsidR="002909E8">
              <w:rPr>
                <w:rFonts w:cs="Times New Roman"/>
                <w:sz w:val="24"/>
                <w:szCs w:val="24"/>
              </w:rPr>
              <w:t xml:space="preserve"> Līdzīgi iepriekš norādītos normatīvajos aktos noteiktajam, Ministru kabineta noteikumu projekts nosaka</w:t>
            </w:r>
            <w:r w:rsidR="00B86B6C">
              <w:rPr>
                <w:rFonts w:cs="Times New Roman"/>
                <w:sz w:val="24"/>
                <w:szCs w:val="24"/>
              </w:rPr>
              <w:t>, ka n</w:t>
            </w:r>
            <w:r w:rsidR="005E715B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>arkotisko vielu lietošanas noteikšanai</w:t>
            </w:r>
            <w:r w:rsidR="00601576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 jūrniekiem</w:t>
            </w:r>
            <w:r w:rsidR="005E715B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 var izmantot narkotiku testerus.</w:t>
            </w:r>
            <w:r w:rsidR="009144E8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 </w:t>
            </w:r>
          </w:p>
          <w:p w:rsidR="00AA0EA1" w:rsidRDefault="00AA0EA1" w:rsidP="00AA0E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 xml:space="preserve">Testiem vienotas kvalitātes prasības nosaka </w:t>
            </w:r>
            <w:r w:rsidRPr="00AA0EA1">
              <w:rPr>
                <w:rStyle w:val="Strong"/>
                <w:b w:val="0"/>
                <w:sz w:val="24"/>
                <w:szCs w:val="24"/>
              </w:rPr>
              <w:t>Padomes Direktīva</w:t>
            </w:r>
            <w:r>
              <w:rPr>
                <w:rStyle w:val="Strong"/>
                <w:sz w:val="24"/>
                <w:szCs w:val="24"/>
              </w:rPr>
              <w:t xml:space="preserve"> </w:t>
            </w:r>
            <w:hyperlink r:id="rId9" w:tooltip="Padomes Direktīva 93/42/EEK (1993. gada 14. jūnijs) par medicīnas ierīcēm" w:history="1">
              <w:r>
                <w:rPr>
                  <w:rStyle w:val="Hyperlink"/>
                  <w:rFonts w:cs="Times New Roman"/>
                  <w:bCs/>
                  <w:sz w:val="24"/>
                  <w:szCs w:val="24"/>
                </w:rPr>
                <w:t>93/42/EEK</w:t>
              </w:r>
            </w:hyperlink>
            <w:r>
              <w:rPr>
                <w:rStyle w:val="Hyperlink"/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(1993.gada 14.jūnija) par medicīnas ierīcēm, Eiropas Parlamenta un Padomes 27.10.1998. direktīva </w:t>
            </w:r>
            <w:hyperlink r:id="rId10" w:history="1">
              <w:r>
                <w:rPr>
                  <w:rStyle w:val="Hyperlink"/>
                  <w:rFonts w:cs="Times New Roman"/>
                  <w:sz w:val="24"/>
                  <w:szCs w:val="24"/>
                </w:rPr>
                <w:t>98/79/EC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vitro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diagnostikas ierīcēm un </w:t>
            </w:r>
            <w:r>
              <w:rPr>
                <w:rStyle w:val="Emphasis"/>
                <w:rFonts w:cs="Times New Roman"/>
                <w:i w:val="0"/>
                <w:sz w:val="24"/>
                <w:szCs w:val="24"/>
              </w:rPr>
              <w:t xml:space="preserve">Ministru kabineta </w:t>
            </w:r>
            <w:r>
              <w:rPr>
                <w:rFonts w:cs="Times New Roman"/>
                <w:sz w:val="24"/>
                <w:szCs w:val="24"/>
                <w:lang w:eastAsia="lv-LV"/>
              </w:rPr>
              <w:t xml:space="preserve">2008.gada 2.augusta noteikumi Nr.581 </w:t>
            </w:r>
            <w:r w:rsidRPr="00CC3CCD">
              <w:rPr>
                <w:rFonts w:cs="Times New Roman"/>
                <w:sz w:val="24"/>
                <w:szCs w:val="24"/>
              </w:rPr>
              <w:t>„Medicīnisko ierīču reģistrācijas, atbilstības novērtēšanas, izplatīšanas, ekspluatācijas un tehniskās uzraudzības kārtība”</w:t>
            </w:r>
            <w:r w:rsidR="004536F4">
              <w:rPr>
                <w:rFonts w:cs="Times New Roman"/>
                <w:sz w:val="24"/>
                <w:szCs w:val="24"/>
              </w:rPr>
              <w:t xml:space="preserve"> (turpmāk – MK noteikumi Nr.581)</w:t>
            </w:r>
            <w:r>
              <w:rPr>
                <w:rStyle w:val="Emphasis"/>
                <w:i w:val="0"/>
                <w:sz w:val="24"/>
                <w:szCs w:val="24"/>
              </w:rPr>
              <w:t xml:space="preserve">, piemēram, ka testiem jāatbilst </w:t>
            </w:r>
            <w:r>
              <w:rPr>
                <w:rFonts w:cs="Times New Roman"/>
                <w:sz w:val="24"/>
                <w:szCs w:val="24"/>
                <w:lang w:eastAsia="lv-LV"/>
              </w:rPr>
              <w:t xml:space="preserve">noteiktiem kvalitātes standartiem ISO (ir </w:t>
            </w:r>
            <w:r>
              <w:rPr>
                <w:rFonts w:cs="Times New Roman"/>
                <w:sz w:val="24"/>
                <w:szCs w:val="24"/>
              </w:rPr>
              <w:t>atbilstošs kvalitātes sertifikāts), jābūt ar CE atbilstības marķējumu u.c. kvalitātes prasību kritērijiem.</w:t>
            </w:r>
          </w:p>
          <w:p w:rsidR="00B145ED" w:rsidRDefault="00E17EFE" w:rsidP="00B145E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Atbilstoši MK noteikumi Nr.581 2.punktam k</w:t>
            </w:r>
            <w:r w:rsidR="00B145ED">
              <w:rPr>
                <w:rFonts w:cs="Times New Roman"/>
                <w:color w:val="000000"/>
                <w:sz w:val="24"/>
                <w:szCs w:val="24"/>
              </w:rPr>
              <w:t xml:space="preserve">ompetentā institūcija par medicīnisko ierīču reģistrāciju un atbilstības novērtēšanu ir Zāļu valsts aģentūra. Aģentūra uztur medicīnisko ierīču </w:t>
            </w:r>
            <w:r w:rsidR="00B145ED" w:rsidRPr="00E17EFE">
              <w:rPr>
                <w:rFonts w:cs="Times New Roman"/>
                <w:sz w:val="24"/>
                <w:szCs w:val="24"/>
              </w:rPr>
              <w:t xml:space="preserve">reģistra </w:t>
            </w:r>
            <w:hyperlink r:id="rId11" w:history="1">
              <w:r w:rsidR="00B145ED" w:rsidRPr="00E17EFE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LATMED elektronisko datu bāzi</w:t>
              </w:r>
            </w:hyperlink>
            <w:r w:rsidR="00B145ED">
              <w:rPr>
                <w:rFonts w:cs="Times New Roman"/>
                <w:sz w:val="24"/>
                <w:szCs w:val="24"/>
              </w:rPr>
              <w:t>, k</w:t>
            </w:r>
            <w:r w:rsidR="00B145ED">
              <w:rPr>
                <w:rFonts w:cs="Times New Roman"/>
                <w:color w:val="000000"/>
                <w:sz w:val="24"/>
                <w:szCs w:val="24"/>
              </w:rPr>
              <w:t xml:space="preserve">urā glabājas informācija par ierīcēm, to ražotājiem, izplatītājiem, par negadījumiem, kas saistīti </w:t>
            </w:r>
            <w:r w:rsidR="00B145ED" w:rsidRPr="00E17EFE">
              <w:rPr>
                <w:rFonts w:cs="Times New Roman"/>
                <w:color w:val="000000"/>
                <w:sz w:val="24"/>
                <w:szCs w:val="24"/>
              </w:rPr>
              <w:t>ar medicīnisko ierīču</w:t>
            </w:r>
            <w:r w:rsidR="00B145ED">
              <w:rPr>
                <w:rFonts w:cs="Times New Roman"/>
                <w:color w:val="000000"/>
                <w:sz w:val="24"/>
                <w:szCs w:val="24"/>
              </w:rPr>
              <w:t xml:space="preserve"> lietošanu, kā arī cita informācija.</w:t>
            </w:r>
          </w:p>
          <w:p w:rsidR="00430C5B" w:rsidRDefault="00FE4D91" w:rsidP="00430C5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Saskaņā ar </w:t>
            </w:r>
            <w:r>
              <w:rPr>
                <w:rFonts w:cs="Times New Roman"/>
                <w:sz w:val="24"/>
                <w:szCs w:val="24"/>
              </w:rPr>
              <w:t>MK noteikumi Nr.581 173.punktu m</w:t>
            </w:r>
            <w:r w:rsidR="00B145ED">
              <w:rPr>
                <w:rFonts w:cs="Times New Roman"/>
                <w:color w:val="000000"/>
                <w:sz w:val="24"/>
                <w:szCs w:val="24"/>
              </w:rPr>
              <w:t xml:space="preserve">edicīnisko ierīču tehnisko uzraudzību veic institūcija, kas akreditēta sabiedrībā ar ierobežotu atbildību </w:t>
            </w:r>
            <w:r w:rsidR="00B145ED">
              <w:rPr>
                <w:rFonts w:cs="Times New Roman"/>
                <w:i/>
                <w:sz w:val="24"/>
                <w:szCs w:val="24"/>
              </w:rPr>
              <w:t>„</w:t>
            </w:r>
            <w:r w:rsidR="00B145ED" w:rsidRPr="00AC2642">
              <w:rPr>
                <w:rFonts w:cs="Times New Roman"/>
                <w:color w:val="000000"/>
                <w:sz w:val="24"/>
                <w:szCs w:val="24"/>
              </w:rPr>
              <w:t>Standartizācijas, akreditācijas un metroloģijas centrs</w:t>
            </w:r>
            <w:r w:rsidR="00B145ED">
              <w:rPr>
                <w:rFonts w:cs="Times New Roman"/>
                <w:i/>
                <w:color w:val="000000"/>
                <w:sz w:val="24"/>
                <w:szCs w:val="24"/>
              </w:rPr>
              <w:t>”</w:t>
            </w:r>
            <w:r w:rsidR="00B145ED">
              <w:rPr>
                <w:rFonts w:cs="Times New Roman"/>
                <w:color w:val="000000"/>
                <w:sz w:val="24"/>
                <w:szCs w:val="24"/>
              </w:rPr>
              <w:t xml:space="preserve"> saskaņā ar standartu LVS ISO/IEC 17020:2005 un par kuru Ekonomikas ministrija ir publicējusi paziņojumu laikrakstā </w:t>
            </w:r>
            <w:r w:rsidR="00B145ED" w:rsidRPr="00FE4D91">
              <w:rPr>
                <w:rFonts w:cs="Times New Roman"/>
                <w:sz w:val="24"/>
                <w:szCs w:val="24"/>
              </w:rPr>
              <w:t>„</w:t>
            </w:r>
            <w:r w:rsidR="00B145ED" w:rsidRPr="00FE4D91">
              <w:rPr>
                <w:rFonts w:cs="Times New Roman"/>
                <w:color w:val="000000"/>
                <w:sz w:val="24"/>
                <w:szCs w:val="24"/>
              </w:rPr>
              <w:t xml:space="preserve">Latvijas Vēstnesis”. </w:t>
            </w:r>
            <w:r w:rsidR="00B145ED">
              <w:rPr>
                <w:rFonts w:cs="Times New Roman"/>
                <w:color w:val="000000"/>
                <w:sz w:val="24"/>
                <w:szCs w:val="24"/>
              </w:rPr>
              <w:t xml:space="preserve">Tehniskās uzraudzības iestāde nekavējoties ziņo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Veselības </w:t>
            </w:r>
            <w:r w:rsidR="00B145ED">
              <w:rPr>
                <w:rFonts w:cs="Times New Roman"/>
                <w:color w:val="000000"/>
                <w:sz w:val="24"/>
                <w:szCs w:val="24"/>
              </w:rPr>
              <w:t>inspekcijai par visiem šo noteikumu pārkāpumiem medicīnisko ierīču lietošanas, ekspluatācijas un uzturēšanas jomā.</w:t>
            </w:r>
            <w:r w:rsidR="00430C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145ED">
              <w:rPr>
                <w:rFonts w:cs="Times New Roman"/>
                <w:color w:val="000000"/>
                <w:sz w:val="24"/>
                <w:szCs w:val="24"/>
              </w:rPr>
              <w:t>Medicīnisko ierīču ražošanas, izplatīšanas, ekspluatācijas un tehniskās uzraudzības kontroli veic Veselības inspekcija.</w:t>
            </w:r>
          </w:p>
          <w:p w:rsidR="001120E5" w:rsidRPr="00426F0B" w:rsidRDefault="00B145ED" w:rsidP="00430C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Iepazīties ar testiem, kuri atbilst visiem normatīvajos aktos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noteiktajiem kvalitātes atbilstības kritērijiem, var Zāļu valsts aģentūras Medicīnisko ierīču reģistra datu bāzē (LATMED elektroniskā datu bāze), 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sk. </w:t>
            </w:r>
            <w:hyperlink r:id="rId12" w:history="1">
              <w:r w:rsidRPr="00E47833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>https://latmed.zva.gov.lv/public/main.aspx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). Tā ir publiska datu bāze, ar kuru var iepazīties jebkurš interesents. </w:t>
            </w:r>
            <w:r>
              <w:rPr>
                <w:rStyle w:val="Emphasis"/>
                <w:rFonts w:cs="Times New Roman"/>
                <w:i w:val="0"/>
                <w:sz w:val="24"/>
                <w:szCs w:val="24"/>
              </w:rPr>
              <w:t>Zāļu valsts aģentūrā reģistrētiem testiem ir drošs kvalitātes garants</w:t>
            </w:r>
            <w:r w:rsidR="00430C5B">
              <w:rPr>
                <w:rStyle w:val="Emphasis"/>
                <w:rFonts w:cs="Times New Roman"/>
                <w:i w:val="0"/>
                <w:sz w:val="24"/>
                <w:szCs w:val="24"/>
              </w:rPr>
              <w:t>,</w:t>
            </w:r>
            <w:r>
              <w:rPr>
                <w:rStyle w:val="st"/>
                <w:rFonts w:cs="Times New Roman"/>
                <w:sz w:val="24"/>
                <w:szCs w:val="24"/>
              </w:rPr>
              <w:t xml:space="preserve"> </w:t>
            </w:r>
            <w:r w:rsidR="00430C5B">
              <w:rPr>
                <w:rStyle w:val="st"/>
                <w:rFonts w:cs="Times New Roman"/>
                <w:sz w:val="24"/>
                <w:szCs w:val="24"/>
              </w:rPr>
              <w:t>k</w:t>
            </w:r>
            <w:r>
              <w:rPr>
                <w:rStyle w:val="st"/>
                <w:rFonts w:cs="Times New Roman"/>
                <w:sz w:val="24"/>
                <w:szCs w:val="24"/>
              </w:rPr>
              <w:t>as ir pamats kvalitatīvam rezultātam.</w:t>
            </w:r>
          </w:p>
        </w:tc>
      </w:tr>
      <w:tr w:rsidR="00C8486F" w:rsidRPr="00426F0B" w:rsidTr="002A5486">
        <w:trPr>
          <w:trHeight w:val="465"/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1120E5">
            <w:pPr>
              <w:jc w:val="both"/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Aizsardzības mi</w:t>
            </w:r>
            <w:r w:rsidR="002A0CD6" w:rsidRPr="00426F0B">
              <w:rPr>
                <w:sz w:val="24"/>
                <w:szCs w:val="24"/>
              </w:rPr>
              <w:t>nistrij</w:t>
            </w:r>
            <w:r w:rsidR="00471BAD" w:rsidRPr="00426F0B">
              <w:rPr>
                <w:sz w:val="24"/>
                <w:szCs w:val="24"/>
              </w:rPr>
              <w:t xml:space="preserve">a, </w:t>
            </w:r>
            <w:r w:rsidR="002A0CD6" w:rsidRPr="00426F0B">
              <w:rPr>
                <w:sz w:val="24"/>
                <w:szCs w:val="24"/>
              </w:rPr>
              <w:t>Nacionāl</w:t>
            </w:r>
            <w:r w:rsidR="00471BAD" w:rsidRPr="00426F0B">
              <w:rPr>
                <w:sz w:val="24"/>
                <w:szCs w:val="24"/>
              </w:rPr>
              <w:t>ie</w:t>
            </w:r>
            <w:r w:rsidRPr="00426F0B">
              <w:rPr>
                <w:sz w:val="24"/>
                <w:szCs w:val="24"/>
              </w:rPr>
              <w:t xml:space="preserve"> </w:t>
            </w:r>
            <w:r w:rsidR="002A0CD6" w:rsidRPr="00426F0B">
              <w:rPr>
                <w:sz w:val="24"/>
                <w:szCs w:val="24"/>
              </w:rPr>
              <w:t>bruņot</w:t>
            </w:r>
            <w:r w:rsidR="00471BAD" w:rsidRPr="00426F0B">
              <w:rPr>
                <w:sz w:val="24"/>
                <w:szCs w:val="24"/>
              </w:rPr>
              <w:t>ie</w:t>
            </w:r>
            <w:r w:rsidRPr="00426F0B">
              <w:rPr>
                <w:sz w:val="24"/>
                <w:szCs w:val="24"/>
              </w:rPr>
              <w:t xml:space="preserve"> spēk</w:t>
            </w:r>
            <w:r w:rsidR="00471BAD" w:rsidRPr="00426F0B">
              <w:rPr>
                <w:sz w:val="24"/>
                <w:szCs w:val="24"/>
              </w:rPr>
              <w:t>i.</w:t>
            </w:r>
          </w:p>
        </w:tc>
      </w:tr>
      <w:tr w:rsidR="00C8486F" w:rsidRPr="00426F0B" w:rsidTr="002A5486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4.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Cita informācija</w:t>
            </w:r>
          </w:p>
        </w:tc>
        <w:tc>
          <w:tcPr>
            <w:tcW w:w="3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58094C" w:rsidRDefault="00C267EB" w:rsidP="0058094C">
            <w:pPr>
              <w:ind w:firstLine="31"/>
              <w:jc w:val="both"/>
              <w:rPr>
                <w:sz w:val="24"/>
                <w:szCs w:val="24"/>
              </w:rPr>
            </w:pPr>
            <w:r w:rsidRPr="00C267EB">
              <w:rPr>
                <w:sz w:val="24"/>
                <w:szCs w:val="24"/>
              </w:rPr>
              <w:t>Nepieciešamais finansējums tiks nodrošināts Aizsardzības ministrijas esošo valsts budžeta līdzekļu ietvaros no valsts budžeta programmas 22.00.00 „Nacionālie bruņotie spēki” budžeta apakšprogrammas 22.12.00 „Nacionālo bruņoto spēku uzturēšana”.</w:t>
            </w:r>
          </w:p>
        </w:tc>
      </w:tr>
    </w:tbl>
    <w:p w:rsidR="00C8486F" w:rsidRPr="00426F0B" w:rsidRDefault="00C8486F" w:rsidP="004B0D09">
      <w:pPr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"/>
        <w:gridCol w:w="2483"/>
        <w:gridCol w:w="5527"/>
      </w:tblGrid>
      <w:tr w:rsidR="00C8486F" w:rsidRPr="00426F0B" w:rsidTr="002A5486">
        <w:trPr>
          <w:trHeight w:val="55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6F" w:rsidRPr="00426F0B" w:rsidRDefault="00C8486F" w:rsidP="004B0D09">
            <w:pPr>
              <w:jc w:val="center"/>
              <w:rPr>
                <w:b/>
                <w:bCs/>
                <w:sz w:val="24"/>
                <w:szCs w:val="24"/>
              </w:rPr>
            </w:pPr>
            <w:r w:rsidRPr="00426F0B">
              <w:rPr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C8486F" w:rsidRPr="00426F0B" w:rsidTr="002A5486">
        <w:trPr>
          <w:trHeight w:val="465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1.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8C29D9" w:rsidP="0076469A">
            <w:pPr>
              <w:jc w:val="both"/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Jūrniekus, kas atrodas uz kuģa Latvijas jurisdikcijā esošajos ūdeņos</w:t>
            </w:r>
            <w:r w:rsidR="004B0D09" w:rsidRPr="00426F0B">
              <w:rPr>
                <w:sz w:val="24"/>
                <w:szCs w:val="24"/>
              </w:rPr>
              <w:t xml:space="preserve"> (jūras)</w:t>
            </w:r>
            <w:r w:rsidRPr="00426F0B">
              <w:rPr>
                <w:sz w:val="24"/>
                <w:szCs w:val="24"/>
              </w:rPr>
              <w:t>.</w:t>
            </w:r>
          </w:p>
        </w:tc>
      </w:tr>
      <w:tr w:rsidR="00C8486F" w:rsidRPr="00426F0B" w:rsidTr="002A5486">
        <w:trPr>
          <w:trHeight w:val="510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2.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B02219" w:rsidP="00950F62">
            <w:pPr>
              <w:jc w:val="both"/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 xml:space="preserve">Tiesības </w:t>
            </w:r>
            <w:r w:rsidR="00F76FA8" w:rsidRPr="00426F0B">
              <w:rPr>
                <w:sz w:val="24"/>
                <w:szCs w:val="24"/>
              </w:rPr>
              <w:t>Krasta apsardze</w:t>
            </w:r>
            <w:r w:rsidR="002A0CD6" w:rsidRPr="00426F0B">
              <w:rPr>
                <w:sz w:val="24"/>
                <w:szCs w:val="24"/>
              </w:rPr>
              <w:t>s</w:t>
            </w:r>
            <w:r w:rsidR="00F76FA8" w:rsidRPr="00426F0B">
              <w:rPr>
                <w:sz w:val="24"/>
                <w:szCs w:val="24"/>
              </w:rPr>
              <w:t xml:space="preserve"> amatpersona</w:t>
            </w:r>
            <w:r w:rsidRPr="00426F0B">
              <w:rPr>
                <w:sz w:val="24"/>
                <w:szCs w:val="24"/>
              </w:rPr>
              <w:t>i</w:t>
            </w:r>
            <w:r w:rsidR="00F26F21" w:rsidRPr="00426F0B">
              <w:rPr>
                <w:sz w:val="24"/>
                <w:szCs w:val="24"/>
              </w:rPr>
              <w:t xml:space="preserve"> veikt</w:t>
            </w:r>
            <w:r w:rsidR="00F76FA8" w:rsidRPr="00426F0B">
              <w:rPr>
                <w:sz w:val="24"/>
                <w:szCs w:val="24"/>
              </w:rPr>
              <w:t xml:space="preserve"> </w:t>
            </w:r>
            <w:r w:rsidRPr="00426F0B">
              <w:rPr>
                <w:sz w:val="24"/>
                <w:szCs w:val="24"/>
              </w:rPr>
              <w:t>alkohola</w:t>
            </w:r>
            <w:r w:rsidR="00950F62" w:rsidRPr="00426F0B">
              <w:rPr>
                <w:sz w:val="24"/>
                <w:szCs w:val="24"/>
              </w:rPr>
              <w:t xml:space="preserve"> </w:t>
            </w:r>
            <w:r w:rsidR="00950F62" w:rsidRPr="00426F0B">
              <w:rPr>
                <w:sz w:val="24"/>
                <w:szCs w:val="24"/>
              </w:rPr>
              <w:t xml:space="preserve">ietekmes </w:t>
            </w:r>
            <w:r w:rsidR="00950F62">
              <w:rPr>
                <w:sz w:val="24"/>
                <w:szCs w:val="24"/>
              </w:rPr>
              <w:t>un</w:t>
            </w:r>
            <w:r w:rsidRPr="00426F0B">
              <w:rPr>
                <w:sz w:val="24"/>
                <w:szCs w:val="24"/>
              </w:rPr>
              <w:t xml:space="preserve"> narkotisko, psihotropo vai toksisko vielu </w:t>
            </w:r>
            <w:r w:rsidR="00950F62">
              <w:rPr>
                <w:sz w:val="24"/>
                <w:szCs w:val="24"/>
              </w:rPr>
              <w:t xml:space="preserve">lietošanas </w:t>
            </w:r>
            <w:r w:rsidR="00950F62" w:rsidRPr="00426F0B">
              <w:rPr>
                <w:sz w:val="24"/>
                <w:szCs w:val="24"/>
              </w:rPr>
              <w:t>pārbaudi</w:t>
            </w:r>
            <w:r w:rsidR="00950F62" w:rsidRPr="00426F0B">
              <w:rPr>
                <w:sz w:val="24"/>
                <w:szCs w:val="24"/>
              </w:rPr>
              <w:t xml:space="preserve"> </w:t>
            </w:r>
            <w:r w:rsidR="00F76FA8" w:rsidRPr="00426F0B">
              <w:rPr>
                <w:sz w:val="24"/>
                <w:szCs w:val="24"/>
              </w:rPr>
              <w:t>jūrniek</w:t>
            </w:r>
            <w:r w:rsidR="007A2B87" w:rsidRPr="00426F0B">
              <w:rPr>
                <w:sz w:val="24"/>
                <w:szCs w:val="24"/>
              </w:rPr>
              <w:t>a</w:t>
            </w:r>
            <w:r w:rsidR="002A0CD6" w:rsidRPr="00426F0B">
              <w:rPr>
                <w:sz w:val="24"/>
                <w:szCs w:val="24"/>
              </w:rPr>
              <w:t>m</w:t>
            </w:r>
            <w:r w:rsidR="00F76FA8" w:rsidRPr="00426F0B">
              <w:rPr>
                <w:sz w:val="24"/>
                <w:szCs w:val="24"/>
              </w:rPr>
              <w:t xml:space="preserve"> uz kuģa</w:t>
            </w:r>
            <w:r w:rsidRPr="00426F0B">
              <w:rPr>
                <w:sz w:val="24"/>
                <w:szCs w:val="24"/>
              </w:rPr>
              <w:t>, mazinās</w:t>
            </w:r>
            <w:r w:rsidR="00F76FA8" w:rsidRPr="00426F0B">
              <w:rPr>
                <w:sz w:val="24"/>
                <w:szCs w:val="24"/>
              </w:rPr>
              <w:t xml:space="preserve"> </w:t>
            </w:r>
            <w:r w:rsidRPr="00426F0B">
              <w:rPr>
                <w:sz w:val="24"/>
                <w:szCs w:val="24"/>
              </w:rPr>
              <w:t>a</w:t>
            </w:r>
            <w:r w:rsidR="00F76FA8" w:rsidRPr="00426F0B">
              <w:rPr>
                <w:sz w:val="24"/>
                <w:szCs w:val="24"/>
              </w:rPr>
              <w:t>dministratīv</w:t>
            </w:r>
            <w:r w:rsidRPr="00426F0B">
              <w:rPr>
                <w:sz w:val="24"/>
                <w:szCs w:val="24"/>
              </w:rPr>
              <w:t>o</w:t>
            </w:r>
            <w:r w:rsidR="00F76FA8" w:rsidRPr="00426F0B">
              <w:rPr>
                <w:sz w:val="24"/>
                <w:szCs w:val="24"/>
              </w:rPr>
              <w:t xml:space="preserve"> slog</w:t>
            </w:r>
            <w:r w:rsidRPr="00426F0B">
              <w:rPr>
                <w:sz w:val="24"/>
                <w:szCs w:val="24"/>
              </w:rPr>
              <w:t>u</w:t>
            </w:r>
            <w:r w:rsidR="00F76FA8" w:rsidRPr="00426F0B">
              <w:rPr>
                <w:sz w:val="24"/>
                <w:szCs w:val="24"/>
              </w:rPr>
              <w:t>, jo</w:t>
            </w:r>
            <w:r w:rsidR="00F26F21" w:rsidRPr="00426F0B">
              <w:rPr>
                <w:sz w:val="24"/>
                <w:szCs w:val="24"/>
              </w:rPr>
              <w:t>,</w:t>
            </w:r>
            <w:r w:rsidR="00F76FA8" w:rsidRPr="00426F0B">
              <w:rPr>
                <w:sz w:val="24"/>
                <w:szCs w:val="24"/>
              </w:rPr>
              <w:t xml:space="preserve"> </w:t>
            </w:r>
            <w:r w:rsidR="00F26F21" w:rsidRPr="00426F0B">
              <w:rPr>
                <w:sz w:val="24"/>
                <w:szCs w:val="24"/>
              </w:rPr>
              <w:t>Krasta apsardzes amatpersonai</w:t>
            </w:r>
            <w:r w:rsidRPr="00426F0B">
              <w:rPr>
                <w:sz w:val="24"/>
                <w:szCs w:val="24"/>
              </w:rPr>
              <w:t>,</w:t>
            </w:r>
            <w:r w:rsidR="00F26F21" w:rsidRPr="00426F0B">
              <w:rPr>
                <w:sz w:val="24"/>
                <w:szCs w:val="24"/>
              </w:rPr>
              <w:t xml:space="preserve"> veicot kuģa pārbaudi un </w:t>
            </w:r>
            <w:r w:rsidR="002A0CD6" w:rsidRPr="00426F0B">
              <w:rPr>
                <w:sz w:val="24"/>
                <w:szCs w:val="24"/>
              </w:rPr>
              <w:t>esot</w:t>
            </w:r>
            <w:r w:rsidR="00F26F21" w:rsidRPr="00426F0B">
              <w:rPr>
                <w:sz w:val="24"/>
                <w:szCs w:val="24"/>
              </w:rPr>
              <w:t xml:space="preserve"> aizdom</w:t>
            </w:r>
            <w:r w:rsidR="002A0CD6" w:rsidRPr="00426F0B">
              <w:rPr>
                <w:sz w:val="24"/>
                <w:szCs w:val="24"/>
              </w:rPr>
              <w:t>ām</w:t>
            </w:r>
            <w:r w:rsidR="00F26F21" w:rsidRPr="00426F0B">
              <w:rPr>
                <w:sz w:val="24"/>
                <w:szCs w:val="24"/>
              </w:rPr>
              <w:t xml:space="preserve">, ka jūrnieks uz kuģa ir </w:t>
            </w:r>
            <w:r w:rsidR="00F76FA8" w:rsidRPr="00426F0B">
              <w:rPr>
                <w:sz w:val="24"/>
                <w:szCs w:val="24"/>
              </w:rPr>
              <w:t>apreibinošo vielu</w:t>
            </w:r>
            <w:r w:rsidR="00F26F21" w:rsidRPr="00426F0B">
              <w:rPr>
                <w:sz w:val="24"/>
                <w:szCs w:val="24"/>
              </w:rPr>
              <w:t xml:space="preserve"> iespaidā, </w:t>
            </w:r>
            <w:r w:rsidR="00F76FA8" w:rsidRPr="00426F0B">
              <w:rPr>
                <w:sz w:val="24"/>
                <w:szCs w:val="24"/>
              </w:rPr>
              <w:t xml:space="preserve">nebūs jāpiesaista policijas </w:t>
            </w:r>
            <w:r w:rsidR="00F26F21" w:rsidRPr="00426F0B">
              <w:rPr>
                <w:sz w:val="24"/>
                <w:szCs w:val="24"/>
              </w:rPr>
              <w:t>darbinieks.</w:t>
            </w:r>
          </w:p>
        </w:tc>
      </w:tr>
      <w:tr w:rsidR="00C8486F" w:rsidRPr="00426F0B" w:rsidTr="002A5486">
        <w:trPr>
          <w:trHeight w:val="510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3.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58094C" w:rsidP="0058094C">
            <w:pPr>
              <w:jc w:val="both"/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Projekts šo jomu neskar.</w:t>
            </w:r>
          </w:p>
        </w:tc>
      </w:tr>
      <w:tr w:rsidR="00C8486F" w:rsidRPr="00426F0B" w:rsidTr="002A5486">
        <w:trPr>
          <w:trHeight w:val="456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4.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Cita informācija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86F" w:rsidRPr="00426F0B" w:rsidRDefault="00C8486F" w:rsidP="0076469A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Nav</w:t>
            </w:r>
            <w:r w:rsidR="00471BAD" w:rsidRPr="00426F0B">
              <w:rPr>
                <w:sz w:val="24"/>
                <w:szCs w:val="24"/>
              </w:rPr>
              <w:t>.</w:t>
            </w:r>
          </w:p>
        </w:tc>
      </w:tr>
    </w:tbl>
    <w:p w:rsidR="00384CC7" w:rsidRDefault="00384CC7">
      <w:pPr>
        <w:rPr>
          <w:sz w:val="24"/>
          <w:szCs w:val="24"/>
        </w:rPr>
      </w:pPr>
    </w:p>
    <w:tbl>
      <w:tblPr>
        <w:tblW w:w="5110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8"/>
        <w:gridCol w:w="2651"/>
        <w:gridCol w:w="5580"/>
      </w:tblGrid>
      <w:tr w:rsidR="008B1728" w:rsidRPr="00426F0B" w:rsidTr="008B1728">
        <w:trPr>
          <w:trHeight w:val="555"/>
          <w:tblCellSpacing w:w="15" w:type="dxa"/>
        </w:trPr>
        <w:tc>
          <w:tcPr>
            <w:tcW w:w="20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426F0B" w:rsidRDefault="008B1728" w:rsidP="008B17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28" w:rsidRPr="00426F0B" w:rsidRDefault="008B1728" w:rsidP="008B1728">
            <w:pPr>
              <w:jc w:val="center"/>
              <w:rPr>
                <w:b/>
                <w:bCs/>
                <w:sz w:val="24"/>
                <w:szCs w:val="24"/>
              </w:rPr>
            </w:pPr>
            <w:r w:rsidRPr="00426F0B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426F0B">
              <w:rPr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b/>
                <w:bCs/>
                <w:sz w:val="24"/>
                <w:szCs w:val="24"/>
              </w:rPr>
              <w:t>spēkā esošo tiesību normu sistēmu</w:t>
            </w:r>
          </w:p>
        </w:tc>
      </w:tr>
      <w:tr w:rsidR="008B1728" w:rsidRPr="00426F0B" w:rsidTr="008B1728">
        <w:trPr>
          <w:trHeight w:val="465"/>
          <w:tblCellSpacing w:w="15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426F0B" w:rsidRDefault="005406DE" w:rsidP="003E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426F0B" w:rsidRDefault="005406DE" w:rsidP="003E389D">
            <w:pPr>
              <w:jc w:val="both"/>
              <w:rPr>
                <w:sz w:val="24"/>
                <w:szCs w:val="24"/>
              </w:rPr>
            </w:pPr>
            <w:r w:rsidRPr="00E65F9E">
              <w:rPr>
                <w:rFonts w:cs="Times New Roman"/>
                <w:sz w:val="24"/>
                <w:szCs w:val="24"/>
                <w:lang w:eastAsia="lv-LV" w:bidi="ar-SA"/>
              </w:rPr>
              <w:t>Nepieciešamie saistītie tiesību aktu projekti</w:t>
            </w:r>
          </w:p>
        </w:tc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ED0F1B" w:rsidRDefault="00ED0F1B" w:rsidP="00ED0F1B">
            <w:pPr>
              <w:jc w:val="both"/>
              <w:rPr>
                <w:i/>
                <w:sz w:val="24"/>
                <w:szCs w:val="24"/>
              </w:rPr>
            </w:pPr>
            <w:r w:rsidRPr="00ED0F1B">
              <w:rPr>
                <w:rStyle w:val="Emphasis"/>
                <w:rFonts w:cs="Times New Roman"/>
                <w:i w:val="0"/>
                <w:sz w:val="24"/>
                <w:szCs w:val="24"/>
              </w:rPr>
              <w:t>Nepieciešams virzīt grozījumu par Latvijas Administratīvo pārkāpumu kodeksa 116.</w:t>
            </w:r>
            <w:r w:rsidRPr="00ED0F1B">
              <w:rPr>
                <w:rStyle w:val="Emphasis"/>
                <w:rFonts w:cs="Times New Roman"/>
                <w:i w:val="0"/>
                <w:sz w:val="24"/>
                <w:szCs w:val="24"/>
                <w:vertAlign w:val="superscript"/>
              </w:rPr>
              <w:t>1</w:t>
            </w:r>
            <w:r w:rsidRPr="00ED0F1B">
              <w:rPr>
                <w:rStyle w:val="Emphasis"/>
                <w:rFonts w:cs="Times New Roman"/>
                <w:i w:val="0"/>
                <w:sz w:val="24"/>
                <w:szCs w:val="24"/>
              </w:rPr>
              <w:t xml:space="preserve">panta papildināšanu ar sesto daļu, kas noteiktu tiesisku seku iestāšanos – jūrnieka sodīšanu par atteikšanos veikt alkohola pārbaudi alkohola koncentrācijas noteikšanai izelpotajā gaisā ar portatīvo mērierīci vai narkotisko vielu pārbaudi ar </w:t>
            </w:r>
            <w:proofErr w:type="spellStart"/>
            <w:r w:rsidR="004C59C8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>ekspresdiagnostikas</w:t>
            </w:r>
            <w:proofErr w:type="spellEnd"/>
            <w:r w:rsidR="004C59C8">
              <w:rPr>
                <w:rFonts w:eastAsia="SimSun" w:cs="Times New Roman"/>
                <w:bCs/>
                <w:sz w:val="24"/>
                <w:szCs w:val="24"/>
                <w:lang w:eastAsia="lv-LV" w:bidi="ar-SA"/>
              </w:rPr>
              <w:t xml:space="preserve"> testu</w:t>
            </w:r>
            <w:r w:rsidRPr="00ED0F1B">
              <w:rPr>
                <w:rStyle w:val="Emphasis"/>
                <w:rFonts w:cs="Times New Roman"/>
                <w:i w:val="0"/>
                <w:sz w:val="24"/>
                <w:szCs w:val="24"/>
              </w:rPr>
              <w:t>.</w:t>
            </w:r>
          </w:p>
        </w:tc>
      </w:tr>
      <w:tr w:rsidR="008B1728" w:rsidRPr="00426F0B" w:rsidTr="008B1728">
        <w:trPr>
          <w:trHeight w:val="510"/>
          <w:tblCellSpacing w:w="15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426F0B" w:rsidRDefault="005406DE" w:rsidP="003E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426F0B" w:rsidRDefault="00971F32" w:rsidP="003E389D">
            <w:pPr>
              <w:jc w:val="both"/>
              <w:rPr>
                <w:sz w:val="24"/>
                <w:szCs w:val="24"/>
              </w:rPr>
            </w:pPr>
            <w:r w:rsidRPr="00E65F9E">
              <w:rPr>
                <w:rFonts w:cs="Times New Roman"/>
                <w:sz w:val="24"/>
                <w:szCs w:val="24"/>
                <w:lang w:eastAsia="lv-LV" w:bidi="ar-SA"/>
              </w:rPr>
              <w:t>Atbildīgā institūcija</w:t>
            </w:r>
          </w:p>
        </w:tc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426F0B" w:rsidRDefault="00F61E80" w:rsidP="00D25764">
            <w:pPr>
              <w:jc w:val="both"/>
              <w:rPr>
                <w:sz w:val="24"/>
                <w:szCs w:val="24"/>
              </w:rPr>
            </w:pPr>
            <w:r w:rsidRPr="00E65F9E">
              <w:rPr>
                <w:rFonts w:cs="Times New Roman"/>
                <w:sz w:val="24"/>
                <w:szCs w:val="24"/>
                <w:lang w:eastAsia="lv-LV" w:bidi="ar-SA"/>
              </w:rPr>
              <w:t>Aizsardzības ministrija,</w:t>
            </w:r>
            <w:r>
              <w:rPr>
                <w:rFonts w:cs="Times New Roman"/>
                <w:sz w:val="24"/>
                <w:szCs w:val="24"/>
                <w:lang w:eastAsia="lv-LV" w:bidi="ar-SA"/>
              </w:rPr>
              <w:t xml:space="preserve"> </w:t>
            </w:r>
            <w:r w:rsidR="00D25764">
              <w:rPr>
                <w:rFonts w:cs="Times New Roman"/>
                <w:sz w:val="24"/>
                <w:szCs w:val="24"/>
                <w:lang w:eastAsia="lv-LV" w:bidi="ar-SA"/>
              </w:rPr>
              <w:t>Nacionālie bruņotie spēki</w:t>
            </w:r>
          </w:p>
        </w:tc>
      </w:tr>
      <w:tr w:rsidR="008B1728" w:rsidRPr="00426F0B" w:rsidTr="008B1728">
        <w:trPr>
          <w:trHeight w:val="510"/>
          <w:tblCellSpacing w:w="15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426F0B" w:rsidRDefault="005406DE" w:rsidP="003E3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426F0B" w:rsidRDefault="00971F32" w:rsidP="003E389D">
            <w:pPr>
              <w:rPr>
                <w:sz w:val="24"/>
                <w:szCs w:val="24"/>
              </w:rPr>
            </w:pPr>
            <w:r w:rsidRPr="00E65F9E">
              <w:rPr>
                <w:rFonts w:cs="Times New Roman"/>
                <w:sz w:val="24"/>
                <w:szCs w:val="24"/>
                <w:lang w:eastAsia="lv-LV" w:bidi="ar-SA"/>
              </w:rPr>
              <w:t>Cita informācija</w:t>
            </w:r>
          </w:p>
        </w:tc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728" w:rsidRPr="00426F0B" w:rsidRDefault="00F61E80" w:rsidP="003E389D">
            <w:pPr>
              <w:rPr>
                <w:sz w:val="24"/>
                <w:szCs w:val="24"/>
              </w:rPr>
            </w:pPr>
            <w:r w:rsidRPr="00E65F9E">
              <w:rPr>
                <w:rFonts w:cs="Times New Roman"/>
                <w:sz w:val="24"/>
                <w:szCs w:val="24"/>
                <w:lang w:eastAsia="lv-LV" w:bidi="ar-SA"/>
              </w:rPr>
              <w:t>Nav</w:t>
            </w:r>
          </w:p>
        </w:tc>
      </w:tr>
      <w:tr w:rsidR="008B1728" w:rsidRPr="00426F0B" w:rsidTr="008B1728">
        <w:trPr>
          <w:trHeight w:val="456"/>
          <w:tblCellSpacing w:w="15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728" w:rsidRPr="00426F0B" w:rsidRDefault="008B1728" w:rsidP="003E389D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Cita informācija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728" w:rsidRPr="00426F0B" w:rsidRDefault="008B1728" w:rsidP="003E389D">
            <w:pPr>
              <w:rPr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728" w:rsidRPr="00426F0B" w:rsidRDefault="008B1728" w:rsidP="003E389D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Nav.</w:t>
            </w:r>
          </w:p>
        </w:tc>
      </w:tr>
    </w:tbl>
    <w:p w:rsidR="008B1728" w:rsidRDefault="008B1728">
      <w:pPr>
        <w:rPr>
          <w:sz w:val="24"/>
          <w:szCs w:val="24"/>
        </w:rPr>
      </w:pPr>
    </w:p>
    <w:p w:rsidR="008B1728" w:rsidRDefault="008B1728">
      <w:pPr>
        <w:rPr>
          <w:sz w:val="24"/>
          <w:szCs w:val="24"/>
        </w:rPr>
      </w:pPr>
    </w:p>
    <w:p w:rsidR="008B1728" w:rsidRPr="00426F0B" w:rsidRDefault="008B1728">
      <w:pPr>
        <w:rPr>
          <w:sz w:val="24"/>
          <w:szCs w:val="24"/>
        </w:rPr>
      </w:pPr>
    </w:p>
    <w:tbl>
      <w:tblPr>
        <w:tblW w:w="9498" w:type="dxa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4"/>
        <w:gridCol w:w="30"/>
        <w:gridCol w:w="2692"/>
        <w:gridCol w:w="5122"/>
      </w:tblGrid>
      <w:tr w:rsidR="00384CC7" w:rsidRPr="00426F0B" w:rsidTr="00931533">
        <w:trPr>
          <w:trHeight w:val="375"/>
          <w:tblCellSpacing w:w="15" w:type="dxa"/>
        </w:trPr>
        <w:tc>
          <w:tcPr>
            <w:tcW w:w="9438" w:type="dxa"/>
            <w:gridSpan w:val="4"/>
            <w:vAlign w:val="center"/>
            <w:hideMark/>
          </w:tcPr>
          <w:p w:rsidR="00C8486F" w:rsidRPr="00426F0B" w:rsidRDefault="00C8486F" w:rsidP="00B02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26F0B">
              <w:rPr>
                <w:b/>
                <w:bCs/>
                <w:sz w:val="24"/>
                <w:szCs w:val="24"/>
              </w:rPr>
              <w:t>VII. Tiesību akta projekta izpildes nodrošināšan</w:t>
            </w:r>
            <w:r w:rsidR="00384CC7" w:rsidRPr="00426F0B">
              <w:rPr>
                <w:b/>
                <w:bCs/>
                <w:sz w:val="24"/>
                <w:szCs w:val="24"/>
              </w:rPr>
              <w:t>a un tās ietekme uz institūcijā</w:t>
            </w:r>
          </w:p>
        </w:tc>
      </w:tr>
      <w:tr w:rsidR="00384CC7" w:rsidRPr="00426F0B" w:rsidTr="00931533">
        <w:trPr>
          <w:trHeight w:val="420"/>
          <w:tblCellSpacing w:w="15" w:type="dxa"/>
        </w:trPr>
        <w:tc>
          <w:tcPr>
            <w:tcW w:w="1609" w:type="dxa"/>
            <w:hideMark/>
          </w:tcPr>
          <w:p w:rsidR="00C8486F" w:rsidRPr="00426F0B" w:rsidRDefault="00C8486F" w:rsidP="00C8486F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  <w:gridSpan w:val="2"/>
            <w:hideMark/>
          </w:tcPr>
          <w:p w:rsidR="00C8486F" w:rsidRPr="00426F0B" w:rsidRDefault="00C8486F" w:rsidP="00471BAD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5077" w:type="dxa"/>
            <w:hideMark/>
          </w:tcPr>
          <w:p w:rsidR="00C8486F" w:rsidRPr="00426F0B" w:rsidRDefault="002A0CD6" w:rsidP="002A0CD6">
            <w:pPr>
              <w:jc w:val="both"/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Nacionālie bruņotie spēki</w:t>
            </w:r>
            <w:r w:rsidR="00B02219" w:rsidRPr="00426F0B">
              <w:rPr>
                <w:sz w:val="24"/>
                <w:szCs w:val="24"/>
              </w:rPr>
              <w:t>.</w:t>
            </w:r>
          </w:p>
        </w:tc>
      </w:tr>
      <w:tr w:rsidR="00384CC7" w:rsidRPr="00426F0B" w:rsidTr="00931533">
        <w:trPr>
          <w:trHeight w:val="933"/>
          <w:tblCellSpacing w:w="15" w:type="dxa"/>
        </w:trPr>
        <w:tc>
          <w:tcPr>
            <w:tcW w:w="1639" w:type="dxa"/>
            <w:gridSpan w:val="2"/>
            <w:hideMark/>
          </w:tcPr>
          <w:p w:rsidR="00C8486F" w:rsidRPr="00426F0B" w:rsidRDefault="00C8486F" w:rsidP="00C8486F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2.</w:t>
            </w:r>
          </w:p>
        </w:tc>
        <w:tc>
          <w:tcPr>
            <w:tcW w:w="2662" w:type="dxa"/>
            <w:hideMark/>
          </w:tcPr>
          <w:p w:rsidR="00C8486F" w:rsidRPr="00426F0B" w:rsidRDefault="00C8486F" w:rsidP="00C8486F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C8486F" w:rsidRPr="00426F0B" w:rsidRDefault="00C8486F" w:rsidP="00C8486F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077" w:type="dxa"/>
            <w:hideMark/>
          </w:tcPr>
          <w:p w:rsidR="00C8486F" w:rsidRPr="00426F0B" w:rsidRDefault="00C8486F" w:rsidP="00B02219">
            <w:pPr>
              <w:jc w:val="both"/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 xml:space="preserve">Projekta izpilde notiks esošo pārvaldes funkciju ietvaros. </w:t>
            </w:r>
          </w:p>
        </w:tc>
      </w:tr>
      <w:tr w:rsidR="00384CC7" w:rsidRPr="00426F0B" w:rsidTr="00931533">
        <w:trPr>
          <w:trHeight w:val="390"/>
          <w:tblCellSpacing w:w="15" w:type="dxa"/>
        </w:trPr>
        <w:tc>
          <w:tcPr>
            <w:tcW w:w="1639" w:type="dxa"/>
            <w:gridSpan w:val="2"/>
            <w:hideMark/>
          </w:tcPr>
          <w:p w:rsidR="00C8486F" w:rsidRPr="00426F0B" w:rsidRDefault="00C8486F" w:rsidP="00C8486F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3.</w:t>
            </w:r>
          </w:p>
        </w:tc>
        <w:tc>
          <w:tcPr>
            <w:tcW w:w="2662" w:type="dxa"/>
            <w:hideMark/>
          </w:tcPr>
          <w:p w:rsidR="00C8486F" w:rsidRPr="00426F0B" w:rsidRDefault="00C8486F" w:rsidP="00C8486F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Cita informācija</w:t>
            </w:r>
          </w:p>
        </w:tc>
        <w:tc>
          <w:tcPr>
            <w:tcW w:w="5077" w:type="dxa"/>
            <w:hideMark/>
          </w:tcPr>
          <w:p w:rsidR="00C8486F" w:rsidRPr="00426F0B" w:rsidRDefault="00C8486F" w:rsidP="00C8486F">
            <w:pPr>
              <w:rPr>
                <w:sz w:val="24"/>
                <w:szCs w:val="24"/>
              </w:rPr>
            </w:pPr>
            <w:r w:rsidRPr="00426F0B">
              <w:rPr>
                <w:sz w:val="24"/>
                <w:szCs w:val="24"/>
              </w:rPr>
              <w:t>Nav</w:t>
            </w:r>
            <w:r w:rsidR="00471BAD" w:rsidRPr="00426F0B">
              <w:rPr>
                <w:sz w:val="24"/>
                <w:szCs w:val="24"/>
              </w:rPr>
              <w:t>.</w:t>
            </w:r>
          </w:p>
        </w:tc>
      </w:tr>
    </w:tbl>
    <w:p w:rsidR="00D2590F" w:rsidRPr="00426F0B" w:rsidRDefault="00C8486F" w:rsidP="00C8486F">
      <w:pPr>
        <w:rPr>
          <w:sz w:val="24"/>
          <w:szCs w:val="24"/>
        </w:rPr>
      </w:pPr>
      <w:r w:rsidRPr="00426F0B">
        <w:rPr>
          <w:rFonts w:cs="Times New Roman"/>
          <w:i/>
          <w:sz w:val="24"/>
          <w:szCs w:val="24"/>
          <w:lang w:eastAsia="lv-LV" w:bidi="ar-SA"/>
        </w:rPr>
        <w:t>Anotācijas III,</w:t>
      </w:r>
      <w:proofErr w:type="gramStart"/>
      <w:r w:rsidRPr="00426F0B">
        <w:rPr>
          <w:rFonts w:cs="Times New Roman"/>
          <w:i/>
          <w:sz w:val="24"/>
          <w:szCs w:val="24"/>
          <w:lang w:eastAsia="lv-LV" w:bidi="ar-SA"/>
        </w:rPr>
        <w:t xml:space="preserve">  </w:t>
      </w:r>
      <w:proofErr w:type="gramEnd"/>
      <w:r w:rsidRPr="00426F0B">
        <w:rPr>
          <w:rFonts w:cs="Times New Roman"/>
          <w:i/>
          <w:sz w:val="24"/>
          <w:szCs w:val="24"/>
          <w:lang w:eastAsia="lv-LV" w:bidi="ar-SA"/>
        </w:rPr>
        <w:t>V un VI sadaļa – projekts šīs jomas neskar.</w:t>
      </w:r>
    </w:p>
    <w:p w:rsidR="00D2590F" w:rsidRDefault="00D2590F" w:rsidP="00D2590F">
      <w:pPr>
        <w:rPr>
          <w:sz w:val="24"/>
          <w:szCs w:val="24"/>
        </w:rPr>
      </w:pPr>
    </w:p>
    <w:p w:rsidR="00144CF8" w:rsidRDefault="00144CF8" w:rsidP="00D2590F">
      <w:pPr>
        <w:rPr>
          <w:sz w:val="24"/>
          <w:szCs w:val="24"/>
        </w:rPr>
      </w:pPr>
    </w:p>
    <w:p w:rsidR="00B02219" w:rsidRPr="00426F0B" w:rsidRDefault="00B02219" w:rsidP="00D2590F">
      <w:pPr>
        <w:rPr>
          <w:sz w:val="24"/>
          <w:szCs w:val="24"/>
        </w:rPr>
      </w:pPr>
    </w:p>
    <w:p w:rsidR="00B02219" w:rsidRPr="00426F0B" w:rsidRDefault="00B02219" w:rsidP="00D2590F">
      <w:pPr>
        <w:rPr>
          <w:sz w:val="24"/>
          <w:szCs w:val="24"/>
        </w:rPr>
      </w:pPr>
    </w:p>
    <w:p w:rsidR="001A6A63" w:rsidRDefault="001A6A63" w:rsidP="001A6A63">
      <w:pPr>
        <w:rPr>
          <w:rFonts w:cs="Times New Roman"/>
          <w:sz w:val="24"/>
          <w:szCs w:val="24"/>
          <w:lang w:eastAsia="zh-TW" w:bidi="ar-SA"/>
        </w:rPr>
      </w:pPr>
      <w:r>
        <w:rPr>
          <w:color w:val="000000"/>
          <w:sz w:val="24"/>
          <w:szCs w:val="24"/>
        </w:rPr>
        <w:t>Aizsardzības ministrs</w:t>
      </w:r>
      <w:proofErr w:type="gramStart"/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proofErr w:type="spellStart"/>
      <w:proofErr w:type="gramEnd"/>
      <w:r>
        <w:rPr>
          <w:color w:val="000000"/>
          <w:sz w:val="24"/>
          <w:szCs w:val="24"/>
        </w:rPr>
        <w:t>R.Bergmanis</w:t>
      </w:r>
      <w:proofErr w:type="spellEnd"/>
    </w:p>
    <w:p w:rsidR="001A6A63" w:rsidRDefault="001A6A63" w:rsidP="00B02219">
      <w:pPr>
        <w:rPr>
          <w:sz w:val="24"/>
          <w:szCs w:val="24"/>
        </w:rPr>
      </w:pPr>
    </w:p>
    <w:p w:rsidR="001A6A63" w:rsidRDefault="001A6A63" w:rsidP="00B02219">
      <w:pPr>
        <w:rPr>
          <w:sz w:val="24"/>
          <w:szCs w:val="24"/>
        </w:rPr>
      </w:pPr>
    </w:p>
    <w:p w:rsidR="00144CF8" w:rsidRDefault="00B02219" w:rsidP="00B02219">
      <w:pPr>
        <w:rPr>
          <w:sz w:val="24"/>
          <w:szCs w:val="24"/>
        </w:rPr>
      </w:pPr>
      <w:r w:rsidRPr="00426F0B">
        <w:rPr>
          <w:sz w:val="24"/>
          <w:szCs w:val="24"/>
        </w:rPr>
        <w:tab/>
      </w:r>
    </w:p>
    <w:p w:rsidR="00B02219" w:rsidRPr="00426F0B" w:rsidRDefault="00B02219" w:rsidP="00B02219">
      <w:pPr>
        <w:rPr>
          <w:sz w:val="24"/>
          <w:szCs w:val="24"/>
        </w:rPr>
      </w:pPr>
      <w:r w:rsidRPr="00426F0B">
        <w:rPr>
          <w:sz w:val="24"/>
          <w:szCs w:val="24"/>
        </w:rPr>
        <w:tab/>
      </w:r>
      <w:r w:rsidRPr="00426F0B">
        <w:rPr>
          <w:sz w:val="24"/>
          <w:szCs w:val="24"/>
        </w:rPr>
        <w:tab/>
      </w:r>
      <w:r w:rsidRPr="00426F0B">
        <w:rPr>
          <w:sz w:val="24"/>
          <w:szCs w:val="24"/>
        </w:rPr>
        <w:tab/>
      </w:r>
      <w:r w:rsidRPr="00426F0B">
        <w:rPr>
          <w:sz w:val="24"/>
          <w:szCs w:val="24"/>
        </w:rPr>
        <w:tab/>
      </w:r>
    </w:p>
    <w:p w:rsidR="00B02219" w:rsidRPr="00426F0B" w:rsidRDefault="00B02219" w:rsidP="00B02219">
      <w:pPr>
        <w:rPr>
          <w:sz w:val="24"/>
          <w:szCs w:val="24"/>
        </w:rPr>
      </w:pPr>
    </w:p>
    <w:p w:rsidR="00B02219" w:rsidRPr="00426F0B" w:rsidRDefault="00B02219" w:rsidP="00B02219">
      <w:pPr>
        <w:pStyle w:val="naisf"/>
        <w:tabs>
          <w:tab w:val="right" w:pos="8280"/>
        </w:tabs>
        <w:spacing w:before="0" w:beforeAutospacing="0" w:after="0" w:afterAutospacing="0"/>
      </w:pPr>
      <w:r w:rsidRPr="00426F0B">
        <w:t>Vīza: Valsts sekretārs</w:t>
      </w:r>
      <w:proofErr w:type="gramStart"/>
      <w:r w:rsidRPr="00426F0B">
        <w:t xml:space="preserve">                                                   </w:t>
      </w:r>
      <w:r w:rsidR="00144CF8">
        <w:t xml:space="preserve">                            </w:t>
      </w:r>
      <w:r w:rsidRPr="00426F0B">
        <w:t xml:space="preserve">       </w:t>
      </w:r>
      <w:proofErr w:type="gramEnd"/>
      <w:r w:rsidRPr="00426F0B">
        <w:t>J.</w:t>
      </w:r>
      <w:r w:rsidR="005A319C" w:rsidRPr="00426F0B">
        <w:t>Garisons</w:t>
      </w:r>
    </w:p>
    <w:p w:rsidR="00D2590F" w:rsidRDefault="00D2590F" w:rsidP="00D2590F">
      <w:pPr>
        <w:rPr>
          <w:sz w:val="24"/>
          <w:szCs w:val="24"/>
        </w:rPr>
      </w:pPr>
    </w:p>
    <w:p w:rsidR="00144CF8" w:rsidRDefault="00144CF8" w:rsidP="00D2590F">
      <w:pPr>
        <w:rPr>
          <w:sz w:val="24"/>
          <w:szCs w:val="24"/>
        </w:rPr>
      </w:pPr>
    </w:p>
    <w:p w:rsidR="00144CF8" w:rsidRDefault="00144CF8" w:rsidP="00D2590F">
      <w:pPr>
        <w:rPr>
          <w:sz w:val="24"/>
          <w:szCs w:val="24"/>
        </w:rPr>
      </w:pPr>
    </w:p>
    <w:p w:rsidR="00426F0B" w:rsidRPr="00426F0B" w:rsidRDefault="004C59C8" w:rsidP="00426F0B">
      <w:pPr>
        <w:rPr>
          <w:rFonts w:eastAsia="SimSun"/>
          <w:sz w:val="16"/>
          <w:szCs w:val="16"/>
          <w:lang w:eastAsia="lv-LV" w:bidi="ar-SA"/>
        </w:rPr>
      </w:pPr>
      <w:r>
        <w:rPr>
          <w:rFonts w:eastAsia="SimSun"/>
          <w:sz w:val="16"/>
          <w:szCs w:val="16"/>
          <w:lang w:eastAsia="lv-LV" w:bidi="ar-SA"/>
        </w:rPr>
        <w:t>24</w:t>
      </w:r>
      <w:r w:rsidR="00FB2711">
        <w:rPr>
          <w:rFonts w:eastAsia="SimSun"/>
          <w:sz w:val="16"/>
          <w:szCs w:val="16"/>
          <w:lang w:eastAsia="lv-LV" w:bidi="ar-SA"/>
        </w:rPr>
        <w:t>.1</w:t>
      </w:r>
      <w:r w:rsidR="008637B7">
        <w:rPr>
          <w:rFonts w:eastAsia="SimSun"/>
          <w:sz w:val="16"/>
          <w:szCs w:val="16"/>
          <w:lang w:eastAsia="lv-LV" w:bidi="ar-SA"/>
        </w:rPr>
        <w:t>1</w:t>
      </w:r>
      <w:r w:rsidR="00426F0B" w:rsidRPr="00426F0B">
        <w:rPr>
          <w:rFonts w:eastAsia="SimSun"/>
          <w:sz w:val="16"/>
          <w:szCs w:val="16"/>
          <w:lang w:eastAsia="lv-LV" w:bidi="ar-SA"/>
        </w:rPr>
        <w:t>.2015. 1</w:t>
      </w:r>
      <w:r w:rsidR="00234441">
        <w:rPr>
          <w:rFonts w:eastAsia="SimSun"/>
          <w:sz w:val="16"/>
          <w:szCs w:val="16"/>
          <w:lang w:eastAsia="lv-LV" w:bidi="ar-SA"/>
        </w:rPr>
        <w:t>1</w:t>
      </w:r>
      <w:r w:rsidR="00426F0B" w:rsidRPr="00426F0B">
        <w:rPr>
          <w:rFonts w:eastAsia="SimSun"/>
          <w:sz w:val="16"/>
          <w:szCs w:val="16"/>
          <w:lang w:eastAsia="lv-LV" w:bidi="ar-SA"/>
        </w:rPr>
        <w:t>:</w:t>
      </w:r>
      <w:r w:rsidR="005116C6">
        <w:rPr>
          <w:rFonts w:eastAsia="SimSun"/>
          <w:sz w:val="16"/>
          <w:szCs w:val="16"/>
          <w:lang w:eastAsia="lv-LV" w:bidi="ar-SA"/>
        </w:rPr>
        <w:t>5</w:t>
      </w:r>
      <w:r w:rsidR="00234441">
        <w:rPr>
          <w:rFonts w:eastAsia="SimSun"/>
          <w:sz w:val="16"/>
          <w:szCs w:val="16"/>
          <w:lang w:eastAsia="lv-LV" w:bidi="ar-SA"/>
        </w:rPr>
        <w:t>1</w:t>
      </w:r>
      <w:bookmarkStart w:id="2" w:name="_GoBack"/>
      <w:bookmarkEnd w:id="2"/>
    </w:p>
    <w:p w:rsidR="00426F0B" w:rsidRPr="00426F0B" w:rsidRDefault="008637B7" w:rsidP="00426F0B">
      <w:pPr>
        <w:rPr>
          <w:rFonts w:eastAsia="SimSun"/>
          <w:sz w:val="16"/>
          <w:szCs w:val="16"/>
          <w:lang w:eastAsia="lv-LV" w:bidi="ar-SA"/>
        </w:rPr>
      </w:pPr>
      <w:r>
        <w:rPr>
          <w:rFonts w:eastAsia="SimSun"/>
          <w:sz w:val="16"/>
          <w:szCs w:val="16"/>
          <w:lang w:eastAsia="lv-LV" w:bidi="ar-SA"/>
        </w:rPr>
        <w:t>9</w:t>
      </w:r>
      <w:r w:rsidR="004C59C8">
        <w:rPr>
          <w:rFonts w:eastAsia="SimSun"/>
          <w:sz w:val="16"/>
          <w:szCs w:val="16"/>
          <w:lang w:eastAsia="lv-LV" w:bidi="ar-SA"/>
        </w:rPr>
        <w:t>48</w:t>
      </w:r>
    </w:p>
    <w:p w:rsidR="00426F0B" w:rsidRPr="00426F0B" w:rsidRDefault="00BD2F12" w:rsidP="00426F0B">
      <w:pPr>
        <w:tabs>
          <w:tab w:val="right" w:pos="0"/>
        </w:tabs>
        <w:rPr>
          <w:rFonts w:eastAsia="Calibri" w:cs="Times New Roman"/>
          <w:sz w:val="16"/>
          <w:szCs w:val="16"/>
          <w:lang w:bidi="ar-SA"/>
        </w:rPr>
      </w:pPr>
      <w:r>
        <w:rPr>
          <w:rFonts w:eastAsia="Calibri" w:cs="Times New Roman"/>
          <w:sz w:val="16"/>
          <w:szCs w:val="16"/>
          <w:lang w:bidi="ar-SA"/>
        </w:rPr>
        <w:t>M.</w:t>
      </w:r>
      <w:r w:rsidRPr="00BD2F12">
        <w:rPr>
          <w:rFonts w:eastAsia="Calibri" w:cs="Times New Roman"/>
          <w:sz w:val="16"/>
          <w:szCs w:val="16"/>
          <w:lang w:bidi="ar-SA"/>
        </w:rPr>
        <w:t xml:space="preserve">Boksbergs, </w:t>
      </w:r>
      <w:r w:rsidRPr="00BD2F12">
        <w:rPr>
          <w:sz w:val="16"/>
          <w:szCs w:val="16"/>
        </w:rPr>
        <w:t>67082063</w:t>
      </w:r>
    </w:p>
    <w:p w:rsidR="00426F0B" w:rsidRPr="00EA585E" w:rsidRDefault="00234441" w:rsidP="00426F0B">
      <w:pPr>
        <w:widowControl w:val="0"/>
        <w:tabs>
          <w:tab w:val="left" w:pos="0"/>
          <w:tab w:val="center" w:pos="4320"/>
          <w:tab w:val="right" w:pos="8640"/>
        </w:tabs>
        <w:ind w:left="709" w:hanging="709"/>
        <w:rPr>
          <w:rFonts w:eastAsia="Calibri" w:cs="Times New Roman"/>
          <w:color w:val="000000" w:themeColor="text1"/>
          <w:sz w:val="16"/>
          <w:szCs w:val="16"/>
          <w:u w:val="single"/>
          <w:lang w:bidi="ar-SA"/>
        </w:rPr>
      </w:pPr>
      <w:hyperlink r:id="rId13" w:history="1">
        <w:r w:rsidR="000D5E91" w:rsidRPr="001B5BC9">
          <w:rPr>
            <w:rStyle w:val="Hyperlink"/>
            <w:rFonts w:eastAsia="Calibri" w:cs="Times New Roman"/>
            <w:sz w:val="16"/>
            <w:szCs w:val="16"/>
            <w:lang w:bidi="ar-SA"/>
          </w:rPr>
          <w:t>Maris.Boksbergs@mil.lv</w:t>
        </w:r>
      </w:hyperlink>
    </w:p>
    <w:p w:rsidR="00EA585E" w:rsidRPr="00EA585E" w:rsidRDefault="00EA585E" w:rsidP="00426F0B">
      <w:pPr>
        <w:widowControl w:val="0"/>
        <w:tabs>
          <w:tab w:val="left" w:pos="0"/>
          <w:tab w:val="center" w:pos="4320"/>
          <w:tab w:val="right" w:pos="8640"/>
        </w:tabs>
        <w:ind w:left="709" w:hanging="709"/>
        <w:rPr>
          <w:rFonts w:eastAsia="Calibri" w:cs="Times New Roman"/>
          <w:color w:val="000000" w:themeColor="text1"/>
          <w:sz w:val="16"/>
          <w:szCs w:val="16"/>
          <w:lang w:bidi="ar-SA"/>
        </w:rPr>
      </w:pPr>
      <w:r w:rsidRPr="00EA585E">
        <w:rPr>
          <w:rFonts w:eastAsia="Calibri" w:cs="Times New Roman"/>
          <w:color w:val="000000" w:themeColor="text1"/>
          <w:sz w:val="16"/>
          <w:szCs w:val="16"/>
          <w:lang w:bidi="ar-SA"/>
        </w:rPr>
        <w:t>V.Upeniece, 67335077</w:t>
      </w:r>
    </w:p>
    <w:p w:rsidR="00EA585E" w:rsidRPr="00EA585E" w:rsidRDefault="00EA585E" w:rsidP="00426F0B">
      <w:pPr>
        <w:widowControl w:val="0"/>
        <w:tabs>
          <w:tab w:val="left" w:pos="0"/>
          <w:tab w:val="center" w:pos="4320"/>
          <w:tab w:val="right" w:pos="8640"/>
        </w:tabs>
        <w:ind w:left="709" w:hanging="709"/>
        <w:rPr>
          <w:rFonts w:eastAsia="Calibri" w:cs="Times New Roman"/>
          <w:color w:val="000000" w:themeColor="text1"/>
          <w:sz w:val="16"/>
          <w:szCs w:val="16"/>
          <w:lang w:bidi="ar-SA"/>
        </w:rPr>
      </w:pPr>
      <w:r w:rsidRPr="00EA585E">
        <w:rPr>
          <w:rFonts w:eastAsia="Calibri" w:cs="Times New Roman"/>
          <w:color w:val="000000" w:themeColor="text1"/>
          <w:sz w:val="16"/>
          <w:szCs w:val="16"/>
          <w:u w:val="single"/>
          <w:lang w:bidi="ar-SA"/>
        </w:rPr>
        <w:t>Vita.Upeniece@mod.gov.lv</w:t>
      </w:r>
    </w:p>
    <w:sectPr w:rsidR="00EA585E" w:rsidRPr="00EA585E" w:rsidSect="00F67EEB">
      <w:headerReference w:type="default" r:id="rId14"/>
      <w:footerReference w:type="default" r:id="rId15"/>
      <w:footerReference w:type="first" r:id="rId16"/>
      <w:pgSz w:w="12240" w:h="15840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D4" w:rsidRDefault="00BB7FD4" w:rsidP="00384CC7">
      <w:r>
        <w:separator/>
      </w:r>
    </w:p>
  </w:endnote>
  <w:endnote w:type="continuationSeparator" w:id="0">
    <w:p w:rsidR="00BB7FD4" w:rsidRDefault="00BB7FD4" w:rsidP="0038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C7" w:rsidRDefault="001120E5" w:rsidP="00384CC7">
    <w:pPr>
      <w:pStyle w:val="Footer"/>
      <w:jc w:val="both"/>
    </w:pPr>
    <w:r>
      <w:t>AIMAnot_</w:t>
    </w:r>
    <w:r w:rsidR="008E48E7">
      <w:t>24</w:t>
    </w:r>
    <w:r w:rsidR="00FB2711">
      <w:t>1</w:t>
    </w:r>
    <w:r w:rsidR="00F80834">
      <w:t>1</w:t>
    </w:r>
    <w:r>
      <w:t xml:space="preserve">15_groz.394; </w:t>
    </w:r>
    <w:r w:rsidR="00384CC7" w:rsidRPr="00384CC7">
      <w:t>Ministru kabineta noteikumu projekta „Gr</w:t>
    </w:r>
    <w:r>
      <w:t>ozījumi Ministru kabineta 2008.</w:t>
    </w:r>
    <w:r w:rsidR="00384CC7" w:rsidRPr="00384CC7">
      <w:t xml:space="preserve">gada 2.jūnija noteikumos Nr.394 „Alkohola, narkotisko, psihotropo vai toksisko vielu ietekmes pārbaudes kārtība”” </w:t>
    </w:r>
    <w: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8C" w:rsidRDefault="00075A8C" w:rsidP="00075A8C">
    <w:pPr>
      <w:pStyle w:val="Footer"/>
      <w:jc w:val="both"/>
    </w:pPr>
    <w:r>
      <w:t>AIMAnot_</w:t>
    </w:r>
    <w:r w:rsidR="008E48E7">
      <w:t>24</w:t>
    </w:r>
    <w:r w:rsidR="00FB2711">
      <w:t>1</w:t>
    </w:r>
    <w:r w:rsidR="00F80834">
      <w:t>1</w:t>
    </w:r>
    <w:r>
      <w:t xml:space="preserve">15_groz.394; </w:t>
    </w:r>
    <w:r w:rsidRPr="00384CC7">
      <w:t>Ministru kabineta noteikumu projekta „Gr</w:t>
    </w:r>
    <w:r>
      <w:t>ozījumi Ministru kabineta 2008.</w:t>
    </w:r>
    <w:r w:rsidRPr="00384CC7">
      <w:t xml:space="preserve">gada 2.jūnija noteikumos Nr.394 „Alkohola, narkotisko, psihotropo vai toksisko vielu ietekmes pārbaudes kārtība”” </w:t>
    </w:r>
    <w: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D4" w:rsidRDefault="00BB7FD4" w:rsidP="00384CC7">
      <w:r>
        <w:separator/>
      </w:r>
    </w:p>
  </w:footnote>
  <w:footnote w:type="continuationSeparator" w:id="0">
    <w:p w:rsidR="00BB7FD4" w:rsidRDefault="00BB7FD4" w:rsidP="0038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42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5A8C" w:rsidRDefault="006C5C00">
        <w:pPr>
          <w:pStyle w:val="Header"/>
          <w:jc w:val="center"/>
        </w:pPr>
        <w:r>
          <w:fldChar w:fldCharType="begin"/>
        </w:r>
        <w:r w:rsidR="00075A8C">
          <w:instrText xml:space="preserve"> PAGE   \* MERGEFORMAT </w:instrText>
        </w:r>
        <w:r>
          <w:fldChar w:fldCharType="separate"/>
        </w:r>
        <w:r w:rsidR="002344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5A8C" w:rsidRDefault="00075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966"/>
    <w:multiLevelType w:val="multilevel"/>
    <w:tmpl w:val="437C59F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5B521103"/>
    <w:multiLevelType w:val="hybridMultilevel"/>
    <w:tmpl w:val="86A4DAFE"/>
    <w:lvl w:ilvl="0" w:tplc="F880E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34A23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25"/>
    <w:rsid w:val="00014621"/>
    <w:rsid w:val="00027620"/>
    <w:rsid w:val="00030748"/>
    <w:rsid w:val="000503C1"/>
    <w:rsid w:val="00051365"/>
    <w:rsid w:val="00075A8C"/>
    <w:rsid w:val="000A722F"/>
    <w:rsid w:val="000D5E91"/>
    <w:rsid w:val="00100895"/>
    <w:rsid w:val="001120E5"/>
    <w:rsid w:val="0012488A"/>
    <w:rsid w:val="0014301A"/>
    <w:rsid w:val="0014366D"/>
    <w:rsid w:val="00144CF8"/>
    <w:rsid w:val="001A6A63"/>
    <w:rsid w:val="001B517F"/>
    <w:rsid w:val="001D39D0"/>
    <w:rsid w:val="001E3B2A"/>
    <w:rsid w:val="001E7923"/>
    <w:rsid w:val="00234441"/>
    <w:rsid w:val="00264C06"/>
    <w:rsid w:val="00274A3B"/>
    <w:rsid w:val="002909E8"/>
    <w:rsid w:val="002A0CD6"/>
    <w:rsid w:val="002A5486"/>
    <w:rsid w:val="002C2928"/>
    <w:rsid w:val="002D4E4C"/>
    <w:rsid w:val="00335604"/>
    <w:rsid w:val="00341FB3"/>
    <w:rsid w:val="003610F9"/>
    <w:rsid w:val="00384CC7"/>
    <w:rsid w:val="00390F67"/>
    <w:rsid w:val="00402F7D"/>
    <w:rsid w:val="00410AA9"/>
    <w:rsid w:val="00426125"/>
    <w:rsid w:val="00426F0B"/>
    <w:rsid w:val="00430C5B"/>
    <w:rsid w:val="004536F4"/>
    <w:rsid w:val="00471BAD"/>
    <w:rsid w:val="004A55AF"/>
    <w:rsid w:val="004B0D09"/>
    <w:rsid w:val="004B6B3E"/>
    <w:rsid w:val="004C59C8"/>
    <w:rsid w:val="004F000B"/>
    <w:rsid w:val="004F65EA"/>
    <w:rsid w:val="005116C6"/>
    <w:rsid w:val="005172CE"/>
    <w:rsid w:val="00525072"/>
    <w:rsid w:val="0053629D"/>
    <w:rsid w:val="005406DE"/>
    <w:rsid w:val="005616BC"/>
    <w:rsid w:val="005657FC"/>
    <w:rsid w:val="0058094C"/>
    <w:rsid w:val="005866CC"/>
    <w:rsid w:val="005929DB"/>
    <w:rsid w:val="005A319C"/>
    <w:rsid w:val="005A35F1"/>
    <w:rsid w:val="005B067D"/>
    <w:rsid w:val="005B677F"/>
    <w:rsid w:val="005C56D5"/>
    <w:rsid w:val="005E02C2"/>
    <w:rsid w:val="005E0B44"/>
    <w:rsid w:val="005E715B"/>
    <w:rsid w:val="005F40E7"/>
    <w:rsid w:val="00601576"/>
    <w:rsid w:val="006066D5"/>
    <w:rsid w:val="0062423B"/>
    <w:rsid w:val="006476C5"/>
    <w:rsid w:val="006A550B"/>
    <w:rsid w:val="006C5C00"/>
    <w:rsid w:val="006E14E6"/>
    <w:rsid w:val="00737E84"/>
    <w:rsid w:val="00763846"/>
    <w:rsid w:val="00780DAC"/>
    <w:rsid w:val="00781381"/>
    <w:rsid w:val="007A2B87"/>
    <w:rsid w:val="007A2E20"/>
    <w:rsid w:val="007B38B0"/>
    <w:rsid w:val="007D0473"/>
    <w:rsid w:val="00801CC4"/>
    <w:rsid w:val="00806B62"/>
    <w:rsid w:val="0081123C"/>
    <w:rsid w:val="00862A59"/>
    <w:rsid w:val="008637B7"/>
    <w:rsid w:val="008A4580"/>
    <w:rsid w:val="008B1728"/>
    <w:rsid w:val="008C29D9"/>
    <w:rsid w:val="008E48E7"/>
    <w:rsid w:val="008F5A2B"/>
    <w:rsid w:val="009144E8"/>
    <w:rsid w:val="00931533"/>
    <w:rsid w:val="00950F62"/>
    <w:rsid w:val="00971F32"/>
    <w:rsid w:val="00972C35"/>
    <w:rsid w:val="00973C2B"/>
    <w:rsid w:val="00983DE4"/>
    <w:rsid w:val="009D241A"/>
    <w:rsid w:val="009E3AD8"/>
    <w:rsid w:val="009F7D9F"/>
    <w:rsid w:val="00A25870"/>
    <w:rsid w:val="00A30D2C"/>
    <w:rsid w:val="00A41674"/>
    <w:rsid w:val="00A4377C"/>
    <w:rsid w:val="00A528EB"/>
    <w:rsid w:val="00A706C8"/>
    <w:rsid w:val="00A817DD"/>
    <w:rsid w:val="00AA0EA1"/>
    <w:rsid w:val="00AA69AC"/>
    <w:rsid w:val="00AC2642"/>
    <w:rsid w:val="00AD3F26"/>
    <w:rsid w:val="00AD528C"/>
    <w:rsid w:val="00AD79E7"/>
    <w:rsid w:val="00B02219"/>
    <w:rsid w:val="00B145ED"/>
    <w:rsid w:val="00B51019"/>
    <w:rsid w:val="00B86B6C"/>
    <w:rsid w:val="00B92B7B"/>
    <w:rsid w:val="00BB7FD4"/>
    <w:rsid w:val="00BD2F12"/>
    <w:rsid w:val="00BE59B5"/>
    <w:rsid w:val="00BF377D"/>
    <w:rsid w:val="00BF6C9E"/>
    <w:rsid w:val="00C267EB"/>
    <w:rsid w:val="00C42CD0"/>
    <w:rsid w:val="00C525FA"/>
    <w:rsid w:val="00C7353F"/>
    <w:rsid w:val="00C8486F"/>
    <w:rsid w:val="00CA7BB1"/>
    <w:rsid w:val="00CB1513"/>
    <w:rsid w:val="00CC3CCD"/>
    <w:rsid w:val="00CE51A8"/>
    <w:rsid w:val="00CF77CE"/>
    <w:rsid w:val="00D14F6A"/>
    <w:rsid w:val="00D16E09"/>
    <w:rsid w:val="00D25764"/>
    <w:rsid w:val="00D2590F"/>
    <w:rsid w:val="00D66DBA"/>
    <w:rsid w:val="00D72F9E"/>
    <w:rsid w:val="00DD210F"/>
    <w:rsid w:val="00DE3347"/>
    <w:rsid w:val="00DF551F"/>
    <w:rsid w:val="00E17EFE"/>
    <w:rsid w:val="00E24450"/>
    <w:rsid w:val="00E47833"/>
    <w:rsid w:val="00E8349A"/>
    <w:rsid w:val="00EA585E"/>
    <w:rsid w:val="00EC0541"/>
    <w:rsid w:val="00ED0F1B"/>
    <w:rsid w:val="00EE315E"/>
    <w:rsid w:val="00EE412C"/>
    <w:rsid w:val="00EF160F"/>
    <w:rsid w:val="00F26F21"/>
    <w:rsid w:val="00F32C9C"/>
    <w:rsid w:val="00F61E80"/>
    <w:rsid w:val="00F67EEB"/>
    <w:rsid w:val="00F76FA8"/>
    <w:rsid w:val="00F80834"/>
    <w:rsid w:val="00FB2711"/>
    <w:rsid w:val="00FD32D4"/>
    <w:rsid w:val="00FE453D"/>
    <w:rsid w:val="00FE4D91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6F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C7"/>
    <w:rPr>
      <w:rFonts w:ascii="Times New Roman" w:eastAsia="Times New Roman" w:hAnsi="Times New Roman" w:cs="Arial Unicode MS"/>
      <w:sz w:val="20"/>
      <w:szCs w:val="20"/>
      <w:lang w:val="lv-LV" w:bidi="lo-LA"/>
    </w:rPr>
  </w:style>
  <w:style w:type="paragraph" w:styleId="Footer">
    <w:name w:val="footer"/>
    <w:basedOn w:val="Normal"/>
    <w:link w:val="FooterChar"/>
    <w:uiPriority w:val="99"/>
    <w:unhideWhenUsed/>
    <w:rsid w:val="0038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C7"/>
    <w:rPr>
      <w:rFonts w:ascii="Times New Roman" w:eastAsia="Times New Roman" w:hAnsi="Times New Roman" w:cs="Arial Unicode MS"/>
      <w:sz w:val="20"/>
      <w:szCs w:val="20"/>
      <w:lang w:val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AF"/>
    <w:rPr>
      <w:rFonts w:ascii="Tahoma" w:eastAsia="Times New Roman" w:hAnsi="Tahoma" w:cs="Tahoma"/>
      <w:sz w:val="16"/>
      <w:szCs w:val="16"/>
      <w:lang w:val="lv-LV" w:bidi="lo-LA"/>
    </w:rPr>
  </w:style>
  <w:style w:type="paragraph" w:customStyle="1" w:styleId="naisf">
    <w:name w:val="naisf"/>
    <w:basedOn w:val="Normal"/>
    <w:rsid w:val="00B02219"/>
    <w:pPr>
      <w:spacing w:before="100" w:beforeAutospacing="1" w:after="100" w:afterAutospacing="1"/>
    </w:pPr>
    <w:rPr>
      <w:rFonts w:cs="Times New Roman"/>
      <w:sz w:val="24"/>
      <w:szCs w:val="24"/>
      <w:lang w:eastAsia="lv-LV" w:bidi="ar-SA"/>
    </w:rPr>
  </w:style>
  <w:style w:type="paragraph" w:styleId="NoSpacing">
    <w:name w:val="No Spacing"/>
    <w:uiPriority w:val="1"/>
    <w:qFormat/>
    <w:rsid w:val="00801CC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lv-LV" w:bidi="lo-LA"/>
    </w:rPr>
  </w:style>
  <w:style w:type="character" w:styleId="Emphasis">
    <w:name w:val="Emphasis"/>
    <w:basedOn w:val="DefaultParagraphFont"/>
    <w:uiPriority w:val="20"/>
    <w:qFormat/>
    <w:rsid w:val="00ED0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0D5E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0EA1"/>
    <w:rPr>
      <w:b/>
      <w:bCs/>
    </w:rPr>
  </w:style>
  <w:style w:type="character" w:customStyle="1" w:styleId="st">
    <w:name w:val="st"/>
    <w:basedOn w:val="DefaultParagraphFont"/>
    <w:rsid w:val="00B1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6F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C7"/>
    <w:rPr>
      <w:rFonts w:ascii="Times New Roman" w:eastAsia="Times New Roman" w:hAnsi="Times New Roman" w:cs="Arial Unicode MS"/>
      <w:sz w:val="20"/>
      <w:szCs w:val="20"/>
      <w:lang w:val="lv-LV" w:bidi="lo-LA"/>
    </w:rPr>
  </w:style>
  <w:style w:type="paragraph" w:styleId="Footer">
    <w:name w:val="footer"/>
    <w:basedOn w:val="Normal"/>
    <w:link w:val="FooterChar"/>
    <w:uiPriority w:val="99"/>
    <w:unhideWhenUsed/>
    <w:rsid w:val="0038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C7"/>
    <w:rPr>
      <w:rFonts w:ascii="Times New Roman" w:eastAsia="Times New Roman" w:hAnsi="Times New Roman" w:cs="Arial Unicode MS"/>
      <w:sz w:val="20"/>
      <w:szCs w:val="20"/>
      <w:lang w:val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AF"/>
    <w:rPr>
      <w:rFonts w:ascii="Tahoma" w:eastAsia="Times New Roman" w:hAnsi="Tahoma" w:cs="Tahoma"/>
      <w:sz w:val="16"/>
      <w:szCs w:val="16"/>
      <w:lang w:val="lv-LV" w:bidi="lo-LA"/>
    </w:rPr>
  </w:style>
  <w:style w:type="paragraph" w:customStyle="1" w:styleId="naisf">
    <w:name w:val="naisf"/>
    <w:basedOn w:val="Normal"/>
    <w:rsid w:val="00B02219"/>
    <w:pPr>
      <w:spacing w:before="100" w:beforeAutospacing="1" w:after="100" w:afterAutospacing="1"/>
    </w:pPr>
    <w:rPr>
      <w:rFonts w:cs="Times New Roman"/>
      <w:sz w:val="24"/>
      <w:szCs w:val="24"/>
      <w:lang w:eastAsia="lv-LV" w:bidi="ar-SA"/>
    </w:rPr>
  </w:style>
  <w:style w:type="paragraph" w:styleId="NoSpacing">
    <w:name w:val="No Spacing"/>
    <w:uiPriority w:val="1"/>
    <w:qFormat/>
    <w:rsid w:val="00801CC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lv-LV" w:bidi="lo-LA"/>
    </w:rPr>
  </w:style>
  <w:style w:type="character" w:styleId="Emphasis">
    <w:name w:val="Emphasis"/>
    <w:basedOn w:val="DefaultParagraphFont"/>
    <w:uiPriority w:val="20"/>
    <w:qFormat/>
    <w:rsid w:val="00ED0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0D5E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0EA1"/>
    <w:rPr>
      <w:b/>
      <w:bCs/>
    </w:rPr>
  </w:style>
  <w:style w:type="character" w:customStyle="1" w:styleId="st">
    <w:name w:val="st"/>
    <w:basedOn w:val="DefaultParagraphFont"/>
    <w:rsid w:val="00B1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s.Boksbergs@mil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atmed.zva.gov.lv/public/main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va.gov.lv/index.php?id=529&amp;sa=529&amp;top=11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EN/TXT/PDF/?uri=CELEX:01998L0079-20120111&amp;qid=1413308118275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2d.lv/leul.php?i=877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6BA1-6C2D-4356-BDA0-475F1717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6882072D.dotm</Template>
  <TotalTime>54</TotalTime>
  <Pages>4</Pages>
  <Words>5521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2.jūnija noteikumos Nr.394 "Alkohola, narkotisko, psihotropo vai toksisko vielu ietekmes pārbaudes kārtība"</vt:lpstr>
    </vt:vector>
  </TitlesOfParts>
  <Manager>Juridiskais departaments</Manager>
  <Company>Aizsardzības ministrija, Nacionālo bruņoto spēku Apvietais štābs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2.jūnija noteikumos Nr.394 "Alkohola, narkotisko, psihotropo vai toksisko vielu ietekmes pārbaudes kārtība"</dc:title>
  <dc:subject>anotācija</dc:subject>
  <dc:creator>Inga Livdāne, Māris Boksbergs, Vita Upeniece</dc:creator>
  <dc:description>Vita.Upeniece@mod.gov.lv; tālr.: 67335077</dc:description>
  <cp:lastModifiedBy>Vita Upeniece</cp:lastModifiedBy>
  <cp:revision>46</cp:revision>
  <cp:lastPrinted>2015-05-14T06:50:00Z</cp:lastPrinted>
  <dcterms:created xsi:type="dcterms:W3CDTF">2015-10-30T12:08:00Z</dcterms:created>
  <dcterms:modified xsi:type="dcterms:W3CDTF">2015-11-24T09:51:00Z</dcterms:modified>
</cp:coreProperties>
</file>