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0DAF" w14:textId="77777777" w:rsidR="006A34FF" w:rsidRPr="001F51C3" w:rsidRDefault="006A34FF" w:rsidP="006A34FF">
      <w:pPr>
        <w:jc w:val="center"/>
        <w:rPr>
          <w:b/>
          <w:sz w:val="26"/>
          <w:szCs w:val="26"/>
        </w:rPr>
      </w:pPr>
      <w:r w:rsidRPr="001F51C3">
        <w:rPr>
          <w:b/>
          <w:sz w:val="26"/>
          <w:szCs w:val="26"/>
        </w:rPr>
        <w:t>Ministru kabineta noteikumu projekta</w:t>
      </w:r>
    </w:p>
    <w:p w14:paraId="5B5C2427" w14:textId="723A8C6C" w:rsidR="006A34FF" w:rsidRPr="001F51C3" w:rsidRDefault="006A34FF" w:rsidP="00DC1A4E">
      <w:pPr>
        <w:spacing w:after="120"/>
        <w:jc w:val="center"/>
        <w:rPr>
          <w:b/>
          <w:sz w:val="26"/>
          <w:szCs w:val="26"/>
        </w:rPr>
      </w:pPr>
      <w:r w:rsidRPr="001F51C3">
        <w:rPr>
          <w:b/>
          <w:sz w:val="26"/>
          <w:szCs w:val="26"/>
        </w:rPr>
        <w:t>Darbības programmas „Izaugsme un nodarbinātība” 3.2.1.specifiskā atbalsta mērķa „Palielināt augstas pievienotās vērtības produktu un pakalpojumu eksporta proporciju” 3.2.1.2.pasākuma „Starptautiskās konkurētspējas veicināšana” īstenošanas noteikumi” sākotnējās ietekmes novērtējuma ziņojums (anotācija)</w:t>
      </w:r>
    </w:p>
    <w:p w14:paraId="38A54955" w14:textId="77777777" w:rsidR="00B71986" w:rsidRPr="001F51C3" w:rsidRDefault="00B71986" w:rsidP="006A34FF">
      <w:pPr>
        <w:spacing w:after="120"/>
        <w:jc w:val="center"/>
        <w:rPr>
          <w:b/>
          <w:sz w:val="26"/>
          <w:szCs w:val="26"/>
        </w:rPr>
      </w:pPr>
    </w:p>
    <w:tbl>
      <w:tblPr>
        <w:tblpPr w:leftFromText="180" w:rightFromText="180"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6583"/>
      </w:tblGrid>
      <w:tr w:rsidR="006A34FF" w:rsidRPr="001F51C3" w14:paraId="552D2C87" w14:textId="77777777" w:rsidTr="000E7D44">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E3C5EE" w14:textId="77777777" w:rsidR="006A34FF" w:rsidRPr="001F51C3" w:rsidRDefault="006A34FF" w:rsidP="000E7D44">
            <w:pPr>
              <w:pStyle w:val="ListParagraph"/>
              <w:tabs>
                <w:tab w:val="left" w:pos="2268"/>
                <w:tab w:val="left" w:pos="2410"/>
              </w:tabs>
              <w:ind w:left="1080"/>
              <w:jc w:val="center"/>
              <w:rPr>
                <w:b/>
                <w:sz w:val="26"/>
                <w:szCs w:val="26"/>
                <w:lang w:eastAsia="en-US"/>
              </w:rPr>
            </w:pPr>
            <w:r w:rsidRPr="001F51C3">
              <w:rPr>
                <w:b/>
                <w:bCs/>
                <w:sz w:val="26"/>
                <w:szCs w:val="26"/>
              </w:rPr>
              <w:t>I. Tiesību akta projekta izstrādes nepieciešamība</w:t>
            </w:r>
          </w:p>
        </w:tc>
      </w:tr>
      <w:tr w:rsidR="006A34FF" w:rsidRPr="001F51C3" w14:paraId="5FE5CA3A" w14:textId="77777777" w:rsidTr="000E7D4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411214A1" w14:textId="77777777" w:rsidR="006A34FF" w:rsidRPr="001F51C3" w:rsidRDefault="006A34FF" w:rsidP="000E7D44">
            <w:pPr>
              <w:jc w:val="center"/>
              <w:rPr>
                <w:sz w:val="26"/>
                <w:szCs w:val="26"/>
                <w:lang w:eastAsia="en-US"/>
              </w:rPr>
            </w:pPr>
            <w:r w:rsidRPr="001F51C3">
              <w:rPr>
                <w:sz w:val="26"/>
                <w:szCs w:val="26"/>
              </w:rPr>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6DAE394E" w14:textId="77777777" w:rsidR="006A34FF" w:rsidRPr="001F51C3" w:rsidRDefault="006A34FF" w:rsidP="000E7D44">
            <w:pPr>
              <w:tabs>
                <w:tab w:val="left" w:pos="1904"/>
              </w:tabs>
              <w:rPr>
                <w:sz w:val="26"/>
                <w:szCs w:val="26"/>
                <w:lang w:eastAsia="en-US"/>
              </w:rPr>
            </w:pPr>
            <w:r w:rsidRPr="001F51C3">
              <w:rPr>
                <w:sz w:val="26"/>
                <w:szCs w:val="26"/>
              </w:rPr>
              <w:t>Pamatojums</w:t>
            </w:r>
          </w:p>
        </w:tc>
        <w:tc>
          <w:tcPr>
            <w:tcW w:w="6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956DA" w14:textId="77777777" w:rsidR="006A34FF" w:rsidRPr="001F51C3" w:rsidRDefault="006A34FF" w:rsidP="000E7D44">
            <w:pPr>
              <w:pStyle w:val="ListParagraph"/>
              <w:tabs>
                <w:tab w:val="left" w:pos="317"/>
              </w:tabs>
              <w:spacing w:before="60" w:after="60"/>
              <w:ind w:left="34"/>
              <w:jc w:val="both"/>
              <w:rPr>
                <w:sz w:val="26"/>
                <w:szCs w:val="26"/>
              </w:rPr>
            </w:pPr>
            <w:r w:rsidRPr="001F51C3">
              <w:rPr>
                <w:sz w:val="26"/>
                <w:szCs w:val="26"/>
              </w:rPr>
              <w:t xml:space="preserve">Ministru kabineta (turpmāk – MK) noteikumu projekts </w:t>
            </w:r>
            <w:r w:rsidRPr="001F51C3">
              <w:rPr>
                <w:b/>
                <w:sz w:val="26"/>
                <w:szCs w:val="26"/>
              </w:rPr>
              <w:t>Darbības programmas „Izaugsme un nodarbinātība” 3.2.1.specifiskā atbalsta mērķa „Palielināt augstas pievienotās vērtības produktu un pakalpojumu eksporta proporciju” 3.2.1.2.pasākuma „Starptautiskās konkurētspējas veicināšana” īstenošanas noteikumi</w:t>
            </w:r>
            <w:r w:rsidRPr="001F51C3">
              <w:rPr>
                <w:sz w:val="26"/>
                <w:szCs w:val="26"/>
              </w:rPr>
              <w:t xml:space="preserve">”  (turpmāk – MK noteikumu projekts) </w:t>
            </w:r>
            <w:r w:rsidRPr="001F51C3">
              <w:rPr>
                <w:sz w:val="26"/>
                <w:szCs w:val="26"/>
                <w:shd w:val="clear" w:color="auto" w:fill="FFFFFF"/>
              </w:rPr>
              <w:t xml:space="preserve">izstrādāts atbilstoši </w:t>
            </w:r>
            <w:r w:rsidRPr="001F51C3">
              <w:rPr>
                <w:sz w:val="26"/>
                <w:szCs w:val="26"/>
              </w:rPr>
              <w:t>Eiropas Savienības struktūrfondu un Kohēzijas fonda 2014.-2020.gada plānošanas perioda vadības likuma 20.panta 13.punktam.</w:t>
            </w:r>
          </w:p>
        </w:tc>
      </w:tr>
      <w:tr w:rsidR="006A34FF" w:rsidRPr="001F51C3" w14:paraId="237C4FEB" w14:textId="77777777" w:rsidTr="000E7D4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0D8BF588" w14:textId="77777777" w:rsidR="006A34FF" w:rsidRPr="001F51C3" w:rsidRDefault="006A34FF" w:rsidP="000E7D44">
            <w:pPr>
              <w:jc w:val="center"/>
              <w:rPr>
                <w:sz w:val="26"/>
                <w:szCs w:val="26"/>
                <w:lang w:eastAsia="en-US"/>
              </w:rPr>
            </w:pPr>
            <w:r w:rsidRPr="001F51C3">
              <w:rPr>
                <w:sz w:val="26"/>
                <w:szCs w:val="26"/>
              </w:rPr>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4D570972" w14:textId="77777777" w:rsidR="006A34FF" w:rsidRPr="001F51C3" w:rsidRDefault="006A34FF" w:rsidP="000E7D44">
            <w:pPr>
              <w:jc w:val="both"/>
              <w:rPr>
                <w:sz w:val="26"/>
                <w:szCs w:val="26"/>
                <w:lang w:eastAsia="en-US"/>
              </w:rPr>
            </w:pPr>
            <w:r w:rsidRPr="001F51C3">
              <w:rPr>
                <w:sz w:val="26"/>
                <w:szCs w:val="26"/>
              </w:rPr>
              <w:t>Pašreizējā situācija un problēmas, kuru risināšanai tiesību akta projekts izstrādāts, tiesiskā regulējuma mērķis un būtība</w:t>
            </w:r>
          </w:p>
        </w:tc>
        <w:tc>
          <w:tcPr>
            <w:tcW w:w="6583" w:type="dxa"/>
            <w:tcBorders>
              <w:top w:val="single" w:sz="4" w:space="0" w:color="auto"/>
              <w:left w:val="single" w:sz="4" w:space="0" w:color="auto"/>
              <w:bottom w:val="single" w:sz="4" w:space="0" w:color="auto"/>
              <w:right w:val="single" w:sz="4" w:space="0" w:color="auto"/>
            </w:tcBorders>
            <w:shd w:val="clear" w:color="auto" w:fill="FFFFFF"/>
            <w:hideMark/>
          </w:tcPr>
          <w:p w14:paraId="1F12263E" w14:textId="77777777" w:rsidR="00B505A3" w:rsidRPr="001F51C3" w:rsidRDefault="006A34FF" w:rsidP="000E7D44">
            <w:pPr>
              <w:autoSpaceDE w:val="0"/>
              <w:autoSpaceDN w:val="0"/>
              <w:spacing w:after="120"/>
              <w:jc w:val="both"/>
              <w:rPr>
                <w:sz w:val="26"/>
                <w:szCs w:val="26"/>
              </w:rPr>
            </w:pPr>
            <w:r w:rsidRPr="001F51C3">
              <w:rPr>
                <w:color w:val="000000"/>
                <w:sz w:val="26"/>
                <w:szCs w:val="26"/>
              </w:rPr>
              <w:t xml:space="preserve">Eiropas Savienības fondu 2007. - 2013.gada plānošanas periodā tika īstenota </w:t>
            </w:r>
            <w:r w:rsidRPr="001F51C3">
              <w:rPr>
                <w:sz w:val="26"/>
                <w:szCs w:val="26"/>
              </w:rPr>
              <w:t>darbības programmas „Uzņēmējdarbība un inovācijas” papildinājuma 2.3.1.1.2.apaklšaktivitāte „Ārējo tirgu apgūšana – nozares starptautiskās konkurētspējas stiprināšana” (turpmāk – 2.3.1.1.2.apakšaktivitāte), kuras mērķis bija veicināt nozaru konkurētspējas stiprināšanu, atbalstot komersantu ieiešanu ārvalstu tirgos, nodrošinot Latvijas ārvalstu ekonomisko pārstāvniecību darbību, veicinot ārvalstu tiešo investīciju piesaistīšanu Latvijai un veicinot Latvijas kā tūrisma galamērķa starptautisko konkurētspēju. (Projektu īstenošana 2.3.1.1.2.apakšaktivitātē turpinās līdz 2015.gada 31.decembrim.)</w:t>
            </w:r>
            <w:r w:rsidR="00B505A3" w:rsidRPr="001F51C3">
              <w:rPr>
                <w:sz w:val="26"/>
                <w:szCs w:val="26"/>
              </w:rPr>
              <w:t xml:space="preserve">, kā arī </w:t>
            </w:r>
            <w:r w:rsidR="00B505A3" w:rsidRPr="001F51C3">
              <w:rPr>
                <w:color w:val="000000"/>
                <w:sz w:val="26"/>
                <w:szCs w:val="26"/>
              </w:rPr>
              <w:t xml:space="preserve">tika īstenota </w:t>
            </w:r>
            <w:r w:rsidR="00B505A3" w:rsidRPr="001F51C3">
              <w:rPr>
                <w:sz w:val="26"/>
                <w:szCs w:val="26"/>
              </w:rPr>
              <w:t>darbības programmas „Uzņēmējdarbība un inovācijas” papildinājuma 2.3.1.1.1.apaklšaktivitāte „Ārējo tirgu apgūšana – ārējais mārketings” (turpmāk – 2.3.1.1.1.apakšaktivitāte), kuras mērķis bija sekmēt komersantu ieiešanu ārējos tirgos, atbalstot to dalību ārējā mārketinga pasākumos ārvalstīs.</w:t>
            </w:r>
          </w:p>
          <w:p w14:paraId="2FF5C5A3" w14:textId="286FC445" w:rsidR="005C160E" w:rsidRPr="001F51C3" w:rsidRDefault="005C160E" w:rsidP="000E7D44">
            <w:pPr>
              <w:autoSpaceDE w:val="0"/>
              <w:autoSpaceDN w:val="0"/>
              <w:spacing w:after="120"/>
              <w:jc w:val="both"/>
              <w:rPr>
                <w:sz w:val="26"/>
                <w:szCs w:val="26"/>
              </w:rPr>
            </w:pPr>
            <w:r w:rsidRPr="001F51C3">
              <w:rPr>
                <w:sz w:val="26"/>
                <w:szCs w:val="26"/>
              </w:rPr>
              <w:t>201</w:t>
            </w:r>
            <w:r w:rsidR="000637EE" w:rsidRPr="001F51C3">
              <w:rPr>
                <w:sz w:val="26"/>
                <w:szCs w:val="26"/>
              </w:rPr>
              <w:t xml:space="preserve">4.-2020.gada Eiropas Savienības </w:t>
            </w:r>
            <w:r w:rsidRPr="001F51C3">
              <w:rPr>
                <w:sz w:val="26"/>
                <w:szCs w:val="26"/>
              </w:rPr>
              <w:t>fondu plānošanas periodā darbības programmas “Izaugsme un nodarbinātība” papildinājuma (saskaņots Uzraudzības Komitejas sēdē 30.04.2015.)  3.2.1.specifisko atbalsta mērķi “Palielināt augstas pievienotās vērtības produktu un pakalpojumu eksporta proporciju” tika plānots īstenot ar trim pasākumiem:</w:t>
            </w:r>
          </w:p>
          <w:p w14:paraId="02ABC866" w14:textId="77777777" w:rsidR="005C160E" w:rsidRPr="001F51C3" w:rsidRDefault="005C160E" w:rsidP="000E7D44">
            <w:pPr>
              <w:autoSpaceDE w:val="0"/>
              <w:autoSpaceDN w:val="0"/>
              <w:spacing w:after="120"/>
              <w:jc w:val="both"/>
              <w:rPr>
                <w:sz w:val="26"/>
                <w:szCs w:val="26"/>
              </w:rPr>
            </w:pPr>
            <w:r w:rsidRPr="001F51C3">
              <w:rPr>
                <w:sz w:val="26"/>
                <w:szCs w:val="26"/>
              </w:rPr>
              <w:t>1.</w:t>
            </w:r>
            <w:r w:rsidRPr="001F51C3">
              <w:rPr>
                <w:sz w:val="26"/>
                <w:szCs w:val="26"/>
              </w:rPr>
              <w:tab/>
              <w:t xml:space="preserve">3.2.1.1. “Ārējo tirgu apgūšana – ārējais mārketings”, kas paredz atbalstu   dalībai   izstādēs,   konferencēs   ārvalstīs,   dalībai tirdzniecības misijās un </w:t>
            </w:r>
            <w:proofErr w:type="spellStart"/>
            <w:r w:rsidRPr="001F51C3">
              <w:rPr>
                <w:sz w:val="26"/>
                <w:szCs w:val="26"/>
              </w:rPr>
              <w:t>kontaktbiržās</w:t>
            </w:r>
            <w:proofErr w:type="spellEnd"/>
            <w:r w:rsidRPr="001F51C3">
              <w:rPr>
                <w:sz w:val="26"/>
                <w:szCs w:val="26"/>
              </w:rPr>
              <w:t xml:space="preserve">, atbalsts  produkta  vai  komersantu akreditācijai,  sertifikācijai,  </w:t>
            </w:r>
            <w:r w:rsidRPr="001F51C3">
              <w:rPr>
                <w:sz w:val="26"/>
                <w:szCs w:val="26"/>
              </w:rPr>
              <w:lastRenderedPageBreak/>
              <w:t>reģistrācijai, lai stiprinātu Latvijas starptautisko konkurētspēju un veicinātu ārējo tirgu apgūšanu;</w:t>
            </w:r>
          </w:p>
          <w:p w14:paraId="13339DCA" w14:textId="77777777" w:rsidR="005C160E" w:rsidRPr="001F51C3" w:rsidRDefault="005C160E" w:rsidP="000E7D44">
            <w:pPr>
              <w:autoSpaceDE w:val="0"/>
              <w:autoSpaceDN w:val="0"/>
              <w:spacing w:after="120"/>
              <w:jc w:val="both"/>
              <w:rPr>
                <w:sz w:val="26"/>
                <w:szCs w:val="26"/>
              </w:rPr>
            </w:pPr>
            <w:r w:rsidRPr="001F51C3">
              <w:rPr>
                <w:sz w:val="26"/>
                <w:szCs w:val="26"/>
              </w:rPr>
              <w:t>2.</w:t>
            </w:r>
            <w:r w:rsidRPr="001F51C3">
              <w:rPr>
                <w:sz w:val="26"/>
                <w:szCs w:val="26"/>
              </w:rPr>
              <w:tab/>
            </w:r>
            <w:r w:rsidRPr="001F51C3">
              <w:rPr>
                <w:b/>
                <w:sz w:val="26"/>
                <w:szCs w:val="26"/>
              </w:rPr>
              <w:t>3.2.1.2. “Starptautiskās konkurētspējas veicināšana”</w:t>
            </w:r>
            <w:r w:rsidRPr="001F51C3">
              <w:rPr>
                <w:sz w:val="26"/>
                <w:szCs w:val="26"/>
              </w:rPr>
              <w:t>, kas paredz atbalstu starptautiskās  konkurētspējas, t.sk. tūrisma nozares, veicināšanai, nodrošinot konsultācijas un atbalstu komersantiem ārējo tirgu apgūšanai un pasākumiem uzņēmējdarbības veicināšanai, nodrošinot Latvijas ārvalstu ekonomisko pārstāvniecību darbību,  nacionālo stendu organizēšanu starptautiskajās izstādēs ārvalstīs, kā arī mārketinga pasākumu īstenošanu;</w:t>
            </w:r>
          </w:p>
          <w:p w14:paraId="3E3912B8" w14:textId="77777777" w:rsidR="005C160E" w:rsidRPr="001F51C3" w:rsidRDefault="005C160E" w:rsidP="000E7D44">
            <w:pPr>
              <w:autoSpaceDE w:val="0"/>
              <w:autoSpaceDN w:val="0"/>
              <w:spacing w:after="120"/>
              <w:jc w:val="both"/>
              <w:rPr>
                <w:sz w:val="26"/>
                <w:szCs w:val="26"/>
              </w:rPr>
            </w:pPr>
            <w:r w:rsidRPr="001F51C3">
              <w:rPr>
                <w:sz w:val="26"/>
                <w:szCs w:val="26"/>
              </w:rPr>
              <w:t>3.</w:t>
            </w:r>
            <w:r w:rsidRPr="001F51C3">
              <w:rPr>
                <w:sz w:val="26"/>
                <w:szCs w:val="26"/>
              </w:rPr>
              <w:tab/>
              <w:t>3.2.1.3. “Klasteru programma”, kas paredz atbalstu klasteru attīstībai,  nodrošinot pasākumu  koordinēšanu, starptautiskās   sadarbības   veicināšanu,   atpazīstamības un mārketinga pasākumus,  pakalpojumus  klastera  dalībniekiem un sadarbību ar izglītības un zinātniskajām institūcijām.</w:t>
            </w:r>
          </w:p>
          <w:p w14:paraId="2E900080" w14:textId="1918EAE3" w:rsidR="005C160E" w:rsidRPr="001F51C3" w:rsidRDefault="005C160E" w:rsidP="000E7D44">
            <w:pPr>
              <w:autoSpaceDE w:val="0"/>
              <w:autoSpaceDN w:val="0"/>
              <w:spacing w:after="120"/>
              <w:jc w:val="both"/>
              <w:rPr>
                <w:sz w:val="26"/>
                <w:szCs w:val="26"/>
              </w:rPr>
            </w:pPr>
            <w:r w:rsidRPr="001F51C3">
              <w:rPr>
                <w:sz w:val="26"/>
                <w:szCs w:val="26"/>
              </w:rPr>
              <w:t xml:space="preserve">Pasākuma 3.2.1.1. “Ārējo tirgu apgūšana – ārējais mārketings” (turpmāk – 3.2.1.1.pasākums) uzdevums </w:t>
            </w:r>
            <w:r w:rsidR="00BA4411" w:rsidRPr="001F51C3">
              <w:rPr>
                <w:sz w:val="26"/>
                <w:szCs w:val="26"/>
              </w:rPr>
              <w:t>bija plānots</w:t>
            </w:r>
            <w:r w:rsidRPr="001F51C3">
              <w:rPr>
                <w:sz w:val="26"/>
                <w:szCs w:val="26"/>
              </w:rPr>
              <w:t xml:space="preserve"> stiprināt Latvijas starptautisko konkurētspēju un veicināt ārējo tirgu apgūšanu, atbalstot ar ieiešanu ārvalstu tirgos saistītas aktivitātes – ārējo mārketingu ārvalstīs un pasākumus, kas sekmē komersantu iekļaušanos starptautiskajās piegāžu ķēdēs.</w:t>
            </w:r>
          </w:p>
          <w:p w14:paraId="656FF84D" w14:textId="77777777" w:rsidR="005C160E" w:rsidRPr="001F51C3" w:rsidRDefault="005C160E" w:rsidP="000E7D44">
            <w:pPr>
              <w:autoSpaceDE w:val="0"/>
              <w:autoSpaceDN w:val="0"/>
              <w:spacing w:after="120"/>
              <w:jc w:val="both"/>
              <w:rPr>
                <w:b/>
                <w:sz w:val="26"/>
                <w:szCs w:val="26"/>
              </w:rPr>
            </w:pPr>
            <w:r w:rsidRPr="001F51C3">
              <w:rPr>
                <w:b/>
                <w:sz w:val="26"/>
                <w:szCs w:val="26"/>
              </w:rPr>
              <w:t>Pasākuma 3.2.1.2. “Starptautiskās konkurētspējas veicināšana” mērķis ir veicināt nozaru starptautisko konkurētspēju, atbalstot ieiešanu ārvalstu tirgos un uzņēmējdarbības veicināšanu, nodrošinot Latvijas ārvalstu ekonomisko pārstāvniecību darbību, un veicinot Latvijas kā tūrisma galamērķa starptautisko konkurētspēju prioritārajos tūrisma sektoros (darījumu un pasākumu tūrisms, labsajūtas tūrisms).</w:t>
            </w:r>
          </w:p>
          <w:p w14:paraId="13959EF5" w14:textId="40D345E3" w:rsidR="005C160E" w:rsidRPr="001F51C3" w:rsidRDefault="005C160E" w:rsidP="000E7D44">
            <w:pPr>
              <w:autoSpaceDE w:val="0"/>
              <w:autoSpaceDN w:val="0"/>
              <w:spacing w:after="120"/>
              <w:jc w:val="both"/>
              <w:rPr>
                <w:sz w:val="26"/>
                <w:szCs w:val="26"/>
              </w:rPr>
            </w:pPr>
            <w:r w:rsidRPr="001F51C3">
              <w:rPr>
                <w:sz w:val="26"/>
                <w:szCs w:val="26"/>
              </w:rPr>
              <w:t>3.2.1.1.pasākums ir turpinājums 2007.–2013.gada Eiropas Savienības fondu plānošanas perioda darbības programmas “Uzņēmējdarbība un inovācijas” papildinājuma 2.3.1.1.1.apakšaktivitātei “Ārējo tirgu apgūšana – ārēj</w:t>
            </w:r>
            <w:r w:rsidR="009C3BBE" w:rsidRPr="001F51C3">
              <w:rPr>
                <w:sz w:val="26"/>
                <w:szCs w:val="26"/>
              </w:rPr>
              <w:t>ais mārketings” (turpmāk – 2.3.</w:t>
            </w:r>
            <w:r w:rsidRPr="001F51C3">
              <w:rPr>
                <w:sz w:val="26"/>
                <w:szCs w:val="26"/>
              </w:rPr>
              <w:t xml:space="preserve">1.1.1.apakšaktivitāte). Savukārt 3.2.1.2.pasākums ir turpinājums 2007.–2013.gada Eiropas Savienības fondu plānošanas perioda darbības programmas “Uzņēmējdarbība un inovācijas” papildinājuma 2.3.1.1.2.apakšaktivitātei “Ārējo tirgu apgūšana – nozaru starptautiskās konkurētspējas stiprināšana” (turpmāk – 2.3.1.1.2.apakšaktivitāte). </w:t>
            </w:r>
          </w:p>
          <w:p w14:paraId="5DF538F2" w14:textId="77777777" w:rsidR="00F22C62" w:rsidRPr="001F51C3" w:rsidRDefault="005C160E" w:rsidP="000E7D44">
            <w:pPr>
              <w:autoSpaceDE w:val="0"/>
              <w:autoSpaceDN w:val="0"/>
              <w:spacing w:after="120"/>
              <w:jc w:val="both"/>
              <w:rPr>
                <w:sz w:val="26"/>
                <w:szCs w:val="26"/>
              </w:rPr>
            </w:pPr>
            <w:r w:rsidRPr="001F51C3">
              <w:rPr>
                <w:sz w:val="26"/>
                <w:szCs w:val="26"/>
              </w:rPr>
              <w:t xml:space="preserve">Ņemot vērā abu pasākumu līdzīgos mērķus un mērķa grupas, </w:t>
            </w:r>
            <w:r w:rsidRPr="001F51C3">
              <w:rPr>
                <w:b/>
                <w:sz w:val="26"/>
                <w:szCs w:val="26"/>
              </w:rPr>
              <w:t>3.2.1.1.pasākumu un 3.2.1.2.pasākumu plānots ieviest, tos apvienojot un īstenojot kā vienu pasākumu</w:t>
            </w:r>
            <w:r w:rsidRPr="001F51C3">
              <w:rPr>
                <w:sz w:val="26"/>
                <w:szCs w:val="26"/>
              </w:rPr>
              <w:t xml:space="preserve"> (turpmāk - 3.2.1.2.pasākums), lai atbalsts tiktu sniegts pēc vienas pieturas aģentūras principa, un mazinātu administratīvo slogu pasākuma mērķa grupai, tajā skaitā komersantiem. </w:t>
            </w:r>
          </w:p>
          <w:p w14:paraId="1D979EA0" w14:textId="77777777" w:rsidR="00631DC7" w:rsidRPr="001F51C3" w:rsidRDefault="0036033C" w:rsidP="00631DC7">
            <w:pPr>
              <w:pStyle w:val="ListParagraph"/>
              <w:ind w:left="0"/>
              <w:jc w:val="both"/>
              <w:rPr>
                <w:b/>
                <w:sz w:val="26"/>
                <w:szCs w:val="26"/>
              </w:rPr>
            </w:pPr>
            <w:r w:rsidRPr="001F51C3">
              <w:rPr>
                <w:sz w:val="26"/>
                <w:szCs w:val="26"/>
              </w:rPr>
              <w:t xml:space="preserve">            </w:t>
            </w:r>
            <w:r w:rsidR="002450E8" w:rsidRPr="001F51C3">
              <w:rPr>
                <w:b/>
                <w:sz w:val="26"/>
                <w:szCs w:val="26"/>
              </w:rPr>
              <w:t xml:space="preserve">Lai nodrošinātu Ministru kabineta 2015.gada 10.marta </w:t>
            </w:r>
            <w:proofErr w:type="spellStart"/>
            <w:r w:rsidR="002450E8" w:rsidRPr="001F51C3">
              <w:rPr>
                <w:b/>
                <w:sz w:val="26"/>
                <w:szCs w:val="26"/>
              </w:rPr>
              <w:t>protokollēmuma</w:t>
            </w:r>
            <w:proofErr w:type="spellEnd"/>
            <w:r w:rsidR="002450E8" w:rsidRPr="001F51C3">
              <w:rPr>
                <w:b/>
                <w:sz w:val="26"/>
                <w:szCs w:val="26"/>
              </w:rPr>
              <w:t xml:space="preserve"> Nr.14. 27.§ 2.punktā noteikto </w:t>
            </w:r>
            <w:r w:rsidR="002450E8" w:rsidRPr="001F51C3">
              <w:rPr>
                <w:sz w:val="26"/>
                <w:szCs w:val="26"/>
              </w:rPr>
              <w:t xml:space="preserve">ierobežojumu uzņemties  jaunas valsts budžeta </w:t>
            </w:r>
            <w:proofErr w:type="spellStart"/>
            <w:r w:rsidR="002450E8" w:rsidRPr="001F51C3">
              <w:rPr>
                <w:sz w:val="26"/>
                <w:szCs w:val="26"/>
              </w:rPr>
              <w:t>virssaistības</w:t>
            </w:r>
            <w:proofErr w:type="spellEnd"/>
            <w:r w:rsidR="002450E8" w:rsidRPr="001F51C3">
              <w:rPr>
                <w:sz w:val="26"/>
                <w:szCs w:val="26"/>
              </w:rPr>
              <w:t xml:space="preserve">, Ekonomikas ministrija ir radusi iespējas pārcelt faktiski veiktās izmaksas </w:t>
            </w:r>
            <w:r w:rsidR="002450E8" w:rsidRPr="001F51C3">
              <w:rPr>
                <w:b/>
                <w:sz w:val="26"/>
                <w:szCs w:val="26"/>
              </w:rPr>
              <w:t xml:space="preserve">2 200 000 </w:t>
            </w:r>
            <w:proofErr w:type="spellStart"/>
            <w:r w:rsidR="002450E8" w:rsidRPr="001F51C3">
              <w:rPr>
                <w:b/>
                <w:i/>
                <w:sz w:val="26"/>
                <w:szCs w:val="26"/>
              </w:rPr>
              <w:t>euro</w:t>
            </w:r>
            <w:proofErr w:type="spellEnd"/>
            <w:r w:rsidR="002450E8" w:rsidRPr="001F51C3">
              <w:rPr>
                <w:i/>
                <w:sz w:val="26"/>
                <w:szCs w:val="26"/>
              </w:rPr>
              <w:t xml:space="preserve"> </w:t>
            </w:r>
            <w:r w:rsidR="002450E8" w:rsidRPr="001F51C3">
              <w:rPr>
                <w:sz w:val="26"/>
                <w:szCs w:val="26"/>
              </w:rPr>
              <w:t xml:space="preserve">apmērā no Eiropas Savienības fondu 2007.-2013.gada plānošanas perioda darbības programmas “Uzņēmējdarbība un inovācijas” papildinājuma </w:t>
            </w:r>
            <w:r w:rsidR="002450E8" w:rsidRPr="001F51C3">
              <w:rPr>
                <w:b/>
                <w:sz w:val="26"/>
                <w:szCs w:val="26"/>
              </w:rPr>
              <w:t>2.3.1.1.2.apakšaktivtātes „Ārējo tirgu apgūšana – nozaru starptautiskās konkurētspējas stiprināšana”</w:t>
            </w:r>
            <w:r w:rsidR="002450E8" w:rsidRPr="001F51C3">
              <w:rPr>
                <w:sz w:val="26"/>
                <w:szCs w:val="26"/>
              </w:rPr>
              <w:t xml:space="preserve"> (turpmāk – 2.3.1.1.2.apakšaktivitāte) uz Eiropas Savienības fondu 2014.-2020.gada plānošanas perioda darbības programmas “Izaugsme un nodarbinātība” papildinājuma </w:t>
            </w:r>
            <w:r w:rsidR="002450E8" w:rsidRPr="001F51C3">
              <w:rPr>
                <w:b/>
                <w:sz w:val="26"/>
                <w:szCs w:val="26"/>
              </w:rPr>
              <w:t>3.2.1.2.pasākumu „</w:t>
            </w:r>
            <w:r w:rsidR="002450E8" w:rsidRPr="001F51C3">
              <w:rPr>
                <w:rFonts w:eastAsia="ヒラギノ角ゴ Pro W3"/>
                <w:b/>
                <w:sz w:val="26"/>
                <w:szCs w:val="26"/>
              </w:rPr>
              <w:t>Starptautiskās konkurētspējas veicināšana</w:t>
            </w:r>
            <w:r w:rsidR="002450E8" w:rsidRPr="001F51C3">
              <w:rPr>
                <w:b/>
                <w:sz w:val="26"/>
                <w:szCs w:val="26"/>
              </w:rPr>
              <w:t>”.</w:t>
            </w:r>
            <w:r w:rsidRPr="001F51C3">
              <w:rPr>
                <w:b/>
                <w:sz w:val="26"/>
                <w:szCs w:val="26"/>
              </w:rPr>
              <w:t xml:space="preserve"> </w:t>
            </w:r>
          </w:p>
          <w:p w14:paraId="33FED172" w14:textId="44540A7D" w:rsidR="00EB0D2D" w:rsidRPr="001F51C3" w:rsidRDefault="0036033C" w:rsidP="00631DC7">
            <w:pPr>
              <w:pStyle w:val="ListParagraph"/>
              <w:ind w:left="0"/>
              <w:jc w:val="both"/>
              <w:rPr>
                <w:sz w:val="26"/>
                <w:szCs w:val="26"/>
              </w:rPr>
            </w:pPr>
            <w:r w:rsidRPr="001F51C3">
              <w:rPr>
                <w:sz w:val="26"/>
                <w:szCs w:val="26"/>
              </w:rPr>
              <w:t>Izmaksu pārcelšana no 2.3.1.1.2.apakšaktivitātes uz 3.2.1.2.pasākumu</w:t>
            </w:r>
            <w:r w:rsidR="00EB0D2D" w:rsidRPr="001F51C3">
              <w:rPr>
                <w:sz w:val="26"/>
                <w:szCs w:val="26"/>
              </w:rPr>
              <w:t xml:space="preserve"> ir nepieciešama, lai komersantiem nodrošinātu nepārtrauktu atbalsu ārējo tirgu apgūšanai un konkurētspējas veicināšanai.</w:t>
            </w:r>
          </w:p>
          <w:p w14:paraId="1DD60034" w14:textId="77777777" w:rsidR="00167C26" w:rsidRPr="001F51C3" w:rsidRDefault="00AA0A06" w:rsidP="00631DC7">
            <w:pPr>
              <w:pStyle w:val="ListParagraph"/>
              <w:ind w:left="0"/>
              <w:jc w:val="both"/>
              <w:rPr>
                <w:b/>
                <w:sz w:val="26"/>
                <w:szCs w:val="26"/>
              </w:rPr>
            </w:pPr>
            <w:r w:rsidRPr="001F51C3">
              <w:rPr>
                <w:sz w:val="26"/>
                <w:szCs w:val="26"/>
              </w:rPr>
              <w:t xml:space="preserve">Vienlaikus, </w:t>
            </w:r>
            <w:r w:rsidRPr="001F51C3">
              <w:rPr>
                <w:b/>
                <w:sz w:val="26"/>
                <w:szCs w:val="26"/>
              </w:rPr>
              <w:t xml:space="preserve">lai nodrošinātu Ministru kabineta 2015.gada 27.oktobra </w:t>
            </w:r>
            <w:proofErr w:type="spellStart"/>
            <w:r w:rsidRPr="001F51C3">
              <w:rPr>
                <w:b/>
                <w:sz w:val="26"/>
                <w:szCs w:val="26"/>
              </w:rPr>
              <w:t>protokollēmuma</w:t>
            </w:r>
            <w:proofErr w:type="spellEnd"/>
            <w:r w:rsidRPr="001F51C3">
              <w:rPr>
                <w:b/>
                <w:sz w:val="26"/>
                <w:szCs w:val="26"/>
              </w:rPr>
              <w:t xml:space="preserve"> Nr.56 43.§ 4.punktā</w:t>
            </w:r>
            <w:r w:rsidRPr="001F51C3">
              <w:rPr>
                <w:sz w:val="26"/>
                <w:szCs w:val="26"/>
              </w:rPr>
              <w:t xml:space="preserve"> noteikto nosacījumu par to</w:t>
            </w:r>
            <w:r w:rsidR="00615303" w:rsidRPr="001F51C3">
              <w:rPr>
                <w:sz w:val="26"/>
                <w:szCs w:val="26"/>
              </w:rPr>
              <w:t>,</w:t>
            </w:r>
            <w:r w:rsidRPr="001F51C3">
              <w:rPr>
                <w:sz w:val="26"/>
                <w:szCs w:val="26"/>
              </w:rPr>
              <w:t xml:space="preserve"> kā Tūrisma attīstības valsts aģentūras (turpmāk – TAVA) un Latvijas Investīciju un attīstības aģentūras (turpmāk – LIAA) sagatavotajos 3.2.1.2.pasākuma </w:t>
            </w:r>
            <w:r w:rsidR="00615303" w:rsidRPr="001F51C3">
              <w:rPr>
                <w:sz w:val="26"/>
                <w:szCs w:val="26"/>
              </w:rPr>
              <w:t xml:space="preserve">projektu </w:t>
            </w:r>
            <w:r w:rsidRPr="001F51C3">
              <w:rPr>
                <w:sz w:val="26"/>
                <w:szCs w:val="26"/>
              </w:rPr>
              <w:t xml:space="preserve">iesniegumos iekļaujamas atbalstāmās darbības un  </w:t>
            </w:r>
            <w:r w:rsidRPr="001F51C3">
              <w:t xml:space="preserve"> </w:t>
            </w:r>
            <w:r w:rsidRPr="001F51C3">
              <w:rPr>
                <w:sz w:val="26"/>
                <w:szCs w:val="26"/>
              </w:rPr>
              <w:t xml:space="preserve">izmaksas, kuras tiks pārceltas no 2.3.1.1.2.apakšaktivitātes līdzekļiem 2 200 000 </w:t>
            </w:r>
            <w:proofErr w:type="spellStart"/>
            <w:r w:rsidR="00715745" w:rsidRPr="001F51C3">
              <w:rPr>
                <w:i/>
                <w:sz w:val="26"/>
                <w:szCs w:val="26"/>
              </w:rPr>
              <w:t>euro</w:t>
            </w:r>
            <w:proofErr w:type="spellEnd"/>
            <w:r w:rsidRPr="001F51C3">
              <w:rPr>
                <w:sz w:val="26"/>
                <w:szCs w:val="26"/>
              </w:rPr>
              <w:t xml:space="preserve"> apmērā</w:t>
            </w:r>
            <w:r w:rsidR="00615303" w:rsidRPr="001F51C3">
              <w:rPr>
                <w:sz w:val="26"/>
                <w:szCs w:val="26"/>
              </w:rPr>
              <w:t xml:space="preserve"> uz 3.2.1.2.pasākumu.</w:t>
            </w:r>
            <w:r w:rsidRPr="001F51C3">
              <w:rPr>
                <w:sz w:val="26"/>
                <w:szCs w:val="26"/>
              </w:rPr>
              <w:t xml:space="preserve"> </w:t>
            </w:r>
            <w:r w:rsidR="00615303" w:rsidRPr="001F51C3">
              <w:rPr>
                <w:sz w:val="26"/>
                <w:szCs w:val="26"/>
              </w:rPr>
              <w:t>I</w:t>
            </w:r>
            <w:r w:rsidR="00EB0D2D" w:rsidRPr="001F51C3">
              <w:rPr>
                <w:sz w:val="26"/>
                <w:szCs w:val="26"/>
              </w:rPr>
              <w:t xml:space="preserve">zmaksu pārcelšana no 2.3.1.1.2.apakšaktivitātes uz 3.2.1.2.pasākumu </w:t>
            </w:r>
            <w:r w:rsidRPr="001F51C3">
              <w:rPr>
                <w:sz w:val="26"/>
                <w:szCs w:val="26"/>
              </w:rPr>
              <w:t>notiks</w:t>
            </w:r>
            <w:r w:rsidR="00E2199D" w:rsidRPr="001F51C3">
              <w:rPr>
                <w:sz w:val="26"/>
                <w:szCs w:val="26"/>
              </w:rPr>
              <w:t xml:space="preserve"> tikai par finansējumu saņēmēju –</w:t>
            </w:r>
            <w:r w:rsidR="00615303" w:rsidRPr="001F51C3">
              <w:rPr>
                <w:sz w:val="26"/>
                <w:szCs w:val="26"/>
              </w:rPr>
              <w:t xml:space="preserve"> TAVA</w:t>
            </w:r>
            <w:r w:rsidR="00E2199D" w:rsidRPr="001F51C3">
              <w:rPr>
                <w:sz w:val="26"/>
                <w:szCs w:val="26"/>
              </w:rPr>
              <w:t xml:space="preserve"> un </w:t>
            </w:r>
            <w:r w:rsidR="00615303" w:rsidRPr="001F51C3">
              <w:rPr>
                <w:sz w:val="26"/>
                <w:szCs w:val="26"/>
              </w:rPr>
              <w:t>LIAA nepabeigtajām</w:t>
            </w:r>
            <w:r w:rsidR="00E2199D" w:rsidRPr="001F51C3">
              <w:rPr>
                <w:sz w:val="26"/>
                <w:szCs w:val="26"/>
              </w:rPr>
              <w:t xml:space="preserve"> 3.2.1.2.</w:t>
            </w:r>
            <w:r w:rsidR="00615303" w:rsidRPr="001F51C3">
              <w:rPr>
                <w:sz w:val="26"/>
                <w:szCs w:val="26"/>
              </w:rPr>
              <w:t>pasākumā atbalstāmajām darbībām,</w:t>
            </w:r>
            <w:r w:rsidR="000517C6" w:rsidRPr="001F51C3">
              <w:rPr>
                <w:sz w:val="26"/>
                <w:szCs w:val="26"/>
              </w:rPr>
              <w:t xml:space="preserve"> nosakot, ka šīs </w:t>
            </w:r>
            <w:r w:rsidR="000517C6" w:rsidRPr="001F51C3">
              <w:rPr>
                <w:b/>
                <w:sz w:val="26"/>
                <w:szCs w:val="26"/>
              </w:rPr>
              <w:t>izmaksas ir atti</w:t>
            </w:r>
            <w:r w:rsidR="00615303" w:rsidRPr="001F51C3">
              <w:rPr>
                <w:b/>
                <w:sz w:val="26"/>
                <w:szCs w:val="26"/>
              </w:rPr>
              <w:t>ecināmas no 2014.gada 1.janvāra.</w:t>
            </w:r>
            <w:r w:rsidR="00300068" w:rsidRPr="001F51C3">
              <w:rPr>
                <w:b/>
                <w:sz w:val="26"/>
                <w:szCs w:val="26"/>
              </w:rPr>
              <w:t xml:space="preserve"> </w:t>
            </w:r>
            <w:r w:rsidR="00300068" w:rsidRPr="001F51C3">
              <w:rPr>
                <w:sz w:val="26"/>
                <w:szCs w:val="26"/>
              </w:rPr>
              <w:t xml:space="preserve">Pie tam no 2014.gada 1.janvāra attiecināmas tikai tādas izmaksas, kas radušās finansējuma saņēmējiem – TAVA un LIAA – kā labuma guvējiem, īstenojot 3.2.1.2. pasākuma MK noteikumu projekta 14.2.2. un 18.2.apakšpunktā minētās darbības, un šo darbību izmaksas nav saistītas ar </w:t>
            </w:r>
            <w:proofErr w:type="spellStart"/>
            <w:r w:rsidR="00300068" w:rsidRPr="001F51C3">
              <w:rPr>
                <w:i/>
                <w:sz w:val="26"/>
                <w:szCs w:val="26"/>
              </w:rPr>
              <w:t>de</w:t>
            </w:r>
            <w:proofErr w:type="spellEnd"/>
            <w:r w:rsidR="00300068" w:rsidRPr="001F51C3">
              <w:rPr>
                <w:i/>
                <w:sz w:val="26"/>
                <w:szCs w:val="26"/>
              </w:rPr>
              <w:t xml:space="preserve"> </w:t>
            </w:r>
            <w:proofErr w:type="spellStart"/>
            <w:r w:rsidR="00300068" w:rsidRPr="001F51C3">
              <w:rPr>
                <w:i/>
                <w:sz w:val="26"/>
                <w:szCs w:val="26"/>
              </w:rPr>
              <w:t>minimis</w:t>
            </w:r>
            <w:proofErr w:type="spellEnd"/>
            <w:r w:rsidR="00300068" w:rsidRPr="001F51C3">
              <w:rPr>
                <w:sz w:val="26"/>
                <w:szCs w:val="26"/>
              </w:rPr>
              <w:t xml:space="preserve"> atbalsta piešķiršanu pasākuma mērķa grupai un gala labuma guvējiem.</w:t>
            </w:r>
          </w:p>
          <w:p w14:paraId="498B161B" w14:textId="35D27D2B" w:rsidR="00631DC7" w:rsidRPr="001F51C3" w:rsidRDefault="00615303" w:rsidP="00631DC7">
            <w:pPr>
              <w:pStyle w:val="ListParagraph"/>
              <w:ind w:left="0"/>
              <w:jc w:val="both"/>
              <w:rPr>
                <w:b/>
                <w:sz w:val="26"/>
                <w:szCs w:val="26"/>
              </w:rPr>
            </w:pPr>
            <w:r w:rsidRPr="001F51C3">
              <w:rPr>
                <w:sz w:val="26"/>
                <w:szCs w:val="26"/>
              </w:rPr>
              <w:t xml:space="preserve"> Izmaksas ir pārceļamas, ja tās </w:t>
            </w:r>
            <w:r w:rsidR="00A24697" w:rsidRPr="001F51C3">
              <w:rPr>
                <w:sz w:val="26"/>
                <w:szCs w:val="26"/>
              </w:rPr>
              <w:t>atbilst</w:t>
            </w:r>
            <w:r w:rsidR="00631DC7" w:rsidRPr="001F51C3">
              <w:rPr>
                <w:sz w:val="26"/>
                <w:szCs w:val="26"/>
              </w:rPr>
              <w:t xml:space="preserve"> TAVA un LIAA 3.2.1.2.pasākuma īstenošanas stratēģijās noteiktajam, un tiek ievērotas Eiropas Savienības struktūrfondu un Kohēzijas fonda publicitātes un vizuālās identitātes prasības, 3.2.1.2.pasākumā nodro</w:t>
            </w:r>
            <w:r w:rsidR="007C673B" w:rsidRPr="001F51C3">
              <w:rPr>
                <w:sz w:val="26"/>
                <w:szCs w:val="26"/>
              </w:rPr>
              <w:t>šinot</w:t>
            </w:r>
            <w:r w:rsidR="00631DC7" w:rsidRPr="001F51C3">
              <w:rPr>
                <w:sz w:val="26"/>
                <w:szCs w:val="26"/>
              </w:rPr>
              <w:t xml:space="preserve"> Eiropas Savienības struktūrfondu un Kohēzijas fonda 2014.-2020. gada plānošanas perioda komunikāciju un vizuālās identitātes prasības no brīža, kad noslēgta vienošanās ar sadarbības iestādi par projekta īstenošanu. </w:t>
            </w:r>
          </w:p>
          <w:p w14:paraId="4BB43E8F" w14:textId="77777777" w:rsidR="00300068" w:rsidRPr="001F51C3" w:rsidRDefault="00300068" w:rsidP="00631DC7">
            <w:pPr>
              <w:pStyle w:val="ListParagraph"/>
              <w:ind w:left="0"/>
              <w:jc w:val="both"/>
              <w:rPr>
                <w:sz w:val="26"/>
                <w:szCs w:val="26"/>
              </w:rPr>
            </w:pPr>
          </w:p>
          <w:p w14:paraId="19615BA3" w14:textId="35E6B58F" w:rsidR="00E2199D" w:rsidRPr="001F51C3" w:rsidRDefault="00631DC7" w:rsidP="000E7D44">
            <w:pPr>
              <w:autoSpaceDE w:val="0"/>
              <w:autoSpaceDN w:val="0"/>
              <w:spacing w:after="120"/>
              <w:jc w:val="both"/>
              <w:rPr>
                <w:sz w:val="26"/>
                <w:szCs w:val="26"/>
              </w:rPr>
            </w:pPr>
            <w:r w:rsidRPr="001F51C3">
              <w:rPr>
                <w:sz w:val="26"/>
                <w:szCs w:val="26"/>
              </w:rPr>
              <w:t xml:space="preserve">Ekonomikas ministrija ir izvērtējusi riskus, kas saistīti ar 2 200 000 </w:t>
            </w:r>
            <w:proofErr w:type="spellStart"/>
            <w:r w:rsidRPr="001F51C3">
              <w:rPr>
                <w:i/>
                <w:sz w:val="26"/>
                <w:szCs w:val="26"/>
              </w:rPr>
              <w:t>euro</w:t>
            </w:r>
            <w:proofErr w:type="spellEnd"/>
            <w:r w:rsidRPr="001F51C3">
              <w:rPr>
                <w:i/>
                <w:sz w:val="26"/>
                <w:szCs w:val="26"/>
              </w:rPr>
              <w:t xml:space="preserve"> </w:t>
            </w:r>
            <w:r w:rsidRPr="001F51C3">
              <w:rPr>
                <w:sz w:val="26"/>
                <w:szCs w:val="26"/>
              </w:rPr>
              <w:t xml:space="preserve">pārcelšanu no 2.3.1.1.2.apakšaktivitātes uz 3.2.1.2.pasākumu, tajā skaitā, saistītos ar </w:t>
            </w:r>
            <w:proofErr w:type="spellStart"/>
            <w:r w:rsidRPr="001F51C3">
              <w:rPr>
                <w:sz w:val="26"/>
                <w:szCs w:val="26"/>
              </w:rPr>
              <w:t>dubultfinansēšanas</w:t>
            </w:r>
            <w:proofErr w:type="spellEnd"/>
            <w:r w:rsidRPr="001F51C3">
              <w:rPr>
                <w:sz w:val="26"/>
                <w:szCs w:val="26"/>
              </w:rPr>
              <w:t xml:space="preserve"> nepieļaušanu, kā arī saistībā ar 2007.- 2013.gada plānošanas perioda slēgšanas laika grafiku. Ņemot vērā, ka izmaksas 2.3.1.1.2.apakšaktivitātes ietvaros būs izņemtas no izdevumu deklarācijas, līdz ar to, tas nerada riskus par neatbilstošu izmaksu pārcelšanu uz 3.2.1.2.pasākumu, kā arī dubultā finansējuma riskus.</w:t>
            </w:r>
          </w:p>
          <w:p w14:paraId="6DFFCF94" w14:textId="6821FF90" w:rsidR="005C160E" w:rsidRPr="001F51C3" w:rsidRDefault="00631DC7" w:rsidP="000E7D44">
            <w:pPr>
              <w:autoSpaceDE w:val="0"/>
              <w:autoSpaceDN w:val="0"/>
              <w:spacing w:after="120"/>
              <w:jc w:val="both"/>
              <w:rPr>
                <w:sz w:val="27"/>
                <w:szCs w:val="27"/>
              </w:rPr>
            </w:pPr>
            <w:r w:rsidRPr="001F51C3">
              <w:rPr>
                <w:b/>
                <w:sz w:val="26"/>
                <w:szCs w:val="26"/>
              </w:rPr>
              <w:t>3.2.1.2. p</w:t>
            </w:r>
            <w:r w:rsidR="005C160E" w:rsidRPr="001F51C3">
              <w:rPr>
                <w:b/>
                <w:sz w:val="26"/>
                <w:szCs w:val="26"/>
              </w:rPr>
              <w:t>asākuma mērķa grupa</w:t>
            </w:r>
            <w:r w:rsidR="00F44D17" w:rsidRPr="001F51C3">
              <w:rPr>
                <w:b/>
                <w:sz w:val="26"/>
                <w:szCs w:val="26"/>
              </w:rPr>
              <w:t xml:space="preserve"> un gala labuma guvēji</w:t>
            </w:r>
            <w:r w:rsidR="005C160E" w:rsidRPr="001F51C3">
              <w:rPr>
                <w:sz w:val="26"/>
                <w:szCs w:val="26"/>
              </w:rPr>
              <w:t xml:space="preserve"> ir komersanti, kooperatīvās sabiedrības (tai skaitā lauksaimniecības pakalpojumu kooperatīvā sabiedrība vai atbilstīga lauksaimniecības pakalpojumu kooperatīvā sabiedrība) (turpmāk - kooperatīvās sabiedrības), zemnieku vai zvejnieku saimniecības, individuālie uzņēmumi, biedrības, nodibinājumi, kuri atbilst sīko (mikro), mazo un vidējo saimnieciskās darbības subjektu (komercsabiedrību) statusam, saskaņā ar Komisijas 2014.gada 17.jūnija Regulas (ES) Nr.651/2014, ar ko noteiktas atbalsta kategorijas atzīst par saderīgām ar iekšējo tirgu, piemērojot Līguma 107. un 108.pantu, 1.pielikumu (Eiropas Savienības Oficiālais Vēstnesis, 2014. gada 26. jūnijs, Nr. L 187) (turpmāk – Regula Nr. 651/2014) un ostu pārvaldes, pašvaldības, plānošanas reģioni</w:t>
            </w:r>
            <w:r w:rsidR="00F44D17" w:rsidRPr="001F51C3">
              <w:rPr>
                <w:sz w:val="26"/>
                <w:szCs w:val="26"/>
              </w:rPr>
              <w:t xml:space="preserve"> (par projektiem, kas neietver saimnieciskas darbības)</w:t>
            </w:r>
            <w:r w:rsidR="005C160E" w:rsidRPr="001F51C3">
              <w:rPr>
                <w:sz w:val="26"/>
                <w:szCs w:val="26"/>
              </w:rPr>
              <w:t>.</w:t>
            </w:r>
          </w:p>
          <w:p w14:paraId="30B23776" w14:textId="1F3DF70B" w:rsidR="005C160E" w:rsidRPr="001F51C3" w:rsidRDefault="005C160E" w:rsidP="000E7D44">
            <w:pPr>
              <w:autoSpaceDE w:val="0"/>
              <w:autoSpaceDN w:val="0"/>
              <w:spacing w:after="120"/>
              <w:jc w:val="both"/>
              <w:rPr>
                <w:sz w:val="26"/>
                <w:szCs w:val="26"/>
              </w:rPr>
            </w:pPr>
            <w:r w:rsidRPr="001F51C3">
              <w:rPr>
                <w:sz w:val="26"/>
                <w:szCs w:val="26"/>
              </w:rPr>
              <w:t>Ja pasākumi netiktu apvienoti, tad vienai un tai pašai mērķa grupai būtu jāpiesakās atbalstam no diviem pasākumiem – dalībai nacionālajā stendā atsevišķi un ceļa izmaksām atsevišķi. Arī pasākumu ieviešanu tas sarežģītu, jo pasākumus ieviestu dažādas aģentūras –</w:t>
            </w:r>
            <w:r w:rsidR="00631DC7" w:rsidRPr="001F51C3">
              <w:rPr>
                <w:sz w:val="26"/>
                <w:szCs w:val="26"/>
              </w:rPr>
              <w:t xml:space="preserve"> </w:t>
            </w:r>
            <w:r w:rsidRPr="001F51C3">
              <w:rPr>
                <w:sz w:val="26"/>
                <w:szCs w:val="26"/>
              </w:rPr>
              <w:t xml:space="preserve">LIAA, TAVA un </w:t>
            </w:r>
            <w:r w:rsidR="00BA4411" w:rsidRPr="001F51C3">
              <w:rPr>
                <w:sz w:val="26"/>
                <w:szCs w:val="26"/>
              </w:rPr>
              <w:t xml:space="preserve">Centrālā finanšu un līgumu aģentūra (turpmāk - </w:t>
            </w:r>
            <w:r w:rsidRPr="001F51C3">
              <w:rPr>
                <w:sz w:val="26"/>
                <w:szCs w:val="26"/>
              </w:rPr>
              <w:t>CFLA</w:t>
            </w:r>
            <w:r w:rsidR="00BA4411" w:rsidRPr="001F51C3">
              <w:rPr>
                <w:sz w:val="26"/>
                <w:szCs w:val="26"/>
              </w:rPr>
              <w:t>)</w:t>
            </w:r>
            <w:r w:rsidRPr="001F51C3">
              <w:rPr>
                <w:sz w:val="26"/>
                <w:szCs w:val="26"/>
              </w:rPr>
              <w:t>. Līdz ar to būtu papildus jākontrolē pasākumu demarkācija. Visbeidzot LIAA un TAVA organizējot nacionālos stendus ir lietderīgi uzreiz sniegt atbalstu ceļa izdevumiem, tādējādi ja atbalsts tiek sniegts pēc vienas pieturas aģentūras principa, samazinās pasākuma ieviešanas izmaksas.</w:t>
            </w:r>
          </w:p>
          <w:p w14:paraId="6F958F32" w14:textId="0CAF47E3" w:rsidR="00F72102" w:rsidRPr="001F51C3" w:rsidRDefault="0034042C" w:rsidP="0034042C">
            <w:pPr>
              <w:autoSpaceDE w:val="0"/>
              <w:autoSpaceDN w:val="0"/>
              <w:spacing w:after="120"/>
              <w:jc w:val="both"/>
              <w:rPr>
                <w:sz w:val="26"/>
                <w:szCs w:val="26"/>
              </w:rPr>
            </w:pPr>
            <w:r w:rsidRPr="001F51C3">
              <w:rPr>
                <w:sz w:val="26"/>
                <w:szCs w:val="26"/>
              </w:rPr>
              <w:t xml:space="preserve">Ņemot vērā to, ka 3.2.1.2.pasākumā labuma guvēji, tostarp, ir </w:t>
            </w:r>
            <w:r w:rsidRPr="001F51C3">
              <w:rPr>
                <w:b/>
                <w:sz w:val="26"/>
                <w:szCs w:val="26"/>
              </w:rPr>
              <w:t>zemnieku vai zvejnieku saimniecības</w:t>
            </w:r>
            <w:r w:rsidR="00E15066" w:rsidRPr="001F51C3">
              <w:rPr>
                <w:sz w:val="26"/>
                <w:szCs w:val="26"/>
              </w:rPr>
              <w:t xml:space="preserve">, </w:t>
            </w:r>
            <w:r w:rsidR="00194909" w:rsidRPr="001F51C3">
              <w:rPr>
                <w:sz w:val="26"/>
                <w:szCs w:val="26"/>
              </w:rPr>
              <w:t>nepieciešam</w:t>
            </w:r>
            <w:r w:rsidRPr="001F51C3">
              <w:rPr>
                <w:sz w:val="26"/>
                <w:szCs w:val="26"/>
              </w:rPr>
              <w:t xml:space="preserve">s nodrošināt </w:t>
            </w:r>
            <w:r w:rsidRPr="001F51C3">
              <w:rPr>
                <w:b/>
                <w:sz w:val="26"/>
                <w:szCs w:val="26"/>
              </w:rPr>
              <w:t>demarkāciju</w:t>
            </w:r>
            <w:r w:rsidRPr="001F51C3">
              <w:rPr>
                <w:sz w:val="26"/>
                <w:szCs w:val="26"/>
              </w:rPr>
              <w:t xml:space="preserve"> starp 3.2.1.2.pasākumu un Zemkopības ministrijas pārziņā esošajiem Rīcības programma</w:t>
            </w:r>
            <w:r w:rsidR="00E15066" w:rsidRPr="001F51C3">
              <w:rPr>
                <w:sz w:val="26"/>
                <w:szCs w:val="26"/>
              </w:rPr>
              <w:t>s</w:t>
            </w:r>
            <w:r w:rsidRPr="001F51C3">
              <w:rPr>
                <w:sz w:val="26"/>
                <w:szCs w:val="26"/>
              </w:rPr>
              <w:t xml:space="preserve"> zivsaimniecības attīstībai 2014.-2020.gadam pasākumiem</w:t>
            </w:r>
            <w:r w:rsidR="00E15066" w:rsidRPr="001F51C3">
              <w:rPr>
                <w:sz w:val="26"/>
                <w:szCs w:val="26"/>
              </w:rPr>
              <w:t xml:space="preserve"> un Latvijas Lauku attīstības programmas 2014.-2020.gada pasākumiem,</w:t>
            </w:r>
            <w:r w:rsidRPr="001F51C3">
              <w:rPr>
                <w:sz w:val="26"/>
                <w:szCs w:val="26"/>
              </w:rPr>
              <w:t xml:space="preserve"> kuru ietvaros paredzēts atbalsts jaunu noieta tirgus sekmēšanai.  </w:t>
            </w:r>
          </w:p>
          <w:p w14:paraId="05435E6D" w14:textId="77777777" w:rsidR="00194909" w:rsidRPr="001F51C3" w:rsidRDefault="00194909" w:rsidP="00E15066">
            <w:pPr>
              <w:autoSpaceDE w:val="0"/>
              <w:autoSpaceDN w:val="0"/>
              <w:spacing w:after="120"/>
              <w:jc w:val="both"/>
              <w:rPr>
                <w:sz w:val="26"/>
                <w:szCs w:val="26"/>
              </w:rPr>
            </w:pPr>
            <w:r w:rsidRPr="001F51C3">
              <w:rPr>
                <w:sz w:val="26"/>
                <w:szCs w:val="26"/>
              </w:rPr>
              <w:t xml:space="preserve">Atbilstoši Zemkopības ministrijas 2015.gada 6.novembrī sniegtajai informācijai </w:t>
            </w:r>
            <w:r w:rsidR="00E15066" w:rsidRPr="001F51C3">
              <w:rPr>
                <w:sz w:val="26"/>
                <w:szCs w:val="26"/>
              </w:rPr>
              <w:t>Eiropas Lauksaimniecības Fonda lauku attīstībai 2014.-2020.gada plānošanas perioda pasākumos nav paredzētas investīcijas aktivitātēs, kādas paredz</w:t>
            </w:r>
            <w:r w:rsidRPr="001F51C3">
              <w:rPr>
                <w:sz w:val="26"/>
                <w:szCs w:val="26"/>
              </w:rPr>
              <w:t>ētas</w:t>
            </w:r>
            <w:r w:rsidR="00E15066" w:rsidRPr="001F51C3">
              <w:rPr>
                <w:sz w:val="26"/>
                <w:szCs w:val="26"/>
              </w:rPr>
              <w:t xml:space="preserve"> 3.2.1.2.pasākuma</w:t>
            </w:r>
            <w:r w:rsidRPr="001F51C3">
              <w:rPr>
                <w:sz w:val="26"/>
                <w:szCs w:val="26"/>
              </w:rPr>
              <w:t xml:space="preserve"> ietvaros.</w:t>
            </w:r>
            <w:r w:rsidR="00E15066" w:rsidRPr="001F51C3">
              <w:rPr>
                <w:sz w:val="26"/>
                <w:szCs w:val="26"/>
              </w:rPr>
              <w:t xml:space="preserve"> Ņemot vērā iepriekš minēto arī Latvijas Lauku attīstības programmas 2014.-2020.gada pasākumi neparedz ārēj</w:t>
            </w:r>
            <w:r w:rsidRPr="001F51C3">
              <w:rPr>
                <w:sz w:val="26"/>
                <w:szCs w:val="26"/>
              </w:rPr>
              <w:t xml:space="preserve">o tirgu apgūšanas aktivitātes. </w:t>
            </w:r>
          </w:p>
          <w:p w14:paraId="0C4A6D21" w14:textId="1476FA2B" w:rsidR="00E15066" w:rsidRPr="001F51C3" w:rsidRDefault="00E15066" w:rsidP="00E15066">
            <w:pPr>
              <w:autoSpaceDE w:val="0"/>
              <w:autoSpaceDN w:val="0"/>
              <w:spacing w:after="120"/>
              <w:jc w:val="both"/>
              <w:rPr>
                <w:sz w:val="26"/>
                <w:szCs w:val="26"/>
              </w:rPr>
            </w:pPr>
            <w:r w:rsidRPr="001F51C3">
              <w:rPr>
                <w:sz w:val="26"/>
                <w:szCs w:val="26"/>
              </w:rPr>
              <w:t>Eiropas Jūrlietu un Zivsaimniecības fonda 2014.-2020.gada plānošanas perioda pasākumā „Tirdzniecības pasākumi” ir paredzēts a</w:t>
            </w:r>
            <w:r w:rsidR="00194909" w:rsidRPr="001F51C3">
              <w:rPr>
                <w:sz w:val="26"/>
                <w:szCs w:val="26"/>
              </w:rPr>
              <w:t>tbalsts ārējo tirgu apgūšanai. Taču</w:t>
            </w:r>
            <w:r w:rsidRPr="001F51C3">
              <w:rPr>
                <w:sz w:val="26"/>
                <w:szCs w:val="26"/>
              </w:rPr>
              <w:t xml:space="preserve"> zemnieku un zvejnieku saimniecības nevar pretendēt uz atbalstu Ministru kabineta 2015.gada 28.jūlija noteikumu Nr.437 „Valsts un Eiropas Savienības atbalsta piešķiršanas kārtība pasākuma „Tirdzniecības pasākumi”” (turpmāk noteikumi Nr.437) ietvaros. Līdz ar to attiecībā uz </w:t>
            </w:r>
            <w:r w:rsidRPr="001F51C3">
              <w:rPr>
                <w:b/>
                <w:sz w:val="26"/>
                <w:szCs w:val="26"/>
              </w:rPr>
              <w:t>zemnieku un zvejnieku saimniecībām demarkācija</w:t>
            </w:r>
            <w:r w:rsidRPr="001F51C3">
              <w:rPr>
                <w:sz w:val="26"/>
                <w:szCs w:val="26"/>
              </w:rPr>
              <w:t xml:space="preserve"> noteikumos Nr.437 ir nodrošināta atbalsta pretendentu līmenī. </w:t>
            </w:r>
          </w:p>
          <w:p w14:paraId="413D2A90" w14:textId="02807155" w:rsidR="0034042C" w:rsidRPr="001F51C3" w:rsidRDefault="00E15066" w:rsidP="00E15066">
            <w:pPr>
              <w:autoSpaceDE w:val="0"/>
              <w:autoSpaceDN w:val="0"/>
              <w:spacing w:after="120"/>
              <w:jc w:val="both"/>
              <w:rPr>
                <w:sz w:val="26"/>
                <w:szCs w:val="26"/>
              </w:rPr>
            </w:pPr>
            <w:r w:rsidRPr="001F51C3">
              <w:rPr>
                <w:sz w:val="26"/>
                <w:szCs w:val="26"/>
              </w:rPr>
              <w:t xml:space="preserve">Savukārt attiecībā uz </w:t>
            </w:r>
            <w:r w:rsidRPr="001F51C3">
              <w:rPr>
                <w:b/>
                <w:sz w:val="26"/>
                <w:szCs w:val="26"/>
              </w:rPr>
              <w:t xml:space="preserve">biedrībām, </w:t>
            </w:r>
            <w:r w:rsidRPr="001F51C3">
              <w:rPr>
                <w:sz w:val="26"/>
                <w:szCs w:val="26"/>
              </w:rPr>
              <w:t xml:space="preserve">kuru biedru komercdarbības joma ir zvejniecība, akvakultūra vai zivju, vēžveidīgo un mīkstmiešu pārstrāde un konservēšana, </w:t>
            </w:r>
            <w:r w:rsidR="00194909" w:rsidRPr="001F51C3">
              <w:rPr>
                <w:sz w:val="26"/>
                <w:szCs w:val="26"/>
              </w:rPr>
              <w:t xml:space="preserve">ir nosakāmi ierobežojumi. Līdz ar to </w:t>
            </w:r>
            <w:r w:rsidR="00194909" w:rsidRPr="001F51C3">
              <w:rPr>
                <w:b/>
                <w:sz w:val="26"/>
                <w:szCs w:val="26"/>
              </w:rPr>
              <w:t>3.2.1.2. pasākuma ietvaros</w:t>
            </w:r>
            <w:r w:rsidRPr="001F51C3">
              <w:rPr>
                <w:sz w:val="26"/>
                <w:szCs w:val="26"/>
              </w:rPr>
              <w:t xml:space="preserve">, biedrības, kuru biedru komercdarbības joma ir zvejniecība, akvakultūra vai zivju, vēžveidīgo un mīkstmiešu pārstrāde un konservēšana, </w:t>
            </w:r>
            <w:r w:rsidRPr="001F51C3">
              <w:rPr>
                <w:b/>
                <w:sz w:val="26"/>
                <w:szCs w:val="26"/>
              </w:rPr>
              <w:t>nevar vie</w:t>
            </w:r>
            <w:r w:rsidR="003E5FB3" w:rsidRPr="001F51C3">
              <w:rPr>
                <w:b/>
                <w:sz w:val="26"/>
                <w:szCs w:val="26"/>
              </w:rPr>
              <w:t xml:space="preserve">nlaicīgi pretendēt uz atbalstu </w:t>
            </w:r>
            <w:r w:rsidR="003E5FB3" w:rsidRPr="001F51C3">
              <w:rPr>
                <w:sz w:val="26"/>
                <w:szCs w:val="26"/>
              </w:rPr>
              <w:t xml:space="preserve">3.2.1.2.pasākumā un </w:t>
            </w:r>
            <w:r w:rsidRPr="001F51C3">
              <w:rPr>
                <w:sz w:val="26"/>
                <w:szCs w:val="26"/>
              </w:rPr>
              <w:t xml:space="preserve">Rīcības programmas zivsaimniecības attīstībai 2014 - 2020.gadam pasākumā „Tirdzniecības pasākumi”. </w:t>
            </w:r>
          </w:p>
          <w:p w14:paraId="221131AE" w14:textId="67C1F74C" w:rsidR="006A34FF" w:rsidRPr="001F51C3" w:rsidRDefault="006A34FF" w:rsidP="000E7D44">
            <w:pPr>
              <w:autoSpaceDE w:val="0"/>
              <w:autoSpaceDN w:val="0"/>
              <w:spacing w:after="120"/>
              <w:jc w:val="both"/>
              <w:rPr>
                <w:b/>
                <w:sz w:val="26"/>
                <w:szCs w:val="26"/>
              </w:rPr>
            </w:pPr>
            <w:r w:rsidRPr="001F51C3">
              <w:rPr>
                <w:b/>
                <w:sz w:val="26"/>
                <w:szCs w:val="26"/>
              </w:rPr>
              <w:t xml:space="preserve">3.2.1.2.pasākuma izvirzīto mērķi tiek plānots īstenot atbalstot šādas darbības: </w:t>
            </w:r>
          </w:p>
          <w:p w14:paraId="08AB95B7" w14:textId="77777777" w:rsidR="009444D1" w:rsidRPr="001F51C3" w:rsidRDefault="009444D1" w:rsidP="000E7D44">
            <w:pPr>
              <w:pStyle w:val="ListParagraph"/>
              <w:numPr>
                <w:ilvl w:val="1"/>
                <w:numId w:val="9"/>
              </w:numPr>
              <w:spacing w:before="120"/>
              <w:ind w:left="238" w:hanging="238"/>
              <w:jc w:val="both"/>
              <w:rPr>
                <w:sz w:val="26"/>
                <w:szCs w:val="26"/>
              </w:rPr>
            </w:pPr>
            <w:r w:rsidRPr="001F51C3">
              <w:rPr>
                <w:sz w:val="26"/>
                <w:szCs w:val="26"/>
              </w:rPr>
              <w:t>nacionālo stendu organizēšana starptautiskās izstādēs ārvalstīs;</w:t>
            </w:r>
          </w:p>
          <w:p w14:paraId="399B351E" w14:textId="77777777" w:rsidR="009444D1" w:rsidRPr="001F51C3" w:rsidRDefault="009444D1" w:rsidP="000E7D44">
            <w:pPr>
              <w:pStyle w:val="ListParagraph"/>
              <w:numPr>
                <w:ilvl w:val="1"/>
                <w:numId w:val="9"/>
              </w:numPr>
              <w:spacing w:before="120"/>
              <w:ind w:left="238" w:hanging="238"/>
              <w:jc w:val="both"/>
              <w:rPr>
                <w:sz w:val="26"/>
                <w:szCs w:val="26"/>
              </w:rPr>
            </w:pPr>
            <w:r w:rsidRPr="001F51C3">
              <w:rPr>
                <w:rFonts w:eastAsia="Calibri"/>
                <w:sz w:val="26"/>
                <w:szCs w:val="26"/>
              </w:rPr>
              <w:t>uzņēmējdarbības veicināšanas pasākumi:</w:t>
            </w:r>
          </w:p>
          <w:p w14:paraId="12519D1D" w14:textId="15516BBA" w:rsidR="009444D1" w:rsidRPr="001F51C3" w:rsidRDefault="009444D1" w:rsidP="000E7D44">
            <w:pPr>
              <w:pStyle w:val="ListParagraph"/>
              <w:numPr>
                <w:ilvl w:val="2"/>
                <w:numId w:val="3"/>
              </w:numPr>
              <w:spacing w:before="120"/>
              <w:ind w:left="522" w:hanging="284"/>
              <w:jc w:val="both"/>
              <w:rPr>
                <w:sz w:val="26"/>
                <w:szCs w:val="26"/>
              </w:rPr>
            </w:pPr>
            <w:r w:rsidRPr="001F51C3">
              <w:rPr>
                <w:sz w:val="26"/>
                <w:szCs w:val="26"/>
              </w:rPr>
              <w:t>Latvijas ārvalstu ekonomisko pārstāvniecību darbības nodrošināšana;</w:t>
            </w:r>
          </w:p>
          <w:p w14:paraId="60051383" w14:textId="77777777" w:rsidR="009444D1" w:rsidRPr="001F51C3" w:rsidRDefault="009444D1" w:rsidP="000E7D44">
            <w:pPr>
              <w:pStyle w:val="ListParagraph"/>
              <w:numPr>
                <w:ilvl w:val="2"/>
                <w:numId w:val="3"/>
              </w:numPr>
              <w:spacing w:before="120"/>
              <w:ind w:left="522" w:hanging="284"/>
              <w:jc w:val="both"/>
              <w:rPr>
                <w:sz w:val="26"/>
                <w:szCs w:val="26"/>
              </w:rPr>
            </w:pPr>
            <w:r w:rsidRPr="001F51C3">
              <w:rPr>
                <w:sz w:val="26"/>
                <w:szCs w:val="26"/>
              </w:rPr>
              <w:t>uz</w:t>
            </w:r>
            <w:r w:rsidRPr="001F51C3">
              <w:rPr>
                <w:rFonts w:eastAsia="Calibri"/>
                <w:sz w:val="26"/>
                <w:szCs w:val="26"/>
              </w:rPr>
              <w:t>ņēmējdarbības veicināšanas un sagatavošanās ieiešanai jaunos ārējos tirgos pasākumu organizēšana (stendu starptautiskās izstādēs, semināru, konferenču, preses konferenču, tirdzniecības misiju, Latvijas augstu valsts amatpersonu vizīšu un starptautisku mārketinga kampaņu, prezentāciju, degustāciju, iepircēju un žurnālistu vizīšu uz Latviju organizēšana un tirgus pētījumu iegāde) un finansējuma saņēmēja dalība šajos pasākumos;</w:t>
            </w:r>
          </w:p>
          <w:p w14:paraId="3DCA6859" w14:textId="5FBC4C47" w:rsidR="009444D1" w:rsidRPr="001F51C3" w:rsidRDefault="009444D1" w:rsidP="000E7D44">
            <w:pPr>
              <w:pStyle w:val="ListParagraph"/>
              <w:numPr>
                <w:ilvl w:val="2"/>
                <w:numId w:val="3"/>
              </w:numPr>
              <w:tabs>
                <w:tab w:val="left" w:pos="567"/>
              </w:tabs>
              <w:spacing w:before="120"/>
              <w:ind w:left="522" w:hanging="284"/>
              <w:jc w:val="both"/>
              <w:rPr>
                <w:sz w:val="26"/>
                <w:szCs w:val="26"/>
              </w:rPr>
            </w:pPr>
            <w:r w:rsidRPr="001F51C3">
              <w:rPr>
                <w:sz w:val="26"/>
                <w:szCs w:val="26"/>
              </w:rPr>
              <w:t xml:space="preserve">atbalsta nodrošināšana </w:t>
            </w:r>
            <w:r w:rsidR="00F44D17" w:rsidRPr="001F51C3">
              <w:rPr>
                <w:sz w:val="26"/>
                <w:szCs w:val="26"/>
              </w:rPr>
              <w:t>pasākuma mērķa grupai ražotņu un produktu atbilstības novērtēšanai</w:t>
            </w:r>
            <w:r w:rsidRPr="001F51C3">
              <w:rPr>
                <w:sz w:val="26"/>
                <w:szCs w:val="26"/>
              </w:rPr>
              <w:t>;</w:t>
            </w:r>
          </w:p>
          <w:p w14:paraId="1911FD6B" w14:textId="6F8397A8" w:rsidR="009444D1" w:rsidRPr="001F51C3" w:rsidRDefault="009444D1" w:rsidP="000E7D44">
            <w:pPr>
              <w:pStyle w:val="ListParagraph"/>
              <w:numPr>
                <w:ilvl w:val="1"/>
                <w:numId w:val="10"/>
              </w:numPr>
              <w:spacing w:before="120"/>
              <w:ind w:left="380" w:hanging="380"/>
              <w:jc w:val="both"/>
              <w:rPr>
                <w:sz w:val="26"/>
                <w:szCs w:val="26"/>
              </w:rPr>
            </w:pPr>
            <w:r w:rsidRPr="001F51C3">
              <w:rPr>
                <w:rFonts w:eastAsia="Calibri"/>
                <w:sz w:val="26"/>
                <w:szCs w:val="26"/>
              </w:rPr>
              <w:t xml:space="preserve">atbalsta nodrošināšana </w:t>
            </w:r>
            <w:r w:rsidR="00F44D17" w:rsidRPr="001F51C3">
              <w:rPr>
                <w:rFonts w:eastAsia="Calibri"/>
                <w:sz w:val="26"/>
                <w:szCs w:val="26"/>
              </w:rPr>
              <w:t>pasākuma mērķa grupai dalībai starptautiskās izstādēs ar individuālo stendu ārvalstīs un dalībai ar uzņēmējdarbību saistītās individuāli izvēlētās konferencēs un semināros ārvalstīs</w:t>
            </w:r>
            <w:r w:rsidRPr="001F51C3">
              <w:rPr>
                <w:rFonts w:eastAsia="Calibri"/>
                <w:sz w:val="26"/>
                <w:szCs w:val="26"/>
              </w:rPr>
              <w:t>;</w:t>
            </w:r>
          </w:p>
          <w:p w14:paraId="6233B89A" w14:textId="39631873" w:rsidR="009444D1" w:rsidRPr="001F51C3" w:rsidRDefault="009444D1" w:rsidP="000E7D44">
            <w:pPr>
              <w:pStyle w:val="ListParagraph"/>
              <w:numPr>
                <w:ilvl w:val="1"/>
                <w:numId w:val="10"/>
              </w:numPr>
              <w:spacing w:before="120"/>
              <w:ind w:left="380" w:hanging="380"/>
              <w:jc w:val="both"/>
              <w:rPr>
                <w:sz w:val="26"/>
                <w:szCs w:val="26"/>
              </w:rPr>
            </w:pPr>
            <w:r w:rsidRPr="001F51C3">
              <w:rPr>
                <w:sz w:val="26"/>
                <w:szCs w:val="26"/>
              </w:rPr>
              <w:t xml:space="preserve">atbalsta nodrošināšana </w:t>
            </w:r>
            <w:r w:rsidR="00F44D17" w:rsidRPr="001F51C3">
              <w:rPr>
                <w:sz w:val="26"/>
                <w:szCs w:val="26"/>
              </w:rPr>
              <w:t xml:space="preserve">pasākuma mērķa grupai </w:t>
            </w:r>
            <w:r w:rsidRPr="001F51C3">
              <w:rPr>
                <w:sz w:val="26"/>
                <w:szCs w:val="26"/>
              </w:rPr>
              <w:t>dalībai tirdzniecības misijās un Latvijas augstu valsts amatpersonu vizītēs  ārvalstīs;</w:t>
            </w:r>
          </w:p>
          <w:p w14:paraId="753DD7C4" w14:textId="77777777" w:rsidR="009444D1" w:rsidRPr="001F51C3" w:rsidRDefault="009444D1" w:rsidP="000E7D44">
            <w:pPr>
              <w:pStyle w:val="ListParagraph"/>
              <w:numPr>
                <w:ilvl w:val="0"/>
                <w:numId w:val="3"/>
              </w:numPr>
              <w:ind w:left="380" w:hanging="380"/>
              <w:jc w:val="both"/>
              <w:rPr>
                <w:sz w:val="26"/>
                <w:szCs w:val="26"/>
              </w:rPr>
            </w:pPr>
            <w:r w:rsidRPr="001F51C3">
              <w:rPr>
                <w:sz w:val="26"/>
                <w:szCs w:val="26"/>
              </w:rPr>
              <w:t>konsultatīvā atbalsta nodrošināšana pasākuma mērķa grupai;</w:t>
            </w:r>
          </w:p>
          <w:p w14:paraId="608B62A7" w14:textId="77777777" w:rsidR="009444D1" w:rsidRPr="001F51C3" w:rsidRDefault="009444D1" w:rsidP="000E7D44">
            <w:pPr>
              <w:pStyle w:val="ListParagraph"/>
              <w:numPr>
                <w:ilvl w:val="0"/>
                <w:numId w:val="3"/>
              </w:numPr>
              <w:ind w:left="380" w:hanging="380"/>
              <w:jc w:val="both"/>
              <w:rPr>
                <w:sz w:val="26"/>
                <w:szCs w:val="26"/>
              </w:rPr>
            </w:pPr>
            <w:r w:rsidRPr="001F51C3">
              <w:rPr>
                <w:color w:val="000000" w:themeColor="text1"/>
                <w:sz w:val="26"/>
                <w:szCs w:val="26"/>
              </w:rPr>
              <w:t xml:space="preserve">mārketinga aktivitāšu (tajā skaitā reklāmas un mārketinga kampaņu, ārvalstīs reģistrētu komercsabiedrību, kas sniedz tūrisma pakalpojumus, un žurnālistu, </w:t>
            </w:r>
            <w:proofErr w:type="spellStart"/>
            <w:r w:rsidRPr="001F51C3">
              <w:rPr>
                <w:color w:val="000000" w:themeColor="text1"/>
                <w:sz w:val="26"/>
                <w:szCs w:val="26"/>
              </w:rPr>
              <w:t>emuāristu</w:t>
            </w:r>
            <w:proofErr w:type="spellEnd"/>
            <w:r w:rsidRPr="001F51C3">
              <w:rPr>
                <w:color w:val="000000" w:themeColor="text1"/>
                <w:sz w:val="26"/>
                <w:szCs w:val="26"/>
              </w:rPr>
              <w:t xml:space="preserve"> (tīmekļa dienasgrāmatu rakstītāju),</w:t>
            </w:r>
            <w:r w:rsidRPr="001F51C3">
              <w:rPr>
                <w:rFonts w:eastAsia="Calibri"/>
                <w:color w:val="000000" w:themeColor="text1"/>
                <w:sz w:val="26"/>
                <w:szCs w:val="26"/>
              </w:rPr>
              <w:t xml:space="preserve"> </w:t>
            </w:r>
            <w:r w:rsidRPr="001F51C3">
              <w:rPr>
                <w:color w:val="000000" w:themeColor="text1"/>
                <w:sz w:val="26"/>
                <w:szCs w:val="26"/>
              </w:rPr>
              <w:t>korporatīvo un darījumu pasākumu organizētāju  iepazīšanās vizīšu organizēšana, stendu starptautiskās izstādēs organizēšana, ārvalstu tūristu piesaistes pasākumi Latvijas novados) organizēšana Latvijā un ārvalstīs,</w:t>
            </w:r>
            <w:r w:rsidRPr="001F51C3">
              <w:rPr>
                <w:sz w:val="26"/>
                <w:szCs w:val="26"/>
              </w:rPr>
              <w:t xml:space="preserve"> </w:t>
            </w:r>
            <w:r w:rsidRPr="001F51C3">
              <w:rPr>
                <w:color w:val="000000" w:themeColor="text1"/>
                <w:sz w:val="26"/>
                <w:szCs w:val="26"/>
              </w:rPr>
              <w:t>dalība starptautiskās tūrisma izstādēs ārvalstīs, mārketinga pētījumu un darījumu, labsajūtas tūrisma veicināšanas un citu pasākumu organizēšana ārvalstu tūristu piesaistei, un finansējuma saņēmēja dalība šajos pasākumos;</w:t>
            </w:r>
          </w:p>
          <w:p w14:paraId="5E548299" w14:textId="309DF3E7" w:rsidR="009444D1" w:rsidRPr="001F51C3" w:rsidRDefault="009444D1" w:rsidP="000E7D44">
            <w:pPr>
              <w:numPr>
                <w:ilvl w:val="0"/>
                <w:numId w:val="12"/>
              </w:numPr>
              <w:spacing w:before="120" w:after="120"/>
              <w:ind w:left="380" w:hanging="380"/>
              <w:jc w:val="both"/>
              <w:rPr>
                <w:sz w:val="26"/>
                <w:szCs w:val="26"/>
              </w:rPr>
            </w:pPr>
            <w:r w:rsidRPr="001F51C3">
              <w:rPr>
                <w:color w:val="000000" w:themeColor="text1"/>
                <w:sz w:val="26"/>
                <w:szCs w:val="26"/>
              </w:rPr>
              <w:t xml:space="preserve">atbalsta nodrošināšana </w:t>
            </w:r>
            <w:r w:rsidR="00F44D17" w:rsidRPr="001F51C3">
              <w:rPr>
                <w:color w:val="000000" w:themeColor="text1"/>
                <w:sz w:val="26"/>
                <w:szCs w:val="26"/>
              </w:rPr>
              <w:t>pasākuma mērķa grupai dalībai tūrisma izstādēs ar individuālo stendu ārvalstīs un dalībai ar tūrismu saistītās individuāli izvēlētās konferencēs un semināros ārvalstīs;</w:t>
            </w:r>
          </w:p>
          <w:p w14:paraId="36A2B372" w14:textId="64CD7886" w:rsidR="00F44D17" w:rsidRPr="001F51C3" w:rsidRDefault="00F44D17" w:rsidP="000E7D44">
            <w:pPr>
              <w:pStyle w:val="ListParagraph"/>
              <w:numPr>
                <w:ilvl w:val="0"/>
                <w:numId w:val="12"/>
              </w:numPr>
              <w:ind w:left="380" w:hanging="380"/>
              <w:rPr>
                <w:rFonts w:eastAsia="Calibri"/>
                <w:sz w:val="26"/>
                <w:szCs w:val="26"/>
              </w:rPr>
            </w:pPr>
            <w:r w:rsidRPr="001F51C3">
              <w:rPr>
                <w:rFonts w:eastAsia="Calibri"/>
                <w:sz w:val="26"/>
                <w:szCs w:val="26"/>
              </w:rPr>
              <w:t>projekta vadības un  īstenošanas nodrošināšana.</w:t>
            </w:r>
          </w:p>
          <w:p w14:paraId="34784875" w14:textId="1F25C8AB" w:rsidR="00DE69EB" w:rsidRPr="001F51C3" w:rsidRDefault="00DE69EB" w:rsidP="000E7D44">
            <w:pPr>
              <w:spacing w:before="120" w:after="120"/>
              <w:jc w:val="both"/>
              <w:rPr>
                <w:sz w:val="26"/>
                <w:szCs w:val="26"/>
              </w:rPr>
            </w:pPr>
            <w:r w:rsidRPr="001F51C3">
              <w:rPr>
                <w:sz w:val="26"/>
                <w:szCs w:val="26"/>
              </w:rPr>
              <w:t>3.2.1.2.pasākuma ietvaros</w:t>
            </w:r>
            <w:r w:rsidR="00635B64" w:rsidRPr="001F51C3">
              <w:rPr>
                <w:sz w:val="26"/>
                <w:szCs w:val="26"/>
              </w:rPr>
              <w:t>, kā iepriekš minēts,</w:t>
            </w:r>
            <w:r w:rsidRPr="001F51C3">
              <w:rPr>
                <w:sz w:val="26"/>
                <w:szCs w:val="26"/>
              </w:rPr>
              <w:t xml:space="preserve"> ir plānots nodrošināt Latvijas ārvalstu ekonomisko pārstāvniecību </w:t>
            </w:r>
            <w:r w:rsidR="00981136" w:rsidRPr="001F51C3">
              <w:rPr>
                <w:sz w:val="26"/>
                <w:szCs w:val="26"/>
              </w:rPr>
              <w:t xml:space="preserve">(Singapūras Republikā, Ķīnas Tautas Republikā (Šanhajā), Apvienotajos Arābu Emirātos, Kazahstānas Republikā un Azerbaidžānas Republikā) darbību, </w:t>
            </w:r>
            <w:r w:rsidRPr="001F51C3">
              <w:rPr>
                <w:sz w:val="26"/>
                <w:szCs w:val="26"/>
              </w:rPr>
              <w:t>tādējādi veicinot potenciālo ārējo noieta tirgu izpēti</w:t>
            </w:r>
            <w:r w:rsidR="00783F13" w:rsidRPr="001F51C3">
              <w:rPr>
                <w:sz w:val="26"/>
                <w:szCs w:val="26"/>
              </w:rPr>
              <w:t>.</w:t>
            </w:r>
            <w:r w:rsidR="00981136" w:rsidRPr="001F51C3">
              <w:rPr>
                <w:sz w:val="26"/>
                <w:szCs w:val="26"/>
              </w:rPr>
              <w:t xml:space="preserve"> </w:t>
            </w:r>
          </w:p>
          <w:p w14:paraId="157648C0" w14:textId="3D29466C" w:rsidR="0071540E" w:rsidRPr="001F51C3" w:rsidRDefault="006A34FF" w:rsidP="000E7D44">
            <w:pPr>
              <w:spacing w:before="120" w:after="120"/>
              <w:jc w:val="both"/>
              <w:rPr>
                <w:sz w:val="26"/>
                <w:szCs w:val="26"/>
              </w:rPr>
            </w:pPr>
            <w:r w:rsidRPr="001F51C3">
              <w:rPr>
                <w:sz w:val="26"/>
                <w:szCs w:val="26"/>
              </w:rPr>
              <w:t>3.2.1.2.</w:t>
            </w:r>
            <w:r w:rsidR="00683DB6" w:rsidRPr="001F51C3">
              <w:rPr>
                <w:sz w:val="26"/>
                <w:szCs w:val="26"/>
              </w:rPr>
              <w:t xml:space="preserve"> </w:t>
            </w:r>
            <w:r w:rsidRPr="001F51C3">
              <w:rPr>
                <w:sz w:val="26"/>
                <w:szCs w:val="26"/>
              </w:rPr>
              <w:t>pasākumā salīdzinot ar 2.3.1.</w:t>
            </w:r>
            <w:r w:rsidR="00635B64" w:rsidRPr="001F51C3">
              <w:rPr>
                <w:sz w:val="26"/>
                <w:szCs w:val="26"/>
              </w:rPr>
              <w:t xml:space="preserve">1.2.apakšaktivitāti atbalstāmās </w:t>
            </w:r>
            <w:r w:rsidR="003641D7" w:rsidRPr="001F51C3">
              <w:rPr>
                <w:sz w:val="26"/>
                <w:szCs w:val="26"/>
              </w:rPr>
              <w:t>darbībās ir definētas šaurākas nišas ieguldījumam tūrisma jomā, paredzot veicināt</w:t>
            </w:r>
            <w:r w:rsidR="00E32D0B" w:rsidRPr="001F51C3">
              <w:rPr>
                <w:sz w:val="26"/>
                <w:szCs w:val="26"/>
              </w:rPr>
              <w:t xml:space="preserve"> Latvijas kā tūrisma galamērķa starptautisko konkurētspēju prioritārajos tūrisma sektoros (darījumu un pasākumu tūrisms, labsajūtas tūrisms)</w:t>
            </w:r>
            <w:r w:rsidR="0071540E" w:rsidRPr="001F51C3">
              <w:rPr>
                <w:sz w:val="26"/>
                <w:szCs w:val="26"/>
              </w:rPr>
              <w:t xml:space="preserve">, atbalstāmās darbības tāpat kā </w:t>
            </w:r>
            <w:r w:rsidR="00635B64" w:rsidRPr="001F51C3">
              <w:rPr>
                <w:sz w:val="26"/>
                <w:szCs w:val="26"/>
              </w:rPr>
              <w:t>īstenojot 2.3.1.1.2.apakšaktivitāti,</w:t>
            </w:r>
            <w:r w:rsidR="0071540E" w:rsidRPr="001F51C3">
              <w:rPr>
                <w:sz w:val="26"/>
                <w:szCs w:val="26"/>
              </w:rPr>
              <w:t xml:space="preserve"> tiek segmentētas arī pa mērķa tirgiem</w:t>
            </w:r>
            <w:r w:rsidR="00783F13" w:rsidRPr="001F51C3">
              <w:rPr>
                <w:sz w:val="26"/>
                <w:szCs w:val="26"/>
              </w:rPr>
              <w:t>.</w:t>
            </w:r>
            <w:r w:rsidR="0071540E" w:rsidRPr="001F51C3">
              <w:rPr>
                <w:sz w:val="26"/>
                <w:szCs w:val="26"/>
              </w:rPr>
              <w:t xml:space="preserve"> </w:t>
            </w:r>
          </w:p>
          <w:p w14:paraId="3333FFD3" w14:textId="737F7353" w:rsidR="006A34FF" w:rsidRPr="001F51C3" w:rsidRDefault="0071540E" w:rsidP="00893AC8">
            <w:pPr>
              <w:spacing w:before="120" w:after="120"/>
              <w:jc w:val="both"/>
              <w:rPr>
                <w:sz w:val="26"/>
                <w:szCs w:val="26"/>
              </w:rPr>
            </w:pPr>
            <w:r w:rsidRPr="001F51C3">
              <w:rPr>
                <w:sz w:val="26"/>
                <w:szCs w:val="26"/>
              </w:rPr>
              <w:t>B</w:t>
            </w:r>
            <w:r w:rsidR="006A34FF" w:rsidRPr="001F51C3">
              <w:rPr>
                <w:sz w:val="26"/>
                <w:szCs w:val="26"/>
              </w:rPr>
              <w:t xml:space="preserve">ūtiski ir atbalstīt tādu nacionālā līmeņa tūristu piesaistes objektu ar augstu komerciālo potenciālu un </w:t>
            </w:r>
            <w:proofErr w:type="spellStart"/>
            <w:r w:rsidR="006A34FF" w:rsidRPr="001F51C3">
              <w:rPr>
                <w:sz w:val="26"/>
                <w:szCs w:val="26"/>
              </w:rPr>
              <w:t>pelnītspēju</w:t>
            </w:r>
            <w:proofErr w:type="spellEnd"/>
            <w:r w:rsidR="006A34FF" w:rsidRPr="001F51C3">
              <w:rPr>
                <w:sz w:val="26"/>
                <w:szCs w:val="26"/>
              </w:rPr>
              <w:t xml:space="preserve"> attīstību, kas iekļaujas Latvijas tūrisma attīstības pamatnostādnēs 2014. - 2020. gadam definētajos atbalstāmajos tūrisma produktos, lai veicinātu Latvijas tūrisma piedāvājuma konkurētspējas uzlabošanu – uzturēšanās ilguma palielināšanos un tūrisma sezonalitātes mazināšanos.  Līdz ar to, ņemot vērā vairākus kritērijus (tajā skaitā Eiropas ceļotāja profila izmaiņas (novecošana, pastiprinātas prasības pret autentiskumu, vidi u.c.), augsts pieprasījums, </w:t>
            </w:r>
            <w:proofErr w:type="spellStart"/>
            <w:r w:rsidR="006A34FF" w:rsidRPr="001F51C3">
              <w:rPr>
                <w:sz w:val="26"/>
                <w:szCs w:val="26"/>
              </w:rPr>
              <w:t>ārpussezonas</w:t>
            </w:r>
            <w:proofErr w:type="spellEnd"/>
            <w:r w:rsidR="006A34FF" w:rsidRPr="001F51C3">
              <w:rPr>
                <w:sz w:val="26"/>
                <w:szCs w:val="26"/>
              </w:rPr>
              <w:t xml:space="preserve"> raksturs, lielākais ienesīgums, ilgākā uzturēšanās, esošie resursi), tūrisma konkurētspējas attīstībai definēto mērķu sasniegšanai viens no veicinošākajiem līdzekļiem ir attīstīt darījumu un pasākumu tūrismu</w:t>
            </w:r>
            <w:r w:rsidR="003641D7" w:rsidRPr="001F51C3">
              <w:rPr>
                <w:sz w:val="26"/>
                <w:szCs w:val="26"/>
              </w:rPr>
              <w:t>, kā arī labsajūtas tūrismu</w:t>
            </w:r>
            <w:r w:rsidR="006A34FF" w:rsidRPr="001F51C3">
              <w:rPr>
                <w:sz w:val="26"/>
                <w:szCs w:val="26"/>
              </w:rPr>
              <w:t xml:space="preserve">. Pēc iegādāto tūrisma pakalpojumu apjoma darījumu un pasākumu tūrisma veida ceļotāji ir ienesīgākie, tāpēc ieguldītais finansējums atmaksāsies īsākā laika periodā. Līdz ar to, atbalstāmās darbības ir jāpapildina ar atbalstu darījumu tūrismam un pasākumu mārketingam. </w:t>
            </w:r>
          </w:p>
          <w:p w14:paraId="32753C1F" w14:textId="204B8C8F" w:rsidR="00C563D9" w:rsidRPr="001F51C3" w:rsidRDefault="006A34FF" w:rsidP="000E7D44">
            <w:pPr>
              <w:autoSpaceDE w:val="0"/>
              <w:autoSpaceDN w:val="0"/>
              <w:spacing w:after="120"/>
              <w:jc w:val="both"/>
              <w:rPr>
                <w:sz w:val="26"/>
                <w:szCs w:val="26"/>
              </w:rPr>
            </w:pPr>
            <w:r w:rsidRPr="001F51C3">
              <w:rPr>
                <w:b/>
                <w:sz w:val="26"/>
                <w:szCs w:val="26"/>
              </w:rPr>
              <w:t xml:space="preserve">3.2.1.2.pasākuma īstenošanai pieejamais </w:t>
            </w:r>
            <w:r w:rsidR="002D70B9" w:rsidRPr="001F51C3">
              <w:rPr>
                <w:b/>
                <w:sz w:val="27"/>
                <w:szCs w:val="27"/>
              </w:rPr>
              <w:t xml:space="preserve">attiecināmais finansējums ir 60 944 588 </w:t>
            </w:r>
            <w:proofErr w:type="spellStart"/>
            <w:r w:rsidR="002D70B9" w:rsidRPr="001F51C3">
              <w:rPr>
                <w:b/>
                <w:i/>
                <w:sz w:val="27"/>
                <w:szCs w:val="27"/>
              </w:rPr>
              <w:t>euro</w:t>
            </w:r>
            <w:proofErr w:type="spellEnd"/>
            <w:r w:rsidR="002D70B9" w:rsidRPr="001F51C3">
              <w:rPr>
                <w:i/>
                <w:sz w:val="27"/>
                <w:szCs w:val="27"/>
              </w:rPr>
              <w:t>,</w:t>
            </w:r>
            <w:r w:rsidR="002D70B9" w:rsidRPr="001F51C3">
              <w:rPr>
                <w:sz w:val="27"/>
                <w:szCs w:val="27"/>
              </w:rPr>
              <w:t xml:space="preserve"> tai skaitā Eiropas reģionālā </w:t>
            </w:r>
            <w:proofErr w:type="spellStart"/>
            <w:r w:rsidR="002D70B9" w:rsidRPr="001F51C3">
              <w:rPr>
                <w:sz w:val="27"/>
                <w:szCs w:val="27"/>
              </w:rPr>
              <w:t>attistības</w:t>
            </w:r>
            <w:proofErr w:type="spellEnd"/>
            <w:r w:rsidR="002D70B9" w:rsidRPr="001F51C3">
              <w:rPr>
                <w:sz w:val="27"/>
                <w:szCs w:val="27"/>
              </w:rPr>
              <w:t xml:space="preserve"> fonda (turpmāk - ERAF) finansējums – 51 802 900</w:t>
            </w:r>
            <w:r w:rsidR="002D70B9" w:rsidRPr="001F51C3">
              <w:rPr>
                <w:i/>
                <w:sz w:val="27"/>
                <w:szCs w:val="27"/>
              </w:rPr>
              <w:t xml:space="preserve"> </w:t>
            </w:r>
            <w:proofErr w:type="spellStart"/>
            <w:r w:rsidR="002D70B9" w:rsidRPr="001F51C3">
              <w:rPr>
                <w:i/>
                <w:sz w:val="27"/>
                <w:szCs w:val="27"/>
              </w:rPr>
              <w:t>euro</w:t>
            </w:r>
            <w:proofErr w:type="spellEnd"/>
            <w:r w:rsidR="002D70B9" w:rsidRPr="001F51C3">
              <w:rPr>
                <w:sz w:val="27"/>
                <w:szCs w:val="27"/>
              </w:rPr>
              <w:t xml:space="preserve">, valsts budžeta finansējums – 4 024 041 </w:t>
            </w:r>
            <w:proofErr w:type="spellStart"/>
            <w:r w:rsidR="002D70B9" w:rsidRPr="001F51C3">
              <w:rPr>
                <w:i/>
                <w:sz w:val="27"/>
                <w:szCs w:val="27"/>
              </w:rPr>
              <w:t>euro</w:t>
            </w:r>
            <w:proofErr w:type="spellEnd"/>
            <w:r w:rsidR="002D70B9" w:rsidRPr="001F51C3">
              <w:rPr>
                <w:sz w:val="27"/>
                <w:szCs w:val="27"/>
              </w:rPr>
              <w:t xml:space="preserve"> un privātais un pašvaldību</w:t>
            </w:r>
            <w:r w:rsidR="00F72102" w:rsidRPr="001F51C3">
              <w:rPr>
                <w:sz w:val="27"/>
                <w:szCs w:val="27"/>
              </w:rPr>
              <w:t xml:space="preserve">, plānošanas reģionu </w:t>
            </w:r>
            <w:r w:rsidR="002D70B9" w:rsidRPr="001F51C3">
              <w:rPr>
                <w:sz w:val="27"/>
                <w:szCs w:val="27"/>
              </w:rPr>
              <w:t xml:space="preserve"> līdzfinansējums – 5 117 647 </w:t>
            </w:r>
            <w:proofErr w:type="spellStart"/>
            <w:r w:rsidR="002D70B9" w:rsidRPr="001F51C3">
              <w:rPr>
                <w:i/>
                <w:sz w:val="27"/>
                <w:szCs w:val="27"/>
              </w:rPr>
              <w:t>euro</w:t>
            </w:r>
            <w:proofErr w:type="spellEnd"/>
            <w:r w:rsidR="002D70B9" w:rsidRPr="001F51C3">
              <w:rPr>
                <w:sz w:val="27"/>
                <w:szCs w:val="27"/>
              </w:rPr>
              <w:t>. Projekta iesniegumos pasākumu īstenošanai kopējo attiecināmo finansēju</w:t>
            </w:r>
            <w:r w:rsidR="00F72102" w:rsidRPr="001F51C3">
              <w:rPr>
                <w:sz w:val="27"/>
                <w:szCs w:val="27"/>
              </w:rPr>
              <w:t xml:space="preserve">mu plāno ne vairāk kā </w:t>
            </w:r>
            <w:r w:rsidR="004659A0" w:rsidRPr="001F51C3">
              <w:rPr>
                <w:sz w:val="27"/>
                <w:szCs w:val="27"/>
              </w:rPr>
              <w:t>57 227 153</w:t>
            </w:r>
            <w:r w:rsidR="002D70B9" w:rsidRPr="001F51C3">
              <w:rPr>
                <w:sz w:val="27"/>
                <w:szCs w:val="27"/>
              </w:rPr>
              <w:t xml:space="preserve"> </w:t>
            </w:r>
            <w:proofErr w:type="spellStart"/>
            <w:r w:rsidR="002D70B9" w:rsidRPr="001F51C3">
              <w:rPr>
                <w:i/>
                <w:sz w:val="27"/>
                <w:szCs w:val="27"/>
              </w:rPr>
              <w:t>euro</w:t>
            </w:r>
            <w:proofErr w:type="spellEnd"/>
            <w:r w:rsidR="002D70B9" w:rsidRPr="001F51C3">
              <w:rPr>
                <w:sz w:val="27"/>
                <w:szCs w:val="27"/>
              </w:rPr>
              <w:t xml:space="preserve"> apmērā, tai skaitā ERAF finansējumu – 48 643 079 </w:t>
            </w:r>
            <w:proofErr w:type="spellStart"/>
            <w:r w:rsidR="002D70B9" w:rsidRPr="001F51C3">
              <w:rPr>
                <w:i/>
                <w:sz w:val="27"/>
                <w:szCs w:val="27"/>
              </w:rPr>
              <w:t>euro</w:t>
            </w:r>
            <w:proofErr w:type="spellEnd"/>
            <w:r w:rsidR="002D70B9" w:rsidRPr="001F51C3">
              <w:rPr>
                <w:sz w:val="27"/>
                <w:szCs w:val="27"/>
              </w:rPr>
              <w:t xml:space="preserve"> (rezerves apjoms ir 3 159 821</w:t>
            </w:r>
            <w:r w:rsidR="002D70B9" w:rsidRPr="001F51C3">
              <w:rPr>
                <w:i/>
                <w:sz w:val="27"/>
                <w:szCs w:val="27"/>
              </w:rPr>
              <w:t xml:space="preserve"> </w:t>
            </w:r>
            <w:proofErr w:type="spellStart"/>
            <w:r w:rsidR="002D70B9" w:rsidRPr="001F51C3">
              <w:rPr>
                <w:i/>
                <w:sz w:val="27"/>
                <w:szCs w:val="27"/>
              </w:rPr>
              <w:t>euro</w:t>
            </w:r>
            <w:proofErr w:type="spellEnd"/>
            <w:r w:rsidR="002D70B9" w:rsidRPr="001F51C3">
              <w:rPr>
                <w:sz w:val="27"/>
                <w:szCs w:val="27"/>
              </w:rPr>
              <w:t xml:space="preserve">) apmērā, valsts budžeta finansējumu – 3 778 594 </w:t>
            </w:r>
            <w:proofErr w:type="spellStart"/>
            <w:r w:rsidR="002D70B9" w:rsidRPr="001F51C3">
              <w:rPr>
                <w:i/>
                <w:sz w:val="27"/>
                <w:szCs w:val="27"/>
              </w:rPr>
              <w:t>euro</w:t>
            </w:r>
            <w:proofErr w:type="spellEnd"/>
            <w:r w:rsidR="002D70B9" w:rsidRPr="001F51C3">
              <w:rPr>
                <w:sz w:val="27"/>
                <w:szCs w:val="27"/>
              </w:rPr>
              <w:t xml:space="preserve"> (rezerves apjoms ir 245 447 </w:t>
            </w:r>
            <w:proofErr w:type="spellStart"/>
            <w:r w:rsidR="002D70B9" w:rsidRPr="001F51C3">
              <w:rPr>
                <w:i/>
                <w:sz w:val="27"/>
                <w:szCs w:val="27"/>
              </w:rPr>
              <w:t>euro</w:t>
            </w:r>
            <w:proofErr w:type="spellEnd"/>
            <w:r w:rsidR="002D70B9" w:rsidRPr="001F51C3">
              <w:rPr>
                <w:sz w:val="27"/>
                <w:szCs w:val="27"/>
              </w:rPr>
              <w:t>) apmērā un privāto un pašvaldību</w:t>
            </w:r>
            <w:r w:rsidR="00F72102" w:rsidRPr="001F51C3">
              <w:rPr>
                <w:sz w:val="27"/>
                <w:szCs w:val="27"/>
              </w:rPr>
              <w:t>, plānošanas reģionu līdzfinansējumu – 4 805</w:t>
            </w:r>
            <w:r w:rsidR="002D70B9" w:rsidRPr="001F51C3">
              <w:rPr>
                <w:sz w:val="27"/>
                <w:szCs w:val="27"/>
              </w:rPr>
              <w:t xml:space="preserve"> 4</w:t>
            </w:r>
            <w:r w:rsidR="00F72102" w:rsidRPr="001F51C3">
              <w:rPr>
                <w:sz w:val="27"/>
                <w:szCs w:val="27"/>
              </w:rPr>
              <w:t>80</w:t>
            </w:r>
            <w:r w:rsidR="002D70B9" w:rsidRPr="001F51C3">
              <w:rPr>
                <w:sz w:val="27"/>
                <w:szCs w:val="27"/>
              </w:rPr>
              <w:t xml:space="preserve"> </w:t>
            </w:r>
            <w:proofErr w:type="spellStart"/>
            <w:r w:rsidR="002D70B9" w:rsidRPr="001F51C3">
              <w:rPr>
                <w:i/>
                <w:sz w:val="27"/>
                <w:szCs w:val="27"/>
              </w:rPr>
              <w:t>euro</w:t>
            </w:r>
            <w:proofErr w:type="spellEnd"/>
            <w:r w:rsidR="001C534C" w:rsidRPr="001F51C3">
              <w:rPr>
                <w:sz w:val="27"/>
                <w:szCs w:val="27"/>
              </w:rPr>
              <w:t xml:space="preserve"> (rezerves apjoms ir 312 167</w:t>
            </w:r>
            <w:r w:rsidR="002D70B9" w:rsidRPr="001F51C3">
              <w:rPr>
                <w:sz w:val="27"/>
                <w:szCs w:val="27"/>
              </w:rPr>
              <w:t xml:space="preserve"> </w:t>
            </w:r>
            <w:proofErr w:type="spellStart"/>
            <w:r w:rsidR="002D70B9" w:rsidRPr="001F51C3">
              <w:rPr>
                <w:i/>
                <w:sz w:val="27"/>
                <w:szCs w:val="27"/>
              </w:rPr>
              <w:t>euro</w:t>
            </w:r>
            <w:proofErr w:type="spellEnd"/>
            <w:r w:rsidR="002D70B9" w:rsidRPr="001F51C3">
              <w:rPr>
                <w:sz w:val="27"/>
                <w:szCs w:val="27"/>
              </w:rPr>
              <w:t xml:space="preserve">) apmērā. </w:t>
            </w:r>
            <w:r w:rsidR="008F652C" w:rsidRPr="001F51C3">
              <w:rPr>
                <w:sz w:val="26"/>
                <w:szCs w:val="26"/>
              </w:rPr>
              <w:t>Maksimālais attiecināmais ERAF finansējuma apmērs nepārsniedz 85 procentus no projekta kopējā attiecināmā finansējuma.</w:t>
            </w:r>
          </w:p>
          <w:p w14:paraId="295163FA" w14:textId="4E0F4331" w:rsidR="00C563D9" w:rsidRPr="001F51C3" w:rsidRDefault="00C563D9" w:rsidP="000E7D44">
            <w:pPr>
              <w:autoSpaceDE w:val="0"/>
              <w:autoSpaceDN w:val="0"/>
              <w:spacing w:after="120"/>
              <w:jc w:val="both"/>
              <w:rPr>
                <w:sz w:val="26"/>
                <w:szCs w:val="26"/>
              </w:rPr>
            </w:pPr>
            <w:r w:rsidRPr="001F51C3">
              <w:rPr>
                <w:sz w:val="26"/>
                <w:szCs w:val="26"/>
              </w:rPr>
              <w:t>Projektu iesniegumu pieņemšanas atlasi plānots izsludināt vienu reizi par visu 3.2.1.2.pasākumam pieejamo finansējumu.</w:t>
            </w:r>
          </w:p>
          <w:p w14:paraId="758D2D94" w14:textId="3A9193BB" w:rsidR="006A34FF" w:rsidRPr="001F51C3" w:rsidRDefault="00C563D9" w:rsidP="000E7D44">
            <w:pPr>
              <w:autoSpaceDE w:val="0"/>
              <w:autoSpaceDN w:val="0"/>
              <w:spacing w:after="120"/>
              <w:jc w:val="both"/>
              <w:rPr>
                <w:sz w:val="26"/>
                <w:szCs w:val="26"/>
              </w:rPr>
            </w:pPr>
            <w:r w:rsidRPr="001F51C3">
              <w:rPr>
                <w:sz w:val="26"/>
                <w:szCs w:val="26"/>
              </w:rPr>
              <w:t xml:space="preserve">Ierobežotā iesniegumu projektu atlasē projekta iesniedzēji (finansējuma saņēmēji) </w:t>
            </w:r>
            <w:r w:rsidR="006A34FF" w:rsidRPr="001F51C3">
              <w:rPr>
                <w:sz w:val="26"/>
                <w:szCs w:val="26"/>
              </w:rPr>
              <w:t>3.2.1.2.pasākuma ietvaros ir tiešās pārvaldes iestāde, kuras darbības mērķis ir sekmēt Latvijas uzņēmumu konkurētspēju un eksportspēju starptautiskajos tirgos, kā arī veicināt ārvalstu investīciju apjoma pieaugumu – Latvijas Investīciju un attīstības aģentūra (turpmāk – LIAA) un tiešās pārvaldes iestāde, kuras darbības mērķis ir īstenot tūrisma attīstības valsts politiku – Tūrisma attīstības valsts aģentūra (turpmāk – TAVA).</w:t>
            </w:r>
          </w:p>
          <w:p w14:paraId="5D4CD798" w14:textId="561D1939" w:rsidR="002D70B9" w:rsidRPr="001F51C3" w:rsidRDefault="002D70B9" w:rsidP="000E7D44">
            <w:pPr>
              <w:autoSpaceDE w:val="0"/>
              <w:autoSpaceDN w:val="0"/>
              <w:spacing w:after="120"/>
              <w:jc w:val="both"/>
              <w:rPr>
                <w:sz w:val="26"/>
                <w:szCs w:val="26"/>
              </w:rPr>
            </w:pPr>
            <w:r w:rsidRPr="001F51C3">
              <w:rPr>
                <w:sz w:val="26"/>
                <w:szCs w:val="26"/>
              </w:rPr>
              <w:t>TAVA un LIAAA apvienošanās gadījumā (ja TAVA tiek pievienota LIAA), LIAA būs TAVA tiesību un saistību pārņēmēja 3.2.1.2. pasākuma ietvaros. Tātad, ja TAVA 3.2.1.2.pasākuma ietvaros  iesniegs projektu CFLA un uzsāks tā īstenošanu, tad pēc apvienošanas LIAA turpinās TAVA projekta īstenošanu. Pie tam, 3.2.1.2.pasākumā nav minēta konkrēta</w:t>
            </w:r>
            <w:r w:rsidR="002F7444" w:rsidRPr="001F51C3">
              <w:rPr>
                <w:sz w:val="26"/>
                <w:szCs w:val="26"/>
              </w:rPr>
              <w:t xml:space="preserve"> tiešās pārvaldes iestāde</w:t>
            </w:r>
            <w:r w:rsidRPr="001F51C3">
              <w:rPr>
                <w:sz w:val="26"/>
                <w:szCs w:val="26"/>
              </w:rPr>
              <w:t xml:space="preserve">, bet iestādes </w:t>
            </w:r>
            <w:r w:rsidR="002F7444" w:rsidRPr="001F51C3">
              <w:rPr>
                <w:sz w:val="26"/>
                <w:szCs w:val="26"/>
              </w:rPr>
              <w:t>mērķis.</w:t>
            </w:r>
            <w:r w:rsidRPr="001F51C3">
              <w:rPr>
                <w:sz w:val="26"/>
                <w:szCs w:val="26"/>
              </w:rPr>
              <w:t xml:space="preserve"> </w:t>
            </w:r>
          </w:p>
          <w:p w14:paraId="441A89F7" w14:textId="50FF4238" w:rsidR="003641D7" w:rsidRPr="001F51C3" w:rsidRDefault="006A34FF" w:rsidP="005705A5">
            <w:pPr>
              <w:autoSpaceDE w:val="0"/>
              <w:autoSpaceDN w:val="0"/>
              <w:spacing w:after="120"/>
              <w:jc w:val="both"/>
              <w:rPr>
                <w:sz w:val="26"/>
                <w:szCs w:val="26"/>
              </w:rPr>
            </w:pPr>
            <w:r w:rsidRPr="001F51C3">
              <w:rPr>
                <w:sz w:val="26"/>
                <w:szCs w:val="26"/>
              </w:rPr>
              <w:t>Pieejamais finansējums 3.2.1.2.pasākuma īstenošanai</w:t>
            </w:r>
            <w:r w:rsidRPr="001F51C3">
              <w:rPr>
                <w:b/>
                <w:sz w:val="26"/>
                <w:szCs w:val="26"/>
              </w:rPr>
              <w:t xml:space="preserve"> </w:t>
            </w:r>
            <w:r w:rsidR="003641D7" w:rsidRPr="001F51C3">
              <w:rPr>
                <w:b/>
                <w:sz w:val="26"/>
                <w:szCs w:val="26"/>
              </w:rPr>
              <w:t>LIAA</w:t>
            </w:r>
            <w:r w:rsidR="005705A5" w:rsidRPr="001F51C3">
              <w:rPr>
                <w:b/>
                <w:sz w:val="26"/>
                <w:szCs w:val="26"/>
              </w:rPr>
              <w:t xml:space="preserve"> ir</w:t>
            </w:r>
            <w:r w:rsidR="003641D7" w:rsidRPr="001F51C3">
              <w:rPr>
                <w:b/>
                <w:sz w:val="26"/>
                <w:szCs w:val="26"/>
              </w:rPr>
              <w:t xml:space="preserve"> </w:t>
            </w:r>
            <w:r w:rsidR="004659A0" w:rsidRPr="001F51C3">
              <w:rPr>
                <w:b/>
                <w:sz w:val="26"/>
                <w:szCs w:val="26"/>
              </w:rPr>
              <w:t>36 268 775</w:t>
            </w:r>
            <w:r w:rsidR="003C4187" w:rsidRPr="001F51C3">
              <w:rPr>
                <w:b/>
                <w:sz w:val="26"/>
                <w:szCs w:val="26"/>
              </w:rPr>
              <w:t xml:space="preserve"> </w:t>
            </w:r>
            <w:proofErr w:type="spellStart"/>
            <w:r w:rsidR="003C4187" w:rsidRPr="001F51C3">
              <w:rPr>
                <w:b/>
                <w:i/>
                <w:sz w:val="26"/>
                <w:szCs w:val="26"/>
              </w:rPr>
              <w:t>euro</w:t>
            </w:r>
            <w:proofErr w:type="spellEnd"/>
            <w:r w:rsidR="003C4187" w:rsidRPr="001F51C3">
              <w:rPr>
                <w:sz w:val="26"/>
                <w:szCs w:val="26"/>
              </w:rPr>
              <w:t xml:space="preserve">, tajā skaitā ERAF finansējums ir 30 828 458 </w:t>
            </w:r>
            <w:proofErr w:type="spellStart"/>
            <w:r w:rsidR="003C4187" w:rsidRPr="001F51C3">
              <w:rPr>
                <w:i/>
                <w:sz w:val="26"/>
                <w:szCs w:val="26"/>
              </w:rPr>
              <w:t>euro</w:t>
            </w:r>
            <w:proofErr w:type="spellEnd"/>
            <w:r w:rsidR="003C4187" w:rsidRPr="001F51C3">
              <w:rPr>
                <w:sz w:val="26"/>
                <w:szCs w:val="26"/>
              </w:rPr>
              <w:t xml:space="preserve">, valsts budžeta finansējums ir 1 593 215 </w:t>
            </w:r>
            <w:proofErr w:type="spellStart"/>
            <w:r w:rsidR="003C4187" w:rsidRPr="001F51C3">
              <w:rPr>
                <w:i/>
                <w:sz w:val="26"/>
                <w:szCs w:val="26"/>
              </w:rPr>
              <w:t>euro</w:t>
            </w:r>
            <w:proofErr w:type="spellEnd"/>
            <w:r w:rsidR="003C4187" w:rsidRPr="001F51C3">
              <w:rPr>
                <w:i/>
                <w:sz w:val="26"/>
                <w:szCs w:val="26"/>
              </w:rPr>
              <w:t xml:space="preserve"> </w:t>
            </w:r>
            <w:r w:rsidR="003C4187" w:rsidRPr="001F51C3">
              <w:rPr>
                <w:sz w:val="26"/>
                <w:szCs w:val="26"/>
              </w:rPr>
              <w:t>un privātais un pašvaldību</w:t>
            </w:r>
            <w:r w:rsidR="001C534C" w:rsidRPr="001F51C3">
              <w:rPr>
                <w:sz w:val="26"/>
                <w:szCs w:val="26"/>
              </w:rPr>
              <w:t>, plānošanas reģionu līdzfinansējums ir 3 847 102</w:t>
            </w:r>
            <w:r w:rsidR="003C4187" w:rsidRPr="001F51C3">
              <w:rPr>
                <w:sz w:val="26"/>
                <w:szCs w:val="26"/>
              </w:rPr>
              <w:t xml:space="preserve"> </w:t>
            </w:r>
            <w:proofErr w:type="spellStart"/>
            <w:r w:rsidR="003C4187" w:rsidRPr="001F51C3">
              <w:rPr>
                <w:i/>
                <w:sz w:val="26"/>
                <w:szCs w:val="26"/>
              </w:rPr>
              <w:t>euro</w:t>
            </w:r>
            <w:proofErr w:type="spellEnd"/>
            <w:r w:rsidR="003C4187" w:rsidRPr="001F51C3">
              <w:rPr>
                <w:i/>
                <w:sz w:val="26"/>
                <w:szCs w:val="26"/>
              </w:rPr>
              <w:t>.</w:t>
            </w:r>
          </w:p>
          <w:p w14:paraId="2A590917" w14:textId="15369AF5" w:rsidR="006A34FF" w:rsidRPr="001F51C3" w:rsidRDefault="003641D7" w:rsidP="005705A5">
            <w:pPr>
              <w:autoSpaceDE w:val="0"/>
              <w:autoSpaceDN w:val="0"/>
              <w:spacing w:after="120"/>
              <w:jc w:val="both"/>
              <w:rPr>
                <w:sz w:val="26"/>
                <w:szCs w:val="26"/>
              </w:rPr>
            </w:pPr>
            <w:r w:rsidRPr="001F51C3">
              <w:rPr>
                <w:b/>
                <w:sz w:val="26"/>
                <w:szCs w:val="26"/>
              </w:rPr>
              <w:t xml:space="preserve">TAVA </w:t>
            </w:r>
            <w:r w:rsidR="005705A5" w:rsidRPr="001F51C3">
              <w:rPr>
                <w:b/>
                <w:sz w:val="26"/>
                <w:szCs w:val="26"/>
              </w:rPr>
              <w:t>–</w:t>
            </w:r>
            <w:r w:rsidRPr="001F51C3">
              <w:rPr>
                <w:b/>
                <w:sz w:val="26"/>
                <w:szCs w:val="26"/>
              </w:rPr>
              <w:t xml:space="preserve"> </w:t>
            </w:r>
            <w:r w:rsidR="005705A5" w:rsidRPr="001F51C3">
              <w:rPr>
                <w:b/>
                <w:sz w:val="26"/>
                <w:szCs w:val="26"/>
              </w:rPr>
              <w:t xml:space="preserve">ir </w:t>
            </w:r>
            <w:r w:rsidR="003C4187" w:rsidRPr="001F51C3">
              <w:rPr>
                <w:b/>
                <w:sz w:val="26"/>
                <w:szCs w:val="26"/>
              </w:rPr>
              <w:t xml:space="preserve">20 958 378 </w:t>
            </w:r>
            <w:proofErr w:type="spellStart"/>
            <w:r w:rsidR="003C4187" w:rsidRPr="001F51C3">
              <w:rPr>
                <w:b/>
                <w:i/>
                <w:sz w:val="26"/>
                <w:szCs w:val="26"/>
              </w:rPr>
              <w:t>euro</w:t>
            </w:r>
            <w:proofErr w:type="spellEnd"/>
            <w:r w:rsidR="003C4187" w:rsidRPr="001F51C3">
              <w:rPr>
                <w:sz w:val="26"/>
                <w:szCs w:val="26"/>
              </w:rPr>
              <w:t>, tajā skaitā ERAF  finansējums ir 17 814 621</w:t>
            </w:r>
            <w:r w:rsidR="003C4187" w:rsidRPr="001F51C3">
              <w:rPr>
                <w:i/>
                <w:sz w:val="26"/>
                <w:szCs w:val="26"/>
              </w:rPr>
              <w:t xml:space="preserve"> </w:t>
            </w:r>
            <w:proofErr w:type="spellStart"/>
            <w:r w:rsidR="003C4187" w:rsidRPr="001F51C3">
              <w:rPr>
                <w:i/>
                <w:sz w:val="26"/>
                <w:szCs w:val="26"/>
              </w:rPr>
              <w:t>euro</w:t>
            </w:r>
            <w:proofErr w:type="spellEnd"/>
            <w:r w:rsidR="003C4187" w:rsidRPr="001F51C3">
              <w:rPr>
                <w:sz w:val="26"/>
                <w:szCs w:val="26"/>
              </w:rPr>
              <w:t xml:space="preserve">, valsts budžeta finansējums ir 2 185 379 </w:t>
            </w:r>
            <w:proofErr w:type="spellStart"/>
            <w:r w:rsidR="003C4187" w:rsidRPr="001F51C3">
              <w:rPr>
                <w:i/>
                <w:sz w:val="26"/>
                <w:szCs w:val="26"/>
              </w:rPr>
              <w:t>euro</w:t>
            </w:r>
            <w:proofErr w:type="spellEnd"/>
            <w:r w:rsidR="003C4187" w:rsidRPr="001F51C3">
              <w:rPr>
                <w:i/>
                <w:sz w:val="26"/>
                <w:szCs w:val="26"/>
              </w:rPr>
              <w:t xml:space="preserve"> </w:t>
            </w:r>
            <w:r w:rsidR="003C4187" w:rsidRPr="001F51C3">
              <w:rPr>
                <w:sz w:val="26"/>
                <w:szCs w:val="26"/>
              </w:rPr>
              <w:t xml:space="preserve"> un privātais un pašvaldību</w:t>
            </w:r>
            <w:r w:rsidR="001C534C" w:rsidRPr="001F51C3">
              <w:rPr>
                <w:sz w:val="26"/>
                <w:szCs w:val="26"/>
              </w:rPr>
              <w:t>, plānošanas reģionu</w:t>
            </w:r>
            <w:r w:rsidR="003C4187" w:rsidRPr="001F51C3">
              <w:rPr>
                <w:sz w:val="26"/>
                <w:szCs w:val="26"/>
              </w:rPr>
              <w:t xml:space="preserve"> līdzfinansējums ir 958 378 </w:t>
            </w:r>
            <w:proofErr w:type="spellStart"/>
            <w:r w:rsidR="003C4187" w:rsidRPr="001F51C3">
              <w:rPr>
                <w:i/>
                <w:sz w:val="26"/>
                <w:szCs w:val="26"/>
              </w:rPr>
              <w:t>euro</w:t>
            </w:r>
            <w:proofErr w:type="spellEnd"/>
            <w:r w:rsidR="003C4187" w:rsidRPr="001F51C3">
              <w:rPr>
                <w:i/>
                <w:sz w:val="26"/>
                <w:szCs w:val="26"/>
              </w:rPr>
              <w:t>.</w:t>
            </w:r>
          </w:p>
          <w:p w14:paraId="303EEFDD" w14:textId="046954F4" w:rsidR="002F2DB3" w:rsidRPr="001F51C3" w:rsidRDefault="002F2DB3" w:rsidP="000E7D44">
            <w:pPr>
              <w:autoSpaceDE w:val="0"/>
              <w:autoSpaceDN w:val="0"/>
              <w:spacing w:after="120"/>
              <w:jc w:val="both"/>
              <w:rPr>
                <w:sz w:val="26"/>
                <w:szCs w:val="26"/>
              </w:rPr>
            </w:pPr>
            <w:r w:rsidRPr="001F51C3">
              <w:rPr>
                <w:bCs/>
                <w:sz w:val="26"/>
                <w:szCs w:val="26"/>
              </w:rPr>
              <w:t xml:space="preserve">3.2.1.2. pasākuma ietvaros, atšķirībā no 2.3.1.1.2. </w:t>
            </w:r>
            <w:proofErr w:type="spellStart"/>
            <w:r w:rsidRPr="001F51C3">
              <w:rPr>
                <w:bCs/>
                <w:sz w:val="26"/>
                <w:szCs w:val="26"/>
              </w:rPr>
              <w:t>apakšaktivitātes</w:t>
            </w:r>
            <w:proofErr w:type="spellEnd"/>
            <w:r w:rsidRPr="001F51C3">
              <w:rPr>
                <w:bCs/>
                <w:sz w:val="26"/>
                <w:szCs w:val="26"/>
              </w:rPr>
              <w:t xml:space="preserve">, </w:t>
            </w:r>
            <w:r w:rsidRPr="001F51C3">
              <w:rPr>
                <w:b/>
                <w:bCs/>
                <w:sz w:val="26"/>
                <w:szCs w:val="26"/>
              </w:rPr>
              <w:t>atbalstu nevar saņemt lielie komersanti, un publiskās personas vai to iestādes (pašvaldību iestādes un izglītības/zinātniskās iestādes).</w:t>
            </w:r>
          </w:p>
          <w:p w14:paraId="326C3AF9" w14:textId="12459F5E" w:rsidR="00BC4986" w:rsidRPr="001F51C3" w:rsidRDefault="00BC4986" w:rsidP="000E7D44">
            <w:pPr>
              <w:autoSpaceDE w:val="0"/>
              <w:autoSpaceDN w:val="0"/>
              <w:spacing w:after="120"/>
              <w:jc w:val="both"/>
              <w:rPr>
                <w:sz w:val="26"/>
                <w:szCs w:val="26"/>
              </w:rPr>
            </w:pPr>
            <w:r w:rsidRPr="001F51C3">
              <w:rPr>
                <w:sz w:val="26"/>
                <w:szCs w:val="26"/>
              </w:rPr>
              <w:t>Finansējuma saņēmējs</w:t>
            </w:r>
            <w:r w:rsidR="00BD17BE" w:rsidRPr="001F51C3">
              <w:rPr>
                <w:sz w:val="26"/>
                <w:szCs w:val="26"/>
              </w:rPr>
              <w:t xml:space="preserve"> 3.2.1.2.pasākuma</w:t>
            </w:r>
            <w:r w:rsidRPr="001F51C3">
              <w:rPr>
                <w:sz w:val="26"/>
                <w:szCs w:val="26"/>
              </w:rPr>
              <w:t xml:space="preserve"> atbalstāmo darbību ietvaros </w:t>
            </w:r>
            <w:proofErr w:type="spellStart"/>
            <w:r w:rsidRPr="001F51C3">
              <w:rPr>
                <w:sz w:val="26"/>
                <w:szCs w:val="26"/>
              </w:rPr>
              <w:t>granta</w:t>
            </w:r>
            <w:proofErr w:type="spellEnd"/>
            <w:r w:rsidRPr="001F51C3">
              <w:rPr>
                <w:sz w:val="26"/>
                <w:szCs w:val="26"/>
              </w:rPr>
              <w:t xml:space="preserve"> veidā piešķir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atbalstu komersantiem, kooperatīvām sabiedrībām, zemnieku vai zvejnieku saimniecībām, individuāliem uzņēmumiem, biedrībām, nodibinājumiem saskaņā ar Komisijas 2013.gada 18.decembra Regulu (ES) Nr. 1407/2013 par Līguma par ES darbību 107. un 108.panta piemērošanu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atbalstam (ES Oficiālais Vēstnesis, 2013. gada 24. decembris, Nr. L 352) (turpmāk – Regula Nr. 1407/2013) vai Komisijas 2013.gada 18.decembra Regulu (ES) Nr. 1408/2013 par Līguma par ES darbību 107. un 108.panta piemērošanu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atbalstam lauksaimniecības nozarē (ES Oficiālais Vēstnesis, 2013.gada 24.decembris, Nr. L 352) (turpmāk – Regula Nr. 1408/2013), vai Komisijas 2014.gada 27.jūnija Regulu (ES) Nr. 717/2014 par Līguma par ES darbību 107. un 108.panta piemērošanu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atbalstam zvejniecības un akvakultūras nozarē (ES Oficiālais Vēstnesis, 2014.gada 28.jūnijs, Nr. L 190) (turpmāk – Regula Nr. 717/2014) attiecībā uz valsts atbalsta saņēmējiem, kas darbojas zvejniecības un akvakultūras nozarē saskaņā ar Eiropas Parlamenta un Padomes 2013.gada 11.decembra Regulu (ES) Nr. 1379/2013 par zvejas un akvakultūras produktu tirgu kopīgo organizāciju un ar ko groza Padomes Regulas (EK) Nr. 1184/2006 un (EK) Nr.1224/2009 un atceļ Padomes Regulu (EK) Nr. 104/2000 (ES Oficiālais Vēstnesis, 2013.gada 28.decembris, Nr. L 354) (turpmāk - Regula Nr. 1379/2013). </w:t>
            </w:r>
          </w:p>
          <w:p w14:paraId="7D1F285D" w14:textId="77777777" w:rsidR="00BC4986" w:rsidRPr="001F51C3" w:rsidRDefault="00BC4986" w:rsidP="000E7D44">
            <w:pPr>
              <w:autoSpaceDE w:val="0"/>
              <w:autoSpaceDN w:val="0"/>
              <w:spacing w:after="120"/>
              <w:jc w:val="both"/>
              <w:rPr>
                <w:sz w:val="26"/>
                <w:szCs w:val="26"/>
              </w:rPr>
            </w:pPr>
            <w:r w:rsidRPr="001F51C3">
              <w:rPr>
                <w:sz w:val="26"/>
                <w:szCs w:val="26"/>
              </w:rPr>
              <w:t xml:space="preserve">Finansējuma saņēmējs 3.2.1.pasākuma atbalstāmo darbību ietvaros, pieņemot lēmumu par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atbalsta piešķiršanu, ievēro šādu nosacījumus: </w:t>
            </w:r>
          </w:p>
          <w:p w14:paraId="2F5C63AF" w14:textId="77777777" w:rsidR="00BC4986" w:rsidRPr="001F51C3" w:rsidRDefault="00BC4986" w:rsidP="000E7D44">
            <w:pPr>
              <w:numPr>
                <w:ilvl w:val="0"/>
                <w:numId w:val="3"/>
              </w:numPr>
              <w:autoSpaceDE w:val="0"/>
              <w:autoSpaceDN w:val="0"/>
              <w:spacing w:after="120"/>
              <w:ind w:left="380" w:hanging="284"/>
              <w:jc w:val="both"/>
              <w:rPr>
                <w:sz w:val="26"/>
                <w:szCs w:val="26"/>
              </w:rPr>
            </w:pP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atbalstu piešķir, ievērojot Regulas Nr. 1407/2013 1.panta 1.punktā, Regulas Nr. 717/2014 1.panta 1.punktā un Regulas Nr. 1408/2013 1.panta 1.punktā minētos nozaru un darbības ierobežojumus, un  pārbauda vai nepretendē uz atbalstu, kādā no 3.2.1.2.pasākuma noteikumu 1. pielikumā minētajām neatbalstāmajām  nozarēm;</w:t>
            </w:r>
          </w:p>
          <w:p w14:paraId="0668F9A2" w14:textId="77777777" w:rsidR="00BC4986" w:rsidRPr="001F51C3" w:rsidRDefault="00BC4986" w:rsidP="000E7D44">
            <w:pPr>
              <w:numPr>
                <w:ilvl w:val="0"/>
                <w:numId w:val="3"/>
              </w:numPr>
              <w:autoSpaceDE w:val="0"/>
              <w:autoSpaceDN w:val="0"/>
              <w:spacing w:after="120"/>
              <w:ind w:left="380" w:hanging="284"/>
              <w:jc w:val="both"/>
              <w:rPr>
                <w:sz w:val="26"/>
                <w:szCs w:val="26"/>
              </w:rPr>
            </w:pPr>
            <w:r w:rsidRPr="001F51C3">
              <w:rPr>
                <w:sz w:val="26"/>
                <w:szCs w:val="26"/>
              </w:rPr>
              <w:t xml:space="preserve">pirms lēmuma par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mininimis</w:t>
            </w:r>
            <w:proofErr w:type="spellEnd"/>
            <w:r w:rsidRPr="001F51C3">
              <w:rPr>
                <w:sz w:val="26"/>
                <w:szCs w:val="26"/>
              </w:rPr>
              <w:t xml:space="preserve"> atbalsta piešķiršanu pārbauda, vai piešķirtā atbalsta apmērs kopā ar attiecīgajā fiskālajā gadā un iepriekšējos divos fiskālajos gados saņemtā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atbalsta kopējo apmēru nepārsniedz Regulas Nr.1407/2013 3.panta 2.punktā vai Regulas Nr. 1408/2013 3.panta 2.punktā (valsts atbalsta saņēmējiem, kuri nodarbojas ar lauksaimniecības produktu primāro ražošanu), vai Regulas Nr. 717/2014 3.panta 2.punktā (valsts atbalsta saņēmējiem, kuri darbojas zvejniecības un akvakultūras nozarē saskaņā ar Regulu Nr. 1379/2013) noteikto maksimālo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atbalsta apmēru. Izvērtējot valsts atbalsta apmēru, jāvērtē saņemtais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atbalsts viena vienota uzņēmuma līmenī. Vienots uzņēmums ir tāds uzņēmums, kas atbilst Regulas Nr. 1407/2013 2.panta 2.punktā, Regulas Nr. 1408/2013 2.panta 2.punktā vai Regulas Nr. 717/2014 2.panta 2.punktā minētajiem kritērijiem;</w:t>
            </w:r>
          </w:p>
          <w:p w14:paraId="043D7327" w14:textId="77777777" w:rsidR="00BC4986" w:rsidRPr="001F51C3" w:rsidRDefault="00BC4986" w:rsidP="000E7D44">
            <w:pPr>
              <w:numPr>
                <w:ilvl w:val="0"/>
                <w:numId w:val="3"/>
              </w:numPr>
              <w:autoSpaceDE w:val="0"/>
              <w:autoSpaceDN w:val="0"/>
              <w:spacing w:after="120"/>
              <w:ind w:left="380" w:hanging="284"/>
              <w:jc w:val="both"/>
              <w:rPr>
                <w:sz w:val="26"/>
                <w:szCs w:val="26"/>
              </w:rPr>
            </w:pP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atbalstu nepiešķir, ja ar tiesas spriedumu ir pasludināts maksātnespējas process, ar tiesas spriedumu tiek īstenots tiesiskās aizsardzības process vai ar tiesas lēmumu tiek īstenots </w:t>
            </w:r>
            <w:proofErr w:type="spellStart"/>
            <w:r w:rsidRPr="001F51C3">
              <w:rPr>
                <w:sz w:val="26"/>
                <w:szCs w:val="26"/>
              </w:rPr>
              <w:t>ārpustiesas</w:t>
            </w:r>
            <w:proofErr w:type="spellEnd"/>
            <w:r w:rsidRPr="001F51C3">
              <w:rPr>
                <w:sz w:val="26"/>
                <w:szCs w:val="26"/>
              </w:rPr>
              <w:t xml:space="preserve"> tiesiskās aizsardzības process, vai tiem ir uzsākta bankrota procedūra, piemērota sanācija vai mierizlīgums, vai to saimnieciskā darbība ir izbeigta, vai tie atbilst valsts tiesību aktos noteiktiem kritērijiem, lai tiem pēc kreditoru pieprasījuma piemērotu maksātnespējas procedūru;</w:t>
            </w:r>
          </w:p>
          <w:p w14:paraId="44775498" w14:textId="385208F0" w:rsidR="00BC4986" w:rsidRPr="001F51C3" w:rsidRDefault="00B7411F" w:rsidP="000E7D44">
            <w:pPr>
              <w:numPr>
                <w:ilvl w:val="0"/>
                <w:numId w:val="3"/>
              </w:numPr>
              <w:autoSpaceDE w:val="0"/>
              <w:autoSpaceDN w:val="0"/>
              <w:spacing w:after="120"/>
              <w:ind w:left="380" w:hanging="284"/>
              <w:jc w:val="both"/>
              <w:rPr>
                <w:sz w:val="26"/>
                <w:szCs w:val="26"/>
              </w:rPr>
            </w:pPr>
            <w:r w:rsidRPr="001F51C3">
              <w:rPr>
                <w:sz w:val="26"/>
                <w:szCs w:val="26"/>
              </w:rPr>
              <w:t>ievērojot Regulas Nr.1407/2013 5.panta 1. un 2.punktu vai Regulas Nr.717/2014 5.panta 1., 2. un 3.punktu, vai Regulas Nr.1408/201</w:t>
            </w:r>
            <w:r w:rsidR="00F53A6F" w:rsidRPr="001F51C3">
              <w:rPr>
                <w:sz w:val="26"/>
                <w:szCs w:val="26"/>
              </w:rPr>
              <w:t xml:space="preserve">3 5.panta 1., </w:t>
            </w:r>
            <w:r w:rsidRPr="001F51C3">
              <w:rPr>
                <w:sz w:val="26"/>
                <w:szCs w:val="26"/>
              </w:rPr>
              <w:t xml:space="preserve">2. un 3.punkta nosacījumus, </w:t>
            </w:r>
            <w:proofErr w:type="spellStart"/>
            <w:r w:rsidRPr="001F51C3">
              <w:rPr>
                <w:i/>
                <w:iCs/>
                <w:sz w:val="26"/>
                <w:szCs w:val="26"/>
              </w:rPr>
              <w:t>de</w:t>
            </w:r>
            <w:proofErr w:type="spellEnd"/>
            <w:r w:rsidRPr="001F51C3">
              <w:rPr>
                <w:i/>
                <w:iCs/>
                <w:sz w:val="26"/>
                <w:szCs w:val="26"/>
              </w:rPr>
              <w:t xml:space="preserve"> </w:t>
            </w:r>
            <w:proofErr w:type="spellStart"/>
            <w:r w:rsidRPr="001F51C3">
              <w:rPr>
                <w:i/>
                <w:iCs/>
                <w:sz w:val="26"/>
                <w:szCs w:val="26"/>
              </w:rPr>
              <w:t>minimis</w:t>
            </w:r>
            <w:proofErr w:type="spellEnd"/>
            <w:r w:rsidRPr="001F51C3">
              <w:rPr>
                <w:sz w:val="26"/>
                <w:szCs w:val="26"/>
              </w:rPr>
              <w:t xml:space="preserve"> atbalstu drīkst </w:t>
            </w:r>
            <w:proofErr w:type="spellStart"/>
            <w:r w:rsidRPr="001F51C3">
              <w:rPr>
                <w:sz w:val="26"/>
                <w:szCs w:val="26"/>
              </w:rPr>
              <w:t>kumulēt</w:t>
            </w:r>
            <w:proofErr w:type="spellEnd"/>
            <w:r w:rsidRPr="001F51C3">
              <w:rPr>
                <w:sz w:val="26"/>
                <w:szCs w:val="26"/>
              </w:rPr>
              <w:t xml:space="preserve"> ar citu </w:t>
            </w:r>
            <w:proofErr w:type="spellStart"/>
            <w:r w:rsidRPr="001F51C3">
              <w:rPr>
                <w:i/>
                <w:iCs/>
                <w:sz w:val="26"/>
                <w:szCs w:val="26"/>
              </w:rPr>
              <w:t>de</w:t>
            </w:r>
            <w:proofErr w:type="spellEnd"/>
            <w:r w:rsidRPr="001F51C3">
              <w:rPr>
                <w:i/>
                <w:iCs/>
                <w:sz w:val="26"/>
                <w:szCs w:val="26"/>
              </w:rPr>
              <w:t xml:space="preserve"> </w:t>
            </w:r>
            <w:proofErr w:type="spellStart"/>
            <w:r w:rsidRPr="001F51C3">
              <w:rPr>
                <w:i/>
                <w:iCs/>
                <w:sz w:val="26"/>
                <w:szCs w:val="26"/>
              </w:rPr>
              <w:t>minimis</w:t>
            </w:r>
            <w:proofErr w:type="spellEnd"/>
            <w:r w:rsidRPr="001F51C3">
              <w:rPr>
                <w:sz w:val="26"/>
                <w:szCs w:val="26"/>
              </w:rPr>
              <w:t xml:space="preserve"> atbalstu līdz Regulas Nr.1407/2013 3. panta 2.punktā vai Regulas Nr.717/2014 3.panta 2.punktā, vai Regulas Nr.1408/2013 3.panta 2.punktā MK noteiktajam attiecīgajam robežlielumam un drīkst </w:t>
            </w:r>
            <w:proofErr w:type="spellStart"/>
            <w:r w:rsidRPr="001F51C3">
              <w:rPr>
                <w:sz w:val="26"/>
                <w:szCs w:val="26"/>
              </w:rPr>
              <w:t>kumulēt</w:t>
            </w:r>
            <w:proofErr w:type="spellEnd"/>
            <w:r w:rsidRPr="001F51C3">
              <w:rPr>
                <w:sz w:val="26"/>
                <w:szCs w:val="26"/>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r w:rsidR="00BC4986" w:rsidRPr="001F51C3">
              <w:rPr>
                <w:sz w:val="26"/>
                <w:szCs w:val="26"/>
              </w:rPr>
              <w:t>;</w:t>
            </w:r>
          </w:p>
          <w:p w14:paraId="30F51241" w14:textId="77777777" w:rsidR="00B36008" w:rsidRPr="001F51C3" w:rsidRDefault="00BC4986" w:rsidP="000E7D44">
            <w:pPr>
              <w:numPr>
                <w:ilvl w:val="0"/>
                <w:numId w:val="3"/>
              </w:numPr>
              <w:autoSpaceDE w:val="0"/>
              <w:autoSpaceDN w:val="0"/>
              <w:spacing w:after="120"/>
              <w:ind w:left="380" w:hanging="284"/>
              <w:jc w:val="both"/>
              <w:rPr>
                <w:sz w:val="26"/>
                <w:szCs w:val="26"/>
              </w:rPr>
            </w:pPr>
            <w:r w:rsidRPr="001F51C3">
              <w:rPr>
                <w:sz w:val="26"/>
                <w:szCs w:val="26"/>
              </w:rPr>
              <w:t>ja valsts atbalsta saņēmējs vienlaicīgi darbojas vienā vai vairākās nozarēs vai veic citas darbības, kas ietilpst Regulas Nr. 1407/2013 darbības jomā, un nodarbojas ar lauksaimniecības produktu primāro ražošanu saskaņā ar Regulu Nr. 1408/2013 vai darbojas zvejniecības un akvakultūras nozarē saskaņā ar Regulu Nr. 1379/2014, tad valsts atbalsta saņēmējs nodrošina šo nozaru darbību vai izmaksu nodalīšanu saskaņā ar Regulas Nr. 1407/2013 1.panta 2.punktu, Regulas Nr. 1408/2013 1.panta 2. un 3.punktu vai Regulas Nr. 717/2014 1.panta 2. un 3.punktu.</w:t>
            </w:r>
          </w:p>
          <w:p w14:paraId="7C52B363" w14:textId="77777777" w:rsidR="00E7489F" w:rsidRPr="001F51C3" w:rsidRDefault="00B71986" w:rsidP="000E7D44">
            <w:pPr>
              <w:jc w:val="both"/>
              <w:rPr>
                <w:sz w:val="26"/>
                <w:szCs w:val="26"/>
              </w:rPr>
            </w:pPr>
            <w:r w:rsidRPr="001F51C3">
              <w:rPr>
                <w:sz w:val="26"/>
                <w:szCs w:val="26"/>
              </w:rPr>
              <w:t>Finansējuma saņēmējs</w:t>
            </w:r>
            <w:r w:rsidRPr="001F51C3">
              <w:rPr>
                <w:i/>
                <w:sz w:val="26"/>
                <w:szCs w:val="26"/>
              </w:rPr>
              <w:t xml:space="preserve">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uzskaiti veic saskaņā ar normatīvajiem aktiem par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i/>
                <w:sz w:val="26"/>
                <w:szCs w:val="26"/>
              </w:rPr>
              <w:t xml:space="preserve"> </w:t>
            </w:r>
            <w:r w:rsidRPr="001F51C3">
              <w:rPr>
                <w:sz w:val="26"/>
                <w:szCs w:val="26"/>
              </w:rPr>
              <w:t xml:space="preserve">atbalsta uzskaites un piešķiršanas kārtību un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atbalsta uzskaites veidlapu paraugiem vai saskaņā ar normatīvajiem aktiem par zvejniecības un akvakultūras nozarē piešķiramā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i/>
                <w:sz w:val="26"/>
                <w:szCs w:val="26"/>
              </w:rPr>
              <w:t xml:space="preserve"> </w:t>
            </w:r>
            <w:r w:rsidRPr="001F51C3">
              <w:rPr>
                <w:sz w:val="26"/>
                <w:szCs w:val="26"/>
              </w:rPr>
              <w:t xml:space="preserve">atbalsta administrēšanu un uzraudzību, vai saskaņā ar normatīvajiem aktiem par lauksaimniecības nozarē piešķiramā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atbalsta administrēšanu un uzraudzību. Lēmumu par</w:t>
            </w:r>
            <w:r w:rsidRPr="001F51C3">
              <w:rPr>
                <w:i/>
                <w:sz w:val="26"/>
                <w:szCs w:val="26"/>
              </w:rPr>
              <w:t xml:space="preserve">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atbalsta piešķiršanu saskaņā ar Regulu Nr. 1407/2013, Regulu Nr. 1408/2013 un Regulu Nr. 717/2014 finansējuma saņēmējs var pieņemt līdz šo regulu darbības beigām jeb līdz 2021. gada 30. jūnijam.</w:t>
            </w:r>
          </w:p>
          <w:p w14:paraId="21B19F01" w14:textId="77777777" w:rsidR="00E7489F" w:rsidRPr="001F51C3" w:rsidRDefault="00E7489F" w:rsidP="000E7D44">
            <w:pPr>
              <w:jc w:val="both"/>
              <w:rPr>
                <w:sz w:val="26"/>
                <w:szCs w:val="26"/>
              </w:rPr>
            </w:pPr>
            <w:r w:rsidRPr="001F51C3">
              <w:rPr>
                <w:sz w:val="26"/>
                <w:szCs w:val="26"/>
              </w:rPr>
              <w:t xml:space="preserve">    </w:t>
            </w:r>
          </w:p>
          <w:p w14:paraId="052D69EE" w14:textId="2C869C9E" w:rsidR="00AD4935" w:rsidRPr="001F51C3" w:rsidRDefault="00E7489F" w:rsidP="000E7D44">
            <w:pPr>
              <w:jc w:val="both"/>
              <w:rPr>
                <w:sz w:val="26"/>
                <w:szCs w:val="26"/>
              </w:rPr>
            </w:pPr>
            <w:r w:rsidRPr="001F51C3">
              <w:rPr>
                <w:sz w:val="26"/>
                <w:szCs w:val="26"/>
              </w:rPr>
              <w:t xml:space="preserve">Biedrība vai nodibinājums iesniedzot projektu, kas nav saistīts ar saimnieciskās darbības īstenošanu, var saņemt atbalstu, kura apmērs 3.2.1.2. pasākuma ietvaros kalendāra gadā nepārsniedz 66 666 </w:t>
            </w:r>
            <w:proofErr w:type="spellStart"/>
            <w:r w:rsidRPr="001F51C3">
              <w:rPr>
                <w:i/>
                <w:sz w:val="26"/>
                <w:szCs w:val="26"/>
              </w:rPr>
              <w:t>euro</w:t>
            </w:r>
            <w:proofErr w:type="spellEnd"/>
            <w:r w:rsidRPr="001F51C3">
              <w:rPr>
                <w:sz w:val="26"/>
                <w:szCs w:val="26"/>
              </w:rPr>
              <w:t xml:space="preserve">, savukārt, iesniedzot projektu, kas ir saistīts ar saimnieciskās darbības īstenošanu, var saņemt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atbalstu. Pašvaldība, plānošanas reģions </w:t>
            </w:r>
            <w:r w:rsidR="00081921" w:rsidRPr="001F51C3">
              <w:rPr>
                <w:sz w:val="26"/>
                <w:szCs w:val="26"/>
              </w:rPr>
              <w:t xml:space="preserve">un </w:t>
            </w:r>
            <w:r w:rsidRPr="001F51C3">
              <w:rPr>
                <w:sz w:val="26"/>
                <w:szCs w:val="26"/>
              </w:rPr>
              <w:t xml:space="preserve">ostu pārvalde var saņemt atbalstu, kura apmērs 3.2.1.2. pasākuma ietvaros vienā kalendārajā gadā nepārsniedz 66 666 </w:t>
            </w:r>
            <w:proofErr w:type="spellStart"/>
            <w:r w:rsidRPr="001F51C3">
              <w:rPr>
                <w:i/>
                <w:sz w:val="26"/>
                <w:szCs w:val="26"/>
              </w:rPr>
              <w:t>euro</w:t>
            </w:r>
            <w:proofErr w:type="spellEnd"/>
            <w:r w:rsidR="00AD4935" w:rsidRPr="001F51C3">
              <w:rPr>
                <w:sz w:val="26"/>
                <w:szCs w:val="26"/>
              </w:rPr>
              <w:t>, un tikai par projektiem, kas neietver saimnieciskas darbības.</w:t>
            </w:r>
          </w:p>
          <w:p w14:paraId="7ED922E8" w14:textId="19030C8B" w:rsidR="00AD4935" w:rsidRPr="001F51C3" w:rsidRDefault="00E7489F" w:rsidP="000E7D44">
            <w:pPr>
              <w:jc w:val="both"/>
              <w:rPr>
                <w:sz w:val="26"/>
                <w:szCs w:val="26"/>
              </w:rPr>
            </w:pPr>
            <w:r w:rsidRPr="001F51C3">
              <w:rPr>
                <w:sz w:val="26"/>
                <w:szCs w:val="26"/>
              </w:rPr>
              <w:t xml:space="preserve"> </w:t>
            </w:r>
            <w:r w:rsidR="00AD4935" w:rsidRPr="001F51C3">
              <w:rPr>
                <w:sz w:val="26"/>
                <w:szCs w:val="26"/>
              </w:rPr>
              <w:t xml:space="preserve">Pašvaldības un plānošanas reģioni, kā arī ostu pārvaldes finansējuma saņēmējiem varēs iesniegt </w:t>
            </w:r>
            <w:r w:rsidRPr="001F51C3">
              <w:rPr>
                <w:sz w:val="26"/>
                <w:szCs w:val="26"/>
              </w:rPr>
              <w:t xml:space="preserve">tikai </w:t>
            </w:r>
            <w:r w:rsidR="00AD4935" w:rsidRPr="001F51C3">
              <w:rPr>
                <w:sz w:val="26"/>
                <w:szCs w:val="26"/>
              </w:rPr>
              <w:t>tādus projektu pieteikumus</w:t>
            </w:r>
            <w:r w:rsidRPr="001F51C3">
              <w:rPr>
                <w:sz w:val="26"/>
                <w:szCs w:val="26"/>
              </w:rPr>
              <w:t>, kas neietver saimnieciskas darbības.</w:t>
            </w:r>
          </w:p>
          <w:p w14:paraId="6F9E6E13" w14:textId="3C85EE5D" w:rsidR="0029645D" w:rsidRPr="001F51C3" w:rsidRDefault="0029645D" w:rsidP="000E7D44">
            <w:pPr>
              <w:jc w:val="both"/>
              <w:rPr>
                <w:sz w:val="26"/>
                <w:szCs w:val="26"/>
              </w:rPr>
            </w:pPr>
            <w:r w:rsidRPr="001F51C3">
              <w:rPr>
                <w:sz w:val="26"/>
                <w:szCs w:val="26"/>
              </w:rPr>
              <w:t>LIAA pašvaldības un plānošanas reģioni varēs iesniegt pieteikumus par dalību nacionālajā stendā</w:t>
            </w:r>
            <w:r w:rsidR="00FD5B7B" w:rsidRPr="001F51C3">
              <w:rPr>
                <w:sz w:val="26"/>
                <w:szCs w:val="26"/>
              </w:rPr>
              <w:t xml:space="preserve"> izstādēs ārvalstīs</w:t>
            </w:r>
            <w:r w:rsidRPr="001F51C3">
              <w:rPr>
                <w:sz w:val="26"/>
                <w:szCs w:val="26"/>
              </w:rPr>
              <w:t>, pieteikumu dalībai Latvijas augstu valsts amatpersonu vizītē</w:t>
            </w:r>
            <w:r w:rsidR="00FD5B7B" w:rsidRPr="001F51C3">
              <w:rPr>
                <w:sz w:val="26"/>
                <w:szCs w:val="26"/>
              </w:rPr>
              <w:t>s</w:t>
            </w:r>
            <w:r w:rsidRPr="001F51C3">
              <w:rPr>
                <w:sz w:val="26"/>
                <w:szCs w:val="26"/>
              </w:rPr>
              <w:t xml:space="preserve">, pieteikumu dalībai </w:t>
            </w:r>
            <w:r w:rsidR="00D94FA9" w:rsidRPr="001F51C3">
              <w:rPr>
                <w:sz w:val="26"/>
                <w:szCs w:val="26"/>
              </w:rPr>
              <w:t>izstādē</w:t>
            </w:r>
            <w:r w:rsidR="00FD5B7B" w:rsidRPr="001F51C3">
              <w:rPr>
                <w:sz w:val="26"/>
                <w:szCs w:val="26"/>
              </w:rPr>
              <w:t>s</w:t>
            </w:r>
            <w:r w:rsidR="00D94FA9" w:rsidRPr="001F51C3">
              <w:rPr>
                <w:sz w:val="26"/>
                <w:szCs w:val="26"/>
              </w:rPr>
              <w:t xml:space="preserve"> </w:t>
            </w:r>
            <w:r w:rsidR="00FD5B7B" w:rsidRPr="001F51C3">
              <w:rPr>
                <w:sz w:val="26"/>
                <w:szCs w:val="26"/>
              </w:rPr>
              <w:t xml:space="preserve">ārvalstīs </w:t>
            </w:r>
            <w:r w:rsidRPr="001F51C3">
              <w:rPr>
                <w:sz w:val="26"/>
                <w:szCs w:val="26"/>
              </w:rPr>
              <w:t xml:space="preserve">ar individuālo stendu, </w:t>
            </w:r>
            <w:r w:rsidR="00D94FA9" w:rsidRPr="001F51C3">
              <w:rPr>
                <w:sz w:val="26"/>
                <w:szCs w:val="26"/>
              </w:rPr>
              <w:t xml:space="preserve">pieteikumu dalībai </w:t>
            </w:r>
            <w:r w:rsidRPr="001F51C3">
              <w:rPr>
                <w:sz w:val="26"/>
                <w:szCs w:val="26"/>
              </w:rPr>
              <w:t>konferenc</w:t>
            </w:r>
            <w:r w:rsidR="00D94FA9" w:rsidRPr="001F51C3">
              <w:rPr>
                <w:sz w:val="26"/>
                <w:szCs w:val="26"/>
              </w:rPr>
              <w:t>ē</w:t>
            </w:r>
            <w:r w:rsidR="00FD5B7B" w:rsidRPr="001F51C3">
              <w:rPr>
                <w:sz w:val="26"/>
                <w:szCs w:val="26"/>
              </w:rPr>
              <w:t>s</w:t>
            </w:r>
            <w:r w:rsidR="00D94FA9" w:rsidRPr="001F51C3">
              <w:rPr>
                <w:sz w:val="26"/>
                <w:szCs w:val="26"/>
              </w:rPr>
              <w:t xml:space="preserve"> un</w:t>
            </w:r>
            <w:r w:rsidRPr="001F51C3">
              <w:rPr>
                <w:sz w:val="26"/>
                <w:szCs w:val="26"/>
              </w:rPr>
              <w:t xml:space="preserve"> kongres</w:t>
            </w:r>
            <w:r w:rsidR="00FD5B7B" w:rsidRPr="001F51C3">
              <w:rPr>
                <w:sz w:val="26"/>
                <w:szCs w:val="26"/>
              </w:rPr>
              <w:t>os ārvalstīs</w:t>
            </w:r>
            <w:r w:rsidRPr="001F51C3">
              <w:rPr>
                <w:sz w:val="26"/>
                <w:szCs w:val="26"/>
              </w:rPr>
              <w:t xml:space="preserve">, </w:t>
            </w:r>
            <w:r w:rsidR="00D94FA9" w:rsidRPr="001F51C3">
              <w:rPr>
                <w:sz w:val="26"/>
                <w:szCs w:val="26"/>
              </w:rPr>
              <w:t xml:space="preserve">kā arī </w:t>
            </w:r>
            <w:r w:rsidRPr="001F51C3">
              <w:rPr>
                <w:sz w:val="26"/>
                <w:szCs w:val="26"/>
              </w:rPr>
              <w:t>saņemt</w:t>
            </w:r>
            <w:r w:rsidR="00FD5B7B" w:rsidRPr="001F51C3">
              <w:rPr>
                <w:sz w:val="26"/>
                <w:szCs w:val="26"/>
              </w:rPr>
              <w:t xml:space="preserve"> attiecīgos ceļa (transporta) izdevumus un citus attiecināmos izdevumus, kā arī</w:t>
            </w:r>
            <w:r w:rsidRPr="001F51C3">
              <w:rPr>
                <w:sz w:val="26"/>
                <w:szCs w:val="26"/>
              </w:rPr>
              <w:t xml:space="preserve"> LIAA un tās </w:t>
            </w:r>
            <w:r w:rsidR="00D94FA9" w:rsidRPr="001F51C3">
              <w:rPr>
                <w:sz w:val="26"/>
                <w:szCs w:val="26"/>
              </w:rPr>
              <w:t xml:space="preserve">Latvijas </w:t>
            </w:r>
            <w:r w:rsidRPr="001F51C3">
              <w:rPr>
                <w:sz w:val="26"/>
                <w:szCs w:val="26"/>
              </w:rPr>
              <w:t xml:space="preserve">ārvalstu </w:t>
            </w:r>
            <w:r w:rsidR="00D94FA9" w:rsidRPr="001F51C3">
              <w:rPr>
                <w:sz w:val="26"/>
                <w:szCs w:val="26"/>
              </w:rPr>
              <w:t xml:space="preserve">ekonomisko </w:t>
            </w:r>
            <w:r w:rsidRPr="001F51C3">
              <w:rPr>
                <w:sz w:val="26"/>
                <w:szCs w:val="26"/>
              </w:rPr>
              <w:t>pārstāvniecību konsultācijas</w:t>
            </w:r>
            <w:r w:rsidR="00FD5B7B" w:rsidRPr="001F51C3">
              <w:rPr>
                <w:sz w:val="26"/>
                <w:szCs w:val="26"/>
              </w:rPr>
              <w:t>.</w:t>
            </w:r>
          </w:p>
          <w:p w14:paraId="7BD17F82" w14:textId="6F990E4C" w:rsidR="00FD5B7B" w:rsidRPr="001F51C3" w:rsidRDefault="00FD5B7B" w:rsidP="000E7D44">
            <w:pPr>
              <w:jc w:val="both"/>
              <w:rPr>
                <w:sz w:val="26"/>
                <w:szCs w:val="26"/>
              </w:rPr>
            </w:pPr>
            <w:r w:rsidRPr="001F51C3">
              <w:rPr>
                <w:sz w:val="26"/>
                <w:szCs w:val="26"/>
              </w:rPr>
              <w:t>TAVA pašvaldības un plānošanas reģioni varēs iesniegt pieteikumus par dalību nacionālajā stendā tūrisma izstādēs ārvalstīs, pieteikumu</w:t>
            </w:r>
            <w:r w:rsidR="00732F35" w:rsidRPr="001F51C3">
              <w:rPr>
                <w:sz w:val="26"/>
                <w:szCs w:val="26"/>
              </w:rPr>
              <w:t>s</w:t>
            </w:r>
            <w:r w:rsidRPr="001F51C3">
              <w:rPr>
                <w:sz w:val="26"/>
                <w:szCs w:val="26"/>
              </w:rPr>
              <w:t xml:space="preserve"> dalībai izstādēs ārvalstīs ar individuālo stendu, pieteikumu</w:t>
            </w:r>
            <w:r w:rsidR="00732F35" w:rsidRPr="001F51C3">
              <w:rPr>
                <w:sz w:val="26"/>
                <w:szCs w:val="26"/>
              </w:rPr>
              <w:t>s</w:t>
            </w:r>
            <w:r w:rsidRPr="001F51C3">
              <w:rPr>
                <w:sz w:val="26"/>
                <w:szCs w:val="26"/>
              </w:rPr>
              <w:t xml:space="preserve"> dalībai konferencēs un kongresos ārvalstīs, kā arī saņemt attiecīgos ceļa (transporta) izdevumus un citus attiecināmos izdevumus.</w:t>
            </w:r>
          </w:p>
          <w:p w14:paraId="5635F363" w14:textId="77777777" w:rsidR="00FD5B7B" w:rsidRPr="001F51C3" w:rsidRDefault="00FD5B7B" w:rsidP="000E7D44">
            <w:pPr>
              <w:jc w:val="both"/>
              <w:rPr>
                <w:sz w:val="26"/>
                <w:szCs w:val="26"/>
              </w:rPr>
            </w:pPr>
          </w:p>
          <w:p w14:paraId="24CBD865" w14:textId="174492A3" w:rsidR="00B161EA" w:rsidRPr="001F51C3" w:rsidRDefault="00B7411F" w:rsidP="000E7D44">
            <w:pPr>
              <w:jc w:val="both"/>
              <w:rPr>
                <w:sz w:val="26"/>
                <w:szCs w:val="26"/>
              </w:rPr>
            </w:pPr>
            <w:r w:rsidRPr="001F51C3">
              <w:rPr>
                <w:sz w:val="26"/>
                <w:szCs w:val="26"/>
              </w:rPr>
              <w:t xml:space="preserve">Lai nodrošinātu normatīviem aktiem atbilstošu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atbalsta uzskaites un piešķiršanas mehānismu, finansējuma saņēmēji TAVA un LIAA izstrādā kārtību (metodiku) kādā izvēlas, piešķir un uzskaita atbalstu  3.2.1.2. pasākuma mērķa grupai, paredzot tajā, ka ar saimniecisku darbību saistītu projektu gadījumā, </w:t>
            </w:r>
            <w:proofErr w:type="spellStart"/>
            <w:r w:rsidRPr="001F51C3">
              <w:rPr>
                <w:sz w:val="26"/>
                <w:szCs w:val="26"/>
              </w:rPr>
              <w:t>grantu</w:t>
            </w:r>
            <w:proofErr w:type="spellEnd"/>
            <w:r w:rsidRPr="001F51C3">
              <w:rPr>
                <w:sz w:val="26"/>
                <w:szCs w:val="26"/>
              </w:rPr>
              <w:t xml:space="preserve"> iesniegumi tiks vērtēti atbilstoši valsts atbalsta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regulējuma nosacījumiem. Tāpat metodikā tiks ietverti  atbalsta saņēmēju atlases principi (lai nodrošinātu 3.2.1. specifiskā  atbalsta mērķa “Palielināt augstas pievienotās vērtības produktu un pakalpojumu eksporta proporciju” sasniegšanu) un detalizēta pretendentu vērtēšanas kritēriju piemērošanas procedūra, tostarp, kritēriji, pēc kuriem finansējuma saņēmēji vadīsies, lai nošķirtu projektus, kas ietver saimnieciskas darbības no tādiem, kas neietver saimnieciskas darbības. Proti, lai identificētu pašvaldību, plānošanas reģionu vai ostu pārvalžu iesniegtos projektus, kas </w:t>
            </w:r>
            <w:r w:rsidR="00635C76" w:rsidRPr="001F51C3">
              <w:rPr>
                <w:sz w:val="26"/>
                <w:szCs w:val="26"/>
              </w:rPr>
              <w:t>neietver saimnieciskas darbības.</w:t>
            </w:r>
          </w:p>
          <w:p w14:paraId="6107A392" w14:textId="77777777" w:rsidR="00B7411F" w:rsidRPr="001F51C3" w:rsidRDefault="00B7411F" w:rsidP="000E7D44">
            <w:pPr>
              <w:autoSpaceDE w:val="0"/>
              <w:autoSpaceDN w:val="0"/>
              <w:spacing w:after="120"/>
              <w:jc w:val="both"/>
              <w:rPr>
                <w:sz w:val="26"/>
                <w:szCs w:val="26"/>
              </w:rPr>
            </w:pPr>
            <w:r w:rsidRPr="001F51C3">
              <w:rPr>
                <w:b/>
                <w:sz w:val="26"/>
                <w:szCs w:val="26"/>
              </w:rPr>
              <w:t>Ostu pārvaldes projekts, kas neietver saimnieciskas darbības</w:t>
            </w:r>
            <w:r w:rsidRPr="001F51C3">
              <w:rPr>
                <w:sz w:val="26"/>
                <w:szCs w:val="26"/>
              </w:rPr>
              <w:t xml:space="preserve"> ir tāds, piemēram, kurš iesniegts atbalsta nodrošināšanai dalībai Latvijas augstu valsts amatpersonu vizītē ārvalstī, kurā ostas pārvalde pārstāv publiski teritoriālas intereses t.i. ne tikai kā teritorija, kurā atrodas kuģu piestātnes un ar to saistītā infrastruktūra, bet arī kā daudz lielāka teritorija (ietver pilsētu vai novadu, kurā tā atrodas un mērķēts uz specifisku segmentu) ar iespējām jaunu ražotņu (t.sk. tādu, kas ražo inovatīvus produktus ar augstu pievienoto vērtību un eksportspēju) izveidei. Tā pārstāv publiskas intereses, lai radītu labvēlīgu uzņēmējdarbības vidi visiem MVU, kas darbojas vai gatavojas uzsākt savu darbību  ne tikai tās teritorijā vai saistībā ar tās teritoriju, bet arī pieguļošajās teritorijās. Piemēram, kad ostas pārvalde popularizē starptautisku loģistikas koridoru. Šajā gadījumā nav iespējams identificēt konkrētu gala labuma guvēju, kurš varētu saņemt tiešu atbalstu,  un  ostu pārvaldes dalība veicina labvēlīgu uzņēmējdarbības vidi Latvijā. Pie tam, ostu pārvaldes dalība Latvijas augstu valsts amatpersonu vizītē nedublē pašvaldības vai plānošanas reģiona pārstāvību, jo ostu pārvalde uzrunā atšķirīgu mērķa segmentu.</w:t>
            </w:r>
          </w:p>
          <w:p w14:paraId="7D1AFEB0" w14:textId="77777777" w:rsidR="00B7411F" w:rsidRPr="001F51C3" w:rsidRDefault="00B7411F" w:rsidP="000E7D44">
            <w:pPr>
              <w:autoSpaceDE w:val="0"/>
              <w:autoSpaceDN w:val="0"/>
              <w:spacing w:after="120"/>
              <w:jc w:val="both"/>
              <w:rPr>
                <w:sz w:val="26"/>
                <w:szCs w:val="26"/>
              </w:rPr>
            </w:pPr>
            <w:r w:rsidRPr="001F51C3">
              <w:rPr>
                <w:b/>
                <w:sz w:val="26"/>
                <w:szCs w:val="26"/>
              </w:rPr>
              <w:t>Pašvaldības vai  plānošanas reģiona projekts, kas neietver saimnieciskas darbības</w:t>
            </w:r>
            <w:r w:rsidRPr="001F51C3">
              <w:rPr>
                <w:sz w:val="26"/>
                <w:szCs w:val="26"/>
              </w:rPr>
              <w:t xml:space="preserve"> ir tāds, piemēram, kas iesniegts dalībai nacionālā stendā starptautiskā tūrisma izstādē, un  pašvaldība vai plānošanas reģions pārstāv savu administratīvo teritoriju kā tūrisma galamērķi, nereklamējot konkrētu MVU, kas darbojas vai sniedz pakalpojumus atbilstošajā teritorijā t.i. projektā gala labuma guvēji nav tieši minami un uzskaitāmi, jo labumu gūst visa pašvaldība vai plānošanas reģions.  </w:t>
            </w:r>
          </w:p>
          <w:p w14:paraId="0FA9A04C" w14:textId="77777777" w:rsidR="00B7411F" w:rsidRPr="001F51C3" w:rsidRDefault="00B7411F" w:rsidP="000E7D44">
            <w:pPr>
              <w:autoSpaceDE w:val="0"/>
              <w:autoSpaceDN w:val="0"/>
              <w:spacing w:after="120"/>
              <w:jc w:val="both"/>
              <w:rPr>
                <w:sz w:val="26"/>
                <w:szCs w:val="26"/>
              </w:rPr>
            </w:pPr>
            <w:r w:rsidRPr="001F51C3">
              <w:rPr>
                <w:sz w:val="26"/>
                <w:szCs w:val="26"/>
              </w:rPr>
              <w:t xml:space="preserve">Savukārt </w:t>
            </w:r>
            <w:r w:rsidRPr="001F51C3">
              <w:rPr>
                <w:b/>
                <w:sz w:val="26"/>
                <w:szCs w:val="26"/>
              </w:rPr>
              <w:t>biedrības vai nodibinājuma projekts, kas nav saistīts ar saimnieciskās darbības īstenošanu</w:t>
            </w:r>
            <w:r w:rsidRPr="001F51C3">
              <w:rPr>
                <w:sz w:val="26"/>
                <w:szCs w:val="26"/>
              </w:rPr>
              <w:t xml:space="preserve"> ir tādā gadījumā, kad biedrība vai nodibinājums, piemēram, starptautiskā konferencē vai nacionālajā stendā ārvalstīs pārstāv nozari kopumā un nav iespējams identificēt konkrētu labuma guvēju (juridisku personu), bet saimnieciska rakstura projekts ir tad, ja biedrība pārstāv sevi kā biedrību ar savu saimniecisko darbību – biedrībai tiek uzskaitīts </w:t>
            </w:r>
            <w:proofErr w:type="spellStart"/>
            <w:r w:rsidRPr="001F51C3">
              <w:rPr>
                <w:i/>
                <w:sz w:val="26"/>
                <w:szCs w:val="26"/>
              </w:rPr>
              <w:t>de</w:t>
            </w:r>
            <w:proofErr w:type="spellEnd"/>
            <w:r w:rsidRPr="001F51C3">
              <w:rPr>
                <w:i/>
                <w:sz w:val="26"/>
                <w:szCs w:val="26"/>
              </w:rPr>
              <w:t xml:space="preserve"> </w:t>
            </w:r>
            <w:proofErr w:type="spellStart"/>
            <w:r w:rsidRPr="001F51C3">
              <w:rPr>
                <w:i/>
                <w:sz w:val="26"/>
                <w:szCs w:val="26"/>
              </w:rPr>
              <w:t>minimis</w:t>
            </w:r>
            <w:proofErr w:type="spellEnd"/>
            <w:r w:rsidRPr="001F51C3">
              <w:rPr>
                <w:sz w:val="26"/>
                <w:szCs w:val="26"/>
              </w:rPr>
              <w:t xml:space="preserve">. </w:t>
            </w:r>
          </w:p>
          <w:p w14:paraId="1AB7098B" w14:textId="39D9F0B0" w:rsidR="00B161EA" w:rsidRPr="001F51C3" w:rsidRDefault="00B161EA" w:rsidP="000E7D44">
            <w:pPr>
              <w:autoSpaceDE w:val="0"/>
              <w:autoSpaceDN w:val="0"/>
              <w:spacing w:after="120"/>
              <w:jc w:val="both"/>
              <w:rPr>
                <w:sz w:val="26"/>
                <w:szCs w:val="26"/>
              </w:rPr>
            </w:pPr>
            <w:r w:rsidRPr="001F51C3">
              <w:rPr>
                <w:sz w:val="26"/>
                <w:szCs w:val="26"/>
              </w:rPr>
              <w:t xml:space="preserve">TAVA </w:t>
            </w:r>
            <w:r w:rsidR="00AD4935" w:rsidRPr="001F51C3">
              <w:rPr>
                <w:sz w:val="26"/>
                <w:szCs w:val="26"/>
              </w:rPr>
              <w:t xml:space="preserve">un LIAA </w:t>
            </w:r>
            <w:r w:rsidRPr="001F51C3">
              <w:rPr>
                <w:sz w:val="26"/>
                <w:szCs w:val="26"/>
              </w:rPr>
              <w:t>atbalstāmās darbības īstenos atbilstoši 3.2.1.2.</w:t>
            </w:r>
            <w:r w:rsidR="00AD4935" w:rsidRPr="001F51C3">
              <w:rPr>
                <w:sz w:val="26"/>
                <w:szCs w:val="26"/>
              </w:rPr>
              <w:t xml:space="preserve">pasākuma īstenošanas stratēģijām (procesa aprakstiem). </w:t>
            </w:r>
            <w:r w:rsidRPr="001F51C3">
              <w:rPr>
                <w:sz w:val="26"/>
                <w:szCs w:val="26"/>
              </w:rPr>
              <w:t>TAVA pasākuma īstenošanas stratēģija, saturēs kvalitatīvu informāciju par to kā tiks pārvaldīta projekta darbība (procesa apraksts), paredzot to, kā tiks nodrošināta pasākuma mērķa tirgu un mērķa nišu (darījumu un pasākumu tūrisms, labsajūtas tūrisms), plānoto aktivitāšu koriģēšana, mainoties starptautiskiem vai citiem faktoriem, tajā skaitā, kādas finansējuma saņēmēja plānotās aktivitātes primāri tiks koriģētas atbilstoši tirgus situācijai.</w:t>
            </w:r>
            <w:r w:rsidR="00AD4935" w:rsidRPr="001F51C3">
              <w:rPr>
                <w:sz w:val="26"/>
                <w:szCs w:val="26"/>
              </w:rPr>
              <w:t xml:space="preserve"> </w:t>
            </w:r>
            <w:r w:rsidRPr="001F51C3">
              <w:rPr>
                <w:sz w:val="26"/>
                <w:szCs w:val="26"/>
              </w:rPr>
              <w:t>LIAA</w:t>
            </w:r>
            <w:r w:rsidR="00AD4935" w:rsidRPr="001F51C3">
              <w:rPr>
                <w:sz w:val="26"/>
                <w:szCs w:val="26"/>
              </w:rPr>
              <w:t xml:space="preserve"> pasākuma īstenošanas stratēģija</w:t>
            </w:r>
            <w:r w:rsidRPr="001F51C3">
              <w:rPr>
                <w:sz w:val="26"/>
                <w:szCs w:val="26"/>
              </w:rPr>
              <w:t xml:space="preserve"> </w:t>
            </w:r>
            <w:r w:rsidR="00AD4935" w:rsidRPr="001F51C3">
              <w:rPr>
                <w:sz w:val="26"/>
                <w:szCs w:val="26"/>
              </w:rPr>
              <w:t xml:space="preserve">tostarp saturēs informāciju, attiecībā uz Latvijas ārējo ekonomisko pārstāvniecību turpmāko atbalstu, darbību, pārskatīšanas principiem un kārtību, kā arī paredzot, kā tiks nodrošināta pasākuma mērķa tirgu un paredzēto aktivitāšu  koriģēšana, mainoties starptautiskiem vai citiem faktoriem. </w:t>
            </w:r>
            <w:r w:rsidRPr="001F51C3">
              <w:rPr>
                <w:sz w:val="26"/>
                <w:szCs w:val="26"/>
              </w:rPr>
              <w:t xml:space="preserve">Stratēģija ir jāsaskaņo ar Ekonomikas ministriju kā </w:t>
            </w:r>
            <w:r w:rsidR="00AD4935" w:rsidRPr="001F51C3">
              <w:rPr>
                <w:sz w:val="26"/>
                <w:szCs w:val="26"/>
              </w:rPr>
              <w:t>par nozari atbildīgo ministriju,  un jāiesniedz kopā ar projekta iesniegumu C</w:t>
            </w:r>
            <w:r w:rsidR="00F646FF" w:rsidRPr="001F51C3">
              <w:rPr>
                <w:sz w:val="26"/>
                <w:szCs w:val="26"/>
              </w:rPr>
              <w:t>FLA</w:t>
            </w:r>
            <w:r w:rsidR="00AD4935" w:rsidRPr="001F51C3">
              <w:rPr>
                <w:sz w:val="26"/>
                <w:szCs w:val="26"/>
              </w:rPr>
              <w:t>.</w:t>
            </w:r>
          </w:p>
          <w:p w14:paraId="7DDD3A1B" w14:textId="47739429" w:rsidR="00C563D9" w:rsidRPr="001F51C3" w:rsidRDefault="00C563D9" w:rsidP="000E7D44">
            <w:pPr>
              <w:autoSpaceDE w:val="0"/>
              <w:autoSpaceDN w:val="0"/>
              <w:spacing w:after="120"/>
              <w:jc w:val="both"/>
              <w:rPr>
                <w:sz w:val="26"/>
                <w:szCs w:val="26"/>
              </w:rPr>
            </w:pPr>
            <w:r w:rsidRPr="001F51C3">
              <w:rPr>
                <w:sz w:val="26"/>
                <w:szCs w:val="26"/>
              </w:rPr>
              <w:t>Finansējuma saņēmēji nacionālā stenda dalībniekiem 3.2.1.2.pasākuma ietvaros nodrošinās nacionālā stenda izmaksu pozīcijas, un atbalsta aprēķinus veiks, izdalot visas par konkrētā nacionālā stenda organizēšanu radušās izmaksas (izņemot ceļa (transporta) izmaksas) ar atbalstu saņēmušo nacionālā stenda dalībnieku skaitu.  Izmaksas tiks segas 100% apmērā, izņemot ceļa (transporta) izdevumu izmaksas, kuras tiks segtas 80 % apmērā.</w:t>
            </w:r>
          </w:p>
          <w:p w14:paraId="5C78A063" w14:textId="5B322D78" w:rsidR="004752C6" w:rsidRPr="001F51C3" w:rsidRDefault="004752C6" w:rsidP="000E7D44">
            <w:pPr>
              <w:autoSpaceDE w:val="0"/>
              <w:autoSpaceDN w:val="0"/>
              <w:spacing w:after="120"/>
              <w:jc w:val="both"/>
              <w:rPr>
                <w:sz w:val="26"/>
                <w:szCs w:val="26"/>
              </w:rPr>
            </w:pPr>
            <w:r w:rsidRPr="001F51C3">
              <w:rPr>
                <w:bCs/>
                <w:sz w:val="26"/>
                <w:szCs w:val="26"/>
              </w:rPr>
              <w:t xml:space="preserve">3.2.1.2. pasākumā </w:t>
            </w:r>
            <w:r w:rsidR="00C563D9" w:rsidRPr="001F51C3">
              <w:rPr>
                <w:bCs/>
                <w:sz w:val="26"/>
                <w:szCs w:val="26"/>
              </w:rPr>
              <w:t>LIAA</w:t>
            </w:r>
            <w:r w:rsidRPr="001F51C3">
              <w:rPr>
                <w:bCs/>
                <w:sz w:val="26"/>
                <w:szCs w:val="26"/>
              </w:rPr>
              <w:t xml:space="preserve"> nodrošinās, katras atbalstāmās darbības ietvaros, atbilstošajiem mērķa grupas subjektiem </w:t>
            </w:r>
            <w:r w:rsidR="001A6C37" w:rsidRPr="001F51C3">
              <w:rPr>
                <w:bCs/>
                <w:sz w:val="26"/>
                <w:szCs w:val="26"/>
              </w:rPr>
              <w:t xml:space="preserve">izmaksas </w:t>
            </w:r>
            <w:r w:rsidR="00AD4935" w:rsidRPr="001F51C3">
              <w:rPr>
                <w:bCs/>
                <w:sz w:val="26"/>
                <w:szCs w:val="26"/>
              </w:rPr>
              <w:t xml:space="preserve">to </w:t>
            </w:r>
            <w:r w:rsidR="001A6C37" w:rsidRPr="001F51C3">
              <w:rPr>
                <w:bCs/>
                <w:sz w:val="26"/>
                <w:szCs w:val="26"/>
              </w:rPr>
              <w:t xml:space="preserve">ražotņu un </w:t>
            </w:r>
            <w:r w:rsidRPr="001F51C3">
              <w:rPr>
                <w:bCs/>
                <w:sz w:val="26"/>
                <w:szCs w:val="26"/>
              </w:rPr>
              <w:t>pr</w:t>
            </w:r>
            <w:r w:rsidR="00AD4935" w:rsidRPr="001F51C3">
              <w:rPr>
                <w:bCs/>
                <w:sz w:val="26"/>
                <w:szCs w:val="26"/>
              </w:rPr>
              <w:t xml:space="preserve">oduktu atbilstības novērtēšanai, </w:t>
            </w:r>
            <w:r w:rsidRPr="001F51C3">
              <w:rPr>
                <w:bCs/>
                <w:sz w:val="26"/>
                <w:szCs w:val="26"/>
              </w:rPr>
              <w:t xml:space="preserve">individuālo stendu, konferenču un semināru </w:t>
            </w:r>
            <w:r w:rsidR="001A6C37" w:rsidRPr="001F51C3">
              <w:rPr>
                <w:bCs/>
                <w:sz w:val="26"/>
                <w:szCs w:val="26"/>
              </w:rPr>
              <w:t xml:space="preserve">dalības </w:t>
            </w:r>
            <w:r w:rsidRPr="001F51C3">
              <w:rPr>
                <w:bCs/>
                <w:sz w:val="26"/>
                <w:szCs w:val="26"/>
              </w:rPr>
              <w:t>izmaksas,</w:t>
            </w:r>
            <w:r w:rsidRPr="001F51C3">
              <w:rPr>
                <w:sz w:val="26"/>
                <w:szCs w:val="26"/>
              </w:rPr>
              <w:t xml:space="preserve"> </w:t>
            </w:r>
            <w:r w:rsidRPr="001F51C3">
              <w:rPr>
                <w:bCs/>
                <w:sz w:val="26"/>
                <w:szCs w:val="26"/>
              </w:rPr>
              <w:t>Latvijas augstu valsts amatpersonu vizīšu</w:t>
            </w:r>
            <w:r w:rsidR="001A6C37" w:rsidRPr="001F51C3">
              <w:rPr>
                <w:bCs/>
                <w:sz w:val="26"/>
                <w:szCs w:val="26"/>
              </w:rPr>
              <w:t xml:space="preserve"> dalības izmaksas, tirdzniecības misijas dalības izmaksas,  sedzot 80 % no tām izmaksām (ieskaitot ceļa (transporta) izdevumus</w:t>
            </w:r>
            <w:r w:rsidR="002F2DB3" w:rsidRPr="001F51C3">
              <w:rPr>
                <w:bCs/>
                <w:sz w:val="26"/>
                <w:szCs w:val="26"/>
              </w:rPr>
              <w:t>)</w:t>
            </w:r>
            <w:r w:rsidR="001A6C37" w:rsidRPr="001F51C3">
              <w:rPr>
                <w:bCs/>
                <w:sz w:val="26"/>
                <w:szCs w:val="26"/>
              </w:rPr>
              <w:t>. Savukārt LIAA un tās Latvijas ārvalstu ekonomisko pārstāvniecību konsultāciju izmaksas segs 100 % apmērā un aprēķinu veiks atbilstoši LIAA apstiprinātajam cenrādim.</w:t>
            </w:r>
          </w:p>
          <w:p w14:paraId="0B23140A" w14:textId="13F5D273" w:rsidR="001A6C37" w:rsidRPr="001F51C3" w:rsidRDefault="001A6C37" w:rsidP="000E7D44">
            <w:pPr>
              <w:autoSpaceDE w:val="0"/>
              <w:autoSpaceDN w:val="0"/>
              <w:spacing w:after="120"/>
              <w:jc w:val="both"/>
              <w:rPr>
                <w:bCs/>
                <w:sz w:val="26"/>
                <w:szCs w:val="26"/>
              </w:rPr>
            </w:pPr>
            <w:r w:rsidRPr="001F51C3">
              <w:rPr>
                <w:bCs/>
                <w:sz w:val="26"/>
                <w:szCs w:val="26"/>
              </w:rPr>
              <w:t>3.2.1.2. pasākumā TAVA nodrošinās, katras atbalstāmās darbības ietvaros, atbilstošajiem mērķa grupas subjektiem izmaksas</w:t>
            </w:r>
            <w:r w:rsidR="002F2DB3" w:rsidRPr="001F51C3">
              <w:rPr>
                <w:sz w:val="26"/>
                <w:szCs w:val="26"/>
              </w:rPr>
              <w:t xml:space="preserve"> </w:t>
            </w:r>
            <w:r w:rsidR="002F2DB3" w:rsidRPr="001F51C3">
              <w:rPr>
                <w:bCs/>
                <w:sz w:val="26"/>
                <w:szCs w:val="26"/>
              </w:rPr>
              <w:t>individuālo stendu, konferenču un semināru dalības izmaksas,</w:t>
            </w:r>
            <w:r w:rsidR="002F2DB3" w:rsidRPr="001F51C3">
              <w:rPr>
                <w:sz w:val="26"/>
                <w:szCs w:val="26"/>
              </w:rPr>
              <w:t xml:space="preserve"> </w:t>
            </w:r>
            <w:r w:rsidR="002F2DB3" w:rsidRPr="001F51C3">
              <w:rPr>
                <w:bCs/>
                <w:sz w:val="26"/>
                <w:szCs w:val="26"/>
              </w:rPr>
              <w:t xml:space="preserve">sedzot 80 % no tām (ieskaitot ceļa (transporta) izdevumus). </w:t>
            </w:r>
          </w:p>
          <w:p w14:paraId="3535D9AC" w14:textId="509E666B" w:rsidR="006A34FF" w:rsidRPr="001F51C3" w:rsidRDefault="006A34FF" w:rsidP="000E7D44">
            <w:pPr>
              <w:pStyle w:val="Default"/>
              <w:spacing w:after="120"/>
              <w:jc w:val="both"/>
              <w:rPr>
                <w:sz w:val="26"/>
                <w:szCs w:val="26"/>
              </w:rPr>
            </w:pPr>
            <w:r w:rsidRPr="001F51C3">
              <w:rPr>
                <w:sz w:val="26"/>
                <w:szCs w:val="26"/>
              </w:rPr>
              <w:t xml:space="preserve">Ņemot vērā to, ka ar 3.2.1.2.pasākumu tiek nodrošināta  2.3.1.1.2.apakšaktivitātes sniegtā atbalsta pēctecība, līdz ar to Ekonomikas ministrijas ir izstrādājusi sākotnējo novērtējumu. Tā mērķis ir sniegt detalizētāku informāciju par plānoto atbalstu 3.2.1.2.pasākuma ietvaros un 2.3.1.1.2.apakšaktivitātes </w:t>
            </w:r>
            <w:r w:rsidR="00BC4986" w:rsidRPr="001F51C3">
              <w:rPr>
                <w:sz w:val="26"/>
                <w:szCs w:val="26"/>
              </w:rPr>
              <w:t>un 2.3.1.1.1</w:t>
            </w:r>
            <w:r w:rsidR="00092E50" w:rsidRPr="001F51C3">
              <w:rPr>
                <w:sz w:val="26"/>
                <w:szCs w:val="26"/>
              </w:rPr>
              <w:t>.</w:t>
            </w:r>
            <w:r w:rsidR="00BC4986" w:rsidRPr="001F51C3">
              <w:rPr>
                <w:sz w:val="26"/>
                <w:szCs w:val="26"/>
              </w:rPr>
              <w:t xml:space="preserve">apakšaktivitātes </w:t>
            </w:r>
            <w:r w:rsidRPr="001F51C3">
              <w:rPr>
                <w:sz w:val="26"/>
                <w:szCs w:val="26"/>
              </w:rPr>
              <w:t xml:space="preserve">ietekmes novērtējumu. </w:t>
            </w:r>
          </w:p>
          <w:p w14:paraId="6DEC7672" w14:textId="403A9E01" w:rsidR="006A34FF" w:rsidRPr="001F51C3" w:rsidRDefault="006A34FF" w:rsidP="000E7D44">
            <w:pPr>
              <w:pStyle w:val="Default"/>
              <w:spacing w:after="120"/>
              <w:jc w:val="both"/>
              <w:rPr>
                <w:b/>
                <w:sz w:val="26"/>
                <w:szCs w:val="26"/>
              </w:rPr>
            </w:pPr>
            <w:r w:rsidRPr="001F51C3">
              <w:rPr>
                <w:b/>
                <w:sz w:val="26"/>
                <w:szCs w:val="26"/>
              </w:rPr>
              <w:t xml:space="preserve">Sākotnējā novērtējuma būtiskākie secinājumi un ieteikumi </w:t>
            </w:r>
            <w:r w:rsidR="00B21AFB" w:rsidRPr="001F51C3">
              <w:rPr>
                <w:b/>
                <w:sz w:val="26"/>
                <w:szCs w:val="26"/>
              </w:rPr>
              <w:t xml:space="preserve">par 2.3.1.1.2.apakšaktivitāti </w:t>
            </w:r>
            <w:r w:rsidRPr="001F51C3">
              <w:rPr>
                <w:b/>
                <w:sz w:val="26"/>
                <w:szCs w:val="26"/>
              </w:rPr>
              <w:t>ir minami šādi:</w:t>
            </w:r>
          </w:p>
          <w:p w14:paraId="2388E0E3" w14:textId="77777777" w:rsidR="006A34FF" w:rsidRPr="001F51C3" w:rsidRDefault="006A34FF" w:rsidP="000E7D44">
            <w:pPr>
              <w:numPr>
                <w:ilvl w:val="0"/>
                <w:numId w:val="3"/>
              </w:numPr>
              <w:contextualSpacing/>
              <w:jc w:val="both"/>
              <w:rPr>
                <w:rFonts w:eastAsia="Times New Roman"/>
                <w:sz w:val="26"/>
                <w:szCs w:val="26"/>
                <w:lang w:eastAsia="en-US"/>
              </w:rPr>
            </w:pPr>
            <w:r w:rsidRPr="001F51C3">
              <w:rPr>
                <w:rFonts w:eastAsia="Times New Roman"/>
                <w:sz w:val="26"/>
                <w:szCs w:val="26"/>
                <w:lang w:eastAsia="en-US"/>
              </w:rPr>
              <w:t xml:space="preserve">nacionālie stendi un tirdzniecības misijas organizētas eksporta veicināšanas politikas plānošanas dokumentiem atbilstošajos prioritārajos tirgos un nozarēs – visvairāk nacionālo stendu organizēts </w:t>
            </w:r>
            <w:proofErr w:type="spellStart"/>
            <w:r w:rsidRPr="001F51C3">
              <w:rPr>
                <w:rFonts w:eastAsia="Times New Roman"/>
                <w:sz w:val="26"/>
                <w:szCs w:val="26"/>
                <w:lang w:eastAsia="en-US"/>
              </w:rPr>
              <w:t>inženiernozaru</w:t>
            </w:r>
            <w:proofErr w:type="spellEnd"/>
            <w:r w:rsidRPr="001F51C3">
              <w:rPr>
                <w:rFonts w:eastAsia="Times New Roman"/>
                <w:sz w:val="26"/>
                <w:szCs w:val="26"/>
                <w:lang w:eastAsia="en-US"/>
              </w:rPr>
              <w:t xml:space="preserve"> (9), pārtikas (8) un dizaina (8) nozaru starptautiskajās izstādēs;</w:t>
            </w:r>
          </w:p>
          <w:p w14:paraId="5528267A" w14:textId="115F4159" w:rsidR="006A34FF" w:rsidRPr="001F51C3" w:rsidRDefault="006A34FF" w:rsidP="000E7D44">
            <w:pPr>
              <w:numPr>
                <w:ilvl w:val="0"/>
                <w:numId w:val="3"/>
              </w:numPr>
              <w:contextualSpacing/>
              <w:jc w:val="both"/>
              <w:rPr>
                <w:rFonts w:eastAsia="Times New Roman"/>
                <w:sz w:val="26"/>
                <w:szCs w:val="26"/>
                <w:lang w:eastAsia="en-US"/>
              </w:rPr>
            </w:pPr>
            <w:r w:rsidRPr="001F51C3">
              <w:rPr>
                <w:rFonts w:eastAsia="Times New Roman"/>
                <w:sz w:val="26"/>
                <w:szCs w:val="26"/>
                <w:lang w:eastAsia="en-US"/>
              </w:rPr>
              <w:t>58 LIAA organizētajos nacionālajos stendos kop</w:t>
            </w:r>
            <w:r w:rsidR="000024B9" w:rsidRPr="001F51C3">
              <w:rPr>
                <w:rFonts w:eastAsia="Times New Roman"/>
                <w:sz w:val="26"/>
                <w:szCs w:val="26"/>
                <w:lang w:eastAsia="en-US"/>
              </w:rPr>
              <w:t>ā piedalījušies 411 dalībnieki;</w:t>
            </w:r>
          </w:p>
          <w:p w14:paraId="0058F123" w14:textId="77777777" w:rsidR="006A34FF" w:rsidRPr="001F51C3" w:rsidRDefault="006A34FF" w:rsidP="000E7D44">
            <w:pPr>
              <w:numPr>
                <w:ilvl w:val="0"/>
                <w:numId w:val="3"/>
              </w:numPr>
              <w:contextualSpacing/>
              <w:jc w:val="both"/>
              <w:rPr>
                <w:rFonts w:eastAsia="Times New Roman"/>
                <w:sz w:val="26"/>
                <w:szCs w:val="26"/>
                <w:lang w:eastAsia="en-US"/>
              </w:rPr>
            </w:pPr>
            <w:r w:rsidRPr="001F51C3">
              <w:rPr>
                <w:rFonts w:eastAsia="Times New Roman"/>
                <w:sz w:val="26"/>
                <w:szCs w:val="26"/>
                <w:lang w:eastAsia="en-US"/>
              </w:rPr>
              <w:t>atbalsta saņēmēji atzinīgi novērtē 3.1.1.2.apakšaktivitātē LIAA sniegto atbalstu un norāda, ka šāds atbalsts palīdz tiem apgūt jaunus eksporta tirgus, kā arī dalībnieki norāda uz vēlmi izmantot atbalstu arī turpmāk;</w:t>
            </w:r>
          </w:p>
          <w:p w14:paraId="6F2784E2" w14:textId="77777777" w:rsidR="006A34FF" w:rsidRPr="001F51C3" w:rsidRDefault="006A34FF" w:rsidP="000E7D44">
            <w:pPr>
              <w:numPr>
                <w:ilvl w:val="0"/>
                <w:numId w:val="3"/>
              </w:numPr>
              <w:contextualSpacing/>
              <w:jc w:val="both"/>
              <w:rPr>
                <w:rFonts w:eastAsia="Times New Roman"/>
                <w:sz w:val="26"/>
                <w:szCs w:val="26"/>
                <w:lang w:eastAsia="en-US"/>
              </w:rPr>
            </w:pPr>
            <w:r w:rsidRPr="001F51C3">
              <w:rPr>
                <w:rFonts w:eastAsia="Times New Roman"/>
                <w:sz w:val="26"/>
                <w:szCs w:val="26"/>
                <w:lang w:eastAsia="en-US"/>
              </w:rPr>
              <w:t>Latvijas kā tūrisma galamērķa konkurētspējas stiprināšana ārējos tirgos projekts galvenokārt tiek īstenots TAVA noteiktajos 6 augsti prioritārajos mērķa tirgos;</w:t>
            </w:r>
          </w:p>
          <w:p w14:paraId="5A21C2A5" w14:textId="77777777" w:rsidR="006A34FF" w:rsidRPr="001F51C3" w:rsidRDefault="006A34FF" w:rsidP="000E7D44">
            <w:pPr>
              <w:numPr>
                <w:ilvl w:val="0"/>
                <w:numId w:val="3"/>
              </w:numPr>
              <w:contextualSpacing/>
              <w:jc w:val="both"/>
              <w:rPr>
                <w:rFonts w:eastAsia="Times New Roman"/>
                <w:sz w:val="26"/>
                <w:szCs w:val="26"/>
                <w:lang w:eastAsia="en-US"/>
              </w:rPr>
            </w:pPr>
            <w:r w:rsidRPr="001F51C3">
              <w:rPr>
                <w:rFonts w:eastAsia="Times New Roman"/>
                <w:color w:val="000000"/>
                <w:sz w:val="26"/>
                <w:szCs w:val="26"/>
                <w:lang w:eastAsia="en-US"/>
              </w:rPr>
              <w:t>ES fondu plānošanas periodā (2011.-2014.) nacionālajos stendos piedalījās 450 dalībnieki un tika nodibināti 13,5 tūkstoši biznesa kontakti, no kuriem 9,2 tūkstoši bija jauni, savukārt 4,3 – uzturētie kontakti, kā arī noslēgti pavisam 463 līgumi. Viena kontakta izveidošana izmaksā aptuveni 109 EUR;</w:t>
            </w:r>
          </w:p>
          <w:p w14:paraId="5C35156C" w14:textId="6AF7452D" w:rsidR="006A34FF" w:rsidRPr="001F51C3" w:rsidRDefault="006A34FF" w:rsidP="000E7D44">
            <w:pPr>
              <w:numPr>
                <w:ilvl w:val="0"/>
                <w:numId w:val="3"/>
              </w:numPr>
              <w:contextualSpacing/>
              <w:jc w:val="both"/>
              <w:rPr>
                <w:rFonts w:eastAsia="Times New Roman"/>
                <w:sz w:val="26"/>
                <w:szCs w:val="26"/>
                <w:lang w:eastAsia="en-US"/>
              </w:rPr>
            </w:pPr>
            <w:r w:rsidRPr="001F51C3">
              <w:rPr>
                <w:rFonts w:eastAsia="Times New Roman"/>
                <w:color w:val="000000"/>
                <w:sz w:val="26"/>
                <w:szCs w:val="26"/>
                <w:lang w:eastAsia="en-US"/>
              </w:rPr>
              <w:t>nākamajā periodā tiek plānots piedalīties vairāk B2C (</w:t>
            </w:r>
            <w:proofErr w:type="spellStart"/>
            <w:r w:rsidRPr="001F51C3">
              <w:rPr>
                <w:rFonts w:eastAsia="Times New Roman"/>
                <w:i/>
                <w:color w:val="000000"/>
                <w:sz w:val="26"/>
                <w:szCs w:val="26"/>
                <w:lang w:eastAsia="en-US"/>
              </w:rPr>
              <w:t>business</w:t>
            </w:r>
            <w:proofErr w:type="spellEnd"/>
            <w:r w:rsidRPr="001F51C3">
              <w:rPr>
                <w:rFonts w:eastAsia="Times New Roman"/>
                <w:i/>
                <w:color w:val="000000"/>
                <w:sz w:val="26"/>
                <w:szCs w:val="26"/>
                <w:lang w:eastAsia="en-US"/>
              </w:rPr>
              <w:t xml:space="preserve"> to </w:t>
            </w:r>
            <w:proofErr w:type="spellStart"/>
            <w:r w:rsidRPr="001F51C3">
              <w:rPr>
                <w:rFonts w:eastAsia="Times New Roman"/>
                <w:i/>
                <w:color w:val="000000"/>
                <w:sz w:val="26"/>
                <w:szCs w:val="26"/>
                <w:lang w:eastAsia="en-US"/>
              </w:rPr>
              <w:t>customers</w:t>
            </w:r>
            <w:proofErr w:type="spellEnd"/>
            <w:r w:rsidRPr="001F51C3">
              <w:rPr>
                <w:rFonts w:eastAsia="Times New Roman"/>
                <w:color w:val="000000"/>
                <w:sz w:val="26"/>
                <w:szCs w:val="26"/>
                <w:lang w:eastAsia="en-US"/>
              </w:rPr>
              <w:t>) izstādēs, jo par B2B (</w:t>
            </w:r>
            <w:proofErr w:type="spellStart"/>
            <w:r w:rsidRPr="001F51C3">
              <w:rPr>
                <w:rFonts w:eastAsia="Times New Roman"/>
                <w:i/>
                <w:color w:val="000000"/>
                <w:sz w:val="26"/>
                <w:szCs w:val="26"/>
                <w:lang w:eastAsia="en-US"/>
              </w:rPr>
              <w:t>business</w:t>
            </w:r>
            <w:proofErr w:type="spellEnd"/>
            <w:r w:rsidRPr="001F51C3">
              <w:rPr>
                <w:rFonts w:eastAsia="Times New Roman"/>
                <w:i/>
                <w:color w:val="000000"/>
                <w:sz w:val="26"/>
                <w:szCs w:val="26"/>
                <w:lang w:eastAsia="en-US"/>
              </w:rPr>
              <w:t xml:space="preserve"> to </w:t>
            </w:r>
            <w:proofErr w:type="spellStart"/>
            <w:r w:rsidRPr="001F51C3">
              <w:rPr>
                <w:rFonts w:eastAsia="Times New Roman"/>
                <w:i/>
                <w:color w:val="000000"/>
                <w:sz w:val="26"/>
                <w:szCs w:val="26"/>
                <w:lang w:eastAsia="en-US"/>
              </w:rPr>
              <w:t>business</w:t>
            </w:r>
            <w:proofErr w:type="spellEnd"/>
            <w:r w:rsidRPr="001F51C3">
              <w:rPr>
                <w:rFonts w:eastAsia="Times New Roman"/>
                <w:color w:val="000000"/>
                <w:sz w:val="26"/>
                <w:szCs w:val="26"/>
                <w:lang w:eastAsia="en-US"/>
              </w:rPr>
              <w:t>) efektīvāka forma ir darbsemināri, prezentācijas, darbse</w:t>
            </w:r>
            <w:r w:rsidR="00F53A6F" w:rsidRPr="001F51C3">
              <w:rPr>
                <w:rFonts w:eastAsia="Times New Roman"/>
                <w:color w:val="000000"/>
                <w:sz w:val="26"/>
                <w:szCs w:val="26"/>
                <w:lang w:eastAsia="en-US"/>
              </w:rPr>
              <w:t>mināru virkne vairākās pilsētās</w:t>
            </w:r>
            <w:r w:rsidRPr="001F51C3">
              <w:rPr>
                <w:rFonts w:eastAsia="Times New Roman"/>
                <w:color w:val="000000"/>
                <w:sz w:val="26"/>
                <w:szCs w:val="26"/>
                <w:lang w:eastAsia="en-US"/>
              </w:rPr>
              <w:t xml:space="preserve"> </w:t>
            </w:r>
            <w:r w:rsidR="00F53A6F" w:rsidRPr="001F51C3">
              <w:rPr>
                <w:rFonts w:eastAsia="Times New Roman"/>
                <w:i/>
                <w:color w:val="000000"/>
                <w:sz w:val="26"/>
                <w:szCs w:val="26"/>
                <w:lang w:eastAsia="en-US"/>
              </w:rPr>
              <w:t xml:space="preserve"> (</w:t>
            </w:r>
            <w:proofErr w:type="spellStart"/>
            <w:r w:rsidR="00F53A6F" w:rsidRPr="001F51C3">
              <w:rPr>
                <w:rFonts w:eastAsia="Times New Roman"/>
                <w:i/>
                <w:color w:val="000000"/>
                <w:sz w:val="26"/>
                <w:szCs w:val="26"/>
                <w:lang w:eastAsia="en-US"/>
              </w:rPr>
              <w:t>roadshows</w:t>
            </w:r>
            <w:proofErr w:type="spellEnd"/>
            <w:r w:rsidR="00F53A6F" w:rsidRPr="001F51C3">
              <w:rPr>
                <w:rFonts w:eastAsia="Times New Roman"/>
                <w:i/>
                <w:color w:val="000000"/>
                <w:sz w:val="26"/>
                <w:szCs w:val="26"/>
                <w:lang w:eastAsia="en-US"/>
              </w:rPr>
              <w:t>)</w:t>
            </w:r>
            <w:r w:rsidR="00F53A6F" w:rsidRPr="001F51C3">
              <w:rPr>
                <w:rFonts w:eastAsia="Times New Roman"/>
                <w:color w:val="000000"/>
                <w:sz w:val="26"/>
                <w:szCs w:val="26"/>
                <w:lang w:eastAsia="en-US"/>
              </w:rPr>
              <w:t xml:space="preserve"> </w:t>
            </w:r>
            <w:r w:rsidRPr="001F51C3">
              <w:rPr>
                <w:rFonts w:eastAsia="Times New Roman"/>
                <w:color w:val="000000"/>
                <w:sz w:val="26"/>
                <w:szCs w:val="26"/>
                <w:lang w:eastAsia="en-US"/>
              </w:rPr>
              <w:t>prioritārajos tūrisma tirgos;</w:t>
            </w:r>
          </w:p>
          <w:p w14:paraId="7B83B622" w14:textId="77777777" w:rsidR="006A34FF" w:rsidRPr="001F51C3" w:rsidRDefault="006A34FF" w:rsidP="000E7D44">
            <w:pPr>
              <w:numPr>
                <w:ilvl w:val="0"/>
                <w:numId w:val="3"/>
              </w:numPr>
              <w:contextualSpacing/>
              <w:jc w:val="both"/>
              <w:rPr>
                <w:rFonts w:eastAsia="Times New Roman"/>
                <w:sz w:val="26"/>
                <w:szCs w:val="26"/>
                <w:lang w:eastAsia="en-US"/>
              </w:rPr>
            </w:pPr>
            <w:r w:rsidRPr="001F51C3">
              <w:rPr>
                <w:rFonts w:eastAsia="Times New Roman"/>
                <w:sz w:val="26"/>
                <w:szCs w:val="26"/>
                <w:lang w:eastAsia="en-US"/>
              </w:rPr>
              <w:t xml:space="preserve">tūrisma mārketinga aktivitāšu un reklāmas kampaņu organizēšanā pavisam tika īstenota 21 aktivitāte, tai skaitā žurnālistu un </w:t>
            </w:r>
            <w:proofErr w:type="spellStart"/>
            <w:r w:rsidRPr="001F51C3">
              <w:rPr>
                <w:rFonts w:eastAsia="Times New Roman"/>
                <w:sz w:val="26"/>
                <w:szCs w:val="26"/>
                <w:lang w:eastAsia="en-US"/>
              </w:rPr>
              <w:t>tūroperatoru</w:t>
            </w:r>
            <w:proofErr w:type="spellEnd"/>
            <w:r w:rsidRPr="001F51C3">
              <w:rPr>
                <w:rFonts w:eastAsia="Times New Roman"/>
                <w:sz w:val="26"/>
                <w:szCs w:val="26"/>
                <w:lang w:eastAsia="en-US"/>
              </w:rPr>
              <w:t xml:space="preserve"> vizītes, publicitātes un mārketinga pasākumi un reklāmas pasākumi;</w:t>
            </w:r>
          </w:p>
          <w:p w14:paraId="06EF37C2" w14:textId="77777777" w:rsidR="006A34FF" w:rsidRPr="001F51C3" w:rsidRDefault="006A34FF" w:rsidP="000E7D44">
            <w:pPr>
              <w:numPr>
                <w:ilvl w:val="0"/>
                <w:numId w:val="3"/>
              </w:numPr>
              <w:contextualSpacing/>
              <w:jc w:val="both"/>
              <w:rPr>
                <w:rFonts w:eastAsia="Times New Roman"/>
                <w:sz w:val="26"/>
                <w:szCs w:val="26"/>
                <w:lang w:eastAsia="en-US"/>
              </w:rPr>
            </w:pPr>
            <w:r w:rsidRPr="001F51C3">
              <w:rPr>
                <w:rFonts w:eastAsia="Times New Roman"/>
                <w:sz w:val="26"/>
                <w:szCs w:val="26"/>
                <w:lang w:eastAsia="en-US"/>
              </w:rPr>
              <w:t>TAVA ieguldījumi mārketinga aktivitātēs ir bijuši efektīvi, jo nozare pēc tūrisma mārketinga aktivitāšu īstenošanas uzrāda pozitīvu augšupejošu tendenci un kopš 2011.gada ir audzis gan tūristu skaits, gan vidējais uzturēšanās ilgums Latvijā, gan tūristu tēriņi valstī;</w:t>
            </w:r>
          </w:p>
          <w:p w14:paraId="223AB544" w14:textId="77777777" w:rsidR="006A34FF" w:rsidRPr="001F51C3" w:rsidRDefault="006A34FF" w:rsidP="000E7D44">
            <w:pPr>
              <w:numPr>
                <w:ilvl w:val="0"/>
                <w:numId w:val="3"/>
              </w:numPr>
              <w:contextualSpacing/>
              <w:jc w:val="both"/>
              <w:rPr>
                <w:rFonts w:eastAsia="Times New Roman"/>
                <w:sz w:val="26"/>
                <w:szCs w:val="26"/>
                <w:lang w:eastAsia="en-US"/>
              </w:rPr>
            </w:pPr>
            <w:r w:rsidRPr="001F51C3">
              <w:rPr>
                <w:rFonts w:eastAsia="Times New Roman"/>
                <w:sz w:val="26"/>
                <w:szCs w:val="26"/>
                <w:lang w:eastAsia="en-US"/>
              </w:rPr>
              <w:t>analizējot iepriekšējā perioda tūrisma plūsmas, pieprasījumu, nozares problēmas un vajadzības, kā arī vispārējās tendences, tiek secināts, ka atbalstāmās aktivitātes jāpapildina ar atbalstu darījumu tūrismam un pasākumu mārketingam.</w:t>
            </w:r>
          </w:p>
          <w:p w14:paraId="2415827A" w14:textId="77777777" w:rsidR="006C18B6" w:rsidRPr="001F51C3" w:rsidRDefault="006C18B6" w:rsidP="000E7D44">
            <w:pPr>
              <w:pStyle w:val="Default"/>
              <w:spacing w:after="120"/>
              <w:jc w:val="both"/>
              <w:rPr>
                <w:b/>
                <w:sz w:val="26"/>
                <w:szCs w:val="26"/>
              </w:rPr>
            </w:pPr>
          </w:p>
          <w:p w14:paraId="1D8DA983" w14:textId="77777777" w:rsidR="002F7CB1" w:rsidRPr="001F51C3" w:rsidRDefault="002F7CB1" w:rsidP="000E7D44">
            <w:pPr>
              <w:pStyle w:val="Default"/>
              <w:spacing w:after="120"/>
              <w:jc w:val="both"/>
              <w:rPr>
                <w:sz w:val="26"/>
                <w:szCs w:val="26"/>
              </w:rPr>
            </w:pPr>
            <w:r w:rsidRPr="001F51C3">
              <w:rPr>
                <w:b/>
                <w:sz w:val="26"/>
                <w:szCs w:val="26"/>
              </w:rPr>
              <w:t>Secinājumi par 3.1.1.1.apakšaktivitāti</w:t>
            </w:r>
            <w:r w:rsidRPr="001F51C3">
              <w:rPr>
                <w:sz w:val="26"/>
                <w:szCs w:val="26"/>
              </w:rPr>
              <w:t>:</w:t>
            </w:r>
          </w:p>
          <w:p w14:paraId="5EACC0BC" w14:textId="77777777" w:rsidR="002F7CB1" w:rsidRPr="001F51C3" w:rsidRDefault="002F7CB1" w:rsidP="000E7D44">
            <w:pPr>
              <w:pStyle w:val="Default"/>
              <w:spacing w:after="120"/>
              <w:jc w:val="both"/>
              <w:rPr>
                <w:sz w:val="26"/>
                <w:szCs w:val="26"/>
              </w:rPr>
            </w:pPr>
            <w:r w:rsidRPr="001F51C3">
              <w:rPr>
                <w:sz w:val="26"/>
                <w:szCs w:val="26"/>
              </w:rPr>
              <w:t>• projekti galvenokārt tiek īstenoti apstrādes rūpniecības nozarēs (NACE 2.red C sadaļa);</w:t>
            </w:r>
          </w:p>
          <w:p w14:paraId="246AC457" w14:textId="77777777" w:rsidR="002F7CB1" w:rsidRPr="001F51C3" w:rsidRDefault="002F7CB1" w:rsidP="000E7D44">
            <w:pPr>
              <w:pStyle w:val="Default"/>
              <w:spacing w:after="120"/>
              <w:jc w:val="both"/>
              <w:rPr>
                <w:sz w:val="26"/>
                <w:szCs w:val="26"/>
              </w:rPr>
            </w:pPr>
            <w:r w:rsidRPr="001F51C3">
              <w:rPr>
                <w:sz w:val="26"/>
                <w:szCs w:val="26"/>
              </w:rPr>
              <w:t>• uzņēmumi pēc atbalsta saņemšanas uzrāda straujāku apgrozījuma pieaugumu nekā vidēji uzņēmumi Latvijā, tāpat uzņēmumiem pēc atbalsta saņemšanas vērojams peļņas pieaugums;</w:t>
            </w:r>
          </w:p>
          <w:p w14:paraId="2EFB017E" w14:textId="77777777" w:rsidR="002F7CB1" w:rsidRPr="001F51C3" w:rsidRDefault="002F7CB1" w:rsidP="000E7D44">
            <w:pPr>
              <w:pStyle w:val="Default"/>
              <w:spacing w:after="120"/>
              <w:jc w:val="both"/>
              <w:rPr>
                <w:sz w:val="26"/>
                <w:szCs w:val="26"/>
              </w:rPr>
            </w:pPr>
            <w:r w:rsidRPr="001F51C3">
              <w:rPr>
                <w:sz w:val="26"/>
                <w:szCs w:val="26"/>
              </w:rPr>
              <w:t>• atbalsta saņēmēju vidējais nodarbināto skaits pieaug straujāk nekā vidējā nodarbinātība uz vienu uzņēmumu Latvijā;</w:t>
            </w:r>
          </w:p>
          <w:p w14:paraId="6E7507FA" w14:textId="2825B2F4" w:rsidR="002F7CB1" w:rsidRPr="001F51C3" w:rsidRDefault="008E6333" w:rsidP="000E7D44">
            <w:pPr>
              <w:pStyle w:val="Default"/>
              <w:spacing w:after="120"/>
              <w:jc w:val="both"/>
              <w:rPr>
                <w:sz w:val="26"/>
                <w:szCs w:val="26"/>
              </w:rPr>
            </w:pPr>
            <w:r w:rsidRPr="001F51C3">
              <w:rPr>
                <w:sz w:val="26"/>
                <w:szCs w:val="26"/>
              </w:rPr>
              <w:t xml:space="preserve">• gan 2009., </w:t>
            </w:r>
            <w:r w:rsidR="002F7CB1" w:rsidRPr="001F51C3">
              <w:rPr>
                <w:sz w:val="26"/>
                <w:szCs w:val="26"/>
              </w:rPr>
              <w:t>gan 2011.gada atbalsta saņēmējiem pirms atbalsta saņemšanas ir mazinājies eksporta apjoms, kas nozīmē, ka 2.3.1.1.1.apaksāktivitāte daļēji tikusi izmantota kā noieta apjoma atgūšanas instruments ārvalstīs, līdz ar to veids kā pārorientēties uz jauniem eksporta tirgiem vai jaunu klientu vai sadarbības partneru iegūšana;</w:t>
            </w:r>
          </w:p>
          <w:p w14:paraId="1ABFED6C" w14:textId="27F61F91" w:rsidR="006A34FF" w:rsidRPr="001F51C3" w:rsidRDefault="002F7CB1" w:rsidP="000E7D44">
            <w:pPr>
              <w:pStyle w:val="Default"/>
              <w:spacing w:after="120"/>
              <w:jc w:val="both"/>
              <w:rPr>
                <w:sz w:val="26"/>
                <w:szCs w:val="26"/>
              </w:rPr>
            </w:pPr>
            <w:r w:rsidRPr="001F51C3">
              <w:rPr>
                <w:sz w:val="26"/>
                <w:szCs w:val="26"/>
              </w:rPr>
              <w:t>• atbalsta saņēmēji pēc atbalsta saņemšanas uzrādījuši stabilu eksporta izaugsmi un 2013.</w:t>
            </w:r>
            <w:r w:rsidR="008E6333" w:rsidRPr="001F51C3">
              <w:rPr>
                <w:sz w:val="26"/>
                <w:szCs w:val="26"/>
              </w:rPr>
              <w:t xml:space="preserve"> </w:t>
            </w:r>
            <w:r w:rsidRPr="001F51C3">
              <w:rPr>
                <w:sz w:val="26"/>
                <w:szCs w:val="26"/>
              </w:rPr>
              <w:t>gadā gan 2009., gan 2011.gada atbalsta saņēmēju eksporta pieaugums nesamazinājās tik būtiski kā vidējais eksports uz vienu uzņēmumu Latvijā – 2009.gada atbalsta saņēmēju vidējam eksportam pat sasniedzot 4% izaugsmi.</w:t>
            </w:r>
          </w:p>
          <w:p w14:paraId="680BB06E" w14:textId="10276B98" w:rsidR="006A34FF" w:rsidRPr="001F51C3" w:rsidRDefault="000637EE" w:rsidP="000E7D44">
            <w:pPr>
              <w:pStyle w:val="Default"/>
              <w:spacing w:after="120"/>
              <w:jc w:val="both"/>
              <w:rPr>
                <w:sz w:val="26"/>
                <w:szCs w:val="26"/>
              </w:rPr>
            </w:pPr>
            <w:r w:rsidRPr="001F51C3">
              <w:rPr>
                <w:sz w:val="26"/>
                <w:szCs w:val="26"/>
              </w:rPr>
              <w:t xml:space="preserve">Papildus informējam, ka saskaņā ar atbildīgo institūciju par horizontālo prioritāšu īstenošanu veiktajiem </w:t>
            </w:r>
            <w:proofErr w:type="spellStart"/>
            <w:r w:rsidRPr="001F51C3">
              <w:rPr>
                <w:sz w:val="26"/>
                <w:szCs w:val="26"/>
              </w:rPr>
              <w:t>izvērtējumiem</w:t>
            </w:r>
            <w:proofErr w:type="spellEnd"/>
            <w:r w:rsidRPr="001F51C3">
              <w:rPr>
                <w:sz w:val="26"/>
                <w:szCs w:val="26"/>
              </w:rPr>
              <w:t>, 3.2.1.2. pasākumam ir netieša pozitīva ietekme uz horizontālo prioritāti „Ilgtspējīga attīstība”, līdz ar to projektu iesniegumu vērtēšanas kritērijos ir ietverts papildus kvalitātes kritērijs - Zaļā publiskā iepirkuma piemērošana (horizontālā principa „ilgtspējīga attīstība” kritērijs). Finansējuma saņēmējiem projektā būs nepieciešams norādīt, vai ir plānots īstenot pasākumus, ievērojot ilgtspējīgas attīstības principu- zaļais publiskais iepirkums. Kritērija ievērošana dos papildus 10 punktus.</w:t>
            </w:r>
          </w:p>
        </w:tc>
      </w:tr>
      <w:tr w:rsidR="006A34FF" w:rsidRPr="001F51C3" w14:paraId="6FD058DF" w14:textId="77777777" w:rsidTr="000E7D4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7312A9AF" w14:textId="6296BE29" w:rsidR="006A34FF" w:rsidRPr="001F51C3" w:rsidRDefault="006A34FF" w:rsidP="000E7D44">
            <w:pPr>
              <w:jc w:val="center"/>
              <w:rPr>
                <w:sz w:val="26"/>
                <w:szCs w:val="26"/>
                <w:lang w:eastAsia="en-US"/>
              </w:rPr>
            </w:pPr>
            <w:r w:rsidRPr="001F51C3">
              <w:rPr>
                <w:sz w:val="26"/>
                <w:szCs w:val="26"/>
              </w:rPr>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2E048B12" w14:textId="77777777" w:rsidR="006A34FF" w:rsidRPr="001F51C3" w:rsidRDefault="006A34FF" w:rsidP="000E7D44">
            <w:pPr>
              <w:rPr>
                <w:sz w:val="26"/>
                <w:szCs w:val="26"/>
                <w:lang w:eastAsia="en-US"/>
              </w:rPr>
            </w:pPr>
            <w:r w:rsidRPr="001F51C3">
              <w:rPr>
                <w:sz w:val="26"/>
                <w:szCs w:val="26"/>
              </w:rPr>
              <w:t>Projekta izstrādē iesaistītās institūcijas</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14:paraId="7F580BF9" w14:textId="77777777" w:rsidR="006A34FF" w:rsidRPr="001F51C3" w:rsidRDefault="006A34FF" w:rsidP="000E7D44">
            <w:pPr>
              <w:spacing w:after="120"/>
              <w:jc w:val="both"/>
              <w:rPr>
                <w:sz w:val="26"/>
                <w:szCs w:val="26"/>
              </w:rPr>
            </w:pPr>
            <w:r w:rsidRPr="001F51C3">
              <w:rPr>
                <w:rFonts w:eastAsia="Times New Roman"/>
                <w:sz w:val="26"/>
                <w:szCs w:val="26"/>
              </w:rPr>
              <w:t xml:space="preserve">Ekonomikas ministrija, </w:t>
            </w:r>
            <w:r w:rsidRPr="001F51C3">
              <w:rPr>
                <w:bCs/>
                <w:sz w:val="26"/>
                <w:szCs w:val="26"/>
              </w:rPr>
              <w:t>Latvijas Investīciju un attīstības aģentūra, Tūrisma attīstības valsts aģentūra, Latvijas Tūrisma aģentu un operatoru asociācija – ALTA, Latvijas Viesnīcu un restorānu asociācija, Latvijas Darba devēju konfederācija, Latvijas Tirdzniecības un rūpniecības kamera, Latvijas Lielo pilsētu asociācija, Latvijas Pašvaldību savienība, Mašīnbūves un Metālapstrādes Rūpniecības asociācija, Latvijas Elektrotehnikas un elektronikas rūpniecības asociācija, Latvijas ķīmijas un farmācijas uzņēmēju asociācija, Latvijas Kokrūpniecības federācija, Latvijas Pārtikas uzņēmumu federācija un Latvijas Informācijas un komunikācijas tehnoloģijas asociācija.</w:t>
            </w:r>
          </w:p>
        </w:tc>
      </w:tr>
      <w:tr w:rsidR="006A34FF" w:rsidRPr="001F51C3" w14:paraId="7F38DB59" w14:textId="77777777" w:rsidTr="000E7D4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26EE6850" w14:textId="77777777" w:rsidR="006A34FF" w:rsidRPr="001F51C3" w:rsidRDefault="006A34FF" w:rsidP="000E7D44">
            <w:pPr>
              <w:jc w:val="center"/>
              <w:rPr>
                <w:sz w:val="26"/>
                <w:szCs w:val="26"/>
                <w:lang w:eastAsia="en-US"/>
              </w:rPr>
            </w:pPr>
            <w:r w:rsidRPr="001F51C3">
              <w:rPr>
                <w:sz w:val="26"/>
                <w:szCs w:val="26"/>
              </w:rPr>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23247DEF" w14:textId="77777777" w:rsidR="006A34FF" w:rsidRPr="001F51C3" w:rsidRDefault="006A34FF" w:rsidP="000E7D44">
            <w:pPr>
              <w:rPr>
                <w:sz w:val="26"/>
                <w:szCs w:val="26"/>
                <w:lang w:eastAsia="en-US"/>
              </w:rPr>
            </w:pPr>
            <w:r w:rsidRPr="001F51C3">
              <w:rPr>
                <w:sz w:val="26"/>
                <w:szCs w:val="26"/>
              </w:rPr>
              <w:t>Cita informācija</w:t>
            </w:r>
          </w:p>
        </w:tc>
        <w:tc>
          <w:tcPr>
            <w:tcW w:w="6583" w:type="dxa"/>
            <w:tcBorders>
              <w:top w:val="single" w:sz="4" w:space="0" w:color="auto"/>
              <w:left w:val="single" w:sz="4" w:space="0" w:color="auto"/>
              <w:bottom w:val="single" w:sz="4" w:space="0" w:color="auto"/>
              <w:right w:val="single" w:sz="4" w:space="0" w:color="auto"/>
            </w:tcBorders>
            <w:shd w:val="clear" w:color="auto" w:fill="FFFFFF"/>
            <w:hideMark/>
          </w:tcPr>
          <w:p w14:paraId="4A000E7E" w14:textId="77777777" w:rsidR="006A34FF" w:rsidRPr="001F51C3" w:rsidRDefault="006A34FF" w:rsidP="000E7D44">
            <w:pPr>
              <w:rPr>
                <w:sz w:val="26"/>
                <w:szCs w:val="26"/>
              </w:rPr>
            </w:pPr>
            <w:r w:rsidRPr="001F51C3">
              <w:rPr>
                <w:sz w:val="26"/>
                <w:szCs w:val="26"/>
              </w:rPr>
              <w:t>Nav.</w:t>
            </w:r>
          </w:p>
        </w:tc>
      </w:tr>
    </w:tbl>
    <w:p w14:paraId="4343F4E5" w14:textId="65A0351B" w:rsidR="006A34FF" w:rsidRPr="001F51C3" w:rsidRDefault="000E7D44" w:rsidP="006A34FF">
      <w:pPr>
        <w:jc w:val="both"/>
        <w:rPr>
          <w:sz w:val="26"/>
          <w:szCs w:val="26"/>
        </w:rPr>
      </w:pPr>
      <w:r w:rsidRPr="001F51C3">
        <w:rPr>
          <w:sz w:val="26"/>
          <w:szCs w:val="26"/>
        </w:rPr>
        <w:br w:type="textWrapping" w:clear="all"/>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2354"/>
        <w:gridCol w:w="20"/>
        <w:gridCol w:w="1160"/>
        <w:gridCol w:w="1430"/>
        <w:gridCol w:w="1559"/>
        <w:gridCol w:w="1418"/>
        <w:gridCol w:w="1417"/>
      </w:tblGrid>
      <w:tr w:rsidR="006A34FF" w:rsidRPr="001F51C3" w14:paraId="0333B608" w14:textId="77777777" w:rsidTr="00DC1A4E">
        <w:tc>
          <w:tcPr>
            <w:tcW w:w="9776" w:type="dxa"/>
            <w:gridSpan w:val="8"/>
            <w:tcBorders>
              <w:top w:val="single" w:sz="4" w:space="0" w:color="auto"/>
              <w:left w:val="single" w:sz="4" w:space="0" w:color="auto"/>
              <w:bottom w:val="single" w:sz="4" w:space="0" w:color="auto"/>
              <w:right w:val="single" w:sz="4" w:space="0" w:color="auto"/>
            </w:tcBorders>
            <w:shd w:val="clear" w:color="auto" w:fill="auto"/>
            <w:hideMark/>
          </w:tcPr>
          <w:p w14:paraId="2116CFEF" w14:textId="77777777" w:rsidR="006A34FF" w:rsidRPr="001F51C3" w:rsidRDefault="006A34FF" w:rsidP="00095C9A">
            <w:pPr>
              <w:pStyle w:val="ListParagraph"/>
              <w:tabs>
                <w:tab w:val="left" w:pos="2268"/>
                <w:tab w:val="left" w:pos="2410"/>
              </w:tabs>
              <w:ind w:left="1080"/>
              <w:jc w:val="center"/>
              <w:rPr>
                <w:b/>
                <w:sz w:val="26"/>
                <w:szCs w:val="26"/>
                <w:lang w:eastAsia="en-US"/>
              </w:rPr>
            </w:pPr>
            <w:r w:rsidRPr="001F51C3">
              <w:rPr>
                <w:b/>
                <w:bCs/>
                <w:sz w:val="26"/>
                <w:szCs w:val="26"/>
              </w:rPr>
              <w:t>II. Tiesību akta projekta ietekme uz sabiedrību, tautsaimniecības attīstību un administratīvo slogu</w:t>
            </w:r>
          </w:p>
        </w:tc>
      </w:tr>
      <w:tr w:rsidR="006A34FF" w:rsidRPr="001F51C3" w14:paraId="6733FA87" w14:textId="77777777" w:rsidTr="000A4546">
        <w:tc>
          <w:tcPr>
            <w:tcW w:w="418" w:type="dxa"/>
            <w:tcBorders>
              <w:top w:val="single" w:sz="4" w:space="0" w:color="auto"/>
              <w:left w:val="single" w:sz="4" w:space="0" w:color="auto"/>
              <w:bottom w:val="single" w:sz="4" w:space="0" w:color="auto"/>
              <w:right w:val="single" w:sz="4" w:space="0" w:color="auto"/>
            </w:tcBorders>
            <w:shd w:val="clear" w:color="auto" w:fill="auto"/>
            <w:hideMark/>
          </w:tcPr>
          <w:p w14:paraId="71DAF8D7" w14:textId="77777777" w:rsidR="006A34FF" w:rsidRPr="001F51C3" w:rsidRDefault="006A34FF" w:rsidP="00095C9A">
            <w:pPr>
              <w:jc w:val="center"/>
              <w:rPr>
                <w:sz w:val="26"/>
                <w:szCs w:val="26"/>
                <w:lang w:eastAsia="en-US"/>
              </w:rPr>
            </w:pPr>
            <w:r w:rsidRPr="001F51C3">
              <w:rPr>
                <w:sz w:val="26"/>
                <w:szCs w:val="26"/>
              </w:rPr>
              <w:t>1.</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78894930" w14:textId="77777777" w:rsidR="006A34FF" w:rsidRPr="001F51C3" w:rsidRDefault="006A34FF" w:rsidP="00095C9A">
            <w:pPr>
              <w:rPr>
                <w:sz w:val="26"/>
                <w:szCs w:val="26"/>
                <w:lang w:eastAsia="en-US"/>
              </w:rPr>
            </w:pPr>
            <w:r w:rsidRPr="001F51C3">
              <w:rPr>
                <w:sz w:val="26"/>
                <w:szCs w:val="26"/>
              </w:rPr>
              <w:t xml:space="preserve">Sabiedrības </w:t>
            </w:r>
            <w:proofErr w:type="spellStart"/>
            <w:r w:rsidRPr="001F51C3">
              <w:rPr>
                <w:sz w:val="26"/>
                <w:szCs w:val="26"/>
              </w:rPr>
              <w:t>mērķgrupas</w:t>
            </w:r>
            <w:proofErr w:type="spellEnd"/>
            <w:r w:rsidRPr="001F51C3">
              <w:rPr>
                <w:sz w:val="26"/>
                <w:szCs w:val="26"/>
              </w:rPr>
              <w:t>, kuras tiesiskais regulējums ietekmē vai varētu ietekmēt</w:t>
            </w:r>
          </w:p>
        </w:tc>
        <w:tc>
          <w:tcPr>
            <w:tcW w:w="7004" w:type="dxa"/>
            <w:gridSpan w:val="6"/>
            <w:tcBorders>
              <w:top w:val="single" w:sz="4" w:space="0" w:color="auto"/>
              <w:left w:val="single" w:sz="4" w:space="0" w:color="auto"/>
              <w:bottom w:val="single" w:sz="4" w:space="0" w:color="auto"/>
              <w:right w:val="single" w:sz="4" w:space="0" w:color="auto"/>
            </w:tcBorders>
            <w:shd w:val="clear" w:color="auto" w:fill="auto"/>
            <w:hideMark/>
          </w:tcPr>
          <w:p w14:paraId="45C9BBBC" w14:textId="0A195EFF" w:rsidR="006A34FF" w:rsidRPr="001F51C3" w:rsidRDefault="006A34FF" w:rsidP="00BD17BE">
            <w:pPr>
              <w:pStyle w:val="ListParagraph"/>
              <w:tabs>
                <w:tab w:val="left" w:pos="317"/>
              </w:tabs>
              <w:spacing w:before="60" w:after="60"/>
              <w:ind w:left="34"/>
              <w:jc w:val="both"/>
              <w:rPr>
                <w:bCs/>
                <w:sz w:val="26"/>
                <w:szCs w:val="26"/>
                <w:lang w:eastAsia="en-US"/>
              </w:rPr>
            </w:pPr>
            <w:r w:rsidRPr="001F51C3">
              <w:rPr>
                <w:bCs/>
                <w:sz w:val="26"/>
                <w:szCs w:val="26"/>
                <w:lang w:eastAsia="en-US"/>
              </w:rPr>
              <w:t xml:space="preserve">3.2.1.2.pasākuma mērķa grupa ir </w:t>
            </w:r>
            <w:r w:rsidR="00BD17BE" w:rsidRPr="001F51C3">
              <w:rPr>
                <w:bCs/>
                <w:sz w:val="26"/>
                <w:szCs w:val="26"/>
                <w:lang w:eastAsia="en-US"/>
              </w:rPr>
              <w:t>komersanti, kooperatīvās sabiedrības, zemnieku vai zvejnieku saimniecības, individuālie uzņēmumi, biedrības, nodibinājumi, kuri atbilst sīko (mikro), mazo un vidējo saimnieciskās darbības subjektu (komercsabiedrību) statusam, saskaņā ar Regulas Nr. 651/2014 1.pielikumu un ostu pārvaldes, pašvaldības, plānošanas reģioni.</w:t>
            </w:r>
            <w:r w:rsidRPr="001F51C3">
              <w:rPr>
                <w:bCs/>
                <w:sz w:val="26"/>
                <w:szCs w:val="26"/>
                <w:lang w:eastAsia="en-US"/>
              </w:rPr>
              <w:t xml:space="preserve"> </w:t>
            </w:r>
          </w:p>
        </w:tc>
      </w:tr>
      <w:tr w:rsidR="006A34FF" w:rsidRPr="001F51C3" w14:paraId="541773C9" w14:textId="77777777" w:rsidTr="000A4546">
        <w:tc>
          <w:tcPr>
            <w:tcW w:w="418" w:type="dxa"/>
            <w:tcBorders>
              <w:top w:val="single" w:sz="4" w:space="0" w:color="auto"/>
              <w:left w:val="single" w:sz="4" w:space="0" w:color="auto"/>
              <w:bottom w:val="single" w:sz="4" w:space="0" w:color="auto"/>
              <w:right w:val="single" w:sz="4" w:space="0" w:color="auto"/>
            </w:tcBorders>
            <w:shd w:val="clear" w:color="auto" w:fill="auto"/>
          </w:tcPr>
          <w:p w14:paraId="501F0813" w14:textId="77777777" w:rsidR="006A34FF" w:rsidRPr="001F51C3" w:rsidRDefault="006A34FF" w:rsidP="00095C9A">
            <w:pPr>
              <w:jc w:val="center"/>
              <w:rPr>
                <w:sz w:val="26"/>
                <w:szCs w:val="26"/>
              </w:rPr>
            </w:pPr>
            <w:r w:rsidRPr="001F51C3">
              <w:rPr>
                <w:sz w:val="26"/>
                <w:szCs w:val="26"/>
              </w:rPr>
              <w:t>2.</w:t>
            </w: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5185A47B" w14:textId="77777777" w:rsidR="006A34FF" w:rsidRPr="001F51C3" w:rsidRDefault="006A34FF" w:rsidP="00095C9A">
            <w:pPr>
              <w:rPr>
                <w:color w:val="414142"/>
                <w:sz w:val="26"/>
                <w:szCs w:val="26"/>
              </w:rPr>
            </w:pPr>
            <w:r w:rsidRPr="001F51C3">
              <w:rPr>
                <w:sz w:val="26"/>
                <w:szCs w:val="26"/>
              </w:rPr>
              <w:t>Tiesiskā regulējuma ietekme uz tautsaimniecību un administratīvo slogu</w:t>
            </w:r>
          </w:p>
        </w:tc>
        <w:tc>
          <w:tcPr>
            <w:tcW w:w="70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03EBE3" w14:textId="74991366" w:rsidR="006A34FF" w:rsidRPr="001F51C3" w:rsidRDefault="006A34FF" w:rsidP="00095C9A">
            <w:pPr>
              <w:pStyle w:val="ListParagraph"/>
              <w:tabs>
                <w:tab w:val="left" w:pos="317"/>
              </w:tabs>
              <w:spacing w:before="60" w:after="60"/>
              <w:ind w:left="34"/>
              <w:jc w:val="both"/>
              <w:rPr>
                <w:bCs/>
                <w:sz w:val="26"/>
                <w:szCs w:val="26"/>
                <w:lang w:eastAsia="en-US"/>
              </w:rPr>
            </w:pPr>
            <w:r w:rsidRPr="001F51C3">
              <w:rPr>
                <w:bCs/>
                <w:sz w:val="26"/>
                <w:szCs w:val="26"/>
                <w:lang w:eastAsia="en-US"/>
              </w:rPr>
              <w:t xml:space="preserve">MK noteikumu projekts paredz 3.2.1.2.pasākuma ietvaros līdz 2023.gada 31.decembrim atbalstīt vismaz </w:t>
            </w:r>
            <w:r w:rsidR="005705A5" w:rsidRPr="001F51C3">
              <w:rPr>
                <w:bCs/>
                <w:sz w:val="26"/>
                <w:szCs w:val="26"/>
                <w:lang w:eastAsia="en-US"/>
              </w:rPr>
              <w:t xml:space="preserve">1 480 </w:t>
            </w:r>
            <w:r w:rsidR="00BD17BE" w:rsidRPr="001F51C3">
              <w:rPr>
                <w:bCs/>
                <w:sz w:val="26"/>
                <w:szCs w:val="26"/>
                <w:lang w:eastAsia="en-US"/>
              </w:rPr>
              <w:t>komersantus.</w:t>
            </w:r>
          </w:p>
          <w:p w14:paraId="247D17D7" w14:textId="77777777" w:rsidR="006A34FF" w:rsidRPr="001F51C3" w:rsidRDefault="006A34FF" w:rsidP="00095C9A">
            <w:pPr>
              <w:pStyle w:val="ListParagraph"/>
              <w:tabs>
                <w:tab w:val="left" w:pos="317"/>
              </w:tabs>
              <w:spacing w:before="60" w:after="60"/>
              <w:ind w:left="34"/>
              <w:jc w:val="both"/>
              <w:rPr>
                <w:bCs/>
                <w:sz w:val="26"/>
                <w:szCs w:val="26"/>
                <w:lang w:eastAsia="en-US"/>
              </w:rPr>
            </w:pPr>
            <w:r w:rsidRPr="001F51C3">
              <w:rPr>
                <w:bCs/>
                <w:sz w:val="26"/>
                <w:szCs w:val="26"/>
                <w:lang w:eastAsia="en-US"/>
              </w:rPr>
              <w:t>Vērtējot projektu īstenošanas ietekmi uz administratīvajām procedūrām un to izmaksām, nav identificēts administratīvā sloga palielinājums ne potenciālajiem finansējuma saņēmējiem, ne fondu vadībā iesaistītajām institūcijām.</w:t>
            </w:r>
          </w:p>
          <w:p w14:paraId="6E086BAB" w14:textId="77777777" w:rsidR="006A34FF" w:rsidRPr="001F51C3" w:rsidRDefault="006A34FF" w:rsidP="00095C9A">
            <w:pPr>
              <w:pStyle w:val="ListParagraph"/>
              <w:tabs>
                <w:tab w:val="left" w:pos="317"/>
              </w:tabs>
              <w:spacing w:before="60" w:after="60"/>
              <w:ind w:left="34"/>
              <w:jc w:val="both"/>
              <w:rPr>
                <w:bCs/>
                <w:sz w:val="26"/>
                <w:szCs w:val="26"/>
                <w:lang w:eastAsia="en-US"/>
              </w:rPr>
            </w:pPr>
            <w:r w:rsidRPr="001F51C3">
              <w:rPr>
                <w:bCs/>
                <w:sz w:val="26"/>
                <w:szCs w:val="26"/>
                <w:lang w:eastAsia="en-US"/>
              </w:rPr>
              <w:t>Iesniegto projektu iesniegumu pieņemšanu un vērtēšanu nodrošinās Centrālā Finanšu līgumu aģentūra.</w:t>
            </w:r>
          </w:p>
        </w:tc>
      </w:tr>
      <w:tr w:rsidR="006A34FF" w:rsidRPr="001F51C3" w14:paraId="1E2867EA" w14:textId="77777777" w:rsidTr="000A4546">
        <w:tc>
          <w:tcPr>
            <w:tcW w:w="418" w:type="dxa"/>
            <w:tcBorders>
              <w:top w:val="single" w:sz="4" w:space="0" w:color="auto"/>
              <w:left w:val="single" w:sz="4" w:space="0" w:color="auto"/>
              <w:bottom w:val="single" w:sz="4" w:space="0" w:color="auto"/>
              <w:right w:val="single" w:sz="4" w:space="0" w:color="auto"/>
            </w:tcBorders>
            <w:shd w:val="clear" w:color="auto" w:fill="auto"/>
          </w:tcPr>
          <w:p w14:paraId="22C1B8D1" w14:textId="77777777" w:rsidR="006A34FF" w:rsidRPr="001F51C3" w:rsidRDefault="006A34FF" w:rsidP="00095C9A">
            <w:pPr>
              <w:jc w:val="center"/>
              <w:rPr>
                <w:sz w:val="26"/>
                <w:szCs w:val="26"/>
              </w:rPr>
            </w:pPr>
            <w:r w:rsidRPr="001F51C3">
              <w:rPr>
                <w:sz w:val="26"/>
                <w:szCs w:val="26"/>
              </w:rPr>
              <w:t>3.</w:t>
            </w: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7CDBF8BF" w14:textId="77777777" w:rsidR="006A34FF" w:rsidRPr="001F51C3" w:rsidRDefault="006A34FF" w:rsidP="00095C9A">
            <w:pPr>
              <w:rPr>
                <w:color w:val="414142"/>
                <w:sz w:val="26"/>
                <w:szCs w:val="26"/>
              </w:rPr>
            </w:pPr>
            <w:r w:rsidRPr="001F51C3">
              <w:rPr>
                <w:sz w:val="26"/>
                <w:szCs w:val="26"/>
              </w:rPr>
              <w:t>Administratīvo izmaksu monetārs novērtējums</w:t>
            </w:r>
          </w:p>
        </w:tc>
        <w:tc>
          <w:tcPr>
            <w:tcW w:w="70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E2BAE3" w14:textId="77777777" w:rsidR="006A34FF" w:rsidRPr="001F51C3" w:rsidRDefault="006A34FF" w:rsidP="00095C9A">
            <w:pPr>
              <w:pStyle w:val="ListParagraph"/>
              <w:tabs>
                <w:tab w:val="left" w:pos="317"/>
              </w:tabs>
              <w:spacing w:before="60" w:after="60"/>
              <w:ind w:left="0"/>
              <w:jc w:val="both"/>
              <w:rPr>
                <w:bCs/>
                <w:sz w:val="26"/>
                <w:szCs w:val="26"/>
                <w:lang w:eastAsia="en-US"/>
              </w:rPr>
            </w:pPr>
            <w:r w:rsidRPr="001F51C3">
              <w:rPr>
                <w:bCs/>
                <w:sz w:val="26"/>
                <w:szCs w:val="26"/>
                <w:lang w:eastAsia="en-US"/>
              </w:rPr>
              <w:t xml:space="preserve">Nav. </w:t>
            </w:r>
          </w:p>
        </w:tc>
      </w:tr>
      <w:tr w:rsidR="006A34FF" w:rsidRPr="001F51C3" w14:paraId="1EE9270D" w14:textId="77777777" w:rsidTr="000A4546">
        <w:tc>
          <w:tcPr>
            <w:tcW w:w="418" w:type="dxa"/>
            <w:tcBorders>
              <w:top w:val="single" w:sz="4" w:space="0" w:color="auto"/>
              <w:left w:val="single" w:sz="4" w:space="0" w:color="auto"/>
              <w:bottom w:val="single" w:sz="4" w:space="0" w:color="auto"/>
              <w:right w:val="single" w:sz="4" w:space="0" w:color="auto"/>
            </w:tcBorders>
            <w:shd w:val="clear" w:color="auto" w:fill="auto"/>
          </w:tcPr>
          <w:p w14:paraId="0F27407F" w14:textId="77777777" w:rsidR="006A34FF" w:rsidRPr="001F51C3" w:rsidRDefault="006A34FF" w:rsidP="00095C9A">
            <w:pPr>
              <w:jc w:val="center"/>
              <w:rPr>
                <w:sz w:val="26"/>
                <w:szCs w:val="26"/>
              </w:rPr>
            </w:pPr>
            <w:r w:rsidRPr="001F51C3">
              <w:rPr>
                <w:sz w:val="26"/>
                <w:szCs w:val="26"/>
              </w:rPr>
              <w:t>4.</w:t>
            </w: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6FE1FC5C" w14:textId="77777777" w:rsidR="006A34FF" w:rsidRPr="001F51C3" w:rsidRDefault="006A34FF" w:rsidP="00095C9A">
            <w:pPr>
              <w:rPr>
                <w:color w:val="414142"/>
                <w:sz w:val="26"/>
                <w:szCs w:val="26"/>
              </w:rPr>
            </w:pPr>
            <w:r w:rsidRPr="001F51C3">
              <w:rPr>
                <w:sz w:val="26"/>
                <w:szCs w:val="26"/>
              </w:rPr>
              <w:t>Cita informācija</w:t>
            </w:r>
          </w:p>
        </w:tc>
        <w:tc>
          <w:tcPr>
            <w:tcW w:w="70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9B466A" w14:textId="77777777" w:rsidR="006A34FF" w:rsidRPr="001F51C3" w:rsidRDefault="006A34FF" w:rsidP="00095C9A">
            <w:pPr>
              <w:pStyle w:val="ListParagraph"/>
              <w:tabs>
                <w:tab w:val="left" w:pos="317"/>
              </w:tabs>
              <w:spacing w:before="60" w:after="60"/>
              <w:ind w:left="34"/>
              <w:jc w:val="both"/>
              <w:rPr>
                <w:bCs/>
                <w:sz w:val="26"/>
                <w:szCs w:val="26"/>
                <w:lang w:eastAsia="en-US"/>
              </w:rPr>
            </w:pPr>
            <w:r w:rsidRPr="001F51C3">
              <w:rPr>
                <w:bCs/>
                <w:sz w:val="26"/>
                <w:szCs w:val="26"/>
                <w:lang w:eastAsia="en-US"/>
              </w:rPr>
              <w:t>Nav.</w:t>
            </w:r>
          </w:p>
        </w:tc>
      </w:tr>
      <w:tr w:rsidR="009F3F62" w:rsidRPr="001F51C3" w14:paraId="1C0DCE7F" w14:textId="77777777" w:rsidTr="00DC1A4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1"/>
          <w:jc w:val="center"/>
        </w:trPr>
        <w:tc>
          <w:tcPr>
            <w:tcW w:w="9776" w:type="dxa"/>
            <w:gridSpan w:val="8"/>
            <w:vAlign w:val="center"/>
          </w:tcPr>
          <w:p w14:paraId="20774E91" w14:textId="77777777" w:rsidR="009F3F62" w:rsidRPr="001F51C3" w:rsidRDefault="009F3F62" w:rsidP="009F3F62">
            <w:pPr>
              <w:jc w:val="center"/>
              <w:rPr>
                <w:rFonts w:eastAsia="Times New Roman"/>
                <w:b/>
                <w:i/>
                <w:sz w:val="26"/>
                <w:szCs w:val="26"/>
              </w:rPr>
            </w:pPr>
            <w:r w:rsidRPr="001F51C3">
              <w:rPr>
                <w:rFonts w:eastAsia="Times New Roman"/>
                <w:sz w:val="26"/>
                <w:szCs w:val="26"/>
              </w:rPr>
              <w:br w:type="page"/>
            </w:r>
            <w:r w:rsidRPr="001F51C3">
              <w:rPr>
                <w:rFonts w:eastAsia="Times New Roman"/>
                <w:b/>
                <w:sz w:val="26"/>
                <w:szCs w:val="26"/>
              </w:rPr>
              <w:t>III. Tiesību akta projekta ietekme uz valsts budžetu un pašvaldību budžetiem</w:t>
            </w:r>
          </w:p>
        </w:tc>
      </w:tr>
      <w:tr w:rsidR="009F3F62" w:rsidRPr="001F51C3" w14:paraId="40233954" w14:textId="77777777" w:rsidTr="000A45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792" w:type="dxa"/>
            <w:gridSpan w:val="3"/>
            <w:vMerge w:val="restart"/>
            <w:vAlign w:val="center"/>
          </w:tcPr>
          <w:p w14:paraId="58B78BFE" w14:textId="77777777" w:rsidR="009F3F62" w:rsidRPr="001F51C3" w:rsidRDefault="009F3F62" w:rsidP="009F3F62">
            <w:pPr>
              <w:jc w:val="center"/>
              <w:rPr>
                <w:rFonts w:eastAsia="Times New Roman"/>
                <w:b/>
                <w:sz w:val="26"/>
                <w:szCs w:val="26"/>
              </w:rPr>
            </w:pPr>
            <w:r w:rsidRPr="001F51C3">
              <w:rPr>
                <w:rFonts w:eastAsia="Times New Roman"/>
                <w:b/>
                <w:sz w:val="26"/>
                <w:szCs w:val="26"/>
              </w:rPr>
              <w:t>Rādītāji</w:t>
            </w:r>
          </w:p>
          <w:p w14:paraId="14826F69" w14:textId="77777777" w:rsidR="009F3F62" w:rsidRPr="001F51C3" w:rsidRDefault="009F3F62" w:rsidP="009F3F62">
            <w:pPr>
              <w:rPr>
                <w:sz w:val="26"/>
                <w:szCs w:val="26"/>
              </w:rPr>
            </w:pPr>
          </w:p>
          <w:p w14:paraId="6AF8C457" w14:textId="77777777" w:rsidR="009F3F62" w:rsidRPr="001F51C3" w:rsidRDefault="009F3F62" w:rsidP="009F3F62">
            <w:pPr>
              <w:rPr>
                <w:sz w:val="26"/>
                <w:szCs w:val="26"/>
              </w:rPr>
            </w:pPr>
          </w:p>
          <w:p w14:paraId="64913C75" w14:textId="77777777" w:rsidR="009F3F62" w:rsidRPr="001F51C3" w:rsidRDefault="009F3F62" w:rsidP="009F3F62">
            <w:pPr>
              <w:rPr>
                <w:sz w:val="26"/>
                <w:szCs w:val="26"/>
              </w:rPr>
            </w:pPr>
          </w:p>
          <w:p w14:paraId="32C94246" w14:textId="77777777" w:rsidR="009F3F62" w:rsidRPr="001F51C3" w:rsidRDefault="009F3F62" w:rsidP="009F3F62">
            <w:pPr>
              <w:rPr>
                <w:sz w:val="26"/>
                <w:szCs w:val="26"/>
              </w:rPr>
            </w:pPr>
          </w:p>
        </w:tc>
        <w:tc>
          <w:tcPr>
            <w:tcW w:w="2590" w:type="dxa"/>
            <w:gridSpan w:val="2"/>
            <w:vMerge w:val="restart"/>
            <w:vAlign w:val="center"/>
          </w:tcPr>
          <w:p w14:paraId="6E00553D" w14:textId="77777777" w:rsidR="009F3F62" w:rsidRPr="001F51C3" w:rsidRDefault="004E5439" w:rsidP="009F3F62">
            <w:pPr>
              <w:jc w:val="center"/>
              <w:rPr>
                <w:rFonts w:eastAsia="Times New Roman"/>
                <w:b/>
                <w:sz w:val="26"/>
                <w:szCs w:val="26"/>
              </w:rPr>
            </w:pPr>
            <w:r w:rsidRPr="001F51C3">
              <w:rPr>
                <w:rFonts w:eastAsia="Times New Roman"/>
                <w:b/>
                <w:sz w:val="26"/>
                <w:szCs w:val="26"/>
              </w:rPr>
              <w:t>2015</w:t>
            </w:r>
            <w:r w:rsidR="009F3F62" w:rsidRPr="001F51C3">
              <w:rPr>
                <w:rFonts w:eastAsia="Times New Roman"/>
                <w:b/>
                <w:sz w:val="26"/>
                <w:szCs w:val="26"/>
              </w:rPr>
              <w:t>.gads</w:t>
            </w:r>
          </w:p>
        </w:tc>
        <w:tc>
          <w:tcPr>
            <w:tcW w:w="4394" w:type="dxa"/>
            <w:gridSpan w:val="3"/>
            <w:vAlign w:val="center"/>
          </w:tcPr>
          <w:p w14:paraId="1DD2EEE3" w14:textId="77777777" w:rsidR="009F3F62" w:rsidRPr="001F51C3" w:rsidRDefault="009F3F62" w:rsidP="009F3F62">
            <w:pPr>
              <w:jc w:val="center"/>
              <w:rPr>
                <w:rFonts w:eastAsia="Times New Roman"/>
                <w:b/>
                <w:i/>
                <w:sz w:val="26"/>
                <w:szCs w:val="26"/>
              </w:rPr>
            </w:pPr>
            <w:r w:rsidRPr="001F51C3">
              <w:rPr>
                <w:rFonts w:eastAsia="Times New Roman"/>
                <w:sz w:val="26"/>
                <w:szCs w:val="26"/>
              </w:rPr>
              <w:t>Turpmākie trīs gadi (</w:t>
            </w:r>
            <w:proofErr w:type="spellStart"/>
            <w:r w:rsidRPr="001F51C3">
              <w:rPr>
                <w:rFonts w:eastAsia="Times New Roman"/>
                <w:i/>
                <w:sz w:val="26"/>
                <w:szCs w:val="26"/>
              </w:rPr>
              <w:t>euro</w:t>
            </w:r>
            <w:proofErr w:type="spellEnd"/>
            <w:r w:rsidRPr="001F51C3">
              <w:rPr>
                <w:rFonts w:eastAsia="Times New Roman"/>
                <w:sz w:val="26"/>
                <w:szCs w:val="26"/>
              </w:rPr>
              <w:t>)</w:t>
            </w:r>
          </w:p>
        </w:tc>
      </w:tr>
      <w:tr w:rsidR="009F3F62" w:rsidRPr="001F51C3" w14:paraId="031D6C43" w14:textId="77777777" w:rsidTr="000A45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792" w:type="dxa"/>
            <w:gridSpan w:val="3"/>
            <w:vMerge/>
            <w:vAlign w:val="center"/>
          </w:tcPr>
          <w:p w14:paraId="225B3491" w14:textId="77777777" w:rsidR="009F3F62" w:rsidRPr="001F51C3" w:rsidRDefault="009F3F62" w:rsidP="009F3F62">
            <w:pPr>
              <w:jc w:val="center"/>
              <w:rPr>
                <w:rFonts w:eastAsia="Times New Roman"/>
                <w:b/>
                <w:i/>
                <w:sz w:val="26"/>
                <w:szCs w:val="26"/>
              </w:rPr>
            </w:pPr>
          </w:p>
        </w:tc>
        <w:tc>
          <w:tcPr>
            <w:tcW w:w="2590" w:type="dxa"/>
            <w:gridSpan w:val="2"/>
            <w:vMerge/>
            <w:vAlign w:val="center"/>
          </w:tcPr>
          <w:p w14:paraId="1FFC6B7B" w14:textId="77777777" w:rsidR="009F3F62" w:rsidRPr="001F51C3" w:rsidRDefault="009F3F62" w:rsidP="009F3F62">
            <w:pPr>
              <w:jc w:val="center"/>
              <w:rPr>
                <w:rFonts w:eastAsia="Times New Roman"/>
                <w:b/>
                <w:i/>
                <w:sz w:val="26"/>
                <w:szCs w:val="26"/>
              </w:rPr>
            </w:pPr>
          </w:p>
        </w:tc>
        <w:tc>
          <w:tcPr>
            <w:tcW w:w="1559" w:type="dxa"/>
            <w:vAlign w:val="center"/>
          </w:tcPr>
          <w:p w14:paraId="31B40821" w14:textId="77777777" w:rsidR="009F3F62" w:rsidRPr="001F51C3" w:rsidRDefault="004E5439" w:rsidP="009F3F62">
            <w:pPr>
              <w:jc w:val="center"/>
              <w:rPr>
                <w:rFonts w:eastAsia="Times New Roman"/>
                <w:b/>
                <w:i/>
                <w:sz w:val="26"/>
                <w:szCs w:val="26"/>
              </w:rPr>
            </w:pPr>
            <w:r w:rsidRPr="001F51C3">
              <w:rPr>
                <w:rFonts w:eastAsia="Times New Roman"/>
                <w:b/>
                <w:bCs/>
                <w:sz w:val="26"/>
                <w:szCs w:val="26"/>
              </w:rPr>
              <w:t>2016</w:t>
            </w:r>
            <w:r w:rsidR="009F3F62" w:rsidRPr="001F51C3">
              <w:rPr>
                <w:rFonts w:eastAsia="Times New Roman"/>
                <w:b/>
                <w:bCs/>
                <w:sz w:val="26"/>
                <w:szCs w:val="26"/>
              </w:rPr>
              <w:t>.</w:t>
            </w:r>
          </w:p>
        </w:tc>
        <w:tc>
          <w:tcPr>
            <w:tcW w:w="1418" w:type="dxa"/>
            <w:vAlign w:val="center"/>
          </w:tcPr>
          <w:p w14:paraId="62A8A78A" w14:textId="77777777" w:rsidR="009F3F62" w:rsidRPr="001F51C3" w:rsidRDefault="004E5439" w:rsidP="009F3F62">
            <w:pPr>
              <w:jc w:val="center"/>
              <w:rPr>
                <w:rFonts w:eastAsia="Times New Roman"/>
                <w:b/>
                <w:i/>
                <w:sz w:val="26"/>
                <w:szCs w:val="26"/>
              </w:rPr>
            </w:pPr>
            <w:r w:rsidRPr="001F51C3">
              <w:rPr>
                <w:rFonts w:eastAsia="Times New Roman"/>
                <w:b/>
                <w:bCs/>
                <w:sz w:val="26"/>
                <w:szCs w:val="26"/>
              </w:rPr>
              <w:t>2017</w:t>
            </w:r>
            <w:r w:rsidR="009F3F62" w:rsidRPr="001F51C3">
              <w:rPr>
                <w:rFonts w:eastAsia="Times New Roman"/>
                <w:b/>
                <w:bCs/>
                <w:sz w:val="26"/>
                <w:szCs w:val="26"/>
              </w:rPr>
              <w:t>.</w:t>
            </w:r>
          </w:p>
        </w:tc>
        <w:tc>
          <w:tcPr>
            <w:tcW w:w="1417" w:type="dxa"/>
            <w:vAlign w:val="center"/>
          </w:tcPr>
          <w:p w14:paraId="7B3032E5" w14:textId="77777777" w:rsidR="009F3F62" w:rsidRPr="001F51C3" w:rsidRDefault="004E5439" w:rsidP="009F3F62">
            <w:pPr>
              <w:jc w:val="center"/>
              <w:rPr>
                <w:rFonts w:eastAsia="Times New Roman"/>
                <w:b/>
                <w:i/>
                <w:sz w:val="26"/>
                <w:szCs w:val="26"/>
              </w:rPr>
            </w:pPr>
            <w:r w:rsidRPr="001F51C3">
              <w:rPr>
                <w:rFonts w:eastAsia="Times New Roman"/>
                <w:b/>
                <w:bCs/>
                <w:sz w:val="26"/>
                <w:szCs w:val="26"/>
              </w:rPr>
              <w:t>2018</w:t>
            </w:r>
            <w:r w:rsidR="009F3F62" w:rsidRPr="001F51C3">
              <w:rPr>
                <w:rFonts w:eastAsia="Times New Roman"/>
                <w:b/>
                <w:bCs/>
                <w:sz w:val="26"/>
                <w:szCs w:val="26"/>
              </w:rPr>
              <w:t>.</w:t>
            </w:r>
          </w:p>
        </w:tc>
      </w:tr>
      <w:tr w:rsidR="009F3F62" w:rsidRPr="001F51C3" w14:paraId="47880BA9" w14:textId="77777777" w:rsidTr="000A45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792" w:type="dxa"/>
            <w:gridSpan w:val="3"/>
            <w:vMerge/>
            <w:vAlign w:val="center"/>
          </w:tcPr>
          <w:p w14:paraId="1ACEFD91" w14:textId="77777777" w:rsidR="009F3F62" w:rsidRPr="001F51C3" w:rsidRDefault="009F3F62" w:rsidP="009F3F62">
            <w:pPr>
              <w:jc w:val="center"/>
              <w:rPr>
                <w:rFonts w:eastAsia="Times New Roman"/>
                <w:b/>
                <w:i/>
                <w:sz w:val="26"/>
                <w:szCs w:val="26"/>
              </w:rPr>
            </w:pPr>
          </w:p>
        </w:tc>
        <w:tc>
          <w:tcPr>
            <w:tcW w:w="1160" w:type="dxa"/>
            <w:vAlign w:val="center"/>
          </w:tcPr>
          <w:p w14:paraId="11E25223" w14:textId="77777777" w:rsidR="009F3F62" w:rsidRPr="001F51C3" w:rsidRDefault="009F3F62" w:rsidP="009F3F62">
            <w:pPr>
              <w:jc w:val="center"/>
              <w:rPr>
                <w:rFonts w:eastAsia="Times New Roman"/>
                <w:b/>
                <w:i/>
                <w:sz w:val="26"/>
                <w:szCs w:val="26"/>
              </w:rPr>
            </w:pPr>
            <w:r w:rsidRPr="001F51C3">
              <w:rPr>
                <w:rFonts w:eastAsia="Times New Roman"/>
                <w:sz w:val="26"/>
                <w:szCs w:val="26"/>
              </w:rPr>
              <w:t>saskaņā ar valsts budžetu kārtējam gadam</w:t>
            </w:r>
          </w:p>
        </w:tc>
        <w:tc>
          <w:tcPr>
            <w:tcW w:w="1430" w:type="dxa"/>
            <w:vAlign w:val="center"/>
          </w:tcPr>
          <w:p w14:paraId="3275C482" w14:textId="77777777" w:rsidR="009F3F62" w:rsidRPr="001F51C3" w:rsidRDefault="009F3F62" w:rsidP="009F3F62">
            <w:pPr>
              <w:jc w:val="center"/>
              <w:rPr>
                <w:rFonts w:eastAsia="Times New Roman"/>
                <w:b/>
                <w:i/>
                <w:sz w:val="26"/>
                <w:szCs w:val="26"/>
              </w:rPr>
            </w:pPr>
            <w:r w:rsidRPr="001F51C3">
              <w:rPr>
                <w:rFonts w:eastAsia="Times New Roman"/>
                <w:sz w:val="26"/>
                <w:szCs w:val="26"/>
              </w:rPr>
              <w:t>izmaiņas kārtējā gadā, salīdzinot ar valsts budžetu kārtējam gadam</w:t>
            </w:r>
          </w:p>
        </w:tc>
        <w:tc>
          <w:tcPr>
            <w:tcW w:w="1559" w:type="dxa"/>
            <w:vAlign w:val="center"/>
          </w:tcPr>
          <w:p w14:paraId="79D00190" w14:textId="77777777" w:rsidR="000A4546" w:rsidRPr="001F51C3" w:rsidRDefault="000A4546" w:rsidP="000A4546">
            <w:pPr>
              <w:jc w:val="center"/>
              <w:rPr>
                <w:rFonts w:eastAsia="Times New Roman"/>
                <w:sz w:val="26"/>
                <w:szCs w:val="26"/>
              </w:rPr>
            </w:pPr>
            <w:r w:rsidRPr="001F51C3">
              <w:rPr>
                <w:rFonts w:eastAsia="Times New Roman"/>
                <w:sz w:val="26"/>
                <w:szCs w:val="26"/>
              </w:rPr>
              <w:t>izmaiņas, salīdzinot</w:t>
            </w:r>
          </w:p>
          <w:p w14:paraId="78C5087F" w14:textId="3BD8E1B5" w:rsidR="000A4546" w:rsidRPr="001F51C3" w:rsidRDefault="000A4546" w:rsidP="000A4546">
            <w:pPr>
              <w:jc w:val="center"/>
              <w:rPr>
                <w:rFonts w:eastAsia="Times New Roman"/>
                <w:sz w:val="26"/>
                <w:szCs w:val="26"/>
              </w:rPr>
            </w:pPr>
            <w:r w:rsidRPr="001F51C3">
              <w:rPr>
                <w:rFonts w:eastAsia="Times New Roman"/>
                <w:sz w:val="26"/>
                <w:szCs w:val="26"/>
              </w:rPr>
              <w:t>ar</w:t>
            </w:r>
          </w:p>
          <w:p w14:paraId="6B00871D" w14:textId="616EF54A" w:rsidR="009F3F62" w:rsidRPr="001F51C3" w:rsidRDefault="000A4546" w:rsidP="000A4546">
            <w:pPr>
              <w:jc w:val="center"/>
              <w:rPr>
                <w:rFonts w:eastAsia="Times New Roman"/>
                <w:b/>
                <w:i/>
                <w:sz w:val="26"/>
                <w:szCs w:val="26"/>
              </w:rPr>
            </w:pPr>
            <w:r w:rsidRPr="001F51C3">
              <w:rPr>
                <w:rFonts w:eastAsia="Times New Roman"/>
                <w:sz w:val="26"/>
                <w:szCs w:val="26"/>
              </w:rPr>
              <w:t>2015.</w:t>
            </w:r>
            <w:r w:rsidR="009F3F62" w:rsidRPr="001F51C3">
              <w:rPr>
                <w:rFonts w:eastAsia="Times New Roman"/>
                <w:sz w:val="26"/>
                <w:szCs w:val="26"/>
              </w:rPr>
              <w:t>gadu</w:t>
            </w:r>
          </w:p>
        </w:tc>
        <w:tc>
          <w:tcPr>
            <w:tcW w:w="1418" w:type="dxa"/>
            <w:vAlign w:val="center"/>
          </w:tcPr>
          <w:p w14:paraId="15FF56F4" w14:textId="77777777" w:rsidR="000A4546" w:rsidRPr="001F51C3" w:rsidRDefault="009F3F62" w:rsidP="000A4546">
            <w:pPr>
              <w:jc w:val="center"/>
              <w:rPr>
                <w:rFonts w:eastAsia="Times New Roman"/>
                <w:sz w:val="26"/>
                <w:szCs w:val="26"/>
              </w:rPr>
            </w:pPr>
            <w:r w:rsidRPr="001F51C3">
              <w:rPr>
                <w:rFonts w:eastAsia="Times New Roman"/>
                <w:sz w:val="26"/>
                <w:szCs w:val="26"/>
              </w:rPr>
              <w:t xml:space="preserve">izmaiņas, salīdzinot ar </w:t>
            </w:r>
          </w:p>
          <w:p w14:paraId="0E4C6637" w14:textId="7FB77D8B" w:rsidR="009F3F62" w:rsidRPr="001F51C3" w:rsidRDefault="000A4546" w:rsidP="000A4546">
            <w:pPr>
              <w:jc w:val="center"/>
              <w:rPr>
                <w:rFonts w:eastAsia="Times New Roman"/>
                <w:sz w:val="26"/>
                <w:szCs w:val="26"/>
              </w:rPr>
            </w:pPr>
            <w:r w:rsidRPr="001F51C3">
              <w:rPr>
                <w:rFonts w:eastAsia="Times New Roman"/>
                <w:sz w:val="26"/>
                <w:szCs w:val="26"/>
              </w:rPr>
              <w:t>2015.</w:t>
            </w:r>
            <w:r w:rsidR="009F3F62" w:rsidRPr="001F51C3">
              <w:rPr>
                <w:rFonts w:eastAsia="Times New Roman"/>
                <w:sz w:val="26"/>
                <w:szCs w:val="26"/>
              </w:rPr>
              <w:t xml:space="preserve"> gadu</w:t>
            </w:r>
          </w:p>
        </w:tc>
        <w:tc>
          <w:tcPr>
            <w:tcW w:w="1417" w:type="dxa"/>
            <w:vAlign w:val="center"/>
          </w:tcPr>
          <w:p w14:paraId="23F9F711" w14:textId="0D221218" w:rsidR="009F3F62" w:rsidRPr="001F51C3" w:rsidRDefault="009F3F62" w:rsidP="000A4546">
            <w:pPr>
              <w:jc w:val="center"/>
              <w:rPr>
                <w:rFonts w:eastAsia="Times New Roman"/>
                <w:b/>
                <w:i/>
                <w:sz w:val="26"/>
                <w:szCs w:val="26"/>
              </w:rPr>
            </w:pPr>
            <w:r w:rsidRPr="001F51C3">
              <w:rPr>
                <w:rFonts w:eastAsia="Times New Roman"/>
                <w:sz w:val="26"/>
                <w:szCs w:val="26"/>
              </w:rPr>
              <w:t xml:space="preserve">izmaiņas, salīdzinot ar </w:t>
            </w:r>
            <w:r w:rsidR="000A4546" w:rsidRPr="001F51C3">
              <w:rPr>
                <w:rFonts w:eastAsia="Times New Roman"/>
                <w:sz w:val="26"/>
                <w:szCs w:val="26"/>
              </w:rPr>
              <w:t>2015.</w:t>
            </w:r>
            <w:r w:rsidRPr="001F51C3">
              <w:rPr>
                <w:rFonts w:eastAsia="Times New Roman"/>
                <w:sz w:val="26"/>
                <w:szCs w:val="26"/>
              </w:rPr>
              <w:t>gadu</w:t>
            </w:r>
          </w:p>
        </w:tc>
      </w:tr>
      <w:tr w:rsidR="009F3F62" w:rsidRPr="001F51C3" w14:paraId="5329AB98" w14:textId="77777777" w:rsidTr="000A45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792" w:type="dxa"/>
            <w:gridSpan w:val="3"/>
            <w:vAlign w:val="center"/>
          </w:tcPr>
          <w:p w14:paraId="49342CFC" w14:textId="39E3F091" w:rsidR="009F3F62" w:rsidRPr="001F51C3" w:rsidRDefault="009F3F62" w:rsidP="009F3F62">
            <w:pPr>
              <w:jc w:val="center"/>
              <w:rPr>
                <w:rFonts w:eastAsia="Times New Roman"/>
                <w:bCs/>
                <w:sz w:val="26"/>
                <w:szCs w:val="26"/>
              </w:rPr>
            </w:pPr>
            <w:r w:rsidRPr="001F51C3">
              <w:rPr>
                <w:rFonts w:eastAsia="Times New Roman"/>
                <w:bCs/>
                <w:sz w:val="26"/>
                <w:szCs w:val="26"/>
              </w:rPr>
              <w:t>1</w:t>
            </w:r>
          </w:p>
        </w:tc>
        <w:tc>
          <w:tcPr>
            <w:tcW w:w="1160" w:type="dxa"/>
            <w:vAlign w:val="center"/>
          </w:tcPr>
          <w:p w14:paraId="71AE8A2C" w14:textId="77777777" w:rsidR="009F3F62" w:rsidRPr="001F51C3" w:rsidRDefault="009F3F62" w:rsidP="009F3F62">
            <w:pPr>
              <w:jc w:val="center"/>
              <w:rPr>
                <w:rFonts w:eastAsia="Times New Roman"/>
                <w:bCs/>
                <w:sz w:val="26"/>
                <w:szCs w:val="26"/>
              </w:rPr>
            </w:pPr>
            <w:r w:rsidRPr="001F51C3">
              <w:rPr>
                <w:rFonts w:eastAsia="Times New Roman"/>
                <w:bCs/>
                <w:sz w:val="26"/>
                <w:szCs w:val="26"/>
              </w:rPr>
              <w:t>2</w:t>
            </w:r>
          </w:p>
        </w:tc>
        <w:tc>
          <w:tcPr>
            <w:tcW w:w="1430" w:type="dxa"/>
            <w:vAlign w:val="center"/>
          </w:tcPr>
          <w:p w14:paraId="4FF7B6E4" w14:textId="77777777" w:rsidR="009F3F62" w:rsidRPr="001F51C3" w:rsidRDefault="009F3F62" w:rsidP="009F3F62">
            <w:pPr>
              <w:jc w:val="center"/>
              <w:rPr>
                <w:rFonts w:eastAsia="Times New Roman"/>
                <w:bCs/>
                <w:sz w:val="26"/>
                <w:szCs w:val="26"/>
              </w:rPr>
            </w:pPr>
            <w:r w:rsidRPr="001F51C3">
              <w:rPr>
                <w:rFonts w:eastAsia="Times New Roman"/>
                <w:bCs/>
                <w:sz w:val="26"/>
                <w:szCs w:val="26"/>
              </w:rPr>
              <w:t>3</w:t>
            </w:r>
          </w:p>
        </w:tc>
        <w:tc>
          <w:tcPr>
            <w:tcW w:w="1559" w:type="dxa"/>
            <w:vAlign w:val="center"/>
          </w:tcPr>
          <w:p w14:paraId="6D301ADF" w14:textId="77777777" w:rsidR="009F3F62" w:rsidRPr="001F51C3" w:rsidRDefault="009F3F62" w:rsidP="009F3F62">
            <w:pPr>
              <w:jc w:val="center"/>
              <w:rPr>
                <w:rFonts w:eastAsia="Times New Roman"/>
                <w:bCs/>
                <w:sz w:val="26"/>
                <w:szCs w:val="26"/>
              </w:rPr>
            </w:pPr>
            <w:r w:rsidRPr="001F51C3">
              <w:rPr>
                <w:rFonts w:eastAsia="Times New Roman"/>
                <w:bCs/>
                <w:sz w:val="26"/>
                <w:szCs w:val="26"/>
              </w:rPr>
              <w:t>4</w:t>
            </w:r>
          </w:p>
        </w:tc>
        <w:tc>
          <w:tcPr>
            <w:tcW w:w="1418" w:type="dxa"/>
            <w:vAlign w:val="center"/>
          </w:tcPr>
          <w:p w14:paraId="6983D93E" w14:textId="77777777" w:rsidR="009F3F62" w:rsidRPr="001F51C3" w:rsidRDefault="009F3F62" w:rsidP="009F3F62">
            <w:pPr>
              <w:jc w:val="center"/>
              <w:rPr>
                <w:rFonts w:eastAsia="Times New Roman"/>
                <w:bCs/>
                <w:sz w:val="26"/>
                <w:szCs w:val="26"/>
              </w:rPr>
            </w:pPr>
            <w:r w:rsidRPr="001F51C3">
              <w:rPr>
                <w:rFonts w:eastAsia="Times New Roman"/>
                <w:bCs/>
                <w:sz w:val="26"/>
                <w:szCs w:val="26"/>
              </w:rPr>
              <w:t>5</w:t>
            </w:r>
          </w:p>
        </w:tc>
        <w:tc>
          <w:tcPr>
            <w:tcW w:w="1417" w:type="dxa"/>
            <w:vAlign w:val="center"/>
          </w:tcPr>
          <w:p w14:paraId="0231FFA9" w14:textId="77777777" w:rsidR="009F3F62" w:rsidRPr="001F51C3" w:rsidRDefault="009F3F62" w:rsidP="009F3F62">
            <w:pPr>
              <w:jc w:val="center"/>
              <w:rPr>
                <w:rFonts w:eastAsia="Times New Roman"/>
                <w:bCs/>
                <w:sz w:val="26"/>
                <w:szCs w:val="26"/>
              </w:rPr>
            </w:pPr>
            <w:r w:rsidRPr="001F51C3">
              <w:rPr>
                <w:rFonts w:eastAsia="Times New Roman"/>
                <w:bCs/>
                <w:sz w:val="26"/>
                <w:szCs w:val="26"/>
              </w:rPr>
              <w:t>6</w:t>
            </w:r>
          </w:p>
        </w:tc>
      </w:tr>
      <w:tr w:rsidR="009F3F62" w:rsidRPr="001F51C3" w14:paraId="37EDA23B" w14:textId="77777777" w:rsidTr="000A45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792" w:type="dxa"/>
            <w:gridSpan w:val="3"/>
          </w:tcPr>
          <w:p w14:paraId="00A8BEB7" w14:textId="77777777" w:rsidR="009F3F62" w:rsidRPr="001F51C3" w:rsidRDefault="009F3F62" w:rsidP="009F3F62">
            <w:pPr>
              <w:rPr>
                <w:rFonts w:eastAsia="Times New Roman"/>
                <w:i/>
                <w:sz w:val="26"/>
                <w:szCs w:val="26"/>
              </w:rPr>
            </w:pPr>
            <w:r w:rsidRPr="001F51C3">
              <w:rPr>
                <w:rFonts w:eastAsia="Times New Roman"/>
                <w:sz w:val="26"/>
                <w:szCs w:val="26"/>
              </w:rPr>
              <w:t>1. Budžeta ieņēmumi:</w:t>
            </w:r>
          </w:p>
        </w:tc>
        <w:tc>
          <w:tcPr>
            <w:tcW w:w="1160" w:type="dxa"/>
          </w:tcPr>
          <w:p w14:paraId="64A92A73" w14:textId="77777777" w:rsidR="009F3F62" w:rsidRPr="001F51C3" w:rsidRDefault="009F3F62" w:rsidP="009F3F62">
            <w:pPr>
              <w:jc w:val="center"/>
              <w:rPr>
                <w:rFonts w:eastAsia="Times New Roman"/>
                <w:sz w:val="26"/>
                <w:szCs w:val="26"/>
              </w:rPr>
            </w:pPr>
            <w:r w:rsidRPr="001F51C3">
              <w:rPr>
                <w:rFonts w:eastAsia="Times New Roman"/>
                <w:sz w:val="26"/>
                <w:szCs w:val="26"/>
              </w:rPr>
              <w:t>0</w:t>
            </w:r>
          </w:p>
        </w:tc>
        <w:tc>
          <w:tcPr>
            <w:tcW w:w="1430" w:type="dxa"/>
          </w:tcPr>
          <w:p w14:paraId="48CE71EB" w14:textId="77777777" w:rsidR="009F3F62" w:rsidRPr="001F51C3" w:rsidRDefault="009F3F62" w:rsidP="009F3F62">
            <w:pPr>
              <w:jc w:val="center"/>
              <w:rPr>
                <w:rFonts w:eastAsia="Times New Roman"/>
                <w:sz w:val="26"/>
                <w:szCs w:val="26"/>
              </w:rPr>
            </w:pPr>
            <w:r w:rsidRPr="001F51C3">
              <w:rPr>
                <w:rFonts w:eastAsia="Times New Roman"/>
                <w:sz w:val="26"/>
                <w:szCs w:val="26"/>
              </w:rPr>
              <w:t>0</w:t>
            </w:r>
          </w:p>
        </w:tc>
        <w:tc>
          <w:tcPr>
            <w:tcW w:w="1559" w:type="dxa"/>
          </w:tcPr>
          <w:p w14:paraId="32F51824" w14:textId="2ADA3A0D" w:rsidR="009F3F62" w:rsidRPr="001F51C3" w:rsidRDefault="009F3F62">
            <w:pPr>
              <w:jc w:val="center"/>
              <w:rPr>
                <w:rFonts w:eastAsia="Times New Roman"/>
                <w:sz w:val="26"/>
                <w:szCs w:val="26"/>
              </w:rPr>
            </w:pPr>
            <w:r w:rsidRPr="001F51C3">
              <w:rPr>
                <w:rFonts w:eastAsia="Times New Roman"/>
                <w:sz w:val="26"/>
                <w:szCs w:val="26"/>
              </w:rPr>
              <w:t>7</w:t>
            </w:r>
            <w:r w:rsidR="00732A30" w:rsidRPr="001F51C3">
              <w:rPr>
                <w:rFonts w:eastAsia="Times New Roman"/>
                <w:sz w:val="26"/>
                <w:szCs w:val="26"/>
              </w:rPr>
              <w:t> 650 000</w:t>
            </w:r>
          </w:p>
        </w:tc>
        <w:tc>
          <w:tcPr>
            <w:tcW w:w="1418" w:type="dxa"/>
          </w:tcPr>
          <w:p w14:paraId="7FABF9C3" w14:textId="10F1C5D7" w:rsidR="009F3F62" w:rsidRPr="001F51C3" w:rsidRDefault="00732A30">
            <w:pPr>
              <w:jc w:val="center"/>
              <w:rPr>
                <w:rFonts w:eastAsia="Times New Roman"/>
                <w:sz w:val="26"/>
                <w:szCs w:val="26"/>
              </w:rPr>
            </w:pPr>
            <w:r w:rsidRPr="001F51C3">
              <w:rPr>
                <w:rFonts w:eastAsia="Times New Roman"/>
                <w:sz w:val="26"/>
                <w:szCs w:val="26"/>
              </w:rPr>
              <w:t>7 358 817</w:t>
            </w:r>
          </w:p>
        </w:tc>
        <w:tc>
          <w:tcPr>
            <w:tcW w:w="1417" w:type="dxa"/>
          </w:tcPr>
          <w:p w14:paraId="0399A222" w14:textId="2CD7BA3E" w:rsidR="009F3F62" w:rsidRPr="001F51C3" w:rsidRDefault="00732A30" w:rsidP="00593ACD">
            <w:pPr>
              <w:jc w:val="center"/>
              <w:rPr>
                <w:rFonts w:eastAsia="Times New Roman"/>
                <w:sz w:val="26"/>
                <w:szCs w:val="26"/>
              </w:rPr>
            </w:pPr>
            <w:r w:rsidRPr="001F51C3">
              <w:rPr>
                <w:rFonts w:eastAsia="Times New Roman"/>
                <w:sz w:val="26"/>
                <w:szCs w:val="26"/>
              </w:rPr>
              <w:t>7</w:t>
            </w:r>
            <w:r w:rsidR="00593ACD" w:rsidRPr="001F51C3">
              <w:rPr>
                <w:rFonts w:eastAsia="Times New Roman"/>
                <w:sz w:val="26"/>
                <w:szCs w:val="26"/>
              </w:rPr>
              <w:t> </w:t>
            </w:r>
            <w:r w:rsidRPr="001F51C3">
              <w:rPr>
                <w:rFonts w:eastAsia="Times New Roman"/>
                <w:sz w:val="26"/>
                <w:szCs w:val="26"/>
              </w:rPr>
              <w:t>358</w:t>
            </w:r>
            <w:r w:rsidR="00593ACD" w:rsidRPr="001F51C3">
              <w:rPr>
                <w:rFonts w:eastAsia="Times New Roman"/>
                <w:sz w:val="26"/>
                <w:szCs w:val="26"/>
              </w:rPr>
              <w:t xml:space="preserve"> </w:t>
            </w:r>
            <w:r w:rsidRPr="001F51C3">
              <w:rPr>
                <w:rFonts w:eastAsia="Times New Roman"/>
                <w:sz w:val="26"/>
                <w:szCs w:val="26"/>
              </w:rPr>
              <w:t>817</w:t>
            </w:r>
          </w:p>
        </w:tc>
      </w:tr>
      <w:tr w:rsidR="009F3F62" w:rsidRPr="001F51C3" w14:paraId="11AAC77E" w14:textId="77777777" w:rsidTr="000A45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792" w:type="dxa"/>
            <w:gridSpan w:val="3"/>
          </w:tcPr>
          <w:p w14:paraId="32758DE5" w14:textId="77777777" w:rsidR="009F3F62" w:rsidRPr="001F51C3" w:rsidRDefault="009F3F62" w:rsidP="009F3F62">
            <w:pPr>
              <w:rPr>
                <w:sz w:val="26"/>
                <w:szCs w:val="26"/>
                <w:lang w:eastAsia="en-US"/>
              </w:rPr>
            </w:pPr>
            <w:r w:rsidRPr="001F51C3">
              <w:rPr>
                <w:sz w:val="26"/>
                <w:szCs w:val="26"/>
                <w:lang w:eastAsia="en-US"/>
              </w:rPr>
              <w:t>2. Budžeta izdevumi:</w:t>
            </w:r>
          </w:p>
        </w:tc>
        <w:tc>
          <w:tcPr>
            <w:tcW w:w="1160" w:type="dxa"/>
          </w:tcPr>
          <w:p w14:paraId="62D16993" w14:textId="77777777" w:rsidR="009F3F62" w:rsidRPr="001F51C3" w:rsidRDefault="009F3F62" w:rsidP="009F3F62">
            <w:pPr>
              <w:jc w:val="center"/>
              <w:rPr>
                <w:rFonts w:eastAsia="Times New Roman"/>
                <w:sz w:val="26"/>
                <w:szCs w:val="26"/>
              </w:rPr>
            </w:pPr>
            <w:r w:rsidRPr="001F51C3">
              <w:rPr>
                <w:rFonts w:eastAsia="Times New Roman"/>
                <w:sz w:val="26"/>
                <w:szCs w:val="26"/>
              </w:rPr>
              <w:t>0</w:t>
            </w:r>
          </w:p>
        </w:tc>
        <w:tc>
          <w:tcPr>
            <w:tcW w:w="1430" w:type="dxa"/>
          </w:tcPr>
          <w:p w14:paraId="16CC0F03" w14:textId="77777777" w:rsidR="009F3F62" w:rsidRPr="001F51C3" w:rsidRDefault="009F3F62" w:rsidP="009F3F62">
            <w:pPr>
              <w:jc w:val="center"/>
              <w:rPr>
                <w:rFonts w:eastAsia="Times New Roman"/>
                <w:sz w:val="26"/>
                <w:szCs w:val="26"/>
              </w:rPr>
            </w:pPr>
            <w:r w:rsidRPr="001F51C3">
              <w:rPr>
                <w:rFonts w:eastAsia="Times New Roman"/>
                <w:sz w:val="26"/>
                <w:szCs w:val="26"/>
              </w:rPr>
              <w:t>0</w:t>
            </w:r>
          </w:p>
        </w:tc>
        <w:tc>
          <w:tcPr>
            <w:tcW w:w="1559" w:type="dxa"/>
          </w:tcPr>
          <w:p w14:paraId="2D689B11" w14:textId="6BB81C04" w:rsidR="009F3F62" w:rsidRPr="001F51C3" w:rsidRDefault="009F3F62">
            <w:pPr>
              <w:jc w:val="center"/>
              <w:rPr>
                <w:rFonts w:eastAsia="Times New Roman"/>
                <w:sz w:val="26"/>
                <w:szCs w:val="26"/>
              </w:rPr>
            </w:pPr>
            <w:r w:rsidRPr="001F51C3">
              <w:rPr>
                <w:rFonts w:eastAsia="Times New Roman"/>
                <w:sz w:val="26"/>
                <w:szCs w:val="26"/>
              </w:rPr>
              <w:t xml:space="preserve">8 </w:t>
            </w:r>
            <w:r w:rsidR="00732A30" w:rsidRPr="001F51C3">
              <w:rPr>
                <w:rFonts w:eastAsia="Times New Roman"/>
                <w:sz w:val="26"/>
                <w:szCs w:val="26"/>
              </w:rPr>
              <w:t>244</w:t>
            </w:r>
            <w:r w:rsidRPr="001F51C3">
              <w:rPr>
                <w:rFonts w:eastAsia="Times New Roman"/>
                <w:sz w:val="26"/>
                <w:szCs w:val="26"/>
              </w:rPr>
              <w:t xml:space="preserve"> 000</w:t>
            </w:r>
          </w:p>
        </w:tc>
        <w:tc>
          <w:tcPr>
            <w:tcW w:w="1418" w:type="dxa"/>
          </w:tcPr>
          <w:p w14:paraId="21119EC3" w14:textId="1117B181" w:rsidR="009F3F62" w:rsidRPr="001F51C3" w:rsidRDefault="00C26DE7" w:rsidP="009F3F62">
            <w:pPr>
              <w:jc w:val="center"/>
              <w:rPr>
                <w:rFonts w:eastAsia="Times New Roman"/>
                <w:sz w:val="26"/>
                <w:szCs w:val="26"/>
              </w:rPr>
            </w:pPr>
            <w:r w:rsidRPr="001F51C3">
              <w:rPr>
                <w:rFonts w:eastAsia="Times New Roman"/>
                <w:sz w:val="26"/>
                <w:szCs w:val="26"/>
              </w:rPr>
              <w:t>7930207</w:t>
            </w:r>
          </w:p>
        </w:tc>
        <w:tc>
          <w:tcPr>
            <w:tcW w:w="1417" w:type="dxa"/>
          </w:tcPr>
          <w:p w14:paraId="3C047289" w14:textId="550152A4" w:rsidR="009F3F62" w:rsidRPr="001F51C3" w:rsidRDefault="00C26DE7" w:rsidP="009F3F62">
            <w:pPr>
              <w:jc w:val="center"/>
              <w:rPr>
                <w:rFonts w:eastAsia="Times New Roman"/>
                <w:sz w:val="26"/>
                <w:szCs w:val="26"/>
              </w:rPr>
            </w:pPr>
            <w:r w:rsidRPr="001F51C3">
              <w:rPr>
                <w:rFonts w:eastAsia="Times New Roman"/>
                <w:sz w:val="26"/>
                <w:szCs w:val="26"/>
              </w:rPr>
              <w:t>7930207</w:t>
            </w:r>
          </w:p>
        </w:tc>
      </w:tr>
      <w:tr w:rsidR="009F3F62" w:rsidRPr="001F51C3" w14:paraId="2B69DE6F" w14:textId="77777777" w:rsidTr="000A45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792" w:type="dxa"/>
            <w:gridSpan w:val="3"/>
          </w:tcPr>
          <w:p w14:paraId="5FB3D874" w14:textId="77777777" w:rsidR="009F3F62" w:rsidRPr="001F51C3" w:rsidRDefault="009F3F62" w:rsidP="009F3F62">
            <w:pPr>
              <w:rPr>
                <w:sz w:val="26"/>
                <w:szCs w:val="26"/>
                <w:lang w:eastAsia="en-US"/>
              </w:rPr>
            </w:pPr>
            <w:r w:rsidRPr="001F51C3">
              <w:rPr>
                <w:sz w:val="26"/>
                <w:szCs w:val="26"/>
                <w:lang w:eastAsia="en-US"/>
              </w:rPr>
              <w:t>3. Finansiālā ietekme:</w:t>
            </w:r>
          </w:p>
        </w:tc>
        <w:tc>
          <w:tcPr>
            <w:tcW w:w="1160" w:type="dxa"/>
            <w:shd w:val="clear" w:color="auto" w:fill="auto"/>
            <w:vAlign w:val="center"/>
          </w:tcPr>
          <w:p w14:paraId="1183D660" w14:textId="77777777" w:rsidR="009F3F62" w:rsidRPr="001F51C3" w:rsidRDefault="009F3F62" w:rsidP="009F3F62">
            <w:pPr>
              <w:jc w:val="center"/>
              <w:rPr>
                <w:rFonts w:eastAsia="Times New Roman"/>
                <w:sz w:val="26"/>
                <w:szCs w:val="26"/>
              </w:rPr>
            </w:pPr>
            <w:r w:rsidRPr="001F51C3">
              <w:rPr>
                <w:rFonts w:eastAsia="Times New Roman"/>
                <w:sz w:val="26"/>
                <w:szCs w:val="26"/>
              </w:rPr>
              <w:t>0</w:t>
            </w:r>
          </w:p>
        </w:tc>
        <w:tc>
          <w:tcPr>
            <w:tcW w:w="1430" w:type="dxa"/>
          </w:tcPr>
          <w:p w14:paraId="09C3DA80" w14:textId="77777777" w:rsidR="009F3F62" w:rsidRPr="001F51C3" w:rsidRDefault="009F3F62" w:rsidP="009F3F62">
            <w:pPr>
              <w:jc w:val="center"/>
              <w:rPr>
                <w:rFonts w:eastAsia="Times New Roman"/>
                <w:sz w:val="26"/>
                <w:szCs w:val="26"/>
              </w:rPr>
            </w:pPr>
            <w:r w:rsidRPr="001F51C3">
              <w:rPr>
                <w:rFonts w:eastAsia="Times New Roman"/>
                <w:sz w:val="26"/>
                <w:szCs w:val="26"/>
              </w:rPr>
              <w:t>0</w:t>
            </w:r>
          </w:p>
        </w:tc>
        <w:tc>
          <w:tcPr>
            <w:tcW w:w="1559" w:type="dxa"/>
          </w:tcPr>
          <w:p w14:paraId="39A207C3" w14:textId="2ECC40EF" w:rsidR="009F3F62" w:rsidRPr="001F51C3" w:rsidRDefault="009F3F62">
            <w:pPr>
              <w:jc w:val="center"/>
              <w:rPr>
                <w:rFonts w:eastAsia="Times New Roman"/>
                <w:sz w:val="26"/>
                <w:szCs w:val="26"/>
              </w:rPr>
            </w:pPr>
            <w:r w:rsidRPr="001F51C3">
              <w:rPr>
                <w:rFonts w:eastAsia="Times New Roman"/>
                <w:sz w:val="26"/>
                <w:szCs w:val="26"/>
              </w:rPr>
              <w:t>-</w:t>
            </w:r>
            <w:r w:rsidR="00732A30" w:rsidRPr="001F51C3">
              <w:rPr>
                <w:rFonts w:eastAsia="Times New Roman"/>
                <w:sz w:val="26"/>
                <w:szCs w:val="26"/>
              </w:rPr>
              <w:t>594 000</w:t>
            </w:r>
          </w:p>
        </w:tc>
        <w:tc>
          <w:tcPr>
            <w:tcW w:w="1418" w:type="dxa"/>
          </w:tcPr>
          <w:p w14:paraId="1810A493" w14:textId="6CE3E51E" w:rsidR="009F3F62" w:rsidRPr="001F51C3" w:rsidRDefault="009F3F62">
            <w:pPr>
              <w:jc w:val="center"/>
              <w:rPr>
                <w:rFonts w:eastAsia="Times New Roman"/>
                <w:sz w:val="26"/>
                <w:szCs w:val="26"/>
              </w:rPr>
            </w:pPr>
            <w:r w:rsidRPr="001F51C3">
              <w:rPr>
                <w:rFonts w:eastAsia="Times New Roman"/>
                <w:sz w:val="26"/>
                <w:szCs w:val="26"/>
              </w:rPr>
              <w:t>-</w:t>
            </w:r>
            <w:r w:rsidR="00732A30" w:rsidRPr="001F51C3">
              <w:rPr>
                <w:rFonts w:eastAsia="Times New Roman"/>
                <w:sz w:val="26"/>
                <w:szCs w:val="26"/>
              </w:rPr>
              <w:t>571 390</w:t>
            </w:r>
          </w:p>
        </w:tc>
        <w:tc>
          <w:tcPr>
            <w:tcW w:w="1417" w:type="dxa"/>
          </w:tcPr>
          <w:p w14:paraId="518661FC" w14:textId="7DD996FF" w:rsidR="009F3F62" w:rsidRPr="001F51C3" w:rsidRDefault="00732A30" w:rsidP="009F3F62">
            <w:pPr>
              <w:jc w:val="center"/>
              <w:rPr>
                <w:rFonts w:eastAsia="Times New Roman"/>
                <w:sz w:val="26"/>
                <w:szCs w:val="26"/>
              </w:rPr>
            </w:pPr>
            <w:r w:rsidRPr="001F51C3">
              <w:rPr>
                <w:rFonts w:eastAsia="Times New Roman"/>
                <w:sz w:val="26"/>
                <w:szCs w:val="26"/>
              </w:rPr>
              <w:t>-571 390</w:t>
            </w:r>
          </w:p>
        </w:tc>
      </w:tr>
      <w:tr w:rsidR="009F3F62" w:rsidRPr="001F51C3" w14:paraId="75D21E5F" w14:textId="77777777" w:rsidTr="000A45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80"/>
          <w:jc w:val="center"/>
        </w:trPr>
        <w:tc>
          <w:tcPr>
            <w:tcW w:w="2792" w:type="dxa"/>
            <w:gridSpan w:val="3"/>
          </w:tcPr>
          <w:p w14:paraId="178712A8" w14:textId="77777777" w:rsidR="009F3F62" w:rsidRPr="001F51C3" w:rsidRDefault="009F3F62" w:rsidP="009F3F62">
            <w:pPr>
              <w:rPr>
                <w:sz w:val="26"/>
                <w:szCs w:val="26"/>
                <w:lang w:eastAsia="en-US"/>
              </w:rPr>
            </w:pPr>
            <w:r w:rsidRPr="001F51C3">
              <w:rPr>
                <w:sz w:val="26"/>
                <w:szCs w:val="26"/>
                <w:lang w:eastAsia="en-US"/>
              </w:rPr>
              <w:t>4. Finanšu līdzekļi papildu izdevumu finansēšanai (kompensējošu izdevumu samazinājumu norāda ar "+" zīmi)</w:t>
            </w:r>
          </w:p>
        </w:tc>
        <w:tc>
          <w:tcPr>
            <w:tcW w:w="1160" w:type="dxa"/>
          </w:tcPr>
          <w:p w14:paraId="33E371B3" w14:textId="77777777" w:rsidR="009F3F62" w:rsidRPr="001F51C3" w:rsidRDefault="009F3F62" w:rsidP="009F3F62">
            <w:pPr>
              <w:jc w:val="center"/>
              <w:rPr>
                <w:rFonts w:eastAsia="Times New Roman"/>
                <w:sz w:val="26"/>
                <w:szCs w:val="26"/>
              </w:rPr>
            </w:pPr>
            <w:r w:rsidRPr="001F51C3">
              <w:rPr>
                <w:rFonts w:eastAsia="Times New Roman"/>
                <w:sz w:val="26"/>
                <w:szCs w:val="26"/>
              </w:rPr>
              <w:t>N/A</w:t>
            </w:r>
          </w:p>
        </w:tc>
        <w:tc>
          <w:tcPr>
            <w:tcW w:w="1430" w:type="dxa"/>
          </w:tcPr>
          <w:p w14:paraId="378DC27C" w14:textId="77777777" w:rsidR="009F3F62" w:rsidRPr="001F51C3" w:rsidRDefault="009F3F62" w:rsidP="009F3F62">
            <w:pPr>
              <w:jc w:val="center"/>
              <w:rPr>
                <w:rFonts w:eastAsia="Times New Roman"/>
                <w:sz w:val="26"/>
                <w:szCs w:val="26"/>
              </w:rPr>
            </w:pPr>
            <w:r w:rsidRPr="001F51C3">
              <w:rPr>
                <w:rFonts w:eastAsia="Times New Roman"/>
                <w:sz w:val="26"/>
                <w:szCs w:val="26"/>
              </w:rPr>
              <w:t>N/A</w:t>
            </w:r>
          </w:p>
        </w:tc>
        <w:tc>
          <w:tcPr>
            <w:tcW w:w="1559" w:type="dxa"/>
          </w:tcPr>
          <w:p w14:paraId="546ADC72" w14:textId="77777777" w:rsidR="009F3F62" w:rsidRPr="001F51C3" w:rsidRDefault="009F3F62" w:rsidP="009F3F62">
            <w:pPr>
              <w:jc w:val="center"/>
              <w:rPr>
                <w:rFonts w:eastAsia="Times New Roman"/>
                <w:sz w:val="26"/>
                <w:szCs w:val="26"/>
              </w:rPr>
            </w:pPr>
            <w:r w:rsidRPr="001F51C3">
              <w:rPr>
                <w:rFonts w:eastAsia="Times New Roman"/>
                <w:sz w:val="26"/>
                <w:szCs w:val="26"/>
              </w:rPr>
              <w:t>N/A</w:t>
            </w:r>
          </w:p>
        </w:tc>
        <w:tc>
          <w:tcPr>
            <w:tcW w:w="1418" w:type="dxa"/>
          </w:tcPr>
          <w:p w14:paraId="2297F39B" w14:textId="77777777" w:rsidR="009F3F62" w:rsidRPr="001F51C3" w:rsidRDefault="009F3F62" w:rsidP="009F3F62">
            <w:pPr>
              <w:jc w:val="center"/>
              <w:rPr>
                <w:rFonts w:eastAsia="Times New Roman"/>
                <w:sz w:val="26"/>
                <w:szCs w:val="26"/>
              </w:rPr>
            </w:pPr>
            <w:r w:rsidRPr="001F51C3">
              <w:rPr>
                <w:rFonts w:eastAsia="Times New Roman"/>
                <w:sz w:val="26"/>
                <w:szCs w:val="26"/>
              </w:rPr>
              <w:t>N/A</w:t>
            </w:r>
          </w:p>
        </w:tc>
        <w:tc>
          <w:tcPr>
            <w:tcW w:w="1417" w:type="dxa"/>
          </w:tcPr>
          <w:p w14:paraId="3A695441" w14:textId="77777777" w:rsidR="009F3F62" w:rsidRPr="001F51C3" w:rsidRDefault="009F3F62" w:rsidP="009F3F62">
            <w:pPr>
              <w:jc w:val="center"/>
              <w:rPr>
                <w:rFonts w:eastAsia="Times New Roman"/>
                <w:sz w:val="26"/>
                <w:szCs w:val="26"/>
              </w:rPr>
            </w:pPr>
            <w:r w:rsidRPr="001F51C3">
              <w:rPr>
                <w:rFonts w:eastAsia="Times New Roman"/>
                <w:sz w:val="26"/>
                <w:szCs w:val="26"/>
              </w:rPr>
              <w:t>N/A</w:t>
            </w:r>
          </w:p>
        </w:tc>
      </w:tr>
      <w:tr w:rsidR="009F3F62" w:rsidRPr="001F51C3" w14:paraId="1EDFD144" w14:textId="77777777" w:rsidTr="000A45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792" w:type="dxa"/>
            <w:gridSpan w:val="3"/>
          </w:tcPr>
          <w:p w14:paraId="18E41DC5" w14:textId="77777777" w:rsidR="009F3F62" w:rsidRPr="001F51C3" w:rsidRDefault="009F3F62" w:rsidP="009F3F62">
            <w:pPr>
              <w:rPr>
                <w:sz w:val="26"/>
                <w:szCs w:val="26"/>
                <w:lang w:eastAsia="en-US"/>
              </w:rPr>
            </w:pPr>
            <w:r w:rsidRPr="001F51C3">
              <w:rPr>
                <w:sz w:val="26"/>
                <w:szCs w:val="26"/>
                <w:lang w:eastAsia="en-US"/>
              </w:rPr>
              <w:t>5. Precizēta finansiālā ietekme:</w:t>
            </w:r>
          </w:p>
        </w:tc>
        <w:tc>
          <w:tcPr>
            <w:tcW w:w="1160" w:type="dxa"/>
          </w:tcPr>
          <w:p w14:paraId="0256E0C4" w14:textId="77777777" w:rsidR="009F3F62" w:rsidRPr="001F51C3" w:rsidRDefault="009F3F62" w:rsidP="009F3F62">
            <w:pPr>
              <w:jc w:val="center"/>
              <w:rPr>
                <w:rFonts w:eastAsia="Times New Roman"/>
                <w:sz w:val="26"/>
                <w:szCs w:val="26"/>
              </w:rPr>
            </w:pPr>
            <w:r w:rsidRPr="001F51C3">
              <w:rPr>
                <w:rFonts w:eastAsia="Times New Roman"/>
                <w:sz w:val="26"/>
                <w:szCs w:val="26"/>
              </w:rPr>
              <w:t>N/A</w:t>
            </w:r>
          </w:p>
        </w:tc>
        <w:tc>
          <w:tcPr>
            <w:tcW w:w="1430" w:type="dxa"/>
          </w:tcPr>
          <w:p w14:paraId="59F97CA5" w14:textId="77777777" w:rsidR="009F3F62" w:rsidRPr="001F51C3" w:rsidRDefault="009F3F62" w:rsidP="009F3F62">
            <w:pPr>
              <w:jc w:val="center"/>
              <w:rPr>
                <w:rFonts w:eastAsia="Times New Roman"/>
                <w:sz w:val="26"/>
                <w:szCs w:val="26"/>
              </w:rPr>
            </w:pPr>
            <w:r w:rsidRPr="001F51C3">
              <w:rPr>
                <w:rFonts w:eastAsia="Times New Roman"/>
                <w:sz w:val="26"/>
                <w:szCs w:val="26"/>
              </w:rPr>
              <w:t>N/A</w:t>
            </w:r>
          </w:p>
        </w:tc>
        <w:tc>
          <w:tcPr>
            <w:tcW w:w="1559" w:type="dxa"/>
          </w:tcPr>
          <w:p w14:paraId="532F9DAF" w14:textId="77777777" w:rsidR="009F3F62" w:rsidRPr="001F51C3" w:rsidRDefault="009F3F62" w:rsidP="009F3F62">
            <w:pPr>
              <w:jc w:val="center"/>
              <w:rPr>
                <w:sz w:val="26"/>
                <w:szCs w:val="26"/>
                <w:lang w:eastAsia="en-US"/>
              </w:rPr>
            </w:pPr>
            <w:r w:rsidRPr="001F51C3">
              <w:rPr>
                <w:sz w:val="26"/>
                <w:szCs w:val="26"/>
                <w:lang w:eastAsia="en-US"/>
              </w:rPr>
              <w:t>N/A</w:t>
            </w:r>
          </w:p>
        </w:tc>
        <w:tc>
          <w:tcPr>
            <w:tcW w:w="1418" w:type="dxa"/>
          </w:tcPr>
          <w:p w14:paraId="64C127F3" w14:textId="77777777" w:rsidR="009F3F62" w:rsidRPr="001F51C3" w:rsidRDefault="009F3F62" w:rsidP="009F3F62">
            <w:pPr>
              <w:jc w:val="center"/>
              <w:rPr>
                <w:sz w:val="26"/>
                <w:szCs w:val="26"/>
                <w:lang w:eastAsia="en-US"/>
              </w:rPr>
            </w:pPr>
            <w:r w:rsidRPr="001F51C3">
              <w:rPr>
                <w:sz w:val="26"/>
                <w:szCs w:val="26"/>
                <w:lang w:eastAsia="en-US"/>
              </w:rPr>
              <w:t>N/A</w:t>
            </w:r>
          </w:p>
        </w:tc>
        <w:tc>
          <w:tcPr>
            <w:tcW w:w="1417" w:type="dxa"/>
          </w:tcPr>
          <w:p w14:paraId="61268C43" w14:textId="77777777" w:rsidR="009F3F62" w:rsidRPr="001F51C3" w:rsidRDefault="009F3F62" w:rsidP="009F3F62">
            <w:pPr>
              <w:jc w:val="center"/>
              <w:rPr>
                <w:sz w:val="26"/>
                <w:szCs w:val="26"/>
                <w:lang w:eastAsia="en-US"/>
              </w:rPr>
            </w:pPr>
            <w:r w:rsidRPr="001F51C3">
              <w:rPr>
                <w:sz w:val="26"/>
                <w:szCs w:val="26"/>
                <w:lang w:eastAsia="en-US"/>
              </w:rPr>
              <w:t>N/A</w:t>
            </w:r>
          </w:p>
        </w:tc>
      </w:tr>
      <w:tr w:rsidR="009F3F62" w:rsidRPr="001F51C3" w14:paraId="4D99CCED" w14:textId="77777777" w:rsidTr="000A45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792" w:type="dxa"/>
            <w:gridSpan w:val="3"/>
            <w:shd w:val="clear" w:color="auto" w:fill="auto"/>
          </w:tcPr>
          <w:p w14:paraId="0B6BD8E6" w14:textId="77777777" w:rsidR="009F3F62" w:rsidRPr="001F51C3" w:rsidRDefault="009F3F62" w:rsidP="009F3F62">
            <w:pPr>
              <w:rPr>
                <w:sz w:val="26"/>
                <w:szCs w:val="26"/>
                <w:lang w:eastAsia="en-US"/>
              </w:rPr>
            </w:pPr>
            <w:r w:rsidRPr="001F51C3">
              <w:rPr>
                <w:sz w:val="26"/>
                <w:szCs w:val="26"/>
                <w:lang w:eastAsia="en-US"/>
              </w:rPr>
              <w:t>6. Detalizēts ieņēmumu un izdevumu aprēķins (ja nepie</w:t>
            </w:r>
            <w:r w:rsidRPr="001F51C3">
              <w:rPr>
                <w:sz w:val="26"/>
                <w:szCs w:val="26"/>
                <w:lang w:eastAsia="en-US"/>
              </w:rPr>
              <w:softHyphen/>
              <w:t>ciešams, detalizētu ieņēmumu un izdevumu aprēķinu var pie</w:t>
            </w:r>
            <w:r w:rsidRPr="001F51C3">
              <w:rPr>
                <w:sz w:val="26"/>
                <w:szCs w:val="26"/>
                <w:lang w:eastAsia="en-US"/>
              </w:rPr>
              <w:softHyphen/>
              <w:t>vienot anotācijas pielikumā):</w:t>
            </w:r>
          </w:p>
        </w:tc>
        <w:tc>
          <w:tcPr>
            <w:tcW w:w="6984" w:type="dxa"/>
            <w:gridSpan w:val="5"/>
            <w:vMerge w:val="restart"/>
            <w:shd w:val="clear" w:color="auto" w:fill="auto"/>
            <w:vAlign w:val="center"/>
          </w:tcPr>
          <w:p w14:paraId="0BFA3E43" w14:textId="7B94A12B" w:rsidR="00674C84" w:rsidRPr="001F51C3" w:rsidRDefault="001C534C" w:rsidP="00674C84">
            <w:pPr>
              <w:jc w:val="both"/>
              <w:rPr>
                <w:sz w:val="26"/>
                <w:szCs w:val="26"/>
              </w:rPr>
            </w:pPr>
            <w:r w:rsidRPr="001F51C3">
              <w:rPr>
                <w:sz w:val="26"/>
                <w:szCs w:val="26"/>
              </w:rPr>
              <w:t xml:space="preserve">Pasākumam plānotais kopējais attiecināmais finansējums ir 60 944 588 </w:t>
            </w:r>
            <w:proofErr w:type="spellStart"/>
            <w:r w:rsidRPr="001F51C3">
              <w:rPr>
                <w:i/>
                <w:sz w:val="26"/>
                <w:szCs w:val="26"/>
              </w:rPr>
              <w:t>euro</w:t>
            </w:r>
            <w:proofErr w:type="spellEnd"/>
            <w:r w:rsidRPr="001F51C3">
              <w:rPr>
                <w:sz w:val="26"/>
                <w:szCs w:val="26"/>
              </w:rPr>
              <w:t xml:space="preserve">, tai skaitā ERAF finansējums – 51 802 900 </w:t>
            </w:r>
            <w:proofErr w:type="spellStart"/>
            <w:r w:rsidRPr="001F51C3">
              <w:rPr>
                <w:i/>
                <w:sz w:val="26"/>
                <w:szCs w:val="26"/>
              </w:rPr>
              <w:t>euro</w:t>
            </w:r>
            <w:proofErr w:type="spellEnd"/>
            <w:r w:rsidRPr="001F51C3">
              <w:rPr>
                <w:sz w:val="26"/>
                <w:szCs w:val="26"/>
              </w:rPr>
              <w:t xml:space="preserve">, valsts budžeta finansējums – 4 024 041 </w:t>
            </w:r>
            <w:proofErr w:type="spellStart"/>
            <w:r w:rsidRPr="001F51C3">
              <w:rPr>
                <w:i/>
                <w:sz w:val="26"/>
                <w:szCs w:val="26"/>
              </w:rPr>
              <w:t>euro</w:t>
            </w:r>
            <w:proofErr w:type="spellEnd"/>
            <w:r w:rsidRPr="001F51C3">
              <w:rPr>
                <w:sz w:val="26"/>
                <w:szCs w:val="26"/>
              </w:rPr>
              <w:t xml:space="preserve"> un privātais un pašvaldību, plānošanas reģionu līdzfinansējums – 5 117 647 </w:t>
            </w:r>
            <w:proofErr w:type="spellStart"/>
            <w:r w:rsidRPr="001F51C3">
              <w:rPr>
                <w:sz w:val="26"/>
                <w:szCs w:val="26"/>
              </w:rPr>
              <w:t>euro</w:t>
            </w:r>
            <w:proofErr w:type="spellEnd"/>
            <w:r w:rsidRPr="001F51C3">
              <w:rPr>
                <w:sz w:val="26"/>
                <w:szCs w:val="26"/>
              </w:rPr>
              <w:t>. Projekta iesniegumos pasākumu īstenošanai kopējo attiecināmo finansēju</w:t>
            </w:r>
            <w:r w:rsidR="000A4546" w:rsidRPr="001F51C3">
              <w:rPr>
                <w:sz w:val="26"/>
                <w:szCs w:val="26"/>
              </w:rPr>
              <w:t>mu plāno ne vairāk kā 57 227 153</w:t>
            </w:r>
            <w:r w:rsidRPr="001F51C3">
              <w:rPr>
                <w:sz w:val="26"/>
                <w:szCs w:val="26"/>
              </w:rPr>
              <w:t xml:space="preserve"> </w:t>
            </w:r>
            <w:proofErr w:type="spellStart"/>
            <w:r w:rsidRPr="001F51C3">
              <w:rPr>
                <w:i/>
                <w:sz w:val="26"/>
                <w:szCs w:val="26"/>
              </w:rPr>
              <w:t>euro</w:t>
            </w:r>
            <w:proofErr w:type="spellEnd"/>
            <w:r w:rsidRPr="001F51C3">
              <w:rPr>
                <w:sz w:val="26"/>
                <w:szCs w:val="26"/>
              </w:rPr>
              <w:t xml:space="preserve"> apmērā, tai skaitā ERAF finansējumu – 48 643 079 </w:t>
            </w:r>
            <w:proofErr w:type="spellStart"/>
            <w:r w:rsidRPr="001F51C3">
              <w:rPr>
                <w:i/>
                <w:sz w:val="26"/>
                <w:szCs w:val="26"/>
              </w:rPr>
              <w:t>euro</w:t>
            </w:r>
            <w:proofErr w:type="spellEnd"/>
            <w:r w:rsidRPr="001F51C3">
              <w:rPr>
                <w:sz w:val="26"/>
                <w:szCs w:val="26"/>
              </w:rPr>
              <w:t xml:space="preserve"> (rezerves apjoms ir 3 159 821 </w:t>
            </w:r>
            <w:proofErr w:type="spellStart"/>
            <w:r w:rsidRPr="001F51C3">
              <w:rPr>
                <w:i/>
                <w:sz w:val="26"/>
                <w:szCs w:val="26"/>
              </w:rPr>
              <w:t>euro</w:t>
            </w:r>
            <w:proofErr w:type="spellEnd"/>
            <w:r w:rsidRPr="001F51C3">
              <w:rPr>
                <w:sz w:val="26"/>
                <w:szCs w:val="26"/>
              </w:rPr>
              <w:t xml:space="preserve">) apmērā, valsts budžeta finansējumu – 3 778 594 </w:t>
            </w:r>
            <w:proofErr w:type="spellStart"/>
            <w:r w:rsidRPr="001F51C3">
              <w:rPr>
                <w:sz w:val="26"/>
                <w:szCs w:val="26"/>
              </w:rPr>
              <w:t>euro</w:t>
            </w:r>
            <w:proofErr w:type="spellEnd"/>
            <w:r w:rsidRPr="001F51C3">
              <w:rPr>
                <w:sz w:val="26"/>
                <w:szCs w:val="26"/>
              </w:rPr>
              <w:t xml:space="preserve"> (rezerves apjoms ir 245 447 </w:t>
            </w:r>
            <w:proofErr w:type="spellStart"/>
            <w:r w:rsidRPr="001F51C3">
              <w:rPr>
                <w:i/>
                <w:sz w:val="26"/>
                <w:szCs w:val="26"/>
              </w:rPr>
              <w:t>euro</w:t>
            </w:r>
            <w:proofErr w:type="spellEnd"/>
            <w:r w:rsidRPr="001F51C3">
              <w:rPr>
                <w:sz w:val="26"/>
                <w:szCs w:val="26"/>
              </w:rPr>
              <w:t xml:space="preserve">) apmērā un privāto un pašvaldību, plānošanas reģionu līdzfinansējumu – 4 805 480 </w:t>
            </w:r>
            <w:proofErr w:type="spellStart"/>
            <w:r w:rsidRPr="001F51C3">
              <w:rPr>
                <w:i/>
                <w:sz w:val="26"/>
                <w:szCs w:val="26"/>
              </w:rPr>
              <w:t>euro</w:t>
            </w:r>
            <w:proofErr w:type="spellEnd"/>
            <w:r w:rsidRPr="001F51C3">
              <w:rPr>
                <w:sz w:val="26"/>
                <w:szCs w:val="26"/>
              </w:rPr>
              <w:t xml:space="preserve"> (rezerves apjoms ir 312 167 </w:t>
            </w:r>
            <w:proofErr w:type="spellStart"/>
            <w:r w:rsidRPr="001F51C3">
              <w:rPr>
                <w:i/>
                <w:sz w:val="26"/>
                <w:szCs w:val="26"/>
              </w:rPr>
              <w:t>euro</w:t>
            </w:r>
            <w:proofErr w:type="spellEnd"/>
            <w:r w:rsidRPr="001F51C3">
              <w:rPr>
                <w:sz w:val="26"/>
                <w:szCs w:val="26"/>
              </w:rPr>
              <w:t>) apmērā</w:t>
            </w:r>
            <w:r w:rsidR="005705A5" w:rsidRPr="001F51C3">
              <w:rPr>
                <w:sz w:val="26"/>
                <w:szCs w:val="26"/>
              </w:rPr>
              <w:t>. K</w:t>
            </w:r>
            <w:r w:rsidR="00674C84" w:rsidRPr="001F51C3">
              <w:rPr>
                <w:color w:val="000000"/>
                <w:sz w:val="26"/>
                <w:szCs w:val="26"/>
              </w:rPr>
              <w:t xml:space="preserve">opējā publiskā finansējuma </w:t>
            </w:r>
            <w:r w:rsidR="009D5601" w:rsidRPr="001F51C3">
              <w:rPr>
                <w:color w:val="000000"/>
                <w:sz w:val="26"/>
                <w:szCs w:val="26"/>
              </w:rPr>
              <w:t xml:space="preserve">snieguma </w:t>
            </w:r>
            <w:r w:rsidR="005705A5" w:rsidRPr="001F51C3">
              <w:rPr>
                <w:color w:val="000000"/>
                <w:sz w:val="26"/>
                <w:szCs w:val="26"/>
              </w:rPr>
              <w:t>rezerve plānota 6,1% apmērā.</w:t>
            </w:r>
            <w:r w:rsidR="00674C84" w:rsidRPr="001F51C3">
              <w:rPr>
                <w:color w:val="000000"/>
                <w:sz w:val="26"/>
                <w:szCs w:val="26"/>
              </w:rPr>
              <w:t xml:space="preserve"> </w:t>
            </w:r>
          </w:p>
          <w:p w14:paraId="37A41B42" w14:textId="3D3804FC" w:rsidR="009F3F62" w:rsidRPr="001F51C3" w:rsidRDefault="009F3F62" w:rsidP="009F3F62">
            <w:pPr>
              <w:jc w:val="both"/>
              <w:rPr>
                <w:color w:val="000000"/>
                <w:sz w:val="26"/>
                <w:szCs w:val="26"/>
                <w:shd w:val="clear" w:color="auto" w:fill="FFFFFF"/>
                <w:lang w:eastAsia="en-US"/>
              </w:rPr>
            </w:pPr>
            <w:r w:rsidRPr="001F51C3">
              <w:rPr>
                <w:color w:val="000000"/>
                <w:sz w:val="26"/>
                <w:szCs w:val="26"/>
                <w:shd w:val="clear" w:color="auto" w:fill="FFFFFF"/>
                <w:lang w:eastAsia="en-US"/>
              </w:rPr>
              <w:t xml:space="preserve">Lēmums, vai rezervi izmantot projekta ietvaros, tiks pieņemts pēc </w:t>
            </w:r>
            <w:r w:rsidR="005705A5" w:rsidRPr="001F51C3">
              <w:rPr>
                <w:color w:val="000000"/>
                <w:sz w:val="26"/>
                <w:szCs w:val="26"/>
                <w:shd w:val="clear" w:color="auto" w:fill="FFFFFF"/>
                <w:lang w:eastAsia="en-US"/>
              </w:rPr>
              <w:t xml:space="preserve">3.2.1.2. pasākuma </w:t>
            </w:r>
            <w:r w:rsidRPr="001F51C3">
              <w:rPr>
                <w:color w:val="000000"/>
                <w:sz w:val="26"/>
                <w:szCs w:val="26"/>
                <w:shd w:val="clear" w:color="auto" w:fill="FFFFFF"/>
                <w:lang w:eastAsia="en-US"/>
              </w:rPr>
              <w:t>ietvaros sasniegto rezultātu uz 20</w:t>
            </w:r>
            <w:r w:rsidR="009D5601" w:rsidRPr="001F51C3">
              <w:rPr>
                <w:color w:val="000000"/>
                <w:sz w:val="26"/>
                <w:szCs w:val="26"/>
                <w:shd w:val="clear" w:color="auto" w:fill="FFFFFF"/>
                <w:lang w:eastAsia="en-US"/>
              </w:rPr>
              <w:t>18</w:t>
            </w:r>
            <w:r w:rsidRPr="001F51C3">
              <w:rPr>
                <w:color w:val="000000"/>
                <w:sz w:val="26"/>
                <w:szCs w:val="26"/>
                <w:shd w:val="clear" w:color="auto" w:fill="FFFFFF"/>
                <w:lang w:eastAsia="en-US"/>
              </w:rPr>
              <w:t xml:space="preserve">. gada 31.decembri analīzes. </w:t>
            </w:r>
          </w:p>
          <w:p w14:paraId="3E639056" w14:textId="6C8E826C" w:rsidR="009F3F62" w:rsidRPr="001F51C3" w:rsidRDefault="009F3F62" w:rsidP="009F3F62">
            <w:pPr>
              <w:jc w:val="both"/>
              <w:rPr>
                <w:color w:val="000000"/>
                <w:sz w:val="26"/>
                <w:szCs w:val="26"/>
                <w:shd w:val="clear" w:color="auto" w:fill="FFFFFF"/>
                <w:lang w:eastAsia="en-US"/>
              </w:rPr>
            </w:pPr>
            <w:r w:rsidRPr="001F51C3">
              <w:rPr>
                <w:color w:val="000000"/>
                <w:sz w:val="26"/>
                <w:szCs w:val="26"/>
                <w:shd w:val="clear" w:color="auto" w:fill="FFFFFF"/>
                <w:lang w:eastAsia="en-US"/>
              </w:rPr>
              <w:t xml:space="preserve">Budžeta izdevumi ir kopējie projekta ieviešanai nepieciešamie publiskā finansējuma līdzekļi </w:t>
            </w:r>
            <w:r w:rsidR="003B0D62" w:rsidRPr="001F51C3">
              <w:rPr>
                <w:color w:val="000000"/>
                <w:sz w:val="26"/>
                <w:szCs w:val="26"/>
                <w:shd w:val="clear" w:color="auto" w:fill="FFFFFF"/>
                <w:lang w:eastAsia="en-US"/>
              </w:rPr>
              <w:t xml:space="preserve">projekta īstenošanai ir </w:t>
            </w:r>
            <w:r w:rsidRPr="001F51C3">
              <w:rPr>
                <w:color w:val="000000"/>
                <w:sz w:val="26"/>
                <w:szCs w:val="26"/>
                <w:shd w:val="clear" w:color="auto" w:fill="FFFFFF"/>
                <w:lang w:eastAsia="en-US"/>
              </w:rPr>
              <w:t>aptuveni 9</w:t>
            </w:r>
            <w:r w:rsidR="003B0D62" w:rsidRPr="001F51C3">
              <w:rPr>
                <w:color w:val="000000"/>
                <w:sz w:val="26"/>
                <w:szCs w:val="26"/>
                <w:shd w:val="clear" w:color="auto" w:fill="FFFFFF"/>
                <w:lang w:eastAsia="en-US"/>
              </w:rPr>
              <w:t>1</w:t>
            </w:r>
            <w:r w:rsidRPr="001F51C3">
              <w:rPr>
                <w:color w:val="000000"/>
                <w:sz w:val="26"/>
                <w:szCs w:val="26"/>
                <w:shd w:val="clear" w:color="auto" w:fill="FFFFFF"/>
                <w:lang w:eastAsia="en-US"/>
              </w:rPr>
              <w:t xml:space="preserve">,6% </w:t>
            </w:r>
            <w:r w:rsidR="00031490" w:rsidRPr="001F51C3">
              <w:rPr>
                <w:color w:val="000000"/>
                <w:sz w:val="26"/>
                <w:szCs w:val="26"/>
                <w:shd w:val="clear" w:color="auto" w:fill="FFFFFF"/>
                <w:lang w:eastAsia="en-US"/>
              </w:rPr>
              <w:t xml:space="preserve">(ERAF 85% un </w:t>
            </w:r>
            <w:r w:rsidR="005705A5" w:rsidRPr="001F51C3">
              <w:rPr>
                <w:color w:val="000000"/>
                <w:sz w:val="26"/>
                <w:szCs w:val="26"/>
                <w:shd w:val="clear" w:color="auto" w:fill="FFFFFF"/>
                <w:lang w:eastAsia="en-US"/>
              </w:rPr>
              <w:t>valsts budžets</w:t>
            </w:r>
            <w:r w:rsidR="00031490" w:rsidRPr="001F51C3">
              <w:rPr>
                <w:color w:val="000000"/>
                <w:sz w:val="26"/>
                <w:szCs w:val="26"/>
                <w:shd w:val="clear" w:color="auto" w:fill="FFFFFF"/>
                <w:lang w:eastAsia="en-US"/>
              </w:rPr>
              <w:t xml:space="preserve"> 6,6%) </w:t>
            </w:r>
            <w:r w:rsidRPr="001F51C3">
              <w:rPr>
                <w:color w:val="000000"/>
                <w:sz w:val="26"/>
                <w:szCs w:val="26"/>
                <w:shd w:val="clear" w:color="auto" w:fill="FFFFFF"/>
                <w:lang w:eastAsia="en-US"/>
              </w:rPr>
              <w:t>apmērā no projekta attiecināmajām izmaksām</w:t>
            </w:r>
            <w:r w:rsidR="003B0D62" w:rsidRPr="001F51C3">
              <w:rPr>
                <w:color w:val="000000"/>
                <w:sz w:val="26"/>
                <w:szCs w:val="26"/>
                <w:shd w:val="clear" w:color="auto" w:fill="FFFFFF"/>
                <w:lang w:eastAsia="en-US"/>
              </w:rPr>
              <w:t xml:space="preserve"> un </w:t>
            </w:r>
            <w:r w:rsidRPr="001F51C3">
              <w:rPr>
                <w:color w:val="000000"/>
                <w:sz w:val="26"/>
                <w:szCs w:val="26"/>
                <w:shd w:val="clear" w:color="auto" w:fill="FFFFFF"/>
                <w:lang w:eastAsia="en-US"/>
              </w:rPr>
              <w:t xml:space="preserve">projekta ieviešanai tiks piesaistīts privātais līdzfinansējums aptuveni </w:t>
            </w:r>
            <w:r w:rsidR="003B0D62" w:rsidRPr="001F51C3">
              <w:rPr>
                <w:color w:val="000000"/>
                <w:sz w:val="26"/>
                <w:szCs w:val="26"/>
                <w:shd w:val="clear" w:color="auto" w:fill="FFFFFF"/>
                <w:lang w:eastAsia="en-US"/>
              </w:rPr>
              <w:t>8,4%</w:t>
            </w:r>
            <w:r w:rsidRPr="001F51C3">
              <w:rPr>
                <w:color w:val="000000"/>
                <w:sz w:val="26"/>
                <w:szCs w:val="26"/>
                <w:shd w:val="clear" w:color="auto" w:fill="FFFFFF"/>
                <w:lang w:eastAsia="en-US"/>
              </w:rPr>
              <w:t xml:space="preserve"> apmērā.</w:t>
            </w:r>
          </w:p>
          <w:p w14:paraId="4CF42770" w14:textId="68B7289D" w:rsidR="009F3F62" w:rsidRPr="001F51C3" w:rsidRDefault="009F3F62" w:rsidP="00715745">
            <w:pPr>
              <w:jc w:val="both"/>
              <w:rPr>
                <w:sz w:val="26"/>
                <w:szCs w:val="26"/>
                <w:lang w:eastAsia="en-US"/>
              </w:rPr>
            </w:pPr>
            <w:r w:rsidRPr="001F51C3">
              <w:rPr>
                <w:color w:val="000000"/>
                <w:sz w:val="26"/>
                <w:szCs w:val="26"/>
                <w:shd w:val="clear" w:color="auto" w:fill="FFFFFF"/>
                <w:lang w:eastAsia="en-US"/>
              </w:rPr>
              <w:t>Projektu plānots ieviest no 201</w:t>
            </w:r>
            <w:r w:rsidR="00674C84" w:rsidRPr="001F51C3">
              <w:rPr>
                <w:color w:val="000000"/>
                <w:sz w:val="26"/>
                <w:szCs w:val="26"/>
                <w:shd w:val="clear" w:color="auto" w:fill="FFFFFF"/>
                <w:lang w:eastAsia="en-US"/>
              </w:rPr>
              <w:t>6</w:t>
            </w:r>
            <w:r w:rsidRPr="001F51C3">
              <w:rPr>
                <w:color w:val="000000"/>
                <w:sz w:val="26"/>
                <w:szCs w:val="26"/>
                <w:shd w:val="clear" w:color="auto" w:fill="FFFFFF"/>
                <w:lang w:eastAsia="en-US"/>
              </w:rPr>
              <w:t xml:space="preserve">. gada </w:t>
            </w:r>
            <w:r w:rsidR="00674C84" w:rsidRPr="001F51C3">
              <w:rPr>
                <w:color w:val="000000"/>
                <w:sz w:val="26"/>
                <w:szCs w:val="26"/>
                <w:shd w:val="clear" w:color="auto" w:fill="FFFFFF"/>
                <w:lang w:eastAsia="en-US"/>
              </w:rPr>
              <w:t xml:space="preserve">1. </w:t>
            </w:r>
            <w:r w:rsidR="008947C5" w:rsidRPr="001F51C3">
              <w:rPr>
                <w:color w:val="000000"/>
                <w:sz w:val="26"/>
                <w:szCs w:val="26"/>
                <w:shd w:val="clear" w:color="auto" w:fill="FFFFFF"/>
                <w:lang w:eastAsia="en-US"/>
              </w:rPr>
              <w:t xml:space="preserve">ceturkšņa. Specifiskā atbalsta projekta īstenošanu plāno saskaņā ar vienošanos, bet ne ilgāk kā līdz 2023. gada 31. decembrim. </w:t>
            </w:r>
            <w:r w:rsidRPr="001F51C3">
              <w:rPr>
                <w:color w:val="000000"/>
                <w:sz w:val="26"/>
                <w:szCs w:val="26"/>
                <w:shd w:val="clear" w:color="auto" w:fill="FFFFFF"/>
                <w:lang w:eastAsia="en-US"/>
              </w:rPr>
              <w:t xml:space="preserve">Pirmajā ieviešanas gadā plānots </w:t>
            </w:r>
            <w:r w:rsidR="00674C84" w:rsidRPr="001F51C3">
              <w:rPr>
                <w:color w:val="000000"/>
                <w:sz w:val="26"/>
                <w:szCs w:val="26"/>
                <w:shd w:val="clear" w:color="auto" w:fill="FFFFFF"/>
                <w:lang w:eastAsia="en-US"/>
              </w:rPr>
              <w:t>lielāks</w:t>
            </w:r>
            <w:r w:rsidRPr="001F51C3">
              <w:rPr>
                <w:color w:val="000000"/>
                <w:sz w:val="26"/>
                <w:szCs w:val="26"/>
                <w:shd w:val="clear" w:color="auto" w:fill="FFFFFF"/>
                <w:lang w:eastAsia="en-US"/>
              </w:rPr>
              <w:t xml:space="preserve"> finansējums</w:t>
            </w:r>
            <w:r w:rsidR="00031490" w:rsidRPr="001F51C3">
              <w:rPr>
                <w:color w:val="000000"/>
                <w:sz w:val="26"/>
                <w:szCs w:val="26"/>
                <w:shd w:val="clear" w:color="auto" w:fill="FFFFFF"/>
                <w:lang w:eastAsia="en-US"/>
              </w:rPr>
              <w:t xml:space="preserve"> ( 9 000</w:t>
            </w:r>
            <w:r w:rsidR="00715745" w:rsidRPr="001F51C3">
              <w:rPr>
                <w:color w:val="000000"/>
                <w:sz w:val="26"/>
                <w:szCs w:val="26"/>
                <w:shd w:val="clear" w:color="auto" w:fill="FFFFFF"/>
                <w:lang w:eastAsia="en-US"/>
              </w:rPr>
              <w:t> </w:t>
            </w:r>
            <w:r w:rsidR="00031490" w:rsidRPr="001F51C3">
              <w:rPr>
                <w:color w:val="000000"/>
                <w:sz w:val="26"/>
                <w:szCs w:val="26"/>
                <w:shd w:val="clear" w:color="auto" w:fill="FFFFFF"/>
                <w:lang w:eastAsia="en-US"/>
              </w:rPr>
              <w:t>000</w:t>
            </w:r>
            <w:r w:rsidR="00715745" w:rsidRPr="001F51C3">
              <w:rPr>
                <w:color w:val="000000"/>
                <w:sz w:val="26"/>
                <w:szCs w:val="26"/>
                <w:shd w:val="clear" w:color="auto" w:fill="FFFFFF"/>
                <w:lang w:eastAsia="en-US"/>
              </w:rPr>
              <w:t xml:space="preserve"> </w:t>
            </w:r>
            <w:proofErr w:type="spellStart"/>
            <w:r w:rsidR="00715745" w:rsidRPr="001F51C3">
              <w:rPr>
                <w:i/>
                <w:color w:val="000000"/>
                <w:sz w:val="26"/>
                <w:szCs w:val="26"/>
                <w:shd w:val="clear" w:color="auto" w:fill="FFFFFF"/>
                <w:lang w:eastAsia="en-US"/>
              </w:rPr>
              <w:t>euro</w:t>
            </w:r>
            <w:proofErr w:type="spellEnd"/>
            <w:r w:rsidR="00031490" w:rsidRPr="001F51C3">
              <w:rPr>
                <w:color w:val="000000"/>
                <w:sz w:val="26"/>
                <w:szCs w:val="26"/>
                <w:shd w:val="clear" w:color="auto" w:fill="FFFFFF"/>
                <w:lang w:eastAsia="en-US"/>
              </w:rPr>
              <w:t>)</w:t>
            </w:r>
            <w:r w:rsidRPr="001F51C3">
              <w:rPr>
                <w:color w:val="000000"/>
                <w:sz w:val="26"/>
                <w:szCs w:val="26"/>
                <w:shd w:val="clear" w:color="auto" w:fill="FFFFFF"/>
                <w:lang w:eastAsia="en-US"/>
              </w:rPr>
              <w:t>, saistībā ar aktivitāšu uzsākšanu</w:t>
            </w:r>
            <w:r w:rsidR="00674C84" w:rsidRPr="001F51C3">
              <w:rPr>
                <w:color w:val="000000"/>
                <w:sz w:val="26"/>
                <w:szCs w:val="26"/>
                <w:shd w:val="clear" w:color="auto" w:fill="FFFFFF"/>
                <w:lang w:eastAsia="en-US"/>
              </w:rPr>
              <w:t>, piemēram, informācija sistēmu pielāgošanu un darba vietu iekārtošanu</w:t>
            </w:r>
            <w:r w:rsidRPr="001F51C3">
              <w:rPr>
                <w:color w:val="000000"/>
                <w:sz w:val="26"/>
                <w:szCs w:val="26"/>
                <w:shd w:val="clear" w:color="auto" w:fill="FFFFFF"/>
                <w:lang w:eastAsia="en-US"/>
              </w:rPr>
              <w:t>, bet pārējos gados finansējums plānots vienmērīgi</w:t>
            </w:r>
            <w:r w:rsidR="00715745" w:rsidRPr="001F51C3">
              <w:rPr>
                <w:color w:val="000000"/>
                <w:sz w:val="26"/>
                <w:szCs w:val="26"/>
                <w:shd w:val="clear" w:color="auto" w:fill="FFFFFF"/>
                <w:lang w:eastAsia="en-US"/>
              </w:rPr>
              <w:t xml:space="preserve"> (</w:t>
            </w:r>
            <w:r w:rsidR="00031490" w:rsidRPr="001F51C3">
              <w:rPr>
                <w:color w:val="000000"/>
                <w:sz w:val="26"/>
                <w:szCs w:val="26"/>
                <w:shd w:val="clear" w:color="auto" w:fill="FFFFFF"/>
                <w:lang w:eastAsia="en-US"/>
              </w:rPr>
              <w:t xml:space="preserve"> 8 657</w:t>
            </w:r>
            <w:r w:rsidR="00715745" w:rsidRPr="001F51C3">
              <w:rPr>
                <w:color w:val="000000"/>
                <w:sz w:val="26"/>
                <w:szCs w:val="26"/>
                <w:shd w:val="clear" w:color="auto" w:fill="FFFFFF"/>
                <w:lang w:eastAsia="en-US"/>
              </w:rPr>
              <w:t> </w:t>
            </w:r>
            <w:r w:rsidR="00031490" w:rsidRPr="001F51C3">
              <w:rPr>
                <w:color w:val="000000"/>
                <w:sz w:val="26"/>
                <w:szCs w:val="26"/>
                <w:shd w:val="clear" w:color="auto" w:fill="FFFFFF"/>
                <w:lang w:eastAsia="en-US"/>
              </w:rPr>
              <w:t>431</w:t>
            </w:r>
            <w:r w:rsidR="00715745" w:rsidRPr="001F51C3">
              <w:rPr>
                <w:color w:val="000000"/>
                <w:sz w:val="26"/>
                <w:szCs w:val="26"/>
                <w:shd w:val="clear" w:color="auto" w:fill="FFFFFF"/>
                <w:lang w:eastAsia="en-US"/>
              </w:rPr>
              <w:t xml:space="preserve"> </w:t>
            </w:r>
            <w:proofErr w:type="spellStart"/>
            <w:r w:rsidR="00715745" w:rsidRPr="001F51C3">
              <w:rPr>
                <w:i/>
                <w:color w:val="000000"/>
                <w:sz w:val="26"/>
                <w:szCs w:val="26"/>
                <w:shd w:val="clear" w:color="auto" w:fill="FFFFFF"/>
                <w:lang w:eastAsia="en-US"/>
              </w:rPr>
              <w:t>euro</w:t>
            </w:r>
            <w:proofErr w:type="spellEnd"/>
            <w:r w:rsidR="00031490" w:rsidRPr="001F51C3">
              <w:rPr>
                <w:color w:val="000000"/>
                <w:sz w:val="26"/>
                <w:szCs w:val="26"/>
                <w:shd w:val="clear" w:color="auto" w:fill="FFFFFF"/>
                <w:lang w:eastAsia="en-US"/>
              </w:rPr>
              <w:t>)</w:t>
            </w:r>
            <w:r w:rsidRPr="001F51C3">
              <w:rPr>
                <w:color w:val="000000"/>
                <w:sz w:val="26"/>
                <w:szCs w:val="26"/>
                <w:shd w:val="clear" w:color="auto" w:fill="FFFFFF"/>
                <w:lang w:eastAsia="en-US"/>
              </w:rPr>
              <w:t>.</w:t>
            </w:r>
          </w:p>
        </w:tc>
      </w:tr>
      <w:tr w:rsidR="009F3F62" w:rsidRPr="001F51C3" w14:paraId="22A2359E" w14:textId="77777777" w:rsidTr="000A45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792" w:type="dxa"/>
            <w:gridSpan w:val="3"/>
          </w:tcPr>
          <w:p w14:paraId="205786C0" w14:textId="3F8D525B" w:rsidR="009F3F62" w:rsidRPr="001F51C3" w:rsidRDefault="009F3F62" w:rsidP="009F3F62">
            <w:pPr>
              <w:rPr>
                <w:sz w:val="26"/>
                <w:szCs w:val="26"/>
                <w:lang w:eastAsia="en-US"/>
              </w:rPr>
            </w:pPr>
            <w:r w:rsidRPr="001F51C3">
              <w:rPr>
                <w:sz w:val="26"/>
                <w:szCs w:val="26"/>
                <w:lang w:eastAsia="en-US"/>
              </w:rPr>
              <w:t>6.1. detalizēts ieņēmumu aprēķins</w:t>
            </w:r>
          </w:p>
        </w:tc>
        <w:tc>
          <w:tcPr>
            <w:tcW w:w="6984" w:type="dxa"/>
            <w:gridSpan w:val="5"/>
            <w:vMerge/>
          </w:tcPr>
          <w:p w14:paraId="58D947BE" w14:textId="77777777" w:rsidR="009F3F62" w:rsidRPr="001F51C3" w:rsidRDefault="009F3F62" w:rsidP="009F3F62">
            <w:pPr>
              <w:rPr>
                <w:rFonts w:eastAsia="Times New Roman"/>
                <w:b/>
                <w:i/>
                <w:sz w:val="26"/>
                <w:szCs w:val="26"/>
              </w:rPr>
            </w:pPr>
          </w:p>
        </w:tc>
      </w:tr>
      <w:tr w:rsidR="009F3F62" w:rsidRPr="001F51C3" w14:paraId="3952C932" w14:textId="77777777" w:rsidTr="000A45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792" w:type="dxa"/>
            <w:gridSpan w:val="3"/>
          </w:tcPr>
          <w:p w14:paraId="43EFAFF6" w14:textId="77777777" w:rsidR="009F3F62" w:rsidRPr="001F51C3" w:rsidRDefault="009F3F62" w:rsidP="009F3F62">
            <w:pPr>
              <w:rPr>
                <w:sz w:val="26"/>
                <w:szCs w:val="26"/>
                <w:lang w:eastAsia="en-US"/>
              </w:rPr>
            </w:pPr>
            <w:r w:rsidRPr="001F51C3">
              <w:rPr>
                <w:sz w:val="26"/>
                <w:szCs w:val="26"/>
                <w:lang w:eastAsia="en-US"/>
              </w:rPr>
              <w:t>6.2. detalizēts izdevumu aprēķins</w:t>
            </w:r>
          </w:p>
        </w:tc>
        <w:tc>
          <w:tcPr>
            <w:tcW w:w="6984" w:type="dxa"/>
            <w:gridSpan w:val="5"/>
            <w:vMerge/>
          </w:tcPr>
          <w:p w14:paraId="5D3E47BB" w14:textId="77777777" w:rsidR="009F3F62" w:rsidRPr="001F51C3" w:rsidRDefault="009F3F62" w:rsidP="009F3F62">
            <w:pPr>
              <w:rPr>
                <w:rFonts w:eastAsia="Times New Roman"/>
                <w:b/>
                <w:i/>
                <w:sz w:val="26"/>
                <w:szCs w:val="26"/>
              </w:rPr>
            </w:pPr>
          </w:p>
        </w:tc>
      </w:tr>
      <w:tr w:rsidR="009F3F62" w:rsidRPr="001F51C3" w14:paraId="3749ACDE" w14:textId="77777777" w:rsidTr="000A45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6"/>
          <w:jc w:val="center"/>
        </w:trPr>
        <w:tc>
          <w:tcPr>
            <w:tcW w:w="2792" w:type="dxa"/>
            <w:gridSpan w:val="3"/>
          </w:tcPr>
          <w:p w14:paraId="37FD4B19" w14:textId="77777777" w:rsidR="009F3F62" w:rsidRPr="001F51C3" w:rsidRDefault="009F3F62" w:rsidP="009F3F62">
            <w:pPr>
              <w:rPr>
                <w:sz w:val="26"/>
                <w:szCs w:val="26"/>
                <w:lang w:eastAsia="en-US"/>
              </w:rPr>
            </w:pPr>
            <w:r w:rsidRPr="001F51C3">
              <w:rPr>
                <w:sz w:val="26"/>
                <w:szCs w:val="26"/>
                <w:lang w:eastAsia="en-US"/>
              </w:rPr>
              <w:t>7. Cita informācija</w:t>
            </w:r>
          </w:p>
        </w:tc>
        <w:tc>
          <w:tcPr>
            <w:tcW w:w="6984" w:type="dxa"/>
            <w:gridSpan w:val="5"/>
          </w:tcPr>
          <w:p w14:paraId="0B36BFF3" w14:textId="7FEB4FF4" w:rsidR="00302C4D" w:rsidRPr="001F51C3" w:rsidRDefault="00302C4D" w:rsidP="009F3F62">
            <w:pPr>
              <w:tabs>
                <w:tab w:val="left" w:pos="4644"/>
              </w:tabs>
              <w:jc w:val="both"/>
              <w:rPr>
                <w:color w:val="000000"/>
                <w:sz w:val="26"/>
                <w:szCs w:val="26"/>
                <w:shd w:val="clear" w:color="auto" w:fill="FFFFFF"/>
                <w:lang w:eastAsia="en-US"/>
              </w:rPr>
            </w:pPr>
            <w:r w:rsidRPr="001F51C3">
              <w:rPr>
                <w:color w:val="000000"/>
                <w:sz w:val="26"/>
                <w:szCs w:val="26"/>
                <w:shd w:val="clear" w:color="auto" w:fill="FFFFFF"/>
                <w:lang w:eastAsia="en-US"/>
              </w:rPr>
              <w:t>Ekonomikas ministrija 201</w:t>
            </w:r>
            <w:r w:rsidR="007F1BD5" w:rsidRPr="001F51C3">
              <w:rPr>
                <w:color w:val="000000"/>
                <w:sz w:val="26"/>
                <w:szCs w:val="26"/>
                <w:shd w:val="clear" w:color="auto" w:fill="FFFFFF"/>
                <w:lang w:eastAsia="en-US"/>
              </w:rPr>
              <w:t>6</w:t>
            </w:r>
            <w:r w:rsidR="003E6E57" w:rsidRPr="001F51C3">
              <w:rPr>
                <w:color w:val="000000"/>
                <w:sz w:val="26"/>
                <w:szCs w:val="26"/>
                <w:shd w:val="clear" w:color="auto" w:fill="FFFFFF"/>
                <w:lang w:eastAsia="en-US"/>
              </w:rPr>
              <w:t xml:space="preserve">. </w:t>
            </w:r>
            <w:r w:rsidRPr="001F51C3">
              <w:rPr>
                <w:color w:val="000000"/>
                <w:sz w:val="26"/>
                <w:szCs w:val="26"/>
                <w:shd w:val="clear" w:color="auto" w:fill="FFFFFF"/>
                <w:lang w:eastAsia="en-US"/>
              </w:rPr>
              <w:t xml:space="preserve">gadā normatīvajos aktos noteiktajā kārtībā sagatavos un iesniegs Finanšu ministrijai </w:t>
            </w:r>
            <w:r w:rsidR="00031490" w:rsidRPr="001F51C3">
              <w:rPr>
                <w:color w:val="000000"/>
                <w:sz w:val="26"/>
                <w:szCs w:val="26"/>
                <w:shd w:val="clear" w:color="auto" w:fill="FFFFFF"/>
                <w:lang w:eastAsia="en-US"/>
              </w:rPr>
              <w:t xml:space="preserve">lūgumu par </w:t>
            </w:r>
            <w:r w:rsidR="00031490" w:rsidRPr="001F51C3">
              <w:rPr>
                <w:sz w:val="26"/>
                <w:szCs w:val="26"/>
              </w:rPr>
              <w:t xml:space="preserve">nepieciešamā valsts budžeta finansējuma </w:t>
            </w:r>
            <w:r w:rsidR="00031490" w:rsidRPr="001F51C3">
              <w:rPr>
                <w:color w:val="000000"/>
                <w:sz w:val="26"/>
                <w:szCs w:val="26"/>
                <w:shd w:val="clear" w:color="auto" w:fill="FFFFFF"/>
                <w:lang w:eastAsia="en-US"/>
              </w:rPr>
              <w:t>pārdali</w:t>
            </w:r>
            <w:r w:rsidR="007F1BD5" w:rsidRPr="001F51C3">
              <w:rPr>
                <w:color w:val="000000"/>
                <w:sz w:val="26"/>
                <w:szCs w:val="26"/>
                <w:shd w:val="clear" w:color="auto" w:fill="FFFFFF"/>
                <w:lang w:eastAsia="en-US"/>
              </w:rPr>
              <w:t xml:space="preserve"> </w:t>
            </w:r>
            <w:r w:rsidR="007F1BD5" w:rsidRPr="001F51C3">
              <w:rPr>
                <w:rFonts w:eastAsia="Times New Roman"/>
                <w:sz w:val="26"/>
                <w:szCs w:val="26"/>
              </w:rPr>
              <w:t xml:space="preserve">8 244 000 </w:t>
            </w:r>
            <w:proofErr w:type="spellStart"/>
            <w:r w:rsidR="007F1BD5" w:rsidRPr="001F51C3">
              <w:rPr>
                <w:rFonts w:eastAsia="Times New Roman"/>
                <w:i/>
                <w:sz w:val="26"/>
                <w:szCs w:val="26"/>
              </w:rPr>
              <w:t>euro</w:t>
            </w:r>
            <w:proofErr w:type="spellEnd"/>
            <w:r w:rsidR="007F1BD5" w:rsidRPr="001F51C3">
              <w:rPr>
                <w:rFonts w:eastAsia="Times New Roman"/>
                <w:sz w:val="26"/>
                <w:szCs w:val="26"/>
              </w:rPr>
              <w:t xml:space="preserve"> apmērā </w:t>
            </w:r>
            <w:r w:rsidRPr="001F51C3">
              <w:rPr>
                <w:color w:val="000000"/>
                <w:sz w:val="26"/>
                <w:szCs w:val="26"/>
                <w:shd w:val="clear" w:color="auto" w:fill="FFFFFF"/>
                <w:lang w:eastAsia="en-US"/>
              </w:rPr>
              <w:t xml:space="preserve"> no 74.resora ,,Gadskārtējā valsts budžeta izpildes p</w:t>
            </w:r>
            <w:r w:rsidR="00031490" w:rsidRPr="001F51C3">
              <w:rPr>
                <w:color w:val="000000"/>
                <w:sz w:val="26"/>
                <w:szCs w:val="26"/>
                <w:shd w:val="clear" w:color="auto" w:fill="FFFFFF"/>
                <w:lang w:eastAsia="en-US"/>
              </w:rPr>
              <w:t xml:space="preserve">rocesā pārdalāmais finansējums” </w:t>
            </w:r>
            <w:r w:rsidRPr="001F51C3">
              <w:rPr>
                <w:color w:val="000000"/>
                <w:sz w:val="26"/>
                <w:szCs w:val="26"/>
                <w:shd w:val="clear" w:color="auto" w:fill="FFFFFF"/>
                <w:lang w:eastAsia="en-US"/>
              </w:rPr>
              <w:t>80.00.00 programmas ,,Nesadalītais finansējums Eiropas Savienības politiku instrumentu un pārējās ārvalstu finanšu palīdzības līdzfinansēto projektu un pasākumu īstenošanai”.</w:t>
            </w:r>
          </w:p>
          <w:p w14:paraId="269C509E" w14:textId="77777777" w:rsidR="00C54619" w:rsidRPr="001F51C3" w:rsidRDefault="00C54619" w:rsidP="009F3F62">
            <w:pPr>
              <w:tabs>
                <w:tab w:val="left" w:pos="4644"/>
              </w:tabs>
              <w:jc w:val="both"/>
              <w:rPr>
                <w:sz w:val="26"/>
                <w:szCs w:val="26"/>
              </w:rPr>
            </w:pPr>
          </w:p>
          <w:p w14:paraId="73CEEDD0" w14:textId="7389BCA4" w:rsidR="006F6CB0" w:rsidRPr="001F51C3" w:rsidRDefault="003E6E57" w:rsidP="009F3F62">
            <w:pPr>
              <w:tabs>
                <w:tab w:val="left" w:pos="4644"/>
              </w:tabs>
              <w:jc w:val="both"/>
              <w:rPr>
                <w:sz w:val="26"/>
                <w:szCs w:val="26"/>
              </w:rPr>
            </w:pPr>
            <w:r w:rsidRPr="001F51C3">
              <w:rPr>
                <w:sz w:val="26"/>
                <w:szCs w:val="26"/>
              </w:rPr>
              <w:t xml:space="preserve">Ņemot vērā, ka </w:t>
            </w:r>
            <w:r w:rsidR="00C03DB9" w:rsidRPr="001F51C3">
              <w:rPr>
                <w:sz w:val="26"/>
                <w:szCs w:val="26"/>
              </w:rPr>
              <w:t>3.2.1.2. pasākums ir turpinājums 2.3.1.1.2.apakšaktivitātei un 2.3.1.1.1.apakšaktivitātei un nozaru  nacionālo stendi starptautiskajās izstādēs ir svarīga aktivitāte jaunu tirgu apguvei un eksporta veicināšanai, kā arī ņemot vērā, ka</w:t>
            </w:r>
            <w:r w:rsidR="00167C26" w:rsidRPr="001F51C3">
              <w:rPr>
                <w:sz w:val="26"/>
                <w:szCs w:val="26"/>
              </w:rPr>
              <w:t xml:space="preserve"> </w:t>
            </w:r>
            <w:r w:rsidR="00C03DB9" w:rsidRPr="001F51C3">
              <w:rPr>
                <w:sz w:val="26"/>
                <w:szCs w:val="26"/>
              </w:rPr>
              <w:t xml:space="preserve">stendu laukumu noma 2016./2017.gada ārvalstu izstādēs </w:t>
            </w:r>
            <w:r w:rsidR="00167C26" w:rsidRPr="001F51C3">
              <w:rPr>
                <w:sz w:val="26"/>
                <w:szCs w:val="26"/>
              </w:rPr>
              <w:t xml:space="preserve">finansējumu saņēmējiem – TAVA un LIAA  </w:t>
            </w:r>
            <w:r w:rsidR="00C03DB9" w:rsidRPr="001F51C3">
              <w:rPr>
                <w:sz w:val="26"/>
                <w:szCs w:val="26"/>
              </w:rPr>
              <w:t>ir jāveic savlaicīgi (vismaz 6 līdz 12 mēnešus iepriekš) 3.2.1.</w:t>
            </w:r>
            <w:r w:rsidR="00167C26" w:rsidRPr="001F51C3">
              <w:rPr>
                <w:sz w:val="26"/>
                <w:szCs w:val="26"/>
              </w:rPr>
              <w:t>2</w:t>
            </w:r>
            <w:r w:rsidR="00C03DB9" w:rsidRPr="001F51C3">
              <w:rPr>
                <w:sz w:val="26"/>
                <w:szCs w:val="26"/>
              </w:rPr>
              <w:t xml:space="preserve"> </w:t>
            </w:r>
            <w:r w:rsidR="00167C26" w:rsidRPr="001F51C3">
              <w:rPr>
                <w:sz w:val="26"/>
                <w:szCs w:val="26"/>
              </w:rPr>
              <w:t xml:space="preserve">pasākuma īstenošanas noteikumu projektā </w:t>
            </w:r>
            <w:r w:rsidR="00C03DB9" w:rsidRPr="001F51C3">
              <w:rPr>
                <w:sz w:val="26"/>
                <w:szCs w:val="26"/>
              </w:rPr>
              <w:t>iekļauts nosacījums</w:t>
            </w:r>
            <w:r w:rsidR="004C02B4" w:rsidRPr="001F51C3">
              <w:rPr>
                <w:sz w:val="26"/>
                <w:szCs w:val="26"/>
              </w:rPr>
              <w:t xml:space="preserve"> (saskaņā ar Regulas Nr.1303/2013 65.panta 2.punktu)</w:t>
            </w:r>
            <w:r w:rsidR="00C03DB9" w:rsidRPr="001F51C3">
              <w:rPr>
                <w:sz w:val="26"/>
                <w:szCs w:val="26"/>
              </w:rPr>
              <w:t>, ka nacionālo stendu organizēšanas</w:t>
            </w:r>
            <w:r w:rsidR="00167C26" w:rsidRPr="001F51C3">
              <w:rPr>
                <w:sz w:val="26"/>
                <w:szCs w:val="26"/>
              </w:rPr>
              <w:t xml:space="preserve"> izmaksas</w:t>
            </w:r>
            <w:r w:rsidR="00C03DB9" w:rsidRPr="001F51C3">
              <w:rPr>
                <w:sz w:val="26"/>
                <w:szCs w:val="26"/>
              </w:rPr>
              <w:t xml:space="preserve"> starptautiskajās izstādēs ārvalstīs</w:t>
            </w:r>
            <w:r w:rsidR="004C02B4" w:rsidRPr="001F51C3">
              <w:rPr>
                <w:sz w:val="26"/>
                <w:szCs w:val="26"/>
              </w:rPr>
              <w:t xml:space="preserve"> ir attiecināmas no </w:t>
            </w:r>
            <w:r w:rsidR="004C02B4" w:rsidRPr="001F51C3">
              <w:rPr>
                <w:b/>
                <w:sz w:val="26"/>
                <w:szCs w:val="26"/>
              </w:rPr>
              <w:t>2015.gada 1.jūnija</w:t>
            </w:r>
            <w:r w:rsidR="004C02B4" w:rsidRPr="001F51C3">
              <w:rPr>
                <w:sz w:val="26"/>
                <w:szCs w:val="26"/>
              </w:rPr>
              <w:t xml:space="preserve"> (vairākām 2016.gada pavasara nozaru izstādēm </w:t>
            </w:r>
            <w:r w:rsidR="00167C26" w:rsidRPr="001F51C3">
              <w:rPr>
                <w:sz w:val="26"/>
                <w:szCs w:val="26"/>
              </w:rPr>
              <w:t xml:space="preserve">finansējuma saņēmējiem </w:t>
            </w:r>
            <w:r w:rsidR="004C02B4" w:rsidRPr="001F51C3">
              <w:rPr>
                <w:sz w:val="26"/>
                <w:szCs w:val="26"/>
              </w:rPr>
              <w:t xml:space="preserve">izstāžu laukumi bija jārezervē š.g. vasarā).  </w:t>
            </w:r>
            <w:r w:rsidR="00167C26" w:rsidRPr="001F51C3">
              <w:rPr>
                <w:sz w:val="26"/>
                <w:szCs w:val="26"/>
              </w:rPr>
              <w:t xml:space="preserve">Šīs </w:t>
            </w:r>
            <w:r w:rsidR="006F6CB0" w:rsidRPr="001F51C3">
              <w:rPr>
                <w:sz w:val="26"/>
                <w:szCs w:val="26"/>
              </w:rPr>
              <w:t xml:space="preserve">ir </w:t>
            </w:r>
            <w:r w:rsidR="00167C26" w:rsidRPr="001F51C3">
              <w:rPr>
                <w:sz w:val="26"/>
                <w:szCs w:val="26"/>
              </w:rPr>
              <w:t>izmaksas</w:t>
            </w:r>
            <w:r w:rsidR="006F6CB0" w:rsidRPr="001F51C3">
              <w:rPr>
                <w:sz w:val="26"/>
                <w:szCs w:val="26"/>
              </w:rPr>
              <w:t xml:space="preserve">, kuras rodas TAVA un LIAA organizējot nozaru nacionālos stendus </w:t>
            </w:r>
            <w:r w:rsidR="001C1977" w:rsidRPr="001F51C3">
              <w:rPr>
                <w:sz w:val="26"/>
                <w:szCs w:val="26"/>
              </w:rPr>
              <w:t>3.2.1.2.</w:t>
            </w:r>
            <w:r w:rsidR="006F6CB0" w:rsidRPr="001F51C3">
              <w:rPr>
                <w:sz w:val="26"/>
                <w:szCs w:val="26"/>
              </w:rPr>
              <w:t xml:space="preserve">pasākuma mērķa grupai ārvalstu tirgos. Par nacionālajiem stendiem ārvalstu izstādēs 2016.gadā TAVA un LIAA atbalsta aprēķinus veiks un uzskaitīs </w:t>
            </w:r>
            <w:r w:rsidR="007566CB" w:rsidRPr="001F51C3">
              <w:rPr>
                <w:sz w:val="26"/>
                <w:szCs w:val="26"/>
              </w:rPr>
              <w:t xml:space="preserve">atbalstu (t.sk. </w:t>
            </w:r>
            <w:proofErr w:type="spellStart"/>
            <w:r w:rsidR="001718E5" w:rsidRPr="001F51C3">
              <w:rPr>
                <w:i/>
                <w:sz w:val="26"/>
                <w:szCs w:val="26"/>
              </w:rPr>
              <w:t>de</w:t>
            </w:r>
            <w:proofErr w:type="spellEnd"/>
            <w:r w:rsidR="001718E5" w:rsidRPr="001F51C3">
              <w:rPr>
                <w:i/>
                <w:sz w:val="26"/>
                <w:szCs w:val="26"/>
              </w:rPr>
              <w:t xml:space="preserve"> </w:t>
            </w:r>
            <w:proofErr w:type="spellStart"/>
            <w:r w:rsidR="001718E5" w:rsidRPr="001F51C3">
              <w:rPr>
                <w:i/>
                <w:sz w:val="26"/>
                <w:szCs w:val="26"/>
              </w:rPr>
              <w:t>minimis</w:t>
            </w:r>
            <w:proofErr w:type="spellEnd"/>
            <w:r w:rsidR="007566CB" w:rsidRPr="001F51C3">
              <w:rPr>
                <w:sz w:val="26"/>
                <w:szCs w:val="26"/>
              </w:rPr>
              <w:t xml:space="preserve"> atbalstu</w:t>
            </w:r>
            <w:r w:rsidR="007566CB" w:rsidRPr="001F51C3">
              <w:rPr>
                <w:i/>
                <w:sz w:val="26"/>
                <w:szCs w:val="26"/>
              </w:rPr>
              <w:t>)</w:t>
            </w:r>
            <w:r w:rsidR="001718E5" w:rsidRPr="001F51C3">
              <w:rPr>
                <w:i/>
                <w:sz w:val="26"/>
                <w:szCs w:val="26"/>
              </w:rPr>
              <w:t xml:space="preserve"> </w:t>
            </w:r>
            <w:r w:rsidR="006F6CB0" w:rsidRPr="001F51C3">
              <w:rPr>
                <w:sz w:val="26"/>
                <w:szCs w:val="26"/>
              </w:rPr>
              <w:t xml:space="preserve">katram konkrētajam atbalsta saņēmējam (izstādes dalībniekam) tikai </w:t>
            </w:r>
            <w:r w:rsidR="001718E5" w:rsidRPr="001F51C3">
              <w:rPr>
                <w:sz w:val="26"/>
                <w:szCs w:val="26"/>
              </w:rPr>
              <w:t>pēc tam, kad būs notikusi atbilstošā</w:t>
            </w:r>
            <w:r w:rsidR="006F6CB0" w:rsidRPr="001F51C3">
              <w:rPr>
                <w:sz w:val="26"/>
                <w:szCs w:val="26"/>
              </w:rPr>
              <w:t xml:space="preserve"> izstāde un saņemti visi </w:t>
            </w:r>
            <w:r w:rsidR="007566CB" w:rsidRPr="001F51C3">
              <w:rPr>
                <w:sz w:val="26"/>
                <w:szCs w:val="26"/>
              </w:rPr>
              <w:t xml:space="preserve">atbilstošie </w:t>
            </w:r>
            <w:r w:rsidR="006F6CB0" w:rsidRPr="001F51C3">
              <w:rPr>
                <w:sz w:val="26"/>
                <w:szCs w:val="26"/>
              </w:rPr>
              <w:t xml:space="preserve">rēķini </w:t>
            </w:r>
            <w:r w:rsidR="007566CB" w:rsidRPr="001F51C3">
              <w:rPr>
                <w:sz w:val="26"/>
                <w:szCs w:val="26"/>
              </w:rPr>
              <w:t>par izstādes organizēšanu</w:t>
            </w:r>
            <w:r w:rsidR="001718E5" w:rsidRPr="001F51C3">
              <w:rPr>
                <w:sz w:val="26"/>
                <w:szCs w:val="26"/>
              </w:rPr>
              <w:t>.</w:t>
            </w:r>
          </w:p>
          <w:p w14:paraId="379C74A6" w14:textId="41812C1F" w:rsidR="002C445C" w:rsidRPr="001F51C3" w:rsidRDefault="004C02B4" w:rsidP="009F3F62">
            <w:pPr>
              <w:tabs>
                <w:tab w:val="left" w:pos="4644"/>
              </w:tabs>
              <w:jc w:val="both"/>
              <w:rPr>
                <w:sz w:val="26"/>
                <w:szCs w:val="26"/>
              </w:rPr>
            </w:pPr>
            <w:r w:rsidRPr="001F51C3">
              <w:rPr>
                <w:sz w:val="26"/>
                <w:szCs w:val="26"/>
              </w:rPr>
              <w:t>Ņemot vērā to, ka 3.2.1.2. pasākums pēc apvienošanas ir arī 2.3.1.1.1.apakšaktivitātes „Ārējo tirgu apgūšana – ārējais mārketings” turpinājums, un finansējums 2.3.1.1.1.apakšaktivitāt</w:t>
            </w:r>
            <w:r w:rsidR="001C1977" w:rsidRPr="001F51C3">
              <w:rPr>
                <w:sz w:val="26"/>
                <w:szCs w:val="26"/>
              </w:rPr>
              <w:t xml:space="preserve">ē beidzies š.g. septembrī, tad </w:t>
            </w:r>
            <w:r w:rsidRPr="001F51C3">
              <w:rPr>
                <w:sz w:val="26"/>
                <w:szCs w:val="26"/>
              </w:rPr>
              <w:t xml:space="preserve">no </w:t>
            </w:r>
            <w:r w:rsidR="000024B9" w:rsidRPr="001F51C3">
              <w:rPr>
                <w:b/>
                <w:sz w:val="26"/>
                <w:szCs w:val="26"/>
              </w:rPr>
              <w:t>noteikumu projekta spēkā stāšanās dienas</w:t>
            </w:r>
            <w:r w:rsidR="00494DA7" w:rsidRPr="001F51C3">
              <w:rPr>
                <w:sz w:val="26"/>
                <w:szCs w:val="26"/>
              </w:rPr>
              <w:t>, tostarp,</w:t>
            </w:r>
            <w:r w:rsidR="006F6CB0" w:rsidRPr="001F51C3">
              <w:rPr>
                <w:b/>
                <w:sz w:val="26"/>
                <w:szCs w:val="26"/>
              </w:rPr>
              <w:t xml:space="preserve"> </w:t>
            </w:r>
            <w:r w:rsidRPr="001F51C3">
              <w:rPr>
                <w:sz w:val="26"/>
                <w:szCs w:val="26"/>
              </w:rPr>
              <w:t xml:space="preserve">ir attiecināmas starptautisko izstāžu dalībnieku individuālo stendu, konferenču un semināru izmaksas, kā arī izmaksas komercsabiedrību ražotņu un to produktu atbilstības novērtēšanai, tirdzniecības misiju un Latvijas augstu valsts amatpersonu vizīšu ārvalstīs nodrošināšanas izmaksas. </w:t>
            </w:r>
            <w:r w:rsidR="001A049D" w:rsidRPr="001F51C3">
              <w:rPr>
                <w:sz w:val="26"/>
                <w:szCs w:val="26"/>
              </w:rPr>
              <w:t>Taču ar nosacījumu, ka izmaksas ir attiecināmas pēc tam,</w:t>
            </w:r>
            <w:r w:rsidR="001A049D" w:rsidRPr="001F51C3">
              <w:t xml:space="preserve"> </w:t>
            </w:r>
            <w:r w:rsidR="001A049D" w:rsidRPr="001F51C3">
              <w:rPr>
                <w:sz w:val="26"/>
                <w:szCs w:val="26"/>
              </w:rPr>
              <w:t>kad ir notikusi ražotņu vai produktu atbilstības novērtēšana vai pēc tam, kad ir noslēgusies izstāde, konference, seminārs vai tirdzniecības misija vai Latvijas augstu valsts amatpersonu</w:t>
            </w:r>
            <w:r w:rsidR="002C445C" w:rsidRPr="001F51C3">
              <w:rPr>
                <w:sz w:val="26"/>
                <w:szCs w:val="26"/>
              </w:rPr>
              <w:t xml:space="preserve"> vizīte ārvalstī. Pie tam:</w:t>
            </w:r>
          </w:p>
          <w:p w14:paraId="14E459DB" w14:textId="62742941" w:rsidR="002C445C" w:rsidRPr="001F51C3" w:rsidRDefault="002C445C" w:rsidP="002C445C">
            <w:pPr>
              <w:pStyle w:val="ListParagraph"/>
              <w:numPr>
                <w:ilvl w:val="0"/>
                <w:numId w:val="14"/>
              </w:numPr>
              <w:tabs>
                <w:tab w:val="left" w:pos="4644"/>
              </w:tabs>
              <w:jc w:val="both"/>
              <w:rPr>
                <w:sz w:val="26"/>
                <w:szCs w:val="26"/>
              </w:rPr>
            </w:pPr>
            <w:r w:rsidRPr="001F51C3">
              <w:rPr>
                <w:sz w:val="26"/>
                <w:szCs w:val="26"/>
              </w:rPr>
              <w:t xml:space="preserve">par darbībām, kas veiktas no </w:t>
            </w:r>
            <w:r w:rsidR="00494DA7" w:rsidRPr="001F51C3">
              <w:rPr>
                <w:b/>
                <w:sz w:val="26"/>
                <w:szCs w:val="26"/>
              </w:rPr>
              <w:t>noteikumu projekta spēkā stāšanās dienas</w:t>
            </w:r>
            <w:r w:rsidR="00494DA7" w:rsidRPr="001F51C3">
              <w:rPr>
                <w:sz w:val="26"/>
                <w:szCs w:val="26"/>
              </w:rPr>
              <w:t xml:space="preserve"> </w:t>
            </w:r>
            <w:r w:rsidRPr="001F51C3">
              <w:rPr>
                <w:sz w:val="26"/>
                <w:szCs w:val="26"/>
              </w:rPr>
              <w:t xml:space="preserve">līdz </w:t>
            </w:r>
            <w:r w:rsidRPr="001F51C3">
              <w:rPr>
                <w:b/>
                <w:sz w:val="26"/>
                <w:szCs w:val="26"/>
              </w:rPr>
              <w:t xml:space="preserve">2016.gada 30.aprīlim </w:t>
            </w:r>
            <w:r w:rsidRPr="001F51C3">
              <w:rPr>
                <w:sz w:val="26"/>
                <w:szCs w:val="26"/>
              </w:rPr>
              <w:t xml:space="preserve">izmaksu apliecinošos dokumentus jāiesniedz finansējuma saņēmējam līdz </w:t>
            </w:r>
            <w:r w:rsidRPr="001F51C3">
              <w:rPr>
                <w:b/>
                <w:sz w:val="26"/>
                <w:szCs w:val="26"/>
              </w:rPr>
              <w:t>2016.gada 31.jūlijam</w:t>
            </w:r>
            <w:r w:rsidRPr="001F51C3">
              <w:rPr>
                <w:sz w:val="26"/>
                <w:szCs w:val="26"/>
              </w:rPr>
              <w:t>;</w:t>
            </w:r>
          </w:p>
          <w:p w14:paraId="5D78E3C5" w14:textId="34EEC057" w:rsidR="002C445C" w:rsidRPr="001F51C3" w:rsidRDefault="002C445C" w:rsidP="002C445C">
            <w:pPr>
              <w:pStyle w:val="ListParagraph"/>
              <w:numPr>
                <w:ilvl w:val="0"/>
                <w:numId w:val="14"/>
              </w:numPr>
              <w:tabs>
                <w:tab w:val="left" w:pos="4644"/>
              </w:tabs>
              <w:jc w:val="both"/>
              <w:rPr>
                <w:sz w:val="26"/>
                <w:szCs w:val="26"/>
              </w:rPr>
            </w:pPr>
            <w:r w:rsidRPr="001F51C3">
              <w:rPr>
                <w:sz w:val="26"/>
                <w:szCs w:val="26"/>
              </w:rPr>
              <w:t xml:space="preserve">par darbībām, kas veiktas  sākot ar </w:t>
            </w:r>
            <w:r w:rsidRPr="001F51C3">
              <w:rPr>
                <w:b/>
                <w:sz w:val="26"/>
                <w:szCs w:val="26"/>
              </w:rPr>
              <w:t>2016. gada 1. maiju</w:t>
            </w:r>
            <w:r w:rsidRPr="001F51C3">
              <w:rPr>
                <w:sz w:val="26"/>
                <w:szCs w:val="26"/>
              </w:rPr>
              <w:t xml:space="preserve">, izmaksas ir atbalstāmas par veiktajām darbībām, ja izmaksas apliecinošie dokumenti iesniegti finansējuma saņēmējam </w:t>
            </w:r>
            <w:r w:rsidRPr="001F51C3">
              <w:rPr>
                <w:b/>
                <w:sz w:val="26"/>
                <w:szCs w:val="26"/>
              </w:rPr>
              <w:t>ne vēlāk kā 3 (trīs) mēnešu laikā</w:t>
            </w:r>
            <w:r w:rsidRPr="001F51C3">
              <w:rPr>
                <w:sz w:val="26"/>
                <w:szCs w:val="26"/>
              </w:rPr>
              <w:t xml:space="preserve"> pēc tam, kad ir notikusi atbilstošā darbība</w:t>
            </w:r>
          </w:p>
          <w:p w14:paraId="3B4F330D" w14:textId="3B30E1AA" w:rsidR="004C02B4" w:rsidRPr="001F51C3" w:rsidRDefault="001A049D" w:rsidP="009F3F62">
            <w:pPr>
              <w:tabs>
                <w:tab w:val="left" w:pos="4644"/>
              </w:tabs>
              <w:jc w:val="both"/>
              <w:rPr>
                <w:sz w:val="26"/>
                <w:szCs w:val="26"/>
              </w:rPr>
            </w:pPr>
            <w:r w:rsidRPr="001F51C3">
              <w:rPr>
                <w:sz w:val="26"/>
                <w:szCs w:val="26"/>
              </w:rPr>
              <w:t xml:space="preserve">Minētie nosacījumi nepieciešami, lai laikā </w:t>
            </w:r>
            <w:r w:rsidR="00494DA7" w:rsidRPr="001F51C3">
              <w:rPr>
                <w:sz w:val="26"/>
                <w:szCs w:val="26"/>
              </w:rPr>
              <w:t>maksimāli samazinātu laiku</w:t>
            </w:r>
            <w:r w:rsidRPr="001F51C3">
              <w:rPr>
                <w:sz w:val="26"/>
                <w:szCs w:val="26"/>
              </w:rPr>
              <w:t xml:space="preserve"> līdz brīdim, kad LIAA izsludinās labuma guvējiem </w:t>
            </w:r>
            <w:r w:rsidR="00A4607C" w:rsidRPr="001F51C3">
              <w:rPr>
                <w:sz w:val="26"/>
                <w:szCs w:val="26"/>
              </w:rPr>
              <w:t xml:space="preserve">pieteikšanos </w:t>
            </w:r>
            <w:r w:rsidRPr="001F51C3">
              <w:rPr>
                <w:sz w:val="26"/>
                <w:szCs w:val="26"/>
              </w:rPr>
              <w:t>pasākumu atbalstam</w:t>
            </w:r>
            <w:r w:rsidR="00973A89" w:rsidRPr="001F51C3">
              <w:rPr>
                <w:sz w:val="26"/>
                <w:szCs w:val="26"/>
              </w:rPr>
              <w:t xml:space="preserve"> (tas varētu notikt līdz 2016.gada </w:t>
            </w:r>
            <w:r w:rsidR="00E135D7" w:rsidRPr="001F51C3">
              <w:rPr>
                <w:sz w:val="26"/>
                <w:szCs w:val="26"/>
              </w:rPr>
              <w:t>30.aprīlim</w:t>
            </w:r>
            <w:r w:rsidR="00973A89" w:rsidRPr="001F51C3">
              <w:rPr>
                <w:sz w:val="26"/>
                <w:szCs w:val="26"/>
              </w:rPr>
              <w:t>)</w:t>
            </w:r>
            <w:r w:rsidRPr="001F51C3">
              <w:rPr>
                <w:sz w:val="26"/>
                <w:szCs w:val="26"/>
              </w:rPr>
              <w:t xml:space="preserve">, to veiktās darbības 3.2.1.2.pasākuma ietvaros būtu atbalstāmas un atbilstošās izmaksas attiecināmas. Savukārt  nosacījums par 3 mēnešiem nepieciešams, lai </w:t>
            </w:r>
            <w:r w:rsidR="00973A89" w:rsidRPr="001F51C3">
              <w:rPr>
                <w:sz w:val="26"/>
                <w:szCs w:val="26"/>
              </w:rPr>
              <w:t xml:space="preserve">pārejas periodam beidzoties, </w:t>
            </w:r>
            <w:r w:rsidRPr="001F51C3">
              <w:rPr>
                <w:sz w:val="26"/>
                <w:szCs w:val="26"/>
              </w:rPr>
              <w:t xml:space="preserve">pasākuma mērķa grupa savlaicīgi </w:t>
            </w:r>
            <w:r w:rsidR="00973A89" w:rsidRPr="001F51C3">
              <w:rPr>
                <w:sz w:val="26"/>
                <w:szCs w:val="26"/>
              </w:rPr>
              <w:t>iesniegtu finansējuma saņēmējiem (TAVA un LIAA) izmaksu apliecinošus dokumentus par 3.2.1.2.</w:t>
            </w:r>
            <w:r w:rsidR="00494DA7" w:rsidRPr="001F51C3">
              <w:rPr>
                <w:sz w:val="26"/>
                <w:szCs w:val="26"/>
              </w:rPr>
              <w:t xml:space="preserve"> </w:t>
            </w:r>
            <w:r w:rsidR="00973A89" w:rsidRPr="001F51C3">
              <w:rPr>
                <w:sz w:val="26"/>
                <w:szCs w:val="26"/>
              </w:rPr>
              <w:t>pasākuma ietvaros atbalstāmajām darbībām.</w:t>
            </w:r>
          </w:p>
          <w:p w14:paraId="014FAE1B" w14:textId="17DC83E0" w:rsidR="00A24697" w:rsidRPr="001F51C3" w:rsidRDefault="00494DA7" w:rsidP="009F3F62">
            <w:pPr>
              <w:tabs>
                <w:tab w:val="left" w:pos="4644"/>
              </w:tabs>
              <w:jc w:val="both"/>
              <w:rPr>
                <w:sz w:val="26"/>
                <w:szCs w:val="26"/>
              </w:rPr>
            </w:pPr>
            <w:r w:rsidRPr="001F51C3">
              <w:rPr>
                <w:sz w:val="26"/>
                <w:szCs w:val="26"/>
              </w:rPr>
              <w:t xml:space="preserve">LIAA un TAVA projekta vadības un īstenošanas izmaksas un </w:t>
            </w:r>
            <w:r w:rsidR="00A24697" w:rsidRPr="001F51C3">
              <w:rPr>
                <w:sz w:val="26"/>
                <w:szCs w:val="26"/>
              </w:rPr>
              <w:t xml:space="preserve">Ārvalstu ekonomisko pārstāvniecību </w:t>
            </w:r>
            <w:r w:rsidR="00430779" w:rsidRPr="001F51C3">
              <w:rPr>
                <w:sz w:val="26"/>
                <w:szCs w:val="26"/>
              </w:rPr>
              <w:t xml:space="preserve">izmaksas, tostarp, konsultāciju izmaksas, kā arī LIAA konsultāciju izmaksas </w:t>
            </w:r>
            <w:r w:rsidRPr="001F51C3">
              <w:rPr>
                <w:sz w:val="26"/>
                <w:szCs w:val="26"/>
              </w:rPr>
              <w:t xml:space="preserve">arī </w:t>
            </w:r>
            <w:r w:rsidR="00430779" w:rsidRPr="001F51C3">
              <w:rPr>
                <w:sz w:val="26"/>
                <w:szCs w:val="26"/>
              </w:rPr>
              <w:t>ir attiecināmas no 3.2.1.2.pasākuma īstenošanas noteikumu projekta spēkā stāšanās brīža.</w:t>
            </w:r>
          </w:p>
          <w:p w14:paraId="5DDBAEE6" w14:textId="77777777" w:rsidR="00494DA7" w:rsidRPr="001F51C3" w:rsidRDefault="00494DA7" w:rsidP="009F3F62">
            <w:pPr>
              <w:tabs>
                <w:tab w:val="left" w:pos="4644"/>
              </w:tabs>
              <w:jc w:val="both"/>
              <w:rPr>
                <w:sz w:val="26"/>
                <w:szCs w:val="26"/>
              </w:rPr>
            </w:pPr>
          </w:p>
          <w:p w14:paraId="35EF478C" w14:textId="71677427" w:rsidR="009F3F62" w:rsidRPr="001F51C3" w:rsidRDefault="00645390" w:rsidP="009F3F62">
            <w:pPr>
              <w:tabs>
                <w:tab w:val="left" w:pos="4644"/>
              </w:tabs>
              <w:jc w:val="both"/>
              <w:rPr>
                <w:sz w:val="26"/>
                <w:szCs w:val="26"/>
              </w:rPr>
            </w:pPr>
            <w:r w:rsidRPr="001F51C3">
              <w:rPr>
                <w:sz w:val="26"/>
                <w:szCs w:val="26"/>
              </w:rPr>
              <w:t>Projekta ietvaros paredzēts finansējums LIAA un TAVA projekta īstenošanas izmaksām (tajā skaitā darba samaksa, valsts sociālās apdrošināšanas obligātās iemaksas, pabalsti un kompensācijas, attiecīgās preces un pakalpojumi, datorprogrammas un to licences atbilstoši normatīvajiem aktiem budžeta izmaksu klasifikācijas jomā) līdz 10 %  proporcionāli no ERAF un valsts budžeta finansējuma – LIAA 3 009 557 </w:t>
            </w:r>
            <w:proofErr w:type="spellStart"/>
            <w:r w:rsidR="00C54619" w:rsidRPr="001F51C3">
              <w:rPr>
                <w:i/>
                <w:sz w:val="26"/>
                <w:szCs w:val="26"/>
              </w:rPr>
              <w:t>euro</w:t>
            </w:r>
            <w:proofErr w:type="spellEnd"/>
            <w:r w:rsidRPr="001F51C3">
              <w:rPr>
                <w:sz w:val="26"/>
                <w:szCs w:val="26"/>
              </w:rPr>
              <w:t xml:space="preserve"> apmērā un TAVA 1 487 324 </w:t>
            </w:r>
            <w:proofErr w:type="spellStart"/>
            <w:r w:rsidR="00C54619" w:rsidRPr="001F51C3">
              <w:rPr>
                <w:sz w:val="26"/>
                <w:szCs w:val="26"/>
              </w:rPr>
              <w:t>euro</w:t>
            </w:r>
            <w:proofErr w:type="spellEnd"/>
            <w:r w:rsidRPr="001F51C3">
              <w:rPr>
                <w:sz w:val="26"/>
                <w:szCs w:val="26"/>
              </w:rPr>
              <w:t xml:space="preserve"> apmērā</w:t>
            </w:r>
            <w:r w:rsidR="00C54619" w:rsidRPr="001F51C3">
              <w:rPr>
                <w:sz w:val="26"/>
                <w:szCs w:val="26"/>
              </w:rPr>
              <w:t xml:space="preserve"> </w:t>
            </w:r>
            <w:r w:rsidR="00C54619" w:rsidRPr="001F51C3">
              <w:rPr>
                <w:rFonts w:eastAsia="Times New Roman"/>
                <w:bCs/>
                <w:sz w:val="26"/>
                <w:szCs w:val="26"/>
              </w:rPr>
              <w:t xml:space="preserve">(finansējums paredzēts 12+6=18 darba vietām) un TAVA 1 487 324 </w:t>
            </w:r>
            <w:proofErr w:type="spellStart"/>
            <w:r w:rsidR="00C54619" w:rsidRPr="001F51C3">
              <w:rPr>
                <w:rFonts w:eastAsia="Times New Roman"/>
                <w:bCs/>
                <w:i/>
                <w:sz w:val="26"/>
                <w:szCs w:val="26"/>
              </w:rPr>
              <w:t>euro</w:t>
            </w:r>
            <w:proofErr w:type="spellEnd"/>
            <w:r w:rsidR="00C54619" w:rsidRPr="001F51C3">
              <w:rPr>
                <w:rFonts w:eastAsia="Times New Roman"/>
                <w:bCs/>
                <w:sz w:val="26"/>
                <w:szCs w:val="26"/>
              </w:rPr>
              <w:t xml:space="preserve"> apmērā (finansējums paredzēts 6+3=9 darba vietām). </w:t>
            </w:r>
            <w:r w:rsidRPr="001F51C3">
              <w:rPr>
                <w:sz w:val="26"/>
                <w:szCs w:val="26"/>
              </w:rPr>
              <w:t>2016.gadā projekta īstenošanas izmaksas (TAVA un LIAA kopā) paredzētas 815 383</w:t>
            </w:r>
            <w:r w:rsidR="00AD4935" w:rsidRPr="001F51C3">
              <w:rPr>
                <w:sz w:val="26"/>
                <w:szCs w:val="26"/>
              </w:rPr>
              <w:t xml:space="preserve"> </w:t>
            </w:r>
            <w:proofErr w:type="spellStart"/>
            <w:r w:rsidR="00C54619" w:rsidRPr="001F51C3">
              <w:rPr>
                <w:i/>
                <w:sz w:val="26"/>
                <w:szCs w:val="26"/>
              </w:rPr>
              <w:t>euro</w:t>
            </w:r>
            <w:proofErr w:type="spellEnd"/>
            <w:r w:rsidR="00AD4935" w:rsidRPr="001F51C3">
              <w:rPr>
                <w:sz w:val="26"/>
                <w:szCs w:val="26"/>
              </w:rPr>
              <w:t xml:space="preserve"> apmērā, savukārt 2017.-2021</w:t>
            </w:r>
            <w:r w:rsidRPr="001F51C3">
              <w:rPr>
                <w:sz w:val="26"/>
                <w:szCs w:val="26"/>
              </w:rPr>
              <w:t xml:space="preserve">.gadā paredzētas ikgadējās izmaksas 613 583 </w:t>
            </w:r>
            <w:proofErr w:type="spellStart"/>
            <w:r w:rsidR="00C54619" w:rsidRPr="001F51C3">
              <w:rPr>
                <w:i/>
                <w:sz w:val="26"/>
                <w:szCs w:val="26"/>
              </w:rPr>
              <w:t>euro</w:t>
            </w:r>
            <w:proofErr w:type="spellEnd"/>
            <w:r w:rsidRPr="001F51C3">
              <w:rPr>
                <w:sz w:val="26"/>
                <w:szCs w:val="26"/>
              </w:rPr>
              <w:t xml:space="preserve"> apmērā.</w:t>
            </w:r>
          </w:p>
          <w:p w14:paraId="69218F16" w14:textId="77777777" w:rsidR="00C54619" w:rsidRPr="001F51C3" w:rsidRDefault="00C54619" w:rsidP="00C54619">
            <w:pPr>
              <w:tabs>
                <w:tab w:val="left" w:pos="4644"/>
              </w:tabs>
              <w:jc w:val="both"/>
              <w:rPr>
                <w:rFonts w:eastAsia="Times New Roman"/>
                <w:bCs/>
                <w:sz w:val="26"/>
                <w:szCs w:val="26"/>
              </w:rPr>
            </w:pPr>
          </w:p>
          <w:p w14:paraId="40F48EC1" w14:textId="292C0652" w:rsidR="00C54619" w:rsidRPr="001F51C3" w:rsidRDefault="00C54619" w:rsidP="00C54619">
            <w:pPr>
              <w:tabs>
                <w:tab w:val="left" w:pos="4644"/>
              </w:tabs>
              <w:jc w:val="both"/>
              <w:rPr>
                <w:rFonts w:eastAsia="Times New Roman"/>
                <w:bCs/>
                <w:sz w:val="26"/>
                <w:szCs w:val="26"/>
              </w:rPr>
            </w:pPr>
            <w:r w:rsidRPr="001F51C3">
              <w:rPr>
                <w:rFonts w:eastAsia="Times New Roman"/>
                <w:bCs/>
                <w:sz w:val="26"/>
                <w:szCs w:val="26"/>
              </w:rPr>
              <w:t>Šīs izmaksas ir nepieciešamas, lai LIAA un TAVA varētu ievie</w:t>
            </w:r>
            <w:r w:rsidR="00715745" w:rsidRPr="001F51C3">
              <w:rPr>
                <w:rFonts w:eastAsia="Times New Roman"/>
                <w:bCs/>
                <w:sz w:val="26"/>
                <w:szCs w:val="26"/>
              </w:rPr>
              <w:t>st pasākumā paredzētās darbības -</w:t>
            </w:r>
            <w:r w:rsidRPr="001F51C3">
              <w:rPr>
                <w:rFonts w:eastAsia="Times New Roman"/>
                <w:bCs/>
                <w:sz w:val="26"/>
                <w:szCs w:val="26"/>
              </w:rPr>
              <w:t xml:space="preserve"> organizēt nacionālos stendus, semināru, konferenču, tirdzniecības misiju, Latvijas augstu valsts amatpersonu vizīšu  un starptautisku mārketinga kampaņu organizēšana  un tirgus pētījumu iegāde, atbalsta nodrošināšanai dalībai izstādēs u.c. </w:t>
            </w:r>
          </w:p>
          <w:p w14:paraId="3447886E" w14:textId="2BD3BB91" w:rsidR="00C54619" w:rsidRPr="001F51C3" w:rsidRDefault="00C54619" w:rsidP="00C54619">
            <w:pPr>
              <w:tabs>
                <w:tab w:val="left" w:pos="4644"/>
              </w:tabs>
              <w:jc w:val="both"/>
              <w:rPr>
                <w:rFonts w:eastAsia="Times New Roman"/>
                <w:bCs/>
                <w:sz w:val="26"/>
                <w:szCs w:val="26"/>
              </w:rPr>
            </w:pPr>
            <w:r w:rsidRPr="001F51C3">
              <w:rPr>
                <w:rFonts w:eastAsia="Times New Roman"/>
                <w:bCs/>
                <w:sz w:val="26"/>
                <w:szCs w:val="26"/>
              </w:rPr>
              <w:t>LIAA finansējums paredzēts 18 darba vietām, savukārt TAVA finansējums paredzēts 9 darba vietām. LIAA 12 darba vietas un TAVA 6 darba vietas ir iesaistītas nacionālo stendu, semināru, konferenču, tirdzniecības misiju, Latvijas augstu valsts amatpersonu vizīšu  un starptautisku mārketinga kampaņu organizēšana  un tirgus pētījumu iegādē – darbībās, kuras Eiropas Savienības fondu 2007.–2013.gada plānošanas periodā tika īstenotas 2.3.1.1.2.apakšaktivitātes ietvaros. Savukārt LIAA 6 darba vietas un TAVA 3 darba vietas ir iesaistītas atbalsta nodrošināšanai dalībai izstādēs (ceļa izmaksu segšana izstādes dalībniekiem) – darbībām, kuras Eiropas Savienības fondu 2007.–2013.gada plānošanas periodā tika īstenotas darbības programmas “Uzņēmējdarbība un inovācijas” papildinājuma 2.3.1.1.1.apakšaktivitātē “Ārējo tirgu apgūšana – ārējais mārketings”.</w:t>
            </w:r>
          </w:p>
        </w:tc>
      </w:tr>
    </w:tbl>
    <w:p w14:paraId="297E4AC8" w14:textId="648638C6" w:rsidR="006A34FF" w:rsidRPr="001F51C3" w:rsidRDefault="006A34FF" w:rsidP="00C01988">
      <w:pPr>
        <w:jc w:val="both"/>
        <w:rPr>
          <w:sz w:val="26"/>
          <w:szCs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7"/>
        <w:gridCol w:w="2807"/>
        <w:gridCol w:w="6647"/>
      </w:tblGrid>
      <w:tr w:rsidR="006A34FF" w:rsidRPr="001F51C3" w14:paraId="5817E6AD" w14:textId="77777777" w:rsidTr="00DC1A4E">
        <w:trPr>
          <w:trHeight w:val="421"/>
        </w:trPr>
        <w:tc>
          <w:tcPr>
            <w:tcW w:w="9781" w:type="dxa"/>
            <w:gridSpan w:val="3"/>
            <w:vAlign w:val="center"/>
          </w:tcPr>
          <w:p w14:paraId="6D079CD1" w14:textId="77777777" w:rsidR="006A34FF" w:rsidRPr="001F51C3" w:rsidRDefault="006A34FF" w:rsidP="00095C9A">
            <w:pPr>
              <w:pStyle w:val="naisnod"/>
              <w:spacing w:before="0" w:beforeAutospacing="0" w:after="0" w:afterAutospacing="0"/>
              <w:ind w:left="57" w:right="57"/>
              <w:jc w:val="center"/>
              <w:rPr>
                <w:sz w:val="26"/>
                <w:szCs w:val="26"/>
              </w:rPr>
            </w:pPr>
            <w:r w:rsidRPr="001F51C3">
              <w:rPr>
                <w:b/>
                <w:sz w:val="26"/>
                <w:szCs w:val="26"/>
              </w:rPr>
              <w:t xml:space="preserve">V. </w:t>
            </w:r>
            <w:r w:rsidRPr="001F51C3">
              <w:rPr>
                <w:b/>
                <w:color w:val="000000"/>
                <w:sz w:val="26"/>
                <w:szCs w:val="26"/>
              </w:rPr>
              <w:t>Tiesību akta projekta atbilstība Latvijas Republikas starptautiskajām saistībām</w:t>
            </w:r>
          </w:p>
        </w:tc>
      </w:tr>
      <w:tr w:rsidR="006A34FF" w:rsidRPr="001F51C3" w14:paraId="193B9F67" w14:textId="77777777" w:rsidTr="00DC1A4E">
        <w:trPr>
          <w:trHeight w:val="553"/>
        </w:trPr>
        <w:tc>
          <w:tcPr>
            <w:tcW w:w="327" w:type="dxa"/>
          </w:tcPr>
          <w:p w14:paraId="27F9524A" w14:textId="77777777" w:rsidR="006A34FF" w:rsidRPr="001F51C3" w:rsidRDefault="006A34FF" w:rsidP="00095C9A">
            <w:pPr>
              <w:ind w:left="57" w:right="57"/>
              <w:jc w:val="both"/>
              <w:rPr>
                <w:bCs/>
                <w:sz w:val="26"/>
                <w:szCs w:val="26"/>
              </w:rPr>
            </w:pPr>
            <w:r w:rsidRPr="001F51C3">
              <w:rPr>
                <w:bCs/>
                <w:sz w:val="26"/>
                <w:szCs w:val="26"/>
              </w:rPr>
              <w:t>1.</w:t>
            </w:r>
          </w:p>
        </w:tc>
        <w:tc>
          <w:tcPr>
            <w:tcW w:w="2807" w:type="dxa"/>
          </w:tcPr>
          <w:p w14:paraId="22D6B9C0" w14:textId="77777777" w:rsidR="006A34FF" w:rsidRPr="001F51C3" w:rsidRDefault="006A34FF" w:rsidP="00095C9A">
            <w:pPr>
              <w:ind w:left="57" w:right="57"/>
              <w:rPr>
                <w:sz w:val="26"/>
                <w:szCs w:val="26"/>
              </w:rPr>
            </w:pPr>
            <w:r w:rsidRPr="001F51C3">
              <w:rPr>
                <w:color w:val="000000"/>
                <w:sz w:val="26"/>
                <w:szCs w:val="26"/>
              </w:rPr>
              <w:t>Saistības pret Eiropas Savienību</w:t>
            </w:r>
          </w:p>
        </w:tc>
        <w:tc>
          <w:tcPr>
            <w:tcW w:w="6647" w:type="dxa"/>
          </w:tcPr>
          <w:p w14:paraId="22A0BE90" w14:textId="77777777" w:rsidR="006A34FF" w:rsidRPr="001F51C3" w:rsidRDefault="006A34FF" w:rsidP="00095C9A">
            <w:pPr>
              <w:jc w:val="both"/>
              <w:rPr>
                <w:rFonts w:eastAsia="Times New Roman"/>
                <w:sz w:val="26"/>
                <w:szCs w:val="26"/>
              </w:rPr>
            </w:pPr>
            <w:r w:rsidRPr="001F51C3">
              <w:rPr>
                <w:rFonts w:eastAsia="Times New Roman"/>
                <w:sz w:val="26"/>
                <w:szCs w:val="26"/>
              </w:rPr>
              <w:t>Ar noteikumu projektu tiks ieviestas prasības no šādiem Eiropas Savienības tiesību aktiem:</w:t>
            </w:r>
          </w:p>
          <w:p w14:paraId="0BBB5C8D" w14:textId="77777777" w:rsidR="006A34FF" w:rsidRPr="001F51C3" w:rsidRDefault="006A34FF" w:rsidP="00095C9A">
            <w:pPr>
              <w:numPr>
                <w:ilvl w:val="0"/>
                <w:numId w:val="1"/>
              </w:numPr>
              <w:shd w:val="clear" w:color="auto" w:fill="FFFFFF"/>
              <w:spacing w:after="120"/>
              <w:ind w:right="113"/>
              <w:jc w:val="both"/>
              <w:rPr>
                <w:bCs/>
                <w:sz w:val="26"/>
                <w:szCs w:val="26"/>
              </w:rPr>
            </w:pPr>
            <w:r w:rsidRPr="001F51C3">
              <w:rPr>
                <w:bCs/>
                <w:sz w:val="26"/>
                <w:szCs w:val="26"/>
              </w:rPr>
              <w:t>Komisijas 2014.gada 17.jūnija Regulu (ES) Nr.651/2014 ar ko noteiktas atbalsta kategorijas atzīst par saderīgām ar iekšējo tirgu, piemērojot Līguma 107.un 108.pantu (</w:t>
            </w:r>
            <w:r w:rsidRPr="001F51C3">
              <w:rPr>
                <w:bCs/>
                <w:color w:val="000000"/>
                <w:sz w:val="26"/>
                <w:szCs w:val="26"/>
              </w:rPr>
              <w:t xml:space="preserve">Eiropas Savienības Oficiālais Vēstnesis, 2014.gada 26.jūnijs, Nr. L 187/1) (turpmāk </w:t>
            </w:r>
            <w:r w:rsidRPr="001F51C3">
              <w:rPr>
                <w:color w:val="000000"/>
                <w:sz w:val="26"/>
                <w:szCs w:val="26"/>
              </w:rPr>
              <w:t>–</w:t>
            </w:r>
            <w:r w:rsidRPr="001F51C3">
              <w:rPr>
                <w:bCs/>
                <w:color w:val="000000"/>
                <w:sz w:val="26"/>
                <w:szCs w:val="26"/>
              </w:rPr>
              <w:t xml:space="preserve"> Regula Nr.</w:t>
            </w:r>
            <w:r w:rsidRPr="001F51C3">
              <w:rPr>
                <w:bCs/>
                <w:sz w:val="26"/>
                <w:szCs w:val="26"/>
              </w:rPr>
              <w:t xml:space="preserve"> 651/2014</w:t>
            </w:r>
            <w:r w:rsidRPr="001F51C3">
              <w:rPr>
                <w:bCs/>
                <w:color w:val="000000"/>
                <w:sz w:val="26"/>
                <w:szCs w:val="26"/>
              </w:rPr>
              <w:t>)</w:t>
            </w:r>
            <w:r w:rsidRPr="001F51C3">
              <w:rPr>
                <w:bCs/>
                <w:sz w:val="26"/>
                <w:szCs w:val="26"/>
              </w:rPr>
              <w:t>;</w:t>
            </w:r>
          </w:p>
          <w:p w14:paraId="2C383EF0" w14:textId="00C083C7" w:rsidR="006A34FF" w:rsidRPr="001F51C3" w:rsidRDefault="006A34FF" w:rsidP="00095C9A">
            <w:pPr>
              <w:numPr>
                <w:ilvl w:val="0"/>
                <w:numId w:val="1"/>
              </w:numPr>
              <w:shd w:val="clear" w:color="auto" w:fill="FFFFFF"/>
              <w:spacing w:after="120"/>
              <w:ind w:right="113"/>
              <w:jc w:val="both"/>
              <w:rPr>
                <w:bCs/>
                <w:sz w:val="26"/>
                <w:szCs w:val="26"/>
              </w:rPr>
            </w:pPr>
            <w:r w:rsidRPr="001F51C3">
              <w:rPr>
                <w:bCs/>
                <w:sz w:val="26"/>
                <w:szCs w:val="26"/>
              </w:rPr>
              <w:t xml:space="preserve">Komisijas 2013.gada 18.decembra Regulu (ES) Nr.1407/2013 par Līguma par Eiropas Savienības darbību 107. un 108. panta piemērošanu </w:t>
            </w:r>
            <w:proofErr w:type="spellStart"/>
            <w:r w:rsidRPr="001F51C3">
              <w:rPr>
                <w:bCs/>
                <w:i/>
                <w:sz w:val="26"/>
                <w:szCs w:val="26"/>
              </w:rPr>
              <w:t>de</w:t>
            </w:r>
            <w:proofErr w:type="spellEnd"/>
            <w:r w:rsidRPr="001F51C3">
              <w:rPr>
                <w:bCs/>
                <w:i/>
                <w:sz w:val="26"/>
                <w:szCs w:val="26"/>
              </w:rPr>
              <w:t xml:space="preserve"> </w:t>
            </w:r>
            <w:proofErr w:type="spellStart"/>
            <w:r w:rsidRPr="001F51C3">
              <w:rPr>
                <w:bCs/>
                <w:i/>
                <w:sz w:val="26"/>
                <w:szCs w:val="26"/>
              </w:rPr>
              <w:t>minimis</w:t>
            </w:r>
            <w:proofErr w:type="spellEnd"/>
            <w:r w:rsidRPr="001F51C3">
              <w:rPr>
                <w:bCs/>
                <w:sz w:val="26"/>
                <w:szCs w:val="26"/>
              </w:rPr>
              <w:t xml:space="preserve"> atbalstam (Eiropas Savienības Oficiālais Vēstnesis, 2013. gada 24. decembris, Nr. L 352/1) (turpmāk – Regula Nr. 1407/2013)</w:t>
            </w:r>
            <w:r w:rsidR="000D0BF0" w:rsidRPr="001F51C3">
              <w:rPr>
                <w:bCs/>
                <w:sz w:val="26"/>
                <w:szCs w:val="26"/>
              </w:rPr>
              <w:t>;</w:t>
            </w:r>
          </w:p>
          <w:p w14:paraId="04D3487F" w14:textId="748C0C6E" w:rsidR="006A34FF" w:rsidRPr="001F51C3" w:rsidRDefault="006A34FF" w:rsidP="00095C9A">
            <w:pPr>
              <w:numPr>
                <w:ilvl w:val="0"/>
                <w:numId w:val="1"/>
              </w:numPr>
              <w:shd w:val="clear" w:color="auto" w:fill="FFFFFF"/>
              <w:spacing w:after="120"/>
              <w:ind w:right="113"/>
              <w:jc w:val="both"/>
              <w:rPr>
                <w:bCs/>
                <w:sz w:val="26"/>
                <w:szCs w:val="26"/>
              </w:rPr>
            </w:pPr>
            <w:r w:rsidRPr="001F51C3">
              <w:rPr>
                <w:bCs/>
                <w:sz w:val="26"/>
                <w:szCs w:val="26"/>
              </w:rPr>
              <w:t xml:space="preserve">Komisijas 2013. gada 18. decembra Regulu (ES) Nr. 1408/2013 par Līguma par Eiropas Savienības darbību 107. un 108. panta piemērošanu </w:t>
            </w:r>
            <w:proofErr w:type="spellStart"/>
            <w:r w:rsidRPr="001F51C3">
              <w:rPr>
                <w:bCs/>
                <w:i/>
                <w:sz w:val="26"/>
                <w:szCs w:val="26"/>
              </w:rPr>
              <w:t>de</w:t>
            </w:r>
            <w:proofErr w:type="spellEnd"/>
            <w:r w:rsidRPr="001F51C3">
              <w:rPr>
                <w:bCs/>
                <w:i/>
                <w:sz w:val="26"/>
                <w:szCs w:val="26"/>
              </w:rPr>
              <w:t xml:space="preserve"> </w:t>
            </w:r>
            <w:proofErr w:type="spellStart"/>
            <w:r w:rsidRPr="001F51C3">
              <w:rPr>
                <w:bCs/>
                <w:i/>
                <w:sz w:val="26"/>
                <w:szCs w:val="26"/>
              </w:rPr>
              <w:t>minimis</w:t>
            </w:r>
            <w:proofErr w:type="spellEnd"/>
            <w:r w:rsidRPr="001F51C3">
              <w:rPr>
                <w:bCs/>
                <w:sz w:val="26"/>
                <w:szCs w:val="26"/>
              </w:rPr>
              <w:t xml:space="preserve"> atbalstam lauksaimniecības nozarē (Eiropas Savienības Oficiālais Vēstnesis, 2013. gada 24. decembris, Nr. L 352) (turpmāk – Regula Nr. 1408/2013);</w:t>
            </w:r>
          </w:p>
          <w:p w14:paraId="0DF09A77" w14:textId="77777777" w:rsidR="009F3F62" w:rsidRPr="001F51C3" w:rsidRDefault="001966EC" w:rsidP="00EA3608">
            <w:pPr>
              <w:numPr>
                <w:ilvl w:val="0"/>
                <w:numId w:val="1"/>
              </w:numPr>
              <w:shd w:val="clear" w:color="auto" w:fill="FFFFFF"/>
              <w:spacing w:after="120"/>
              <w:ind w:right="113"/>
              <w:jc w:val="both"/>
              <w:rPr>
                <w:bCs/>
                <w:sz w:val="26"/>
                <w:szCs w:val="26"/>
              </w:rPr>
            </w:pPr>
            <w:r w:rsidRPr="001F51C3">
              <w:rPr>
                <w:bCs/>
                <w:sz w:val="26"/>
                <w:szCs w:val="26"/>
              </w:rPr>
              <w:t>Komisija</w:t>
            </w:r>
            <w:r w:rsidR="008F2D6B" w:rsidRPr="001F51C3">
              <w:rPr>
                <w:bCs/>
                <w:sz w:val="26"/>
                <w:szCs w:val="26"/>
              </w:rPr>
              <w:t>s 2014.gada 27.jūnija Regulu (ES</w:t>
            </w:r>
            <w:r w:rsidRPr="001F51C3">
              <w:rPr>
                <w:bCs/>
                <w:sz w:val="26"/>
                <w:szCs w:val="26"/>
              </w:rPr>
              <w:t xml:space="preserve">) Nr.717/2014 par Līguma par ES darbību 107. un 108.panta piemērošanu </w:t>
            </w:r>
            <w:proofErr w:type="spellStart"/>
            <w:r w:rsidRPr="001F51C3">
              <w:rPr>
                <w:bCs/>
                <w:i/>
                <w:sz w:val="26"/>
                <w:szCs w:val="26"/>
              </w:rPr>
              <w:t>de</w:t>
            </w:r>
            <w:proofErr w:type="spellEnd"/>
            <w:r w:rsidRPr="001F51C3">
              <w:rPr>
                <w:bCs/>
                <w:i/>
                <w:sz w:val="26"/>
                <w:szCs w:val="26"/>
              </w:rPr>
              <w:t xml:space="preserve"> </w:t>
            </w:r>
            <w:proofErr w:type="spellStart"/>
            <w:r w:rsidRPr="001F51C3">
              <w:rPr>
                <w:bCs/>
                <w:i/>
                <w:sz w:val="26"/>
                <w:szCs w:val="26"/>
              </w:rPr>
              <w:t>minimis</w:t>
            </w:r>
            <w:proofErr w:type="spellEnd"/>
            <w:r w:rsidRPr="001F51C3">
              <w:rPr>
                <w:bCs/>
                <w:sz w:val="26"/>
                <w:szCs w:val="26"/>
              </w:rPr>
              <w:t xml:space="preserve"> atbalstam zvejniecības un akvakultūras nozarē (ES Oficiālais Vēstnesis, 2014.gada 28.jūnijs, Nr.</w:t>
            </w:r>
            <w:r w:rsidR="00262B2F" w:rsidRPr="001F51C3">
              <w:rPr>
                <w:bCs/>
                <w:sz w:val="26"/>
                <w:szCs w:val="26"/>
              </w:rPr>
              <w:t xml:space="preserve"> </w:t>
            </w:r>
            <w:r w:rsidRPr="001F51C3">
              <w:rPr>
                <w:bCs/>
                <w:sz w:val="26"/>
                <w:szCs w:val="26"/>
              </w:rPr>
              <w:t>L 190/45) (</w:t>
            </w:r>
            <w:r w:rsidR="00160DD7" w:rsidRPr="001F51C3">
              <w:rPr>
                <w:bCs/>
                <w:sz w:val="26"/>
                <w:szCs w:val="26"/>
              </w:rPr>
              <w:t xml:space="preserve">turpmāk- </w:t>
            </w:r>
            <w:r w:rsidRPr="001F51C3">
              <w:rPr>
                <w:bCs/>
                <w:sz w:val="26"/>
                <w:szCs w:val="26"/>
              </w:rPr>
              <w:t xml:space="preserve">Regula Nr.717/2014) attiecībā uz valsts atbalsta saņēmējiem, kuri darbojas zvejniecības un akvakultūras nozarē saskaņā ar Eiropas Parlamenta un Padomes 2013.gada 11.decembra Regulu (ES) Nr.1379/2013 par zvejas un akvakultūras produktu tirgu kopīgo organizāciju un ar ko groza Padomes Regulas (EK) Nr.1184/2006 un (EK) Nr.1224/2009 un atceļ Padomes Regulu (EK) Nr. 104/2000 </w:t>
            </w:r>
            <w:r w:rsidR="008F2D6B" w:rsidRPr="001F51C3">
              <w:rPr>
                <w:bCs/>
                <w:sz w:val="26"/>
                <w:szCs w:val="26"/>
              </w:rPr>
              <w:t xml:space="preserve">(ES Oficiālais Vēstnesis, 2013. gada 28. decembris, Nr. L 354) (turpmāk </w:t>
            </w:r>
            <w:r w:rsidR="00095C9A" w:rsidRPr="001F51C3">
              <w:rPr>
                <w:bCs/>
                <w:sz w:val="26"/>
                <w:szCs w:val="26"/>
              </w:rPr>
              <w:t>–</w:t>
            </w:r>
            <w:r w:rsidR="008F2D6B" w:rsidRPr="001F51C3">
              <w:rPr>
                <w:bCs/>
                <w:sz w:val="26"/>
                <w:szCs w:val="26"/>
              </w:rPr>
              <w:t xml:space="preserve"> </w:t>
            </w:r>
            <w:r w:rsidR="00095C9A" w:rsidRPr="001F51C3">
              <w:rPr>
                <w:bCs/>
                <w:sz w:val="26"/>
                <w:szCs w:val="26"/>
              </w:rPr>
              <w:t xml:space="preserve">Eiropas Parlamenta un Padomes </w:t>
            </w:r>
            <w:r w:rsidR="00262B2F" w:rsidRPr="001F51C3">
              <w:rPr>
                <w:bCs/>
                <w:sz w:val="26"/>
                <w:szCs w:val="26"/>
              </w:rPr>
              <w:t>Regula</w:t>
            </w:r>
            <w:r w:rsidR="008F2D6B" w:rsidRPr="001F51C3">
              <w:rPr>
                <w:bCs/>
                <w:sz w:val="26"/>
                <w:szCs w:val="26"/>
              </w:rPr>
              <w:t xml:space="preserve"> Nr. 1379/2013)</w:t>
            </w:r>
            <w:r w:rsidR="008947C5" w:rsidRPr="001F51C3">
              <w:rPr>
                <w:bCs/>
                <w:sz w:val="26"/>
                <w:szCs w:val="26"/>
              </w:rPr>
              <w:t>;</w:t>
            </w:r>
          </w:p>
          <w:p w14:paraId="26E0CD95" w14:textId="4EBD739C" w:rsidR="008947C5" w:rsidRPr="001F51C3" w:rsidRDefault="008947C5" w:rsidP="008947C5">
            <w:pPr>
              <w:numPr>
                <w:ilvl w:val="0"/>
                <w:numId w:val="1"/>
              </w:numPr>
              <w:shd w:val="clear" w:color="auto" w:fill="FFFFFF"/>
              <w:spacing w:after="120"/>
              <w:ind w:right="113"/>
              <w:jc w:val="both"/>
              <w:rPr>
                <w:bCs/>
                <w:sz w:val="26"/>
                <w:szCs w:val="26"/>
              </w:rPr>
            </w:pPr>
            <w:r w:rsidRPr="001F51C3">
              <w:rPr>
                <w:bCs/>
                <w:sz w:val="26"/>
                <w:szCs w:val="26"/>
              </w:rPr>
              <w:t>Eiropas Parlamenta un Padome</w:t>
            </w:r>
            <w:r w:rsidR="00CF1561" w:rsidRPr="001F51C3">
              <w:rPr>
                <w:bCs/>
                <w:sz w:val="26"/>
                <w:szCs w:val="26"/>
              </w:rPr>
              <w:t>s 2013. gada 17. decembra Regulu</w:t>
            </w:r>
            <w:r w:rsidRPr="001F51C3">
              <w:rPr>
                <w:bCs/>
                <w:sz w:val="26"/>
                <w:szCs w:val="26"/>
              </w:rPr>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 ES Oficiālais Vēstnesis, 2013. gada 20. decembris, Nr. L347/320) (turpmāk – Eiropas Parlamenta un Padomes Regula Nr. 1303/2013).</w:t>
            </w:r>
          </w:p>
        </w:tc>
      </w:tr>
      <w:tr w:rsidR="006A34FF" w:rsidRPr="001F51C3" w14:paraId="37C06EE6" w14:textId="77777777" w:rsidTr="00DC1A4E">
        <w:trPr>
          <w:trHeight w:val="339"/>
        </w:trPr>
        <w:tc>
          <w:tcPr>
            <w:tcW w:w="327" w:type="dxa"/>
          </w:tcPr>
          <w:p w14:paraId="1F5EF6D4" w14:textId="62626D4B" w:rsidR="006A34FF" w:rsidRPr="001F51C3" w:rsidRDefault="006A34FF" w:rsidP="00095C9A">
            <w:pPr>
              <w:ind w:left="57" w:right="57"/>
              <w:jc w:val="both"/>
              <w:rPr>
                <w:bCs/>
                <w:sz w:val="26"/>
                <w:szCs w:val="26"/>
              </w:rPr>
            </w:pPr>
            <w:r w:rsidRPr="001F51C3">
              <w:rPr>
                <w:bCs/>
                <w:sz w:val="26"/>
                <w:szCs w:val="26"/>
              </w:rPr>
              <w:t>2.</w:t>
            </w:r>
          </w:p>
        </w:tc>
        <w:tc>
          <w:tcPr>
            <w:tcW w:w="2807" w:type="dxa"/>
          </w:tcPr>
          <w:p w14:paraId="192FF6A3" w14:textId="77777777" w:rsidR="006A34FF" w:rsidRPr="001F51C3" w:rsidRDefault="006A34FF" w:rsidP="00095C9A">
            <w:pPr>
              <w:ind w:left="57" w:right="57"/>
              <w:rPr>
                <w:sz w:val="26"/>
                <w:szCs w:val="26"/>
              </w:rPr>
            </w:pPr>
            <w:r w:rsidRPr="001F51C3">
              <w:rPr>
                <w:color w:val="000000"/>
                <w:sz w:val="26"/>
                <w:szCs w:val="26"/>
              </w:rPr>
              <w:t>Citas starptautiskās saistības</w:t>
            </w:r>
          </w:p>
        </w:tc>
        <w:tc>
          <w:tcPr>
            <w:tcW w:w="6647" w:type="dxa"/>
          </w:tcPr>
          <w:p w14:paraId="601599F6" w14:textId="77777777" w:rsidR="006A34FF" w:rsidRPr="001F51C3" w:rsidRDefault="006A34FF" w:rsidP="00095C9A">
            <w:pPr>
              <w:shd w:val="clear" w:color="auto" w:fill="FFFFFF"/>
              <w:ind w:left="57" w:right="113"/>
              <w:jc w:val="both"/>
              <w:rPr>
                <w:kern w:val="24"/>
                <w:sz w:val="26"/>
                <w:szCs w:val="26"/>
              </w:rPr>
            </w:pPr>
            <w:r w:rsidRPr="001F51C3">
              <w:rPr>
                <w:iCs/>
                <w:color w:val="000000"/>
                <w:sz w:val="26"/>
                <w:szCs w:val="26"/>
              </w:rPr>
              <w:t>MK noteikumu projekts šo jomu neskar.</w:t>
            </w:r>
          </w:p>
        </w:tc>
      </w:tr>
      <w:tr w:rsidR="006A34FF" w:rsidRPr="001F51C3" w14:paraId="19015CD1" w14:textId="77777777" w:rsidTr="00DC1A4E">
        <w:trPr>
          <w:trHeight w:val="476"/>
        </w:trPr>
        <w:tc>
          <w:tcPr>
            <w:tcW w:w="327" w:type="dxa"/>
          </w:tcPr>
          <w:p w14:paraId="6C6B430C" w14:textId="77777777" w:rsidR="006A34FF" w:rsidRPr="001F51C3" w:rsidRDefault="006A34FF" w:rsidP="00095C9A">
            <w:pPr>
              <w:ind w:left="57" w:right="57"/>
              <w:jc w:val="both"/>
              <w:rPr>
                <w:bCs/>
                <w:sz w:val="26"/>
                <w:szCs w:val="26"/>
              </w:rPr>
            </w:pPr>
            <w:r w:rsidRPr="001F51C3">
              <w:rPr>
                <w:bCs/>
                <w:sz w:val="26"/>
                <w:szCs w:val="26"/>
              </w:rPr>
              <w:t>3.</w:t>
            </w:r>
          </w:p>
        </w:tc>
        <w:tc>
          <w:tcPr>
            <w:tcW w:w="2807" w:type="dxa"/>
          </w:tcPr>
          <w:p w14:paraId="69F806DD" w14:textId="77777777" w:rsidR="006A34FF" w:rsidRPr="001F51C3" w:rsidRDefault="006A34FF" w:rsidP="00095C9A">
            <w:pPr>
              <w:ind w:left="57" w:right="57"/>
              <w:rPr>
                <w:sz w:val="26"/>
                <w:szCs w:val="26"/>
              </w:rPr>
            </w:pPr>
            <w:r w:rsidRPr="001F51C3">
              <w:rPr>
                <w:sz w:val="26"/>
                <w:szCs w:val="26"/>
              </w:rPr>
              <w:t>Cita informācija</w:t>
            </w:r>
          </w:p>
        </w:tc>
        <w:tc>
          <w:tcPr>
            <w:tcW w:w="6647" w:type="dxa"/>
          </w:tcPr>
          <w:p w14:paraId="6B2C2E84" w14:textId="77777777" w:rsidR="006A34FF" w:rsidRPr="001F51C3" w:rsidRDefault="006A34FF" w:rsidP="00095C9A">
            <w:pPr>
              <w:shd w:val="clear" w:color="auto" w:fill="FFFFFF"/>
              <w:ind w:left="57" w:right="113"/>
              <w:jc w:val="both"/>
              <w:rPr>
                <w:sz w:val="26"/>
                <w:szCs w:val="26"/>
              </w:rPr>
            </w:pPr>
            <w:r w:rsidRPr="001F51C3">
              <w:rPr>
                <w:sz w:val="26"/>
                <w:szCs w:val="26"/>
              </w:rPr>
              <w:t xml:space="preserve">Nav. </w:t>
            </w:r>
          </w:p>
        </w:tc>
      </w:tr>
    </w:tbl>
    <w:p w14:paraId="64526FE7" w14:textId="77777777" w:rsidR="006A34FF" w:rsidRPr="001F51C3" w:rsidRDefault="006A34FF" w:rsidP="006A34FF">
      <w:pPr>
        <w:jc w:val="center"/>
        <w:rPr>
          <w:sz w:val="26"/>
          <w:szCs w:val="26"/>
          <w:lang w:eastAsia="en-US"/>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2443"/>
        <w:gridCol w:w="2443"/>
        <w:gridCol w:w="2443"/>
      </w:tblGrid>
      <w:tr w:rsidR="006A34FF" w:rsidRPr="001F51C3" w14:paraId="79A15BEE" w14:textId="77777777" w:rsidTr="00324488">
        <w:tc>
          <w:tcPr>
            <w:tcW w:w="9771" w:type="dxa"/>
            <w:gridSpan w:val="4"/>
            <w:tcBorders>
              <w:top w:val="single" w:sz="4" w:space="0" w:color="auto"/>
              <w:left w:val="single" w:sz="4" w:space="0" w:color="auto"/>
              <w:bottom w:val="single" w:sz="4" w:space="0" w:color="auto"/>
              <w:right w:val="single" w:sz="4" w:space="0" w:color="auto"/>
            </w:tcBorders>
            <w:hideMark/>
          </w:tcPr>
          <w:p w14:paraId="499BD0AD" w14:textId="77777777" w:rsidR="006A34FF" w:rsidRPr="001F51C3" w:rsidRDefault="006A34FF" w:rsidP="00095C9A">
            <w:pPr>
              <w:pStyle w:val="naisnod"/>
              <w:spacing w:before="0" w:beforeAutospacing="0" w:after="0" w:afterAutospacing="0" w:line="276" w:lineRule="auto"/>
              <w:jc w:val="center"/>
              <w:rPr>
                <w:color w:val="000000"/>
                <w:sz w:val="26"/>
                <w:szCs w:val="26"/>
                <w:lang w:eastAsia="en-US"/>
              </w:rPr>
            </w:pPr>
            <w:r w:rsidRPr="001F51C3">
              <w:rPr>
                <w:b/>
                <w:color w:val="000000"/>
                <w:sz w:val="26"/>
                <w:szCs w:val="26"/>
                <w:lang w:eastAsia="en-US"/>
              </w:rPr>
              <w:t>1.tabula. Tiesību akta projekta atbilstība ES tiesību aktiem</w:t>
            </w:r>
          </w:p>
        </w:tc>
      </w:tr>
      <w:tr w:rsidR="006A34FF" w:rsidRPr="001F51C3" w14:paraId="2A3D9EF6" w14:textId="77777777" w:rsidTr="00324488">
        <w:tc>
          <w:tcPr>
            <w:tcW w:w="2442" w:type="dxa"/>
            <w:tcBorders>
              <w:top w:val="single" w:sz="4" w:space="0" w:color="auto"/>
              <w:left w:val="single" w:sz="4" w:space="0" w:color="auto"/>
              <w:bottom w:val="single" w:sz="4" w:space="0" w:color="auto"/>
              <w:right w:val="single" w:sz="4" w:space="0" w:color="auto"/>
            </w:tcBorders>
            <w:hideMark/>
          </w:tcPr>
          <w:p w14:paraId="3E50A68F" w14:textId="77777777" w:rsidR="006A34FF" w:rsidRPr="001F51C3" w:rsidRDefault="006A34FF" w:rsidP="00095C9A">
            <w:pPr>
              <w:rPr>
                <w:color w:val="000000"/>
                <w:sz w:val="26"/>
                <w:szCs w:val="26"/>
                <w:lang w:eastAsia="en-US"/>
              </w:rPr>
            </w:pPr>
            <w:r w:rsidRPr="001F51C3">
              <w:rPr>
                <w:color w:val="000000"/>
                <w:sz w:val="26"/>
                <w:szCs w:val="26"/>
              </w:rPr>
              <w:t>Attiecīgā ES tiesību akta datums, numurs un nosaukums</w:t>
            </w:r>
          </w:p>
        </w:tc>
        <w:tc>
          <w:tcPr>
            <w:tcW w:w="7329" w:type="dxa"/>
            <w:gridSpan w:val="3"/>
            <w:tcBorders>
              <w:top w:val="single" w:sz="4" w:space="0" w:color="auto"/>
              <w:left w:val="single" w:sz="4" w:space="0" w:color="auto"/>
              <w:bottom w:val="single" w:sz="4" w:space="0" w:color="auto"/>
              <w:right w:val="single" w:sz="4" w:space="0" w:color="auto"/>
            </w:tcBorders>
            <w:hideMark/>
          </w:tcPr>
          <w:p w14:paraId="37128169" w14:textId="77777777" w:rsidR="006A34FF" w:rsidRPr="001F51C3" w:rsidRDefault="006A34FF" w:rsidP="00095C9A">
            <w:pPr>
              <w:pStyle w:val="naiskr"/>
              <w:spacing w:before="0" w:beforeAutospacing="0" w:after="0" w:afterAutospacing="0" w:line="276" w:lineRule="auto"/>
              <w:jc w:val="both"/>
              <w:rPr>
                <w:sz w:val="26"/>
                <w:szCs w:val="26"/>
              </w:rPr>
            </w:pPr>
            <w:r w:rsidRPr="001F51C3">
              <w:rPr>
                <w:sz w:val="26"/>
                <w:szCs w:val="26"/>
              </w:rPr>
              <w:t xml:space="preserve">Ar normatīvo aktu tiek ieviestas šāda Eiropas Savienības tiesību akta prasības: </w:t>
            </w:r>
          </w:p>
          <w:p w14:paraId="5BFB5B3B" w14:textId="2D4B378C" w:rsidR="006A34FF" w:rsidRPr="001F51C3" w:rsidRDefault="006A34FF" w:rsidP="00095C9A">
            <w:pPr>
              <w:pStyle w:val="naiskr"/>
              <w:spacing w:before="0" w:beforeAutospacing="0" w:after="0" w:afterAutospacing="0" w:line="276" w:lineRule="auto"/>
              <w:jc w:val="both"/>
              <w:rPr>
                <w:color w:val="000000"/>
                <w:sz w:val="26"/>
                <w:szCs w:val="26"/>
                <w:lang w:eastAsia="en-US"/>
              </w:rPr>
            </w:pPr>
            <w:r w:rsidRPr="001F51C3">
              <w:rPr>
                <w:color w:val="000000"/>
                <w:sz w:val="26"/>
                <w:szCs w:val="26"/>
                <w:lang w:eastAsia="en-US"/>
              </w:rPr>
              <w:t xml:space="preserve">1) </w:t>
            </w:r>
            <w:r w:rsidR="00160DD7" w:rsidRPr="001F51C3">
              <w:rPr>
                <w:color w:val="000000"/>
                <w:sz w:val="26"/>
                <w:szCs w:val="26"/>
                <w:lang w:eastAsia="en-US"/>
              </w:rPr>
              <w:t>Regula</w:t>
            </w:r>
            <w:r w:rsidRPr="001F51C3">
              <w:rPr>
                <w:color w:val="000000"/>
                <w:sz w:val="26"/>
                <w:szCs w:val="26"/>
                <w:lang w:eastAsia="en-US"/>
              </w:rPr>
              <w:t xml:space="preserve"> Nr.</w:t>
            </w:r>
            <w:r w:rsidRPr="001F51C3">
              <w:rPr>
                <w:bCs/>
                <w:sz w:val="26"/>
                <w:szCs w:val="26"/>
              </w:rPr>
              <w:t>651/2014</w:t>
            </w:r>
            <w:r w:rsidRPr="001F51C3">
              <w:rPr>
                <w:color w:val="000000"/>
                <w:sz w:val="26"/>
                <w:szCs w:val="26"/>
                <w:lang w:eastAsia="en-US"/>
              </w:rPr>
              <w:t>;</w:t>
            </w:r>
          </w:p>
          <w:p w14:paraId="54E7C837" w14:textId="399EBFBD" w:rsidR="00160DD7" w:rsidRPr="001F51C3" w:rsidRDefault="006A34FF" w:rsidP="00160DD7">
            <w:pPr>
              <w:pStyle w:val="naiskr"/>
              <w:tabs>
                <w:tab w:val="left" w:pos="2628"/>
              </w:tabs>
              <w:spacing w:before="0" w:beforeAutospacing="0" w:after="0" w:afterAutospacing="0" w:line="276" w:lineRule="auto"/>
              <w:jc w:val="both"/>
              <w:rPr>
                <w:bCs/>
                <w:color w:val="000000"/>
                <w:sz w:val="26"/>
                <w:szCs w:val="26"/>
              </w:rPr>
            </w:pPr>
            <w:r w:rsidRPr="001F51C3">
              <w:rPr>
                <w:color w:val="000000"/>
                <w:sz w:val="26"/>
                <w:szCs w:val="26"/>
                <w:lang w:eastAsia="en-US"/>
              </w:rPr>
              <w:t xml:space="preserve">2) </w:t>
            </w:r>
            <w:r w:rsidR="00160DD7" w:rsidRPr="001F51C3">
              <w:rPr>
                <w:color w:val="000000"/>
                <w:sz w:val="26"/>
                <w:szCs w:val="26"/>
                <w:lang w:eastAsia="en-US"/>
              </w:rPr>
              <w:t>Regula</w:t>
            </w:r>
            <w:r w:rsidRPr="001F51C3">
              <w:rPr>
                <w:color w:val="000000"/>
                <w:sz w:val="26"/>
                <w:szCs w:val="26"/>
                <w:lang w:eastAsia="en-US"/>
              </w:rPr>
              <w:t xml:space="preserve"> Nr.</w:t>
            </w:r>
            <w:r w:rsidRPr="001F51C3">
              <w:rPr>
                <w:bCs/>
                <w:color w:val="000000"/>
                <w:sz w:val="26"/>
                <w:szCs w:val="26"/>
              </w:rPr>
              <w:t>1407/2013</w:t>
            </w:r>
            <w:r w:rsidR="00160DD7" w:rsidRPr="001F51C3">
              <w:rPr>
                <w:bCs/>
                <w:color w:val="000000"/>
                <w:sz w:val="26"/>
                <w:szCs w:val="26"/>
              </w:rPr>
              <w:t>;</w:t>
            </w:r>
          </w:p>
          <w:p w14:paraId="5AF8C164" w14:textId="0CF6E98C" w:rsidR="00F51B9F" w:rsidRPr="001F51C3" w:rsidRDefault="00160DD7" w:rsidP="00160DD7">
            <w:pPr>
              <w:pStyle w:val="naiskr"/>
              <w:tabs>
                <w:tab w:val="left" w:pos="2628"/>
              </w:tabs>
              <w:spacing w:before="0" w:beforeAutospacing="0" w:after="0" w:afterAutospacing="0" w:line="276" w:lineRule="auto"/>
              <w:jc w:val="both"/>
              <w:rPr>
                <w:color w:val="000000"/>
                <w:sz w:val="26"/>
                <w:szCs w:val="26"/>
                <w:lang w:eastAsia="en-US"/>
              </w:rPr>
            </w:pPr>
            <w:r w:rsidRPr="001F51C3">
              <w:rPr>
                <w:bCs/>
                <w:color w:val="000000"/>
                <w:sz w:val="26"/>
                <w:szCs w:val="26"/>
              </w:rPr>
              <w:t xml:space="preserve">3) </w:t>
            </w:r>
            <w:r w:rsidRPr="001F51C3">
              <w:rPr>
                <w:color w:val="000000"/>
                <w:sz w:val="26"/>
                <w:szCs w:val="26"/>
                <w:lang w:eastAsia="en-US"/>
              </w:rPr>
              <w:t>Regula Nr. 1408/2013;</w:t>
            </w:r>
          </w:p>
          <w:p w14:paraId="14200A40" w14:textId="77777777" w:rsidR="00160DD7" w:rsidRPr="001F51C3" w:rsidRDefault="00160DD7" w:rsidP="00160DD7">
            <w:pPr>
              <w:pStyle w:val="naiskr"/>
              <w:tabs>
                <w:tab w:val="left" w:pos="2628"/>
              </w:tabs>
              <w:spacing w:before="0" w:beforeAutospacing="0" w:after="0" w:afterAutospacing="0" w:line="276" w:lineRule="auto"/>
              <w:jc w:val="both"/>
              <w:rPr>
                <w:color w:val="000000"/>
                <w:sz w:val="26"/>
                <w:szCs w:val="26"/>
                <w:lang w:eastAsia="en-US"/>
              </w:rPr>
            </w:pPr>
            <w:r w:rsidRPr="001F51C3">
              <w:rPr>
                <w:color w:val="000000"/>
                <w:sz w:val="26"/>
                <w:szCs w:val="26"/>
                <w:lang w:eastAsia="en-US"/>
              </w:rPr>
              <w:t>4)</w:t>
            </w:r>
            <w:r w:rsidR="00F51B9F" w:rsidRPr="001F51C3">
              <w:rPr>
                <w:sz w:val="26"/>
                <w:szCs w:val="26"/>
              </w:rPr>
              <w:t xml:space="preserve"> </w:t>
            </w:r>
            <w:r w:rsidR="00F51B9F" w:rsidRPr="001F51C3">
              <w:rPr>
                <w:color w:val="000000"/>
                <w:sz w:val="26"/>
                <w:szCs w:val="26"/>
                <w:lang w:eastAsia="en-US"/>
              </w:rPr>
              <w:t>Regula Nr.717/2014;</w:t>
            </w:r>
          </w:p>
          <w:p w14:paraId="57F2F496" w14:textId="77777777" w:rsidR="00F51B9F" w:rsidRPr="001F51C3" w:rsidRDefault="00F51B9F" w:rsidP="00160DD7">
            <w:pPr>
              <w:pStyle w:val="naiskr"/>
              <w:tabs>
                <w:tab w:val="left" w:pos="2628"/>
              </w:tabs>
              <w:spacing w:before="0" w:beforeAutospacing="0" w:after="0" w:afterAutospacing="0" w:line="276" w:lineRule="auto"/>
              <w:jc w:val="both"/>
              <w:rPr>
                <w:color w:val="000000"/>
                <w:sz w:val="26"/>
                <w:szCs w:val="26"/>
                <w:lang w:eastAsia="en-US"/>
              </w:rPr>
            </w:pPr>
            <w:r w:rsidRPr="001F51C3">
              <w:rPr>
                <w:color w:val="000000"/>
                <w:sz w:val="26"/>
                <w:szCs w:val="26"/>
                <w:lang w:eastAsia="en-US"/>
              </w:rPr>
              <w:t xml:space="preserve">5) </w:t>
            </w:r>
            <w:r w:rsidR="00095C9A" w:rsidRPr="001F51C3">
              <w:rPr>
                <w:bCs/>
                <w:sz w:val="26"/>
                <w:szCs w:val="26"/>
              </w:rPr>
              <w:t>Eiropas Parlamenta un Padomes Regula Nr. 1379/2013</w:t>
            </w:r>
            <w:r w:rsidR="00CF1561" w:rsidRPr="001F51C3">
              <w:rPr>
                <w:color w:val="000000"/>
                <w:sz w:val="26"/>
                <w:szCs w:val="26"/>
                <w:lang w:eastAsia="en-US"/>
              </w:rPr>
              <w:t>;</w:t>
            </w:r>
          </w:p>
          <w:p w14:paraId="2C35E276" w14:textId="57E9A650" w:rsidR="00CF1561" w:rsidRPr="001F51C3" w:rsidRDefault="00CF1561" w:rsidP="00160DD7">
            <w:pPr>
              <w:pStyle w:val="naiskr"/>
              <w:tabs>
                <w:tab w:val="left" w:pos="2628"/>
              </w:tabs>
              <w:spacing w:before="0" w:beforeAutospacing="0" w:after="0" w:afterAutospacing="0" w:line="276" w:lineRule="auto"/>
              <w:jc w:val="both"/>
              <w:rPr>
                <w:bCs/>
                <w:color w:val="000000"/>
                <w:sz w:val="26"/>
                <w:szCs w:val="26"/>
              </w:rPr>
            </w:pPr>
            <w:r w:rsidRPr="001F51C3">
              <w:rPr>
                <w:color w:val="000000"/>
                <w:sz w:val="26"/>
                <w:szCs w:val="26"/>
                <w:lang w:eastAsia="en-US"/>
              </w:rPr>
              <w:t>6)</w:t>
            </w:r>
            <w:r w:rsidRPr="001F51C3">
              <w:rPr>
                <w:bCs/>
                <w:sz w:val="26"/>
                <w:szCs w:val="26"/>
              </w:rPr>
              <w:t xml:space="preserve"> Eiropas Parlamenta un Padomes Regula Nr. 1303/2013.</w:t>
            </w:r>
          </w:p>
        </w:tc>
      </w:tr>
      <w:tr w:rsidR="006A34FF" w:rsidRPr="001F51C3" w14:paraId="23F57140" w14:textId="77777777" w:rsidTr="00324488">
        <w:tc>
          <w:tcPr>
            <w:tcW w:w="2442" w:type="dxa"/>
            <w:tcBorders>
              <w:top w:val="single" w:sz="4" w:space="0" w:color="auto"/>
              <w:left w:val="single" w:sz="4" w:space="0" w:color="auto"/>
              <w:bottom w:val="single" w:sz="4" w:space="0" w:color="auto"/>
              <w:right w:val="single" w:sz="4" w:space="0" w:color="auto"/>
            </w:tcBorders>
            <w:hideMark/>
          </w:tcPr>
          <w:p w14:paraId="190811E5" w14:textId="1E9DF855" w:rsidR="006A34FF" w:rsidRPr="001F51C3" w:rsidRDefault="006A34FF" w:rsidP="00095C9A">
            <w:pPr>
              <w:jc w:val="center"/>
              <w:rPr>
                <w:color w:val="000000"/>
                <w:sz w:val="26"/>
                <w:szCs w:val="26"/>
                <w:lang w:eastAsia="en-US"/>
              </w:rPr>
            </w:pPr>
            <w:r w:rsidRPr="001F51C3">
              <w:rPr>
                <w:color w:val="000000"/>
                <w:sz w:val="26"/>
                <w:szCs w:val="26"/>
              </w:rPr>
              <w:t>A</w:t>
            </w:r>
          </w:p>
        </w:tc>
        <w:tc>
          <w:tcPr>
            <w:tcW w:w="2443" w:type="dxa"/>
            <w:tcBorders>
              <w:top w:val="single" w:sz="4" w:space="0" w:color="auto"/>
              <w:left w:val="single" w:sz="4" w:space="0" w:color="auto"/>
              <w:bottom w:val="single" w:sz="4" w:space="0" w:color="auto"/>
              <w:right w:val="single" w:sz="4" w:space="0" w:color="auto"/>
            </w:tcBorders>
            <w:hideMark/>
          </w:tcPr>
          <w:p w14:paraId="65A33F74" w14:textId="77777777" w:rsidR="006A34FF" w:rsidRPr="001F51C3" w:rsidRDefault="006A34FF" w:rsidP="00095C9A">
            <w:pPr>
              <w:jc w:val="center"/>
              <w:rPr>
                <w:color w:val="000000"/>
                <w:sz w:val="26"/>
                <w:szCs w:val="26"/>
                <w:lang w:eastAsia="en-US"/>
              </w:rPr>
            </w:pPr>
            <w:r w:rsidRPr="001F51C3">
              <w:rPr>
                <w:color w:val="000000"/>
                <w:sz w:val="26"/>
                <w:szCs w:val="26"/>
              </w:rPr>
              <w:t>B</w:t>
            </w:r>
          </w:p>
        </w:tc>
        <w:tc>
          <w:tcPr>
            <w:tcW w:w="2443" w:type="dxa"/>
            <w:tcBorders>
              <w:top w:val="single" w:sz="4" w:space="0" w:color="auto"/>
              <w:left w:val="single" w:sz="4" w:space="0" w:color="auto"/>
              <w:bottom w:val="single" w:sz="4" w:space="0" w:color="auto"/>
              <w:right w:val="single" w:sz="4" w:space="0" w:color="auto"/>
            </w:tcBorders>
            <w:hideMark/>
          </w:tcPr>
          <w:p w14:paraId="42C626FF" w14:textId="77777777" w:rsidR="006A34FF" w:rsidRPr="001F51C3" w:rsidRDefault="006A34FF" w:rsidP="00095C9A">
            <w:pPr>
              <w:jc w:val="center"/>
              <w:rPr>
                <w:color w:val="000000"/>
                <w:sz w:val="26"/>
                <w:szCs w:val="26"/>
                <w:lang w:eastAsia="en-US"/>
              </w:rPr>
            </w:pPr>
            <w:r w:rsidRPr="001F51C3">
              <w:rPr>
                <w:color w:val="000000"/>
                <w:sz w:val="26"/>
                <w:szCs w:val="26"/>
              </w:rPr>
              <w:t>C</w:t>
            </w:r>
          </w:p>
        </w:tc>
        <w:tc>
          <w:tcPr>
            <w:tcW w:w="2443" w:type="dxa"/>
            <w:tcBorders>
              <w:top w:val="single" w:sz="4" w:space="0" w:color="auto"/>
              <w:left w:val="single" w:sz="4" w:space="0" w:color="auto"/>
              <w:bottom w:val="single" w:sz="4" w:space="0" w:color="auto"/>
              <w:right w:val="single" w:sz="4" w:space="0" w:color="auto"/>
            </w:tcBorders>
            <w:hideMark/>
          </w:tcPr>
          <w:p w14:paraId="46D2E704" w14:textId="77777777" w:rsidR="006A34FF" w:rsidRPr="001F51C3" w:rsidRDefault="006A34FF" w:rsidP="00095C9A">
            <w:pPr>
              <w:jc w:val="center"/>
              <w:rPr>
                <w:color w:val="000000"/>
                <w:sz w:val="26"/>
                <w:szCs w:val="26"/>
                <w:lang w:eastAsia="en-US"/>
              </w:rPr>
            </w:pPr>
            <w:r w:rsidRPr="001F51C3">
              <w:rPr>
                <w:color w:val="000000"/>
                <w:sz w:val="26"/>
                <w:szCs w:val="26"/>
              </w:rPr>
              <w:t>D</w:t>
            </w:r>
          </w:p>
        </w:tc>
      </w:tr>
      <w:tr w:rsidR="006A34FF" w:rsidRPr="001F51C3" w14:paraId="559EDB72" w14:textId="77777777" w:rsidTr="00324488">
        <w:tc>
          <w:tcPr>
            <w:tcW w:w="2442" w:type="dxa"/>
            <w:tcBorders>
              <w:top w:val="single" w:sz="4" w:space="0" w:color="auto"/>
              <w:left w:val="single" w:sz="4" w:space="0" w:color="auto"/>
              <w:bottom w:val="single" w:sz="4" w:space="0" w:color="auto"/>
              <w:right w:val="single" w:sz="4" w:space="0" w:color="auto"/>
            </w:tcBorders>
            <w:hideMark/>
          </w:tcPr>
          <w:p w14:paraId="1A067433" w14:textId="77777777" w:rsidR="006A34FF" w:rsidRPr="001F51C3" w:rsidRDefault="006A34FF" w:rsidP="00095C9A">
            <w:pPr>
              <w:rPr>
                <w:color w:val="000000"/>
                <w:sz w:val="26"/>
                <w:szCs w:val="26"/>
                <w:lang w:eastAsia="en-US"/>
              </w:rPr>
            </w:pPr>
            <w:r w:rsidRPr="001F51C3">
              <w:rPr>
                <w:color w:val="000000"/>
                <w:sz w:val="26"/>
                <w:szCs w:val="26"/>
              </w:rPr>
              <w:t xml:space="preserve">Attiecīgā ES tiesību akta panta numurs (uzskaitot katru tiesību akta </w:t>
            </w:r>
            <w:r w:rsidRPr="001F51C3">
              <w:rPr>
                <w:color w:val="000000"/>
                <w:sz w:val="26"/>
                <w:szCs w:val="26"/>
              </w:rPr>
              <w:br/>
              <w:t>vienību – pantu, daļu, punktu, apakšpunktu)</w:t>
            </w:r>
          </w:p>
        </w:tc>
        <w:tc>
          <w:tcPr>
            <w:tcW w:w="2443" w:type="dxa"/>
            <w:tcBorders>
              <w:top w:val="single" w:sz="4" w:space="0" w:color="auto"/>
              <w:left w:val="single" w:sz="4" w:space="0" w:color="auto"/>
              <w:bottom w:val="single" w:sz="4" w:space="0" w:color="auto"/>
              <w:right w:val="single" w:sz="4" w:space="0" w:color="auto"/>
            </w:tcBorders>
            <w:hideMark/>
          </w:tcPr>
          <w:p w14:paraId="04A49B1A" w14:textId="77777777" w:rsidR="006A34FF" w:rsidRPr="001F51C3" w:rsidRDefault="006A34FF" w:rsidP="00095C9A">
            <w:pPr>
              <w:rPr>
                <w:color w:val="000000"/>
                <w:sz w:val="26"/>
                <w:szCs w:val="26"/>
                <w:lang w:eastAsia="en-US"/>
              </w:rPr>
            </w:pPr>
            <w:r w:rsidRPr="001F51C3">
              <w:rPr>
                <w:color w:val="000000"/>
                <w:sz w:val="26"/>
                <w:szCs w:val="26"/>
              </w:rPr>
              <w:t>Projekta vienība, kas pārņem vai ievieš katru šīs tabulas A ailē minēto ES tiesību akta vienību, vai tiesību akts, kur attiecīgā ES tiesību akta vienība pārņemta vai ieviesta</w:t>
            </w:r>
          </w:p>
        </w:tc>
        <w:tc>
          <w:tcPr>
            <w:tcW w:w="2443" w:type="dxa"/>
            <w:tcBorders>
              <w:top w:val="single" w:sz="4" w:space="0" w:color="auto"/>
              <w:left w:val="single" w:sz="4" w:space="0" w:color="auto"/>
              <w:bottom w:val="single" w:sz="4" w:space="0" w:color="auto"/>
              <w:right w:val="single" w:sz="4" w:space="0" w:color="auto"/>
            </w:tcBorders>
            <w:hideMark/>
          </w:tcPr>
          <w:p w14:paraId="39DEEE5E" w14:textId="77777777" w:rsidR="006A34FF" w:rsidRPr="001F51C3" w:rsidRDefault="006A34FF" w:rsidP="00095C9A">
            <w:pPr>
              <w:rPr>
                <w:color w:val="000000"/>
                <w:sz w:val="26"/>
                <w:szCs w:val="26"/>
              </w:rPr>
            </w:pPr>
            <w:r w:rsidRPr="001F51C3">
              <w:rPr>
                <w:color w:val="000000"/>
                <w:sz w:val="26"/>
                <w:szCs w:val="26"/>
              </w:rPr>
              <w:t>Informācija par to, vai šīs tabulas A ailē minētās ES tiesību akta vienības tiek pārņemtas vai ieviestas pilnībā vai daļēji.</w:t>
            </w:r>
          </w:p>
          <w:p w14:paraId="386B4F49" w14:textId="77777777" w:rsidR="006A34FF" w:rsidRPr="001F51C3" w:rsidRDefault="006A34FF" w:rsidP="00095C9A">
            <w:pPr>
              <w:rPr>
                <w:color w:val="000000"/>
                <w:sz w:val="26"/>
                <w:szCs w:val="26"/>
              </w:rPr>
            </w:pPr>
            <w:r w:rsidRPr="001F51C3">
              <w:rPr>
                <w:color w:val="000000"/>
                <w:sz w:val="26"/>
                <w:szCs w:val="26"/>
              </w:rPr>
              <w:t>Ja attiecīgā ES tiesību akta vienība tiek pārņemta vai ieviesta daļēji, – sniedz attiecīgu skaidrojumu, kā arī precīzi norāda, kad un kādā veidā ES tiesību akta vienība tiks pārņemta vai ieviesta pilnībā.</w:t>
            </w:r>
          </w:p>
          <w:p w14:paraId="07CD73C6" w14:textId="77777777" w:rsidR="006A34FF" w:rsidRPr="001F51C3" w:rsidRDefault="006A34FF" w:rsidP="00095C9A">
            <w:pPr>
              <w:rPr>
                <w:color w:val="000000"/>
                <w:sz w:val="26"/>
                <w:szCs w:val="26"/>
                <w:lang w:eastAsia="en-US"/>
              </w:rPr>
            </w:pPr>
            <w:r w:rsidRPr="001F51C3">
              <w:rPr>
                <w:color w:val="000000"/>
                <w:sz w:val="26"/>
                <w:szCs w:val="26"/>
              </w:rPr>
              <w:t>Norāda institūciju, kas ir atbildīga par šo saistību izpildi pilnībā</w:t>
            </w:r>
          </w:p>
        </w:tc>
        <w:tc>
          <w:tcPr>
            <w:tcW w:w="2443" w:type="dxa"/>
            <w:tcBorders>
              <w:top w:val="single" w:sz="4" w:space="0" w:color="auto"/>
              <w:left w:val="single" w:sz="4" w:space="0" w:color="auto"/>
              <w:bottom w:val="single" w:sz="4" w:space="0" w:color="auto"/>
              <w:right w:val="single" w:sz="4" w:space="0" w:color="auto"/>
            </w:tcBorders>
            <w:hideMark/>
          </w:tcPr>
          <w:p w14:paraId="6FDF14A5" w14:textId="77777777" w:rsidR="006A34FF" w:rsidRPr="001F51C3" w:rsidRDefault="006A34FF" w:rsidP="00095C9A">
            <w:pPr>
              <w:rPr>
                <w:color w:val="000000"/>
                <w:sz w:val="26"/>
                <w:szCs w:val="26"/>
              </w:rPr>
            </w:pPr>
            <w:r w:rsidRPr="001F51C3">
              <w:rPr>
                <w:color w:val="000000"/>
                <w:sz w:val="26"/>
                <w:szCs w:val="26"/>
              </w:rPr>
              <w:t>Informācija par to, vai šīs tabulas B ailē minētās projekta vienības paredz stingrākas prasības nekā šīs tabulas A ailē minētās ES tiesību akta vienības.</w:t>
            </w:r>
          </w:p>
          <w:p w14:paraId="5C27F41A" w14:textId="77777777" w:rsidR="006A34FF" w:rsidRPr="001F51C3" w:rsidRDefault="006A34FF" w:rsidP="00095C9A">
            <w:pPr>
              <w:rPr>
                <w:color w:val="000000"/>
                <w:sz w:val="26"/>
                <w:szCs w:val="26"/>
              </w:rPr>
            </w:pPr>
            <w:r w:rsidRPr="001F51C3">
              <w:rPr>
                <w:color w:val="000000"/>
                <w:sz w:val="26"/>
                <w:szCs w:val="26"/>
              </w:rPr>
              <w:t>Ja projekts satur stingrākas prasības nekā attiecīgais ES tiesību akts, – norāda pamatojumu un samērīgumu.</w:t>
            </w:r>
          </w:p>
          <w:p w14:paraId="03CC7486" w14:textId="77777777" w:rsidR="006A34FF" w:rsidRPr="001F51C3" w:rsidRDefault="006A34FF" w:rsidP="00095C9A">
            <w:pPr>
              <w:rPr>
                <w:color w:val="000000"/>
                <w:sz w:val="26"/>
                <w:szCs w:val="26"/>
                <w:lang w:eastAsia="en-US"/>
              </w:rPr>
            </w:pPr>
            <w:r w:rsidRPr="001F51C3">
              <w:rPr>
                <w:color w:val="000000"/>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F31BDE" w:rsidRPr="001F51C3" w14:paraId="01ED35B6" w14:textId="77777777" w:rsidTr="00324488">
        <w:tc>
          <w:tcPr>
            <w:tcW w:w="2442" w:type="dxa"/>
            <w:tcBorders>
              <w:top w:val="single" w:sz="4" w:space="0" w:color="auto"/>
              <w:left w:val="single" w:sz="4" w:space="0" w:color="auto"/>
              <w:bottom w:val="single" w:sz="4" w:space="0" w:color="auto"/>
              <w:right w:val="single" w:sz="4" w:space="0" w:color="auto"/>
            </w:tcBorders>
          </w:tcPr>
          <w:p w14:paraId="4E7742A9" w14:textId="6EF394F6" w:rsidR="00F31BDE" w:rsidRPr="001F51C3" w:rsidRDefault="00F31BDE" w:rsidP="00F31BDE">
            <w:pPr>
              <w:rPr>
                <w:color w:val="000000"/>
                <w:sz w:val="26"/>
                <w:szCs w:val="26"/>
              </w:rPr>
            </w:pPr>
            <w:r w:rsidRPr="001F51C3">
              <w:rPr>
                <w:color w:val="000000"/>
                <w:sz w:val="26"/>
                <w:szCs w:val="26"/>
              </w:rPr>
              <w:t xml:space="preserve">Regula Nr.651/2014 1.pielikums </w:t>
            </w:r>
          </w:p>
        </w:tc>
        <w:tc>
          <w:tcPr>
            <w:tcW w:w="2443" w:type="dxa"/>
            <w:tcBorders>
              <w:top w:val="single" w:sz="4" w:space="0" w:color="auto"/>
              <w:left w:val="single" w:sz="4" w:space="0" w:color="auto"/>
              <w:bottom w:val="single" w:sz="4" w:space="0" w:color="auto"/>
              <w:right w:val="single" w:sz="4" w:space="0" w:color="auto"/>
            </w:tcBorders>
          </w:tcPr>
          <w:p w14:paraId="50453B2A" w14:textId="77777777" w:rsidR="00F31BDE" w:rsidRPr="001F51C3" w:rsidRDefault="00F31BDE" w:rsidP="00C01988">
            <w:pPr>
              <w:rPr>
                <w:color w:val="000000"/>
                <w:sz w:val="26"/>
                <w:szCs w:val="26"/>
              </w:rPr>
            </w:pPr>
            <w:r w:rsidRPr="001F51C3">
              <w:rPr>
                <w:iCs/>
                <w:color w:val="000000"/>
                <w:sz w:val="26"/>
                <w:szCs w:val="26"/>
                <w:lang w:eastAsia="en-US"/>
              </w:rPr>
              <w:t>Noteikumu projekta 5.punkts</w:t>
            </w:r>
          </w:p>
        </w:tc>
        <w:tc>
          <w:tcPr>
            <w:tcW w:w="2443" w:type="dxa"/>
            <w:tcBorders>
              <w:top w:val="single" w:sz="4" w:space="0" w:color="auto"/>
              <w:left w:val="single" w:sz="4" w:space="0" w:color="auto"/>
              <w:bottom w:val="single" w:sz="4" w:space="0" w:color="auto"/>
              <w:right w:val="single" w:sz="4" w:space="0" w:color="auto"/>
            </w:tcBorders>
          </w:tcPr>
          <w:p w14:paraId="0AE51C66" w14:textId="77777777" w:rsidR="00F31BDE" w:rsidRPr="001F51C3" w:rsidRDefault="00F31BDE" w:rsidP="00C01988">
            <w:pPr>
              <w:rPr>
                <w:iCs/>
                <w:color w:val="000000"/>
                <w:sz w:val="26"/>
                <w:szCs w:val="26"/>
              </w:rPr>
            </w:pPr>
            <w:r w:rsidRPr="001F51C3">
              <w:rPr>
                <w:iCs/>
                <w:color w:val="000000"/>
                <w:sz w:val="26"/>
                <w:szCs w:val="26"/>
              </w:rPr>
              <w:t>Vienība tiek ieviestas pilnībā.</w:t>
            </w:r>
          </w:p>
          <w:p w14:paraId="0AFB9812" w14:textId="62B05D99" w:rsidR="00EA3608" w:rsidRPr="001F51C3" w:rsidRDefault="003B256A" w:rsidP="00C01988">
            <w:pPr>
              <w:rPr>
                <w:color w:val="000000"/>
                <w:sz w:val="26"/>
                <w:szCs w:val="26"/>
              </w:rPr>
            </w:pPr>
            <w:r w:rsidRPr="001F51C3">
              <w:rPr>
                <w:iCs/>
                <w:color w:val="000000"/>
                <w:sz w:val="26"/>
                <w:szCs w:val="26"/>
              </w:rPr>
              <w:t>(Vispārēja</w:t>
            </w:r>
            <w:r w:rsidR="00EA3608" w:rsidRPr="001F51C3">
              <w:rPr>
                <w:iCs/>
                <w:color w:val="000000"/>
                <w:sz w:val="26"/>
                <w:szCs w:val="26"/>
              </w:rPr>
              <w:t xml:space="preserve"> atsauce uz atbilstību MVU statusam) </w:t>
            </w:r>
          </w:p>
        </w:tc>
        <w:tc>
          <w:tcPr>
            <w:tcW w:w="2443" w:type="dxa"/>
            <w:tcBorders>
              <w:top w:val="single" w:sz="4" w:space="0" w:color="auto"/>
              <w:left w:val="single" w:sz="4" w:space="0" w:color="auto"/>
              <w:bottom w:val="single" w:sz="4" w:space="0" w:color="auto"/>
              <w:right w:val="single" w:sz="4" w:space="0" w:color="auto"/>
            </w:tcBorders>
          </w:tcPr>
          <w:p w14:paraId="7105ADE6" w14:textId="77777777" w:rsidR="00F31BDE" w:rsidRPr="001F51C3" w:rsidRDefault="00F31BDE" w:rsidP="00C01988">
            <w:pPr>
              <w:rPr>
                <w:color w:val="000000"/>
                <w:sz w:val="26"/>
                <w:szCs w:val="26"/>
              </w:rPr>
            </w:pPr>
            <w:r w:rsidRPr="001F51C3">
              <w:rPr>
                <w:iCs/>
                <w:color w:val="000000"/>
                <w:sz w:val="26"/>
                <w:szCs w:val="26"/>
              </w:rPr>
              <w:t>Netiek paredzētas stingrākas prasības.</w:t>
            </w:r>
          </w:p>
        </w:tc>
      </w:tr>
      <w:tr w:rsidR="00750B73" w:rsidRPr="001F51C3" w14:paraId="54B8E811" w14:textId="77777777" w:rsidTr="00324488">
        <w:tc>
          <w:tcPr>
            <w:tcW w:w="2442" w:type="dxa"/>
            <w:tcBorders>
              <w:top w:val="single" w:sz="4" w:space="0" w:color="auto"/>
              <w:left w:val="single" w:sz="4" w:space="0" w:color="auto"/>
              <w:bottom w:val="single" w:sz="4" w:space="0" w:color="auto"/>
              <w:right w:val="single" w:sz="4" w:space="0" w:color="auto"/>
            </w:tcBorders>
          </w:tcPr>
          <w:p w14:paraId="656C129F" w14:textId="77777777" w:rsidR="00750B73" w:rsidRPr="001F51C3" w:rsidRDefault="00750B73" w:rsidP="00F31BDE">
            <w:pPr>
              <w:rPr>
                <w:color w:val="000000"/>
                <w:sz w:val="26"/>
                <w:szCs w:val="26"/>
              </w:rPr>
            </w:pPr>
            <w:r w:rsidRPr="001F51C3">
              <w:rPr>
                <w:color w:val="000000"/>
                <w:sz w:val="26"/>
                <w:szCs w:val="26"/>
              </w:rPr>
              <w:t>Regula Nr.1407/2013</w:t>
            </w:r>
          </w:p>
          <w:p w14:paraId="751B6D23" w14:textId="5D4B9D89" w:rsidR="00750B73" w:rsidRPr="001F51C3" w:rsidRDefault="00750B73" w:rsidP="00F31BDE">
            <w:pPr>
              <w:rPr>
                <w:color w:val="000000"/>
                <w:sz w:val="26"/>
                <w:szCs w:val="26"/>
              </w:rPr>
            </w:pPr>
            <w:r w:rsidRPr="001F51C3">
              <w:rPr>
                <w:color w:val="000000"/>
                <w:sz w:val="26"/>
                <w:szCs w:val="26"/>
              </w:rPr>
              <w:t>1.panta 1.punkta d) apakšpunkts</w:t>
            </w:r>
          </w:p>
        </w:tc>
        <w:tc>
          <w:tcPr>
            <w:tcW w:w="2443" w:type="dxa"/>
            <w:tcBorders>
              <w:top w:val="single" w:sz="4" w:space="0" w:color="auto"/>
              <w:left w:val="single" w:sz="4" w:space="0" w:color="auto"/>
              <w:bottom w:val="single" w:sz="4" w:space="0" w:color="auto"/>
              <w:right w:val="single" w:sz="4" w:space="0" w:color="auto"/>
            </w:tcBorders>
          </w:tcPr>
          <w:p w14:paraId="3836C749" w14:textId="242D0E8A" w:rsidR="00750B73" w:rsidRPr="001F51C3" w:rsidRDefault="00586309" w:rsidP="00C01988">
            <w:pPr>
              <w:rPr>
                <w:iCs/>
                <w:color w:val="000000"/>
                <w:sz w:val="26"/>
                <w:szCs w:val="26"/>
                <w:lang w:eastAsia="en-US"/>
              </w:rPr>
            </w:pPr>
            <w:r w:rsidRPr="001F51C3">
              <w:rPr>
                <w:iCs/>
                <w:color w:val="000000"/>
                <w:sz w:val="26"/>
                <w:szCs w:val="26"/>
                <w:lang w:eastAsia="en-US"/>
              </w:rPr>
              <w:t xml:space="preserve">Noteikumu projekta </w:t>
            </w:r>
            <w:r w:rsidR="00457D7E" w:rsidRPr="001F51C3">
              <w:rPr>
                <w:iCs/>
                <w:color w:val="000000"/>
                <w:sz w:val="26"/>
                <w:szCs w:val="26"/>
                <w:lang w:eastAsia="en-US"/>
              </w:rPr>
              <w:t>17</w:t>
            </w:r>
            <w:r w:rsidR="00750B73" w:rsidRPr="001F51C3">
              <w:rPr>
                <w:iCs/>
                <w:color w:val="000000"/>
                <w:sz w:val="26"/>
                <w:szCs w:val="26"/>
                <w:lang w:eastAsia="en-US"/>
              </w:rPr>
              <w:t>.punkts</w:t>
            </w:r>
          </w:p>
        </w:tc>
        <w:tc>
          <w:tcPr>
            <w:tcW w:w="2443" w:type="dxa"/>
            <w:tcBorders>
              <w:top w:val="single" w:sz="4" w:space="0" w:color="auto"/>
              <w:left w:val="single" w:sz="4" w:space="0" w:color="auto"/>
              <w:bottom w:val="single" w:sz="4" w:space="0" w:color="auto"/>
              <w:right w:val="single" w:sz="4" w:space="0" w:color="auto"/>
            </w:tcBorders>
          </w:tcPr>
          <w:p w14:paraId="288800D4" w14:textId="3864FAF2" w:rsidR="00750B73" w:rsidRPr="001F51C3" w:rsidRDefault="00750B73" w:rsidP="00C01988">
            <w:pPr>
              <w:rPr>
                <w:iCs/>
                <w:color w:val="000000"/>
                <w:sz w:val="26"/>
                <w:szCs w:val="26"/>
              </w:rPr>
            </w:pPr>
            <w:r w:rsidRPr="001F51C3">
              <w:rPr>
                <w:iCs/>
                <w:color w:val="000000"/>
                <w:sz w:val="26"/>
                <w:szCs w:val="26"/>
              </w:rPr>
              <w:t>Vienība tiek ieviestas pilnībā.</w:t>
            </w:r>
          </w:p>
        </w:tc>
        <w:tc>
          <w:tcPr>
            <w:tcW w:w="2443" w:type="dxa"/>
            <w:tcBorders>
              <w:top w:val="single" w:sz="4" w:space="0" w:color="auto"/>
              <w:left w:val="single" w:sz="4" w:space="0" w:color="auto"/>
              <w:bottom w:val="single" w:sz="4" w:space="0" w:color="auto"/>
              <w:right w:val="single" w:sz="4" w:space="0" w:color="auto"/>
            </w:tcBorders>
          </w:tcPr>
          <w:p w14:paraId="04949F88" w14:textId="2277B51E" w:rsidR="00750B73" w:rsidRPr="001F51C3" w:rsidRDefault="00750B73" w:rsidP="00C01988">
            <w:pPr>
              <w:rPr>
                <w:iCs/>
                <w:color w:val="000000"/>
                <w:sz w:val="26"/>
                <w:szCs w:val="26"/>
              </w:rPr>
            </w:pPr>
            <w:r w:rsidRPr="001F51C3">
              <w:rPr>
                <w:iCs/>
                <w:color w:val="000000"/>
                <w:sz w:val="26"/>
                <w:szCs w:val="26"/>
              </w:rPr>
              <w:t>Netiek paredzētas stingrākas prasības.</w:t>
            </w:r>
          </w:p>
        </w:tc>
      </w:tr>
      <w:tr w:rsidR="003B256A" w:rsidRPr="001F51C3" w14:paraId="696E1D83" w14:textId="77777777" w:rsidTr="00324488">
        <w:tc>
          <w:tcPr>
            <w:tcW w:w="2442" w:type="dxa"/>
            <w:tcBorders>
              <w:top w:val="single" w:sz="4" w:space="0" w:color="auto"/>
              <w:left w:val="single" w:sz="4" w:space="0" w:color="auto"/>
              <w:bottom w:val="single" w:sz="4" w:space="0" w:color="auto"/>
              <w:right w:val="single" w:sz="4" w:space="0" w:color="auto"/>
            </w:tcBorders>
          </w:tcPr>
          <w:p w14:paraId="33D1B05F" w14:textId="218654CF" w:rsidR="003B256A" w:rsidRPr="001F51C3" w:rsidRDefault="003B256A" w:rsidP="003B256A">
            <w:pPr>
              <w:rPr>
                <w:color w:val="000000"/>
                <w:sz w:val="26"/>
                <w:szCs w:val="26"/>
              </w:rPr>
            </w:pPr>
            <w:r w:rsidRPr="001F51C3">
              <w:rPr>
                <w:color w:val="000000"/>
                <w:sz w:val="26"/>
                <w:szCs w:val="26"/>
              </w:rPr>
              <w:t>Regula Nr.1407/2013</w:t>
            </w:r>
          </w:p>
        </w:tc>
        <w:tc>
          <w:tcPr>
            <w:tcW w:w="2443" w:type="dxa"/>
            <w:tcBorders>
              <w:top w:val="single" w:sz="4" w:space="0" w:color="auto"/>
              <w:left w:val="single" w:sz="4" w:space="0" w:color="auto"/>
              <w:bottom w:val="single" w:sz="4" w:space="0" w:color="auto"/>
              <w:right w:val="single" w:sz="4" w:space="0" w:color="auto"/>
            </w:tcBorders>
          </w:tcPr>
          <w:p w14:paraId="0E67EF80" w14:textId="1279B381" w:rsidR="003B256A" w:rsidRPr="001F51C3" w:rsidRDefault="00586309" w:rsidP="00750B73">
            <w:pPr>
              <w:rPr>
                <w:iCs/>
                <w:color w:val="000000"/>
                <w:sz w:val="26"/>
                <w:szCs w:val="26"/>
                <w:lang w:eastAsia="en-US"/>
              </w:rPr>
            </w:pPr>
            <w:r w:rsidRPr="001F51C3">
              <w:rPr>
                <w:iCs/>
                <w:color w:val="000000"/>
                <w:sz w:val="26"/>
                <w:szCs w:val="26"/>
                <w:lang w:eastAsia="en-US"/>
              </w:rPr>
              <w:t xml:space="preserve">Noteikumu projekta </w:t>
            </w:r>
            <w:r w:rsidR="00457D7E" w:rsidRPr="001F51C3">
              <w:rPr>
                <w:iCs/>
                <w:color w:val="000000"/>
                <w:sz w:val="26"/>
                <w:szCs w:val="26"/>
                <w:lang w:eastAsia="en-US"/>
              </w:rPr>
              <w:t>23</w:t>
            </w:r>
            <w:r w:rsidR="003B256A" w:rsidRPr="001F51C3">
              <w:rPr>
                <w:iCs/>
                <w:color w:val="000000"/>
                <w:sz w:val="26"/>
                <w:szCs w:val="26"/>
                <w:lang w:eastAsia="en-US"/>
              </w:rPr>
              <w:t>.</w:t>
            </w:r>
            <w:r w:rsidR="00457D7E" w:rsidRPr="001F51C3">
              <w:rPr>
                <w:iCs/>
                <w:color w:val="000000"/>
                <w:sz w:val="26"/>
                <w:szCs w:val="26"/>
                <w:lang w:eastAsia="en-US"/>
              </w:rPr>
              <w:t xml:space="preserve"> un 27</w:t>
            </w:r>
            <w:r w:rsidR="003E6E57" w:rsidRPr="001F51C3">
              <w:rPr>
                <w:iCs/>
                <w:color w:val="000000"/>
                <w:sz w:val="26"/>
                <w:szCs w:val="26"/>
                <w:lang w:eastAsia="en-US"/>
              </w:rPr>
              <w:t>.</w:t>
            </w:r>
            <w:r w:rsidR="003B256A" w:rsidRPr="001F51C3">
              <w:rPr>
                <w:iCs/>
                <w:color w:val="000000"/>
                <w:sz w:val="26"/>
                <w:szCs w:val="26"/>
                <w:lang w:eastAsia="en-US"/>
              </w:rPr>
              <w:t>punkts</w:t>
            </w:r>
          </w:p>
        </w:tc>
        <w:tc>
          <w:tcPr>
            <w:tcW w:w="2443" w:type="dxa"/>
            <w:tcBorders>
              <w:top w:val="single" w:sz="4" w:space="0" w:color="auto"/>
              <w:left w:val="single" w:sz="4" w:space="0" w:color="auto"/>
              <w:bottom w:val="single" w:sz="4" w:space="0" w:color="auto"/>
              <w:right w:val="single" w:sz="4" w:space="0" w:color="auto"/>
            </w:tcBorders>
          </w:tcPr>
          <w:p w14:paraId="58DF226C" w14:textId="77777777" w:rsidR="003B256A" w:rsidRPr="001F51C3" w:rsidRDefault="003B256A" w:rsidP="003B256A">
            <w:pPr>
              <w:rPr>
                <w:iCs/>
                <w:color w:val="000000"/>
                <w:sz w:val="26"/>
                <w:szCs w:val="26"/>
              </w:rPr>
            </w:pPr>
            <w:r w:rsidRPr="001F51C3">
              <w:rPr>
                <w:iCs/>
                <w:color w:val="000000"/>
                <w:sz w:val="26"/>
                <w:szCs w:val="26"/>
              </w:rPr>
              <w:t>Vienība tiek ieviestas pilnībā.</w:t>
            </w:r>
          </w:p>
          <w:p w14:paraId="445BC3D0" w14:textId="42264954" w:rsidR="003B256A" w:rsidRPr="001F51C3" w:rsidRDefault="003B256A" w:rsidP="003B256A">
            <w:pPr>
              <w:rPr>
                <w:iCs/>
                <w:color w:val="000000"/>
                <w:sz w:val="26"/>
                <w:szCs w:val="26"/>
              </w:rPr>
            </w:pPr>
            <w:r w:rsidRPr="001F51C3">
              <w:rPr>
                <w:iCs/>
                <w:color w:val="000000"/>
                <w:sz w:val="26"/>
                <w:szCs w:val="26"/>
              </w:rPr>
              <w:t xml:space="preserve">(Vispārēja atsauce uz regulu, ka atbalsts tiek sniegts saskaņā ar </w:t>
            </w:r>
            <w:proofErr w:type="spellStart"/>
            <w:r w:rsidRPr="001F51C3">
              <w:rPr>
                <w:i/>
                <w:iCs/>
                <w:color w:val="000000"/>
                <w:sz w:val="26"/>
                <w:szCs w:val="26"/>
              </w:rPr>
              <w:t>de</w:t>
            </w:r>
            <w:proofErr w:type="spellEnd"/>
            <w:r w:rsidRPr="001F51C3">
              <w:rPr>
                <w:i/>
                <w:iCs/>
                <w:color w:val="000000"/>
                <w:sz w:val="26"/>
                <w:szCs w:val="26"/>
              </w:rPr>
              <w:t xml:space="preserve"> </w:t>
            </w:r>
            <w:proofErr w:type="spellStart"/>
            <w:r w:rsidRPr="001F51C3">
              <w:rPr>
                <w:i/>
                <w:iCs/>
                <w:color w:val="000000"/>
                <w:sz w:val="26"/>
                <w:szCs w:val="26"/>
              </w:rPr>
              <w:t>minimis</w:t>
            </w:r>
            <w:proofErr w:type="spellEnd"/>
            <w:r w:rsidRPr="001F51C3">
              <w:rPr>
                <w:iCs/>
                <w:color w:val="000000"/>
                <w:sz w:val="26"/>
                <w:szCs w:val="26"/>
              </w:rPr>
              <w:t xml:space="preserve"> atbalstu) </w:t>
            </w:r>
          </w:p>
        </w:tc>
        <w:tc>
          <w:tcPr>
            <w:tcW w:w="2443" w:type="dxa"/>
            <w:tcBorders>
              <w:top w:val="single" w:sz="4" w:space="0" w:color="auto"/>
              <w:left w:val="single" w:sz="4" w:space="0" w:color="auto"/>
              <w:bottom w:val="single" w:sz="4" w:space="0" w:color="auto"/>
              <w:right w:val="single" w:sz="4" w:space="0" w:color="auto"/>
            </w:tcBorders>
          </w:tcPr>
          <w:p w14:paraId="0F73D2E4" w14:textId="2676F37B" w:rsidR="003B256A" w:rsidRPr="001F51C3" w:rsidRDefault="003B256A" w:rsidP="003B256A">
            <w:pPr>
              <w:rPr>
                <w:iCs/>
                <w:color w:val="000000"/>
                <w:sz w:val="26"/>
                <w:szCs w:val="26"/>
              </w:rPr>
            </w:pPr>
            <w:r w:rsidRPr="001F51C3">
              <w:rPr>
                <w:iCs/>
                <w:color w:val="000000"/>
                <w:sz w:val="26"/>
                <w:szCs w:val="26"/>
              </w:rPr>
              <w:t>Netiek paredzētas stingrākas prasības.</w:t>
            </w:r>
          </w:p>
        </w:tc>
      </w:tr>
      <w:tr w:rsidR="00324488" w:rsidRPr="001F51C3" w14:paraId="15B95891" w14:textId="77777777" w:rsidTr="00324488">
        <w:tc>
          <w:tcPr>
            <w:tcW w:w="2442" w:type="dxa"/>
            <w:tcBorders>
              <w:top w:val="single" w:sz="4" w:space="0" w:color="auto"/>
              <w:left w:val="single" w:sz="4" w:space="0" w:color="auto"/>
              <w:bottom w:val="single" w:sz="4" w:space="0" w:color="auto"/>
              <w:right w:val="single" w:sz="4" w:space="0" w:color="auto"/>
            </w:tcBorders>
          </w:tcPr>
          <w:p w14:paraId="569A34B3" w14:textId="27C5D77B" w:rsidR="00324488" w:rsidRPr="001F51C3" w:rsidRDefault="00324488" w:rsidP="00324488">
            <w:pPr>
              <w:rPr>
                <w:color w:val="000000"/>
                <w:sz w:val="26"/>
                <w:szCs w:val="26"/>
              </w:rPr>
            </w:pPr>
            <w:r w:rsidRPr="001F51C3">
              <w:rPr>
                <w:color w:val="000000"/>
                <w:sz w:val="26"/>
                <w:szCs w:val="26"/>
              </w:rPr>
              <w:t>Regula Nr.1408/2013</w:t>
            </w:r>
          </w:p>
        </w:tc>
        <w:tc>
          <w:tcPr>
            <w:tcW w:w="2443" w:type="dxa"/>
            <w:tcBorders>
              <w:top w:val="single" w:sz="4" w:space="0" w:color="auto"/>
              <w:left w:val="single" w:sz="4" w:space="0" w:color="auto"/>
              <w:bottom w:val="single" w:sz="4" w:space="0" w:color="auto"/>
              <w:right w:val="single" w:sz="4" w:space="0" w:color="auto"/>
            </w:tcBorders>
          </w:tcPr>
          <w:p w14:paraId="74E49FED" w14:textId="771FA327" w:rsidR="00324488" w:rsidRPr="001F51C3" w:rsidRDefault="00324488" w:rsidP="00324488">
            <w:pPr>
              <w:rPr>
                <w:iCs/>
                <w:color w:val="000000"/>
                <w:sz w:val="26"/>
                <w:szCs w:val="26"/>
                <w:lang w:eastAsia="en-US"/>
              </w:rPr>
            </w:pPr>
            <w:r w:rsidRPr="001F51C3">
              <w:rPr>
                <w:iCs/>
                <w:color w:val="000000"/>
                <w:sz w:val="26"/>
                <w:szCs w:val="26"/>
                <w:lang w:eastAsia="en-US"/>
              </w:rPr>
              <w:t>Noteikumu</w:t>
            </w:r>
            <w:r w:rsidR="00586309" w:rsidRPr="001F51C3">
              <w:rPr>
                <w:iCs/>
                <w:color w:val="000000"/>
                <w:sz w:val="26"/>
                <w:szCs w:val="26"/>
                <w:lang w:eastAsia="en-US"/>
              </w:rPr>
              <w:t xml:space="preserve"> projekta </w:t>
            </w:r>
            <w:r w:rsidR="00457D7E" w:rsidRPr="001F51C3">
              <w:rPr>
                <w:iCs/>
                <w:color w:val="000000"/>
                <w:sz w:val="26"/>
                <w:szCs w:val="26"/>
                <w:lang w:eastAsia="en-US"/>
              </w:rPr>
              <w:t>23. un 27.punkts</w:t>
            </w:r>
          </w:p>
        </w:tc>
        <w:tc>
          <w:tcPr>
            <w:tcW w:w="2443" w:type="dxa"/>
            <w:tcBorders>
              <w:top w:val="single" w:sz="4" w:space="0" w:color="auto"/>
              <w:left w:val="single" w:sz="4" w:space="0" w:color="auto"/>
              <w:bottom w:val="single" w:sz="4" w:space="0" w:color="auto"/>
              <w:right w:val="single" w:sz="4" w:space="0" w:color="auto"/>
            </w:tcBorders>
          </w:tcPr>
          <w:p w14:paraId="0535F5D1" w14:textId="77777777" w:rsidR="00324488" w:rsidRPr="001F51C3" w:rsidRDefault="00324488" w:rsidP="00324488">
            <w:pPr>
              <w:rPr>
                <w:iCs/>
                <w:color w:val="000000"/>
                <w:sz w:val="26"/>
                <w:szCs w:val="26"/>
              </w:rPr>
            </w:pPr>
            <w:r w:rsidRPr="001F51C3">
              <w:rPr>
                <w:iCs/>
                <w:color w:val="000000"/>
                <w:sz w:val="26"/>
                <w:szCs w:val="26"/>
              </w:rPr>
              <w:t>Vienība tiek ieviestas pilnībā.</w:t>
            </w:r>
          </w:p>
          <w:p w14:paraId="01D82C54" w14:textId="022414CB" w:rsidR="00324488" w:rsidRPr="001F51C3" w:rsidRDefault="00324488" w:rsidP="00324488">
            <w:pPr>
              <w:rPr>
                <w:iCs/>
                <w:color w:val="000000"/>
                <w:sz w:val="26"/>
                <w:szCs w:val="26"/>
              </w:rPr>
            </w:pPr>
            <w:r w:rsidRPr="001F51C3">
              <w:rPr>
                <w:iCs/>
                <w:color w:val="000000"/>
                <w:sz w:val="26"/>
                <w:szCs w:val="26"/>
              </w:rPr>
              <w:t xml:space="preserve">(Vispārēja atsauce uz regulu, ka atbalsts tiek sniegts saskaņā ar </w:t>
            </w:r>
            <w:proofErr w:type="spellStart"/>
            <w:r w:rsidRPr="001F51C3">
              <w:rPr>
                <w:i/>
                <w:iCs/>
                <w:color w:val="000000"/>
                <w:sz w:val="26"/>
                <w:szCs w:val="26"/>
              </w:rPr>
              <w:t>de</w:t>
            </w:r>
            <w:proofErr w:type="spellEnd"/>
            <w:r w:rsidRPr="001F51C3">
              <w:rPr>
                <w:i/>
                <w:iCs/>
                <w:color w:val="000000"/>
                <w:sz w:val="26"/>
                <w:szCs w:val="26"/>
              </w:rPr>
              <w:t xml:space="preserve"> </w:t>
            </w:r>
            <w:proofErr w:type="spellStart"/>
            <w:r w:rsidRPr="001F51C3">
              <w:rPr>
                <w:i/>
                <w:iCs/>
                <w:color w:val="000000"/>
                <w:sz w:val="26"/>
                <w:szCs w:val="26"/>
              </w:rPr>
              <w:t>minimis</w:t>
            </w:r>
            <w:proofErr w:type="spellEnd"/>
            <w:r w:rsidRPr="001F51C3">
              <w:rPr>
                <w:iCs/>
                <w:color w:val="000000"/>
                <w:sz w:val="26"/>
                <w:szCs w:val="26"/>
              </w:rPr>
              <w:t xml:space="preserve"> atbalstu) </w:t>
            </w:r>
          </w:p>
        </w:tc>
        <w:tc>
          <w:tcPr>
            <w:tcW w:w="2443" w:type="dxa"/>
            <w:tcBorders>
              <w:top w:val="single" w:sz="4" w:space="0" w:color="auto"/>
              <w:left w:val="single" w:sz="4" w:space="0" w:color="auto"/>
              <w:bottom w:val="single" w:sz="4" w:space="0" w:color="auto"/>
              <w:right w:val="single" w:sz="4" w:space="0" w:color="auto"/>
            </w:tcBorders>
          </w:tcPr>
          <w:p w14:paraId="5D295546" w14:textId="1B8009C2" w:rsidR="00324488" w:rsidRPr="001F51C3" w:rsidRDefault="00324488" w:rsidP="00324488">
            <w:pPr>
              <w:rPr>
                <w:iCs/>
                <w:color w:val="000000"/>
                <w:sz w:val="26"/>
                <w:szCs w:val="26"/>
              </w:rPr>
            </w:pPr>
            <w:r w:rsidRPr="001F51C3">
              <w:rPr>
                <w:iCs/>
                <w:color w:val="000000"/>
                <w:sz w:val="26"/>
                <w:szCs w:val="26"/>
              </w:rPr>
              <w:t>Netiek paredzētas stingrākas prasības.</w:t>
            </w:r>
          </w:p>
        </w:tc>
      </w:tr>
      <w:tr w:rsidR="00324488" w:rsidRPr="001F51C3" w14:paraId="7A6CBCB7" w14:textId="77777777" w:rsidTr="00324488">
        <w:tc>
          <w:tcPr>
            <w:tcW w:w="2442" w:type="dxa"/>
            <w:tcBorders>
              <w:top w:val="single" w:sz="4" w:space="0" w:color="auto"/>
              <w:left w:val="single" w:sz="4" w:space="0" w:color="auto"/>
              <w:bottom w:val="single" w:sz="4" w:space="0" w:color="auto"/>
              <w:right w:val="single" w:sz="4" w:space="0" w:color="auto"/>
            </w:tcBorders>
          </w:tcPr>
          <w:p w14:paraId="769B7019" w14:textId="40F5D6D6" w:rsidR="00324488" w:rsidRPr="001F51C3" w:rsidRDefault="00324488" w:rsidP="00324488">
            <w:pPr>
              <w:rPr>
                <w:color w:val="000000"/>
                <w:sz w:val="26"/>
                <w:szCs w:val="26"/>
              </w:rPr>
            </w:pPr>
            <w:r w:rsidRPr="001F51C3">
              <w:rPr>
                <w:color w:val="000000"/>
                <w:sz w:val="26"/>
                <w:szCs w:val="26"/>
              </w:rPr>
              <w:t>Regula Nr. 717/2014</w:t>
            </w:r>
          </w:p>
        </w:tc>
        <w:tc>
          <w:tcPr>
            <w:tcW w:w="2443" w:type="dxa"/>
            <w:tcBorders>
              <w:top w:val="single" w:sz="4" w:space="0" w:color="auto"/>
              <w:left w:val="single" w:sz="4" w:space="0" w:color="auto"/>
              <w:bottom w:val="single" w:sz="4" w:space="0" w:color="auto"/>
              <w:right w:val="single" w:sz="4" w:space="0" w:color="auto"/>
            </w:tcBorders>
          </w:tcPr>
          <w:p w14:paraId="4428647F" w14:textId="5DE71A64" w:rsidR="00324488" w:rsidRPr="001F51C3" w:rsidRDefault="00586309" w:rsidP="00324488">
            <w:pPr>
              <w:rPr>
                <w:iCs/>
                <w:color w:val="000000"/>
                <w:sz w:val="26"/>
                <w:szCs w:val="26"/>
                <w:lang w:eastAsia="en-US"/>
              </w:rPr>
            </w:pPr>
            <w:r w:rsidRPr="001F51C3">
              <w:rPr>
                <w:iCs/>
                <w:color w:val="000000"/>
                <w:sz w:val="26"/>
                <w:szCs w:val="26"/>
                <w:lang w:eastAsia="en-US"/>
              </w:rPr>
              <w:t xml:space="preserve">Noteikumu projekta </w:t>
            </w:r>
            <w:r w:rsidR="00457D7E" w:rsidRPr="001F51C3">
              <w:rPr>
                <w:iCs/>
                <w:color w:val="000000"/>
                <w:sz w:val="26"/>
                <w:szCs w:val="26"/>
                <w:lang w:eastAsia="en-US"/>
              </w:rPr>
              <w:t>23. un 27.punkts</w:t>
            </w:r>
          </w:p>
        </w:tc>
        <w:tc>
          <w:tcPr>
            <w:tcW w:w="2443" w:type="dxa"/>
            <w:tcBorders>
              <w:top w:val="single" w:sz="4" w:space="0" w:color="auto"/>
              <w:left w:val="single" w:sz="4" w:space="0" w:color="auto"/>
              <w:bottom w:val="single" w:sz="4" w:space="0" w:color="auto"/>
              <w:right w:val="single" w:sz="4" w:space="0" w:color="auto"/>
            </w:tcBorders>
          </w:tcPr>
          <w:p w14:paraId="02C4F8F0" w14:textId="77777777" w:rsidR="00324488" w:rsidRPr="001F51C3" w:rsidRDefault="00324488" w:rsidP="00324488">
            <w:pPr>
              <w:rPr>
                <w:iCs/>
                <w:color w:val="000000"/>
                <w:sz w:val="26"/>
                <w:szCs w:val="26"/>
              </w:rPr>
            </w:pPr>
            <w:r w:rsidRPr="001F51C3">
              <w:rPr>
                <w:iCs/>
                <w:color w:val="000000"/>
                <w:sz w:val="26"/>
                <w:szCs w:val="26"/>
              </w:rPr>
              <w:t>Vienība tiek ieviestas pilnībā.</w:t>
            </w:r>
          </w:p>
          <w:p w14:paraId="5CA427E3" w14:textId="598EB0D4" w:rsidR="00324488" w:rsidRPr="001F51C3" w:rsidRDefault="00324488" w:rsidP="00324488">
            <w:pPr>
              <w:rPr>
                <w:iCs/>
                <w:color w:val="000000"/>
                <w:sz w:val="26"/>
                <w:szCs w:val="26"/>
              </w:rPr>
            </w:pPr>
            <w:r w:rsidRPr="001F51C3">
              <w:rPr>
                <w:iCs/>
                <w:color w:val="000000"/>
                <w:sz w:val="26"/>
                <w:szCs w:val="26"/>
              </w:rPr>
              <w:t xml:space="preserve">(Vispārēja atsauce uz regulu, ka atbalsts tiek sniegts saskaņā ar </w:t>
            </w:r>
            <w:proofErr w:type="spellStart"/>
            <w:r w:rsidRPr="001F51C3">
              <w:rPr>
                <w:i/>
                <w:iCs/>
                <w:color w:val="000000"/>
                <w:sz w:val="26"/>
                <w:szCs w:val="26"/>
              </w:rPr>
              <w:t>de</w:t>
            </w:r>
            <w:proofErr w:type="spellEnd"/>
            <w:r w:rsidRPr="001F51C3">
              <w:rPr>
                <w:i/>
                <w:iCs/>
                <w:color w:val="000000"/>
                <w:sz w:val="26"/>
                <w:szCs w:val="26"/>
              </w:rPr>
              <w:t xml:space="preserve"> </w:t>
            </w:r>
            <w:proofErr w:type="spellStart"/>
            <w:r w:rsidRPr="001F51C3">
              <w:rPr>
                <w:i/>
                <w:iCs/>
                <w:color w:val="000000"/>
                <w:sz w:val="26"/>
                <w:szCs w:val="26"/>
              </w:rPr>
              <w:t>minimis</w:t>
            </w:r>
            <w:proofErr w:type="spellEnd"/>
            <w:r w:rsidRPr="001F51C3">
              <w:rPr>
                <w:iCs/>
                <w:color w:val="000000"/>
                <w:sz w:val="26"/>
                <w:szCs w:val="26"/>
              </w:rPr>
              <w:t xml:space="preserve"> atbalstu) </w:t>
            </w:r>
          </w:p>
        </w:tc>
        <w:tc>
          <w:tcPr>
            <w:tcW w:w="2443" w:type="dxa"/>
            <w:tcBorders>
              <w:top w:val="single" w:sz="4" w:space="0" w:color="auto"/>
              <w:left w:val="single" w:sz="4" w:space="0" w:color="auto"/>
              <w:bottom w:val="single" w:sz="4" w:space="0" w:color="auto"/>
              <w:right w:val="single" w:sz="4" w:space="0" w:color="auto"/>
            </w:tcBorders>
          </w:tcPr>
          <w:p w14:paraId="209B21CF" w14:textId="5222A436" w:rsidR="00324488" w:rsidRPr="001F51C3" w:rsidRDefault="00324488" w:rsidP="00324488">
            <w:pPr>
              <w:rPr>
                <w:iCs/>
                <w:color w:val="000000"/>
                <w:sz w:val="26"/>
                <w:szCs w:val="26"/>
              </w:rPr>
            </w:pPr>
            <w:r w:rsidRPr="001F51C3">
              <w:rPr>
                <w:iCs/>
                <w:color w:val="000000"/>
                <w:sz w:val="26"/>
                <w:szCs w:val="26"/>
              </w:rPr>
              <w:t>Netiek paredzētas stingrākas prasības.</w:t>
            </w:r>
          </w:p>
        </w:tc>
      </w:tr>
      <w:tr w:rsidR="00324488" w:rsidRPr="001F51C3" w14:paraId="7B93551B" w14:textId="77777777" w:rsidTr="00324488">
        <w:tc>
          <w:tcPr>
            <w:tcW w:w="2442" w:type="dxa"/>
            <w:tcBorders>
              <w:top w:val="single" w:sz="4" w:space="0" w:color="auto"/>
              <w:left w:val="single" w:sz="4" w:space="0" w:color="auto"/>
              <w:bottom w:val="single" w:sz="4" w:space="0" w:color="auto"/>
              <w:right w:val="single" w:sz="4" w:space="0" w:color="auto"/>
            </w:tcBorders>
          </w:tcPr>
          <w:p w14:paraId="08D7CC5F" w14:textId="6DB5FB2D" w:rsidR="00324488" w:rsidRPr="001F51C3" w:rsidRDefault="00324488" w:rsidP="00324488">
            <w:pPr>
              <w:rPr>
                <w:color w:val="000000"/>
                <w:sz w:val="26"/>
                <w:szCs w:val="26"/>
              </w:rPr>
            </w:pPr>
            <w:r w:rsidRPr="001F51C3">
              <w:rPr>
                <w:color w:val="000000"/>
                <w:sz w:val="26"/>
                <w:szCs w:val="26"/>
              </w:rPr>
              <w:t xml:space="preserve">Eiropas Parlamenta un Padomes Regula Nr. 1379/2013 </w:t>
            </w:r>
          </w:p>
        </w:tc>
        <w:tc>
          <w:tcPr>
            <w:tcW w:w="2443" w:type="dxa"/>
            <w:tcBorders>
              <w:top w:val="single" w:sz="4" w:space="0" w:color="auto"/>
              <w:left w:val="single" w:sz="4" w:space="0" w:color="auto"/>
              <w:bottom w:val="single" w:sz="4" w:space="0" w:color="auto"/>
              <w:right w:val="single" w:sz="4" w:space="0" w:color="auto"/>
            </w:tcBorders>
          </w:tcPr>
          <w:p w14:paraId="59C813EE" w14:textId="555FC25E" w:rsidR="00324488" w:rsidRPr="001F51C3" w:rsidRDefault="00586309" w:rsidP="00457D7E">
            <w:pPr>
              <w:rPr>
                <w:iCs/>
                <w:color w:val="000000"/>
                <w:sz w:val="26"/>
                <w:szCs w:val="26"/>
                <w:lang w:eastAsia="en-US"/>
              </w:rPr>
            </w:pPr>
            <w:r w:rsidRPr="001F51C3">
              <w:rPr>
                <w:iCs/>
                <w:color w:val="000000"/>
                <w:sz w:val="26"/>
                <w:szCs w:val="26"/>
                <w:lang w:eastAsia="en-US"/>
              </w:rPr>
              <w:t xml:space="preserve">Noteikumu projekta </w:t>
            </w:r>
            <w:r w:rsidR="00457D7E" w:rsidRPr="001F51C3">
              <w:rPr>
                <w:iCs/>
                <w:color w:val="000000"/>
                <w:sz w:val="26"/>
                <w:szCs w:val="26"/>
                <w:lang w:eastAsia="en-US"/>
              </w:rPr>
              <w:t>23.</w:t>
            </w:r>
            <w:r w:rsidR="00324488" w:rsidRPr="001F51C3">
              <w:rPr>
                <w:iCs/>
                <w:color w:val="000000"/>
                <w:sz w:val="26"/>
                <w:szCs w:val="26"/>
                <w:lang w:eastAsia="en-US"/>
              </w:rPr>
              <w:t>punkts</w:t>
            </w:r>
          </w:p>
        </w:tc>
        <w:tc>
          <w:tcPr>
            <w:tcW w:w="2443" w:type="dxa"/>
            <w:tcBorders>
              <w:top w:val="single" w:sz="4" w:space="0" w:color="auto"/>
              <w:left w:val="single" w:sz="4" w:space="0" w:color="auto"/>
              <w:bottom w:val="single" w:sz="4" w:space="0" w:color="auto"/>
              <w:right w:val="single" w:sz="4" w:space="0" w:color="auto"/>
            </w:tcBorders>
          </w:tcPr>
          <w:p w14:paraId="7CADB070" w14:textId="77777777" w:rsidR="00324488" w:rsidRPr="001F51C3" w:rsidRDefault="00324488" w:rsidP="00324488">
            <w:pPr>
              <w:rPr>
                <w:iCs/>
                <w:color w:val="000000"/>
                <w:sz w:val="26"/>
                <w:szCs w:val="26"/>
              </w:rPr>
            </w:pPr>
            <w:r w:rsidRPr="001F51C3">
              <w:rPr>
                <w:iCs/>
                <w:color w:val="000000"/>
                <w:sz w:val="26"/>
                <w:szCs w:val="26"/>
              </w:rPr>
              <w:t>Vienība tiek ieviestas pilnībā.</w:t>
            </w:r>
          </w:p>
          <w:p w14:paraId="6BB16CDF" w14:textId="4D8E8B01" w:rsidR="00324488" w:rsidRPr="001F51C3" w:rsidRDefault="00324488" w:rsidP="00324488">
            <w:pPr>
              <w:rPr>
                <w:iCs/>
                <w:color w:val="000000"/>
                <w:sz w:val="26"/>
                <w:szCs w:val="26"/>
              </w:rPr>
            </w:pPr>
            <w:r w:rsidRPr="001F51C3">
              <w:rPr>
                <w:iCs/>
                <w:color w:val="000000"/>
                <w:sz w:val="26"/>
                <w:szCs w:val="26"/>
              </w:rPr>
              <w:t xml:space="preserve">(Vispārēja atsauce uz regulu, ka atbalsts tiek sniegts zvejniecības un akvakultūras nozarē) </w:t>
            </w:r>
          </w:p>
        </w:tc>
        <w:tc>
          <w:tcPr>
            <w:tcW w:w="2443" w:type="dxa"/>
            <w:tcBorders>
              <w:top w:val="single" w:sz="4" w:space="0" w:color="auto"/>
              <w:left w:val="single" w:sz="4" w:space="0" w:color="auto"/>
              <w:bottom w:val="single" w:sz="4" w:space="0" w:color="auto"/>
              <w:right w:val="single" w:sz="4" w:space="0" w:color="auto"/>
            </w:tcBorders>
          </w:tcPr>
          <w:p w14:paraId="10AA97EF" w14:textId="5058F0A4" w:rsidR="00324488" w:rsidRPr="001F51C3" w:rsidRDefault="00324488" w:rsidP="00324488">
            <w:pPr>
              <w:rPr>
                <w:iCs/>
                <w:color w:val="000000"/>
                <w:sz w:val="26"/>
                <w:szCs w:val="26"/>
              </w:rPr>
            </w:pPr>
            <w:r w:rsidRPr="001F51C3">
              <w:rPr>
                <w:iCs/>
                <w:color w:val="000000"/>
                <w:sz w:val="26"/>
                <w:szCs w:val="26"/>
              </w:rPr>
              <w:t>Netiek paredzētas stingrākas prasības.</w:t>
            </w:r>
          </w:p>
        </w:tc>
      </w:tr>
      <w:tr w:rsidR="006A34FF" w:rsidRPr="001F51C3" w14:paraId="6CD48AB4" w14:textId="77777777" w:rsidTr="00324488">
        <w:tc>
          <w:tcPr>
            <w:tcW w:w="2442" w:type="dxa"/>
            <w:tcBorders>
              <w:top w:val="single" w:sz="4" w:space="0" w:color="auto"/>
              <w:left w:val="single" w:sz="4" w:space="0" w:color="auto"/>
              <w:bottom w:val="single" w:sz="4" w:space="0" w:color="auto"/>
              <w:right w:val="single" w:sz="4" w:space="0" w:color="auto"/>
            </w:tcBorders>
            <w:hideMark/>
          </w:tcPr>
          <w:p w14:paraId="17409C69" w14:textId="03D72002" w:rsidR="006A34FF" w:rsidRPr="001F51C3" w:rsidRDefault="006A34FF" w:rsidP="00095C9A">
            <w:pPr>
              <w:rPr>
                <w:color w:val="000000"/>
                <w:sz w:val="26"/>
                <w:szCs w:val="26"/>
              </w:rPr>
            </w:pPr>
            <w:r w:rsidRPr="001F51C3">
              <w:rPr>
                <w:color w:val="000000"/>
                <w:sz w:val="26"/>
                <w:szCs w:val="26"/>
              </w:rPr>
              <w:t xml:space="preserve">Regula Nr.1407/2013 </w:t>
            </w:r>
            <w:r w:rsidR="00A42C02" w:rsidRPr="001F51C3">
              <w:rPr>
                <w:color w:val="000000"/>
                <w:sz w:val="26"/>
                <w:szCs w:val="26"/>
              </w:rPr>
              <w:t>1.panta 1.punkts</w:t>
            </w:r>
          </w:p>
        </w:tc>
        <w:tc>
          <w:tcPr>
            <w:tcW w:w="2443" w:type="dxa"/>
            <w:tcBorders>
              <w:top w:val="single" w:sz="4" w:space="0" w:color="auto"/>
              <w:left w:val="single" w:sz="4" w:space="0" w:color="auto"/>
              <w:bottom w:val="single" w:sz="4" w:space="0" w:color="auto"/>
              <w:right w:val="single" w:sz="4" w:space="0" w:color="auto"/>
            </w:tcBorders>
            <w:hideMark/>
          </w:tcPr>
          <w:p w14:paraId="24BD30F8" w14:textId="6F2EDA6E" w:rsidR="006A34FF" w:rsidRPr="001F51C3" w:rsidRDefault="006A34FF" w:rsidP="00896DCF">
            <w:pPr>
              <w:rPr>
                <w:iCs/>
                <w:color w:val="000000"/>
                <w:sz w:val="26"/>
                <w:szCs w:val="26"/>
                <w:lang w:eastAsia="en-US"/>
              </w:rPr>
            </w:pPr>
            <w:r w:rsidRPr="001F51C3">
              <w:rPr>
                <w:iCs/>
                <w:color w:val="000000"/>
                <w:sz w:val="26"/>
                <w:szCs w:val="26"/>
                <w:lang w:eastAsia="en-US"/>
              </w:rPr>
              <w:t xml:space="preserve">Noteikumu projekta </w:t>
            </w:r>
            <w:r w:rsidR="0021182F" w:rsidRPr="001F51C3">
              <w:rPr>
                <w:iCs/>
                <w:color w:val="000000"/>
                <w:sz w:val="26"/>
                <w:szCs w:val="26"/>
                <w:lang w:eastAsia="en-US"/>
              </w:rPr>
              <w:t>2</w:t>
            </w:r>
            <w:r w:rsidR="00457D7E" w:rsidRPr="001F51C3">
              <w:rPr>
                <w:iCs/>
                <w:color w:val="000000"/>
                <w:sz w:val="26"/>
                <w:szCs w:val="26"/>
                <w:lang w:eastAsia="en-US"/>
              </w:rPr>
              <w:t>4</w:t>
            </w:r>
            <w:r w:rsidR="0021182F" w:rsidRPr="001F51C3">
              <w:rPr>
                <w:iCs/>
                <w:color w:val="000000"/>
                <w:sz w:val="26"/>
                <w:szCs w:val="26"/>
                <w:lang w:eastAsia="en-US"/>
              </w:rPr>
              <w:t>.</w:t>
            </w:r>
            <w:r w:rsidR="00A42C02" w:rsidRPr="001F51C3">
              <w:rPr>
                <w:iCs/>
                <w:color w:val="000000"/>
                <w:sz w:val="26"/>
                <w:szCs w:val="26"/>
                <w:lang w:eastAsia="en-US"/>
              </w:rPr>
              <w:t>1.apakš</w:t>
            </w:r>
            <w:r w:rsidRPr="001F51C3">
              <w:rPr>
                <w:iCs/>
                <w:color w:val="000000"/>
                <w:sz w:val="26"/>
                <w:szCs w:val="26"/>
                <w:lang w:eastAsia="en-US"/>
              </w:rPr>
              <w:t>punkts</w:t>
            </w:r>
          </w:p>
        </w:tc>
        <w:tc>
          <w:tcPr>
            <w:tcW w:w="2443" w:type="dxa"/>
            <w:tcBorders>
              <w:top w:val="single" w:sz="4" w:space="0" w:color="auto"/>
              <w:left w:val="single" w:sz="4" w:space="0" w:color="auto"/>
              <w:bottom w:val="single" w:sz="4" w:space="0" w:color="auto"/>
              <w:right w:val="single" w:sz="4" w:space="0" w:color="auto"/>
            </w:tcBorders>
            <w:hideMark/>
          </w:tcPr>
          <w:p w14:paraId="090C539B" w14:textId="37FA52EC" w:rsidR="006A34FF" w:rsidRPr="001F51C3" w:rsidRDefault="006A34FF" w:rsidP="00C01988">
            <w:pPr>
              <w:rPr>
                <w:iCs/>
                <w:color w:val="000000"/>
                <w:sz w:val="26"/>
                <w:szCs w:val="26"/>
                <w:lang w:eastAsia="en-US"/>
              </w:rPr>
            </w:pPr>
            <w:r w:rsidRPr="001F51C3">
              <w:rPr>
                <w:iCs/>
                <w:color w:val="000000"/>
                <w:sz w:val="26"/>
                <w:szCs w:val="26"/>
              </w:rPr>
              <w:t xml:space="preserve">Vienība tiek ieviestas pilnībā. </w:t>
            </w:r>
          </w:p>
        </w:tc>
        <w:tc>
          <w:tcPr>
            <w:tcW w:w="2443" w:type="dxa"/>
            <w:tcBorders>
              <w:top w:val="single" w:sz="4" w:space="0" w:color="auto"/>
              <w:left w:val="single" w:sz="4" w:space="0" w:color="auto"/>
              <w:bottom w:val="single" w:sz="4" w:space="0" w:color="auto"/>
              <w:right w:val="single" w:sz="4" w:space="0" w:color="auto"/>
            </w:tcBorders>
            <w:hideMark/>
          </w:tcPr>
          <w:p w14:paraId="38F0114D" w14:textId="77777777" w:rsidR="006A34FF" w:rsidRPr="001F51C3" w:rsidRDefault="006A34FF" w:rsidP="00C01988">
            <w:pPr>
              <w:rPr>
                <w:iCs/>
                <w:color w:val="000000"/>
                <w:sz w:val="26"/>
                <w:szCs w:val="26"/>
              </w:rPr>
            </w:pPr>
            <w:r w:rsidRPr="001F51C3">
              <w:rPr>
                <w:iCs/>
                <w:color w:val="000000"/>
                <w:sz w:val="26"/>
                <w:szCs w:val="26"/>
              </w:rPr>
              <w:t>Netiek paredzētas stingrākas prasības.</w:t>
            </w:r>
          </w:p>
        </w:tc>
      </w:tr>
      <w:tr w:rsidR="00A42C02" w:rsidRPr="001F51C3" w14:paraId="1CF339CB" w14:textId="77777777" w:rsidTr="00324488">
        <w:tc>
          <w:tcPr>
            <w:tcW w:w="2442" w:type="dxa"/>
            <w:tcBorders>
              <w:top w:val="single" w:sz="4" w:space="0" w:color="auto"/>
              <w:left w:val="single" w:sz="4" w:space="0" w:color="auto"/>
              <w:bottom w:val="single" w:sz="4" w:space="0" w:color="auto"/>
              <w:right w:val="single" w:sz="4" w:space="0" w:color="auto"/>
            </w:tcBorders>
          </w:tcPr>
          <w:p w14:paraId="1E0C9DEE" w14:textId="3778D50F" w:rsidR="00A42C02" w:rsidRPr="001F51C3" w:rsidRDefault="00A42C02" w:rsidP="00A42C02">
            <w:pPr>
              <w:rPr>
                <w:color w:val="000000"/>
                <w:sz w:val="26"/>
                <w:szCs w:val="26"/>
              </w:rPr>
            </w:pPr>
            <w:r w:rsidRPr="001F51C3">
              <w:rPr>
                <w:color w:val="000000"/>
                <w:sz w:val="26"/>
                <w:szCs w:val="26"/>
              </w:rPr>
              <w:t xml:space="preserve">Regula </w:t>
            </w:r>
            <w:r w:rsidR="006D2868" w:rsidRPr="001F51C3">
              <w:rPr>
                <w:color w:val="000000"/>
                <w:sz w:val="26"/>
                <w:szCs w:val="26"/>
              </w:rPr>
              <w:t xml:space="preserve">Nr. </w:t>
            </w:r>
            <w:r w:rsidRPr="001F51C3">
              <w:rPr>
                <w:color w:val="000000"/>
                <w:sz w:val="26"/>
                <w:szCs w:val="26"/>
              </w:rPr>
              <w:t>717/2014 1.panta 1.punkts</w:t>
            </w:r>
          </w:p>
        </w:tc>
        <w:tc>
          <w:tcPr>
            <w:tcW w:w="2443" w:type="dxa"/>
            <w:tcBorders>
              <w:top w:val="single" w:sz="4" w:space="0" w:color="auto"/>
              <w:left w:val="single" w:sz="4" w:space="0" w:color="auto"/>
              <w:bottom w:val="single" w:sz="4" w:space="0" w:color="auto"/>
              <w:right w:val="single" w:sz="4" w:space="0" w:color="auto"/>
            </w:tcBorders>
          </w:tcPr>
          <w:p w14:paraId="651385C5" w14:textId="59E4615B" w:rsidR="00A42C02" w:rsidRPr="001F51C3" w:rsidRDefault="00896DCF" w:rsidP="00C01988">
            <w:pPr>
              <w:rPr>
                <w:iCs/>
                <w:color w:val="000000"/>
                <w:sz w:val="26"/>
                <w:szCs w:val="26"/>
                <w:lang w:eastAsia="en-US"/>
              </w:rPr>
            </w:pPr>
            <w:r w:rsidRPr="001F51C3">
              <w:rPr>
                <w:iCs/>
                <w:color w:val="000000"/>
                <w:sz w:val="26"/>
                <w:szCs w:val="26"/>
                <w:lang w:eastAsia="en-US"/>
              </w:rPr>
              <w:t xml:space="preserve">Noteikumu projekta </w:t>
            </w:r>
            <w:r w:rsidR="00457D7E" w:rsidRPr="001F51C3">
              <w:rPr>
                <w:iCs/>
                <w:color w:val="000000"/>
                <w:sz w:val="26"/>
                <w:szCs w:val="26"/>
                <w:lang w:eastAsia="en-US"/>
              </w:rPr>
              <w:t>24</w:t>
            </w:r>
            <w:r w:rsidR="00A42C02" w:rsidRPr="001F51C3">
              <w:rPr>
                <w:iCs/>
                <w:color w:val="000000"/>
                <w:sz w:val="26"/>
                <w:szCs w:val="26"/>
                <w:lang w:eastAsia="en-US"/>
              </w:rPr>
              <w:t>.1.apakšpunkts</w:t>
            </w:r>
          </w:p>
        </w:tc>
        <w:tc>
          <w:tcPr>
            <w:tcW w:w="2443" w:type="dxa"/>
            <w:tcBorders>
              <w:top w:val="single" w:sz="4" w:space="0" w:color="auto"/>
              <w:left w:val="single" w:sz="4" w:space="0" w:color="auto"/>
              <w:bottom w:val="single" w:sz="4" w:space="0" w:color="auto"/>
              <w:right w:val="single" w:sz="4" w:space="0" w:color="auto"/>
            </w:tcBorders>
          </w:tcPr>
          <w:p w14:paraId="38FFB1A4" w14:textId="5C3924C2" w:rsidR="00A42C02" w:rsidRPr="001F51C3" w:rsidRDefault="00095C9A" w:rsidP="00C01988">
            <w:pPr>
              <w:rPr>
                <w:iCs/>
                <w:color w:val="000000"/>
                <w:sz w:val="26"/>
                <w:szCs w:val="26"/>
              </w:rPr>
            </w:pPr>
            <w:r w:rsidRPr="001F51C3">
              <w:rPr>
                <w:iCs/>
                <w:color w:val="000000"/>
                <w:sz w:val="26"/>
                <w:szCs w:val="26"/>
              </w:rPr>
              <w:t>Vienība</w:t>
            </w:r>
            <w:r w:rsidR="00A42C02" w:rsidRPr="001F51C3">
              <w:rPr>
                <w:iCs/>
                <w:color w:val="000000"/>
                <w:sz w:val="26"/>
                <w:szCs w:val="26"/>
              </w:rPr>
              <w:t xml:space="preserve"> tiek ieviestas pilnībā. </w:t>
            </w:r>
          </w:p>
        </w:tc>
        <w:tc>
          <w:tcPr>
            <w:tcW w:w="2443" w:type="dxa"/>
            <w:tcBorders>
              <w:top w:val="single" w:sz="4" w:space="0" w:color="auto"/>
              <w:left w:val="single" w:sz="4" w:space="0" w:color="auto"/>
              <w:bottom w:val="single" w:sz="4" w:space="0" w:color="auto"/>
              <w:right w:val="single" w:sz="4" w:space="0" w:color="auto"/>
            </w:tcBorders>
          </w:tcPr>
          <w:p w14:paraId="444EC548" w14:textId="69FE547F" w:rsidR="00A42C02" w:rsidRPr="001F51C3" w:rsidRDefault="00A42C02" w:rsidP="00C01988">
            <w:pPr>
              <w:rPr>
                <w:iCs/>
                <w:color w:val="000000"/>
                <w:sz w:val="26"/>
                <w:szCs w:val="26"/>
              </w:rPr>
            </w:pPr>
            <w:r w:rsidRPr="001F51C3">
              <w:rPr>
                <w:iCs/>
                <w:color w:val="000000"/>
                <w:sz w:val="26"/>
                <w:szCs w:val="26"/>
              </w:rPr>
              <w:t>Netiek paredzētas stingrākas prasības.</w:t>
            </w:r>
          </w:p>
        </w:tc>
      </w:tr>
      <w:tr w:rsidR="006D2868" w:rsidRPr="001F51C3" w14:paraId="637373F5" w14:textId="77777777" w:rsidTr="00324488">
        <w:tc>
          <w:tcPr>
            <w:tcW w:w="2442" w:type="dxa"/>
            <w:tcBorders>
              <w:top w:val="single" w:sz="4" w:space="0" w:color="auto"/>
              <w:left w:val="single" w:sz="4" w:space="0" w:color="auto"/>
              <w:bottom w:val="single" w:sz="4" w:space="0" w:color="auto"/>
              <w:right w:val="single" w:sz="4" w:space="0" w:color="auto"/>
            </w:tcBorders>
          </w:tcPr>
          <w:p w14:paraId="32E96C56" w14:textId="5C5AA885" w:rsidR="006D2868" w:rsidRPr="001F51C3" w:rsidRDefault="006D2868" w:rsidP="006D2868">
            <w:pPr>
              <w:rPr>
                <w:color w:val="000000"/>
                <w:sz w:val="26"/>
                <w:szCs w:val="26"/>
              </w:rPr>
            </w:pPr>
            <w:r w:rsidRPr="001F51C3">
              <w:rPr>
                <w:color w:val="000000"/>
                <w:sz w:val="26"/>
                <w:szCs w:val="26"/>
              </w:rPr>
              <w:t>Regula Nr.1408/2013 1.panta 1.punkts</w:t>
            </w:r>
          </w:p>
        </w:tc>
        <w:tc>
          <w:tcPr>
            <w:tcW w:w="2443" w:type="dxa"/>
            <w:tcBorders>
              <w:top w:val="single" w:sz="4" w:space="0" w:color="auto"/>
              <w:left w:val="single" w:sz="4" w:space="0" w:color="auto"/>
              <w:bottom w:val="single" w:sz="4" w:space="0" w:color="auto"/>
              <w:right w:val="single" w:sz="4" w:space="0" w:color="auto"/>
            </w:tcBorders>
          </w:tcPr>
          <w:p w14:paraId="3FEDDC9C" w14:textId="7453D97F" w:rsidR="006D2868" w:rsidRPr="001F51C3" w:rsidRDefault="00896DCF" w:rsidP="00C01988">
            <w:pPr>
              <w:rPr>
                <w:iCs/>
                <w:color w:val="000000"/>
                <w:sz w:val="26"/>
                <w:szCs w:val="26"/>
                <w:lang w:eastAsia="en-US"/>
              </w:rPr>
            </w:pPr>
            <w:r w:rsidRPr="001F51C3">
              <w:rPr>
                <w:iCs/>
                <w:color w:val="000000"/>
                <w:sz w:val="26"/>
                <w:szCs w:val="26"/>
                <w:lang w:eastAsia="en-US"/>
              </w:rPr>
              <w:t xml:space="preserve">Noteikumu projekta </w:t>
            </w:r>
            <w:r w:rsidR="00457D7E" w:rsidRPr="001F51C3">
              <w:rPr>
                <w:iCs/>
                <w:color w:val="000000"/>
                <w:sz w:val="26"/>
                <w:szCs w:val="26"/>
                <w:lang w:eastAsia="en-US"/>
              </w:rPr>
              <w:t>24</w:t>
            </w:r>
            <w:r w:rsidR="006D2868" w:rsidRPr="001F51C3">
              <w:rPr>
                <w:iCs/>
                <w:color w:val="000000"/>
                <w:sz w:val="26"/>
                <w:szCs w:val="26"/>
                <w:lang w:eastAsia="en-US"/>
              </w:rPr>
              <w:t>.1.apakšpunkts</w:t>
            </w:r>
          </w:p>
        </w:tc>
        <w:tc>
          <w:tcPr>
            <w:tcW w:w="2443" w:type="dxa"/>
            <w:tcBorders>
              <w:top w:val="single" w:sz="4" w:space="0" w:color="auto"/>
              <w:left w:val="single" w:sz="4" w:space="0" w:color="auto"/>
              <w:bottom w:val="single" w:sz="4" w:space="0" w:color="auto"/>
              <w:right w:val="single" w:sz="4" w:space="0" w:color="auto"/>
            </w:tcBorders>
          </w:tcPr>
          <w:p w14:paraId="23351D72" w14:textId="270C3241" w:rsidR="006D2868" w:rsidRPr="001F51C3" w:rsidRDefault="00095C9A" w:rsidP="00C01988">
            <w:pPr>
              <w:rPr>
                <w:iCs/>
                <w:color w:val="000000"/>
                <w:sz w:val="26"/>
                <w:szCs w:val="26"/>
              </w:rPr>
            </w:pPr>
            <w:r w:rsidRPr="001F51C3">
              <w:rPr>
                <w:iCs/>
                <w:color w:val="000000"/>
                <w:sz w:val="26"/>
                <w:szCs w:val="26"/>
              </w:rPr>
              <w:t>Vienība</w:t>
            </w:r>
            <w:r w:rsidR="006D2868" w:rsidRPr="001F51C3">
              <w:rPr>
                <w:iCs/>
                <w:color w:val="000000"/>
                <w:sz w:val="26"/>
                <w:szCs w:val="26"/>
              </w:rPr>
              <w:t xml:space="preserve"> tiek ieviestas pilnībā. </w:t>
            </w:r>
          </w:p>
        </w:tc>
        <w:tc>
          <w:tcPr>
            <w:tcW w:w="2443" w:type="dxa"/>
            <w:tcBorders>
              <w:top w:val="single" w:sz="4" w:space="0" w:color="auto"/>
              <w:left w:val="single" w:sz="4" w:space="0" w:color="auto"/>
              <w:bottom w:val="single" w:sz="4" w:space="0" w:color="auto"/>
              <w:right w:val="single" w:sz="4" w:space="0" w:color="auto"/>
            </w:tcBorders>
          </w:tcPr>
          <w:p w14:paraId="47B770E9" w14:textId="361730F1" w:rsidR="006D2868" w:rsidRPr="001F51C3" w:rsidRDefault="006D2868" w:rsidP="00C01988">
            <w:pPr>
              <w:rPr>
                <w:iCs/>
                <w:color w:val="000000"/>
                <w:sz w:val="26"/>
                <w:szCs w:val="26"/>
              </w:rPr>
            </w:pPr>
            <w:r w:rsidRPr="001F51C3">
              <w:rPr>
                <w:iCs/>
                <w:color w:val="000000"/>
                <w:sz w:val="26"/>
                <w:szCs w:val="26"/>
              </w:rPr>
              <w:t>Netiek paredzētas stingrākas prasības.</w:t>
            </w:r>
          </w:p>
        </w:tc>
      </w:tr>
      <w:tr w:rsidR="006A34FF" w:rsidRPr="001F51C3" w14:paraId="38418D42" w14:textId="77777777" w:rsidTr="00324488">
        <w:tc>
          <w:tcPr>
            <w:tcW w:w="2442" w:type="dxa"/>
            <w:tcBorders>
              <w:top w:val="single" w:sz="4" w:space="0" w:color="auto"/>
              <w:left w:val="single" w:sz="4" w:space="0" w:color="auto"/>
              <w:bottom w:val="single" w:sz="4" w:space="0" w:color="auto"/>
              <w:right w:val="single" w:sz="4" w:space="0" w:color="auto"/>
            </w:tcBorders>
          </w:tcPr>
          <w:p w14:paraId="3767AA50" w14:textId="6C2FE0FC" w:rsidR="006A34FF" w:rsidRPr="001F51C3" w:rsidRDefault="006A34FF" w:rsidP="00095C9A">
            <w:pPr>
              <w:rPr>
                <w:color w:val="000000"/>
                <w:sz w:val="26"/>
                <w:szCs w:val="26"/>
              </w:rPr>
            </w:pPr>
            <w:r w:rsidRPr="001F51C3">
              <w:rPr>
                <w:color w:val="000000"/>
                <w:sz w:val="26"/>
                <w:szCs w:val="26"/>
              </w:rPr>
              <w:t xml:space="preserve">Regula Nr.1407/2013 </w:t>
            </w:r>
            <w:r w:rsidR="006D2868" w:rsidRPr="001F51C3">
              <w:rPr>
                <w:color w:val="000000"/>
                <w:sz w:val="26"/>
                <w:szCs w:val="26"/>
              </w:rPr>
              <w:t xml:space="preserve">3.panta 2.punkts; </w:t>
            </w:r>
            <w:r w:rsidR="00C01988" w:rsidRPr="001F51C3">
              <w:rPr>
                <w:color w:val="000000"/>
                <w:sz w:val="26"/>
                <w:szCs w:val="26"/>
              </w:rPr>
              <w:t>2.panta 2.punkts</w:t>
            </w:r>
          </w:p>
        </w:tc>
        <w:tc>
          <w:tcPr>
            <w:tcW w:w="2443" w:type="dxa"/>
            <w:tcBorders>
              <w:top w:val="single" w:sz="4" w:space="0" w:color="auto"/>
              <w:left w:val="single" w:sz="4" w:space="0" w:color="auto"/>
              <w:bottom w:val="single" w:sz="4" w:space="0" w:color="auto"/>
              <w:right w:val="single" w:sz="4" w:space="0" w:color="auto"/>
            </w:tcBorders>
          </w:tcPr>
          <w:p w14:paraId="1EFD91EF" w14:textId="57FA86C0" w:rsidR="006A34FF" w:rsidRPr="001F51C3" w:rsidRDefault="006A34FF" w:rsidP="00C01988">
            <w:pPr>
              <w:rPr>
                <w:iCs/>
                <w:color w:val="000000"/>
                <w:sz w:val="26"/>
                <w:szCs w:val="26"/>
                <w:lang w:eastAsia="en-US"/>
              </w:rPr>
            </w:pPr>
            <w:r w:rsidRPr="001F51C3">
              <w:rPr>
                <w:iCs/>
                <w:color w:val="000000"/>
                <w:sz w:val="26"/>
                <w:szCs w:val="26"/>
                <w:lang w:eastAsia="en-US"/>
              </w:rPr>
              <w:t>Noteikumu projekta 2</w:t>
            </w:r>
            <w:r w:rsidR="00457D7E" w:rsidRPr="001F51C3">
              <w:rPr>
                <w:iCs/>
                <w:color w:val="000000"/>
                <w:sz w:val="26"/>
                <w:szCs w:val="26"/>
                <w:lang w:eastAsia="en-US"/>
              </w:rPr>
              <w:t>4</w:t>
            </w:r>
            <w:r w:rsidRPr="001F51C3">
              <w:rPr>
                <w:iCs/>
                <w:color w:val="000000"/>
                <w:sz w:val="26"/>
                <w:szCs w:val="26"/>
                <w:lang w:eastAsia="en-US"/>
              </w:rPr>
              <w:t>.</w:t>
            </w:r>
            <w:r w:rsidR="006D2868" w:rsidRPr="001F51C3">
              <w:rPr>
                <w:iCs/>
                <w:color w:val="000000"/>
                <w:sz w:val="26"/>
                <w:szCs w:val="26"/>
                <w:lang w:eastAsia="en-US"/>
              </w:rPr>
              <w:t>2</w:t>
            </w:r>
            <w:r w:rsidRPr="001F51C3">
              <w:rPr>
                <w:iCs/>
                <w:color w:val="000000"/>
                <w:sz w:val="26"/>
                <w:szCs w:val="26"/>
                <w:lang w:eastAsia="en-US"/>
              </w:rPr>
              <w:t>.apakšpunkts</w:t>
            </w:r>
          </w:p>
        </w:tc>
        <w:tc>
          <w:tcPr>
            <w:tcW w:w="2443" w:type="dxa"/>
            <w:tcBorders>
              <w:top w:val="single" w:sz="4" w:space="0" w:color="auto"/>
              <w:left w:val="single" w:sz="4" w:space="0" w:color="auto"/>
              <w:bottom w:val="single" w:sz="4" w:space="0" w:color="auto"/>
              <w:right w:val="single" w:sz="4" w:space="0" w:color="auto"/>
            </w:tcBorders>
          </w:tcPr>
          <w:p w14:paraId="00D4539F" w14:textId="59B26F55" w:rsidR="006A34FF" w:rsidRPr="001F51C3" w:rsidRDefault="006A34FF" w:rsidP="00C01988">
            <w:pPr>
              <w:rPr>
                <w:iCs/>
                <w:color w:val="000000"/>
                <w:sz w:val="26"/>
                <w:szCs w:val="26"/>
                <w:lang w:eastAsia="en-US"/>
              </w:rPr>
            </w:pPr>
            <w:r w:rsidRPr="001F51C3">
              <w:rPr>
                <w:iCs/>
                <w:color w:val="000000"/>
                <w:sz w:val="26"/>
                <w:szCs w:val="26"/>
              </w:rPr>
              <w:t>Vienība tiek ieviestas pilnībā.</w:t>
            </w:r>
          </w:p>
        </w:tc>
        <w:tc>
          <w:tcPr>
            <w:tcW w:w="2443" w:type="dxa"/>
            <w:tcBorders>
              <w:top w:val="single" w:sz="4" w:space="0" w:color="auto"/>
              <w:left w:val="single" w:sz="4" w:space="0" w:color="auto"/>
              <w:bottom w:val="single" w:sz="4" w:space="0" w:color="auto"/>
              <w:right w:val="single" w:sz="4" w:space="0" w:color="auto"/>
            </w:tcBorders>
          </w:tcPr>
          <w:p w14:paraId="6C98AD69" w14:textId="77777777" w:rsidR="006A34FF" w:rsidRPr="001F51C3" w:rsidRDefault="006A34FF" w:rsidP="00C01988">
            <w:pPr>
              <w:rPr>
                <w:iCs/>
                <w:color w:val="000000"/>
                <w:sz w:val="26"/>
                <w:szCs w:val="26"/>
              </w:rPr>
            </w:pPr>
            <w:r w:rsidRPr="001F51C3">
              <w:rPr>
                <w:iCs/>
                <w:color w:val="000000"/>
                <w:sz w:val="26"/>
                <w:szCs w:val="26"/>
              </w:rPr>
              <w:t>Netiek paredzētas stingrākas prasības.</w:t>
            </w:r>
          </w:p>
        </w:tc>
      </w:tr>
      <w:tr w:rsidR="006A34FF" w:rsidRPr="001F51C3" w14:paraId="2F7CC0B3" w14:textId="77777777" w:rsidTr="00324488">
        <w:tc>
          <w:tcPr>
            <w:tcW w:w="2442" w:type="dxa"/>
            <w:tcBorders>
              <w:top w:val="single" w:sz="4" w:space="0" w:color="auto"/>
              <w:left w:val="single" w:sz="4" w:space="0" w:color="auto"/>
              <w:bottom w:val="single" w:sz="4" w:space="0" w:color="auto"/>
              <w:right w:val="single" w:sz="4" w:space="0" w:color="auto"/>
            </w:tcBorders>
          </w:tcPr>
          <w:p w14:paraId="45D4E296" w14:textId="4118F5BD" w:rsidR="006A34FF" w:rsidRPr="001F51C3" w:rsidRDefault="006D2868" w:rsidP="006D2868">
            <w:pPr>
              <w:rPr>
                <w:color w:val="000000"/>
                <w:sz w:val="26"/>
                <w:szCs w:val="26"/>
              </w:rPr>
            </w:pPr>
            <w:r w:rsidRPr="001F51C3">
              <w:rPr>
                <w:color w:val="000000"/>
                <w:sz w:val="26"/>
                <w:szCs w:val="26"/>
              </w:rPr>
              <w:t>Regula Nr. 717/2014 3.panta 2.punkts; 2.panta 2.punkts</w:t>
            </w:r>
          </w:p>
        </w:tc>
        <w:tc>
          <w:tcPr>
            <w:tcW w:w="2443" w:type="dxa"/>
            <w:tcBorders>
              <w:top w:val="single" w:sz="4" w:space="0" w:color="auto"/>
              <w:left w:val="single" w:sz="4" w:space="0" w:color="auto"/>
              <w:bottom w:val="single" w:sz="4" w:space="0" w:color="auto"/>
              <w:right w:val="single" w:sz="4" w:space="0" w:color="auto"/>
            </w:tcBorders>
          </w:tcPr>
          <w:p w14:paraId="13056485" w14:textId="2DC49A41" w:rsidR="006A34FF" w:rsidRPr="001F51C3" w:rsidRDefault="006A34FF" w:rsidP="00C01988">
            <w:pPr>
              <w:rPr>
                <w:iCs/>
                <w:color w:val="000000"/>
                <w:sz w:val="26"/>
                <w:szCs w:val="26"/>
                <w:lang w:eastAsia="en-US"/>
              </w:rPr>
            </w:pPr>
            <w:r w:rsidRPr="001F51C3">
              <w:rPr>
                <w:iCs/>
                <w:color w:val="000000"/>
                <w:sz w:val="26"/>
                <w:szCs w:val="26"/>
                <w:lang w:eastAsia="en-US"/>
              </w:rPr>
              <w:t>Noteikumu projekta 2</w:t>
            </w:r>
            <w:r w:rsidR="00457D7E" w:rsidRPr="001F51C3">
              <w:rPr>
                <w:iCs/>
                <w:color w:val="000000"/>
                <w:sz w:val="26"/>
                <w:szCs w:val="26"/>
                <w:lang w:eastAsia="en-US"/>
              </w:rPr>
              <w:t>4</w:t>
            </w:r>
            <w:r w:rsidRPr="001F51C3">
              <w:rPr>
                <w:iCs/>
                <w:color w:val="000000"/>
                <w:sz w:val="26"/>
                <w:szCs w:val="26"/>
                <w:lang w:eastAsia="en-US"/>
              </w:rPr>
              <w:t>.</w:t>
            </w:r>
            <w:r w:rsidR="006D2868" w:rsidRPr="001F51C3">
              <w:rPr>
                <w:iCs/>
                <w:color w:val="000000"/>
                <w:sz w:val="26"/>
                <w:szCs w:val="26"/>
                <w:lang w:eastAsia="en-US"/>
              </w:rPr>
              <w:t>2</w:t>
            </w:r>
            <w:r w:rsidRPr="001F51C3">
              <w:rPr>
                <w:iCs/>
                <w:color w:val="000000"/>
                <w:sz w:val="26"/>
                <w:szCs w:val="26"/>
                <w:lang w:eastAsia="en-US"/>
              </w:rPr>
              <w:t>.apakšpunkts</w:t>
            </w:r>
          </w:p>
        </w:tc>
        <w:tc>
          <w:tcPr>
            <w:tcW w:w="2443" w:type="dxa"/>
            <w:tcBorders>
              <w:top w:val="single" w:sz="4" w:space="0" w:color="auto"/>
              <w:left w:val="single" w:sz="4" w:space="0" w:color="auto"/>
              <w:bottom w:val="single" w:sz="4" w:space="0" w:color="auto"/>
              <w:right w:val="single" w:sz="4" w:space="0" w:color="auto"/>
            </w:tcBorders>
          </w:tcPr>
          <w:p w14:paraId="50EDF57E" w14:textId="42E7D9AA" w:rsidR="006A34FF" w:rsidRPr="001F51C3" w:rsidRDefault="006A34FF" w:rsidP="00C01988">
            <w:pPr>
              <w:rPr>
                <w:iCs/>
                <w:color w:val="000000"/>
                <w:sz w:val="26"/>
                <w:szCs w:val="26"/>
                <w:lang w:eastAsia="en-US"/>
              </w:rPr>
            </w:pPr>
            <w:r w:rsidRPr="001F51C3">
              <w:rPr>
                <w:iCs/>
                <w:color w:val="000000"/>
                <w:sz w:val="26"/>
                <w:szCs w:val="26"/>
              </w:rPr>
              <w:t>Vienība tiek ieviestas pilnībā.</w:t>
            </w:r>
          </w:p>
        </w:tc>
        <w:tc>
          <w:tcPr>
            <w:tcW w:w="2443" w:type="dxa"/>
            <w:tcBorders>
              <w:top w:val="single" w:sz="4" w:space="0" w:color="auto"/>
              <w:left w:val="single" w:sz="4" w:space="0" w:color="auto"/>
              <w:bottom w:val="single" w:sz="4" w:space="0" w:color="auto"/>
              <w:right w:val="single" w:sz="4" w:space="0" w:color="auto"/>
            </w:tcBorders>
          </w:tcPr>
          <w:p w14:paraId="53EFBEEF" w14:textId="77777777" w:rsidR="006A34FF" w:rsidRPr="001F51C3" w:rsidRDefault="006A34FF" w:rsidP="00C01988">
            <w:pPr>
              <w:rPr>
                <w:iCs/>
                <w:color w:val="000000"/>
                <w:sz w:val="26"/>
                <w:szCs w:val="26"/>
              </w:rPr>
            </w:pPr>
            <w:r w:rsidRPr="001F51C3">
              <w:rPr>
                <w:iCs/>
                <w:color w:val="000000"/>
                <w:sz w:val="26"/>
                <w:szCs w:val="26"/>
              </w:rPr>
              <w:t>Netiek paredzētas stingrākas prasības.</w:t>
            </w:r>
          </w:p>
        </w:tc>
      </w:tr>
      <w:tr w:rsidR="006A34FF" w:rsidRPr="001F51C3" w14:paraId="2896081C" w14:textId="77777777" w:rsidTr="00324488">
        <w:tc>
          <w:tcPr>
            <w:tcW w:w="2442" w:type="dxa"/>
            <w:tcBorders>
              <w:top w:val="single" w:sz="4" w:space="0" w:color="auto"/>
              <w:left w:val="single" w:sz="4" w:space="0" w:color="auto"/>
              <w:bottom w:val="single" w:sz="4" w:space="0" w:color="auto"/>
              <w:right w:val="single" w:sz="4" w:space="0" w:color="auto"/>
            </w:tcBorders>
          </w:tcPr>
          <w:p w14:paraId="64483266" w14:textId="53963868" w:rsidR="006A34FF" w:rsidRPr="001F51C3" w:rsidRDefault="006A34FF" w:rsidP="00095C9A">
            <w:pPr>
              <w:rPr>
                <w:bCs/>
                <w:sz w:val="26"/>
                <w:szCs w:val="26"/>
              </w:rPr>
            </w:pPr>
            <w:r w:rsidRPr="001F51C3">
              <w:rPr>
                <w:bCs/>
                <w:sz w:val="26"/>
                <w:szCs w:val="26"/>
              </w:rPr>
              <w:t>Regula Nr.1408/2013</w:t>
            </w:r>
          </w:p>
          <w:p w14:paraId="5FF95FC1" w14:textId="40C27069" w:rsidR="006D2868" w:rsidRPr="001F51C3" w:rsidRDefault="006D2868" w:rsidP="00095C9A">
            <w:pPr>
              <w:rPr>
                <w:color w:val="000000"/>
                <w:sz w:val="26"/>
                <w:szCs w:val="26"/>
              </w:rPr>
            </w:pPr>
            <w:r w:rsidRPr="001F51C3">
              <w:rPr>
                <w:color w:val="000000"/>
                <w:sz w:val="26"/>
                <w:szCs w:val="26"/>
              </w:rPr>
              <w:t>3.panta 2.punkts; 2.panta 2.punkts</w:t>
            </w:r>
          </w:p>
        </w:tc>
        <w:tc>
          <w:tcPr>
            <w:tcW w:w="2443" w:type="dxa"/>
            <w:tcBorders>
              <w:top w:val="single" w:sz="4" w:space="0" w:color="auto"/>
              <w:left w:val="single" w:sz="4" w:space="0" w:color="auto"/>
              <w:bottom w:val="single" w:sz="4" w:space="0" w:color="auto"/>
              <w:right w:val="single" w:sz="4" w:space="0" w:color="auto"/>
            </w:tcBorders>
          </w:tcPr>
          <w:p w14:paraId="7CDB48F3" w14:textId="482514CE" w:rsidR="006A34FF" w:rsidRPr="001F51C3" w:rsidRDefault="006A34FF" w:rsidP="00C01988">
            <w:pPr>
              <w:rPr>
                <w:iCs/>
                <w:color w:val="000000"/>
                <w:sz w:val="26"/>
                <w:szCs w:val="26"/>
                <w:lang w:eastAsia="en-US"/>
              </w:rPr>
            </w:pPr>
            <w:r w:rsidRPr="001F51C3">
              <w:rPr>
                <w:iCs/>
                <w:color w:val="000000"/>
                <w:sz w:val="26"/>
                <w:szCs w:val="26"/>
                <w:lang w:eastAsia="en-US"/>
              </w:rPr>
              <w:t xml:space="preserve">Noteikumu projekta </w:t>
            </w:r>
            <w:r w:rsidR="00457D7E" w:rsidRPr="001F51C3">
              <w:rPr>
                <w:iCs/>
                <w:color w:val="000000"/>
                <w:sz w:val="26"/>
                <w:szCs w:val="26"/>
                <w:lang w:eastAsia="en-US"/>
              </w:rPr>
              <w:t>24</w:t>
            </w:r>
            <w:r w:rsidRPr="001F51C3">
              <w:rPr>
                <w:iCs/>
                <w:color w:val="000000"/>
                <w:sz w:val="26"/>
                <w:szCs w:val="26"/>
                <w:lang w:eastAsia="en-US"/>
              </w:rPr>
              <w:t>.2.apakšpunkts</w:t>
            </w:r>
          </w:p>
        </w:tc>
        <w:tc>
          <w:tcPr>
            <w:tcW w:w="2443" w:type="dxa"/>
            <w:tcBorders>
              <w:top w:val="single" w:sz="4" w:space="0" w:color="auto"/>
              <w:left w:val="single" w:sz="4" w:space="0" w:color="auto"/>
              <w:bottom w:val="single" w:sz="4" w:space="0" w:color="auto"/>
              <w:right w:val="single" w:sz="4" w:space="0" w:color="auto"/>
            </w:tcBorders>
          </w:tcPr>
          <w:p w14:paraId="038A8A51" w14:textId="2279EBC8" w:rsidR="006A34FF" w:rsidRPr="001F51C3" w:rsidRDefault="006A34FF" w:rsidP="00C01988">
            <w:pPr>
              <w:rPr>
                <w:iCs/>
                <w:color w:val="000000"/>
                <w:sz w:val="26"/>
                <w:szCs w:val="26"/>
                <w:lang w:eastAsia="en-US"/>
              </w:rPr>
            </w:pPr>
            <w:r w:rsidRPr="001F51C3">
              <w:rPr>
                <w:iCs/>
                <w:color w:val="000000"/>
                <w:sz w:val="26"/>
                <w:szCs w:val="26"/>
              </w:rPr>
              <w:t xml:space="preserve">Vienība tiek ieviestas pilnībā. </w:t>
            </w:r>
          </w:p>
        </w:tc>
        <w:tc>
          <w:tcPr>
            <w:tcW w:w="2443" w:type="dxa"/>
            <w:tcBorders>
              <w:top w:val="single" w:sz="4" w:space="0" w:color="auto"/>
              <w:left w:val="single" w:sz="4" w:space="0" w:color="auto"/>
              <w:bottom w:val="single" w:sz="4" w:space="0" w:color="auto"/>
              <w:right w:val="single" w:sz="4" w:space="0" w:color="auto"/>
            </w:tcBorders>
          </w:tcPr>
          <w:p w14:paraId="74E8F899" w14:textId="77777777" w:rsidR="006A34FF" w:rsidRPr="001F51C3" w:rsidRDefault="006A34FF" w:rsidP="00C01988">
            <w:pPr>
              <w:rPr>
                <w:iCs/>
                <w:color w:val="000000"/>
                <w:sz w:val="26"/>
                <w:szCs w:val="26"/>
              </w:rPr>
            </w:pPr>
            <w:r w:rsidRPr="001F51C3">
              <w:rPr>
                <w:iCs/>
                <w:color w:val="000000"/>
                <w:sz w:val="26"/>
                <w:szCs w:val="26"/>
              </w:rPr>
              <w:t>Netiek paredzētas stingrākas prasības.</w:t>
            </w:r>
          </w:p>
        </w:tc>
      </w:tr>
      <w:tr w:rsidR="00095C9A" w:rsidRPr="001F51C3" w14:paraId="7D648849" w14:textId="77777777" w:rsidTr="00324488">
        <w:tc>
          <w:tcPr>
            <w:tcW w:w="2442" w:type="dxa"/>
            <w:tcBorders>
              <w:top w:val="single" w:sz="4" w:space="0" w:color="auto"/>
              <w:left w:val="single" w:sz="4" w:space="0" w:color="auto"/>
              <w:bottom w:val="single" w:sz="4" w:space="0" w:color="auto"/>
              <w:right w:val="single" w:sz="4" w:space="0" w:color="auto"/>
            </w:tcBorders>
          </w:tcPr>
          <w:p w14:paraId="78F95539" w14:textId="5C31F870" w:rsidR="00095C9A" w:rsidRPr="001F51C3" w:rsidRDefault="00095C9A" w:rsidP="00095C9A">
            <w:pPr>
              <w:rPr>
                <w:bCs/>
                <w:sz w:val="26"/>
                <w:szCs w:val="26"/>
              </w:rPr>
            </w:pPr>
            <w:r w:rsidRPr="001F51C3">
              <w:rPr>
                <w:bCs/>
                <w:sz w:val="26"/>
                <w:szCs w:val="26"/>
              </w:rPr>
              <w:t>Eiropas Parlamenta un Padomes Regula Nr. 1379/2013 1.panta</w:t>
            </w:r>
          </w:p>
        </w:tc>
        <w:tc>
          <w:tcPr>
            <w:tcW w:w="2443" w:type="dxa"/>
            <w:tcBorders>
              <w:top w:val="single" w:sz="4" w:space="0" w:color="auto"/>
              <w:left w:val="single" w:sz="4" w:space="0" w:color="auto"/>
              <w:bottom w:val="single" w:sz="4" w:space="0" w:color="auto"/>
              <w:right w:val="single" w:sz="4" w:space="0" w:color="auto"/>
            </w:tcBorders>
          </w:tcPr>
          <w:p w14:paraId="104758C5" w14:textId="66424126" w:rsidR="00095C9A" w:rsidRPr="001F51C3" w:rsidRDefault="00896DCF" w:rsidP="00C01988">
            <w:pPr>
              <w:rPr>
                <w:iCs/>
                <w:color w:val="000000"/>
                <w:sz w:val="26"/>
                <w:szCs w:val="26"/>
                <w:lang w:eastAsia="en-US"/>
              </w:rPr>
            </w:pPr>
            <w:r w:rsidRPr="001F51C3">
              <w:rPr>
                <w:iCs/>
                <w:color w:val="000000"/>
                <w:sz w:val="26"/>
                <w:szCs w:val="26"/>
                <w:lang w:eastAsia="en-US"/>
              </w:rPr>
              <w:t xml:space="preserve">Noteikumu projekta </w:t>
            </w:r>
            <w:r w:rsidR="00457D7E" w:rsidRPr="001F51C3">
              <w:rPr>
                <w:iCs/>
                <w:color w:val="000000"/>
                <w:sz w:val="26"/>
                <w:szCs w:val="26"/>
                <w:lang w:eastAsia="en-US"/>
              </w:rPr>
              <w:t>24</w:t>
            </w:r>
            <w:r w:rsidR="00095C9A" w:rsidRPr="001F51C3">
              <w:rPr>
                <w:iCs/>
                <w:color w:val="000000"/>
                <w:sz w:val="26"/>
                <w:szCs w:val="26"/>
                <w:lang w:eastAsia="en-US"/>
              </w:rPr>
              <w:t>.2.apakšpunkts</w:t>
            </w:r>
          </w:p>
        </w:tc>
        <w:tc>
          <w:tcPr>
            <w:tcW w:w="2443" w:type="dxa"/>
            <w:tcBorders>
              <w:top w:val="single" w:sz="4" w:space="0" w:color="auto"/>
              <w:left w:val="single" w:sz="4" w:space="0" w:color="auto"/>
              <w:bottom w:val="single" w:sz="4" w:space="0" w:color="auto"/>
              <w:right w:val="single" w:sz="4" w:space="0" w:color="auto"/>
            </w:tcBorders>
          </w:tcPr>
          <w:p w14:paraId="1C252C66" w14:textId="421269A5" w:rsidR="00095C9A" w:rsidRPr="001F51C3" w:rsidRDefault="00095C9A" w:rsidP="00C01988">
            <w:pPr>
              <w:rPr>
                <w:iCs/>
                <w:color w:val="000000"/>
                <w:sz w:val="26"/>
                <w:szCs w:val="26"/>
              </w:rPr>
            </w:pPr>
            <w:r w:rsidRPr="001F51C3">
              <w:rPr>
                <w:iCs/>
                <w:color w:val="000000"/>
                <w:sz w:val="26"/>
                <w:szCs w:val="26"/>
              </w:rPr>
              <w:t>Vienība tiek ieviestas pilnībā.</w:t>
            </w:r>
          </w:p>
        </w:tc>
        <w:tc>
          <w:tcPr>
            <w:tcW w:w="2443" w:type="dxa"/>
            <w:tcBorders>
              <w:top w:val="single" w:sz="4" w:space="0" w:color="auto"/>
              <w:left w:val="single" w:sz="4" w:space="0" w:color="auto"/>
              <w:bottom w:val="single" w:sz="4" w:space="0" w:color="auto"/>
              <w:right w:val="single" w:sz="4" w:space="0" w:color="auto"/>
            </w:tcBorders>
          </w:tcPr>
          <w:p w14:paraId="59250CAF" w14:textId="57EDE333" w:rsidR="00095C9A" w:rsidRPr="001F51C3" w:rsidRDefault="00095C9A" w:rsidP="00C01988">
            <w:pPr>
              <w:rPr>
                <w:iCs/>
                <w:color w:val="000000"/>
                <w:sz w:val="26"/>
                <w:szCs w:val="26"/>
              </w:rPr>
            </w:pPr>
            <w:r w:rsidRPr="001F51C3">
              <w:rPr>
                <w:iCs/>
                <w:color w:val="000000"/>
                <w:sz w:val="26"/>
                <w:szCs w:val="26"/>
              </w:rPr>
              <w:t>Netiek paredzētas stingrākas prasības.</w:t>
            </w:r>
          </w:p>
        </w:tc>
      </w:tr>
      <w:tr w:rsidR="006A34FF" w:rsidRPr="001F51C3" w14:paraId="2CE9B37A" w14:textId="77777777" w:rsidTr="00324488">
        <w:tc>
          <w:tcPr>
            <w:tcW w:w="2442" w:type="dxa"/>
            <w:tcBorders>
              <w:top w:val="single" w:sz="4" w:space="0" w:color="auto"/>
              <w:left w:val="single" w:sz="4" w:space="0" w:color="auto"/>
              <w:bottom w:val="single" w:sz="4" w:space="0" w:color="auto"/>
              <w:right w:val="single" w:sz="4" w:space="0" w:color="auto"/>
            </w:tcBorders>
          </w:tcPr>
          <w:p w14:paraId="1EC1DDD6" w14:textId="3DEDAE1A" w:rsidR="006A34FF" w:rsidRPr="001F51C3" w:rsidRDefault="00C01988" w:rsidP="00095C9A">
            <w:pPr>
              <w:rPr>
                <w:bCs/>
                <w:sz w:val="26"/>
                <w:szCs w:val="26"/>
              </w:rPr>
            </w:pPr>
            <w:r w:rsidRPr="001F51C3">
              <w:rPr>
                <w:bCs/>
                <w:sz w:val="26"/>
                <w:szCs w:val="26"/>
              </w:rPr>
              <w:t xml:space="preserve">Regula </w:t>
            </w:r>
            <w:r w:rsidR="006D2868" w:rsidRPr="001F51C3">
              <w:rPr>
                <w:color w:val="000000"/>
                <w:sz w:val="26"/>
                <w:szCs w:val="26"/>
              </w:rPr>
              <w:t>Nr.1407/2013</w:t>
            </w:r>
          </w:p>
          <w:p w14:paraId="0E680F0C" w14:textId="4DAB7723" w:rsidR="006A34FF" w:rsidRPr="001F51C3" w:rsidRDefault="00095C9A" w:rsidP="00095C9A">
            <w:pPr>
              <w:rPr>
                <w:bCs/>
                <w:sz w:val="26"/>
                <w:szCs w:val="26"/>
              </w:rPr>
            </w:pPr>
            <w:r w:rsidRPr="001F51C3">
              <w:rPr>
                <w:bCs/>
                <w:sz w:val="26"/>
                <w:szCs w:val="26"/>
              </w:rPr>
              <w:t>3</w:t>
            </w:r>
            <w:r w:rsidR="006A34FF" w:rsidRPr="001F51C3">
              <w:rPr>
                <w:bCs/>
                <w:sz w:val="26"/>
                <w:szCs w:val="26"/>
              </w:rPr>
              <w:t>.panta 2.punkts</w:t>
            </w:r>
            <w:r w:rsidRPr="001F51C3">
              <w:rPr>
                <w:bCs/>
                <w:sz w:val="26"/>
                <w:szCs w:val="26"/>
              </w:rPr>
              <w:t>, 5.panta 1. un 2.punkts</w:t>
            </w:r>
          </w:p>
        </w:tc>
        <w:tc>
          <w:tcPr>
            <w:tcW w:w="2443" w:type="dxa"/>
            <w:tcBorders>
              <w:top w:val="single" w:sz="4" w:space="0" w:color="auto"/>
              <w:left w:val="single" w:sz="4" w:space="0" w:color="auto"/>
              <w:bottom w:val="single" w:sz="4" w:space="0" w:color="auto"/>
              <w:right w:val="single" w:sz="4" w:space="0" w:color="auto"/>
            </w:tcBorders>
          </w:tcPr>
          <w:p w14:paraId="4915EA98" w14:textId="690C7F7E" w:rsidR="006A34FF" w:rsidRPr="001F51C3" w:rsidRDefault="006A34FF" w:rsidP="00C01988">
            <w:pPr>
              <w:rPr>
                <w:iCs/>
                <w:color w:val="000000"/>
                <w:sz w:val="26"/>
                <w:szCs w:val="26"/>
                <w:lang w:eastAsia="en-US"/>
              </w:rPr>
            </w:pPr>
            <w:r w:rsidRPr="001F51C3">
              <w:rPr>
                <w:iCs/>
                <w:color w:val="000000"/>
                <w:sz w:val="26"/>
                <w:szCs w:val="26"/>
                <w:lang w:eastAsia="en-US"/>
              </w:rPr>
              <w:t xml:space="preserve">Noteikumu projekta </w:t>
            </w:r>
            <w:r w:rsidR="00457D7E" w:rsidRPr="001F51C3">
              <w:rPr>
                <w:iCs/>
                <w:color w:val="000000"/>
                <w:sz w:val="26"/>
                <w:szCs w:val="26"/>
                <w:lang w:eastAsia="en-US"/>
              </w:rPr>
              <w:t>24</w:t>
            </w:r>
            <w:r w:rsidR="00095C9A" w:rsidRPr="001F51C3">
              <w:rPr>
                <w:iCs/>
                <w:color w:val="000000"/>
                <w:sz w:val="26"/>
                <w:szCs w:val="26"/>
                <w:lang w:eastAsia="en-US"/>
              </w:rPr>
              <w:t>.4</w:t>
            </w:r>
            <w:r w:rsidRPr="001F51C3">
              <w:rPr>
                <w:iCs/>
                <w:color w:val="000000"/>
                <w:sz w:val="26"/>
                <w:szCs w:val="26"/>
                <w:lang w:eastAsia="en-US"/>
              </w:rPr>
              <w:t>.apakšpunkts</w:t>
            </w:r>
          </w:p>
        </w:tc>
        <w:tc>
          <w:tcPr>
            <w:tcW w:w="2443" w:type="dxa"/>
            <w:tcBorders>
              <w:top w:val="single" w:sz="4" w:space="0" w:color="auto"/>
              <w:left w:val="single" w:sz="4" w:space="0" w:color="auto"/>
              <w:bottom w:val="single" w:sz="4" w:space="0" w:color="auto"/>
              <w:right w:val="single" w:sz="4" w:space="0" w:color="auto"/>
            </w:tcBorders>
          </w:tcPr>
          <w:p w14:paraId="68D59BA3" w14:textId="7F43F7C6" w:rsidR="006A34FF" w:rsidRPr="001F51C3" w:rsidRDefault="006A34FF" w:rsidP="00C01988">
            <w:pPr>
              <w:rPr>
                <w:iCs/>
                <w:color w:val="000000"/>
                <w:sz w:val="26"/>
                <w:szCs w:val="26"/>
                <w:lang w:eastAsia="en-US"/>
              </w:rPr>
            </w:pPr>
            <w:r w:rsidRPr="001F51C3">
              <w:rPr>
                <w:iCs/>
                <w:color w:val="000000"/>
                <w:sz w:val="26"/>
                <w:szCs w:val="26"/>
              </w:rPr>
              <w:t>Vienība tiek ieviestas pilnībā.</w:t>
            </w:r>
          </w:p>
        </w:tc>
        <w:tc>
          <w:tcPr>
            <w:tcW w:w="2443" w:type="dxa"/>
            <w:tcBorders>
              <w:top w:val="single" w:sz="4" w:space="0" w:color="auto"/>
              <w:left w:val="single" w:sz="4" w:space="0" w:color="auto"/>
              <w:bottom w:val="single" w:sz="4" w:space="0" w:color="auto"/>
              <w:right w:val="single" w:sz="4" w:space="0" w:color="auto"/>
            </w:tcBorders>
          </w:tcPr>
          <w:p w14:paraId="65C0B4EC" w14:textId="77777777" w:rsidR="006A34FF" w:rsidRPr="001F51C3" w:rsidRDefault="006A34FF" w:rsidP="00C01988">
            <w:pPr>
              <w:rPr>
                <w:iCs/>
                <w:color w:val="000000"/>
                <w:sz w:val="26"/>
                <w:szCs w:val="26"/>
              </w:rPr>
            </w:pPr>
            <w:r w:rsidRPr="001F51C3">
              <w:rPr>
                <w:iCs/>
                <w:color w:val="000000"/>
                <w:sz w:val="26"/>
                <w:szCs w:val="26"/>
              </w:rPr>
              <w:t>Netiek paredzētas stingrākas prasības.</w:t>
            </w:r>
          </w:p>
        </w:tc>
      </w:tr>
      <w:tr w:rsidR="00095C9A" w:rsidRPr="001F51C3" w14:paraId="64B7A047" w14:textId="77777777" w:rsidTr="00324488">
        <w:tc>
          <w:tcPr>
            <w:tcW w:w="2442" w:type="dxa"/>
            <w:tcBorders>
              <w:top w:val="single" w:sz="4" w:space="0" w:color="auto"/>
              <w:left w:val="single" w:sz="4" w:space="0" w:color="auto"/>
              <w:bottom w:val="single" w:sz="4" w:space="0" w:color="auto"/>
              <w:right w:val="single" w:sz="4" w:space="0" w:color="auto"/>
            </w:tcBorders>
          </w:tcPr>
          <w:p w14:paraId="542F80C1" w14:textId="00AB9BD0" w:rsidR="00095C9A" w:rsidRPr="001F51C3" w:rsidRDefault="00095C9A" w:rsidP="00095C9A">
            <w:pPr>
              <w:rPr>
                <w:bCs/>
                <w:sz w:val="26"/>
                <w:szCs w:val="26"/>
              </w:rPr>
            </w:pPr>
            <w:r w:rsidRPr="001F51C3">
              <w:rPr>
                <w:color w:val="000000"/>
                <w:sz w:val="26"/>
                <w:szCs w:val="26"/>
              </w:rPr>
              <w:t>Regula Nr. 717/2014 3.panta 2.punkts, 5.panta 1., 2. un 3.punkts</w:t>
            </w:r>
          </w:p>
        </w:tc>
        <w:tc>
          <w:tcPr>
            <w:tcW w:w="2443" w:type="dxa"/>
            <w:tcBorders>
              <w:top w:val="single" w:sz="4" w:space="0" w:color="auto"/>
              <w:left w:val="single" w:sz="4" w:space="0" w:color="auto"/>
              <w:bottom w:val="single" w:sz="4" w:space="0" w:color="auto"/>
              <w:right w:val="single" w:sz="4" w:space="0" w:color="auto"/>
            </w:tcBorders>
          </w:tcPr>
          <w:p w14:paraId="3D6B4E6B" w14:textId="2502308A" w:rsidR="00095C9A" w:rsidRPr="001F51C3" w:rsidRDefault="00896DCF" w:rsidP="00C01988">
            <w:pPr>
              <w:rPr>
                <w:iCs/>
                <w:color w:val="000000"/>
                <w:sz w:val="26"/>
                <w:szCs w:val="26"/>
                <w:lang w:eastAsia="en-US"/>
              </w:rPr>
            </w:pPr>
            <w:r w:rsidRPr="001F51C3">
              <w:rPr>
                <w:iCs/>
                <w:color w:val="000000"/>
                <w:sz w:val="26"/>
                <w:szCs w:val="26"/>
                <w:lang w:eastAsia="en-US"/>
              </w:rPr>
              <w:t xml:space="preserve">Noteikumu projekta </w:t>
            </w:r>
            <w:r w:rsidR="00457D7E" w:rsidRPr="001F51C3">
              <w:rPr>
                <w:iCs/>
                <w:color w:val="000000"/>
                <w:sz w:val="26"/>
                <w:szCs w:val="26"/>
                <w:lang w:eastAsia="en-US"/>
              </w:rPr>
              <w:t>24</w:t>
            </w:r>
            <w:r w:rsidR="00095C9A" w:rsidRPr="001F51C3">
              <w:rPr>
                <w:iCs/>
                <w:color w:val="000000"/>
                <w:sz w:val="26"/>
                <w:szCs w:val="26"/>
                <w:lang w:eastAsia="en-US"/>
              </w:rPr>
              <w:t>.4.apakšpunkts</w:t>
            </w:r>
          </w:p>
        </w:tc>
        <w:tc>
          <w:tcPr>
            <w:tcW w:w="2443" w:type="dxa"/>
            <w:tcBorders>
              <w:top w:val="single" w:sz="4" w:space="0" w:color="auto"/>
              <w:left w:val="single" w:sz="4" w:space="0" w:color="auto"/>
              <w:bottom w:val="single" w:sz="4" w:space="0" w:color="auto"/>
              <w:right w:val="single" w:sz="4" w:space="0" w:color="auto"/>
            </w:tcBorders>
          </w:tcPr>
          <w:p w14:paraId="58AC44B3" w14:textId="4DACFA86" w:rsidR="00095C9A" w:rsidRPr="001F51C3" w:rsidRDefault="00095C9A" w:rsidP="00C01988">
            <w:pPr>
              <w:rPr>
                <w:iCs/>
                <w:color w:val="000000"/>
                <w:sz w:val="26"/>
                <w:szCs w:val="26"/>
              </w:rPr>
            </w:pPr>
            <w:r w:rsidRPr="001F51C3">
              <w:rPr>
                <w:iCs/>
                <w:color w:val="000000"/>
                <w:sz w:val="26"/>
                <w:szCs w:val="26"/>
              </w:rPr>
              <w:t>Vienība tiek ieviestas pilnībā.</w:t>
            </w:r>
          </w:p>
        </w:tc>
        <w:tc>
          <w:tcPr>
            <w:tcW w:w="2443" w:type="dxa"/>
            <w:tcBorders>
              <w:top w:val="single" w:sz="4" w:space="0" w:color="auto"/>
              <w:left w:val="single" w:sz="4" w:space="0" w:color="auto"/>
              <w:bottom w:val="single" w:sz="4" w:space="0" w:color="auto"/>
              <w:right w:val="single" w:sz="4" w:space="0" w:color="auto"/>
            </w:tcBorders>
          </w:tcPr>
          <w:p w14:paraId="63D45B18" w14:textId="0013CE29" w:rsidR="00095C9A" w:rsidRPr="001F51C3" w:rsidRDefault="00095C9A" w:rsidP="00C01988">
            <w:pPr>
              <w:rPr>
                <w:iCs/>
                <w:color w:val="000000"/>
                <w:sz w:val="26"/>
                <w:szCs w:val="26"/>
              </w:rPr>
            </w:pPr>
            <w:r w:rsidRPr="001F51C3">
              <w:rPr>
                <w:iCs/>
                <w:color w:val="000000"/>
                <w:sz w:val="26"/>
                <w:szCs w:val="26"/>
              </w:rPr>
              <w:t>Netiek paredzētas stingrākas prasības.</w:t>
            </w:r>
          </w:p>
        </w:tc>
      </w:tr>
      <w:tr w:rsidR="006A34FF" w:rsidRPr="001F51C3" w14:paraId="483B2F32" w14:textId="77777777" w:rsidTr="00324488">
        <w:tc>
          <w:tcPr>
            <w:tcW w:w="2442" w:type="dxa"/>
            <w:tcBorders>
              <w:top w:val="single" w:sz="4" w:space="0" w:color="auto"/>
              <w:left w:val="single" w:sz="4" w:space="0" w:color="auto"/>
              <w:bottom w:val="single" w:sz="4" w:space="0" w:color="auto"/>
              <w:right w:val="single" w:sz="4" w:space="0" w:color="auto"/>
            </w:tcBorders>
          </w:tcPr>
          <w:p w14:paraId="1C971ED2" w14:textId="266EFBDA" w:rsidR="006A34FF" w:rsidRPr="001F51C3" w:rsidRDefault="006A34FF" w:rsidP="00095C9A">
            <w:pPr>
              <w:rPr>
                <w:bCs/>
                <w:sz w:val="26"/>
                <w:szCs w:val="26"/>
              </w:rPr>
            </w:pPr>
            <w:r w:rsidRPr="001F51C3">
              <w:rPr>
                <w:bCs/>
                <w:sz w:val="26"/>
                <w:szCs w:val="26"/>
              </w:rPr>
              <w:t>Regula Nr.1408/2013 3.panta 2.punkts</w:t>
            </w:r>
            <w:r w:rsidR="00095C9A" w:rsidRPr="001F51C3">
              <w:rPr>
                <w:bCs/>
                <w:sz w:val="26"/>
                <w:szCs w:val="26"/>
              </w:rPr>
              <w:t>, 5.panta 1., 2. un 3.punkts</w:t>
            </w:r>
          </w:p>
        </w:tc>
        <w:tc>
          <w:tcPr>
            <w:tcW w:w="2443" w:type="dxa"/>
            <w:tcBorders>
              <w:top w:val="single" w:sz="4" w:space="0" w:color="auto"/>
              <w:left w:val="single" w:sz="4" w:space="0" w:color="auto"/>
              <w:bottom w:val="single" w:sz="4" w:space="0" w:color="auto"/>
              <w:right w:val="single" w:sz="4" w:space="0" w:color="auto"/>
            </w:tcBorders>
          </w:tcPr>
          <w:p w14:paraId="6C862D69" w14:textId="6A7E150D" w:rsidR="006A34FF" w:rsidRPr="001F51C3" w:rsidRDefault="006A34FF" w:rsidP="00C01988">
            <w:pPr>
              <w:rPr>
                <w:iCs/>
                <w:color w:val="000000"/>
                <w:sz w:val="26"/>
                <w:szCs w:val="26"/>
                <w:lang w:eastAsia="en-US"/>
              </w:rPr>
            </w:pPr>
            <w:r w:rsidRPr="001F51C3">
              <w:rPr>
                <w:iCs/>
                <w:color w:val="000000"/>
                <w:sz w:val="26"/>
                <w:szCs w:val="26"/>
                <w:lang w:eastAsia="en-US"/>
              </w:rPr>
              <w:t>Noteikumu projekta 2</w:t>
            </w:r>
            <w:r w:rsidR="00457D7E" w:rsidRPr="001F51C3">
              <w:rPr>
                <w:iCs/>
                <w:color w:val="000000"/>
                <w:sz w:val="26"/>
                <w:szCs w:val="26"/>
                <w:lang w:eastAsia="en-US"/>
              </w:rPr>
              <w:t>4</w:t>
            </w:r>
            <w:r w:rsidRPr="001F51C3">
              <w:rPr>
                <w:iCs/>
                <w:color w:val="000000"/>
                <w:sz w:val="26"/>
                <w:szCs w:val="26"/>
                <w:lang w:eastAsia="en-US"/>
              </w:rPr>
              <w:t>.</w:t>
            </w:r>
            <w:r w:rsidR="00095C9A" w:rsidRPr="001F51C3">
              <w:rPr>
                <w:iCs/>
                <w:color w:val="000000"/>
                <w:sz w:val="26"/>
                <w:szCs w:val="26"/>
                <w:lang w:eastAsia="en-US"/>
              </w:rPr>
              <w:t>4</w:t>
            </w:r>
            <w:r w:rsidRPr="001F51C3">
              <w:rPr>
                <w:iCs/>
                <w:color w:val="000000"/>
                <w:sz w:val="26"/>
                <w:szCs w:val="26"/>
                <w:lang w:eastAsia="en-US"/>
              </w:rPr>
              <w:t>.apakšpunkts</w:t>
            </w:r>
          </w:p>
        </w:tc>
        <w:tc>
          <w:tcPr>
            <w:tcW w:w="2443" w:type="dxa"/>
            <w:tcBorders>
              <w:top w:val="single" w:sz="4" w:space="0" w:color="auto"/>
              <w:left w:val="single" w:sz="4" w:space="0" w:color="auto"/>
              <w:bottom w:val="single" w:sz="4" w:space="0" w:color="auto"/>
              <w:right w:val="single" w:sz="4" w:space="0" w:color="auto"/>
            </w:tcBorders>
          </w:tcPr>
          <w:p w14:paraId="72890E27" w14:textId="7A89B9F0" w:rsidR="006A34FF" w:rsidRPr="001F51C3" w:rsidRDefault="006A34FF" w:rsidP="00C01988">
            <w:pPr>
              <w:rPr>
                <w:iCs/>
                <w:color w:val="000000"/>
                <w:sz w:val="26"/>
                <w:szCs w:val="26"/>
                <w:lang w:eastAsia="en-US"/>
              </w:rPr>
            </w:pPr>
            <w:r w:rsidRPr="001F51C3">
              <w:rPr>
                <w:iCs/>
                <w:color w:val="000000"/>
                <w:sz w:val="26"/>
                <w:szCs w:val="26"/>
              </w:rPr>
              <w:t>Vienība tiek ieviestas pilnībā.</w:t>
            </w:r>
          </w:p>
        </w:tc>
        <w:tc>
          <w:tcPr>
            <w:tcW w:w="2443" w:type="dxa"/>
            <w:tcBorders>
              <w:top w:val="single" w:sz="4" w:space="0" w:color="auto"/>
              <w:left w:val="single" w:sz="4" w:space="0" w:color="auto"/>
              <w:bottom w:val="single" w:sz="4" w:space="0" w:color="auto"/>
              <w:right w:val="single" w:sz="4" w:space="0" w:color="auto"/>
            </w:tcBorders>
          </w:tcPr>
          <w:p w14:paraId="0EF0D57F" w14:textId="77777777" w:rsidR="006A34FF" w:rsidRPr="001F51C3" w:rsidRDefault="006A34FF" w:rsidP="00C01988">
            <w:pPr>
              <w:rPr>
                <w:iCs/>
                <w:color w:val="000000"/>
                <w:sz w:val="26"/>
                <w:szCs w:val="26"/>
              </w:rPr>
            </w:pPr>
            <w:r w:rsidRPr="001F51C3">
              <w:rPr>
                <w:iCs/>
                <w:color w:val="000000"/>
                <w:sz w:val="26"/>
                <w:szCs w:val="26"/>
              </w:rPr>
              <w:t>Netiek paredzētas stingrākas prasības.</w:t>
            </w:r>
          </w:p>
        </w:tc>
      </w:tr>
      <w:tr w:rsidR="00C01988" w:rsidRPr="001F51C3" w14:paraId="0A0B0A23" w14:textId="77777777" w:rsidTr="00324488">
        <w:tc>
          <w:tcPr>
            <w:tcW w:w="2442" w:type="dxa"/>
            <w:tcBorders>
              <w:top w:val="single" w:sz="4" w:space="0" w:color="auto"/>
              <w:left w:val="single" w:sz="4" w:space="0" w:color="auto"/>
              <w:bottom w:val="single" w:sz="4" w:space="0" w:color="auto"/>
              <w:right w:val="single" w:sz="4" w:space="0" w:color="auto"/>
            </w:tcBorders>
          </w:tcPr>
          <w:p w14:paraId="4CE401FC" w14:textId="63BDCCBC" w:rsidR="00C01988" w:rsidRPr="001F51C3" w:rsidRDefault="00C01988" w:rsidP="00C01988">
            <w:pPr>
              <w:rPr>
                <w:bCs/>
                <w:sz w:val="26"/>
                <w:szCs w:val="26"/>
              </w:rPr>
            </w:pPr>
            <w:r w:rsidRPr="001F51C3">
              <w:rPr>
                <w:bCs/>
                <w:sz w:val="26"/>
                <w:szCs w:val="26"/>
              </w:rPr>
              <w:t>Regula Nr.1407/2013 1.panta 2.punkts</w:t>
            </w:r>
          </w:p>
        </w:tc>
        <w:tc>
          <w:tcPr>
            <w:tcW w:w="2443" w:type="dxa"/>
            <w:tcBorders>
              <w:top w:val="single" w:sz="4" w:space="0" w:color="auto"/>
              <w:left w:val="single" w:sz="4" w:space="0" w:color="auto"/>
              <w:bottom w:val="single" w:sz="4" w:space="0" w:color="auto"/>
              <w:right w:val="single" w:sz="4" w:space="0" w:color="auto"/>
            </w:tcBorders>
          </w:tcPr>
          <w:p w14:paraId="622CEF85" w14:textId="09119F70" w:rsidR="00C01988" w:rsidRPr="001F51C3" w:rsidRDefault="00C01988" w:rsidP="00C01988">
            <w:pPr>
              <w:rPr>
                <w:iCs/>
                <w:color w:val="000000"/>
                <w:sz w:val="26"/>
                <w:szCs w:val="26"/>
                <w:lang w:eastAsia="en-US"/>
              </w:rPr>
            </w:pPr>
            <w:r w:rsidRPr="001F51C3">
              <w:rPr>
                <w:iCs/>
                <w:color w:val="000000"/>
                <w:sz w:val="26"/>
                <w:szCs w:val="26"/>
                <w:lang w:eastAsia="en-US"/>
              </w:rPr>
              <w:t>Noteikum</w:t>
            </w:r>
            <w:r w:rsidR="005650B6" w:rsidRPr="001F51C3">
              <w:rPr>
                <w:iCs/>
                <w:color w:val="000000"/>
                <w:sz w:val="26"/>
                <w:szCs w:val="26"/>
                <w:lang w:eastAsia="en-US"/>
              </w:rPr>
              <w:t>u projekta 24</w:t>
            </w:r>
            <w:r w:rsidRPr="001F51C3">
              <w:rPr>
                <w:iCs/>
                <w:color w:val="000000"/>
                <w:sz w:val="26"/>
                <w:szCs w:val="26"/>
                <w:lang w:eastAsia="en-US"/>
              </w:rPr>
              <w:t>.5.apakšpunkts</w:t>
            </w:r>
          </w:p>
        </w:tc>
        <w:tc>
          <w:tcPr>
            <w:tcW w:w="2443" w:type="dxa"/>
            <w:tcBorders>
              <w:top w:val="single" w:sz="4" w:space="0" w:color="auto"/>
              <w:left w:val="single" w:sz="4" w:space="0" w:color="auto"/>
              <w:bottom w:val="single" w:sz="4" w:space="0" w:color="auto"/>
              <w:right w:val="single" w:sz="4" w:space="0" w:color="auto"/>
            </w:tcBorders>
          </w:tcPr>
          <w:p w14:paraId="70EDAC63" w14:textId="650AD8F1" w:rsidR="00C01988" w:rsidRPr="001F51C3" w:rsidRDefault="00C01988" w:rsidP="00C01988">
            <w:pPr>
              <w:rPr>
                <w:iCs/>
                <w:color w:val="000000"/>
                <w:sz w:val="26"/>
                <w:szCs w:val="26"/>
              </w:rPr>
            </w:pPr>
            <w:r w:rsidRPr="001F51C3">
              <w:rPr>
                <w:iCs/>
                <w:color w:val="000000"/>
                <w:sz w:val="26"/>
                <w:szCs w:val="26"/>
              </w:rPr>
              <w:t>Vienība tiek ieviestas pilnībā.</w:t>
            </w:r>
          </w:p>
        </w:tc>
        <w:tc>
          <w:tcPr>
            <w:tcW w:w="2443" w:type="dxa"/>
            <w:tcBorders>
              <w:top w:val="single" w:sz="4" w:space="0" w:color="auto"/>
              <w:left w:val="single" w:sz="4" w:space="0" w:color="auto"/>
              <w:bottom w:val="single" w:sz="4" w:space="0" w:color="auto"/>
              <w:right w:val="single" w:sz="4" w:space="0" w:color="auto"/>
            </w:tcBorders>
          </w:tcPr>
          <w:p w14:paraId="68FB4175" w14:textId="6C317AA0" w:rsidR="00C01988" w:rsidRPr="001F51C3" w:rsidRDefault="00C01988" w:rsidP="00C01988">
            <w:pPr>
              <w:rPr>
                <w:iCs/>
                <w:color w:val="000000"/>
                <w:sz w:val="26"/>
                <w:szCs w:val="26"/>
              </w:rPr>
            </w:pPr>
            <w:r w:rsidRPr="001F51C3">
              <w:rPr>
                <w:iCs/>
                <w:color w:val="000000"/>
                <w:sz w:val="26"/>
                <w:szCs w:val="26"/>
              </w:rPr>
              <w:t>Netiek paredzētas stingrākas prasības.</w:t>
            </w:r>
          </w:p>
        </w:tc>
      </w:tr>
      <w:tr w:rsidR="00C01988" w:rsidRPr="001F51C3" w14:paraId="4F1AC647" w14:textId="77777777" w:rsidTr="00324488">
        <w:tc>
          <w:tcPr>
            <w:tcW w:w="2442" w:type="dxa"/>
            <w:tcBorders>
              <w:top w:val="single" w:sz="4" w:space="0" w:color="auto"/>
              <w:left w:val="single" w:sz="4" w:space="0" w:color="auto"/>
              <w:bottom w:val="single" w:sz="4" w:space="0" w:color="auto"/>
              <w:right w:val="single" w:sz="4" w:space="0" w:color="auto"/>
            </w:tcBorders>
          </w:tcPr>
          <w:p w14:paraId="354E06A7" w14:textId="5D87B420" w:rsidR="00C01988" w:rsidRPr="001F51C3" w:rsidRDefault="00C01988" w:rsidP="00C01988">
            <w:pPr>
              <w:rPr>
                <w:bCs/>
                <w:sz w:val="26"/>
                <w:szCs w:val="26"/>
              </w:rPr>
            </w:pPr>
            <w:r w:rsidRPr="001F51C3">
              <w:rPr>
                <w:bCs/>
                <w:sz w:val="26"/>
                <w:szCs w:val="26"/>
              </w:rPr>
              <w:t>Regula Nr. 717/2014 1.panta 2. un 3.punkts</w:t>
            </w:r>
          </w:p>
        </w:tc>
        <w:tc>
          <w:tcPr>
            <w:tcW w:w="2443" w:type="dxa"/>
            <w:tcBorders>
              <w:top w:val="single" w:sz="4" w:space="0" w:color="auto"/>
              <w:left w:val="single" w:sz="4" w:space="0" w:color="auto"/>
              <w:bottom w:val="single" w:sz="4" w:space="0" w:color="auto"/>
              <w:right w:val="single" w:sz="4" w:space="0" w:color="auto"/>
            </w:tcBorders>
          </w:tcPr>
          <w:p w14:paraId="0D61F1BD" w14:textId="0D3C74C1" w:rsidR="00C01988" w:rsidRPr="001F51C3" w:rsidRDefault="00F93537" w:rsidP="00C01988">
            <w:pPr>
              <w:rPr>
                <w:iCs/>
                <w:color w:val="000000"/>
                <w:sz w:val="26"/>
                <w:szCs w:val="26"/>
                <w:lang w:eastAsia="en-US"/>
              </w:rPr>
            </w:pPr>
            <w:r w:rsidRPr="001F51C3">
              <w:rPr>
                <w:iCs/>
                <w:color w:val="000000"/>
                <w:sz w:val="26"/>
                <w:szCs w:val="26"/>
                <w:lang w:eastAsia="en-US"/>
              </w:rPr>
              <w:t>Noteikumu proj</w:t>
            </w:r>
            <w:r w:rsidR="00896DCF" w:rsidRPr="001F51C3">
              <w:rPr>
                <w:iCs/>
                <w:color w:val="000000"/>
                <w:sz w:val="26"/>
                <w:szCs w:val="26"/>
                <w:lang w:eastAsia="en-US"/>
              </w:rPr>
              <w:t xml:space="preserve">ekta </w:t>
            </w:r>
            <w:r w:rsidR="005650B6" w:rsidRPr="001F51C3">
              <w:rPr>
                <w:iCs/>
                <w:color w:val="000000"/>
                <w:sz w:val="26"/>
                <w:szCs w:val="26"/>
                <w:lang w:eastAsia="en-US"/>
              </w:rPr>
              <w:t>24.</w:t>
            </w:r>
            <w:r w:rsidR="00C01988" w:rsidRPr="001F51C3">
              <w:rPr>
                <w:iCs/>
                <w:color w:val="000000"/>
                <w:sz w:val="26"/>
                <w:szCs w:val="26"/>
                <w:lang w:eastAsia="en-US"/>
              </w:rPr>
              <w:t>5.apakšpunkts</w:t>
            </w:r>
          </w:p>
        </w:tc>
        <w:tc>
          <w:tcPr>
            <w:tcW w:w="2443" w:type="dxa"/>
            <w:tcBorders>
              <w:top w:val="single" w:sz="4" w:space="0" w:color="auto"/>
              <w:left w:val="single" w:sz="4" w:space="0" w:color="auto"/>
              <w:bottom w:val="single" w:sz="4" w:space="0" w:color="auto"/>
              <w:right w:val="single" w:sz="4" w:space="0" w:color="auto"/>
            </w:tcBorders>
          </w:tcPr>
          <w:p w14:paraId="01839490" w14:textId="66806399" w:rsidR="00C01988" w:rsidRPr="001F51C3" w:rsidRDefault="00C01988" w:rsidP="00C01988">
            <w:pPr>
              <w:rPr>
                <w:iCs/>
                <w:color w:val="000000"/>
                <w:sz w:val="26"/>
                <w:szCs w:val="26"/>
              </w:rPr>
            </w:pPr>
            <w:r w:rsidRPr="001F51C3">
              <w:rPr>
                <w:iCs/>
                <w:color w:val="000000"/>
                <w:sz w:val="26"/>
                <w:szCs w:val="26"/>
              </w:rPr>
              <w:t>Vienība tiek ieviestas pilnībā.</w:t>
            </w:r>
          </w:p>
        </w:tc>
        <w:tc>
          <w:tcPr>
            <w:tcW w:w="2443" w:type="dxa"/>
            <w:tcBorders>
              <w:top w:val="single" w:sz="4" w:space="0" w:color="auto"/>
              <w:left w:val="single" w:sz="4" w:space="0" w:color="auto"/>
              <w:bottom w:val="single" w:sz="4" w:space="0" w:color="auto"/>
              <w:right w:val="single" w:sz="4" w:space="0" w:color="auto"/>
            </w:tcBorders>
          </w:tcPr>
          <w:p w14:paraId="2FE714EE" w14:textId="6679C8FC" w:rsidR="00C01988" w:rsidRPr="001F51C3" w:rsidRDefault="00C01988" w:rsidP="00C01988">
            <w:pPr>
              <w:rPr>
                <w:iCs/>
                <w:color w:val="000000"/>
                <w:sz w:val="26"/>
                <w:szCs w:val="26"/>
              </w:rPr>
            </w:pPr>
            <w:r w:rsidRPr="001F51C3">
              <w:rPr>
                <w:iCs/>
                <w:color w:val="000000"/>
                <w:sz w:val="26"/>
                <w:szCs w:val="26"/>
              </w:rPr>
              <w:t>Netiek paredzētas stingrākas prasības.</w:t>
            </w:r>
          </w:p>
        </w:tc>
      </w:tr>
      <w:tr w:rsidR="00C01988" w:rsidRPr="001F51C3" w14:paraId="4C540E71" w14:textId="77777777" w:rsidTr="00324488">
        <w:tc>
          <w:tcPr>
            <w:tcW w:w="2442" w:type="dxa"/>
            <w:tcBorders>
              <w:top w:val="single" w:sz="4" w:space="0" w:color="auto"/>
              <w:left w:val="single" w:sz="4" w:space="0" w:color="auto"/>
              <w:bottom w:val="single" w:sz="4" w:space="0" w:color="auto"/>
              <w:right w:val="single" w:sz="4" w:space="0" w:color="auto"/>
            </w:tcBorders>
          </w:tcPr>
          <w:p w14:paraId="5DA368CC" w14:textId="4D0982F8" w:rsidR="00C01988" w:rsidRPr="001F51C3" w:rsidRDefault="00896DCF" w:rsidP="00C01988">
            <w:pPr>
              <w:rPr>
                <w:bCs/>
                <w:sz w:val="26"/>
                <w:szCs w:val="26"/>
              </w:rPr>
            </w:pPr>
            <w:r w:rsidRPr="001F51C3">
              <w:rPr>
                <w:bCs/>
                <w:sz w:val="26"/>
                <w:szCs w:val="26"/>
              </w:rPr>
              <w:t xml:space="preserve">Regula </w:t>
            </w:r>
            <w:r w:rsidR="00C01988" w:rsidRPr="001F51C3">
              <w:rPr>
                <w:bCs/>
                <w:sz w:val="26"/>
                <w:szCs w:val="26"/>
              </w:rPr>
              <w:t>Nr.1408/2013 1.panta 2. un 3.punkts</w:t>
            </w:r>
          </w:p>
        </w:tc>
        <w:tc>
          <w:tcPr>
            <w:tcW w:w="2443" w:type="dxa"/>
            <w:tcBorders>
              <w:top w:val="single" w:sz="4" w:space="0" w:color="auto"/>
              <w:left w:val="single" w:sz="4" w:space="0" w:color="auto"/>
              <w:bottom w:val="single" w:sz="4" w:space="0" w:color="auto"/>
              <w:right w:val="single" w:sz="4" w:space="0" w:color="auto"/>
            </w:tcBorders>
          </w:tcPr>
          <w:p w14:paraId="60F83692" w14:textId="3A27FBD2" w:rsidR="00C01988" w:rsidRPr="001F51C3" w:rsidRDefault="00896DCF" w:rsidP="00C01988">
            <w:pPr>
              <w:rPr>
                <w:iCs/>
                <w:color w:val="000000"/>
                <w:sz w:val="26"/>
                <w:szCs w:val="26"/>
                <w:lang w:eastAsia="en-US"/>
              </w:rPr>
            </w:pPr>
            <w:r w:rsidRPr="001F51C3">
              <w:rPr>
                <w:iCs/>
                <w:color w:val="000000"/>
                <w:sz w:val="26"/>
                <w:szCs w:val="26"/>
                <w:lang w:eastAsia="en-US"/>
              </w:rPr>
              <w:t xml:space="preserve">Noteikumu projekta </w:t>
            </w:r>
            <w:r w:rsidR="005650B6" w:rsidRPr="001F51C3">
              <w:rPr>
                <w:iCs/>
                <w:color w:val="000000"/>
                <w:sz w:val="26"/>
                <w:szCs w:val="26"/>
                <w:lang w:eastAsia="en-US"/>
              </w:rPr>
              <w:t>24</w:t>
            </w:r>
            <w:r w:rsidR="00C01988" w:rsidRPr="001F51C3">
              <w:rPr>
                <w:iCs/>
                <w:color w:val="000000"/>
                <w:sz w:val="26"/>
                <w:szCs w:val="26"/>
                <w:lang w:eastAsia="en-US"/>
              </w:rPr>
              <w:t>.5.apakšpunkts</w:t>
            </w:r>
          </w:p>
        </w:tc>
        <w:tc>
          <w:tcPr>
            <w:tcW w:w="2443" w:type="dxa"/>
            <w:tcBorders>
              <w:top w:val="single" w:sz="4" w:space="0" w:color="auto"/>
              <w:left w:val="single" w:sz="4" w:space="0" w:color="auto"/>
              <w:bottom w:val="single" w:sz="4" w:space="0" w:color="auto"/>
              <w:right w:val="single" w:sz="4" w:space="0" w:color="auto"/>
            </w:tcBorders>
          </w:tcPr>
          <w:p w14:paraId="2D525E6D" w14:textId="2DFFEA9D" w:rsidR="00C01988" w:rsidRPr="001F51C3" w:rsidRDefault="00C01988" w:rsidP="00C01988">
            <w:pPr>
              <w:rPr>
                <w:iCs/>
                <w:color w:val="000000"/>
                <w:sz w:val="26"/>
                <w:szCs w:val="26"/>
              </w:rPr>
            </w:pPr>
            <w:r w:rsidRPr="001F51C3">
              <w:rPr>
                <w:iCs/>
                <w:color w:val="000000"/>
                <w:sz w:val="26"/>
                <w:szCs w:val="26"/>
              </w:rPr>
              <w:t>Vienība tiek ieviestas pilnībā.</w:t>
            </w:r>
          </w:p>
        </w:tc>
        <w:tc>
          <w:tcPr>
            <w:tcW w:w="2443" w:type="dxa"/>
            <w:tcBorders>
              <w:top w:val="single" w:sz="4" w:space="0" w:color="auto"/>
              <w:left w:val="single" w:sz="4" w:space="0" w:color="auto"/>
              <w:bottom w:val="single" w:sz="4" w:space="0" w:color="auto"/>
              <w:right w:val="single" w:sz="4" w:space="0" w:color="auto"/>
            </w:tcBorders>
          </w:tcPr>
          <w:p w14:paraId="4BFD37D7" w14:textId="4DD85EFA" w:rsidR="00C01988" w:rsidRPr="001F51C3" w:rsidRDefault="00C01988" w:rsidP="00C01988">
            <w:pPr>
              <w:rPr>
                <w:iCs/>
                <w:color w:val="000000"/>
                <w:sz w:val="26"/>
                <w:szCs w:val="26"/>
              </w:rPr>
            </w:pPr>
            <w:r w:rsidRPr="001F51C3">
              <w:rPr>
                <w:iCs/>
                <w:color w:val="000000"/>
                <w:sz w:val="26"/>
                <w:szCs w:val="26"/>
              </w:rPr>
              <w:t>Netiek paredzētas stingrākas prasības.</w:t>
            </w:r>
          </w:p>
        </w:tc>
      </w:tr>
      <w:tr w:rsidR="00896DCF" w:rsidRPr="001F51C3" w14:paraId="55FD3565" w14:textId="77777777" w:rsidTr="00324488">
        <w:tc>
          <w:tcPr>
            <w:tcW w:w="2442" w:type="dxa"/>
            <w:tcBorders>
              <w:top w:val="single" w:sz="4" w:space="0" w:color="auto"/>
              <w:left w:val="single" w:sz="4" w:space="0" w:color="auto"/>
              <w:bottom w:val="single" w:sz="4" w:space="0" w:color="auto"/>
              <w:right w:val="single" w:sz="4" w:space="0" w:color="auto"/>
            </w:tcBorders>
          </w:tcPr>
          <w:p w14:paraId="7FB6108E" w14:textId="14BAFDBA" w:rsidR="00896DCF" w:rsidRPr="001F51C3" w:rsidRDefault="00896DCF" w:rsidP="00896DCF">
            <w:pPr>
              <w:rPr>
                <w:bCs/>
                <w:sz w:val="26"/>
                <w:szCs w:val="26"/>
              </w:rPr>
            </w:pPr>
            <w:r w:rsidRPr="001F51C3">
              <w:rPr>
                <w:bCs/>
                <w:sz w:val="26"/>
                <w:szCs w:val="26"/>
              </w:rPr>
              <w:t>Regula Nr.1407/2013 6.panta 4.punkts</w:t>
            </w:r>
          </w:p>
        </w:tc>
        <w:tc>
          <w:tcPr>
            <w:tcW w:w="2443" w:type="dxa"/>
            <w:tcBorders>
              <w:top w:val="single" w:sz="4" w:space="0" w:color="auto"/>
              <w:left w:val="single" w:sz="4" w:space="0" w:color="auto"/>
              <w:bottom w:val="single" w:sz="4" w:space="0" w:color="auto"/>
              <w:right w:val="single" w:sz="4" w:space="0" w:color="auto"/>
            </w:tcBorders>
          </w:tcPr>
          <w:p w14:paraId="06A626ED" w14:textId="1DF3CD00" w:rsidR="00896DCF" w:rsidRPr="001F51C3" w:rsidRDefault="00896DCF" w:rsidP="00896DCF">
            <w:pPr>
              <w:rPr>
                <w:iCs/>
                <w:color w:val="000000"/>
                <w:sz w:val="26"/>
                <w:szCs w:val="26"/>
                <w:lang w:eastAsia="en-US"/>
              </w:rPr>
            </w:pPr>
            <w:r w:rsidRPr="001F51C3">
              <w:rPr>
                <w:iCs/>
                <w:color w:val="000000"/>
                <w:sz w:val="26"/>
                <w:szCs w:val="26"/>
                <w:lang w:eastAsia="en-US"/>
              </w:rPr>
              <w:t>Noteikumu projekta</w:t>
            </w:r>
            <w:r w:rsidR="005650B6" w:rsidRPr="001F51C3">
              <w:rPr>
                <w:iCs/>
                <w:color w:val="000000"/>
                <w:sz w:val="26"/>
                <w:szCs w:val="26"/>
                <w:lang w:eastAsia="en-US"/>
              </w:rPr>
              <w:t xml:space="preserve"> 26</w:t>
            </w:r>
            <w:r w:rsidRPr="001F51C3">
              <w:rPr>
                <w:iCs/>
                <w:color w:val="000000"/>
                <w:sz w:val="26"/>
                <w:szCs w:val="26"/>
                <w:lang w:eastAsia="en-US"/>
              </w:rPr>
              <w:t>. punkts</w:t>
            </w:r>
          </w:p>
        </w:tc>
        <w:tc>
          <w:tcPr>
            <w:tcW w:w="2443" w:type="dxa"/>
            <w:tcBorders>
              <w:top w:val="single" w:sz="4" w:space="0" w:color="auto"/>
              <w:left w:val="single" w:sz="4" w:space="0" w:color="auto"/>
              <w:bottom w:val="single" w:sz="4" w:space="0" w:color="auto"/>
              <w:right w:val="single" w:sz="4" w:space="0" w:color="auto"/>
            </w:tcBorders>
          </w:tcPr>
          <w:p w14:paraId="2F301802" w14:textId="20AE2AEE" w:rsidR="00896DCF" w:rsidRPr="001F51C3" w:rsidRDefault="00896DCF" w:rsidP="00896DCF">
            <w:pPr>
              <w:rPr>
                <w:iCs/>
                <w:color w:val="000000"/>
                <w:sz w:val="26"/>
                <w:szCs w:val="26"/>
              </w:rPr>
            </w:pPr>
            <w:r w:rsidRPr="001F51C3">
              <w:rPr>
                <w:iCs/>
                <w:color w:val="000000"/>
                <w:sz w:val="26"/>
                <w:szCs w:val="26"/>
              </w:rPr>
              <w:t>Vienība tiek ieviestas pilnībā.</w:t>
            </w:r>
          </w:p>
        </w:tc>
        <w:tc>
          <w:tcPr>
            <w:tcW w:w="2443" w:type="dxa"/>
            <w:tcBorders>
              <w:top w:val="single" w:sz="4" w:space="0" w:color="auto"/>
              <w:left w:val="single" w:sz="4" w:space="0" w:color="auto"/>
              <w:bottom w:val="single" w:sz="4" w:space="0" w:color="auto"/>
              <w:right w:val="single" w:sz="4" w:space="0" w:color="auto"/>
            </w:tcBorders>
          </w:tcPr>
          <w:p w14:paraId="6315CA42" w14:textId="54B1BD88" w:rsidR="00896DCF" w:rsidRPr="001F51C3" w:rsidRDefault="00896DCF" w:rsidP="00896DCF">
            <w:pPr>
              <w:rPr>
                <w:iCs/>
                <w:color w:val="000000"/>
                <w:sz w:val="26"/>
                <w:szCs w:val="26"/>
              </w:rPr>
            </w:pPr>
            <w:r w:rsidRPr="001F51C3">
              <w:rPr>
                <w:iCs/>
                <w:color w:val="000000"/>
                <w:sz w:val="26"/>
                <w:szCs w:val="26"/>
              </w:rPr>
              <w:t>Netiek paredzētas stingrākas prasības.</w:t>
            </w:r>
          </w:p>
        </w:tc>
      </w:tr>
      <w:tr w:rsidR="00896DCF" w:rsidRPr="001F51C3" w14:paraId="5EBD2FC3" w14:textId="77777777" w:rsidTr="00324488">
        <w:tc>
          <w:tcPr>
            <w:tcW w:w="2442" w:type="dxa"/>
            <w:tcBorders>
              <w:top w:val="single" w:sz="4" w:space="0" w:color="auto"/>
              <w:left w:val="single" w:sz="4" w:space="0" w:color="auto"/>
              <w:bottom w:val="single" w:sz="4" w:space="0" w:color="auto"/>
              <w:right w:val="single" w:sz="4" w:space="0" w:color="auto"/>
            </w:tcBorders>
          </w:tcPr>
          <w:p w14:paraId="27D26B98" w14:textId="2A38E333" w:rsidR="00896DCF" w:rsidRPr="001F51C3" w:rsidRDefault="00896DCF" w:rsidP="00896DCF">
            <w:pPr>
              <w:rPr>
                <w:bCs/>
                <w:sz w:val="26"/>
                <w:szCs w:val="26"/>
              </w:rPr>
            </w:pPr>
            <w:r w:rsidRPr="001F51C3">
              <w:rPr>
                <w:bCs/>
                <w:sz w:val="26"/>
                <w:szCs w:val="26"/>
              </w:rPr>
              <w:t>Regula Nr.1408/2013 6.panta 4.punkts</w:t>
            </w:r>
          </w:p>
        </w:tc>
        <w:tc>
          <w:tcPr>
            <w:tcW w:w="2443" w:type="dxa"/>
            <w:tcBorders>
              <w:top w:val="single" w:sz="4" w:space="0" w:color="auto"/>
              <w:left w:val="single" w:sz="4" w:space="0" w:color="auto"/>
              <w:bottom w:val="single" w:sz="4" w:space="0" w:color="auto"/>
              <w:right w:val="single" w:sz="4" w:space="0" w:color="auto"/>
            </w:tcBorders>
          </w:tcPr>
          <w:p w14:paraId="4E7666E2" w14:textId="4B8562C7" w:rsidR="00896DCF" w:rsidRPr="001F51C3" w:rsidRDefault="005650B6" w:rsidP="00896DCF">
            <w:pPr>
              <w:rPr>
                <w:iCs/>
                <w:color w:val="000000"/>
                <w:sz w:val="26"/>
                <w:szCs w:val="26"/>
                <w:lang w:eastAsia="en-US"/>
              </w:rPr>
            </w:pPr>
            <w:r w:rsidRPr="001F51C3">
              <w:rPr>
                <w:iCs/>
                <w:color w:val="000000"/>
                <w:sz w:val="26"/>
                <w:szCs w:val="26"/>
                <w:lang w:eastAsia="en-US"/>
              </w:rPr>
              <w:t>Noteikumu projekta 26</w:t>
            </w:r>
            <w:r w:rsidR="00896DCF" w:rsidRPr="001F51C3">
              <w:rPr>
                <w:iCs/>
                <w:color w:val="000000"/>
                <w:sz w:val="26"/>
                <w:szCs w:val="26"/>
                <w:lang w:eastAsia="en-US"/>
              </w:rPr>
              <w:t>. punkts</w:t>
            </w:r>
          </w:p>
        </w:tc>
        <w:tc>
          <w:tcPr>
            <w:tcW w:w="2443" w:type="dxa"/>
            <w:tcBorders>
              <w:top w:val="single" w:sz="4" w:space="0" w:color="auto"/>
              <w:left w:val="single" w:sz="4" w:space="0" w:color="auto"/>
              <w:bottom w:val="single" w:sz="4" w:space="0" w:color="auto"/>
              <w:right w:val="single" w:sz="4" w:space="0" w:color="auto"/>
            </w:tcBorders>
          </w:tcPr>
          <w:p w14:paraId="2F55BC93" w14:textId="13B17B07" w:rsidR="00896DCF" w:rsidRPr="001F51C3" w:rsidRDefault="00896DCF" w:rsidP="00896DCF">
            <w:pPr>
              <w:rPr>
                <w:iCs/>
                <w:color w:val="000000"/>
                <w:sz w:val="26"/>
                <w:szCs w:val="26"/>
              </w:rPr>
            </w:pPr>
            <w:r w:rsidRPr="001F51C3">
              <w:rPr>
                <w:iCs/>
                <w:color w:val="000000"/>
                <w:sz w:val="26"/>
                <w:szCs w:val="26"/>
              </w:rPr>
              <w:t>Vienība tiek ieviestas pilnībā.</w:t>
            </w:r>
          </w:p>
        </w:tc>
        <w:tc>
          <w:tcPr>
            <w:tcW w:w="2443" w:type="dxa"/>
            <w:tcBorders>
              <w:top w:val="single" w:sz="4" w:space="0" w:color="auto"/>
              <w:left w:val="single" w:sz="4" w:space="0" w:color="auto"/>
              <w:bottom w:val="single" w:sz="4" w:space="0" w:color="auto"/>
              <w:right w:val="single" w:sz="4" w:space="0" w:color="auto"/>
            </w:tcBorders>
          </w:tcPr>
          <w:p w14:paraId="07303064" w14:textId="1AC96DD3" w:rsidR="00896DCF" w:rsidRPr="001F51C3" w:rsidRDefault="00896DCF" w:rsidP="00896DCF">
            <w:pPr>
              <w:rPr>
                <w:iCs/>
                <w:color w:val="000000"/>
                <w:sz w:val="26"/>
                <w:szCs w:val="26"/>
              </w:rPr>
            </w:pPr>
            <w:r w:rsidRPr="001F51C3">
              <w:rPr>
                <w:iCs/>
                <w:color w:val="000000"/>
                <w:sz w:val="26"/>
                <w:szCs w:val="26"/>
              </w:rPr>
              <w:t>Netiek paredzētas stingrākas prasības.</w:t>
            </w:r>
          </w:p>
        </w:tc>
      </w:tr>
      <w:tr w:rsidR="00896DCF" w:rsidRPr="001F51C3" w14:paraId="4B3D1AA8" w14:textId="77777777" w:rsidTr="00324488">
        <w:tc>
          <w:tcPr>
            <w:tcW w:w="2442" w:type="dxa"/>
            <w:tcBorders>
              <w:top w:val="single" w:sz="4" w:space="0" w:color="auto"/>
              <w:left w:val="single" w:sz="4" w:space="0" w:color="auto"/>
              <w:bottom w:val="single" w:sz="4" w:space="0" w:color="auto"/>
              <w:right w:val="single" w:sz="4" w:space="0" w:color="auto"/>
            </w:tcBorders>
          </w:tcPr>
          <w:p w14:paraId="367F4109" w14:textId="14F2AD23" w:rsidR="00896DCF" w:rsidRPr="001F51C3" w:rsidRDefault="00896DCF" w:rsidP="00896DCF">
            <w:pPr>
              <w:rPr>
                <w:bCs/>
                <w:sz w:val="26"/>
                <w:szCs w:val="26"/>
              </w:rPr>
            </w:pPr>
            <w:r w:rsidRPr="001F51C3">
              <w:rPr>
                <w:bCs/>
                <w:sz w:val="26"/>
                <w:szCs w:val="26"/>
              </w:rPr>
              <w:t>Regula Nr.717/2014</w:t>
            </w:r>
          </w:p>
          <w:p w14:paraId="4B613A21" w14:textId="4AEEC612" w:rsidR="00896DCF" w:rsidRPr="001F51C3" w:rsidRDefault="00896DCF" w:rsidP="00896DCF">
            <w:pPr>
              <w:rPr>
                <w:bCs/>
                <w:sz w:val="26"/>
                <w:szCs w:val="26"/>
              </w:rPr>
            </w:pPr>
            <w:r w:rsidRPr="001F51C3">
              <w:rPr>
                <w:bCs/>
                <w:sz w:val="26"/>
                <w:szCs w:val="26"/>
              </w:rPr>
              <w:t>6.panta 4.punkts</w:t>
            </w:r>
          </w:p>
        </w:tc>
        <w:tc>
          <w:tcPr>
            <w:tcW w:w="2443" w:type="dxa"/>
            <w:tcBorders>
              <w:top w:val="single" w:sz="4" w:space="0" w:color="auto"/>
              <w:left w:val="single" w:sz="4" w:space="0" w:color="auto"/>
              <w:bottom w:val="single" w:sz="4" w:space="0" w:color="auto"/>
              <w:right w:val="single" w:sz="4" w:space="0" w:color="auto"/>
            </w:tcBorders>
          </w:tcPr>
          <w:p w14:paraId="6BFFED69" w14:textId="34C37A48" w:rsidR="00896DCF" w:rsidRPr="001F51C3" w:rsidRDefault="005650B6" w:rsidP="00896DCF">
            <w:pPr>
              <w:rPr>
                <w:iCs/>
                <w:color w:val="000000"/>
                <w:sz w:val="26"/>
                <w:szCs w:val="26"/>
                <w:lang w:eastAsia="en-US"/>
              </w:rPr>
            </w:pPr>
            <w:r w:rsidRPr="001F51C3">
              <w:rPr>
                <w:iCs/>
                <w:color w:val="000000"/>
                <w:sz w:val="26"/>
                <w:szCs w:val="26"/>
                <w:lang w:eastAsia="en-US"/>
              </w:rPr>
              <w:t>Noteikumu projekta 26</w:t>
            </w:r>
            <w:r w:rsidR="00896DCF" w:rsidRPr="001F51C3">
              <w:rPr>
                <w:iCs/>
                <w:color w:val="000000"/>
                <w:sz w:val="26"/>
                <w:szCs w:val="26"/>
                <w:lang w:eastAsia="en-US"/>
              </w:rPr>
              <w:t>. punkts</w:t>
            </w:r>
          </w:p>
        </w:tc>
        <w:tc>
          <w:tcPr>
            <w:tcW w:w="2443" w:type="dxa"/>
            <w:tcBorders>
              <w:top w:val="single" w:sz="4" w:space="0" w:color="auto"/>
              <w:left w:val="single" w:sz="4" w:space="0" w:color="auto"/>
              <w:bottom w:val="single" w:sz="4" w:space="0" w:color="auto"/>
              <w:right w:val="single" w:sz="4" w:space="0" w:color="auto"/>
            </w:tcBorders>
          </w:tcPr>
          <w:p w14:paraId="5443C4C9" w14:textId="022A3FB2" w:rsidR="00896DCF" w:rsidRPr="001F51C3" w:rsidRDefault="00896DCF" w:rsidP="00896DCF">
            <w:pPr>
              <w:rPr>
                <w:iCs/>
                <w:color w:val="000000"/>
                <w:sz w:val="26"/>
                <w:szCs w:val="26"/>
              </w:rPr>
            </w:pPr>
            <w:r w:rsidRPr="001F51C3">
              <w:rPr>
                <w:iCs/>
                <w:color w:val="000000"/>
                <w:sz w:val="26"/>
                <w:szCs w:val="26"/>
              </w:rPr>
              <w:t>Vienība tiek ieviestas pilnībā.</w:t>
            </w:r>
          </w:p>
        </w:tc>
        <w:tc>
          <w:tcPr>
            <w:tcW w:w="2443" w:type="dxa"/>
            <w:tcBorders>
              <w:top w:val="single" w:sz="4" w:space="0" w:color="auto"/>
              <w:left w:val="single" w:sz="4" w:space="0" w:color="auto"/>
              <w:bottom w:val="single" w:sz="4" w:space="0" w:color="auto"/>
              <w:right w:val="single" w:sz="4" w:space="0" w:color="auto"/>
            </w:tcBorders>
          </w:tcPr>
          <w:p w14:paraId="46E145BC" w14:textId="29DA4889" w:rsidR="00896DCF" w:rsidRPr="001F51C3" w:rsidRDefault="00896DCF" w:rsidP="00896DCF">
            <w:pPr>
              <w:rPr>
                <w:iCs/>
                <w:color w:val="000000"/>
                <w:sz w:val="26"/>
                <w:szCs w:val="26"/>
              </w:rPr>
            </w:pPr>
            <w:r w:rsidRPr="001F51C3">
              <w:rPr>
                <w:iCs/>
                <w:color w:val="000000"/>
                <w:sz w:val="26"/>
                <w:szCs w:val="26"/>
              </w:rPr>
              <w:t>Netiek paredzētas stingrākas prasības.</w:t>
            </w:r>
          </w:p>
        </w:tc>
      </w:tr>
      <w:tr w:rsidR="00F93537" w:rsidRPr="001F51C3" w14:paraId="52431B4F" w14:textId="77777777" w:rsidTr="00324488">
        <w:tc>
          <w:tcPr>
            <w:tcW w:w="2442" w:type="dxa"/>
            <w:tcBorders>
              <w:top w:val="single" w:sz="4" w:space="0" w:color="auto"/>
              <w:left w:val="single" w:sz="4" w:space="0" w:color="auto"/>
              <w:bottom w:val="single" w:sz="4" w:space="0" w:color="auto"/>
              <w:right w:val="single" w:sz="4" w:space="0" w:color="auto"/>
            </w:tcBorders>
          </w:tcPr>
          <w:p w14:paraId="25F192D7" w14:textId="6AB1E6BC" w:rsidR="00F93537" w:rsidRPr="001F51C3" w:rsidRDefault="00F93537" w:rsidP="00F93537">
            <w:pPr>
              <w:rPr>
                <w:color w:val="000000"/>
                <w:sz w:val="26"/>
                <w:szCs w:val="26"/>
              </w:rPr>
            </w:pPr>
            <w:r w:rsidRPr="001F51C3">
              <w:rPr>
                <w:color w:val="000000"/>
                <w:sz w:val="26"/>
                <w:szCs w:val="26"/>
              </w:rPr>
              <w:t>Eiropas Parlamenta un Padomes Regula Nr. 1303/2013</w:t>
            </w:r>
          </w:p>
        </w:tc>
        <w:tc>
          <w:tcPr>
            <w:tcW w:w="2443" w:type="dxa"/>
            <w:tcBorders>
              <w:top w:val="single" w:sz="4" w:space="0" w:color="auto"/>
              <w:left w:val="single" w:sz="4" w:space="0" w:color="auto"/>
              <w:bottom w:val="single" w:sz="4" w:space="0" w:color="auto"/>
              <w:right w:val="single" w:sz="4" w:space="0" w:color="auto"/>
            </w:tcBorders>
          </w:tcPr>
          <w:p w14:paraId="3F9B05C4" w14:textId="30E8F6F7" w:rsidR="00F93537" w:rsidRPr="001F51C3" w:rsidRDefault="00F93537" w:rsidP="00F93537">
            <w:pPr>
              <w:rPr>
                <w:iCs/>
                <w:color w:val="000000"/>
                <w:sz w:val="26"/>
                <w:szCs w:val="26"/>
                <w:lang w:eastAsia="en-US"/>
              </w:rPr>
            </w:pPr>
            <w:r w:rsidRPr="001F51C3">
              <w:rPr>
                <w:iCs/>
                <w:color w:val="000000"/>
                <w:sz w:val="26"/>
                <w:szCs w:val="26"/>
                <w:lang w:eastAsia="en-US"/>
              </w:rPr>
              <w:t xml:space="preserve">Noteikumu projekta </w:t>
            </w:r>
            <w:r w:rsidR="005650B6" w:rsidRPr="001F51C3">
              <w:rPr>
                <w:iCs/>
                <w:color w:val="000000"/>
                <w:sz w:val="26"/>
                <w:szCs w:val="26"/>
                <w:lang w:eastAsia="en-US"/>
              </w:rPr>
              <w:t>53</w:t>
            </w:r>
            <w:r w:rsidR="0049541D" w:rsidRPr="001F51C3">
              <w:rPr>
                <w:iCs/>
                <w:color w:val="000000"/>
                <w:sz w:val="26"/>
                <w:szCs w:val="26"/>
                <w:lang w:eastAsia="en-US"/>
              </w:rPr>
              <w:t>.1.</w:t>
            </w:r>
            <w:r w:rsidRPr="001F51C3">
              <w:rPr>
                <w:iCs/>
                <w:color w:val="000000"/>
                <w:sz w:val="26"/>
                <w:szCs w:val="26"/>
                <w:lang w:eastAsia="en-US"/>
              </w:rPr>
              <w:t>apakšpunkts</w:t>
            </w:r>
          </w:p>
        </w:tc>
        <w:tc>
          <w:tcPr>
            <w:tcW w:w="2443" w:type="dxa"/>
            <w:tcBorders>
              <w:top w:val="single" w:sz="4" w:space="0" w:color="auto"/>
              <w:left w:val="single" w:sz="4" w:space="0" w:color="auto"/>
              <w:bottom w:val="single" w:sz="4" w:space="0" w:color="auto"/>
              <w:right w:val="single" w:sz="4" w:space="0" w:color="auto"/>
            </w:tcBorders>
          </w:tcPr>
          <w:p w14:paraId="244BEF00" w14:textId="77777777" w:rsidR="00F93537" w:rsidRPr="001F51C3" w:rsidRDefault="00F93537" w:rsidP="00F93537">
            <w:pPr>
              <w:rPr>
                <w:iCs/>
                <w:color w:val="000000"/>
                <w:sz w:val="26"/>
                <w:szCs w:val="26"/>
              </w:rPr>
            </w:pPr>
            <w:r w:rsidRPr="001F51C3">
              <w:rPr>
                <w:iCs/>
                <w:color w:val="000000"/>
                <w:sz w:val="26"/>
                <w:szCs w:val="26"/>
              </w:rPr>
              <w:t>Vienība tiek ieviestas pilnībā.</w:t>
            </w:r>
          </w:p>
          <w:p w14:paraId="39390ADE" w14:textId="6AA67287" w:rsidR="00F93537" w:rsidRPr="001F51C3" w:rsidRDefault="00F93537" w:rsidP="00F93537">
            <w:pPr>
              <w:rPr>
                <w:iCs/>
                <w:color w:val="000000"/>
                <w:sz w:val="26"/>
                <w:szCs w:val="26"/>
              </w:rPr>
            </w:pPr>
            <w:r w:rsidRPr="001F51C3">
              <w:rPr>
                <w:iCs/>
                <w:color w:val="000000"/>
                <w:sz w:val="26"/>
                <w:szCs w:val="26"/>
              </w:rPr>
              <w:t xml:space="preserve">(Vispārēja atsauce uz komunikācijas un vizuālās identitātes prasībām) </w:t>
            </w:r>
          </w:p>
        </w:tc>
        <w:tc>
          <w:tcPr>
            <w:tcW w:w="2443" w:type="dxa"/>
            <w:tcBorders>
              <w:top w:val="single" w:sz="4" w:space="0" w:color="auto"/>
              <w:left w:val="single" w:sz="4" w:space="0" w:color="auto"/>
              <w:bottom w:val="single" w:sz="4" w:space="0" w:color="auto"/>
              <w:right w:val="single" w:sz="4" w:space="0" w:color="auto"/>
            </w:tcBorders>
          </w:tcPr>
          <w:p w14:paraId="5C62B83E" w14:textId="33E3AB06" w:rsidR="00F93537" w:rsidRPr="001F51C3" w:rsidRDefault="00F93537" w:rsidP="00F93537">
            <w:pPr>
              <w:rPr>
                <w:iCs/>
                <w:color w:val="000000"/>
                <w:sz w:val="26"/>
                <w:szCs w:val="26"/>
              </w:rPr>
            </w:pPr>
            <w:r w:rsidRPr="001F51C3">
              <w:rPr>
                <w:iCs/>
                <w:color w:val="000000"/>
                <w:sz w:val="26"/>
                <w:szCs w:val="26"/>
              </w:rPr>
              <w:t>Netiek paredzētas stingrākas prasības.</w:t>
            </w:r>
          </w:p>
        </w:tc>
      </w:tr>
      <w:tr w:rsidR="006A34FF" w:rsidRPr="001F51C3" w14:paraId="1D83AF3C" w14:textId="77777777" w:rsidTr="00324488">
        <w:tc>
          <w:tcPr>
            <w:tcW w:w="4885" w:type="dxa"/>
            <w:gridSpan w:val="2"/>
            <w:tcBorders>
              <w:top w:val="single" w:sz="4" w:space="0" w:color="auto"/>
              <w:left w:val="single" w:sz="4" w:space="0" w:color="auto"/>
              <w:bottom w:val="single" w:sz="4" w:space="0" w:color="auto"/>
              <w:right w:val="single" w:sz="4" w:space="0" w:color="auto"/>
            </w:tcBorders>
            <w:hideMark/>
          </w:tcPr>
          <w:p w14:paraId="4FC4384C" w14:textId="77777777" w:rsidR="006A34FF" w:rsidRPr="001F51C3" w:rsidRDefault="006A34FF" w:rsidP="00095C9A">
            <w:pPr>
              <w:rPr>
                <w:color w:val="000000"/>
                <w:sz w:val="26"/>
                <w:szCs w:val="26"/>
              </w:rPr>
            </w:pPr>
            <w:r w:rsidRPr="001F51C3">
              <w:rPr>
                <w:color w:val="000000"/>
                <w:sz w:val="26"/>
                <w:szCs w:val="26"/>
              </w:rPr>
              <w:t>Kā ir izmantota ES tiesību aktā paredzētā rīcības brīvība dalībvalstij pārņemt vai ieviest noteiktas ES tiesību akta normas?</w:t>
            </w:r>
          </w:p>
          <w:p w14:paraId="35B09826" w14:textId="77777777" w:rsidR="006A34FF" w:rsidRPr="001F51C3" w:rsidRDefault="006A34FF" w:rsidP="00095C9A">
            <w:pPr>
              <w:rPr>
                <w:i/>
                <w:color w:val="000000"/>
                <w:sz w:val="26"/>
                <w:szCs w:val="26"/>
                <w:lang w:eastAsia="en-US"/>
              </w:rPr>
            </w:pPr>
            <w:r w:rsidRPr="001F51C3">
              <w:rPr>
                <w:color w:val="000000"/>
                <w:sz w:val="26"/>
                <w:szCs w:val="26"/>
              </w:rPr>
              <w:t>Kādēļ?</w:t>
            </w:r>
          </w:p>
        </w:tc>
        <w:tc>
          <w:tcPr>
            <w:tcW w:w="4886" w:type="dxa"/>
            <w:gridSpan w:val="2"/>
            <w:tcBorders>
              <w:top w:val="single" w:sz="4" w:space="0" w:color="auto"/>
              <w:left w:val="single" w:sz="4" w:space="0" w:color="auto"/>
              <w:bottom w:val="single" w:sz="4" w:space="0" w:color="auto"/>
              <w:right w:val="single" w:sz="4" w:space="0" w:color="auto"/>
            </w:tcBorders>
            <w:hideMark/>
          </w:tcPr>
          <w:p w14:paraId="52C9A9CB" w14:textId="77777777" w:rsidR="006A34FF" w:rsidRPr="001F51C3" w:rsidRDefault="006A34FF" w:rsidP="00095C9A">
            <w:pPr>
              <w:rPr>
                <w:color w:val="000000"/>
                <w:sz w:val="26"/>
                <w:szCs w:val="26"/>
                <w:lang w:eastAsia="en-US"/>
              </w:rPr>
            </w:pPr>
            <w:r w:rsidRPr="001F51C3">
              <w:rPr>
                <w:iCs/>
                <w:color w:val="000000"/>
                <w:sz w:val="26"/>
                <w:szCs w:val="26"/>
              </w:rPr>
              <w:t>MK noteikumu projekts šo jomu neskar.</w:t>
            </w:r>
          </w:p>
        </w:tc>
      </w:tr>
      <w:tr w:rsidR="006A34FF" w:rsidRPr="001F51C3" w14:paraId="35222D1A" w14:textId="77777777" w:rsidTr="00324488">
        <w:tc>
          <w:tcPr>
            <w:tcW w:w="4885" w:type="dxa"/>
            <w:gridSpan w:val="2"/>
            <w:tcBorders>
              <w:top w:val="single" w:sz="4" w:space="0" w:color="auto"/>
              <w:left w:val="single" w:sz="4" w:space="0" w:color="auto"/>
              <w:bottom w:val="single" w:sz="4" w:space="0" w:color="auto"/>
              <w:right w:val="single" w:sz="4" w:space="0" w:color="auto"/>
            </w:tcBorders>
            <w:hideMark/>
          </w:tcPr>
          <w:p w14:paraId="5FE64625" w14:textId="77777777" w:rsidR="006A34FF" w:rsidRPr="001F51C3" w:rsidRDefault="006A34FF" w:rsidP="00095C9A">
            <w:pPr>
              <w:rPr>
                <w:i/>
                <w:color w:val="000000"/>
                <w:sz w:val="26"/>
                <w:szCs w:val="26"/>
                <w:lang w:eastAsia="en-US"/>
              </w:rPr>
            </w:pPr>
            <w:r w:rsidRPr="001F51C3">
              <w:rPr>
                <w:color w:val="000000"/>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886" w:type="dxa"/>
            <w:gridSpan w:val="2"/>
            <w:tcBorders>
              <w:top w:val="single" w:sz="4" w:space="0" w:color="auto"/>
              <w:left w:val="single" w:sz="4" w:space="0" w:color="auto"/>
              <w:bottom w:val="single" w:sz="4" w:space="0" w:color="auto"/>
              <w:right w:val="single" w:sz="4" w:space="0" w:color="auto"/>
            </w:tcBorders>
            <w:hideMark/>
          </w:tcPr>
          <w:p w14:paraId="201DDFDF" w14:textId="77777777" w:rsidR="006A34FF" w:rsidRPr="001F51C3" w:rsidRDefault="006A34FF" w:rsidP="00095C9A">
            <w:pPr>
              <w:rPr>
                <w:color w:val="000000"/>
                <w:sz w:val="26"/>
                <w:szCs w:val="26"/>
                <w:lang w:eastAsia="en-US"/>
              </w:rPr>
            </w:pPr>
            <w:r w:rsidRPr="001F51C3">
              <w:rPr>
                <w:iCs/>
                <w:color w:val="000000"/>
                <w:sz w:val="26"/>
                <w:szCs w:val="26"/>
              </w:rPr>
              <w:t>MK noteikumu projekts šo jomu neskar.</w:t>
            </w:r>
          </w:p>
        </w:tc>
      </w:tr>
      <w:tr w:rsidR="006A34FF" w:rsidRPr="001F51C3" w14:paraId="7F3D1A78" w14:textId="77777777" w:rsidTr="00324488">
        <w:tc>
          <w:tcPr>
            <w:tcW w:w="4885" w:type="dxa"/>
            <w:gridSpan w:val="2"/>
            <w:tcBorders>
              <w:top w:val="single" w:sz="4" w:space="0" w:color="auto"/>
              <w:left w:val="single" w:sz="4" w:space="0" w:color="auto"/>
              <w:bottom w:val="single" w:sz="4" w:space="0" w:color="auto"/>
              <w:right w:val="single" w:sz="4" w:space="0" w:color="auto"/>
            </w:tcBorders>
            <w:hideMark/>
          </w:tcPr>
          <w:p w14:paraId="7B291608" w14:textId="77777777" w:rsidR="006A34FF" w:rsidRPr="001F51C3" w:rsidRDefault="006A34FF" w:rsidP="00095C9A">
            <w:pPr>
              <w:pStyle w:val="naiskr"/>
              <w:spacing w:before="0" w:beforeAutospacing="0" w:after="0" w:afterAutospacing="0" w:line="276" w:lineRule="auto"/>
              <w:rPr>
                <w:i/>
                <w:color w:val="000000"/>
                <w:sz w:val="26"/>
                <w:szCs w:val="26"/>
                <w:lang w:eastAsia="en-US"/>
              </w:rPr>
            </w:pPr>
            <w:r w:rsidRPr="001F51C3">
              <w:rPr>
                <w:color w:val="000000"/>
                <w:sz w:val="26"/>
                <w:szCs w:val="26"/>
                <w:lang w:eastAsia="en-US"/>
              </w:rPr>
              <w:t>Cita informācija</w:t>
            </w:r>
          </w:p>
        </w:tc>
        <w:tc>
          <w:tcPr>
            <w:tcW w:w="4886" w:type="dxa"/>
            <w:gridSpan w:val="2"/>
            <w:tcBorders>
              <w:top w:val="single" w:sz="4" w:space="0" w:color="auto"/>
              <w:left w:val="single" w:sz="4" w:space="0" w:color="auto"/>
              <w:bottom w:val="single" w:sz="4" w:space="0" w:color="auto"/>
              <w:right w:val="single" w:sz="4" w:space="0" w:color="auto"/>
            </w:tcBorders>
            <w:hideMark/>
          </w:tcPr>
          <w:p w14:paraId="723F3E12" w14:textId="77777777" w:rsidR="006A34FF" w:rsidRPr="001F51C3" w:rsidRDefault="006A34FF" w:rsidP="00095C9A">
            <w:pPr>
              <w:rPr>
                <w:color w:val="000000"/>
                <w:sz w:val="26"/>
                <w:szCs w:val="26"/>
                <w:lang w:eastAsia="en-US"/>
              </w:rPr>
            </w:pPr>
            <w:r w:rsidRPr="001F51C3">
              <w:rPr>
                <w:color w:val="000000"/>
                <w:sz w:val="26"/>
                <w:szCs w:val="26"/>
              </w:rPr>
              <w:t>Nav.</w:t>
            </w:r>
          </w:p>
        </w:tc>
      </w:tr>
    </w:tbl>
    <w:p w14:paraId="662D5704" w14:textId="77777777" w:rsidR="006A34FF" w:rsidRPr="001F51C3" w:rsidRDefault="006A34FF" w:rsidP="006A34FF">
      <w:pPr>
        <w:jc w:val="center"/>
        <w:rPr>
          <w:sz w:val="26"/>
          <w:szCs w:val="26"/>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828"/>
      </w:tblGrid>
      <w:tr w:rsidR="006A34FF" w:rsidRPr="001F51C3" w14:paraId="65A2ECFB" w14:textId="77777777" w:rsidTr="003E6E57">
        <w:tc>
          <w:tcPr>
            <w:tcW w:w="9776" w:type="dxa"/>
            <w:gridSpan w:val="3"/>
            <w:tcBorders>
              <w:top w:val="single" w:sz="4" w:space="0" w:color="auto"/>
              <w:left w:val="single" w:sz="4" w:space="0" w:color="auto"/>
              <w:bottom w:val="single" w:sz="4" w:space="0" w:color="auto"/>
              <w:right w:val="single" w:sz="4" w:space="0" w:color="auto"/>
            </w:tcBorders>
            <w:hideMark/>
          </w:tcPr>
          <w:p w14:paraId="7470242B" w14:textId="77777777" w:rsidR="006A34FF" w:rsidRPr="001F51C3" w:rsidRDefault="006A34FF" w:rsidP="00095C9A">
            <w:pPr>
              <w:pStyle w:val="naisnod"/>
              <w:spacing w:before="0" w:beforeAutospacing="0" w:after="0" w:afterAutospacing="0" w:line="276" w:lineRule="auto"/>
              <w:jc w:val="center"/>
              <w:rPr>
                <w:b/>
                <w:color w:val="000000"/>
                <w:sz w:val="26"/>
                <w:szCs w:val="26"/>
                <w:lang w:eastAsia="en-US"/>
              </w:rPr>
            </w:pPr>
            <w:r w:rsidRPr="001F51C3">
              <w:rPr>
                <w:b/>
                <w:color w:val="000000"/>
                <w:sz w:val="26"/>
                <w:szCs w:val="26"/>
                <w:lang w:eastAsia="en-US"/>
              </w:rPr>
              <w:t>2.tabula. Ar tiesību akta projektu uzņemtās saistības, kas izriet no starptautiskajiem tiesību aktiem vai starptautiskas institūcijas vai organizācijas dokumentiem</w:t>
            </w:r>
          </w:p>
          <w:p w14:paraId="0D287F29" w14:textId="77777777" w:rsidR="006A34FF" w:rsidRPr="001F51C3" w:rsidRDefault="006A34FF" w:rsidP="00095C9A">
            <w:pPr>
              <w:jc w:val="center"/>
              <w:rPr>
                <w:color w:val="000000"/>
                <w:sz w:val="26"/>
                <w:szCs w:val="26"/>
                <w:lang w:eastAsia="en-US"/>
              </w:rPr>
            </w:pPr>
            <w:r w:rsidRPr="001F51C3">
              <w:rPr>
                <w:b/>
                <w:color w:val="000000"/>
                <w:sz w:val="26"/>
                <w:szCs w:val="26"/>
              </w:rPr>
              <w:t>Pasākumi šo saistību izpildei</w:t>
            </w:r>
          </w:p>
        </w:tc>
      </w:tr>
      <w:tr w:rsidR="006A34FF" w:rsidRPr="001F51C3" w14:paraId="50CF3586" w14:textId="77777777" w:rsidTr="003E6E57">
        <w:tc>
          <w:tcPr>
            <w:tcW w:w="3384" w:type="dxa"/>
            <w:tcBorders>
              <w:top w:val="single" w:sz="4" w:space="0" w:color="auto"/>
              <w:left w:val="single" w:sz="4" w:space="0" w:color="auto"/>
              <w:bottom w:val="single" w:sz="4" w:space="0" w:color="auto"/>
              <w:right w:val="single" w:sz="4" w:space="0" w:color="auto"/>
            </w:tcBorders>
            <w:hideMark/>
          </w:tcPr>
          <w:p w14:paraId="366A5604" w14:textId="77777777" w:rsidR="006A34FF" w:rsidRPr="001F51C3" w:rsidRDefault="006A34FF" w:rsidP="00095C9A">
            <w:pPr>
              <w:rPr>
                <w:color w:val="000000"/>
                <w:sz w:val="26"/>
                <w:szCs w:val="26"/>
                <w:lang w:eastAsia="en-US"/>
              </w:rPr>
            </w:pPr>
            <w:r w:rsidRPr="001F51C3">
              <w:rPr>
                <w:color w:val="000000"/>
                <w:sz w:val="26"/>
                <w:szCs w:val="26"/>
              </w:rPr>
              <w:t>Attiecīgā starptautiskā tiesību akta vai starptautiskas institūcijas vai organizācijas dokumenta (turpmāk – starptautiskais dokuments) datums, numurs un nosaukums</w:t>
            </w:r>
          </w:p>
        </w:tc>
        <w:tc>
          <w:tcPr>
            <w:tcW w:w="6392" w:type="dxa"/>
            <w:gridSpan w:val="2"/>
            <w:tcBorders>
              <w:top w:val="single" w:sz="4" w:space="0" w:color="auto"/>
              <w:left w:val="single" w:sz="4" w:space="0" w:color="auto"/>
              <w:bottom w:val="single" w:sz="4" w:space="0" w:color="auto"/>
              <w:right w:val="single" w:sz="4" w:space="0" w:color="auto"/>
            </w:tcBorders>
            <w:hideMark/>
          </w:tcPr>
          <w:p w14:paraId="2872A275" w14:textId="77777777" w:rsidR="006A34FF" w:rsidRPr="001F51C3" w:rsidRDefault="006A34FF" w:rsidP="00095C9A">
            <w:pPr>
              <w:tabs>
                <w:tab w:val="left" w:pos="325"/>
              </w:tabs>
              <w:rPr>
                <w:i/>
                <w:color w:val="000000"/>
                <w:sz w:val="26"/>
                <w:szCs w:val="26"/>
                <w:lang w:eastAsia="en-US"/>
              </w:rPr>
            </w:pPr>
            <w:r w:rsidRPr="001F51C3">
              <w:rPr>
                <w:iCs/>
                <w:color w:val="000000"/>
                <w:sz w:val="26"/>
                <w:szCs w:val="26"/>
              </w:rPr>
              <w:t>MK noteikumu projekts šo jomu neskar.</w:t>
            </w:r>
          </w:p>
        </w:tc>
      </w:tr>
      <w:tr w:rsidR="006A34FF" w:rsidRPr="001F51C3" w14:paraId="169F6BF7" w14:textId="77777777" w:rsidTr="003E6E57">
        <w:tc>
          <w:tcPr>
            <w:tcW w:w="3384" w:type="dxa"/>
            <w:tcBorders>
              <w:top w:val="single" w:sz="4" w:space="0" w:color="auto"/>
              <w:left w:val="single" w:sz="4" w:space="0" w:color="auto"/>
              <w:bottom w:val="single" w:sz="4" w:space="0" w:color="auto"/>
              <w:right w:val="single" w:sz="4" w:space="0" w:color="auto"/>
            </w:tcBorders>
            <w:hideMark/>
          </w:tcPr>
          <w:p w14:paraId="38453969" w14:textId="77777777" w:rsidR="006A34FF" w:rsidRPr="001F51C3" w:rsidRDefault="006A34FF" w:rsidP="00095C9A">
            <w:pPr>
              <w:jc w:val="center"/>
              <w:rPr>
                <w:color w:val="000000"/>
                <w:sz w:val="26"/>
                <w:szCs w:val="26"/>
                <w:lang w:eastAsia="en-US"/>
              </w:rPr>
            </w:pPr>
            <w:r w:rsidRPr="001F51C3">
              <w:rPr>
                <w:color w:val="000000"/>
                <w:sz w:val="26"/>
                <w:szCs w:val="26"/>
              </w:rPr>
              <w:t>A</w:t>
            </w:r>
          </w:p>
        </w:tc>
        <w:tc>
          <w:tcPr>
            <w:tcW w:w="2564" w:type="dxa"/>
            <w:tcBorders>
              <w:top w:val="single" w:sz="4" w:space="0" w:color="auto"/>
              <w:left w:val="single" w:sz="4" w:space="0" w:color="auto"/>
              <w:bottom w:val="single" w:sz="4" w:space="0" w:color="auto"/>
              <w:right w:val="single" w:sz="4" w:space="0" w:color="auto"/>
            </w:tcBorders>
            <w:hideMark/>
          </w:tcPr>
          <w:p w14:paraId="52B841EB" w14:textId="77777777" w:rsidR="006A34FF" w:rsidRPr="001F51C3" w:rsidRDefault="006A34FF" w:rsidP="00095C9A">
            <w:pPr>
              <w:jc w:val="center"/>
              <w:rPr>
                <w:color w:val="000000"/>
                <w:sz w:val="26"/>
                <w:szCs w:val="26"/>
                <w:lang w:eastAsia="en-US"/>
              </w:rPr>
            </w:pPr>
            <w:r w:rsidRPr="001F51C3">
              <w:rPr>
                <w:color w:val="000000"/>
                <w:sz w:val="26"/>
                <w:szCs w:val="26"/>
              </w:rPr>
              <w:t>B</w:t>
            </w:r>
          </w:p>
        </w:tc>
        <w:tc>
          <w:tcPr>
            <w:tcW w:w="3828" w:type="dxa"/>
            <w:tcBorders>
              <w:top w:val="single" w:sz="4" w:space="0" w:color="auto"/>
              <w:left w:val="single" w:sz="4" w:space="0" w:color="auto"/>
              <w:bottom w:val="single" w:sz="4" w:space="0" w:color="auto"/>
              <w:right w:val="single" w:sz="4" w:space="0" w:color="auto"/>
            </w:tcBorders>
            <w:hideMark/>
          </w:tcPr>
          <w:p w14:paraId="01C5A6DF" w14:textId="77777777" w:rsidR="006A34FF" w:rsidRPr="001F51C3" w:rsidRDefault="006A34FF" w:rsidP="00095C9A">
            <w:pPr>
              <w:jc w:val="center"/>
              <w:rPr>
                <w:color w:val="000000"/>
                <w:sz w:val="26"/>
                <w:szCs w:val="26"/>
                <w:lang w:eastAsia="en-US"/>
              </w:rPr>
            </w:pPr>
            <w:r w:rsidRPr="001F51C3">
              <w:rPr>
                <w:color w:val="000000"/>
                <w:sz w:val="26"/>
                <w:szCs w:val="26"/>
              </w:rPr>
              <w:t>C</w:t>
            </w:r>
          </w:p>
        </w:tc>
      </w:tr>
      <w:tr w:rsidR="006A34FF" w:rsidRPr="001F51C3" w14:paraId="76D3FFD7" w14:textId="77777777" w:rsidTr="003E6E57">
        <w:tc>
          <w:tcPr>
            <w:tcW w:w="3384" w:type="dxa"/>
            <w:tcBorders>
              <w:top w:val="single" w:sz="4" w:space="0" w:color="auto"/>
              <w:left w:val="single" w:sz="4" w:space="0" w:color="auto"/>
              <w:bottom w:val="single" w:sz="4" w:space="0" w:color="auto"/>
              <w:right w:val="single" w:sz="4" w:space="0" w:color="auto"/>
            </w:tcBorders>
            <w:hideMark/>
          </w:tcPr>
          <w:p w14:paraId="7CFDA9FC" w14:textId="77777777" w:rsidR="006A34FF" w:rsidRPr="001F51C3" w:rsidRDefault="006A34FF" w:rsidP="00095C9A">
            <w:pPr>
              <w:rPr>
                <w:color w:val="000000"/>
                <w:sz w:val="26"/>
                <w:szCs w:val="26"/>
              </w:rPr>
            </w:pPr>
            <w:r w:rsidRPr="001F51C3">
              <w:rPr>
                <w:color w:val="000000"/>
                <w:sz w:val="26"/>
                <w:szCs w:val="26"/>
              </w:rPr>
              <w:t>Starptautiskās saistības (pēc būtības), kas izriet no norādītā starptautiskā dokumenta.</w:t>
            </w:r>
          </w:p>
          <w:p w14:paraId="2A6F35CA" w14:textId="77777777" w:rsidR="006A34FF" w:rsidRPr="001F51C3" w:rsidRDefault="006A34FF" w:rsidP="00095C9A">
            <w:pPr>
              <w:rPr>
                <w:color w:val="000000"/>
                <w:sz w:val="26"/>
                <w:szCs w:val="26"/>
                <w:lang w:eastAsia="en-US"/>
              </w:rPr>
            </w:pPr>
            <w:r w:rsidRPr="001F51C3">
              <w:rPr>
                <w:color w:val="000000"/>
                <w:sz w:val="26"/>
                <w:szCs w:val="26"/>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076F48FF" w14:textId="77777777" w:rsidR="006A34FF" w:rsidRPr="001F51C3" w:rsidRDefault="006A34FF" w:rsidP="00095C9A">
            <w:pPr>
              <w:rPr>
                <w:color w:val="000000"/>
                <w:sz w:val="26"/>
                <w:szCs w:val="26"/>
                <w:lang w:eastAsia="en-US"/>
              </w:rPr>
            </w:pPr>
            <w:r w:rsidRPr="001F51C3">
              <w:rPr>
                <w:color w:val="000000"/>
                <w:sz w:val="26"/>
                <w:szCs w:val="26"/>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828" w:type="dxa"/>
            <w:tcBorders>
              <w:top w:val="single" w:sz="4" w:space="0" w:color="auto"/>
              <w:left w:val="single" w:sz="4" w:space="0" w:color="auto"/>
              <w:bottom w:val="single" w:sz="4" w:space="0" w:color="auto"/>
              <w:right w:val="single" w:sz="4" w:space="0" w:color="auto"/>
            </w:tcBorders>
            <w:hideMark/>
          </w:tcPr>
          <w:p w14:paraId="53502478" w14:textId="77777777" w:rsidR="006A34FF" w:rsidRPr="001F51C3" w:rsidRDefault="006A34FF" w:rsidP="00095C9A">
            <w:pPr>
              <w:rPr>
                <w:color w:val="000000"/>
                <w:sz w:val="26"/>
                <w:szCs w:val="26"/>
              </w:rPr>
            </w:pPr>
            <w:r w:rsidRPr="001F51C3">
              <w:rPr>
                <w:color w:val="000000"/>
                <w:sz w:val="26"/>
                <w:szCs w:val="26"/>
              </w:rPr>
              <w:t>Informācija par to, vai starptautiskās saistības, kas minētas šīs tabulas A ailē, tiek izpildītas pilnībā vai daļēji.</w:t>
            </w:r>
          </w:p>
          <w:p w14:paraId="4493F486" w14:textId="77777777" w:rsidR="006A34FF" w:rsidRPr="001F51C3" w:rsidRDefault="006A34FF" w:rsidP="00095C9A">
            <w:pPr>
              <w:rPr>
                <w:color w:val="000000"/>
                <w:sz w:val="26"/>
                <w:szCs w:val="26"/>
              </w:rPr>
            </w:pPr>
            <w:r w:rsidRPr="001F51C3">
              <w:rPr>
                <w:color w:val="000000"/>
                <w:sz w:val="26"/>
                <w:szCs w:val="26"/>
              </w:rPr>
              <w:t>Ja attiecīgās starptautiskās saistības tiek izpildītas daļēji, sniedz attiecīgu skaidrojumu, kā arī precīzi norāda, kad un kādā veidā starptautiskās saistības tiks izpildītas pilnībā.</w:t>
            </w:r>
          </w:p>
          <w:p w14:paraId="7B1885DA" w14:textId="77777777" w:rsidR="006A34FF" w:rsidRPr="001F51C3" w:rsidRDefault="006A34FF" w:rsidP="00095C9A">
            <w:pPr>
              <w:rPr>
                <w:color w:val="000000"/>
                <w:sz w:val="26"/>
                <w:szCs w:val="26"/>
                <w:lang w:eastAsia="en-US"/>
              </w:rPr>
            </w:pPr>
            <w:r w:rsidRPr="001F51C3">
              <w:rPr>
                <w:color w:val="000000"/>
                <w:sz w:val="26"/>
                <w:szCs w:val="26"/>
              </w:rPr>
              <w:t>Norāda institūciju, kas ir atbildīga par šo saistību izpildi pilnībā</w:t>
            </w:r>
          </w:p>
        </w:tc>
      </w:tr>
      <w:tr w:rsidR="006A34FF" w:rsidRPr="001F51C3" w14:paraId="602BD509" w14:textId="77777777" w:rsidTr="003E6E57">
        <w:tc>
          <w:tcPr>
            <w:tcW w:w="3384" w:type="dxa"/>
            <w:tcBorders>
              <w:top w:val="single" w:sz="4" w:space="0" w:color="auto"/>
              <w:left w:val="single" w:sz="4" w:space="0" w:color="auto"/>
              <w:bottom w:val="single" w:sz="4" w:space="0" w:color="auto"/>
              <w:right w:val="single" w:sz="4" w:space="0" w:color="auto"/>
            </w:tcBorders>
            <w:hideMark/>
          </w:tcPr>
          <w:p w14:paraId="3E0AE0DA" w14:textId="77777777" w:rsidR="006A34FF" w:rsidRPr="001F51C3" w:rsidRDefault="006A34FF" w:rsidP="00095C9A">
            <w:pPr>
              <w:rPr>
                <w:color w:val="000000"/>
                <w:sz w:val="26"/>
                <w:szCs w:val="26"/>
                <w:lang w:eastAsia="en-US"/>
              </w:rPr>
            </w:pPr>
            <w:r w:rsidRPr="001F51C3">
              <w:rPr>
                <w:iCs/>
                <w:color w:val="000000"/>
                <w:sz w:val="26"/>
                <w:szCs w:val="26"/>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4260EDE0" w14:textId="77777777" w:rsidR="006A34FF" w:rsidRPr="001F51C3" w:rsidRDefault="006A34FF" w:rsidP="00095C9A">
            <w:pPr>
              <w:rPr>
                <w:color w:val="000000"/>
                <w:sz w:val="26"/>
                <w:szCs w:val="26"/>
                <w:lang w:eastAsia="en-US"/>
              </w:rPr>
            </w:pPr>
            <w:r w:rsidRPr="001F51C3">
              <w:rPr>
                <w:iCs/>
                <w:color w:val="000000"/>
                <w:sz w:val="26"/>
                <w:szCs w:val="26"/>
              </w:rPr>
              <w:t>MK noteikumu projekts šo jomu neskar.</w:t>
            </w:r>
          </w:p>
        </w:tc>
        <w:tc>
          <w:tcPr>
            <w:tcW w:w="3828" w:type="dxa"/>
            <w:tcBorders>
              <w:top w:val="single" w:sz="4" w:space="0" w:color="auto"/>
              <w:left w:val="single" w:sz="4" w:space="0" w:color="auto"/>
              <w:bottom w:val="single" w:sz="4" w:space="0" w:color="auto"/>
              <w:right w:val="single" w:sz="4" w:space="0" w:color="auto"/>
            </w:tcBorders>
            <w:hideMark/>
          </w:tcPr>
          <w:p w14:paraId="1B928CAF" w14:textId="77777777" w:rsidR="006A34FF" w:rsidRPr="001F51C3" w:rsidRDefault="006A34FF" w:rsidP="00095C9A">
            <w:pPr>
              <w:rPr>
                <w:color w:val="000000"/>
                <w:sz w:val="26"/>
                <w:szCs w:val="26"/>
                <w:lang w:eastAsia="en-US"/>
              </w:rPr>
            </w:pPr>
            <w:r w:rsidRPr="001F51C3">
              <w:rPr>
                <w:iCs/>
                <w:color w:val="000000"/>
                <w:sz w:val="26"/>
                <w:szCs w:val="26"/>
              </w:rPr>
              <w:t>MK noteikumu projekts šo jomu neskar.</w:t>
            </w:r>
          </w:p>
        </w:tc>
      </w:tr>
      <w:tr w:rsidR="006A34FF" w:rsidRPr="001F51C3" w14:paraId="4D83714C" w14:textId="77777777" w:rsidTr="003E6E57">
        <w:tc>
          <w:tcPr>
            <w:tcW w:w="3384" w:type="dxa"/>
            <w:tcBorders>
              <w:top w:val="single" w:sz="4" w:space="0" w:color="auto"/>
              <w:left w:val="single" w:sz="4" w:space="0" w:color="auto"/>
              <w:bottom w:val="single" w:sz="4" w:space="0" w:color="auto"/>
              <w:right w:val="single" w:sz="4" w:space="0" w:color="auto"/>
            </w:tcBorders>
            <w:hideMark/>
          </w:tcPr>
          <w:p w14:paraId="0C98B4B5" w14:textId="77777777" w:rsidR="006A34FF" w:rsidRPr="001F51C3" w:rsidRDefault="006A34FF" w:rsidP="00095C9A">
            <w:pPr>
              <w:rPr>
                <w:color w:val="000000"/>
                <w:sz w:val="26"/>
                <w:szCs w:val="26"/>
                <w:lang w:eastAsia="en-US"/>
              </w:rPr>
            </w:pPr>
            <w:r w:rsidRPr="001F51C3">
              <w:rPr>
                <w:color w:val="000000"/>
                <w:sz w:val="26"/>
                <w:szCs w:val="26"/>
              </w:rPr>
              <w:t>Vai starptautiskajā dokumentā paredzētās saistības nav pretrunā ar jau esošajām Latvijas Republikas starptautiskajām saistībām</w:t>
            </w:r>
          </w:p>
        </w:tc>
        <w:tc>
          <w:tcPr>
            <w:tcW w:w="6392" w:type="dxa"/>
            <w:gridSpan w:val="2"/>
            <w:tcBorders>
              <w:top w:val="single" w:sz="4" w:space="0" w:color="auto"/>
              <w:left w:val="single" w:sz="4" w:space="0" w:color="auto"/>
              <w:bottom w:val="single" w:sz="4" w:space="0" w:color="auto"/>
              <w:right w:val="single" w:sz="4" w:space="0" w:color="auto"/>
            </w:tcBorders>
            <w:hideMark/>
          </w:tcPr>
          <w:p w14:paraId="59592F96" w14:textId="77777777" w:rsidR="006A34FF" w:rsidRPr="001F51C3" w:rsidRDefault="006A34FF" w:rsidP="00095C9A">
            <w:pPr>
              <w:rPr>
                <w:i/>
                <w:color w:val="000000"/>
                <w:sz w:val="26"/>
                <w:szCs w:val="26"/>
                <w:lang w:eastAsia="en-US"/>
              </w:rPr>
            </w:pPr>
            <w:r w:rsidRPr="001F51C3">
              <w:rPr>
                <w:iCs/>
                <w:color w:val="000000"/>
                <w:sz w:val="26"/>
                <w:szCs w:val="26"/>
              </w:rPr>
              <w:t>MK noteikumu projekts šo jomu neskar.</w:t>
            </w:r>
          </w:p>
        </w:tc>
      </w:tr>
      <w:tr w:rsidR="006A34FF" w:rsidRPr="001F51C3" w14:paraId="602D533A" w14:textId="77777777" w:rsidTr="003E6E57">
        <w:tc>
          <w:tcPr>
            <w:tcW w:w="3384" w:type="dxa"/>
            <w:tcBorders>
              <w:top w:val="single" w:sz="4" w:space="0" w:color="auto"/>
              <w:left w:val="single" w:sz="4" w:space="0" w:color="auto"/>
              <w:bottom w:val="single" w:sz="4" w:space="0" w:color="auto"/>
              <w:right w:val="single" w:sz="4" w:space="0" w:color="auto"/>
            </w:tcBorders>
            <w:hideMark/>
          </w:tcPr>
          <w:p w14:paraId="469E485A" w14:textId="77777777" w:rsidR="006A34FF" w:rsidRPr="001F51C3" w:rsidRDefault="006A34FF" w:rsidP="00095C9A">
            <w:pPr>
              <w:rPr>
                <w:color w:val="000000"/>
                <w:sz w:val="26"/>
                <w:szCs w:val="26"/>
                <w:lang w:eastAsia="en-US"/>
              </w:rPr>
            </w:pPr>
            <w:r w:rsidRPr="001F51C3">
              <w:rPr>
                <w:color w:val="000000"/>
                <w:sz w:val="26"/>
                <w:szCs w:val="26"/>
              </w:rPr>
              <w:t>Cita informācija</w:t>
            </w:r>
          </w:p>
        </w:tc>
        <w:tc>
          <w:tcPr>
            <w:tcW w:w="6392" w:type="dxa"/>
            <w:gridSpan w:val="2"/>
            <w:tcBorders>
              <w:top w:val="single" w:sz="4" w:space="0" w:color="auto"/>
              <w:left w:val="single" w:sz="4" w:space="0" w:color="auto"/>
              <w:bottom w:val="single" w:sz="4" w:space="0" w:color="auto"/>
              <w:right w:val="single" w:sz="4" w:space="0" w:color="auto"/>
            </w:tcBorders>
            <w:hideMark/>
          </w:tcPr>
          <w:p w14:paraId="414A7312" w14:textId="77777777" w:rsidR="006A34FF" w:rsidRPr="001F51C3" w:rsidRDefault="006A34FF" w:rsidP="00095C9A">
            <w:pPr>
              <w:rPr>
                <w:color w:val="000000"/>
                <w:sz w:val="26"/>
                <w:szCs w:val="26"/>
                <w:lang w:eastAsia="en-US"/>
              </w:rPr>
            </w:pPr>
            <w:r w:rsidRPr="001F51C3">
              <w:rPr>
                <w:color w:val="000000"/>
                <w:sz w:val="26"/>
                <w:szCs w:val="26"/>
              </w:rPr>
              <w:t>Nav.</w:t>
            </w:r>
          </w:p>
        </w:tc>
      </w:tr>
    </w:tbl>
    <w:p w14:paraId="45DEC22B" w14:textId="77777777" w:rsidR="006A34FF" w:rsidRPr="001F51C3" w:rsidRDefault="006A34FF" w:rsidP="006A34FF">
      <w:pPr>
        <w:rPr>
          <w:sz w:val="26"/>
          <w:szCs w:val="26"/>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7"/>
        <w:gridCol w:w="2808"/>
        <w:gridCol w:w="6646"/>
      </w:tblGrid>
      <w:tr w:rsidR="006A34FF" w:rsidRPr="001F51C3" w14:paraId="5E8E0416" w14:textId="77777777" w:rsidTr="003E6E57">
        <w:trPr>
          <w:trHeight w:val="421"/>
        </w:trPr>
        <w:tc>
          <w:tcPr>
            <w:tcW w:w="9781" w:type="dxa"/>
            <w:gridSpan w:val="3"/>
            <w:vAlign w:val="center"/>
          </w:tcPr>
          <w:p w14:paraId="0DCBCD42" w14:textId="77777777" w:rsidR="006A34FF" w:rsidRPr="001F51C3" w:rsidRDefault="006A34FF" w:rsidP="00095C9A">
            <w:pPr>
              <w:pStyle w:val="naisnod"/>
              <w:spacing w:before="0" w:beforeAutospacing="0" w:after="0" w:afterAutospacing="0"/>
              <w:ind w:left="57" w:right="57"/>
              <w:jc w:val="center"/>
              <w:rPr>
                <w:sz w:val="26"/>
                <w:szCs w:val="26"/>
              </w:rPr>
            </w:pPr>
            <w:r w:rsidRPr="001F51C3">
              <w:rPr>
                <w:b/>
                <w:sz w:val="26"/>
                <w:szCs w:val="26"/>
              </w:rPr>
              <w:t>VI. Sabiedrības līdzdalība un komunikācijas aktivitātes</w:t>
            </w:r>
          </w:p>
        </w:tc>
      </w:tr>
      <w:tr w:rsidR="006A34FF" w:rsidRPr="001F51C3" w14:paraId="6B3B73FA" w14:textId="77777777" w:rsidTr="003E6E57">
        <w:trPr>
          <w:trHeight w:val="553"/>
        </w:trPr>
        <w:tc>
          <w:tcPr>
            <w:tcW w:w="327" w:type="dxa"/>
          </w:tcPr>
          <w:p w14:paraId="093FB928" w14:textId="77777777" w:rsidR="006A34FF" w:rsidRPr="001F51C3" w:rsidRDefault="006A34FF" w:rsidP="00095C9A">
            <w:pPr>
              <w:ind w:left="57" w:right="57"/>
              <w:jc w:val="both"/>
              <w:rPr>
                <w:bCs/>
                <w:sz w:val="26"/>
                <w:szCs w:val="26"/>
              </w:rPr>
            </w:pPr>
            <w:r w:rsidRPr="001F51C3">
              <w:rPr>
                <w:bCs/>
                <w:sz w:val="26"/>
                <w:szCs w:val="26"/>
              </w:rPr>
              <w:t>1.</w:t>
            </w:r>
          </w:p>
        </w:tc>
        <w:tc>
          <w:tcPr>
            <w:tcW w:w="2808" w:type="dxa"/>
          </w:tcPr>
          <w:p w14:paraId="6CAEDBFD" w14:textId="77777777" w:rsidR="006A34FF" w:rsidRPr="001F51C3" w:rsidRDefault="006A34FF" w:rsidP="00095C9A">
            <w:pPr>
              <w:tabs>
                <w:tab w:val="left" w:pos="170"/>
              </w:tabs>
              <w:ind w:left="57" w:right="57"/>
              <w:rPr>
                <w:sz w:val="26"/>
                <w:szCs w:val="26"/>
              </w:rPr>
            </w:pPr>
            <w:r w:rsidRPr="001F51C3">
              <w:rPr>
                <w:sz w:val="26"/>
                <w:szCs w:val="26"/>
              </w:rPr>
              <w:t>Plānotās sabiedrības līdzdalības un komunikācijas aktivitātes saistībā ar projektu</w:t>
            </w:r>
          </w:p>
        </w:tc>
        <w:tc>
          <w:tcPr>
            <w:tcW w:w="6646" w:type="dxa"/>
          </w:tcPr>
          <w:p w14:paraId="0B3A7C6A" w14:textId="77777777" w:rsidR="006A34FF" w:rsidRPr="001F51C3" w:rsidRDefault="006A34FF" w:rsidP="00095C9A">
            <w:pPr>
              <w:shd w:val="clear" w:color="auto" w:fill="FFFFFF"/>
              <w:spacing w:after="120"/>
              <w:ind w:left="57" w:right="113"/>
              <w:jc w:val="both"/>
              <w:rPr>
                <w:sz w:val="26"/>
                <w:szCs w:val="26"/>
              </w:rPr>
            </w:pPr>
            <w:bookmarkStart w:id="0" w:name="p61"/>
            <w:bookmarkEnd w:id="0"/>
            <w:r w:rsidRPr="001F51C3">
              <w:rPr>
                <w:sz w:val="26"/>
                <w:szCs w:val="26"/>
              </w:rPr>
              <w:t xml:space="preserve">Atbilstoši normatīvo aktu prasībām Ekonomikas ministrija tās interneta tīmekļa vietnē publicē informācija par MK noteikumu projektu un par tā virzību. </w:t>
            </w:r>
          </w:p>
          <w:p w14:paraId="5DC39997" w14:textId="2A40EA84" w:rsidR="006A34FF" w:rsidRPr="001F51C3" w:rsidRDefault="003B256A" w:rsidP="00095C9A">
            <w:pPr>
              <w:shd w:val="clear" w:color="auto" w:fill="FFFFFF"/>
              <w:spacing w:after="120"/>
              <w:ind w:left="57" w:right="113"/>
              <w:jc w:val="both"/>
              <w:rPr>
                <w:bCs/>
                <w:color w:val="FF0000"/>
                <w:sz w:val="26"/>
                <w:szCs w:val="26"/>
              </w:rPr>
            </w:pPr>
            <w:r w:rsidRPr="001F51C3">
              <w:rPr>
                <w:sz w:val="26"/>
                <w:szCs w:val="26"/>
              </w:rPr>
              <w:t>Ti</w:t>
            </w:r>
            <w:r w:rsidR="006A34FF" w:rsidRPr="001F51C3">
              <w:rPr>
                <w:sz w:val="26"/>
                <w:szCs w:val="26"/>
              </w:rPr>
              <w:t>k</w:t>
            </w:r>
            <w:r w:rsidRPr="001F51C3">
              <w:rPr>
                <w:sz w:val="26"/>
                <w:szCs w:val="26"/>
              </w:rPr>
              <w:t>a</w:t>
            </w:r>
            <w:r w:rsidR="006A34FF" w:rsidRPr="001F51C3">
              <w:rPr>
                <w:sz w:val="26"/>
                <w:szCs w:val="26"/>
              </w:rPr>
              <w:t xml:space="preserve"> organizētas sanāksmes par 3.2.1.2.pasākuma nosacījumiem ar </w:t>
            </w:r>
            <w:r w:rsidR="006A34FF" w:rsidRPr="001F51C3">
              <w:rPr>
                <w:bCs/>
                <w:color w:val="000000"/>
                <w:sz w:val="26"/>
                <w:szCs w:val="26"/>
              </w:rPr>
              <w:t xml:space="preserve">Latvijas Investīciju un attīstības aģentūras, </w:t>
            </w:r>
            <w:r w:rsidR="006A34FF" w:rsidRPr="001F51C3">
              <w:rPr>
                <w:bCs/>
                <w:sz w:val="26"/>
                <w:szCs w:val="26"/>
              </w:rPr>
              <w:t>Tūrisma attīstības valsts aģentūras, Latvijas Tūrisma aģentu un operatoru asociācijas – ALTA, Latvijas Viesnīcu un restorānu asociācijas, Latvijas Darba devēju konfederācijas, Latvijas Tirdzniecības un rūpniecības kameras, Latvijas Lielo pilsētu asociācijas, Latvijas Pašvaldību savienības, Mašīnbūves un Metālapstrādes Rūpniecības asociācijas, Latvijas Elektrotehnikas un elektronikas rūpniecības asociācijas, Latvijas ķīmijas un farmācijas uzņēmēju asociācijas, Latvijas Kokrūpniecības federācijas, Latvijas Pārtikas uzņēmumu federācija un Latvijas Informācijas un komunikācijas tehnoloģijas asociācijas</w:t>
            </w:r>
            <w:r w:rsidR="006A34FF" w:rsidRPr="001F51C3">
              <w:rPr>
                <w:sz w:val="26"/>
                <w:szCs w:val="26"/>
              </w:rPr>
              <w:t xml:space="preserve"> pārstāvjiem. </w:t>
            </w:r>
          </w:p>
          <w:p w14:paraId="33E820B4" w14:textId="77777777" w:rsidR="006A34FF" w:rsidRPr="001F51C3" w:rsidRDefault="006A34FF" w:rsidP="00095C9A">
            <w:pPr>
              <w:shd w:val="clear" w:color="auto" w:fill="FFFFFF"/>
              <w:spacing w:after="120"/>
              <w:ind w:left="57" w:right="113"/>
              <w:jc w:val="both"/>
              <w:rPr>
                <w:sz w:val="26"/>
                <w:szCs w:val="26"/>
              </w:rPr>
            </w:pPr>
            <w:r w:rsidRPr="001F51C3">
              <w:rPr>
                <w:sz w:val="26"/>
                <w:szCs w:val="26"/>
              </w:rPr>
              <w:t xml:space="preserve">3.2.1.2.pasākuma projektu iesniegumu vērtēšanas kritērijus ir plānots apstiprināt </w:t>
            </w:r>
            <w:bookmarkStart w:id="1" w:name="OLE_LINK3"/>
            <w:bookmarkStart w:id="2" w:name="OLE_LINK4"/>
            <w:r w:rsidRPr="001F51C3">
              <w:rPr>
                <w:kern w:val="24"/>
                <w:sz w:val="26"/>
                <w:szCs w:val="26"/>
              </w:rPr>
              <w:t xml:space="preserve">Eiropas Savienības struktūrfondu un Kohēzijas fonda </w:t>
            </w:r>
            <w:r w:rsidRPr="001F51C3">
              <w:rPr>
                <w:sz w:val="26"/>
                <w:szCs w:val="26"/>
              </w:rPr>
              <w:t xml:space="preserve">2014.–2020.gada plānošanas perioda </w:t>
            </w:r>
            <w:bookmarkEnd w:id="1"/>
            <w:bookmarkEnd w:id="2"/>
            <w:r w:rsidRPr="001F51C3">
              <w:rPr>
                <w:sz w:val="26"/>
                <w:szCs w:val="26"/>
              </w:rPr>
              <w:t>Uzraudzības komitejā, kuras sastāvā ir iekļauti arī sociālie, nevalstisko organizāciju un reģionālie partneri.</w:t>
            </w:r>
          </w:p>
        </w:tc>
      </w:tr>
      <w:tr w:rsidR="006A34FF" w:rsidRPr="001F51C3" w14:paraId="6662888E" w14:textId="77777777" w:rsidTr="003E6E57">
        <w:trPr>
          <w:trHeight w:val="416"/>
        </w:trPr>
        <w:tc>
          <w:tcPr>
            <w:tcW w:w="327" w:type="dxa"/>
          </w:tcPr>
          <w:p w14:paraId="62DD2ECF" w14:textId="77777777" w:rsidR="006A34FF" w:rsidRPr="001F51C3" w:rsidRDefault="006A34FF" w:rsidP="00095C9A">
            <w:pPr>
              <w:ind w:left="57" w:right="57"/>
              <w:jc w:val="both"/>
              <w:rPr>
                <w:bCs/>
                <w:sz w:val="26"/>
                <w:szCs w:val="26"/>
              </w:rPr>
            </w:pPr>
            <w:r w:rsidRPr="001F51C3">
              <w:rPr>
                <w:bCs/>
                <w:sz w:val="26"/>
                <w:szCs w:val="26"/>
              </w:rPr>
              <w:t>2.</w:t>
            </w:r>
          </w:p>
        </w:tc>
        <w:tc>
          <w:tcPr>
            <w:tcW w:w="2808" w:type="dxa"/>
          </w:tcPr>
          <w:p w14:paraId="5A59B81A" w14:textId="77777777" w:rsidR="006A34FF" w:rsidRPr="001F51C3" w:rsidRDefault="006A34FF" w:rsidP="00095C9A">
            <w:pPr>
              <w:ind w:left="57" w:right="57"/>
              <w:rPr>
                <w:sz w:val="26"/>
                <w:szCs w:val="26"/>
              </w:rPr>
            </w:pPr>
            <w:r w:rsidRPr="001F51C3">
              <w:rPr>
                <w:sz w:val="26"/>
                <w:szCs w:val="26"/>
              </w:rPr>
              <w:t>Sabiedrības līdzdalība projekta izstrādē</w:t>
            </w:r>
          </w:p>
        </w:tc>
        <w:tc>
          <w:tcPr>
            <w:tcW w:w="6646" w:type="dxa"/>
          </w:tcPr>
          <w:p w14:paraId="3EF8B5C8" w14:textId="3EA0D060" w:rsidR="006A34FF" w:rsidRPr="001F51C3" w:rsidRDefault="006A34FF" w:rsidP="00A13FEC">
            <w:pPr>
              <w:shd w:val="clear" w:color="auto" w:fill="FFFFFF"/>
              <w:spacing w:after="120"/>
              <w:ind w:left="57" w:right="113"/>
              <w:jc w:val="both"/>
              <w:rPr>
                <w:kern w:val="24"/>
                <w:sz w:val="26"/>
                <w:szCs w:val="26"/>
              </w:rPr>
            </w:pPr>
            <w:bookmarkStart w:id="3" w:name="p62"/>
            <w:bookmarkEnd w:id="3"/>
            <w:r w:rsidRPr="001F51C3">
              <w:rPr>
                <w:bCs/>
                <w:kern w:val="24"/>
                <w:sz w:val="26"/>
                <w:szCs w:val="26"/>
              </w:rPr>
              <w:t xml:space="preserve">Ekonomikas ministrijā 2015.gada 20.maijā </w:t>
            </w:r>
            <w:r w:rsidR="003B256A" w:rsidRPr="001F51C3">
              <w:rPr>
                <w:kern w:val="24"/>
                <w:sz w:val="26"/>
                <w:szCs w:val="26"/>
              </w:rPr>
              <w:t>notika</w:t>
            </w:r>
            <w:r w:rsidRPr="001F51C3">
              <w:rPr>
                <w:kern w:val="24"/>
                <w:sz w:val="26"/>
                <w:szCs w:val="26"/>
              </w:rPr>
              <w:t xml:space="preserve"> ES fondu konsultatīvā darba grupa, kurā tiks pārrunāti 3.2.1.2.pasākuma ieviešanas nosacījumi  un vērtēšanas kritēriji. Konsultatīvajā darba grupā iesaistīti pārstāvji no </w:t>
            </w:r>
            <w:r w:rsidRPr="001F51C3">
              <w:rPr>
                <w:bCs/>
                <w:color w:val="000000"/>
                <w:sz w:val="26"/>
                <w:szCs w:val="26"/>
              </w:rPr>
              <w:t>Latvijas Investīciju un attīstības aģentūras, Tūrisma attīstības valsts aģentūras, Latvijas Tūrisma aģentu un operatoru asociācijas – ALTA, Latvijas Viesnīcu un restorānu asociācijas, Latvijas Darba devēju konfederācijas, Latvijas Tirdzniecības un rūpniecības kameras, Latvijas Lielo pilsētu asociācijas, Latvijas Pašvaldību savienības, Mašīnbūves un Metālapstrādes Rūpniecības asociācijas, Latvijas Elektrotehnikas un elektronikas rūpniecības asociācijas, Latvijas ķīmijas un farmācijas uzņēmēju asociācijas, Latvijas Kokrūpniecības federācijas, Latvijas Pārtikas uzņēmumu federācija un Latvijas Informācijas un komunikācijas tehnoloģijas asociācijas.</w:t>
            </w:r>
          </w:p>
        </w:tc>
      </w:tr>
      <w:tr w:rsidR="006A34FF" w:rsidRPr="001F51C3" w14:paraId="69C2190A" w14:textId="77777777" w:rsidTr="003E6E57">
        <w:trPr>
          <w:trHeight w:val="2298"/>
        </w:trPr>
        <w:tc>
          <w:tcPr>
            <w:tcW w:w="327" w:type="dxa"/>
          </w:tcPr>
          <w:p w14:paraId="6D1D93B0" w14:textId="77777777" w:rsidR="006A34FF" w:rsidRPr="001F51C3" w:rsidRDefault="006A34FF" w:rsidP="00095C9A">
            <w:pPr>
              <w:ind w:left="57" w:right="57"/>
              <w:jc w:val="both"/>
              <w:rPr>
                <w:bCs/>
                <w:sz w:val="26"/>
                <w:szCs w:val="26"/>
              </w:rPr>
            </w:pPr>
            <w:r w:rsidRPr="001F51C3">
              <w:rPr>
                <w:bCs/>
                <w:sz w:val="26"/>
                <w:szCs w:val="26"/>
              </w:rPr>
              <w:t>3.</w:t>
            </w:r>
          </w:p>
        </w:tc>
        <w:tc>
          <w:tcPr>
            <w:tcW w:w="2808" w:type="dxa"/>
          </w:tcPr>
          <w:p w14:paraId="22B7BA8E" w14:textId="77777777" w:rsidR="006A34FF" w:rsidRPr="001F51C3" w:rsidRDefault="006A34FF" w:rsidP="00095C9A">
            <w:pPr>
              <w:ind w:left="57" w:right="57"/>
              <w:rPr>
                <w:sz w:val="26"/>
                <w:szCs w:val="26"/>
              </w:rPr>
            </w:pPr>
            <w:r w:rsidRPr="001F51C3">
              <w:rPr>
                <w:sz w:val="26"/>
                <w:szCs w:val="26"/>
              </w:rPr>
              <w:t>Sabiedrības līdzdalības rezultāti</w:t>
            </w:r>
          </w:p>
        </w:tc>
        <w:tc>
          <w:tcPr>
            <w:tcW w:w="6646" w:type="dxa"/>
          </w:tcPr>
          <w:p w14:paraId="7D7C978C" w14:textId="77777777" w:rsidR="006A34FF" w:rsidRPr="001F51C3" w:rsidRDefault="006A34FF" w:rsidP="00095C9A">
            <w:pPr>
              <w:shd w:val="clear" w:color="auto" w:fill="FFFFFF"/>
              <w:spacing w:after="120"/>
              <w:ind w:left="57" w:right="113"/>
              <w:jc w:val="both"/>
              <w:rPr>
                <w:sz w:val="26"/>
                <w:szCs w:val="26"/>
              </w:rPr>
            </w:pPr>
            <w:r w:rsidRPr="001F51C3">
              <w:rPr>
                <w:sz w:val="26"/>
                <w:szCs w:val="26"/>
              </w:rPr>
              <w:t>Izstrādāti šādi dokumenti:</w:t>
            </w:r>
          </w:p>
          <w:p w14:paraId="2FCEDE61" w14:textId="701131AC" w:rsidR="006A34FF" w:rsidRPr="001F51C3" w:rsidRDefault="006A34FF" w:rsidP="00095C9A">
            <w:pPr>
              <w:numPr>
                <w:ilvl w:val="0"/>
                <w:numId w:val="2"/>
              </w:numPr>
              <w:shd w:val="clear" w:color="auto" w:fill="FFFFFF"/>
              <w:spacing w:after="120"/>
              <w:ind w:right="113"/>
              <w:jc w:val="both"/>
              <w:rPr>
                <w:sz w:val="26"/>
                <w:szCs w:val="26"/>
              </w:rPr>
            </w:pPr>
            <w:r w:rsidRPr="001F51C3">
              <w:rPr>
                <w:sz w:val="26"/>
                <w:szCs w:val="26"/>
              </w:rPr>
              <w:t xml:space="preserve">MK noteikumu projekts, kas paredz kārtību, kādā īsteno 3.2.1.2.pasākumu, nosaka 3.2.1.2.pasākuma mērķi, pieejamo finansējumu, prasības projekta iesniedzējam, atbalstāmo darbību un izmaksu </w:t>
            </w:r>
            <w:proofErr w:type="spellStart"/>
            <w:r w:rsidRPr="001F51C3">
              <w:rPr>
                <w:sz w:val="26"/>
                <w:szCs w:val="26"/>
              </w:rPr>
              <w:t>attiecināmības</w:t>
            </w:r>
            <w:proofErr w:type="spellEnd"/>
            <w:r w:rsidRPr="001F51C3">
              <w:rPr>
                <w:sz w:val="26"/>
                <w:szCs w:val="26"/>
              </w:rPr>
              <w:t xml:space="preserve"> nosacījumus, 3.2.1.2.pasākuma īstenošanas un fin</w:t>
            </w:r>
            <w:r w:rsidR="00C50873" w:rsidRPr="001F51C3">
              <w:rPr>
                <w:sz w:val="26"/>
                <w:szCs w:val="26"/>
              </w:rPr>
              <w:t>ansējuma saņemšanas nosacījumus;</w:t>
            </w:r>
          </w:p>
          <w:p w14:paraId="2E360748" w14:textId="747BBD35" w:rsidR="006A34FF" w:rsidRPr="001F51C3" w:rsidRDefault="00C50873" w:rsidP="00C50873">
            <w:pPr>
              <w:numPr>
                <w:ilvl w:val="0"/>
                <w:numId w:val="2"/>
              </w:numPr>
              <w:shd w:val="clear" w:color="auto" w:fill="FFFFFF"/>
              <w:spacing w:after="120"/>
              <w:ind w:right="113"/>
              <w:jc w:val="both"/>
              <w:rPr>
                <w:sz w:val="26"/>
                <w:szCs w:val="26"/>
              </w:rPr>
            </w:pPr>
            <w:r w:rsidRPr="001F51C3">
              <w:rPr>
                <w:sz w:val="26"/>
                <w:szCs w:val="26"/>
              </w:rPr>
              <w:t>p</w:t>
            </w:r>
            <w:r w:rsidR="006A34FF" w:rsidRPr="001F51C3">
              <w:rPr>
                <w:sz w:val="26"/>
                <w:szCs w:val="26"/>
              </w:rPr>
              <w:t>rojektu</w:t>
            </w:r>
            <w:r w:rsidRPr="001F51C3">
              <w:rPr>
                <w:sz w:val="26"/>
                <w:szCs w:val="26"/>
              </w:rPr>
              <w:t xml:space="preserve"> iesniegumu vērtēšanas kritēriji</w:t>
            </w:r>
            <w:r w:rsidR="006A34FF" w:rsidRPr="001F51C3">
              <w:rPr>
                <w:sz w:val="26"/>
                <w:szCs w:val="26"/>
              </w:rPr>
              <w:t xml:space="preserve">, kas </w:t>
            </w:r>
            <w:r w:rsidRPr="001F51C3">
              <w:rPr>
                <w:sz w:val="26"/>
                <w:szCs w:val="26"/>
              </w:rPr>
              <w:t>2015.gada 21.oktobrī ir apstiprināti</w:t>
            </w:r>
            <w:r w:rsidR="006A34FF" w:rsidRPr="001F51C3">
              <w:rPr>
                <w:sz w:val="26"/>
                <w:szCs w:val="26"/>
              </w:rPr>
              <w:t xml:space="preserve"> </w:t>
            </w:r>
            <w:r w:rsidR="006A34FF" w:rsidRPr="001F51C3">
              <w:rPr>
                <w:kern w:val="24"/>
                <w:sz w:val="26"/>
                <w:szCs w:val="26"/>
              </w:rPr>
              <w:t xml:space="preserve">Eiropas Savienības struktūrfondu un Kohēzijas fonda </w:t>
            </w:r>
            <w:r w:rsidR="006A34FF" w:rsidRPr="001F51C3">
              <w:rPr>
                <w:sz w:val="26"/>
                <w:szCs w:val="26"/>
              </w:rPr>
              <w:t>2014.–2020.gada plānošanas perioda Uzraudzības komitejā.</w:t>
            </w:r>
          </w:p>
        </w:tc>
      </w:tr>
      <w:tr w:rsidR="006A34FF" w:rsidRPr="001F51C3" w14:paraId="4A0EC6C4" w14:textId="77777777" w:rsidTr="003E6E57">
        <w:trPr>
          <w:trHeight w:val="205"/>
        </w:trPr>
        <w:tc>
          <w:tcPr>
            <w:tcW w:w="327" w:type="dxa"/>
          </w:tcPr>
          <w:p w14:paraId="56478433" w14:textId="77777777" w:rsidR="006A34FF" w:rsidRPr="001F51C3" w:rsidRDefault="006A34FF" w:rsidP="00095C9A">
            <w:pPr>
              <w:ind w:left="57" w:right="57"/>
              <w:jc w:val="both"/>
              <w:rPr>
                <w:bCs/>
                <w:sz w:val="26"/>
                <w:szCs w:val="26"/>
              </w:rPr>
            </w:pPr>
            <w:r w:rsidRPr="001F51C3">
              <w:rPr>
                <w:bCs/>
                <w:sz w:val="26"/>
                <w:szCs w:val="26"/>
              </w:rPr>
              <w:t>4.</w:t>
            </w:r>
          </w:p>
        </w:tc>
        <w:tc>
          <w:tcPr>
            <w:tcW w:w="2808" w:type="dxa"/>
          </w:tcPr>
          <w:p w14:paraId="10A78421" w14:textId="77777777" w:rsidR="006A34FF" w:rsidRPr="001F51C3" w:rsidRDefault="006A34FF" w:rsidP="00095C9A">
            <w:pPr>
              <w:ind w:left="57" w:right="57"/>
              <w:rPr>
                <w:sz w:val="26"/>
                <w:szCs w:val="26"/>
              </w:rPr>
            </w:pPr>
            <w:r w:rsidRPr="001F51C3">
              <w:rPr>
                <w:sz w:val="26"/>
                <w:szCs w:val="26"/>
              </w:rPr>
              <w:t>Cita informācija</w:t>
            </w:r>
          </w:p>
        </w:tc>
        <w:tc>
          <w:tcPr>
            <w:tcW w:w="6646" w:type="dxa"/>
          </w:tcPr>
          <w:p w14:paraId="0584932D" w14:textId="77777777" w:rsidR="006A34FF" w:rsidRPr="001F51C3" w:rsidRDefault="006A34FF" w:rsidP="00095C9A">
            <w:pPr>
              <w:ind w:left="57" w:right="113"/>
              <w:jc w:val="both"/>
              <w:rPr>
                <w:sz w:val="26"/>
                <w:szCs w:val="26"/>
              </w:rPr>
            </w:pPr>
            <w:r w:rsidRPr="001F51C3">
              <w:rPr>
                <w:sz w:val="26"/>
                <w:szCs w:val="26"/>
              </w:rPr>
              <w:t>Nav.</w:t>
            </w:r>
          </w:p>
        </w:tc>
      </w:tr>
    </w:tbl>
    <w:p w14:paraId="33EC277E" w14:textId="77777777" w:rsidR="006A34FF" w:rsidRPr="001F51C3" w:rsidRDefault="006A34FF" w:rsidP="006A34FF">
      <w:pPr>
        <w:jc w:val="both"/>
        <w:rPr>
          <w:sz w:val="26"/>
          <w:szCs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7"/>
        <w:gridCol w:w="2816"/>
        <w:gridCol w:w="6638"/>
      </w:tblGrid>
      <w:tr w:rsidR="006A34FF" w:rsidRPr="001F51C3" w14:paraId="60EDCEDA" w14:textId="77777777" w:rsidTr="003E6E57">
        <w:trPr>
          <w:trHeight w:val="421"/>
        </w:trPr>
        <w:tc>
          <w:tcPr>
            <w:tcW w:w="9781" w:type="dxa"/>
            <w:gridSpan w:val="3"/>
            <w:vAlign w:val="center"/>
          </w:tcPr>
          <w:p w14:paraId="05B3E1E5" w14:textId="77777777" w:rsidR="006A34FF" w:rsidRPr="001F51C3" w:rsidRDefault="006A34FF" w:rsidP="00095C9A">
            <w:pPr>
              <w:pStyle w:val="naisnod"/>
              <w:spacing w:before="0" w:beforeAutospacing="0" w:after="0" w:afterAutospacing="0"/>
              <w:ind w:left="57" w:right="57"/>
              <w:jc w:val="center"/>
              <w:rPr>
                <w:sz w:val="26"/>
                <w:szCs w:val="26"/>
              </w:rPr>
            </w:pPr>
            <w:r w:rsidRPr="001F51C3">
              <w:rPr>
                <w:b/>
                <w:sz w:val="26"/>
                <w:szCs w:val="26"/>
              </w:rPr>
              <w:t>VII. Tiesību akta projekta izpildes nodrošināšana un tās ietekme uz institūcijām</w:t>
            </w:r>
          </w:p>
        </w:tc>
      </w:tr>
      <w:tr w:rsidR="006A34FF" w:rsidRPr="001F51C3" w14:paraId="0CCF4940" w14:textId="77777777" w:rsidTr="003E6E57">
        <w:trPr>
          <w:trHeight w:val="553"/>
        </w:trPr>
        <w:tc>
          <w:tcPr>
            <w:tcW w:w="327" w:type="dxa"/>
          </w:tcPr>
          <w:p w14:paraId="1E257809" w14:textId="77777777" w:rsidR="006A34FF" w:rsidRPr="001F51C3" w:rsidRDefault="006A34FF" w:rsidP="00095C9A">
            <w:pPr>
              <w:ind w:left="57" w:right="57"/>
              <w:jc w:val="both"/>
              <w:rPr>
                <w:bCs/>
                <w:sz w:val="26"/>
                <w:szCs w:val="26"/>
              </w:rPr>
            </w:pPr>
            <w:r w:rsidRPr="001F51C3">
              <w:rPr>
                <w:bCs/>
                <w:sz w:val="26"/>
                <w:szCs w:val="26"/>
              </w:rPr>
              <w:t>1.</w:t>
            </w:r>
          </w:p>
        </w:tc>
        <w:tc>
          <w:tcPr>
            <w:tcW w:w="2816" w:type="dxa"/>
          </w:tcPr>
          <w:p w14:paraId="1E7AA7E5" w14:textId="77777777" w:rsidR="006A34FF" w:rsidRPr="001F51C3" w:rsidRDefault="006A34FF" w:rsidP="00095C9A">
            <w:pPr>
              <w:ind w:left="57" w:right="57"/>
              <w:rPr>
                <w:sz w:val="26"/>
                <w:szCs w:val="26"/>
              </w:rPr>
            </w:pPr>
            <w:r w:rsidRPr="001F51C3">
              <w:rPr>
                <w:sz w:val="26"/>
                <w:szCs w:val="26"/>
              </w:rPr>
              <w:t>Projekta izpildē iesaistītās institūcijas</w:t>
            </w:r>
          </w:p>
        </w:tc>
        <w:tc>
          <w:tcPr>
            <w:tcW w:w="6638" w:type="dxa"/>
          </w:tcPr>
          <w:p w14:paraId="6287BFA0" w14:textId="77777777" w:rsidR="006A34FF" w:rsidRPr="001F51C3" w:rsidRDefault="006A34FF" w:rsidP="00095C9A">
            <w:pPr>
              <w:shd w:val="clear" w:color="auto" w:fill="FFFFFF"/>
              <w:ind w:left="57" w:right="113"/>
              <w:jc w:val="both"/>
              <w:rPr>
                <w:sz w:val="26"/>
                <w:szCs w:val="26"/>
              </w:rPr>
            </w:pPr>
            <w:r w:rsidRPr="001F51C3">
              <w:rPr>
                <w:sz w:val="26"/>
                <w:szCs w:val="26"/>
              </w:rPr>
              <w:t>Ekonomikas ministrija kā atbildīgā iestāde, CFLA kā sadarbības iestāde.</w:t>
            </w:r>
          </w:p>
        </w:tc>
      </w:tr>
      <w:tr w:rsidR="006A34FF" w:rsidRPr="001F51C3" w14:paraId="79E900EA" w14:textId="77777777" w:rsidTr="003E6E57">
        <w:trPr>
          <w:trHeight w:val="339"/>
        </w:trPr>
        <w:tc>
          <w:tcPr>
            <w:tcW w:w="327" w:type="dxa"/>
          </w:tcPr>
          <w:p w14:paraId="0739D3DA" w14:textId="77777777" w:rsidR="006A34FF" w:rsidRPr="001F51C3" w:rsidRDefault="006A34FF" w:rsidP="00095C9A">
            <w:pPr>
              <w:ind w:left="57" w:right="57"/>
              <w:jc w:val="both"/>
              <w:rPr>
                <w:bCs/>
                <w:sz w:val="26"/>
                <w:szCs w:val="26"/>
              </w:rPr>
            </w:pPr>
            <w:r w:rsidRPr="001F51C3">
              <w:rPr>
                <w:bCs/>
                <w:sz w:val="26"/>
                <w:szCs w:val="26"/>
              </w:rPr>
              <w:t>2.</w:t>
            </w:r>
          </w:p>
        </w:tc>
        <w:tc>
          <w:tcPr>
            <w:tcW w:w="2816" w:type="dxa"/>
          </w:tcPr>
          <w:p w14:paraId="5080FD21" w14:textId="77777777" w:rsidR="006A34FF" w:rsidRPr="001F51C3" w:rsidRDefault="006A34FF" w:rsidP="00095C9A">
            <w:pPr>
              <w:ind w:left="57" w:right="57"/>
              <w:rPr>
                <w:sz w:val="26"/>
                <w:szCs w:val="26"/>
              </w:rPr>
            </w:pPr>
            <w:r w:rsidRPr="001F51C3">
              <w:rPr>
                <w:sz w:val="26"/>
                <w:szCs w:val="26"/>
              </w:rPr>
              <w:t xml:space="preserve">Projekta izpildes ietekme uz pārvaldes funkcijām un institucionālo struktūru. </w:t>
            </w:r>
          </w:p>
          <w:p w14:paraId="7F7BB7E5" w14:textId="77777777" w:rsidR="006A34FF" w:rsidRPr="001F51C3" w:rsidRDefault="006A34FF" w:rsidP="00095C9A">
            <w:pPr>
              <w:ind w:left="57" w:right="57"/>
              <w:rPr>
                <w:sz w:val="26"/>
                <w:szCs w:val="26"/>
              </w:rPr>
            </w:pPr>
            <w:r w:rsidRPr="001F51C3">
              <w:rPr>
                <w:sz w:val="26"/>
                <w:szCs w:val="26"/>
              </w:rPr>
              <w:t>Jaunu institūciju izveide, esošu institūciju likvidācija vai reorganizācija, to ietekme uz institūcijas cilvēkresursiem</w:t>
            </w:r>
          </w:p>
        </w:tc>
        <w:tc>
          <w:tcPr>
            <w:tcW w:w="6638" w:type="dxa"/>
          </w:tcPr>
          <w:p w14:paraId="484AD563" w14:textId="77777777" w:rsidR="006A34FF" w:rsidRPr="001F51C3" w:rsidRDefault="006A34FF" w:rsidP="00095C9A">
            <w:pPr>
              <w:shd w:val="clear" w:color="auto" w:fill="FFFFFF"/>
              <w:ind w:left="57" w:right="113"/>
              <w:jc w:val="both"/>
              <w:rPr>
                <w:kern w:val="24"/>
                <w:sz w:val="26"/>
                <w:szCs w:val="26"/>
              </w:rPr>
            </w:pPr>
            <w:r w:rsidRPr="001F51C3">
              <w:rPr>
                <w:sz w:val="26"/>
                <w:szCs w:val="26"/>
              </w:rPr>
              <w:t>Nav plānota jaunu institūciju izveide, esošu institūciju likvidācija vai reorga</w:t>
            </w:r>
            <w:r w:rsidRPr="001F51C3">
              <w:rPr>
                <w:sz w:val="26"/>
                <w:szCs w:val="26"/>
              </w:rPr>
              <w:softHyphen/>
              <w:t>nizācija.</w:t>
            </w:r>
          </w:p>
        </w:tc>
      </w:tr>
      <w:tr w:rsidR="006A34FF" w:rsidRPr="001F51C3" w14:paraId="1D7B424E" w14:textId="77777777" w:rsidTr="003E6E57">
        <w:trPr>
          <w:trHeight w:val="476"/>
        </w:trPr>
        <w:tc>
          <w:tcPr>
            <w:tcW w:w="327" w:type="dxa"/>
          </w:tcPr>
          <w:p w14:paraId="7AD51BEC" w14:textId="77777777" w:rsidR="006A34FF" w:rsidRPr="001F51C3" w:rsidRDefault="006A34FF" w:rsidP="00095C9A">
            <w:pPr>
              <w:ind w:left="57" w:right="57"/>
              <w:jc w:val="both"/>
              <w:rPr>
                <w:bCs/>
                <w:sz w:val="26"/>
                <w:szCs w:val="26"/>
              </w:rPr>
            </w:pPr>
            <w:r w:rsidRPr="001F51C3">
              <w:rPr>
                <w:bCs/>
                <w:sz w:val="26"/>
                <w:szCs w:val="26"/>
              </w:rPr>
              <w:t>3.</w:t>
            </w:r>
          </w:p>
        </w:tc>
        <w:tc>
          <w:tcPr>
            <w:tcW w:w="2816" w:type="dxa"/>
          </w:tcPr>
          <w:p w14:paraId="5C9D23F2" w14:textId="77777777" w:rsidR="006A34FF" w:rsidRPr="001F51C3" w:rsidRDefault="006A34FF" w:rsidP="00095C9A">
            <w:pPr>
              <w:ind w:left="57" w:right="57"/>
              <w:rPr>
                <w:sz w:val="26"/>
                <w:szCs w:val="26"/>
              </w:rPr>
            </w:pPr>
            <w:r w:rsidRPr="001F51C3">
              <w:rPr>
                <w:sz w:val="26"/>
                <w:szCs w:val="26"/>
              </w:rPr>
              <w:t>Cita informācija</w:t>
            </w:r>
          </w:p>
        </w:tc>
        <w:tc>
          <w:tcPr>
            <w:tcW w:w="6638" w:type="dxa"/>
          </w:tcPr>
          <w:p w14:paraId="1378D475" w14:textId="77777777" w:rsidR="006A34FF" w:rsidRPr="001F51C3" w:rsidRDefault="006A34FF" w:rsidP="00095C9A">
            <w:pPr>
              <w:shd w:val="clear" w:color="auto" w:fill="FFFFFF"/>
              <w:ind w:left="57" w:right="113"/>
              <w:jc w:val="both"/>
              <w:rPr>
                <w:sz w:val="26"/>
                <w:szCs w:val="26"/>
              </w:rPr>
            </w:pPr>
            <w:r w:rsidRPr="001F51C3">
              <w:rPr>
                <w:sz w:val="26"/>
                <w:szCs w:val="26"/>
              </w:rPr>
              <w:t xml:space="preserve">Nav. </w:t>
            </w:r>
          </w:p>
        </w:tc>
      </w:tr>
    </w:tbl>
    <w:p w14:paraId="57B7515F" w14:textId="77777777" w:rsidR="00B71986" w:rsidRPr="001F51C3" w:rsidRDefault="00B71986" w:rsidP="006A34FF">
      <w:pPr>
        <w:ind w:firstLine="720"/>
        <w:jc w:val="both"/>
        <w:rPr>
          <w:sz w:val="26"/>
          <w:szCs w:val="26"/>
        </w:rPr>
      </w:pPr>
    </w:p>
    <w:p w14:paraId="1CAB6DD9" w14:textId="77777777" w:rsidR="006A34FF" w:rsidRPr="001F51C3" w:rsidRDefault="006A34FF" w:rsidP="006A34FF">
      <w:pPr>
        <w:ind w:firstLine="720"/>
        <w:jc w:val="both"/>
        <w:rPr>
          <w:sz w:val="26"/>
          <w:szCs w:val="26"/>
        </w:rPr>
      </w:pPr>
      <w:r w:rsidRPr="001F51C3">
        <w:rPr>
          <w:sz w:val="26"/>
          <w:szCs w:val="26"/>
        </w:rPr>
        <w:t xml:space="preserve">Anotācijas IV. sadaļa – MK noteikumu </w:t>
      </w:r>
      <w:r w:rsidRPr="001F51C3">
        <w:rPr>
          <w:iCs/>
          <w:sz w:val="26"/>
          <w:szCs w:val="26"/>
        </w:rPr>
        <w:t>projekts šo jomu neskar.</w:t>
      </w:r>
    </w:p>
    <w:p w14:paraId="19B049CA" w14:textId="77777777" w:rsidR="006A34FF" w:rsidRPr="001F51C3" w:rsidRDefault="006A34FF" w:rsidP="006A34FF">
      <w:pPr>
        <w:jc w:val="both"/>
        <w:rPr>
          <w:sz w:val="26"/>
          <w:szCs w:val="26"/>
        </w:rPr>
      </w:pPr>
    </w:p>
    <w:p w14:paraId="6A8166E8" w14:textId="77777777" w:rsidR="00936487" w:rsidRPr="001F51C3" w:rsidRDefault="00936487" w:rsidP="006A34FF">
      <w:pPr>
        <w:jc w:val="both"/>
        <w:rPr>
          <w:sz w:val="26"/>
          <w:szCs w:val="26"/>
        </w:rPr>
      </w:pPr>
    </w:p>
    <w:p w14:paraId="0155B9E9" w14:textId="77777777" w:rsidR="00936487" w:rsidRPr="001F51C3" w:rsidRDefault="00936487" w:rsidP="006A34FF">
      <w:pPr>
        <w:jc w:val="both"/>
        <w:rPr>
          <w:sz w:val="26"/>
          <w:szCs w:val="26"/>
        </w:rPr>
      </w:pPr>
    </w:p>
    <w:p w14:paraId="50C9DB23" w14:textId="77777777" w:rsidR="00936487" w:rsidRPr="001F51C3" w:rsidRDefault="00936487" w:rsidP="006A34FF">
      <w:pPr>
        <w:jc w:val="both"/>
        <w:rPr>
          <w:sz w:val="26"/>
          <w:szCs w:val="26"/>
        </w:rPr>
      </w:pPr>
    </w:p>
    <w:p w14:paraId="6AE8B018" w14:textId="77777777" w:rsidR="00936487" w:rsidRPr="001F51C3" w:rsidRDefault="00936487" w:rsidP="006A34FF">
      <w:pPr>
        <w:jc w:val="both"/>
        <w:rPr>
          <w:sz w:val="26"/>
          <w:szCs w:val="26"/>
        </w:rPr>
      </w:pPr>
    </w:p>
    <w:p w14:paraId="1B0B9C22" w14:textId="7E322592" w:rsidR="006A34FF" w:rsidRPr="001F51C3" w:rsidRDefault="006A34FF" w:rsidP="006A34FF">
      <w:pPr>
        <w:jc w:val="both"/>
        <w:rPr>
          <w:sz w:val="26"/>
          <w:szCs w:val="26"/>
        </w:rPr>
      </w:pPr>
      <w:r w:rsidRPr="001F51C3">
        <w:rPr>
          <w:sz w:val="26"/>
          <w:szCs w:val="26"/>
        </w:rPr>
        <w:t>Ekonomikas ministre</w:t>
      </w:r>
      <w:r w:rsidRPr="001F51C3">
        <w:rPr>
          <w:sz w:val="26"/>
          <w:szCs w:val="26"/>
        </w:rPr>
        <w:tab/>
      </w:r>
      <w:r w:rsidRPr="001F51C3">
        <w:rPr>
          <w:sz w:val="26"/>
          <w:szCs w:val="26"/>
        </w:rPr>
        <w:tab/>
      </w:r>
      <w:r w:rsidRPr="001F51C3">
        <w:rPr>
          <w:sz w:val="26"/>
          <w:szCs w:val="26"/>
        </w:rPr>
        <w:tab/>
      </w:r>
      <w:r w:rsidRPr="001F51C3">
        <w:rPr>
          <w:sz w:val="26"/>
          <w:szCs w:val="26"/>
        </w:rPr>
        <w:tab/>
      </w:r>
      <w:r w:rsidRPr="001F51C3">
        <w:rPr>
          <w:sz w:val="26"/>
          <w:szCs w:val="26"/>
        </w:rPr>
        <w:tab/>
      </w:r>
      <w:r w:rsidRPr="001F51C3">
        <w:rPr>
          <w:sz w:val="26"/>
          <w:szCs w:val="26"/>
        </w:rPr>
        <w:tab/>
      </w:r>
      <w:r w:rsidRPr="001F51C3">
        <w:rPr>
          <w:sz w:val="26"/>
          <w:szCs w:val="26"/>
        </w:rPr>
        <w:tab/>
      </w:r>
      <w:proofErr w:type="spellStart"/>
      <w:r w:rsidRPr="001F51C3">
        <w:rPr>
          <w:sz w:val="26"/>
          <w:szCs w:val="26"/>
        </w:rPr>
        <w:t>D.Reizniece</w:t>
      </w:r>
      <w:proofErr w:type="spellEnd"/>
      <w:r w:rsidRPr="001F51C3">
        <w:rPr>
          <w:sz w:val="26"/>
          <w:szCs w:val="26"/>
        </w:rPr>
        <w:t>-Ozola</w:t>
      </w:r>
      <w:r w:rsidRPr="001F51C3">
        <w:rPr>
          <w:sz w:val="26"/>
          <w:szCs w:val="26"/>
        </w:rPr>
        <w:tab/>
      </w:r>
    </w:p>
    <w:p w14:paraId="27717E59" w14:textId="77777777" w:rsidR="006A34FF" w:rsidRPr="001F51C3" w:rsidRDefault="006A34FF" w:rsidP="006A34FF">
      <w:pPr>
        <w:jc w:val="both"/>
        <w:rPr>
          <w:sz w:val="26"/>
          <w:szCs w:val="26"/>
        </w:rPr>
      </w:pPr>
    </w:p>
    <w:p w14:paraId="64D8492C" w14:textId="77777777" w:rsidR="005B6C86" w:rsidRPr="001F51C3" w:rsidRDefault="005B6C86" w:rsidP="006A34FF">
      <w:pPr>
        <w:jc w:val="both"/>
        <w:rPr>
          <w:sz w:val="26"/>
          <w:szCs w:val="26"/>
        </w:rPr>
      </w:pPr>
    </w:p>
    <w:p w14:paraId="7BB880FA" w14:textId="77777777" w:rsidR="00936487" w:rsidRPr="001F51C3" w:rsidRDefault="00936487" w:rsidP="006A34FF">
      <w:pPr>
        <w:jc w:val="both"/>
        <w:rPr>
          <w:sz w:val="26"/>
          <w:szCs w:val="26"/>
        </w:rPr>
      </w:pPr>
    </w:p>
    <w:p w14:paraId="7038E530" w14:textId="77777777" w:rsidR="00936487" w:rsidRPr="001F51C3" w:rsidRDefault="00936487" w:rsidP="006A34FF">
      <w:pPr>
        <w:jc w:val="both"/>
        <w:rPr>
          <w:sz w:val="26"/>
          <w:szCs w:val="26"/>
        </w:rPr>
      </w:pPr>
    </w:p>
    <w:p w14:paraId="51BD51B5" w14:textId="77777777" w:rsidR="00936487" w:rsidRPr="001F51C3" w:rsidRDefault="00936487" w:rsidP="006A34FF">
      <w:pPr>
        <w:jc w:val="both"/>
        <w:rPr>
          <w:sz w:val="26"/>
          <w:szCs w:val="26"/>
        </w:rPr>
      </w:pPr>
    </w:p>
    <w:p w14:paraId="00569FE2" w14:textId="77777777" w:rsidR="006A34FF" w:rsidRPr="001F51C3" w:rsidRDefault="006A34FF" w:rsidP="006A34FF">
      <w:pPr>
        <w:jc w:val="both"/>
        <w:rPr>
          <w:sz w:val="26"/>
          <w:szCs w:val="26"/>
        </w:rPr>
      </w:pPr>
      <w:r w:rsidRPr="001F51C3">
        <w:rPr>
          <w:sz w:val="26"/>
          <w:szCs w:val="26"/>
        </w:rPr>
        <w:t>Vīza:</w:t>
      </w:r>
    </w:p>
    <w:p w14:paraId="16405122" w14:textId="78D1DFD3" w:rsidR="006A34FF" w:rsidRPr="001F51C3" w:rsidRDefault="006A34FF" w:rsidP="006A34FF">
      <w:pPr>
        <w:jc w:val="both"/>
        <w:rPr>
          <w:sz w:val="26"/>
          <w:szCs w:val="26"/>
        </w:rPr>
      </w:pPr>
      <w:r w:rsidRPr="001F51C3">
        <w:rPr>
          <w:sz w:val="26"/>
          <w:szCs w:val="26"/>
        </w:rPr>
        <w:t>Valsts sekretār</w:t>
      </w:r>
      <w:r w:rsidR="00E9063A" w:rsidRPr="001F51C3">
        <w:rPr>
          <w:sz w:val="26"/>
          <w:szCs w:val="26"/>
        </w:rPr>
        <w:t>s</w:t>
      </w:r>
      <w:r w:rsidRPr="001F51C3">
        <w:rPr>
          <w:sz w:val="26"/>
          <w:szCs w:val="26"/>
        </w:rPr>
        <w:t xml:space="preserve"> </w:t>
      </w:r>
      <w:r w:rsidR="00E9063A" w:rsidRPr="001F51C3">
        <w:rPr>
          <w:sz w:val="26"/>
          <w:szCs w:val="26"/>
        </w:rPr>
        <w:tab/>
      </w:r>
      <w:r w:rsidR="00E9063A" w:rsidRPr="001F51C3">
        <w:rPr>
          <w:sz w:val="26"/>
          <w:szCs w:val="26"/>
        </w:rPr>
        <w:tab/>
      </w:r>
      <w:r w:rsidR="00E9063A" w:rsidRPr="001F51C3">
        <w:rPr>
          <w:sz w:val="26"/>
          <w:szCs w:val="26"/>
        </w:rPr>
        <w:tab/>
      </w:r>
      <w:r w:rsidR="00E9063A" w:rsidRPr="001F51C3">
        <w:rPr>
          <w:sz w:val="26"/>
          <w:szCs w:val="26"/>
        </w:rPr>
        <w:tab/>
      </w:r>
      <w:r w:rsidR="00E9063A" w:rsidRPr="001F51C3">
        <w:rPr>
          <w:sz w:val="26"/>
          <w:szCs w:val="26"/>
        </w:rPr>
        <w:tab/>
      </w:r>
      <w:r w:rsidR="00E9063A" w:rsidRPr="001F51C3">
        <w:rPr>
          <w:sz w:val="26"/>
          <w:szCs w:val="26"/>
        </w:rPr>
        <w:tab/>
      </w:r>
      <w:r w:rsidR="00E9063A" w:rsidRPr="001F51C3">
        <w:rPr>
          <w:sz w:val="26"/>
          <w:szCs w:val="26"/>
        </w:rPr>
        <w:tab/>
      </w:r>
      <w:r w:rsidR="00E9063A" w:rsidRPr="001F51C3">
        <w:rPr>
          <w:sz w:val="26"/>
          <w:szCs w:val="26"/>
        </w:rPr>
        <w:tab/>
      </w:r>
      <w:proofErr w:type="spellStart"/>
      <w:r w:rsidR="00397B0B" w:rsidRPr="001F51C3">
        <w:rPr>
          <w:sz w:val="26"/>
          <w:szCs w:val="26"/>
        </w:rPr>
        <w:t>R.Beinarovičs</w:t>
      </w:r>
      <w:proofErr w:type="spellEnd"/>
    </w:p>
    <w:p w14:paraId="370639C3" w14:textId="77777777" w:rsidR="006C69A7" w:rsidRPr="001F51C3" w:rsidRDefault="006C69A7" w:rsidP="006A34FF">
      <w:pPr>
        <w:jc w:val="both"/>
        <w:rPr>
          <w:sz w:val="20"/>
          <w:szCs w:val="20"/>
        </w:rPr>
      </w:pPr>
    </w:p>
    <w:p w14:paraId="04E2B254" w14:textId="77777777" w:rsidR="006C69A7" w:rsidRPr="001F51C3" w:rsidRDefault="006C69A7" w:rsidP="006A34FF">
      <w:pPr>
        <w:jc w:val="both"/>
        <w:rPr>
          <w:sz w:val="20"/>
          <w:szCs w:val="20"/>
        </w:rPr>
      </w:pPr>
    </w:p>
    <w:p w14:paraId="07DFF4BF" w14:textId="77777777" w:rsidR="006C69A7" w:rsidRPr="001F51C3" w:rsidRDefault="006C69A7" w:rsidP="006A34FF">
      <w:pPr>
        <w:jc w:val="both"/>
        <w:rPr>
          <w:sz w:val="20"/>
          <w:szCs w:val="20"/>
        </w:rPr>
      </w:pPr>
    </w:p>
    <w:p w14:paraId="7A70F2EC" w14:textId="77777777" w:rsidR="00936487" w:rsidRPr="001F51C3" w:rsidRDefault="00936487" w:rsidP="006A34FF">
      <w:pPr>
        <w:jc w:val="both"/>
        <w:rPr>
          <w:sz w:val="20"/>
          <w:szCs w:val="20"/>
        </w:rPr>
      </w:pPr>
    </w:p>
    <w:p w14:paraId="5A244B28" w14:textId="77777777" w:rsidR="00936487" w:rsidRPr="001F51C3" w:rsidRDefault="00936487" w:rsidP="006A34FF">
      <w:pPr>
        <w:jc w:val="both"/>
        <w:rPr>
          <w:sz w:val="20"/>
          <w:szCs w:val="20"/>
        </w:rPr>
      </w:pPr>
    </w:p>
    <w:p w14:paraId="3D642E73" w14:textId="77777777" w:rsidR="00936487" w:rsidRPr="001F51C3" w:rsidRDefault="00936487" w:rsidP="006A34FF">
      <w:pPr>
        <w:jc w:val="both"/>
        <w:rPr>
          <w:sz w:val="20"/>
          <w:szCs w:val="20"/>
        </w:rPr>
      </w:pPr>
    </w:p>
    <w:p w14:paraId="4756C15A" w14:textId="77777777" w:rsidR="00936487" w:rsidRPr="001F51C3" w:rsidRDefault="00936487" w:rsidP="006A34FF">
      <w:pPr>
        <w:jc w:val="both"/>
        <w:rPr>
          <w:sz w:val="20"/>
          <w:szCs w:val="20"/>
        </w:rPr>
      </w:pPr>
    </w:p>
    <w:p w14:paraId="5890F45B" w14:textId="77777777" w:rsidR="00944BE8" w:rsidRDefault="00944BE8" w:rsidP="006A34FF">
      <w:pPr>
        <w:jc w:val="both"/>
        <w:rPr>
          <w:sz w:val="20"/>
          <w:szCs w:val="20"/>
        </w:rPr>
      </w:pPr>
      <w:r>
        <w:rPr>
          <w:sz w:val="20"/>
          <w:szCs w:val="20"/>
        </w:rPr>
        <w:t>23.11.2015 15:32</w:t>
      </w:r>
    </w:p>
    <w:p w14:paraId="60CEBCF3" w14:textId="4BFB1BA7" w:rsidR="006A34FF" w:rsidRPr="001F51C3" w:rsidRDefault="006A34FF" w:rsidP="006A34FF">
      <w:pPr>
        <w:jc w:val="both"/>
        <w:rPr>
          <w:sz w:val="20"/>
          <w:szCs w:val="20"/>
        </w:rPr>
      </w:pPr>
      <w:r w:rsidRPr="001F51C3">
        <w:rPr>
          <w:sz w:val="20"/>
          <w:szCs w:val="20"/>
        </w:rPr>
        <w:fldChar w:fldCharType="begin"/>
      </w:r>
      <w:r w:rsidRPr="001F51C3">
        <w:rPr>
          <w:sz w:val="20"/>
          <w:szCs w:val="20"/>
        </w:rPr>
        <w:instrText xml:space="preserve"> NUMWORDS   \* MERGEFORMAT </w:instrText>
      </w:r>
      <w:r w:rsidRPr="001F51C3">
        <w:rPr>
          <w:sz w:val="20"/>
          <w:szCs w:val="20"/>
        </w:rPr>
        <w:fldChar w:fldCharType="separate"/>
      </w:r>
      <w:r w:rsidR="00944BE8">
        <w:rPr>
          <w:noProof/>
          <w:sz w:val="20"/>
          <w:szCs w:val="20"/>
        </w:rPr>
        <w:t>6976</w:t>
      </w:r>
      <w:r w:rsidRPr="001F51C3">
        <w:rPr>
          <w:sz w:val="20"/>
          <w:szCs w:val="20"/>
        </w:rPr>
        <w:fldChar w:fldCharType="end"/>
      </w:r>
      <w:bookmarkStart w:id="4" w:name="_GoBack"/>
      <w:bookmarkEnd w:id="4"/>
    </w:p>
    <w:p w14:paraId="7633AB03" w14:textId="77777777" w:rsidR="006A34FF" w:rsidRPr="001F51C3" w:rsidRDefault="006A34FF" w:rsidP="006A34FF">
      <w:pPr>
        <w:jc w:val="both"/>
        <w:rPr>
          <w:sz w:val="20"/>
          <w:szCs w:val="20"/>
        </w:rPr>
      </w:pPr>
      <w:proofErr w:type="spellStart"/>
      <w:r w:rsidRPr="001F51C3">
        <w:rPr>
          <w:sz w:val="20"/>
          <w:szCs w:val="20"/>
        </w:rPr>
        <w:t>L.Jenerte</w:t>
      </w:r>
      <w:proofErr w:type="spellEnd"/>
    </w:p>
    <w:p w14:paraId="37349225" w14:textId="77777777" w:rsidR="006A34FF" w:rsidRPr="001F51C3" w:rsidRDefault="006A34FF" w:rsidP="006A34FF">
      <w:pPr>
        <w:jc w:val="both"/>
        <w:rPr>
          <w:sz w:val="20"/>
          <w:szCs w:val="20"/>
        </w:rPr>
      </w:pPr>
      <w:r w:rsidRPr="001F51C3">
        <w:rPr>
          <w:sz w:val="20"/>
          <w:szCs w:val="20"/>
        </w:rPr>
        <w:t>Tel.: 67013059</w:t>
      </w:r>
    </w:p>
    <w:p w14:paraId="7BFD788C" w14:textId="480B8D22" w:rsidR="006A34FF" w:rsidRPr="008E6333" w:rsidRDefault="006A34FF" w:rsidP="005B6C86">
      <w:pPr>
        <w:jc w:val="both"/>
        <w:rPr>
          <w:sz w:val="20"/>
          <w:szCs w:val="20"/>
        </w:rPr>
      </w:pPr>
      <w:r w:rsidRPr="001F51C3">
        <w:rPr>
          <w:sz w:val="20"/>
          <w:szCs w:val="20"/>
        </w:rPr>
        <w:t xml:space="preserve">e-pasts: </w:t>
      </w:r>
      <w:hyperlink r:id="rId8" w:history="1">
        <w:r w:rsidRPr="001F51C3">
          <w:rPr>
            <w:rStyle w:val="Hyperlink"/>
            <w:sz w:val="20"/>
            <w:szCs w:val="20"/>
          </w:rPr>
          <w:t>Liene.Jenerte@em.gov.lv</w:t>
        </w:r>
      </w:hyperlink>
    </w:p>
    <w:p w14:paraId="46068C65" w14:textId="77777777" w:rsidR="00DE6890" w:rsidRPr="008E6333" w:rsidRDefault="00DE6890">
      <w:pPr>
        <w:rPr>
          <w:sz w:val="20"/>
          <w:szCs w:val="20"/>
        </w:rPr>
      </w:pPr>
    </w:p>
    <w:sectPr w:rsidR="00DE6890" w:rsidRPr="008E6333" w:rsidSect="00B71986">
      <w:headerReference w:type="even" r:id="rId9"/>
      <w:headerReference w:type="default" r:id="rId10"/>
      <w:footerReference w:type="even" r:id="rId11"/>
      <w:footerReference w:type="default" r:id="rId12"/>
      <w:headerReference w:type="first" r:id="rId13"/>
      <w:footerReference w:type="first" r:id="rId14"/>
      <w:pgSz w:w="11906" w:h="16838"/>
      <w:pgMar w:top="1418" w:right="42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84060" w14:textId="77777777" w:rsidR="006F6CB0" w:rsidRDefault="006F6CB0">
      <w:r>
        <w:separator/>
      </w:r>
    </w:p>
  </w:endnote>
  <w:endnote w:type="continuationSeparator" w:id="0">
    <w:p w14:paraId="6D18EED2" w14:textId="77777777" w:rsidR="006F6CB0" w:rsidRDefault="006F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324CE" w14:textId="77777777" w:rsidR="006F6CB0" w:rsidRPr="00186C21" w:rsidRDefault="006F6CB0" w:rsidP="00095C9A">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00C4C" w14:textId="1496EA77" w:rsidR="006F6CB0" w:rsidRPr="00D06875" w:rsidRDefault="009538E9" w:rsidP="00095C9A">
    <w:pPr>
      <w:ind w:right="709"/>
      <w:jc w:val="both"/>
      <w:rPr>
        <w:sz w:val="20"/>
        <w:szCs w:val="20"/>
      </w:rPr>
    </w:pPr>
    <w:r>
      <w:rPr>
        <w:bCs/>
        <w:sz w:val="20"/>
        <w:szCs w:val="20"/>
      </w:rPr>
      <w:t>EMAnot_SAM3212_23</w:t>
    </w:r>
    <w:r w:rsidR="006F6CB0">
      <w:rPr>
        <w:bCs/>
        <w:sz w:val="20"/>
        <w:szCs w:val="20"/>
      </w:rPr>
      <w:t>11</w:t>
    </w:r>
    <w:r w:rsidR="006F6CB0" w:rsidRPr="00FC7274">
      <w:rPr>
        <w:bCs/>
        <w:sz w:val="20"/>
        <w:szCs w:val="20"/>
      </w:rPr>
      <w:t>2015; Darbības programmas „Izaugsme un nodarbinātība” 3.2.1. specifiskā atbalsta mērķa „Palielināt augstas pievienotās vērtības produktu un pakalpojumu eksporta proporciju” 3.2.1.2. pasākuma “Starptautiskās konkurētspējas veicināšana” īstenošanas noteikumi</w:t>
    </w:r>
    <w:r w:rsidR="006F6CB0">
      <w:rPr>
        <w:bCs/>
        <w:sz w:val="20"/>
        <w:szCs w:val="20"/>
      </w:rPr>
      <w:t xml:space="preserve">„ </w:t>
    </w:r>
    <w:r w:rsidR="006F6CB0" w:rsidRPr="00C512CA">
      <w:rPr>
        <w:bCs/>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A3CF2" w14:textId="38103632" w:rsidR="006F6CB0" w:rsidRPr="00D06875" w:rsidRDefault="00200E9D" w:rsidP="00095C9A">
    <w:pPr>
      <w:ind w:right="709"/>
      <w:jc w:val="both"/>
      <w:rPr>
        <w:sz w:val="20"/>
        <w:szCs w:val="20"/>
      </w:rPr>
    </w:pPr>
    <w:r w:rsidRPr="00200E9D">
      <w:rPr>
        <w:bCs/>
        <w:sz w:val="20"/>
        <w:szCs w:val="20"/>
      </w:rPr>
      <w:t>EMAnot_SAM3212_23112015</w:t>
    </w:r>
    <w:r w:rsidR="006F6CB0" w:rsidRPr="00FC7274">
      <w:rPr>
        <w:bCs/>
        <w:sz w:val="20"/>
        <w:szCs w:val="20"/>
      </w:rPr>
      <w:t>; Darbības programmas „Izaugsme un nodarbinātība” 3.2.1. specifiskā atbalsta mērķa „Palielināt augstas pievienotās vērtības produktu un pakalpojumu eksporta proporciju” 3.2.1.2. pasākuma “Starptautiskās konkurētspējas ve</w:t>
    </w:r>
    <w:r w:rsidR="006F6CB0">
      <w:rPr>
        <w:bCs/>
        <w:sz w:val="20"/>
        <w:szCs w:val="20"/>
      </w:rPr>
      <w:t xml:space="preserve">icināšana” īstenošanas noteikumu </w:t>
    </w:r>
    <w:r w:rsidR="006F6CB0" w:rsidRPr="00C512CA">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CDF60" w14:textId="77777777" w:rsidR="006F6CB0" w:rsidRDefault="006F6CB0">
      <w:r>
        <w:separator/>
      </w:r>
    </w:p>
  </w:footnote>
  <w:footnote w:type="continuationSeparator" w:id="0">
    <w:p w14:paraId="2D1211D7" w14:textId="77777777" w:rsidR="006F6CB0" w:rsidRDefault="006F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CFAAA" w14:textId="77777777" w:rsidR="00200E9D" w:rsidRDefault="00200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FB54D" w14:textId="77777777" w:rsidR="006F6CB0" w:rsidRDefault="006F6CB0" w:rsidP="00095C9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4BE8">
      <w:rPr>
        <w:rStyle w:val="PageNumber"/>
        <w:noProof/>
      </w:rPr>
      <w:t>24</w:t>
    </w:r>
    <w:r>
      <w:rPr>
        <w:rStyle w:val="PageNumber"/>
      </w:rPr>
      <w:fldChar w:fldCharType="end"/>
    </w:r>
  </w:p>
  <w:p w14:paraId="471B196C" w14:textId="77777777" w:rsidR="006F6CB0" w:rsidRDefault="006F6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CD948" w14:textId="77777777" w:rsidR="006F6CB0" w:rsidRPr="00433CA3" w:rsidRDefault="006F6CB0" w:rsidP="00095C9A">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AEC"/>
    <w:multiLevelType w:val="hybridMultilevel"/>
    <w:tmpl w:val="AC78EF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965EA5"/>
    <w:multiLevelType w:val="hybridMultilevel"/>
    <w:tmpl w:val="516E596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21E511C5"/>
    <w:multiLevelType w:val="multilevel"/>
    <w:tmpl w:val="5A909E1E"/>
    <w:lvl w:ilvl="0">
      <w:start w:val="1"/>
      <w:numFmt w:val="decimal"/>
      <w:lvlText w:val="%1."/>
      <w:lvlJc w:val="left"/>
      <w:pPr>
        <w:ind w:left="72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6623F9"/>
    <w:multiLevelType w:val="hybridMultilevel"/>
    <w:tmpl w:val="695C48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5A262CE0"/>
    <w:multiLevelType w:val="hybridMultilevel"/>
    <w:tmpl w:val="81C250AE"/>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7" w15:restartNumberingAfterBreak="0">
    <w:nsid w:val="66464F88"/>
    <w:multiLevelType w:val="hybridMultilevel"/>
    <w:tmpl w:val="EB9C4256"/>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66906234"/>
    <w:multiLevelType w:val="hybridMultilevel"/>
    <w:tmpl w:val="4BD233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D687D1E"/>
    <w:multiLevelType w:val="hybridMultilevel"/>
    <w:tmpl w:val="8782F45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1127C9B"/>
    <w:multiLevelType w:val="hybridMultilevel"/>
    <w:tmpl w:val="94EEEF1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090F17"/>
    <w:multiLevelType w:val="hybridMultilevel"/>
    <w:tmpl w:val="884E7D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77611F9E"/>
    <w:multiLevelType w:val="hybridMultilevel"/>
    <w:tmpl w:val="3132A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F250D9B"/>
    <w:multiLevelType w:val="hybridMultilevel"/>
    <w:tmpl w:val="33BE5F9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2"/>
  </w:num>
  <w:num w:numId="5">
    <w:abstractNumId w:val="7"/>
  </w:num>
  <w:num w:numId="6">
    <w:abstractNumId w:val="3"/>
  </w:num>
  <w:num w:numId="7">
    <w:abstractNumId w:val="9"/>
  </w:num>
  <w:num w:numId="8">
    <w:abstractNumId w:val="11"/>
  </w:num>
  <w:num w:numId="9">
    <w:abstractNumId w:val="1"/>
  </w:num>
  <w:num w:numId="10">
    <w:abstractNumId w:val="13"/>
  </w:num>
  <w:num w:numId="11">
    <w:abstractNumId w:val="0"/>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FF"/>
    <w:rsid w:val="000024B9"/>
    <w:rsid w:val="00027152"/>
    <w:rsid w:val="00031490"/>
    <w:rsid w:val="000517C6"/>
    <w:rsid w:val="000637EE"/>
    <w:rsid w:val="00081921"/>
    <w:rsid w:val="000837FB"/>
    <w:rsid w:val="00092E50"/>
    <w:rsid w:val="00095C9A"/>
    <w:rsid w:val="000A4546"/>
    <w:rsid w:val="000D0BF0"/>
    <w:rsid w:val="000E7D44"/>
    <w:rsid w:val="00143EBA"/>
    <w:rsid w:val="00147016"/>
    <w:rsid w:val="00160DD7"/>
    <w:rsid w:val="00167C26"/>
    <w:rsid w:val="001718E5"/>
    <w:rsid w:val="00173F9A"/>
    <w:rsid w:val="00194909"/>
    <w:rsid w:val="001966EC"/>
    <w:rsid w:val="001A049D"/>
    <w:rsid w:val="001A6C37"/>
    <w:rsid w:val="001C1977"/>
    <w:rsid w:val="001C534C"/>
    <w:rsid w:val="001F51C3"/>
    <w:rsid w:val="00200E9D"/>
    <w:rsid w:val="0021182F"/>
    <w:rsid w:val="00234B75"/>
    <w:rsid w:val="002450E8"/>
    <w:rsid w:val="00262B2F"/>
    <w:rsid w:val="00271890"/>
    <w:rsid w:val="002739C7"/>
    <w:rsid w:val="0029645D"/>
    <w:rsid w:val="002A105F"/>
    <w:rsid w:val="002C16DD"/>
    <w:rsid w:val="002C445C"/>
    <w:rsid w:val="002C5D18"/>
    <w:rsid w:val="002D70B9"/>
    <w:rsid w:val="002D733C"/>
    <w:rsid w:val="002F2DB3"/>
    <w:rsid w:val="002F7444"/>
    <w:rsid w:val="002F7CB1"/>
    <w:rsid w:val="00300068"/>
    <w:rsid w:val="00302C4D"/>
    <w:rsid w:val="00324488"/>
    <w:rsid w:val="0034042C"/>
    <w:rsid w:val="003543D1"/>
    <w:rsid w:val="0036033C"/>
    <w:rsid w:val="003620E4"/>
    <w:rsid w:val="00363C47"/>
    <w:rsid w:val="003641D7"/>
    <w:rsid w:val="003660AF"/>
    <w:rsid w:val="00397B0B"/>
    <w:rsid w:val="003B0D62"/>
    <w:rsid w:val="003B1FB7"/>
    <w:rsid w:val="003B256A"/>
    <w:rsid w:val="003C4187"/>
    <w:rsid w:val="003C78B3"/>
    <w:rsid w:val="003E5FB3"/>
    <w:rsid w:val="003E6E57"/>
    <w:rsid w:val="0041602B"/>
    <w:rsid w:val="00430779"/>
    <w:rsid w:val="00444641"/>
    <w:rsid w:val="00457D7E"/>
    <w:rsid w:val="00460BD8"/>
    <w:rsid w:val="004659A0"/>
    <w:rsid w:val="00466641"/>
    <w:rsid w:val="004752C6"/>
    <w:rsid w:val="00494DA7"/>
    <w:rsid w:val="0049541D"/>
    <w:rsid w:val="004A5338"/>
    <w:rsid w:val="004B6119"/>
    <w:rsid w:val="004B7A0A"/>
    <w:rsid w:val="004C02B4"/>
    <w:rsid w:val="004E5439"/>
    <w:rsid w:val="00501BF3"/>
    <w:rsid w:val="005650B6"/>
    <w:rsid w:val="005705A5"/>
    <w:rsid w:val="00573BE5"/>
    <w:rsid w:val="00586309"/>
    <w:rsid w:val="00593ACD"/>
    <w:rsid w:val="005A166B"/>
    <w:rsid w:val="005B628A"/>
    <w:rsid w:val="005B6C86"/>
    <w:rsid w:val="005C160E"/>
    <w:rsid w:val="006022F4"/>
    <w:rsid w:val="00615303"/>
    <w:rsid w:val="006310E2"/>
    <w:rsid w:val="00631DC7"/>
    <w:rsid w:val="00635B64"/>
    <w:rsid w:val="00635C76"/>
    <w:rsid w:val="00637257"/>
    <w:rsid w:val="00645390"/>
    <w:rsid w:val="00674C84"/>
    <w:rsid w:val="00683DB6"/>
    <w:rsid w:val="006A34FF"/>
    <w:rsid w:val="006C18B6"/>
    <w:rsid w:val="006C69A7"/>
    <w:rsid w:val="006D2868"/>
    <w:rsid w:val="006F6CB0"/>
    <w:rsid w:val="0071540E"/>
    <w:rsid w:val="00715745"/>
    <w:rsid w:val="00732A30"/>
    <w:rsid w:val="00732F35"/>
    <w:rsid w:val="0074756C"/>
    <w:rsid w:val="00750B73"/>
    <w:rsid w:val="007566CB"/>
    <w:rsid w:val="00783F13"/>
    <w:rsid w:val="007C32E7"/>
    <w:rsid w:val="007C673B"/>
    <w:rsid w:val="007F1BD5"/>
    <w:rsid w:val="008561D6"/>
    <w:rsid w:val="0087782F"/>
    <w:rsid w:val="0089109B"/>
    <w:rsid w:val="00893AC8"/>
    <w:rsid w:val="008947C5"/>
    <w:rsid w:val="00896DCF"/>
    <w:rsid w:val="008B5D64"/>
    <w:rsid w:val="008E6333"/>
    <w:rsid w:val="008F2D6B"/>
    <w:rsid w:val="008F652C"/>
    <w:rsid w:val="00936487"/>
    <w:rsid w:val="009444D1"/>
    <w:rsid w:val="00944BE8"/>
    <w:rsid w:val="009538E9"/>
    <w:rsid w:val="0097294B"/>
    <w:rsid w:val="00973A89"/>
    <w:rsid w:val="00981136"/>
    <w:rsid w:val="00991FBF"/>
    <w:rsid w:val="009C3BBE"/>
    <w:rsid w:val="009D5601"/>
    <w:rsid w:val="009F3F62"/>
    <w:rsid w:val="00A072BA"/>
    <w:rsid w:val="00A13FEC"/>
    <w:rsid w:val="00A24697"/>
    <w:rsid w:val="00A42C02"/>
    <w:rsid w:val="00A4607C"/>
    <w:rsid w:val="00A60F2A"/>
    <w:rsid w:val="00A80E1A"/>
    <w:rsid w:val="00A9483E"/>
    <w:rsid w:val="00AA0944"/>
    <w:rsid w:val="00AA0A06"/>
    <w:rsid w:val="00AC3E7A"/>
    <w:rsid w:val="00AC688B"/>
    <w:rsid w:val="00AD2004"/>
    <w:rsid w:val="00AD4935"/>
    <w:rsid w:val="00B161EA"/>
    <w:rsid w:val="00B21AFB"/>
    <w:rsid w:val="00B36008"/>
    <w:rsid w:val="00B505A3"/>
    <w:rsid w:val="00B71986"/>
    <w:rsid w:val="00B7411F"/>
    <w:rsid w:val="00B874FE"/>
    <w:rsid w:val="00BA4411"/>
    <w:rsid w:val="00BC4986"/>
    <w:rsid w:val="00BD17BE"/>
    <w:rsid w:val="00C01988"/>
    <w:rsid w:val="00C03DB9"/>
    <w:rsid w:val="00C0458E"/>
    <w:rsid w:val="00C13308"/>
    <w:rsid w:val="00C224EB"/>
    <w:rsid w:val="00C2455A"/>
    <w:rsid w:val="00C26DE7"/>
    <w:rsid w:val="00C30657"/>
    <w:rsid w:val="00C319C9"/>
    <w:rsid w:val="00C50873"/>
    <w:rsid w:val="00C54619"/>
    <w:rsid w:val="00C563D9"/>
    <w:rsid w:val="00C63058"/>
    <w:rsid w:val="00CC7522"/>
    <w:rsid w:val="00CE0861"/>
    <w:rsid w:val="00CF1561"/>
    <w:rsid w:val="00D04843"/>
    <w:rsid w:val="00D61E8C"/>
    <w:rsid w:val="00D83207"/>
    <w:rsid w:val="00D874F0"/>
    <w:rsid w:val="00D94FA9"/>
    <w:rsid w:val="00DC1A4E"/>
    <w:rsid w:val="00DE31D7"/>
    <w:rsid w:val="00DE4F0B"/>
    <w:rsid w:val="00DE6890"/>
    <w:rsid w:val="00DE69EB"/>
    <w:rsid w:val="00E135D7"/>
    <w:rsid w:val="00E15066"/>
    <w:rsid w:val="00E2199D"/>
    <w:rsid w:val="00E223EF"/>
    <w:rsid w:val="00E24F3E"/>
    <w:rsid w:val="00E32D0B"/>
    <w:rsid w:val="00E563E7"/>
    <w:rsid w:val="00E7489F"/>
    <w:rsid w:val="00E9063A"/>
    <w:rsid w:val="00EA3608"/>
    <w:rsid w:val="00EB0D2D"/>
    <w:rsid w:val="00EB3171"/>
    <w:rsid w:val="00EC533D"/>
    <w:rsid w:val="00EC7C40"/>
    <w:rsid w:val="00F12551"/>
    <w:rsid w:val="00F22C62"/>
    <w:rsid w:val="00F31BDE"/>
    <w:rsid w:val="00F44D17"/>
    <w:rsid w:val="00F51B9F"/>
    <w:rsid w:val="00F52498"/>
    <w:rsid w:val="00F53A6F"/>
    <w:rsid w:val="00F646FF"/>
    <w:rsid w:val="00F71ADA"/>
    <w:rsid w:val="00F72102"/>
    <w:rsid w:val="00F81C6A"/>
    <w:rsid w:val="00F93537"/>
    <w:rsid w:val="00FD5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05B0D0"/>
  <w15:chartTrackingRefBased/>
  <w15:docId w15:val="{028CD664-6101-44F9-981E-BFFB8523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F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34FF"/>
    <w:pPr>
      <w:tabs>
        <w:tab w:val="center" w:pos="4153"/>
        <w:tab w:val="right" w:pos="8306"/>
      </w:tabs>
    </w:pPr>
    <w:rPr>
      <w:lang w:val="x-none"/>
    </w:rPr>
  </w:style>
  <w:style w:type="character" w:customStyle="1" w:styleId="HeaderChar">
    <w:name w:val="Header Char"/>
    <w:basedOn w:val="DefaultParagraphFont"/>
    <w:link w:val="Header"/>
    <w:rsid w:val="006A34FF"/>
    <w:rPr>
      <w:rFonts w:ascii="Times New Roman" w:eastAsia="Calibri" w:hAnsi="Times New Roman" w:cs="Times New Roman"/>
      <w:sz w:val="24"/>
      <w:szCs w:val="24"/>
      <w:lang w:val="x-none" w:eastAsia="lv-LV"/>
    </w:rPr>
  </w:style>
  <w:style w:type="character" w:styleId="PageNumber">
    <w:name w:val="page number"/>
    <w:rsid w:val="006A34FF"/>
    <w:rPr>
      <w:rFonts w:cs="Times New Roman"/>
    </w:rPr>
  </w:style>
  <w:style w:type="character" w:styleId="Hyperlink">
    <w:name w:val="Hyperlink"/>
    <w:rsid w:val="006A34FF"/>
    <w:rPr>
      <w:rFonts w:cs="Times New Roman"/>
      <w:color w:val="0000FF"/>
      <w:u w:val="single"/>
    </w:rPr>
  </w:style>
  <w:style w:type="paragraph" w:styleId="BodyText2">
    <w:name w:val="Body Text 2"/>
    <w:basedOn w:val="Normal"/>
    <w:link w:val="BodyText2Char"/>
    <w:semiHidden/>
    <w:rsid w:val="006A34FF"/>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6A34FF"/>
    <w:rPr>
      <w:rFonts w:ascii="Times New Roman" w:eastAsia="Calibri" w:hAnsi="Times New Roman" w:cs="Times New Roman"/>
      <w:b/>
      <w:bCs/>
      <w:sz w:val="28"/>
      <w:szCs w:val="28"/>
      <w:lang w:val="x-none" w:eastAsia="x-none"/>
    </w:rPr>
  </w:style>
  <w:style w:type="paragraph" w:styleId="ListParagraph">
    <w:name w:val="List Paragraph"/>
    <w:aliases w:val="2,Strip"/>
    <w:basedOn w:val="Normal"/>
    <w:link w:val="ListParagraphChar"/>
    <w:uiPriority w:val="34"/>
    <w:qFormat/>
    <w:rsid w:val="006A34FF"/>
    <w:pPr>
      <w:ind w:left="720"/>
      <w:contextualSpacing/>
    </w:pPr>
    <w:rPr>
      <w:rFonts w:eastAsia="Times New Roman"/>
      <w:sz w:val="22"/>
      <w:szCs w:val="22"/>
    </w:rPr>
  </w:style>
  <w:style w:type="paragraph" w:customStyle="1" w:styleId="naiskr">
    <w:name w:val="naiskr"/>
    <w:basedOn w:val="Normal"/>
    <w:rsid w:val="006A34FF"/>
    <w:pPr>
      <w:spacing w:before="100" w:beforeAutospacing="1" w:after="100" w:afterAutospacing="1"/>
    </w:pPr>
    <w:rPr>
      <w:rFonts w:eastAsia="Times New Roman"/>
    </w:rPr>
  </w:style>
  <w:style w:type="paragraph" w:customStyle="1" w:styleId="naisnod">
    <w:name w:val="naisnod"/>
    <w:basedOn w:val="Normal"/>
    <w:rsid w:val="006A34FF"/>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6A34FF"/>
    <w:rPr>
      <w:rFonts w:ascii="Times New Roman" w:eastAsia="Times New Roman" w:hAnsi="Times New Roman" w:cs="Times New Roman"/>
      <w:lang w:eastAsia="lv-LV"/>
    </w:rPr>
  </w:style>
  <w:style w:type="paragraph" w:customStyle="1" w:styleId="Default">
    <w:name w:val="Default"/>
    <w:rsid w:val="006A34F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631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0E2"/>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F52498"/>
    <w:rPr>
      <w:sz w:val="16"/>
      <w:szCs w:val="16"/>
    </w:rPr>
  </w:style>
  <w:style w:type="paragraph" w:styleId="CommentText">
    <w:name w:val="annotation text"/>
    <w:basedOn w:val="Normal"/>
    <w:link w:val="CommentTextChar"/>
    <w:uiPriority w:val="99"/>
    <w:semiHidden/>
    <w:unhideWhenUsed/>
    <w:rsid w:val="00F52498"/>
    <w:rPr>
      <w:sz w:val="20"/>
      <w:szCs w:val="20"/>
    </w:rPr>
  </w:style>
  <w:style w:type="character" w:customStyle="1" w:styleId="CommentTextChar">
    <w:name w:val="Comment Text Char"/>
    <w:basedOn w:val="DefaultParagraphFont"/>
    <w:link w:val="CommentText"/>
    <w:uiPriority w:val="99"/>
    <w:semiHidden/>
    <w:rsid w:val="00F52498"/>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2498"/>
    <w:rPr>
      <w:b/>
      <w:bCs/>
    </w:rPr>
  </w:style>
  <w:style w:type="character" w:customStyle="1" w:styleId="CommentSubjectChar">
    <w:name w:val="Comment Subject Char"/>
    <w:basedOn w:val="CommentTextChar"/>
    <w:link w:val="CommentSubject"/>
    <w:uiPriority w:val="99"/>
    <w:semiHidden/>
    <w:rsid w:val="00F52498"/>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0440">
      <w:bodyDiv w:val="1"/>
      <w:marLeft w:val="0"/>
      <w:marRight w:val="0"/>
      <w:marTop w:val="0"/>
      <w:marBottom w:val="0"/>
      <w:divBdr>
        <w:top w:val="none" w:sz="0" w:space="0" w:color="auto"/>
        <w:left w:val="none" w:sz="0" w:space="0" w:color="auto"/>
        <w:bottom w:val="none" w:sz="0" w:space="0" w:color="auto"/>
        <w:right w:val="none" w:sz="0" w:space="0" w:color="auto"/>
      </w:divBdr>
    </w:div>
    <w:div w:id="421877757">
      <w:bodyDiv w:val="1"/>
      <w:marLeft w:val="0"/>
      <w:marRight w:val="0"/>
      <w:marTop w:val="0"/>
      <w:marBottom w:val="0"/>
      <w:divBdr>
        <w:top w:val="none" w:sz="0" w:space="0" w:color="auto"/>
        <w:left w:val="none" w:sz="0" w:space="0" w:color="auto"/>
        <w:bottom w:val="none" w:sz="0" w:space="0" w:color="auto"/>
        <w:right w:val="none" w:sz="0" w:space="0" w:color="auto"/>
      </w:divBdr>
    </w:div>
    <w:div w:id="461575234">
      <w:bodyDiv w:val="1"/>
      <w:marLeft w:val="0"/>
      <w:marRight w:val="0"/>
      <w:marTop w:val="0"/>
      <w:marBottom w:val="0"/>
      <w:divBdr>
        <w:top w:val="none" w:sz="0" w:space="0" w:color="auto"/>
        <w:left w:val="none" w:sz="0" w:space="0" w:color="auto"/>
        <w:bottom w:val="none" w:sz="0" w:space="0" w:color="auto"/>
        <w:right w:val="none" w:sz="0" w:space="0" w:color="auto"/>
      </w:divBdr>
    </w:div>
    <w:div w:id="521287042">
      <w:bodyDiv w:val="1"/>
      <w:marLeft w:val="0"/>
      <w:marRight w:val="0"/>
      <w:marTop w:val="0"/>
      <w:marBottom w:val="0"/>
      <w:divBdr>
        <w:top w:val="none" w:sz="0" w:space="0" w:color="auto"/>
        <w:left w:val="none" w:sz="0" w:space="0" w:color="auto"/>
        <w:bottom w:val="none" w:sz="0" w:space="0" w:color="auto"/>
        <w:right w:val="none" w:sz="0" w:space="0" w:color="auto"/>
      </w:divBdr>
    </w:div>
    <w:div w:id="1067610148">
      <w:bodyDiv w:val="1"/>
      <w:marLeft w:val="0"/>
      <w:marRight w:val="0"/>
      <w:marTop w:val="0"/>
      <w:marBottom w:val="0"/>
      <w:divBdr>
        <w:top w:val="none" w:sz="0" w:space="0" w:color="auto"/>
        <w:left w:val="none" w:sz="0" w:space="0" w:color="auto"/>
        <w:bottom w:val="none" w:sz="0" w:space="0" w:color="auto"/>
        <w:right w:val="none" w:sz="0" w:space="0" w:color="auto"/>
      </w:divBdr>
    </w:div>
    <w:div w:id="1138301981">
      <w:bodyDiv w:val="1"/>
      <w:marLeft w:val="0"/>
      <w:marRight w:val="0"/>
      <w:marTop w:val="0"/>
      <w:marBottom w:val="0"/>
      <w:divBdr>
        <w:top w:val="none" w:sz="0" w:space="0" w:color="auto"/>
        <w:left w:val="none" w:sz="0" w:space="0" w:color="auto"/>
        <w:bottom w:val="none" w:sz="0" w:space="0" w:color="auto"/>
        <w:right w:val="none" w:sz="0" w:space="0" w:color="auto"/>
      </w:divBdr>
    </w:div>
    <w:div w:id="1256326108">
      <w:bodyDiv w:val="1"/>
      <w:marLeft w:val="0"/>
      <w:marRight w:val="0"/>
      <w:marTop w:val="0"/>
      <w:marBottom w:val="0"/>
      <w:divBdr>
        <w:top w:val="none" w:sz="0" w:space="0" w:color="auto"/>
        <w:left w:val="none" w:sz="0" w:space="0" w:color="auto"/>
        <w:bottom w:val="none" w:sz="0" w:space="0" w:color="auto"/>
        <w:right w:val="none" w:sz="0" w:space="0" w:color="auto"/>
      </w:divBdr>
    </w:div>
    <w:div w:id="1518495843">
      <w:bodyDiv w:val="1"/>
      <w:marLeft w:val="0"/>
      <w:marRight w:val="0"/>
      <w:marTop w:val="0"/>
      <w:marBottom w:val="0"/>
      <w:divBdr>
        <w:top w:val="none" w:sz="0" w:space="0" w:color="auto"/>
        <w:left w:val="none" w:sz="0" w:space="0" w:color="auto"/>
        <w:bottom w:val="none" w:sz="0" w:space="0" w:color="auto"/>
        <w:right w:val="none" w:sz="0" w:space="0" w:color="auto"/>
      </w:divBdr>
    </w:div>
    <w:div w:id="20265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Jenerte@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FD6C-AD5D-4B1B-AD10-FC0330F5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7021</Words>
  <Characters>50692</Characters>
  <Application>Microsoft Office Word</Application>
  <DocSecurity>0</DocSecurity>
  <Lines>1536</Lines>
  <Paragraphs>433</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3.2.1.specifiskā atbalsta mērķa „Palielināt augstas pievienotās vērtības produktu un pakalpojumu eksporta proporciju” 3.2.1.2.pasākuma „Starptautiskās konkurētspējas veic</vt:lpstr>
    </vt:vector>
  </TitlesOfParts>
  <Company/>
  <LinksUpToDate>false</LinksUpToDate>
  <CharactersWithSpaces>57280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3.2.1.specifiskā atbalsta mērķa „Palielināt augstas pievienotās vērtības produktu un pakalpojumu eksporta proporciju” 3.2.1.2.pasākuma „Starptautiskās konkurētspējas veicināšana” īstenošanas noteikumi” sākotnējās ietekmes novērtējuma ziņojums (anotācija)</dc:title>
  <dc:subject>Anotācija</dc:subject>
  <dc:creator>Liene Jenerte</dc:creator>
  <cp:keywords/>
  <dc:description>tālrunis:6701359, Liene.Jenerte@em.gov.lv</dc:description>
  <cp:lastModifiedBy>Liene Jenerte</cp:lastModifiedBy>
  <cp:revision>9</cp:revision>
  <cp:lastPrinted>2015-10-30T10:47:00Z</cp:lastPrinted>
  <dcterms:created xsi:type="dcterms:W3CDTF">2015-11-23T10:14:00Z</dcterms:created>
  <dcterms:modified xsi:type="dcterms:W3CDTF">2015-11-23T13:32:00Z</dcterms:modified>
</cp:coreProperties>
</file>