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14" w:rsidRPr="00A26F14" w:rsidRDefault="00A26F14" w:rsidP="00A26F14">
      <w:pPr>
        <w:spacing w:after="0" w:line="240" w:lineRule="auto"/>
        <w:jc w:val="center"/>
        <w:rPr>
          <w:rFonts w:ascii="Times New Roman" w:eastAsia="Times New Roman" w:hAnsi="Times New Roman" w:cs="Times New Roman"/>
          <w:sz w:val="28"/>
          <w:szCs w:val="28"/>
          <w:lang w:eastAsia="lv-LV"/>
        </w:rPr>
      </w:pPr>
      <w:bookmarkStart w:id="0" w:name="_GoBack"/>
      <w:r w:rsidRPr="00A26F14">
        <w:rPr>
          <w:rFonts w:ascii="Times New Roman" w:eastAsia="Times New Roman" w:hAnsi="Times New Roman" w:cs="Times New Roman"/>
          <w:b/>
          <w:bCs/>
          <w:sz w:val="28"/>
          <w:szCs w:val="28"/>
          <w:lang w:eastAsia="lv-LV"/>
        </w:rPr>
        <w:t>Rīkojuma projekta „</w:t>
      </w:r>
      <w:r w:rsidRPr="00A26F14">
        <w:rPr>
          <w:rFonts w:ascii="Times New Roman" w:eastAsia="Times New Roman" w:hAnsi="Times New Roman" w:cs="Times New Roman"/>
          <w:b/>
          <w:sz w:val="28"/>
          <w:szCs w:val="28"/>
          <w:lang w:eastAsia="lv-LV"/>
        </w:rPr>
        <w:t>Par finanšu līdzekļu piešķiršanu no valsts budžeta programmas “Līdzekļi neparedzētiem gadījumiem</w:t>
      </w:r>
      <w:r w:rsidRPr="00A26F14">
        <w:rPr>
          <w:rFonts w:ascii="Times New Roman" w:eastAsia="Times New Roman" w:hAnsi="Times New Roman" w:cs="Times New Roman"/>
          <w:b/>
          <w:bCs/>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A26F14">
          <w:rPr>
            <w:rFonts w:ascii="Times New Roman" w:eastAsia="Times New Roman" w:hAnsi="Times New Roman" w:cs="Times New Roman"/>
            <w:b/>
            <w:bCs/>
            <w:sz w:val="28"/>
            <w:szCs w:val="28"/>
            <w:lang w:eastAsia="lv-LV"/>
          </w:rPr>
          <w:t>ziņojums</w:t>
        </w:r>
      </w:smartTag>
      <w:r w:rsidRPr="00A26F14">
        <w:rPr>
          <w:rFonts w:ascii="Times New Roman" w:eastAsia="Times New Roman" w:hAnsi="Times New Roman" w:cs="Times New Roman"/>
          <w:b/>
          <w:bCs/>
          <w:sz w:val="28"/>
          <w:szCs w:val="28"/>
          <w:lang w:eastAsia="lv-LV"/>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92"/>
        <w:gridCol w:w="5928"/>
      </w:tblGrid>
      <w:tr w:rsidR="00A26F14" w:rsidRPr="00A26F14" w:rsidTr="00E40EE1">
        <w:trPr>
          <w:trHeight w:val="419"/>
        </w:trPr>
        <w:tc>
          <w:tcPr>
            <w:tcW w:w="5000" w:type="pct"/>
            <w:gridSpan w:val="3"/>
            <w:vAlign w:val="center"/>
          </w:tcPr>
          <w:bookmarkEnd w:id="0"/>
          <w:p w:rsidR="00A26F14" w:rsidRPr="00A26F14" w:rsidRDefault="00A26F14" w:rsidP="00A26F14">
            <w:pPr>
              <w:spacing w:after="0" w:line="240" w:lineRule="auto"/>
              <w:ind w:left="57" w:right="57"/>
              <w:jc w:val="center"/>
              <w:rPr>
                <w:rFonts w:ascii="Times New Roman" w:eastAsia="Times New Roman" w:hAnsi="Times New Roman" w:cs="Times New Roman"/>
                <w:b/>
                <w:sz w:val="26"/>
                <w:szCs w:val="26"/>
                <w:lang w:eastAsia="lv-LV"/>
              </w:rPr>
            </w:pPr>
            <w:r w:rsidRPr="00A26F14">
              <w:rPr>
                <w:rFonts w:ascii="Times New Roman" w:eastAsia="Times New Roman" w:hAnsi="Times New Roman" w:cs="Times New Roman"/>
                <w:b/>
                <w:sz w:val="26"/>
                <w:szCs w:val="26"/>
                <w:lang w:eastAsia="lv-LV"/>
              </w:rPr>
              <w:t>I. Tiesību akta projekta izstrādes nepieciešamība</w:t>
            </w:r>
          </w:p>
        </w:tc>
      </w:tr>
      <w:tr w:rsidR="00A26F14" w:rsidRPr="00A26F14" w:rsidTr="00E40EE1">
        <w:trPr>
          <w:trHeight w:val="400"/>
        </w:trPr>
        <w:tc>
          <w:tcPr>
            <w:tcW w:w="227" w:type="pct"/>
          </w:tcPr>
          <w:p w:rsidR="00A26F14" w:rsidRPr="00A26F14" w:rsidRDefault="00A26F14" w:rsidP="00A26F14">
            <w:pPr>
              <w:spacing w:after="0" w:line="240" w:lineRule="auto"/>
              <w:ind w:left="57" w:right="57"/>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1.</w:t>
            </w:r>
          </w:p>
        </w:tc>
        <w:tc>
          <w:tcPr>
            <w:tcW w:w="1565" w:type="pct"/>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Pamatojums</w:t>
            </w:r>
          </w:p>
        </w:tc>
        <w:tc>
          <w:tcPr>
            <w:tcW w:w="3207" w:type="pct"/>
          </w:tcPr>
          <w:p w:rsidR="00A26F14" w:rsidRPr="00A26F14" w:rsidRDefault="00A26F14" w:rsidP="00A26F14">
            <w:pPr>
              <w:shd w:val="clear" w:color="auto" w:fill="FFFFFF"/>
              <w:spacing w:after="0" w:line="240" w:lineRule="auto"/>
              <w:ind w:right="57" w:firstLine="386"/>
              <w:jc w:val="both"/>
              <w:outlineLvl w:val="2"/>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Nav attiecināms</w:t>
            </w:r>
          </w:p>
        </w:tc>
      </w:tr>
      <w:tr w:rsidR="00A26F14" w:rsidRPr="00A26F14" w:rsidTr="00E40EE1">
        <w:trPr>
          <w:trHeight w:val="472"/>
        </w:trPr>
        <w:tc>
          <w:tcPr>
            <w:tcW w:w="227" w:type="pct"/>
          </w:tcPr>
          <w:p w:rsidR="00A26F14" w:rsidRPr="00A26F14" w:rsidRDefault="00A26F14" w:rsidP="00A26F14">
            <w:pPr>
              <w:spacing w:after="0" w:line="240" w:lineRule="auto"/>
              <w:ind w:left="57" w:right="57"/>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2.</w:t>
            </w: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tc>
        <w:tc>
          <w:tcPr>
            <w:tcW w:w="1565" w:type="pct"/>
          </w:tcPr>
          <w:p w:rsidR="00A26F14" w:rsidRPr="00A26F14" w:rsidRDefault="00A26F14" w:rsidP="00A26F14">
            <w:pPr>
              <w:tabs>
                <w:tab w:val="left" w:pos="170"/>
              </w:tabs>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26F14" w:rsidRPr="00A26F14" w:rsidRDefault="00A26F14" w:rsidP="00A26F14">
            <w:pPr>
              <w:spacing w:after="200" w:line="276" w:lineRule="auto"/>
              <w:jc w:val="center"/>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p w:rsidR="00A26F14" w:rsidRPr="00A26F14" w:rsidRDefault="00A26F14" w:rsidP="00A26F14">
            <w:pPr>
              <w:spacing w:after="200" w:line="276" w:lineRule="auto"/>
              <w:rPr>
                <w:rFonts w:ascii="Times New Roman" w:hAnsi="Times New Roman" w:cs="Times New Roman"/>
                <w:sz w:val="26"/>
                <w:szCs w:val="26"/>
                <w:lang w:eastAsia="lv-LV"/>
              </w:rPr>
            </w:pPr>
          </w:p>
        </w:tc>
        <w:tc>
          <w:tcPr>
            <w:tcW w:w="3207" w:type="pct"/>
          </w:tcPr>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Austrumu partnerība ir daļa no Eiropas Savienības kaimiņu politikas, kas tika uzsākta 2004. gadā, lai ES paplašinoties izvairītos no krasas norobežošanās starp tās dalībvalstīm un kaimiņvalstīm, tādējādi veicinot labklājību, stabilitāti un drošību reģionā kopumā. Kaimiņu politika balstās uz demokrātijas, likuma varas un cilvēktiesību vērtībām.</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Tā pamatā sastāv no divpusēju attiecību kopuma starp ES un attiecīgo partnervalsti (kaimiņu), kas tiek papildināts ar reģionālām un daudzpusējām sadarbības iniciatīvām un formām.</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 xml:space="preserve">Lēmumu izveidot Austrumu partnerību, ar mērķi veicināt politisko asociāciju un ekonomisko integrāciju ar austrumu kaimiņiem, ES valstu un valdību vadītāji pieņēma 2009. gada maijā Prāgā. Austrumu partnerība tiek īstenota attiecībā uz Baltkrieviju, Moldovu un Ukrainu Austrumeiropā, un Gruziju, Armēniju un Azerbaidžānu </w:t>
            </w:r>
            <w:proofErr w:type="spellStart"/>
            <w:r w:rsidRPr="00A26F14">
              <w:rPr>
                <w:rFonts w:ascii="Times New Roman" w:hAnsi="Times New Roman" w:cs="Times New Roman"/>
                <w:color w:val="000000"/>
                <w:sz w:val="26"/>
                <w:szCs w:val="26"/>
              </w:rPr>
              <w:t>Dienvidkaukāzā</w:t>
            </w:r>
            <w:proofErr w:type="spellEnd"/>
            <w:r w:rsidRPr="00A26F14">
              <w:rPr>
                <w:rFonts w:ascii="Times New Roman" w:hAnsi="Times New Roman" w:cs="Times New Roman"/>
                <w:color w:val="000000"/>
                <w:sz w:val="26"/>
                <w:szCs w:val="26"/>
              </w:rPr>
              <w:t>.</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 xml:space="preserve">Kopš šīs politikas dibināšanas Austrumu partnerība ir Latvijas ārpolitikas prioritāte. Latvija ir ieinteresēta drošas un pārtikušas Eiropas veidošanā. Latvija aktīvi piedalās Austrumu partnerības politikas veidošanā. Latvija ir noteikusi Austrumu partnerību par savas Prezidentūras ES Padomē prioritāti. Latvijā ir uzkrāta nozīmīga reformu pieredze, kas veidojot attiecības ar ES austrumu kaimiņiem, ir būtisks zināšanu kopums. </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Latvija turpina sniegt stingru atbalstu Asociācijas līgumu ieviešanai, ciešāku ekonomisko saišu veidošanai un vīzu liberalizācijas procesiem, tādējādi sekmējot partnervalstu turpmāku tuvināšanos ES dalībvalstīm.</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 xml:space="preserve">2010.gada 14 jūlijā Eiropas Investīciju Bankas (EIB) Direktoru valde apstiprināja priekšlikumu par Austrumu partnerības tehniskās palīdzības trasta fonda </w:t>
            </w:r>
            <w:r w:rsidRPr="00A26F14">
              <w:rPr>
                <w:rFonts w:ascii="Times New Roman" w:hAnsi="Times New Roman" w:cs="Times New Roman"/>
                <w:color w:val="000000"/>
                <w:sz w:val="26"/>
                <w:szCs w:val="26"/>
              </w:rPr>
              <w:lastRenderedPageBreak/>
              <w:t xml:space="preserve">- </w:t>
            </w:r>
            <w:proofErr w:type="spellStart"/>
            <w:r w:rsidRPr="00A26F14">
              <w:rPr>
                <w:rFonts w:ascii="Times New Roman" w:hAnsi="Times New Roman" w:cs="Times New Roman"/>
                <w:i/>
                <w:color w:val="000000"/>
                <w:sz w:val="26"/>
                <w:szCs w:val="26"/>
              </w:rPr>
              <w:t>Eastern</w:t>
            </w:r>
            <w:proofErr w:type="spellEnd"/>
            <w:r w:rsidRPr="00A26F14">
              <w:rPr>
                <w:rFonts w:ascii="Times New Roman" w:hAnsi="Times New Roman" w:cs="Times New Roman"/>
                <w:i/>
                <w:color w:val="000000"/>
                <w:sz w:val="26"/>
                <w:szCs w:val="26"/>
              </w:rPr>
              <w:t xml:space="preserve"> </w:t>
            </w:r>
            <w:proofErr w:type="spellStart"/>
            <w:r w:rsidRPr="00A26F14">
              <w:rPr>
                <w:rFonts w:ascii="Times New Roman" w:hAnsi="Times New Roman" w:cs="Times New Roman"/>
                <w:i/>
                <w:color w:val="000000"/>
                <w:sz w:val="26"/>
                <w:szCs w:val="26"/>
              </w:rPr>
              <w:t>Partnership</w:t>
            </w:r>
            <w:proofErr w:type="spellEnd"/>
            <w:r w:rsidRPr="00A26F14">
              <w:rPr>
                <w:rFonts w:ascii="Times New Roman" w:hAnsi="Times New Roman" w:cs="Times New Roman"/>
                <w:i/>
                <w:color w:val="000000"/>
                <w:sz w:val="26"/>
                <w:szCs w:val="26"/>
              </w:rPr>
              <w:t xml:space="preserve"> </w:t>
            </w:r>
            <w:proofErr w:type="spellStart"/>
            <w:r w:rsidRPr="00A26F14">
              <w:rPr>
                <w:rFonts w:ascii="Times New Roman" w:hAnsi="Times New Roman" w:cs="Times New Roman"/>
                <w:i/>
                <w:color w:val="000000"/>
                <w:sz w:val="26"/>
                <w:szCs w:val="26"/>
              </w:rPr>
              <w:t>Technical</w:t>
            </w:r>
            <w:proofErr w:type="spellEnd"/>
            <w:r w:rsidRPr="00A26F14">
              <w:rPr>
                <w:rFonts w:ascii="Times New Roman" w:hAnsi="Times New Roman" w:cs="Times New Roman"/>
                <w:i/>
                <w:color w:val="000000"/>
                <w:sz w:val="26"/>
                <w:szCs w:val="26"/>
              </w:rPr>
              <w:t xml:space="preserve"> </w:t>
            </w:r>
            <w:proofErr w:type="spellStart"/>
            <w:r w:rsidRPr="00A26F14">
              <w:rPr>
                <w:rFonts w:ascii="Times New Roman" w:hAnsi="Times New Roman" w:cs="Times New Roman"/>
                <w:i/>
                <w:color w:val="000000"/>
                <w:sz w:val="26"/>
                <w:szCs w:val="26"/>
              </w:rPr>
              <w:t>Assistance</w:t>
            </w:r>
            <w:proofErr w:type="spellEnd"/>
            <w:r w:rsidRPr="00A26F14">
              <w:rPr>
                <w:rFonts w:ascii="Times New Roman" w:hAnsi="Times New Roman" w:cs="Times New Roman"/>
                <w:i/>
                <w:color w:val="000000"/>
                <w:sz w:val="26"/>
                <w:szCs w:val="26"/>
              </w:rPr>
              <w:t xml:space="preserve"> </w:t>
            </w:r>
            <w:proofErr w:type="spellStart"/>
            <w:r w:rsidRPr="00A26F14">
              <w:rPr>
                <w:rFonts w:ascii="Times New Roman" w:hAnsi="Times New Roman" w:cs="Times New Roman"/>
                <w:i/>
                <w:color w:val="000000"/>
                <w:sz w:val="26"/>
                <w:szCs w:val="26"/>
              </w:rPr>
              <w:t>Trust</w:t>
            </w:r>
            <w:proofErr w:type="spellEnd"/>
            <w:r w:rsidRPr="00A26F14">
              <w:rPr>
                <w:rFonts w:ascii="Times New Roman" w:hAnsi="Times New Roman" w:cs="Times New Roman"/>
                <w:i/>
                <w:color w:val="000000"/>
                <w:sz w:val="26"/>
                <w:szCs w:val="26"/>
              </w:rPr>
              <w:t xml:space="preserve"> </w:t>
            </w:r>
            <w:proofErr w:type="spellStart"/>
            <w:r w:rsidRPr="00A26F14">
              <w:rPr>
                <w:rFonts w:ascii="Times New Roman" w:hAnsi="Times New Roman" w:cs="Times New Roman"/>
                <w:i/>
                <w:color w:val="000000"/>
                <w:sz w:val="26"/>
                <w:szCs w:val="26"/>
              </w:rPr>
              <w:t>Fund</w:t>
            </w:r>
            <w:proofErr w:type="spellEnd"/>
            <w:r w:rsidRPr="00A26F14">
              <w:rPr>
                <w:rFonts w:ascii="Times New Roman" w:hAnsi="Times New Roman" w:cs="Times New Roman"/>
                <w:i/>
                <w:color w:val="000000"/>
                <w:sz w:val="26"/>
                <w:szCs w:val="26"/>
              </w:rPr>
              <w:t xml:space="preserve"> (EPTATF)  </w:t>
            </w:r>
            <w:r w:rsidRPr="00A26F14">
              <w:rPr>
                <w:rFonts w:ascii="Times New Roman" w:hAnsi="Times New Roman" w:cs="Times New Roman"/>
                <w:color w:val="000000"/>
                <w:sz w:val="26"/>
                <w:szCs w:val="26"/>
              </w:rPr>
              <w:t>izveidi.</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2010. gada 14 decembrī notika pirmā EPTATF vadības sēde, kuras laikā tika pieņemti EPTATF izveides noteikumi un reglaments.</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u w:val="single"/>
              </w:rPr>
            </w:pP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u w:val="single"/>
              </w:rPr>
            </w:pPr>
            <w:r w:rsidRPr="00A26F14">
              <w:rPr>
                <w:rFonts w:ascii="Times New Roman" w:hAnsi="Times New Roman" w:cs="Times New Roman"/>
                <w:color w:val="000000"/>
                <w:sz w:val="26"/>
                <w:szCs w:val="26"/>
                <w:u w:val="single"/>
              </w:rPr>
              <w:t>EPTATF darbības mērķis:</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 xml:space="preserve">EPTATF sniedz tehnisko palīdzību, lai uzlabotu EIB darījumu kvalitāti ar Austrumu partnerības valstīm. Fonda atbalsts paredz finansējumu šādām aktivitātēm: iespēju izpētei, institucionālam un tiesiskam novērtējumam, vides un sociālās ietekmes novērtējumam, projektu vadības un aizņēmēja atbalstam projekta ieviešanas procesā. </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u w:val="single"/>
              </w:rPr>
            </w:pPr>
            <w:r w:rsidRPr="00A26F14">
              <w:rPr>
                <w:rFonts w:ascii="Times New Roman" w:hAnsi="Times New Roman" w:cs="Times New Roman"/>
                <w:color w:val="000000"/>
                <w:sz w:val="26"/>
                <w:szCs w:val="26"/>
                <w:u w:val="single"/>
              </w:rPr>
              <w:t>EPTATF finansējums:</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Fonds balstās uz brīvprātīgām iemaksām. Netiek noteikts minimālās iemaksas apjoms (ieguldījuma apjomam ir nozīme balsstiesību noteikšanā lēmumu pieņemšanā). Iemaksas Fondā var veikt Dalībvalstis, Eiropas Komisija, saņēmējvalstis, kā arī ieinteresētās trešās valstis.</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u w:val="single"/>
              </w:rPr>
            </w:pPr>
            <w:r w:rsidRPr="00A26F14">
              <w:rPr>
                <w:rFonts w:ascii="Times New Roman" w:hAnsi="Times New Roman" w:cs="Times New Roman"/>
                <w:color w:val="000000"/>
                <w:sz w:val="26"/>
                <w:szCs w:val="26"/>
                <w:u w:val="single"/>
              </w:rPr>
              <w:t>EPTATF Pārvaldība</w:t>
            </w:r>
          </w:p>
          <w:p w:rsidR="00A26F14" w:rsidRPr="00A26F14" w:rsidRDefault="00A26F14" w:rsidP="00A26F14">
            <w:pPr>
              <w:spacing w:after="200" w:line="240" w:lineRule="auto"/>
              <w:ind w:left="85" w:right="173" w:firstLine="528"/>
              <w:contextualSpacing/>
              <w:jc w:val="both"/>
              <w:rPr>
                <w:rFonts w:ascii="Times New Roman" w:hAnsi="Times New Roman" w:cs="Times New Roman"/>
                <w:color w:val="000000"/>
                <w:sz w:val="26"/>
                <w:szCs w:val="26"/>
              </w:rPr>
            </w:pPr>
            <w:r w:rsidRPr="00A26F14">
              <w:rPr>
                <w:rFonts w:ascii="Times New Roman" w:hAnsi="Times New Roman" w:cs="Times New Roman"/>
                <w:color w:val="000000"/>
                <w:sz w:val="26"/>
                <w:szCs w:val="26"/>
              </w:rPr>
              <w:t>Fondu pārvalda Ieguldītāju komiteja, kuru veido ieguldītāju pārstāvji. Sanāksmes vada EIB Vadības komitejas pārstāvis. Banka nodrošina sekretariāta un atbalsta funkcijas, kas nepieciešamas Ieguldītāju komitejas darbam (sanāksmju organizēšanu, dokumentu sagatavošanu, u.c.).</w:t>
            </w:r>
          </w:p>
          <w:p w:rsidR="00A26F14" w:rsidRPr="00A26F14" w:rsidRDefault="00A26F14" w:rsidP="00A26F14">
            <w:pPr>
              <w:spacing w:after="200" w:line="240" w:lineRule="auto"/>
              <w:ind w:left="85" w:right="173" w:firstLine="528"/>
              <w:contextualSpacing/>
              <w:jc w:val="both"/>
              <w:rPr>
                <w:rFonts w:ascii="Times New Roman" w:eastAsia="Calibri" w:hAnsi="Times New Roman" w:cs="Times New Roman"/>
                <w:color w:val="000000"/>
                <w:sz w:val="26"/>
                <w:szCs w:val="26"/>
              </w:rPr>
            </w:pPr>
            <w:r w:rsidRPr="00A26F14">
              <w:rPr>
                <w:rFonts w:ascii="Times New Roman" w:eastAsia="Calibri" w:hAnsi="Times New Roman" w:cs="Times New Roman"/>
                <w:color w:val="000000"/>
                <w:sz w:val="26"/>
                <w:szCs w:val="26"/>
              </w:rPr>
              <w:t xml:space="preserve">Līdz 2014. gada beigām kopumā septiņas dalībvalstis ir veikušas iemaksas EPTATF par kopējo summu 21.2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Austrija 8,0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Francija 0,8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Latvija 0,05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Polija 1,0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Zviedrija 10,49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Vācija 0,82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xml:space="preserve">, Lietuva 0,05 miljoni </w:t>
            </w:r>
            <w:r w:rsidRPr="00A26F14">
              <w:rPr>
                <w:rFonts w:ascii="Times New Roman" w:eastAsia="Calibri" w:hAnsi="Times New Roman" w:cs="Times New Roman"/>
                <w:i/>
                <w:color w:val="000000"/>
                <w:sz w:val="26"/>
                <w:szCs w:val="26"/>
              </w:rPr>
              <w:t>euro</w:t>
            </w:r>
            <w:r w:rsidRPr="00A26F14">
              <w:rPr>
                <w:rFonts w:ascii="Times New Roman" w:eastAsia="Calibri" w:hAnsi="Times New Roman" w:cs="Times New Roman"/>
                <w:color w:val="000000"/>
                <w:sz w:val="26"/>
                <w:szCs w:val="26"/>
              </w:rPr>
              <w:t>. Latvija veica iemaksu 2011. gadā.</w:t>
            </w:r>
          </w:p>
          <w:p w:rsidR="00A26F14" w:rsidRPr="00A26F14" w:rsidRDefault="00A26F14" w:rsidP="00A26F14">
            <w:pPr>
              <w:spacing w:after="200" w:line="240" w:lineRule="auto"/>
              <w:ind w:left="85" w:right="173" w:firstLine="528"/>
              <w:contextualSpacing/>
              <w:jc w:val="both"/>
              <w:rPr>
                <w:rFonts w:ascii="Times New Roman" w:eastAsia="Calibri" w:hAnsi="Times New Roman" w:cs="Times New Roman"/>
                <w:color w:val="000000"/>
                <w:sz w:val="26"/>
                <w:szCs w:val="26"/>
              </w:rPr>
            </w:pPr>
          </w:p>
          <w:p w:rsidR="00A26F14" w:rsidRPr="00A26F14" w:rsidRDefault="00A26F14" w:rsidP="00A26F14">
            <w:pPr>
              <w:spacing w:after="200" w:line="240" w:lineRule="auto"/>
              <w:ind w:left="85" w:right="173" w:firstLine="528"/>
              <w:contextualSpacing/>
              <w:jc w:val="both"/>
              <w:rPr>
                <w:rFonts w:ascii="Times New Roman" w:eastAsia="Calibri" w:hAnsi="Times New Roman" w:cs="Times New Roman"/>
                <w:color w:val="000000"/>
                <w:sz w:val="26"/>
                <w:szCs w:val="26"/>
              </w:rPr>
            </w:pPr>
            <w:r w:rsidRPr="00A26F14">
              <w:rPr>
                <w:rFonts w:ascii="Times New Roman" w:eastAsia="Calibri" w:hAnsi="Times New Roman" w:cs="Times New Roman"/>
                <w:color w:val="000000"/>
                <w:sz w:val="26"/>
                <w:szCs w:val="26"/>
              </w:rPr>
              <w:t xml:space="preserve">Līdz 2015. gada beigām visi fonda līdzekļi varētu tikt izlietoti EPTATF mērķu sasniegšanai. Līdz ar to 2015. gada 18. martā nosūtītajā vēstulē </w:t>
            </w:r>
            <w:r w:rsidRPr="00A26F14">
              <w:rPr>
                <w:rFonts w:ascii="Times New Roman" w:eastAsia="Calibri" w:hAnsi="Times New Roman" w:cs="Times New Roman"/>
                <w:b/>
                <w:color w:val="000000"/>
                <w:sz w:val="26"/>
                <w:szCs w:val="26"/>
              </w:rPr>
              <w:t>EIB lūdz visām dalībvalstīm veikt jaunas iemaksas EPTATF</w:t>
            </w:r>
            <w:r w:rsidRPr="00A26F14">
              <w:rPr>
                <w:rFonts w:ascii="Times New Roman" w:eastAsia="Calibri" w:hAnsi="Times New Roman" w:cs="Times New Roman"/>
                <w:color w:val="000000"/>
                <w:sz w:val="26"/>
                <w:szCs w:val="26"/>
              </w:rPr>
              <w:t>, fonda darbības turpināšanai.</w:t>
            </w:r>
          </w:p>
          <w:p w:rsidR="00A26F14" w:rsidRPr="00A26F14" w:rsidRDefault="00A26F14" w:rsidP="00A26F14">
            <w:pPr>
              <w:spacing w:after="200" w:line="240" w:lineRule="auto"/>
              <w:ind w:left="85" w:right="173" w:firstLine="528"/>
              <w:contextualSpacing/>
              <w:jc w:val="both"/>
              <w:rPr>
                <w:rFonts w:ascii="Times New Roman" w:hAnsi="Times New Roman"/>
                <w:sz w:val="26"/>
                <w:szCs w:val="26"/>
              </w:rPr>
            </w:pPr>
            <w:r w:rsidRPr="00A26F14">
              <w:rPr>
                <w:rFonts w:ascii="Times New Roman" w:hAnsi="Times New Roman"/>
                <w:sz w:val="26"/>
                <w:szCs w:val="26"/>
              </w:rPr>
              <w:t>Lai veiktu iemaksu</w:t>
            </w:r>
            <w:r w:rsidRPr="00A26F14">
              <w:t xml:space="preserve"> </w:t>
            </w:r>
            <w:r w:rsidRPr="00A26F14">
              <w:rPr>
                <w:rFonts w:ascii="Times New Roman" w:hAnsi="Times New Roman"/>
                <w:sz w:val="26"/>
                <w:szCs w:val="26"/>
              </w:rPr>
              <w:t xml:space="preserve">EIB Austrumu partnerības tehniskās palīdzības trasta fondā, </w:t>
            </w:r>
            <w:r w:rsidRPr="00A26F14">
              <w:rPr>
                <w:rFonts w:ascii="Times New Roman" w:hAnsi="Times New Roman"/>
                <w:color w:val="000000"/>
                <w:sz w:val="26"/>
                <w:szCs w:val="26"/>
              </w:rPr>
              <w:t xml:space="preserve">EPTATF </w:t>
            </w:r>
            <w:r w:rsidRPr="00A26F14">
              <w:rPr>
                <w:rFonts w:ascii="Times New Roman" w:hAnsi="Times New Roman"/>
                <w:sz w:val="26"/>
                <w:szCs w:val="26"/>
              </w:rPr>
              <w:t xml:space="preserve">tehniskās palīdzības sniegšanai EIB finansētajiem projektiem </w:t>
            </w:r>
            <w:r w:rsidRPr="00A26F14">
              <w:rPr>
                <w:rFonts w:ascii="Times New Roman" w:eastAsia="Times New Roman" w:hAnsi="Times New Roman" w:cs="Times New Roman"/>
                <w:sz w:val="28"/>
                <w:szCs w:val="28"/>
                <w:lang w:eastAsia="lv-LV"/>
              </w:rPr>
              <w:t xml:space="preserve"> </w:t>
            </w:r>
            <w:r w:rsidRPr="00A26F14">
              <w:rPr>
                <w:rFonts w:ascii="Times New Roman" w:hAnsi="Times New Roman"/>
                <w:sz w:val="26"/>
                <w:szCs w:val="26"/>
              </w:rPr>
              <w:t xml:space="preserve">Austrumu partnerības valstīs un uzlabotu šo projektu kvalitāti, sekmējot partnervalstu turpmāku tuvināšanos </w:t>
            </w:r>
            <w:r w:rsidRPr="00A26F14">
              <w:rPr>
                <w:rFonts w:ascii="Times New Roman" w:hAnsi="Times New Roman"/>
                <w:sz w:val="26"/>
                <w:szCs w:val="26"/>
              </w:rPr>
              <w:lastRenderedPageBreak/>
              <w:t xml:space="preserve">ES dalībvalstīm, nepieciešams finansējums </w:t>
            </w:r>
            <w:r w:rsidRPr="00A26F14">
              <w:rPr>
                <w:rFonts w:ascii="Times New Roman" w:hAnsi="Times New Roman"/>
                <w:b/>
                <w:bCs/>
                <w:sz w:val="26"/>
                <w:szCs w:val="26"/>
              </w:rPr>
              <w:t xml:space="preserve">50 000 </w:t>
            </w:r>
            <w:r w:rsidRPr="00A26F14">
              <w:rPr>
                <w:rFonts w:ascii="Times New Roman" w:hAnsi="Times New Roman"/>
                <w:b/>
                <w:bCs/>
                <w:i/>
                <w:sz w:val="26"/>
                <w:szCs w:val="26"/>
              </w:rPr>
              <w:t>euro</w:t>
            </w:r>
            <w:r w:rsidRPr="00A26F14">
              <w:rPr>
                <w:rFonts w:ascii="Times New Roman" w:hAnsi="Times New Roman"/>
                <w:b/>
                <w:bCs/>
                <w:sz w:val="26"/>
                <w:szCs w:val="26"/>
              </w:rPr>
              <w:t xml:space="preserve"> </w:t>
            </w:r>
            <w:r w:rsidRPr="00A26F14">
              <w:rPr>
                <w:rFonts w:ascii="Times New Roman" w:hAnsi="Times New Roman"/>
                <w:sz w:val="26"/>
                <w:szCs w:val="26"/>
              </w:rPr>
              <w:t>apmērā.</w:t>
            </w:r>
          </w:p>
          <w:p w:rsidR="00A26F14" w:rsidRPr="00A26F14" w:rsidRDefault="00A26F14" w:rsidP="00A26F14">
            <w:pPr>
              <w:spacing w:after="200" w:line="240" w:lineRule="auto"/>
              <w:ind w:left="227" w:right="173" w:firstLine="386"/>
              <w:contextualSpacing/>
              <w:jc w:val="both"/>
              <w:rPr>
                <w:rFonts w:ascii="Times New Roman" w:hAnsi="Times New Roman"/>
                <w:sz w:val="26"/>
                <w:szCs w:val="26"/>
              </w:rPr>
            </w:pPr>
          </w:p>
        </w:tc>
      </w:tr>
      <w:tr w:rsidR="00A26F14" w:rsidRPr="00A26F14" w:rsidTr="00E40EE1">
        <w:trPr>
          <w:trHeight w:val="476"/>
        </w:trPr>
        <w:tc>
          <w:tcPr>
            <w:tcW w:w="227" w:type="pct"/>
          </w:tcPr>
          <w:p w:rsidR="00A26F14" w:rsidRPr="00A26F14" w:rsidRDefault="00A26F14" w:rsidP="00A26F14">
            <w:pPr>
              <w:spacing w:after="0" w:line="240" w:lineRule="auto"/>
              <w:ind w:left="57" w:right="57"/>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lastRenderedPageBreak/>
              <w:t>3.</w:t>
            </w:r>
          </w:p>
        </w:tc>
        <w:tc>
          <w:tcPr>
            <w:tcW w:w="1565" w:type="pct"/>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Projekta izstrādē iesaistītās institūcijas</w:t>
            </w:r>
          </w:p>
        </w:tc>
        <w:tc>
          <w:tcPr>
            <w:tcW w:w="3207" w:type="pct"/>
          </w:tcPr>
          <w:p w:rsidR="00A26F14" w:rsidRPr="00A26F14" w:rsidRDefault="00A26F14" w:rsidP="00A26F14">
            <w:pPr>
              <w:spacing w:after="0" w:line="240" w:lineRule="auto"/>
              <w:ind w:left="57" w:right="57"/>
              <w:rPr>
                <w:rFonts w:ascii="Times New Roman" w:hAnsi="Times New Roman" w:cs="Times New Roman"/>
                <w:b/>
                <w:sz w:val="26"/>
                <w:szCs w:val="26"/>
              </w:rPr>
            </w:pPr>
            <w:r w:rsidRPr="00A26F14">
              <w:rPr>
                <w:rFonts w:ascii="Times New Roman" w:hAnsi="Times New Roman" w:cs="Times New Roman"/>
                <w:bCs/>
                <w:color w:val="000000"/>
                <w:sz w:val="26"/>
                <w:szCs w:val="26"/>
              </w:rPr>
              <w:t>Finanšu ministrija.</w:t>
            </w:r>
          </w:p>
        </w:tc>
      </w:tr>
      <w:tr w:rsidR="00A26F14" w:rsidRPr="00A26F14" w:rsidTr="00E40EE1">
        <w:tc>
          <w:tcPr>
            <w:tcW w:w="227" w:type="pct"/>
          </w:tcPr>
          <w:p w:rsidR="00A26F14" w:rsidRPr="00A26F14" w:rsidRDefault="00A26F14" w:rsidP="00A26F14">
            <w:pPr>
              <w:spacing w:after="0" w:line="240" w:lineRule="auto"/>
              <w:ind w:left="57" w:right="57"/>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4.</w:t>
            </w:r>
          </w:p>
        </w:tc>
        <w:tc>
          <w:tcPr>
            <w:tcW w:w="1565" w:type="pct"/>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Cita informācija</w:t>
            </w:r>
          </w:p>
        </w:tc>
        <w:tc>
          <w:tcPr>
            <w:tcW w:w="3207" w:type="pct"/>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Nav.</w:t>
            </w:r>
          </w:p>
        </w:tc>
      </w:tr>
    </w:tbl>
    <w:p w:rsidR="00A26F14" w:rsidRPr="00A26F14" w:rsidRDefault="00A26F14" w:rsidP="00A26F14">
      <w:pPr>
        <w:spacing w:after="0" w:line="240" w:lineRule="auto"/>
        <w:rPr>
          <w:rFonts w:ascii="Times New Roman" w:hAnsi="Times New Roman" w:cs="Times New Roman"/>
          <w:sz w:val="26"/>
          <w:szCs w:val="26"/>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258"/>
        <w:gridCol w:w="1280"/>
        <w:gridCol w:w="1227"/>
        <w:gridCol w:w="1227"/>
        <w:gridCol w:w="1227"/>
      </w:tblGrid>
      <w:tr w:rsidR="00A26F14" w:rsidRPr="00A26F14" w:rsidTr="00E40EE1">
        <w:trPr>
          <w:trHeight w:val="361"/>
          <w:jc w:val="center"/>
        </w:trPr>
        <w:tc>
          <w:tcPr>
            <w:tcW w:w="9257" w:type="dxa"/>
            <w:gridSpan w:val="6"/>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br w:type="page"/>
            </w:r>
            <w:r w:rsidRPr="00A26F14">
              <w:rPr>
                <w:rFonts w:ascii="Times New Roman" w:eastAsia="Times New Roman" w:hAnsi="Times New Roman" w:cs="Times New Roman"/>
                <w:b/>
                <w:sz w:val="26"/>
                <w:szCs w:val="26"/>
                <w:lang w:eastAsia="lv-LV"/>
              </w:rPr>
              <w:t>III. Tiesību akta projekta ietekme uz valsts budžetu un pašvaldību budžetiem</w:t>
            </w:r>
          </w:p>
        </w:tc>
      </w:tr>
      <w:tr w:rsidR="00A26F14" w:rsidRPr="00A26F14" w:rsidTr="00E40EE1">
        <w:trPr>
          <w:jc w:val="center"/>
        </w:trPr>
        <w:tc>
          <w:tcPr>
            <w:tcW w:w="3199" w:type="dxa"/>
            <w:vMerge w:val="restart"/>
            <w:vAlign w:val="center"/>
          </w:tcPr>
          <w:p w:rsidR="00A26F14" w:rsidRPr="00A26F14" w:rsidRDefault="00A26F14" w:rsidP="00A26F14">
            <w:pPr>
              <w:spacing w:after="0" w:line="240" w:lineRule="auto"/>
              <w:jc w:val="center"/>
              <w:rPr>
                <w:rFonts w:ascii="Times New Roman" w:eastAsia="Times New Roman" w:hAnsi="Times New Roman" w:cs="Times New Roman"/>
                <w:b/>
                <w:sz w:val="26"/>
                <w:szCs w:val="26"/>
                <w:lang w:eastAsia="lv-LV"/>
              </w:rPr>
            </w:pPr>
            <w:r w:rsidRPr="00A26F14">
              <w:rPr>
                <w:rFonts w:ascii="Times New Roman" w:eastAsia="Times New Roman" w:hAnsi="Times New Roman" w:cs="Times New Roman"/>
                <w:b/>
                <w:sz w:val="26"/>
                <w:szCs w:val="26"/>
                <w:lang w:eastAsia="lv-LV"/>
              </w:rPr>
              <w:t xml:space="preserve">Rādītāji </w:t>
            </w:r>
          </w:p>
        </w:tc>
        <w:tc>
          <w:tcPr>
            <w:tcW w:w="2563" w:type="dxa"/>
            <w:gridSpan w:val="2"/>
            <w:vMerge w:val="restart"/>
            <w:vAlign w:val="center"/>
          </w:tcPr>
          <w:p w:rsidR="00A26F14" w:rsidRPr="00A26F14" w:rsidRDefault="00A26F14" w:rsidP="00A26F14">
            <w:pPr>
              <w:spacing w:after="0" w:line="240" w:lineRule="auto"/>
              <w:jc w:val="center"/>
              <w:rPr>
                <w:rFonts w:ascii="Times New Roman" w:eastAsia="Times New Roman" w:hAnsi="Times New Roman" w:cs="Times New Roman"/>
                <w:b/>
                <w:sz w:val="26"/>
                <w:szCs w:val="26"/>
                <w:lang w:eastAsia="lv-LV"/>
              </w:rPr>
            </w:pPr>
            <w:r w:rsidRPr="00A26F14">
              <w:rPr>
                <w:rFonts w:ascii="Times New Roman" w:eastAsia="Times New Roman" w:hAnsi="Times New Roman" w:cs="Times New Roman"/>
                <w:b/>
                <w:sz w:val="26"/>
                <w:szCs w:val="26"/>
                <w:lang w:eastAsia="lv-LV"/>
              </w:rPr>
              <w:t>2015</w:t>
            </w:r>
          </w:p>
        </w:tc>
        <w:tc>
          <w:tcPr>
            <w:tcW w:w="3495" w:type="dxa"/>
            <w:gridSpan w:val="3"/>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Turpmākie trīs gadi (</w:t>
            </w:r>
            <w:r w:rsidRPr="00A26F14">
              <w:rPr>
                <w:rFonts w:ascii="Times New Roman" w:eastAsia="Times New Roman" w:hAnsi="Times New Roman" w:cs="Times New Roman"/>
                <w:i/>
                <w:sz w:val="26"/>
                <w:szCs w:val="26"/>
                <w:lang w:eastAsia="lv-LV"/>
              </w:rPr>
              <w:t>euro</w:t>
            </w:r>
            <w:r w:rsidRPr="00A26F14">
              <w:rPr>
                <w:rFonts w:ascii="Times New Roman" w:eastAsia="Times New Roman" w:hAnsi="Times New Roman" w:cs="Times New Roman"/>
                <w:sz w:val="26"/>
                <w:szCs w:val="26"/>
                <w:lang w:eastAsia="lv-LV"/>
              </w:rPr>
              <w:t>)</w:t>
            </w:r>
          </w:p>
        </w:tc>
      </w:tr>
      <w:tr w:rsidR="00A26F14" w:rsidRPr="00A26F14" w:rsidTr="00E40EE1">
        <w:trPr>
          <w:jc w:val="center"/>
        </w:trPr>
        <w:tc>
          <w:tcPr>
            <w:tcW w:w="3199" w:type="dxa"/>
            <w:vMerge/>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p>
        </w:tc>
        <w:tc>
          <w:tcPr>
            <w:tcW w:w="2563" w:type="dxa"/>
            <w:gridSpan w:val="2"/>
            <w:vMerge/>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b/>
                <w:bCs/>
                <w:sz w:val="26"/>
                <w:szCs w:val="26"/>
                <w:lang w:eastAsia="lv-LV"/>
              </w:rPr>
              <w:t>2016</w:t>
            </w:r>
          </w:p>
        </w:tc>
        <w:tc>
          <w:tcPr>
            <w:tcW w:w="1195"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b/>
                <w:bCs/>
                <w:sz w:val="26"/>
                <w:szCs w:val="26"/>
                <w:lang w:eastAsia="lv-LV"/>
              </w:rPr>
              <w:t>2017</w:t>
            </w: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b/>
                <w:bCs/>
                <w:sz w:val="26"/>
                <w:szCs w:val="26"/>
                <w:lang w:eastAsia="lv-LV"/>
              </w:rPr>
              <w:t>2018</w:t>
            </w:r>
          </w:p>
        </w:tc>
      </w:tr>
      <w:tr w:rsidR="00A26F14" w:rsidRPr="00A26F14" w:rsidTr="00E40EE1">
        <w:trPr>
          <w:jc w:val="center"/>
        </w:trPr>
        <w:tc>
          <w:tcPr>
            <w:tcW w:w="3199" w:type="dxa"/>
            <w:vMerge/>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p>
        </w:tc>
        <w:tc>
          <w:tcPr>
            <w:tcW w:w="1276"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saskaņā ar valsts budžetu kārtējam gadam</w:t>
            </w:r>
          </w:p>
        </w:tc>
        <w:tc>
          <w:tcPr>
            <w:tcW w:w="1287"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izmaiņas kārtējā gadā, salīdzinot ar budžetu kārtējam gadam</w:t>
            </w: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izmaiņas, salīdzinot ar kārtējo (n) gadu</w:t>
            </w:r>
          </w:p>
        </w:tc>
        <w:tc>
          <w:tcPr>
            <w:tcW w:w="1195"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izmaiņas, salīdzinot ar kārtējo (n) gadu</w:t>
            </w: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izmaiņas, salīdzinot ar kārtējo (n) gadu</w:t>
            </w:r>
          </w:p>
        </w:tc>
      </w:tr>
      <w:tr w:rsidR="00A26F14" w:rsidRPr="00A26F14" w:rsidTr="00E40EE1">
        <w:trPr>
          <w:jc w:val="center"/>
        </w:trPr>
        <w:tc>
          <w:tcPr>
            <w:tcW w:w="3199"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1</w:t>
            </w:r>
          </w:p>
        </w:tc>
        <w:tc>
          <w:tcPr>
            <w:tcW w:w="1276"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2</w:t>
            </w:r>
          </w:p>
        </w:tc>
        <w:tc>
          <w:tcPr>
            <w:tcW w:w="1287"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3</w:t>
            </w: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4</w:t>
            </w:r>
          </w:p>
        </w:tc>
        <w:tc>
          <w:tcPr>
            <w:tcW w:w="1195"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5</w:t>
            </w:r>
          </w:p>
        </w:tc>
        <w:tc>
          <w:tcPr>
            <w:tcW w:w="1150" w:type="dxa"/>
            <w:vAlign w:val="center"/>
          </w:tcPr>
          <w:p w:rsidR="00A26F14" w:rsidRPr="00A26F14" w:rsidRDefault="00A26F14" w:rsidP="00A26F14">
            <w:pPr>
              <w:spacing w:after="0" w:line="240" w:lineRule="auto"/>
              <w:jc w:val="center"/>
              <w:rPr>
                <w:rFonts w:ascii="Times New Roman" w:eastAsia="Times New Roman" w:hAnsi="Times New Roman" w:cs="Times New Roman"/>
                <w:bCs/>
                <w:sz w:val="26"/>
                <w:szCs w:val="26"/>
                <w:lang w:eastAsia="lv-LV"/>
              </w:rPr>
            </w:pPr>
            <w:r w:rsidRPr="00A26F14">
              <w:rPr>
                <w:rFonts w:ascii="Times New Roman" w:eastAsia="Times New Roman" w:hAnsi="Times New Roman" w:cs="Times New Roman"/>
                <w:bCs/>
                <w:sz w:val="26"/>
                <w:szCs w:val="26"/>
                <w:lang w:eastAsia="lv-LV"/>
              </w:rPr>
              <w:t>6</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1. Budžeta ieņēmumi:</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1.1. valsts pamatbudžets, tai skaitā ieņēmumi no maksas pakalpojumiem un citi pašu ieņēmumi</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1.2. valsts speciālais budžets</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1.3. pašvaldību budžets</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2. Budžeta izdevumi:</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50 000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2.1. valsts pamatbudžets</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50 000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2.2. valsts speciālais budžets</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 xml:space="preserve">2.3. pašvaldību budžets </w:t>
            </w:r>
          </w:p>
        </w:tc>
        <w:tc>
          <w:tcPr>
            <w:tcW w:w="1276"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3. Finansiālā ietekme:</w:t>
            </w:r>
          </w:p>
        </w:tc>
        <w:tc>
          <w:tcPr>
            <w:tcW w:w="1276" w:type="dxa"/>
            <w:shd w:val="clear" w:color="auto" w:fill="auto"/>
            <w:vAlign w:val="center"/>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-50 000</w:t>
            </w:r>
          </w:p>
        </w:tc>
        <w:tc>
          <w:tcPr>
            <w:tcW w:w="1150" w:type="dxa"/>
          </w:tcPr>
          <w:p w:rsidR="00A26F14" w:rsidRPr="00A26F14" w:rsidRDefault="00A26F14" w:rsidP="00A26F14">
            <w:pPr>
              <w:spacing w:after="0" w:line="240" w:lineRule="auto"/>
              <w:rPr>
                <w:rFonts w:ascii="Times New Roman" w:hAnsi="Times New Roman" w:cs="Times New Roman"/>
                <w:sz w:val="26"/>
                <w:szCs w:val="26"/>
              </w:rPr>
            </w:pPr>
          </w:p>
        </w:tc>
        <w:tc>
          <w:tcPr>
            <w:tcW w:w="1195" w:type="dxa"/>
          </w:tcPr>
          <w:p w:rsidR="00A26F14" w:rsidRPr="00A26F14" w:rsidRDefault="00A26F14" w:rsidP="00A26F14">
            <w:pPr>
              <w:spacing w:after="0" w:line="240" w:lineRule="auto"/>
              <w:rPr>
                <w:rFonts w:ascii="Times New Roman" w:hAnsi="Times New Roman" w:cs="Times New Roman"/>
                <w:sz w:val="26"/>
                <w:szCs w:val="26"/>
              </w:rPr>
            </w:pPr>
          </w:p>
        </w:tc>
        <w:tc>
          <w:tcPr>
            <w:tcW w:w="1150" w:type="dxa"/>
          </w:tcPr>
          <w:p w:rsidR="00A26F14" w:rsidRPr="00A26F14" w:rsidRDefault="00A26F14" w:rsidP="00A26F14">
            <w:pPr>
              <w:spacing w:after="0" w:line="240" w:lineRule="auto"/>
              <w:rPr>
                <w:rFonts w:ascii="Times New Roman" w:hAnsi="Times New Roman" w:cs="Times New Roman"/>
                <w:sz w:val="26"/>
                <w:szCs w:val="26"/>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3.1. valsts pamatbudžets</w:t>
            </w:r>
          </w:p>
        </w:tc>
        <w:tc>
          <w:tcPr>
            <w:tcW w:w="1276" w:type="dxa"/>
            <w:shd w:val="clear" w:color="auto" w:fill="auto"/>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-50 000</w:t>
            </w:r>
          </w:p>
        </w:tc>
        <w:tc>
          <w:tcPr>
            <w:tcW w:w="1150" w:type="dxa"/>
          </w:tcPr>
          <w:p w:rsidR="00A26F14" w:rsidRPr="00A26F14" w:rsidRDefault="00A26F14" w:rsidP="00A26F14">
            <w:pPr>
              <w:spacing w:after="0" w:line="240" w:lineRule="auto"/>
              <w:rPr>
                <w:rFonts w:ascii="Times New Roman" w:hAnsi="Times New Roman" w:cs="Times New Roman"/>
                <w:sz w:val="26"/>
                <w:szCs w:val="26"/>
              </w:rPr>
            </w:pPr>
          </w:p>
        </w:tc>
        <w:tc>
          <w:tcPr>
            <w:tcW w:w="1195" w:type="dxa"/>
          </w:tcPr>
          <w:p w:rsidR="00A26F14" w:rsidRPr="00A26F14" w:rsidRDefault="00A26F14" w:rsidP="00A26F14">
            <w:pPr>
              <w:spacing w:after="0" w:line="240" w:lineRule="auto"/>
              <w:rPr>
                <w:rFonts w:ascii="Times New Roman" w:hAnsi="Times New Roman" w:cs="Times New Roman"/>
                <w:sz w:val="26"/>
                <w:szCs w:val="26"/>
              </w:rPr>
            </w:pPr>
          </w:p>
        </w:tc>
        <w:tc>
          <w:tcPr>
            <w:tcW w:w="1150" w:type="dxa"/>
          </w:tcPr>
          <w:p w:rsidR="00A26F14" w:rsidRPr="00A26F14" w:rsidRDefault="00A26F14" w:rsidP="00A26F14">
            <w:pPr>
              <w:spacing w:after="0" w:line="240" w:lineRule="auto"/>
              <w:rPr>
                <w:rFonts w:ascii="Times New Roman" w:hAnsi="Times New Roman" w:cs="Times New Roman"/>
                <w:sz w:val="26"/>
                <w:szCs w:val="26"/>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3.2. speciālais budžets</w:t>
            </w:r>
          </w:p>
        </w:tc>
        <w:tc>
          <w:tcPr>
            <w:tcW w:w="1276" w:type="dxa"/>
            <w:shd w:val="clear" w:color="auto" w:fill="auto"/>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 xml:space="preserve">3.3. pašvaldību budžets </w:t>
            </w:r>
          </w:p>
        </w:tc>
        <w:tc>
          <w:tcPr>
            <w:tcW w:w="1276" w:type="dxa"/>
            <w:shd w:val="clear" w:color="auto" w:fill="auto"/>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vMerge w:val="restart"/>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4. Finanšu līdzekļi papildu izdevumu finansēšanai (kompensējošu izdevumu samazinājumu norāda ar "+" zīmi)</w:t>
            </w:r>
          </w:p>
        </w:tc>
        <w:tc>
          <w:tcPr>
            <w:tcW w:w="1276" w:type="dxa"/>
            <w:vMerge w:val="restart"/>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X</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vMerge/>
          </w:tcPr>
          <w:p w:rsidR="00A26F14" w:rsidRPr="00A26F14" w:rsidRDefault="00A26F14" w:rsidP="00A26F14">
            <w:pPr>
              <w:spacing w:after="0" w:line="240" w:lineRule="auto"/>
              <w:rPr>
                <w:rFonts w:ascii="Times New Roman" w:hAnsi="Times New Roman" w:cs="Times New Roman"/>
                <w:sz w:val="26"/>
                <w:szCs w:val="26"/>
              </w:rPr>
            </w:pPr>
          </w:p>
        </w:tc>
        <w:tc>
          <w:tcPr>
            <w:tcW w:w="1276" w:type="dxa"/>
            <w:vMerge/>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vMerge/>
          </w:tcPr>
          <w:p w:rsidR="00A26F14" w:rsidRPr="00A26F14" w:rsidRDefault="00A26F14" w:rsidP="00A26F14">
            <w:pPr>
              <w:spacing w:after="0" w:line="240" w:lineRule="auto"/>
              <w:rPr>
                <w:rFonts w:ascii="Times New Roman" w:hAnsi="Times New Roman" w:cs="Times New Roman"/>
                <w:sz w:val="26"/>
                <w:szCs w:val="26"/>
              </w:rPr>
            </w:pPr>
          </w:p>
        </w:tc>
        <w:tc>
          <w:tcPr>
            <w:tcW w:w="1276" w:type="dxa"/>
            <w:vMerge/>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50 000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5. Precizēta finansiālā ietekme:</w:t>
            </w:r>
          </w:p>
        </w:tc>
        <w:tc>
          <w:tcPr>
            <w:tcW w:w="1276" w:type="dxa"/>
            <w:vMerge w:val="restart"/>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sz w:val="26"/>
                <w:szCs w:val="26"/>
                <w:lang w:eastAsia="lv-LV"/>
              </w:rPr>
              <w:t>X</w:t>
            </w: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5.1. valsts pamatbudžets</w:t>
            </w:r>
          </w:p>
        </w:tc>
        <w:tc>
          <w:tcPr>
            <w:tcW w:w="1276" w:type="dxa"/>
            <w:vMerge/>
            <w:vAlign w:val="center"/>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5.2. speciālais budžets</w:t>
            </w:r>
          </w:p>
        </w:tc>
        <w:tc>
          <w:tcPr>
            <w:tcW w:w="1276" w:type="dxa"/>
            <w:vMerge/>
            <w:vAlign w:val="center"/>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 xml:space="preserve">5.3. pašvaldību budžets </w:t>
            </w:r>
          </w:p>
        </w:tc>
        <w:tc>
          <w:tcPr>
            <w:tcW w:w="1276" w:type="dxa"/>
            <w:vMerge/>
            <w:vAlign w:val="center"/>
          </w:tcPr>
          <w:p w:rsidR="00A26F14" w:rsidRPr="00A26F14" w:rsidRDefault="00A26F14" w:rsidP="00A26F14">
            <w:pPr>
              <w:spacing w:after="0" w:line="240" w:lineRule="auto"/>
              <w:jc w:val="center"/>
              <w:rPr>
                <w:rFonts w:ascii="Times New Roman" w:eastAsia="Times New Roman" w:hAnsi="Times New Roman" w:cs="Times New Roman"/>
                <w:i/>
                <w:sz w:val="26"/>
                <w:szCs w:val="26"/>
                <w:lang w:eastAsia="lv-LV"/>
              </w:rPr>
            </w:pPr>
          </w:p>
        </w:tc>
        <w:tc>
          <w:tcPr>
            <w:tcW w:w="1287"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95"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c>
          <w:tcPr>
            <w:tcW w:w="1150" w:type="dxa"/>
          </w:tcPr>
          <w:p w:rsidR="00A26F14" w:rsidRPr="00A26F14" w:rsidRDefault="00A26F14" w:rsidP="00A26F14">
            <w:pPr>
              <w:spacing w:after="0" w:line="240" w:lineRule="auto"/>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0</w:t>
            </w:r>
          </w:p>
        </w:tc>
      </w:tr>
      <w:tr w:rsidR="00A26F14" w:rsidRPr="00A26F14" w:rsidTr="00E40EE1">
        <w:trPr>
          <w:trHeight w:val="1571"/>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lastRenderedPageBreak/>
              <w:t>6. Detalizēts ieņēmumu un izdevumu aprēķins (ja nepie</w:t>
            </w:r>
            <w:r w:rsidRPr="00A26F14">
              <w:rPr>
                <w:rFonts w:ascii="Times New Roman" w:hAnsi="Times New Roman" w:cs="Times New Roman"/>
                <w:sz w:val="26"/>
                <w:szCs w:val="26"/>
              </w:rPr>
              <w:softHyphen/>
              <w:t>ciešams, detalizētu ieņēmumu un izdevumu aprēķinu var pie</w:t>
            </w:r>
            <w:r w:rsidRPr="00A26F14">
              <w:rPr>
                <w:rFonts w:ascii="Times New Roman" w:hAnsi="Times New Roman" w:cs="Times New Roman"/>
                <w:sz w:val="26"/>
                <w:szCs w:val="26"/>
              </w:rPr>
              <w:softHyphen/>
              <w:t>vienot anotācijas pielikumā):</w:t>
            </w:r>
          </w:p>
        </w:tc>
        <w:tc>
          <w:tcPr>
            <w:tcW w:w="6058" w:type="dxa"/>
            <w:gridSpan w:val="5"/>
            <w:vMerge w:val="restart"/>
            <w:vAlign w:val="center"/>
          </w:tcPr>
          <w:p w:rsidR="00A26F14" w:rsidRPr="00A26F14" w:rsidRDefault="00A26F14" w:rsidP="00A26F14">
            <w:pPr>
              <w:spacing w:after="0" w:line="240" w:lineRule="auto"/>
              <w:ind w:left="57" w:right="57"/>
              <w:jc w:val="both"/>
              <w:rPr>
                <w:rFonts w:ascii="Times New Roman" w:hAnsi="Times New Roman" w:cs="Times New Roman"/>
                <w:color w:val="000000"/>
                <w:sz w:val="26"/>
                <w:szCs w:val="26"/>
              </w:rPr>
            </w:pPr>
            <w:r w:rsidRPr="00A26F14">
              <w:rPr>
                <w:rFonts w:ascii="Times New Roman" w:hAnsi="Times New Roman" w:cs="Times New Roman"/>
                <w:sz w:val="26"/>
                <w:szCs w:val="26"/>
              </w:rPr>
              <w:t>Nav.</w:t>
            </w: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6.1. detalizēts ieņēmumu aprēķins</w:t>
            </w:r>
          </w:p>
        </w:tc>
        <w:tc>
          <w:tcPr>
            <w:tcW w:w="6058" w:type="dxa"/>
            <w:gridSpan w:val="5"/>
            <w:vMerge/>
          </w:tcPr>
          <w:p w:rsidR="00A26F14" w:rsidRPr="00A26F14" w:rsidRDefault="00A26F14" w:rsidP="00A26F14">
            <w:pPr>
              <w:spacing w:after="0" w:line="240" w:lineRule="auto"/>
              <w:rPr>
                <w:rFonts w:ascii="Times New Roman" w:eastAsia="Times New Roman" w:hAnsi="Times New Roman" w:cs="Times New Roman"/>
                <w:b/>
                <w:i/>
                <w:sz w:val="26"/>
                <w:szCs w:val="26"/>
                <w:lang w:eastAsia="lv-LV"/>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6.2. detalizēts izdevumu aprēķins</w:t>
            </w:r>
          </w:p>
        </w:tc>
        <w:tc>
          <w:tcPr>
            <w:tcW w:w="6058" w:type="dxa"/>
            <w:gridSpan w:val="5"/>
            <w:vMerge/>
          </w:tcPr>
          <w:p w:rsidR="00A26F14" w:rsidRPr="00A26F14" w:rsidRDefault="00A26F14" w:rsidP="00A26F14">
            <w:pPr>
              <w:spacing w:after="0" w:line="240" w:lineRule="auto"/>
              <w:rPr>
                <w:rFonts w:ascii="Times New Roman" w:eastAsia="Times New Roman" w:hAnsi="Times New Roman" w:cs="Times New Roman"/>
                <w:b/>
                <w:i/>
                <w:sz w:val="26"/>
                <w:szCs w:val="26"/>
                <w:lang w:eastAsia="lv-LV"/>
              </w:rPr>
            </w:pPr>
          </w:p>
        </w:tc>
      </w:tr>
      <w:tr w:rsidR="00A26F14" w:rsidRPr="00A26F14" w:rsidTr="00E40EE1">
        <w:trPr>
          <w:jc w:val="center"/>
        </w:trPr>
        <w:tc>
          <w:tcPr>
            <w:tcW w:w="3199" w:type="dxa"/>
          </w:tcPr>
          <w:p w:rsidR="00A26F14" w:rsidRPr="00A26F14" w:rsidRDefault="00A26F14" w:rsidP="00A26F14">
            <w:pPr>
              <w:spacing w:after="0" w:line="240" w:lineRule="auto"/>
              <w:rPr>
                <w:rFonts w:ascii="Times New Roman" w:hAnsi="Times New Roman" w:cs="Times New Roman"/>
                <w:sz w:val="26"/>
                <w:szCs w:val="26"/>
              </w:rPr>
            </w:pPr>
            <w:r w:rsidRPr="00A26F14">
              <w:rPr>
                <w:rFonts w:ascii="Times New Roman" w:hAnsi="Times New Roman" w:cs="Times New Roman"/>
                <w:sz w:val="26"/>
                <w:szCs w:val="26"/>
              </w:rPr>
              <w:t>7. Cita informācija</w:t>
            </w:r>
          </w:p>
        </w:tc>
        <w:tc>
          <w:tcPr>
            <w:tcW w:w="6058" w:type="dxa"/>
            <w:gridSpan w:val="5"/>
          </w:tcPr>
          <w:p w:rsidR="00A26F14" w:rsidRPr="00A26F14" w:rsidRDefault="00A26F14" w:rsidP="00A26F14">
            <w:pPr>
              <w:spacing w:after="0" w:line="240" w:lineRule="auto"/>
              <w:rPr>
                <w:rFonts w:ascii="Times New Roman" w:eastAsia="Times New Roman" w:hAnsi="Times New Roman" w:cs="Times New Roman"/>
                <w:b/>
                <w:i/>
                <w:sz w:val="26"/>
                <w:szCs w:val="26"/>
                <w:lang w:eastAsia="lv-LV"/>
              </w:rPr>
            </w:pPr>
            <w:r w:rsidRPr="00A26F14">
              <w:rPr>
                <w:rFonts w:ascii="Times New Roman" w:eastAsia="Times New Roman" w:hAnsi="Times New Roman" w:cs="Times New Roman"/>
                <w:sz w:val="26"/>
                <w:szCs w:val="26"/>
                <w:lang w:eastAsia="lv-LV"/>
              </w:rPr>
              <w:t xml:space="preserve">Izdevumus sedz no valsts budžeta programmas 02.00.00 </w:t>
            </w:r>
            <w:r w:rsidRPr="00106CF4">
              <w:rPr>
                <w:rFonts w:ascii="Times New Roman" w:eastAsia="Times New Roman" w:hAnsi="Times New Roman" w:cs="Times New Roman"/>
                <w:sz w:val="26"/>
                <w:szCs w:val="26"/>
                <w:lang w:eastAsia="lv-LV"/>
              </w:rPr>
              <w:t>„Līdzekļi neparedzētiem gadījumiem”.</w:t>
            </w:r>
          </w:p>
        </w:tc>
      </w:tr>
    </w:tbl>
    <w:p w:rsidR="00A26F14" w:rsidRPr="00A26F14" w:rsidRDefault="00A26F14" w:rsidP="00A26F14">
      <w:pPr>
        <w:spacing w:after="0" w:line="240" w:lineRule="auto"/>
        <w:rPr>
          <w:rFonts w:ascii="Times New Roman" w:eastAsia="Times New Roman" w:hAnsi="Times New Roman" w:cs="Times New Roman"/>
          <w:sz w:val="26"/>
          <w:szCs w:val="26"/>
          <w:lang w:eastAsia="lv-LV"/>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A26F14" w:rsidRPr="00A26F14" w:rsidTr="00E40EE1">
        <w:trPr>
          <w:trHeight w:val="381"/>
          <w:jc w:val="center"/>
        </w:trPr>
        <w:tc>
          <w:tcPr>
            <w:tcW w:w="9296" w:type="dxa"/>
            <w:gridSpan w:val="3"/>
            <w:vAlign w:val="center"/>
          </w:tcPr>
          <w:p w:rsidR="00A26F14" w:rsidRPr="00A26F14" w:rsidRDefault="00A26F14" w:rsidP="00A26F14">
            <w:pPr>
              <w:spacing w:after="0" w:line="240" w:lineRule="auto"/>
              <w:ind w:left="57" w:right="57"/>
              <w:jc w:val="center"/>
              <w:rPr>
                <w:rFonts w:ascii="Times New Roman" w:eastAsia="Times New Roman" w:hAnsi="Times New Roman" w:cs="Times New Roman"/>
                <w:sz w:val="26"/>
                <w:szCs w:val="26"/>
                <w:lang w:eastAsia="lv-LV"/>
              </w:rPr>
            </w:pPr>
            <w:r w:rsidRPr="00A26F14">
              <w:rPr>
                <w:rFonts w:ascii="Times New Roman" w:eastAsia="Times New Roman" w:hAnsi="Times New Roman" w:cs="Times New Roman"/>
                <w:b/>
                <w:sz w:val="26"/>
                <w:szCs w:val="26"/>
                <w:lang w:eastAsia="lv-LV"/>
              </w:rPr>
              <w:t>VII. Tiesību akta projekta izpildes nodrošināšana un tās ietekme uz institūcijām</w:t>
            </w:r>
          </w:p>
        </w:tc>
      </w:tr>
      <w:tr w:rsidR="00A26F14" w:rsidRPr="00A26F14" w:rsidTr="00E40EE1">
        <w:trPr>
          <w:trHeight w:val="427"/>
          <w:jc w:val="center"/>
        </w:trPr>
        <w:tc>
          <w:tcPr>
            <w:tcW w:w="437" w:type="dxa"/>
          </w:tcPr>
          <w:p w:rsidR="00A26F14" w:rsidRPr="00A26F14" w:rsidRDefault="00A26F14" w:rsidP="00A26F14">
            <w:pPr>
              <w:spacing w:after="0" w:line="240" w:lineRule="auto"/>
              <w:ind w:left="57" w:right="57"/>
              <w:jc w:val="both"/>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1.</w:t>
            </w:r>
          </w:p>
        </w:tc>
        <w:tc>
          <w:tcPr>
            <w:tcW w:w="3615" w:type="dxa"/>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Projekta izpildē iesaistītās institūcijas</w:t>
            </w:r>
          </w:p>
        </w:tc>
        <w:tc>
          <w:tcPr>
            <w:tcW w:w="5244" w:type="dxa"/>
          </w:tcPr>
          <w:p w:rsidR="00A26F14" w:rsidRPr="00A26F14" w:rsidRDefault="00A26F14" w:rsidP="00A26F14">
            <w:pPr>
              <w:shd w:val="clear" w:color="auto" w:fill="FFFFFF"/>
              <w:spacing w:after="0" w:line="240" w:lineRule="auto"/>
              <w:jc w:val="both"/>
              <w:rPr>
                <w:rFonts w:ascii="Times New Roman" w:hAnsi="Times New Roman" w:cs="Times New Roman"/>
                <w:sz w:val="26"/>
                <w:szCs w:val="26"/>
                <w:lang w:eastAsia="lv-LV"/>
              </w:rPr>
            </w:pPr>
            <w:r w:rsidRPr="00A26F14">
              <w:rPr>
                <w:rFonts w:ascii="Times New Roman" w:hAnsi="Times New Roman" w:cs="Times New Roman"/>
                <w:bCs/>
                <w:color w:val="000000"/>
                <w:sz w:val="26"/>
                <w:szCs w:val="26"/>
              </w:rPr>
              <w:t>Finanšu ministrija.</w:t>
            </w:r>
          </w:p>
        </w:tc>
      </w:tr>
      <w:tr w:rsidR="00A26F14" w:rsidRPr="00A26F14" w:rsidTr="00E40EE1">
        <w:trPr>
          <w:trHeight w:val="463"/>
          <w:jc w:val="center"/>
        </w:trPr>
        <w:tc>
          <w:tcPr>
            <w:tcW w:w="437" w:type="dxa"/>
          </w:tcPr>
          <w:p w:rsidR="00A26F14" w:rsidRPr="00A26F14" w:rsidRDefault="00A26F14" w:rsidP="00A26F14">
            <w:pPr>
              <w:spacing w:after="0" w:line="240" w:lineRule="auto"/>
              <w:ind w:left="57" w:right="57"/>
              <w:jc w:val="both"/>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2.</w:t>
            </w:r>
          </w:p>
        </w:tc>
        <w:tc>
          <w:tcPr>
            <w:tcW w:w="3615" w:type="dxa"/>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Projekta izpildes ietekme uz pār</w:t>
            </w:r>
            <w:r w:rsidRPr="00A26F14">
              <w:rPr>
                <w:rFonts w:ascii="Times New Roman" w:eastAsia="Times New Roman" w:hAnsi="Times New Roman" w:cs="Times New Roman"/>
                <w:sz w:val="26"/>
                <w:szCs w:val="26"/>
                <w:lang w:eastAsia="lv-LV"/>
              </w:rPr>
              <w:softHyphen/>
              <w:t>valdes funkcijām un institucionālo struktūru.</w:t>
            </w:r>
          </w:p>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Jaunu institūciju izveide, esošu institūciju likvidācija vai reorga</w:t>
            </w:r>
            <w:r w:rsidRPr="00A26F14">
              <w:rPr>
                <w:rFonts w:ascii="Times New Roman" w:eastAsia="Times New Roman" w:hAnsi="Times New Roman" w:cs="Times New Roman"/>
                <w:sz w:val="26"/>
                <w:szCs w:val="26"/>
                <w:lang w:eastAsia="lv-LV"/>
              </w:rPr>
              <w:softHyphen/>
              <w:t>nizācija, to ietekme uz institūcijas cilvēkresursiem.</w:t>
            </w:r>
          </w:p>
        </w:tc>
        <w:tc>
          <w:tcPr>
            <w:tcW w:w="5244" w:type="dxa"/>
          </w:tcPr>
          <w:p w:rsidR="00A26F14" w:rsidRPr="00A26F14" w:rsidRDefault="00A26F14" w:rsidP="00A26F14">
            <w:pPr>
              <w:shd w:val="clear" w:color="auto" w:fill="FFFFFF"/>
              <w:spacing w:after="0" w:line="240" w:lineRule="auto"/>
              <w:jc w:val="both"/>
              <w:rPr>
                <w:rFonts w:ascii="Times New Roman" w:hAnsi="Times New Roman" w:cs="Times New Roman"/>
                <w:sz w:val="26"/>
                <w:szCs w:val="26"/>
                <w:lang w:eastAsia="lv-LV"/>
              </w:rPr>
            </w:pPr>
            <w:r w:rsidRPr="00A26F14">
              <w:rPr>
                <w:rFonts w:ascii="Times New Roman" w:hAnsi="Times New Roman" w:cs="Times New Roman"/>
                <w:sz w:val="26"/>
                <w:szCs w:val="26"/>
              </w:rPr>
              <w:t>Projekts šo jomu neskar.</w:t>
            </w:r>
          </w:p>
          <w:p w:rsidR="00A26F14" w:rsidRPr="00A26F14" w:rsidRDefault="00A26F14" w:rsidP="00A26F14">
            <w:pPr>
              <w:shd w:val="clear" w:color="auto" w:fill="FFFFFF"/>
              <w:spacing w:after="0" w:line="240" w:lineRule="auto"/>
              <w:jc w:val="both"/>
              <w:rPr>
                <w:rFonts w:ascii="Times New Roman" w:hAnsi="Times New Roman" w:cs="Times New Roman"/>
                <w:sz w:val="26"/>
                <w:szCs w:val="26"/>
                <w:lang w:eastAsia="lv-LV"/>
              </w:rPr>
            </w:pPr>
          </w:p>
        </w:tc>
      </w:tr>
      <w:tr w:rsidR="00A26F14" w:rsidRPr="00A26F14" w:rsidTr="00E40EE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A26F14" w:rsidRPr="00A26F14" w:rsidRDefault="00A26F14" w:rsidP="00A26F14">
            <w:pPr>
              <w:spacing w:after="0" w:line="240" w:lineRule="auto"/>
              <w:ind w:left="57" w:right="57"/>
              <w:jc w:val="both"/>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3.</w:t>
            </w:r>
          </w:p>
        </w:tc>
        <w:tc>
          <w:tcPr>
            <w:tcW w:w="3615" w:type="dxa"/>
            <w:tcBorders>
              <w:top w:val="single" w:sz="4" w:space="0" w:color="auto"/>
              <w:left w:val="single" w:sz="4" w:space="0" w:color="auto"/>
              <w:bottom w:val="single" w:sz="4" w:space="0" w:color="auto"/>
              <w:right w:val="single" w:sz="4" w:space="0" w:color="auto"/>
            </w:tcBorders>
          </w:tcPr>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Cita informācija</w:t>
            </w:r>
          </w:p>
        </w:tc>
        <w:tc>
          <w:tcPr>
            <w:tcW w:w="5244" w:type="dxa"/>
            <w:tcBorders>
              <w:top w:val="single" w:sz="4" w:space="0" w:color="auto"/>
              <w:left w:val="single" w:sz="4" w:space="0" w:color="auto"/>
              <w:bottom w:val="single" w:sz="4" w:space="0" w:color="auto"/>
              <w:right w:val="single" w:sz="4" w:space="0" w:color="auto"/>
            </w:tcBorders>
          </w:tcPr>
          <w:p w:rsidR="00A26F14" w:rsidRPr="00A26F14" w:rsidRDefault="00A26F14" w:rsidP="00A26F14">
            <w:pPr>
              <w:spacing w:after="0" w:line="240" w:lineRule="auto"/>
              <w:ind w:left="57" w:right="57"/>
              <w:jc w:val="both"/>
              <w:rPr>
                <w:rFonts w:ascii="Times New Roman" w:hAnsi="Times New Roman" w:cs="Times New Roman"/>
                <w:sz w:val="26"/>
                <w:szCs w:val="26"/>
                <w:lang w:eastAsia="lv-LV"/>
              </w:rPr>
            </w:pPr>
            <w:r w:rsidRPr="00A26F14">
              <w:rPr>
                <w:rFonts w:ascii="Times New Roman" w:hAnsi="Times New Roman" w:cs="Times New Roman"/>
                <w:sz w:val="26"/>
                <w:szCs w:val="26"/>
              </w:rPr>
              <w:t>Nav.</w:t>
            </w:r>
          </w:p>
        </w:tc>
      </w:tr>
    </w:tbl>
    <w:p w:rsidR="00A26F14" w:rsidRPr="00A26F14" w:rsidRDefault="00A26F14" w:rsidP="00A26F14">
      <w:pPr>
        <w:spacing w:after="0" w:line="240" w:lineRule="auto"/>
        <w:rPr>
          <w:rFonts w:ascii="Times New Roman" w:eastAsia="Times New Roman" w:hAnsi="Times New Roman" w:cs="Times New Roman"/>
          <w:i/>
          <w:sz w:val="26"/>
          <w:szCs w:val="26"/>
          <w:lang w:eastAsia="lv-LV"/>
        </w:rPr>
      </w:pPr>
    </w:p>
    <w:p w:rsidR="00A26F14" w:rsidRPr="00A26F14" w:rsidRDefault="00A26F14" w:rsidP="00A26F14">
      <w:pPr>
        <w:spacing w:after="0" w:line="240" w:lineRule="auto"/>
        <w:rPr>
          <w:rFonts w:ascii="Times New Roman" w:eastAsia="Times New Roman" w:hAnsi="Times New Roman" w:cs="Times New Roman"/>
          <w:i/>
          <w:sz w:val="26"/>
          <w:szCs w:val="26"/>
          <w:lang w:eastAsia="lv-LV"/>
        </w:rPr>
      </w:pPr>
      <w:r w:rsidRPr="00A26F14">
        <w:rPr>
          <w:rFonts w:ascii="Times New Roman" w:eastAsia="Times New Roman" w:hAnsi="Times New Roman" w:cs="Times New Roman"/>
          <w:i/>
          <w:sz w:val="26"/>
          <w:szCs w:val="26"/>
          <w:lang w:eastAsia="lv-LV"/>
        </w:rPr>
        <w:t xml:space="preserve">Anotācijas II, IV, V, </w:t>
      </w:r>
      <w:r w:rsidRPr="00A26F14">
        <w:rPr>
          <w:rFonts w:ascii="Times New Roman" w:eastAsia="Times New Roman" w:hAnsi="Times New Roman" w:cs="Times New Roman"/>
          <w:bCs/>
          <w:i/>
          <w:sz w:val="26"/>
          <w:szCs w:val="26"/>
          <w:lang w:eastAsia="lv-LV"/>
        </w:rPr>
        <w:t xml:space="preserve">VI </w:t>
      </w:r>
      <w:r w:rsidRPr="00A26F14">
        <w:rPr>
          <w:rFonts w:ascii="Times New Roman" w:eastAsia="Times New Roman" w:hAnsi="Times New Roman" w:cs="Times New Roman"/>
          <w:i/>
          <w:sz w:val="26"/>
          <w:szCs w:val="26"/>
          <w:lang w:eastAsia="lv-LV"/>
        </w:rPr>
        <w:t>sadaļa – projekts šīs jomas neskar.</w:t>
      </w:r>
    </w:p>
    <w:p w:rsidR="00A26F14" w:rsidRPr="00A26F14" w:rsidRDefault="00A26F14" w:rsidP="00A26F14">
      <w:pPr>
        <w:spacing w:after="0" w:line="240" w:lineRule="auto"/>
        <w:ind w:left="283" w:firstLine="437"/>
        <w:rPr>
          <w:rFonts w:ascii="Times New Roman" w:hAnsi="Times New Roman" w:cs="Times New Roman"/>
          <w:sz w:val="26"/>
          <w:szCs w:val="26"/>
        </w:rPr>
      </w:pPr>
    </w:p>
    <w:p w:rsidR="00A26F14" w:rsidRPr="00A26F14" w:rsidRDefault="00A26F14" w:rsidP="00A26F14">
      <w:pPr>
        <w:spacing w:after="0" w:line="240" w:lineRule="auto"/>
        <w:ind w:left="283" w:firstLine="437"/>
        <w:rPr>
          <w:rFonts w:ascii="Times New Roman" w:hAnsi="Times New Roman" w:cs="Times New Roman"/>
          <w:sz w:val="26"/>
          <w:szCs w:val="26"/>
        </w:rPr>
      </w:pPr>
    </w:p>
    <w:p w:rsidR="00A26F14" w:rsidRPr="00A26F14" w:rsidRDefault="00A26F14" w:rsidP="00A26F14">
      <w:pPr>
        <w:spacing w:after="0" w:line="240" w:lineRule="auto"/>
        <w:ind w:left="283" w:firstLine="437"/>
        <w:rPr>
          <w:rFonts w:ascii="Times New Roman" w:hAnsi="Times New Roman" w:cs="Times New Roman"/>
          <w:sz w:val="26"/>
          <w:szCs w:val="26"/>
        </w:rPr>
      </w:pPr>
    </w:p>
    <w:p w:rsidR="00A26F14" w:rsidRPr="00A26F14" w:rsidRDefault="00A26F14" w:rsidP="00A26F14">
      <w:pPr>
        <w:spacing w:after="0" w:line="240" w:lineRule="auto"/>
        <w:ind w:left="57" w:right="57"/>
        <w:rPr>
          <w:rFonts w:ascii="Times New Roman" w:eastAsia="Times New Roman" w:hAnsi="Times New Roman" w:cs="Times New Roman"/>
          <w:sz w:val="26"/>
          <w:szCs w:val="26"/>
          <w:lang w:eastAsia="lv-LV"/>
        </w:rPr>
      </w:pPr>
      <w:r w:rsidRPr="00A26F14">
        <w:rPr>
          <w:rFonts w:ascii="Times New Roman" w:eastAsia="Times New Roman" w:hAnsi="Times New Roman" w:cs="Times New Roman"/>
          <w:sz w:val="26"/>
          <w:szCs w:val="26"/>
          <w:lang w:eastAsia="lv-LV"/>
        </w:rPr>
        <w:t>Finanšu ministrs</w:t>
      </w:r>
      <w:r w:rsidRPr="00A26F14">
        <w:rPr>
          <w:rFonts w:ascii="Times New Roman" w:eastAsia="Times New Roman" w:hAnsi="Times New Roman" w:cs="Times New Roman"/>
          <w:sz w:val="26"/>
          <w:szCs w:val="26"/>
          <w:lang w:eastAsia="lv-LV"/>
        </w:rPr>
        <w:tab/>
        <w:t xml:space="preserve">                                                                                    J. Reirs</w:t>
      </w:r>
      <w:r w:rsidRPr="00A26F14">
        <w:rPr>
          <w:rFonts w:ascii="Times New Roman" w:eastAsia="Times New Roman" w:hAnsi="Times New Roman" w:cs="Times New Roman"/>
          <w:sz w:val="26"/>
          <w:szCs w:val="26"/>
          <w:lang w:eastAsia="lv-LV"/>
        </w:rPr>
        <w:tab/>
      </w:r>
      <w:r w:rsidRPr="00A26F14">
        <w:rPr>
          <w:rFonts w:ascii="Times New Roman" w:eastAsia="Times New Roman" w:hAnsi="Times New Roman" w:cs="Times New Roman"/>
          <w:sz w:val="26"/>
          <w:szCs w:val="26"/>
          <w:lang w:eastAsia="lv-LV"/>
        </w:rPr>
        <w:tab/>
      </w:r>
    </w:p>
    <w:p w:rsidR="00A26F14" w:rsidRPr="00A26F14" w:rsidRDefault="00A26F14" w:rsidP="00A26F14">
      <w:pPr>
        <w:spacing w:after="0" w:line="240" w:lineRule="auto"/>
        <w:ind w:left="57" w:right="57"/>
        <w:rPr>
          <w:rFonts w:ascii="Times New Roman" w:eastAsia="Times New Roman" w:hAnsi="Times New Roman" w:cs="Times New Roman"/>
          <w:sz w:val="24"/>
          <w:szCs w:val="24"/>
          <w:lang w:eastAsia="lv-LV"/>
        </w:rPr>
      </w:pPr>
    </w:p>
    <w:p w:rsidR="00A26F14" w:rsidRPr="00A26F14" w:rsidRDefault="00A26F14" w:rsidP="00A26F14">
      <w:pPr>
        <w:spacing w:after="0" w:line="240" w:lineRule="auto"/>
        <w:jc w:val="both"/>
        <w:rPr>
          <w:rFonts w:ascii="Times New Roman" w:eastAsia="Times New Roman" w:hAnsi="Times New Roman" w:cs="Times New Roman"/>
          <w:sz w:val="24"/>
          <w:szCs w:val="24"/>
        </w:rPr>
      </w:pPr>
    </w:p>
    <w:p w:rsidR="00A26F14" w:rsidRPr="00A26F14" w:rsidRDefault="005727A3" w:rsidP="00A26F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03.12</w:t>
      </w:r>
      <w:r w:rsidR="00A26F14" w:rsidRPr="00A26F14">
        <w:rPr>
          <w:rFonts w:ascii="Times New Roman" w:eastAsia="Times New Roman" w:hAnsi="Times New Roman" w:cs="Times New Roman"/>
          <w:sz w:val="20"/>
          <w:szCs w:val="20"/>
        </w:rPr>
        <w:t>.2015. 1</w:t>
      </w:r>
      <w:r>
        <w:rPr>
          <w:rFonts w:ascii="Times New Roman" w:eastAsia="Times New Roman" w:hAnsi="Times New Roman" w:cs="Times New Roman"/>
          <w:sz w:val="20"/>
          <w:szCs w:val="20"/>
        </w:rPr>
        <w:t>2</w:t>
      </w:r>
      <w:r w:rsidR="00A26F14" w:rsidRPr="00A26F14">
        <w:rPr>
          <w:rFonts w:ascii="Times New Roman" w:eastAsia="Times New Roman" w:hAnsi="Times New Roman" w:cs="Times New Roman"/>
          <w:sz w:val="20"/>
          <w:szCs w:val="20"/>
        </w:rPr>
        <w:t>:10</w:t>
      </w:r>
    </w:p>
    <w:p w:rsidR="00A26F14" w:rsidRPr="00A26F14" w:rsidRDefault="00A26F14" w:rsidP="00A26F14">
      <w:pPr>
        <w:spacing w:after="0" w:line="240" w:lineRule="auto"/>
        <w:jc w:val="both"/>
        <w:rPr>
          <w:rFonts w:ascii="Times New Roman" w:eastAsia="Times New Roman" w:hAnsi="Times New Roman" w:cs="Times New Roman"/>
          <w:sz w:val="20"/>
          <w:szCs w:val="20"/>
        </w:rPr>
      </w:pPr>
      <w:r w:rsidRPr="00A26F14">
        <w:rPr>
          <w:rFonts w:ascii="Times New Roman" w:eastAsia="Times New Roman" w:hAnsi="Times New Roman" w:cs="Times New Roman"/>
          <w:sz w:val="20"/>
          <w:szCs w:val="20"/>
        </w:rPr>
        <w:fldChar w:fldCharType="begin"/>
      </w:r>
      <w:r w:rsidRPr="00A26F14">
        <w:rPr>
          <w:rFonts w:ascii="Times New Roman" w:eastAsia="Times New Roman" w:hAnsi="Times New Roman" w:cs="Times New Roman"/>
          <w:sz w:val="20"/>
          <w:szCs w:val="20"/>
        </w:rPr>
        <w:instrText xml:space="preserve"> NUMWORDS   \* MERGEFORMAT </w:instrText>
      </w:r>
      <w:r w:rsidRPr="00A26F14">
        <w:rPr>
          <w:rFonts w:ascii="Times New Roman" w:eastAsia="Times New Roman" w:hAnsi="Times New Roman" w:cs="Times New Roman"/>
          <w:sz w:val="20"/>
          <w:szCs w:val="20"/>
        </w:rPr>
        <w:fldChar w:fldCharType="separate"/>
      </w:r>
      <w:r w:rsidR="005727A3">
        <w:rPr>
          <w:rFonts w:ascii="Times New Roman" w:eastAsia="Times New Roman" w:hAnsi="Times New Roman" w:cs="Times New Roman"/>
          <w:noProof/>
          <w:sz w:val="20"/>
          <w:szCs w:val="20"/>
        </w:rPr>
        <w:t>827</w:t>
      </w:r>
      <w:r w:rsidRPr="00A26F14">
        <w:rPr>
          <w:rFonts w:ascii="Times New Roman" w:eastAsia="Times New Roman" w:hAnsi="Times New Roman" w:cs="Times New Roman"/>
          <w:sz w:val="20"/>
          <w:szCs w:val="20"/>
        </w:rPr>
        <w:fldChar w:fldCharType="end"/>
      </w:r>
    </w:p>
    <w:p w:rsidR="00A26F14" w:rsidRPr="00A26F14" w:rsidRDefault="00A26F14" w:rsidP="00A26F14">
      <w:pPr>
        <w:spacing w:after="0" w:line="240" w:lineRule="auto"/>
        <w:jc w:val="both"/>
        <w:rPr>
          <w:rFonts w:ascii="Times New Roman" w:eastAsia="Times New Roman" w:hAnsi="Times New Roman" w:cs="Times New Roman"/>
          <w:sz w:val="20"/>
          <w:szCs w:val="20"/>
        </w:rPr>
      </w:pPr>
      <w:r w:rsidRPr="00A26F14">
        <w:rPr>
          <w:rFonts w:ascii="Times New Roman" w:eastAsia="Times New Roman" w:hAnsi="Times New Roman" w:cs="Times New Roman"/>
          <w:sz w:val="20"/>
          <w:szCs w:val="20"/>
        </w:rPr>
        <w:t>D. Stūrmanis</w:t>
      </w:r>
    </w:p>
    <w:p w:rsidR="00A26F14" w:rsidRPr="00A26F14" w:rsidRDefault="00A26F14" w:rsidP="00A26F14">
      <w:pPr>
        <w:spacing w:after="200" w:line="276" w:lineRule="auto"/>
      </w:pPr>
      <w:r w:rsidRPr="00A26F14">
        <w:rPr>
          <w:rFonts w:ascii="Times New Roman" w:eastAsia="Times New Roman" w:hAnsi="Times New Roman" w:cs="Times New Roman"/>
          <w:sz w:val="20"/>
          <w:szCs w:val="20"/>
        </w:rPr>
        <w:t>67083909; Dainis.Sturmanis@fm.gov.lv</w:t>
      </w:r>
      <w:r w:rsidRPr="00A26F14">
        <w:tab/>
      </w:r>
    </w:p>
    <w:p w:rsidR="00EF7FA1" w:rsidRDefault="00EF7FA1"/>
    <w:sectPr w:rsidR="00EF7FA1" w:rsidSect="00075FA5">
      <w:headerReference w:type="default" r:id="rId6"/>
      <w:pgSz w:w="11906" w:h="16838"/>
      <w:pgMar w:top="993"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AA" w:rsidRDefault="001E74AA" w:rsidP="00A26F14">
      <w:pPr>
        <w:spacing w:after="0" w:line="240" w:lineRule="auto"/>
      </w:pPr>
      <w:r>
        <w:separator/>
      </w:r>
    </w:p>
  </w:endnote>
  <w:endnote w:type="continuationSeparator" w:id="0">
    <w:p w:rsidR="001E74AA" w:rsidRDefault="001E74AA" w:rsidP="00A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AA" w:rsidRDefault="001E74AA" w:rsidP="00A26F14">
      <w:pPr>
        <w:spacing w:after="0" w:line="240" w:lineRule="auto"/>
      </w:pPr>
      <w:r>
        <w:separator/>
      </w:r>
    </w:p>
  </w:footnote>
  <w:footnote w:type="continuationSeparator" w:id="0">
    <w:p w:rsidR="001E74AA" w:rsidRDefault="001E74AA" w:rsidP="00A2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854662"/>
      <w:docPartObj>
        <w:docPartGallery w:val="Page Numbers (Top of Page)"/>
        <w:docPartUnique/>
      </w:docPartObj>
    </w:sdtPr>
    <w:sdtEndPr>
      <w:rPr>
        <w:rFonts w:ascii="Times New Roman" w:hAnsi="Times New Roman" w:cs="Times New Roman"/>
        <w:noProof/>
      </w:rPr>
    </w:sdtEndPr>
    <w:sdtContent>
      <w:p w:rsidR="00075FA5" w:rsidRPr="006807F6" w:rsidRDefault="00364240">
        <w:pPr>
          <w:pStyle w:val="Header"/>
          <w:jc w:val="center"/>
          <w:rPr>
            <w:rFonts w:ascii="Times New Roman" w:hAnsi="Times New Roman" w:cs="Times New Roman"/>
          </w:rPr>
        </w:pPr>
        <w:r w:rsidRPr="006807F6">
          <w:rPr>
            <w:rFonts w:ascii="Times New Roman" w:hAnsi="Times New Roman" w:cs="Times New Roman"/>
          </w:rPr>
          <w:fldChar w:fldCharType="begin"/>
        </w:r>
        <w:r w:rsidRPr="006807F6">
          <w:rPr>
            <w:rFonts w:ascii="Times New Roman" w:hAnsi="Times New Roman" w:cs="Times New Roman"/>
          </w:rPr>
          <w:instrText xml:space="preserve"> PAGE   \* MERGEFORMAT </w:instrText>
        </w:r>
        <w:r w:rsidRPr="006807F6">
          <w:rPr>
            <w:rFonts w:ascii="Times New Roman" w:hAnsi="Times New Roman" w:cs="Times New Roman"/>
          </w:rPr>
          <w:fldChar w:fldCharType="separate"/>
        </w:r>
        <w:r w:rsidR="00227BBA">
          <w:rPr>
            <w:rFonts w:ascii="Times New Roman" w:hAnsi="Times New Roman" w:cs="Times New Roman"/>
            <w:noProof/>
          </w:rPr>
          <w:t>4</w:t>
        </w:r>
        <w:r w:rsidRPr="006807F6">
          <w:rPr>
            <w:rFonts w:ascii="Times New Roman" w:hAnsi="Times New Roman" w:cs="Times New Roman"/>
            <w:noProof/>
          </w:rPr>
          <w:fldChar w:fldCharType="end"/>
        </w:r>
      </w:p>
    </w:sdtContent>
  </w:sdt>
  <w:p w:rsidR="00075FA5" w:rsidRDefault="001E7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14"/>
    <w:rsid w:val="000269FB"/>
    <w:rsid w:val="00106CF4"/>
    <w:rsid w:val="001C5A92"/>
    <w:rsid w:val="001E74AA"/>
    <w:rsid w:val="00227BBA"/>
    <w:rsid w:val="00364240"/>
    <w:rsid w:val="00542A94"/>
    <w:rsid w:val="005727A3"/>
    <w:rsid w:val="007477A2"/>
    <w:rsid w:val="00754388"/>
    <w:rsid w:val="00A26F14"/>
    <w:rsid w:val="00BF7C65"/>
    <w:rsid w:val="00EF7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24F1CF0-E8A5-4BA0-A774-C492E073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zskaitjums">
    <w:name w:val="Uzskaitījums"/>
    <w:basedOn w:val="Normal"/>
    <w:link w:val="UzskaitjumsChar"/>
    <w:autoRedefine/>
    <w:qFormat/>
    <w:rsid w:val="00754388"/>
    <w:pPr>
      <w:ind w:left="720"/>
      <w:jc w:val="both"/>
    </w:pPr>
    <w:rPr>
      <w:rFonts w:ascii="Times New Roman" w:hAnsi="Times New Roman" w:cs="Times New Roman"/>
      <w:sz w:val="24"/>
      <w:szCs w:val="24"/>
    </w:rPr>
  </w:style>
  <w:style w:type="character" w:customStyle="1" w:styleId="UzskaitjumsChar">
    <w:name w:val="Uzskaitījums Char"/>
    <w:basedOn w:val="DefaultParagraphFont"/>
    <w:link w:val="Uzskaitjums"/>
    <w:rsid w:val="00754388"/>
    <w:rPr>
      <w:rFonts w:ascii="Times New Roman" w:hAnsi="Times New Roman" w:cs="Times New Roman"/>
      <w:sz w:val="24"/>
      <w:szCs w:val="24"/>
    </w:rPr>
  </w:style>
  <w:style w:type="paragraph" w:styleId="NormalWeb">
    <w:name w:val="Normal (Web)"/>
    <w:basedOn w:val="Normal"/>
    <w:uiPriority w:val="99"/>
    <w:semiHidden/>
    <w:unhideWhenUsed/>
    <w:rsid w:val="00A26F14"/>
    <w:rPr>
      <w:rFonts w:ascii="Times New Roman" w:hAnsi="Times New Roman" w:cs="Times New Roman"/>
      <w:sz w:val="24"/>
      <w:szCs w:val="24"/>
    </w:rPr>
  </w:style>
  <w:style w:type="paragraph" w:styleId="Header">
    <w:name w:val="header"/>
    <w:basedOn w:val="Normal"/>
    <w:link w:val="HeaderChar"/>
    <w:uiPriority w:val="99"/>
    <w:unhideWhenUsed/>
    <w:rsid w:val="00A26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F14"/>
  </w:style>
  <w:style w:type="paragraph" w:styleId="Footer">
    <w:name w:val="footer"/>
    <w:basedOn w:val="Normal"/>
    <w:link w:val="FooterChar"/>
    <w:uiPriority w:val="99"/>
    <w:unhideWhenUsed/>
    <w:rsid w:val="00A26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4047</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finanšu līdzekļu piešķiršanu no valsts budžeta programmas “Līdzekļi neparedzētiem gadījumiem”” sākotnējās ietekmes novērtējuma ziņojums (anotācija)</dc:title>
  <dc:subject>Anotācija</dc:subject>
  <dc:creator>Dainis Stūrmanis</dc:creator>
  <cp:keywords/>
  <dc:description>67083909; Dainis.Sturmanis@fm.gov.lv</dc:description>
  <cp:lastModifiedBy>Finanšu ministrija</cp:lastModifiedBy>
  <cp:revision>5</cp:revision>
  <dcterms:created xsi:type="dcterms:W3CDTF">2015-12-03T11:01:00Z</dcterms:created>
  <dcterms:modified xsi:type="dcterms:W3CDTF">2015-12-04T14:42:00Z</dcterms:modified>
</cp:coreProperties>
</file>