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740C5" w14:textId="77777777" w:rsidR="003F5B00" w:rsidRDefault="003F5B00">
      <w:pPr>
        <w:pStyle w:val="H1"/>
        <w:tabs>
          <w:tab w:val="left" w:pos="8647"/>
        </w:tabs>
        <w:rPr>
          <w:sz w:val="28"/>
          <w:szCs w:val="40"/>
        </w:rPr>
      </w:pPr>
      <w:r>
        <w:rPr>
          <w:sz w:val="28"/>
          <w:szCs w:val="40"/>
        </w:rPr>
        <w:t>Informatīvais ziņojums</w:t>
      </w:r>
    </w:p>
    <w:p w14:paraId="548DE60E" w14:textId="09D2FF97" w:rsidR="00817FE6" w:rsidRDefault="000374FB" w:rsidP="0070120A">
      <w:pPr>
        <w:pStyle w:val="FootnoteText"/>
        <w:spacing w:before="120" w:after="0"/>
        <w:jc w:val="center"/>
        <w:rPr>
          <w:rFonts w:ascii="Times New Roman" w:hAnsi="Times New Roman"/>
          <w:b/>
          <w:szCs w:val="28"/>
        </w:rPr>
      </w:pPr>
      <w:r w:rsidRPr="0070120A">
        <w:rPr>
          <w:b/>
          <w:szCs w:val="28"/>
        </w:rPr>
        <w:t>„</w:t>
      </w:r>
      <w:r w:rsidRPr="0070120A">
        <w:rPr>
          <w:rFonts w:ascii="Times New Roman" w:hAnsi="Times New Roman"/>
          <w:b/>
          <w:szCs w:val="28"/>
        </w:rPr>
        <w:t>Par ziņojumā “Par Ekonomiskās un monetārās savienības izveides pabeigšanu" ("Piecu prezidentu ziņojums") ietvertajām konceptuālajām nostādnēm Eiropas Savienības turpmākās attīstības jautājumos”</w:t>
      </w:r>
    </w:p>
    <w:p w14:paraId="752C1D0F" w14:textId="77777777" w:rsidR="0070120A" w:rsidRPr="0070120A" w:rsidRDefault="0070120A" w:rsidP="0070120A">
      <w:pPr>
        <w:pStyle w:val="FootnoteText"/>
        <w:spacing w:before="120" w:after="0"/>
        <w:jc w:val="center"/>
        <w:rPr>
          <w:rFonts w:ascii="Times New Roman" w:hAnsi="Times New Roman"/>
          <w:b/>
          <w:szCs w:val="28"/>
        </w:rPr>
      </w:pPr>
    </w:p>
    <w:p w14:paraId="62BF8DD0" w14:textId="65049835" w:rsidR="001D5642" w:rsidRDefault="00C0243D" w:rsidP="00EB63F7">
      <w:pPr>
        <w:pStyle w:val="teksts"/>
        <w:ind w:firstLine="600"/>
        <w:rPr>
          <w:rFonts w:ascii="Times New Roman" w:hAnsi="Times New Roman"/>
          <w:szCs w:val="24"/>
        </w:rPr>
      </w:pPr>
      <w:r w:rsidRPr="0070120A">
        <w:rPr>
          <w:rFonts w:ascii="Times New Roman" w:hAnsi="Times New Roman"/>
          <w:szCs w:val="24"/>
        </w:rPr>
        <w:t xml:space="preserve">Informatīvais ziņojums </w:t>
      </w:r>
      <w:r w:rsidR="000374FB" w:rsidRPr="0070120A">
        <w:rPr>
          <w:rFonts w:ascii="Times New Roman" w:hAnsi="Times New Roman"/>
          <w:szCs w:val="24"/>
        </w:rPr>
        <w:t xml:space="preserve">„Par ziņojumā “Par Ekonomiskās un monetārās savienības izveides pabeigšanu" ("Piecu prezidentu ziņojums") ietvertajām konceptuālajām nostādnēm Eiropas Savienības turpmākās attīstības jautājumos” </w:t>
      </w:r>
      <w:r w:rsidR="00EB63F7" w:rsidRPr="0070120A">
        <w:rPr>
          <w:rFonts w:ascii="Times New Roman" w:hAnsi="Times New Roman"/>
          <w:szCs w:val="24"/>
        </w:rPr>
        <w:t>ir materiāls, kas sagatavots Ministru kabineta locekļu informēšanai par 2015. gada 22. jūnijā publicēto</w:t>
      </w:r>
      <w:r w:rsidR="0070120A" w:rsidRPr="0070120A">
        <w:rPr>
          <w:rFonts w:ascii="Times New Roman" w:hAnsi="Times New Roman"/>
          <w:szCs w:val="24"/>
        </w:rPr>
        <w:t xml:space="preserve"> ziņojumu “Par Ekonomiskās un monetārās savienības izveides pabeigšanu" ("Piecu prezidentu ziņojums")</w:t>
      </w:r>
      <w:r w:rsidR="00EB63F7" w:rsidRPr="0070120A">
        <w:rPr>
          <w:rFonts w:ascii="Times New Roman" w:hAnsi="Times New Roman"/>
          <w:szCs w:val="24"/>
        </w:rPr>
        <w:t>.</w:t>
      </w:r>
      <w:r w:rsidR="0070120A">
        <w:rPr>
          <w:rFonts w:ascii="Times New Roman" w:hAnsi="Times New Roman"/>
          <w:szCs w:val="24"/>
        </w:rPr>
        <w:t xml:space="preserve"> </w:t>
      </w:r>
      <w:r w:rsidR="00EB63F7" w:rsidRPr="0070120A">
        <w:rPr>
          <w:rFonts w:ascii="Times New Roman" w:hAnsi="Times New Roman"/>
          <w:szCs w:val="24"/>
        </w:rPr>
        <w:t>Ziņojumu sagatavoja Eiropas Komisijas (EK) priekšsēdētājs Ž. K. Junkers ciešā sadarbībā ar Eiropadomes priekšsēdētāju D. Tusku, Eirogrupas priekšsēdētāju J. Deiselblūmu, Eiropas Centrālās bankas priekšsēdētāju M. Dragi un Eiropas Parlamenta priekšsēdētāju M. Šulcu. Ziņojums iekļauj virkni plānoto pasākumu, kuriem būtu jāstiprina eirozonas pārvaldība tuvākajā un vidējā termiņā, kā arī ilgtermiņā</w:t>
      </w:r>
      <w:r w:rsidR="00EB63F7" w:rsidRPr="00EB63F7">
        <w:rPr>
          <w:rFonts w:ascii="Times New Roman" w:hAnsi="Times New Roman"/>
          <w:szCs w:val="24"/>
        </w:rPr>
        <w:t xml:space="preserve"> līdz 2025. gadam. </w:t>
      </w:r>
    </w:p>
    <w:p w14:paraId="69B03F86" w14:textId="29F46372" w:rsidR="001D5642" w:rsidRDefault="00EB63F7" w:rsidP="00EB63F7">
      <w:pPr>
        <w:pStyle w:val="teksts"/>
        <w:ind w:firstLine="600"/>
        <w:rPr>
          <w:rFonts w:ascii="Times New Roman" w:hAnsi="Times New Roman"/>
          <w:szCs w:val="24"/>
        </w:rPr>
      </w:pPr>
      <w:r w:rsidRPr="00EB63F7">
        <w:rPr>
          <w:rFonts w:ascii="Times New Roman" w:hAnsi="Times New Roman"/>
          <w:szCs w:val="24"/>
        </w:rPr>
        <w:t>Tūlītējie pasākumi iekļauj tiesisko un institucionālo stiprināšanu četros virzienos: Ekonomiskās Savienības, Finanšu Savienības, Fiskālās savienības un Demokrātiskās atbildības, leģitimitātes un institucionālā spēcināšana. Tie iekļauj pasākumus, kas</w:t>
      </w:r>
      <w:r w:rsidR="0070120A">
        <w:rPr>
          <w:rFonts w:ascii="Times New Roman" w:hAnsi="Times New Roman"/>
          <w:szCs w:val="24"/>
        </w:rPr>
        <w:t xml:space="preserve"> veicami laika posmā līdz 2017. </w:t>
      </w:r>
      <w:r w:rsidRPr="00EB63F7">
        <w:rPr>
          <w:rFonts w:ascii="Times New Roman" w:hAnsi="Times New Roman"/>
          <w:szCs w:val="24"/>
        </w:rPr>
        <w:t xml:space="preserve">gada 30. jūnijam. Ekonomiskās savienības labā šajā posmā ir jāveic Konkurētspējas pārvalžu (padomju) </w:t>
      </w:r>
      <w:r w:rsidRPr="001D5642">
        <w:rPr>
          <w:rFonts w:ascii="Times New Roman" w:hAnsi="Times New Roman"/>
          <w:i/>
          <w:szCs w:val="24"/>
        </w:rPr>
        <w:t xml:space="preserve">(Competitiveness Authorities) </w:t>
      </w:r>
      <w:r w:rsidRPr="00EB63F7">
        <w:rPr>
          <w:rFonts w:ascii="Times New Roman" w:hAnsi="Times New Roman"/>
          <w:szCs w:val="24"/>
        </w:rPr>
        <w:t xml:space="preserve">izveidošanu, makroekonomiskās sabalansētības procedūru un Eiropas semestra spēcināšanu, ar uzsvaru uz nodarbinātību un sociālajiem aspektiem. Finanšu Savienības veidošanā ir jāpabeidz Banku savienības izveide (SRF, ESM papildināšana, kopējā Noguldījumu garantiju shēma), Kapitāla tirgu savienības izveide un Eiropas sistēmiskā riska padomes </w:t>
      </w:r>
      <w:r w:rsidRPr="001D5642">
        <w:rPr>
          <w:rFonts w:ascii="Times New Roman" w:hAnsi="Times New Roman"/>
          <w:i/>
          <w:szCs w:val="24"/>
        </w:rPr>
        <w:t xml:space="preserve">(European Systemic Risk Board) </w:t>
      </w:r>
      <w:r w:rsidRPr="00EB63F7">
        <w:rPr>
          <w:rFonts w:ascii="Times New Roman" w:hAnsi="Times New Roman"/>
          <w:szCs w:val="24"/>
        </w:rPr>
        <w:t xml:space="preserve">spēcināšana. Fiskālās Savienības virzienā ir plānota Eiropas Fiskālās padomes izveidošana, kas neatkarīgi konsultētu par nacionālo budžetu un to izpildes ietekmi uz ES līmeni. Visbeidzot Demokrātiskās pārraudzības spēcināšanai iekļauj Eiropas semestra procesa sadalīšanu divos etapos un nacionālā līmeņa diskusiju spēcināšanu, tostarp lielākas parlamentārās iesaistes nodrošināšanu, eirogrupas vadības un ārējās pārstāvniecības spēcināšana. </w:t>
      </w:r>
    </w:p>
    <w:p w14:paraId="2981E527" w14:textId="77777777" w:rsidR="00EB63F7" w:rsidRPr="00EB63F7" w:rsidRDefault="00EB63F7" w:rsidP="00EB63F7">
      <w:pPr>
        <w:pStyle w:val="teksts"/>
        <w:ind w:firstLine="600"/>
        <w:rPr>
          <w:rFonts w:ascii="Times New Roman" w:hAnsi="Times New Roman"/>
          <w:szCs w:val="24"/>
        </w:rPr>
      </w:pPr>
      <w:r w:rsidRPr="00EB63F7">
        <w:rPr>
          <w:rFonts w:ascii="Times New Roman" w:hAnsi="Times New Roman"/>
          <w:szCs w:val="24"/>
        </w:rPr>
        <w:t>Tālākie procesi tiks sadalīti divos posmos: 1. fāze no šī brīža apmēram 2 gadi risinās to, ko var izdarīt esošo līgumu ietvaros, uzlabojot un pilnībā ieviešot visus mehānismus un sekundāros tiesību aktus; 2. fāzē jau reformas ietu tālāk, izvērtējot papildus juridisku mehānismu nepieciešamību – protokoli, līguma grozījumi u.tml., tostarp eirozonas makroekonomiskās stabilizēšanas funkciju radīšana un konverģences procesa paradīšana par juridiski saistošu.</w:t>
      </w:r>
    </w:p>
    <w:p w14:paraId="7740CB1A" w14:textId="77777777" w:rsidR="003F5B00" w:rsidRPr="00EB63F7" w:rsidRDefault="003F5B00" w:rsidP="003F5B00">
      <w:pPr>
        <w:rPr>
          <w:bCs/>
          <w:sz w:val="24"/>
          <w:szCs w:val="24"/>
        </w:rPr>
      </w:pPr>
      <w:r w:rsidRPr="00EB63F7">
        <w:rPr>
          <w:sz w:val="24"/>
          <w:szCs w:val="24"/>
        </w:rPr>
        <w:t xml:space="preserve">Uz </w:t>
      </w:r>
      <w:r w:rsidR="001D5642">
        <w:rPr>
          <w:sz w:val="24"/>
          <w:szCs w:val="24"/>
        </w:rPr>
        <w:t>šī dokumenta</w:t>
      </w:r>
      <w:r w:rsidRPr="00EB63F7">
        <w:rPr>
          <w:sz w:val="24"/>
          <w:szCs w:val="24"/>
        </w:rPr>
        <w:t xml:space="preserve"> pamata ir notikušas diskusijas Ekonomikas un finanšu lietu padomē, </w:t>
      </w:r>
      <w:r w:rsidR="005A664E">
        <w:rPr>
          <w:sz w:val="24"/>
          <w:szCs w:val="24"/>
        </w:rPr>
        <w:t xml:space="preserve">kā arī atsevišķi bijušas sarunas </w:t>
      </w:r>
      <w:r w:rsidRPr="00EB63F7">
        <w:rPr>
          <w:sz w:val="24"/>
          <w:szCs w:val="24"/>
        </w:rPr>
        <w:t>Vispārējo lietu padom</w:t>
      </w:r>
      <w:r w:rsidR="005A664E">
        <w:rPr>
          <w:sz w:val="24"/>
          <w:szCs w:val="24"/>
        </w:rPr>
        <w:t>es</w:t>
      </w:r>
      <w:r w:rsidRPr="00EB63F7">
        <w:rPr>
          <w:sz w:val="24"/>
          <w:szCs w:val="24"/>
        </w:rPr>
        <w:t xml:space="preserve"> un Nodarbinātības, sociālās politikas, veselības un patērētāju tiesību aizsardzības padom</w:t>
      </w:r>
      <w:r w:rsidR="005A664E">
        <w:rPr>
          <w:sz w:val="24"/>
          <w:szCs w:val="24"/>
        </w:rPr>
        <w:t>es sastāvos</w:t>
      </w:r>
      <w:r w:rsidR="001D5642">
        <w:rPr>
          <w:sz w:val="24"/>
          <w:szCs w:val="24"/>
        </w:rPr>
        <w:t xml:space="preserve">. </w:t>
      </w:r>
      <w:r w:rsidRPr="00EB63F7">
        <w:rPr>
          <w:sz w:val="24"/>
          <w:szCs w:val="24"/>
        </w:rPr>
        <w:t xml:space="preserve">2015. gada 21. oktobrī Eiropas Komisija publicēja </w:t>
      </w:r>
      <w:r w:rsidRPr="00EB63F7">
        <w:rPr>
          <w:bCs/>
          <w:sz w:val="24"/>
          <w:szCs w:val="24"/>
        </w:rPr>
        <w:t xml:space="preserve">konkrētus dokumentus: </w:t>
      </w:r>
    </w:p>
    <w:p w14:paraId="0BBC9EA8" w14:textId="77777777" w:rsidR="003F5B00" w:rsidRPr="00EB63F7" w:rsidRDefault="003F5B00" w:rsidP="001D5642">
      <w:pPr>
        <w:pStyle w:val="ListParagraph"/>
        <w:numPr>
          <w:ilvl w:val="0"/>
          <w:numId w:val="43"/>
        </w:numPr>
        <w:jc w:val="both"/>
        <w:rPr>
          <w:rFonts w:ascii="Times New Roman" w:hAnsi="Times New Roman"/>
          <w:bCs/>
          <w:sz w:val="24"/>
          <w:szCs w:val="24"/>
        </w:rPr>
      </w:pPr>
      <w:r w:rsidRPr="00EB63F7">
        <w:rPr>
          <w:rFonts w:ascii="Times New Roman" w:hAnsi="Times New Roman"/>
          <w:bCs/>
          <w:sz w:val="24"/>
          <w:szCs w:val="24"/>
        </w:rPr>
        <w:t xml:space="preserve">Eiropas Komisijas komunikāciju Eiropas Parlamentam, Padomei un Centrālajai bankai “Par soļiem Ekonomikas un Monetārās savienības pabeigšanā”; </w:t>
      </w:r>
    </w:p>
    <w:p w14:paraId="5E1F5065" w14:textId="4964C4FE" w:rsidR="003F5B00" w:rsidRPr="00EB63F7" w:rsidRDefault="003F5B00" w:rsidP="001D5642">
      <w:pPr>
        <w:pStyle w:val="ListParagraph"/>
        <w:numPr>
          <w:ilvl w:val="0"/>
          <w:numId w:val="43"/>
        </w:numPr>
        <w:jc w:val="both"/>
        <w:rPr>
          <w:rFonts w:ascii="Times New Roman" w:hAnsi="Times New Roman"/>
          <w:bCs/>
          <w:sz w:val="24"/>
          <w:szCs w:val="24"/>
        </w:rPr>
      </w:pPr>
      <w:r w:rsidRPr="00EB63F7">
        <w:rPr>
          <w:rFonts w:ascii="Times New Roman" w:hAnsi="Times New Roman"/>
          <w:bCs/>
          <w:sz w:val="24"/>
          <w:szCs w:val="24"/>
        </w:rPr>
        <w:t>Eiropas Komisijas komunikāciju Eiropas Parlamentam, Padomei un Centrālajai bankai “Par ceļa karti konsistentākai e</w:t>
      </w:r>
      <w:r w:rsidR="0070120A">
        <w:rPr>
          <w:rFonts w:ascii="Times New Roman" w:hAnsi="Times New Roman"/>
          <w:bCs/>
          <w:sz w:val="24"/>
          <w:szCs w:val="24"/>
        </w:rPr>
        <w:t>i</w:t>
      </w:r>
      <w:r w:rsidRPr="00EB63F7">
        <w:rPr>
          <w:rFonts w:ascii="Times New Roman" w:hAnsi="Times New Roman"/>
          <w:bCs/>
          <w:sz w:val="24"/>
          <w:szCs w:val="24"/>
        </w:rPr>
        <w:t xml:space="preserve">rozonas pārstāvībai starptautiskā arēnā”; </w:t>
      </w:r>
    </w:p>
    <w:p w14:paraId="725C29D3" w14:textId="77777777" w:rsidR="003F5B00" w:rsidRPr="00EB63F7" w:rsidRDefault="003F5B00" w:rsidP="001D5642">
      <w:pPr>
        <w:pStyle w:val="ListParagraph"/>
        <w:numPr>
          <w:ilvl w:val="0"/>
          <w:numId w:val="43"/>
        </w:numPr>
        <w:jc w:val="both"/>
        <w:rPr>
          <w:rFonts w:ascii="Times New Roman" w:hAnsi="Times New Roman"/>
          <w:bCs/>
          <w:sz w:val="24"/>
          <w:szCs w:val="24"/>
        </w:rPr>
      </w:pPr>
      <w:r w:rsidRPr="00EB63F7">
        <w:rPr>
          <w:rFonts w:ascii="Times New Roman" w:hAnsi="Times New Roman"/>
          <w:bCs/>
          <w:sz w:val="24"/>
          <w:szCs w:val="24"/>
        </w:rPr>
        <w:t>Eiropas Komisijas lēmumu “Par neatkarīga padomdevēja Fiskālās padomes izveidošanu”;</w:t>
      </w:r>
    </w:p>
    <w:p w14:paraId="54BD7C83" w14:textId="01B09C6C" w:rsidR="001D5642" w:rsidRPr="001D5642" w:rsidRDefault="003F5B00" w:rsidP="001D5642">
      <w:pPr>
        <w:pStyle w:val="ListParagraph"/>
        <w:numPr>
          <w:ilvl w:val="0"/>
          <w:numId w:val="43"/>
        </w:numPr>
        <w:jc w:val="both"/>
        <w:rPr>
          <w:rFonts w:ascii="Times New Roman" w:hAnsi="Times New Roman"/>
          <w:sz w:val="24"/>
          <w:szCs w:val="24"/>
        </w:rPr>
      </w:pPr>
      <w:r w:rsidRPr="001D5642">
        <w:rPr>
          <w:rFonts w:ascii="Times New Roman" w:hAnsi="Times New Roman"/>
          <w:bCs/>
          <w:sz w:val="24"/>
          <w:szCs w:val="24"/>
        </w:rPr>
        <w:t>Eiropas Komisijas rekomendāciju Padomes rekomendācijai par “Konkurētspējas padomju izveidošanu e</w:t>
      </w:r>
      <w:r w:rsidR="0070120A">
        <w:rPr>
          <w:rFonts w:ascii="Times New Roman" w:hAnsi="Times New Roman"/>
          <w:bCs/>
          <w:sz w:val="24"/>
          <w:szCs w:val="24"/>
        </w:rPr>
        <w:t>i</w:t>
      </w:r>
      <w:r w:rsidRPr="001D5642">
        <w:rPr>
          <w:rFonts w:ascii="Times New Roman" w:hAnsi="Times New Roman"/>
          <w:bCs/>
          <w:sz w:val="24"/>
          <w:szCs w:val="24"/>
        </w:rPr>
        <w:t>rozonā”;</w:t>
      </w:r>
    </w:p>
    <w:p w14:paraId="045E86FC" w14:textId="5B393492" w:rsidR="00150DBC" w:rsidRPr="001D5642" w:rsidRDefault="003F5B00" w:rsidP="001D5642">
      <w:pPr>
        <w:pStyle w:val="ListParagraph"/>
        <w:numPr>
          <w:ilvl w:val="0"/>
          <w:numId w:val="43"/>
        </w:numPr>
        <w:jc w:val="both"/>
        <w:rPr>
          <w:rFonts w:ascii="Times New Roman" w:hAnsi="Times New Roman"/>
          <w:sz w:val="24"/>
          <w:szCs w:val="24"/>
        </w:rPr>
      </w:pPr>
      <w:r w:rsidRPr="001D5642">
        <w:rPr>
          <w:rFonts w:ascii="Times New Roman" w:hAnsi="Times New Roman"/>
          <w:bCs/>
          <w:sz w:val="24"/>
          <w:szCs w:val="24"/>
        </w:rPr>
        <w:t>Eiropas Komisijas priekšlikums Padomes lēmumam, ar ko “Nosaka pasākumus ar mērķi progresīvi ieviest vienotu e</w:t>
      </w:r>
      <w:r w:rsidR="0070120A">
        <w:rPr>
          <w:rFonts w:ascii="Times New Roman" w:hAnsi="Times New Roman"/>
          <w:bCs/>
          <w:sz w:val="24"/>
          <w:szCs w:val="24"/>
        </w:rPr>
        <w:t>i</w:t>
      </w:r>
      <w:r w:rsidRPr="001D5642">
        <w:rPr>
          <w:rFonts w:ascii="Times New Roman" w:hAnsi="Times New Roman"/>
          <w:bCs/>
          <w:sz w:val="24"/>
          <w:szCs w:val="24"/>
        </w:rPr>
        <w:t>rozonas pārstāvību Starptautiskajā Valūtas fondā”</w:t>
      </w:r>
    </w:p>
    <w:p w14:paraId="396D1969" w14:textId="42468F08" w:rsidR="00B578BC" w:rsidRDefault="005A664E" w:rsidP="005A664E">
      <w:pPr>
        <w:pStyle w:val="Header"/>
        <w:tabs>
          <w:tab w:val="left" w:pos="720"/>
        </w:tabs>
        <w:rPr>
          <w:rFonts w:eastAsia="Calibri"/>
          <w:szCs w:val="24"/>
        </w:rPr>
      </w:pPr>
      <w:r w:rsidRPr="005A664E">
        <w:rPr>
          <w:szCs w:val="24"/>
        </w:rPr>
        <w:t>Uz šo dokumentu pamata politiskā līmenī diskusijas norisinājās 10. novembra Ekonomikas un finanšu lietu padomē, kur dal</w:t>
      </w:r>
      <w:bookmarkStart w:id="0" w:name="_GoBack"/>
      <w:bookmarkEnd w:id="0"/>
      <w:r w:rsidRPr="005A664E">
        <w:rPr>
          <w:szCs w:val="24"/>
        </w:rPr>
        <w:t>ībvalstis pauda</w:t>
      </w:r>
      <w:r w:rsidR="0070120A">
        <w:rPr>
          <w:szCs w:val="24"/>
        </w:rPr>
        <w:t xml:space="preserve"> visnotaļ</w:t>
      </w:r>
      <w:r w:rsidRPr="005A664E">
        <w:rPr>
          <w:szCs w:val="24"/>
        </w:rPr>
        <w:t xml:space="preserve"> līdzīgus viedokļus. </w:t>
      </w:r>
      <w:r w:rsidRPr="005A664E">
        <w:rPr>
          <w:bCs/>
          <w:szCs w:val="24"/>
        </w:rPr>
        <w:t xml:space="preserve">Kopumā dalībvalstis uzskata, ka jāpievērš uzmanība esošo instrumentu un norunu ieviešanai. </w:t>
      </w:r>
      <w:r w:rsidRPr="005A664E">
        <w:rPr>
          <w:rFonts w:eastAsia="Calibri"/>
          <w:szCs w:val="24"/>
          <w:shd w:val="clear" w:color="auto" w:fill="FFFFFF"/>
          <w:lang w:eastAsia="en-US"/>
        </w:rPr>
        <w:t xml:space="preserve">Uzsvars uz strukturālajām reformām un nepieciešamībai pēc tās veicinošiem pasākumiem - </w:t>
      </w:r>
      <w:r w:rsidRPr="005A664E">
        <w:rPr>
          <w:rFonts w:eastAsia="Calibri"/>
          <w:szCs w:val="24"/>
        </w:rPr>
        <w:t xml:space="preserve">atbalsta Eiropas Semestra spēcināšanu un ekonomiskās pārvaldības instrumentu </w:t>
      </w:r>
      <w:r>
        <w:rPr>
          <w:rFonts w:eastAsia="Calibri"/>
          <w:szCs w:val="24"/>
        </w:rPr>
        <w:t>sakārtošanu</w:t>
      </w:r>
      <w:r w:rsidRPr="005A664E">
        <w:rPr>
          <w:rFonts w:eastAsia="Calibri"/>
          <w:szCs w:val="24"/>
        </w:rPr>
        <w:t xml:space="preserve">, lai nodrošinātu skaidrākas, caurspīdīgākas un </w:t>
      </w:r>
      <w:r w:rsidRPr="005A664E">
        <w:rPr>
          <w:rFonts w:eastAsia="Calibri"/>
          <w:szCs w:val="24"/>
        </w:rPr>
        <w:lastRenderedPageBreak/>
        <w:t>saprotamākas prasības dalībvalstīm. Attiecībā uz Nacionālo konkurētspējas pārvalžu veidošanu lielākā daļa dalībvalstu pau</w:t>
      </w:r>
      <w:r>
        <w:rPr>
          <w:rFonts w:eastAsia="Calibri"/>
          <w:szCs w:val="24"/>
        </w:rPr>
        <w:t>ž</w:t>
      </w:r>
      <w:r w:rsidRPr="005A664E">
        <w:rPr>
          <w:rFonts w:eastAsia="Calibri"/>
          <w:szCs w:val="24"/>
        </w:rPr>
        <w:t xml:space="preserve"> savu skepsi un kritiku par šo iestāžu nepieciešamību, demokrātiskās leģitimitātes aspektu, negatīvas konkurences starp ES dalībvalstīm veicināšanas aspektu. </w:t>
      </w:r>
      <w:r>
        <w:rPr>
          <w:rFonts w:eastAsia="Calibri"/>
          <w:szCs w:val="24"/>
        </w:rPr>
        <w:t xml:space="preserve">Eiropas </w:t>
      </w:r>
      <w:r w:rsidRPr="005A664E">
        <w:rPr>
          <w:rFonts w:eastAsia="Calibri"/>
          <w:szCs w:val="24"/>
        </w:rPr>
        <w:t xml:space="preserve">Komisija </w:t>
      </w:r>
      <w:r>
        <w:rPr>
          <w:rFonts w:eastAsia="Calibri"/>
          <w:szCs w:val="24"/>
        </w:rPr>
        <w:t xml:space="preserve">šobrīd šo saredz kā </w:t>
      </w:r>
      <w:r w:rsidRPr="005A664E">
        <w:rPr>
          <w:rFonts w:eastAsia="Calibri"/>
          <w:szCs w:val="24"/>
        </w:rPr>
        <w:t xml:space="preserve">rekomendāciju. Eiropas Fiskālā padome </w:t>
      </w:r>
      <w:r>
        <w:rPr>
          <w:rFonts w:eastAsia="Calibri"/>
          <w:szCs w:val="24"/>
        </w:rPr>
        <w:t xml:space="preserve">ir </w:t>
      </w:r>
      <w:r w:rsidRPr="005A664E">
        <w:rPr>
          <w:rFonts w:eastAsia="Calibri"/>
          <w:szCs w:val="24"/>
        </w:rPr>
        <w:t xml:space="preserve">kritizēta no dalībvalstu puses, </w:t>
      </w:r>
      <w:r>
        <w:rPr>
          <w:rFonts w:eastAsia="Calibri"/>
          <w:szCs w:val="24"/>
        </w:rPr>
        <w:t>jo tā netika izveidota kā</w:t>
      </w:r>
      <w:r w:rsidR="00FD15CF">
        <w:rPr>
          <w:rFonts w:eastAsia="Calibri"/>
          <w:szCs w:val="24"/>
        </w:rPr>
        <w:t xml:space="preserve"> pilnībā</w:t>
      </w:r>
      <w:r>
        <w:rPr>
          <w:rFonts w:eastAsia="Calibri"/>
          <w:szCs w:val="24"/>
        </w:rPr>
        <w:t xml:space="preserve"> neatkarīga </w:t>
      </w:r>
      <w:r w:rsidR="0067655D">
        <w:rPr>
          <w:rFonts w:eastAsia="Calibri"/>
          <w:szCs w:val="24"/>
        </w:rPr>
        <w:t>institūcija</w:t>
      </w:r>
      <w:r>
        <w:rPr>
          <w:rFonts w:eastAsia="Calibri"/>
          <w:szCs w:val="24"/>
        </w:rPr>
        <w:t xml:space="preserve">. </w:t>
      </w:r>
      <w:r w:rsidR="00FD15CF">
        <w:rPr>
          <w:rFonts w:eastAsia="Calibri"/>
          <w:szCs w:val="24"/>
        </w:rPr>
        <w:t xml:space="preserve">Eiropas Komisija uzsver, ka </w:t>
      </w:r>
      <w:r w:rsidR="00FD15CF" w:rsidRPr="005A664E">
        <w:rPr>
          <w:rFonts w:eastAsia="Calibri"/>
          <w:szCs w:val="24"/>
        </w:rPr>
        <w:t>Eiropas Fiskālā</w:t>
      </w:r>
      <w:r w:rsidR="00DE5850">
        <w:rPr>
          <w:rFonts w:eastAsia="Calibri"/>
          <w:szCs w:val="24"/>
        </w:rPr>
        <w:t>s</w:t>
      </w:r>
      <w:r w:rsidR="00FD15CF" w:rsidRPr="005A664E">
        <w:rPr>
          <w:rFonts w:eastAsia="Calibri"/>
          <w:szCs w:val="24"/>
        </w:rPr>
        <w:t xml:space="preserve"> padome</w:t>
      </w:r>
      <w:r w:rsidR="00FD15CF">
        <w:rPr>
          <w:rFonts w:eastAsia="Calibri"/>
          <w:szCs w:val="24"/>
        </w:rPr>
        <w:t xml:space="preserve">s centrālais uzdevums ir </w:t>
      </w:r>
      <w:r w:rsidRPr="005A664E">
        <w:rPr>
          <w:rFonts w:eastAsia="Calibri"/>
          <w:szCs w:val="24"/>
        </w:rPr>
        <w:t xml:space="preserve">fiskālo noteikumu ievērošanas </w:t>
      </w:r>
      <w:r w:rsidR="00DE5850">
        <w:rPr>
          <w:rFonts w:eastAsia="Calibri"/>
          <w:szCs w:val="24"/>
        </w:rPr>
        <w:t>uzraudzīšana un</w:t>
      </w:r>
      <w:r w:rsidRPr="005A664E">
        <w:rPr>
          <w:rFonts w:eastAsia="Calibri"/>
          <w:szCs w:val="24"/>
        </w:rPr>
        <w:t xml:space="preserve"> </w:t>
      </w:r>
      <w:r w:rsidR="00DE5850">
        <w:rPr>
          <w:rFonts w:eastAsia="Calibri"/>
          <w:szCs w:val="24"/>
        </w:rPr>
        <w:t>sadarbība</w:t>
      </w:r>
      <w:r w:rsidRPr="005A664E">
        <w:rPr>
          <w:rFonts w:eastAsia="Calibri"/>
          <w:szCs w:val="24"/>
        </w:rPr>
        <w:t xml:space="preserve"> ar nacionālajām fiskālajām padomēm. EFP b</w:t>
      </w:r>
      <w:r w:rsidR="0070120A">
        <w:rPr>
          <w:rFonts w:eastAsia="Calibri"/>
          <w:szCs w:val="24"/>
        </w:rPr>
        <w:t>ūšot neatkarīga un sastāvēs no pieciem</w:t>
      </w:r>
      <w:r w:rsidRPr="005A664E">
        <w:rPr>
          <w:rFonts w:eastAsia="Calibri"/>
          <w:szCs w:val="24"/>
        </w:rPr>
        <w:t xml:space="preserve"> atzītiem ekspertiem no akadēmiskā un privātā sektora. </w:t>
      </w:r>
      <w:r w:rsidR="00DE5850">
        <w:rPr>
          <w:rFonts w:eastAsia="Calibri"/>
          <w:szCs w:val="24"/>
        </w:rPr>
        <w:t xml:space="preserve">Arī attiecībā uz </w:t>
      </w:r>
      <w:r w:rsidRPr="00DE5850">
        <w:rPr>
          <w:rFonts w:eastAsia="Calibri"/>
          <w:szCs w:val="24"/>
        </w:rPr>
        <w:t>Eirozonas ārēj</w:t>
      </w:r>
      <w:r w:rsidR="00DE5850" w:rsidRPr="00DE5850">
        <w:rPr>
          <w:rFonts w:eastAsia="Calibri"/>
          <w:szCs w:val="24"/>
        </w:rPr>
        <w:t>o</w:t>
      </w:r>
      <w:r w:rsidRPr="00DE5850">
        <w:rPr>
          <w:rFonts w:eastAsia="Calibri"/>
          <w:szCs w:val="24"/>
        </w:rPr>
        <w:t xml:space="preserve"> pārstāvīb</w:t>
      </w:r>
      <w:r w:rsidR="00DE5850" w:rsidRPr="00DE5850">
        <w:rPr>
          <w:rFonts w:eastAsia="Calibri"/>
          <w:szCs w:val="24"/>
        </w:rPr>
        <w:t>u</w:t>
      </w:r>
      <w:r w:rsidRPr="005A664E">
        <w:rPr>
          <w:rFonts w:eastAsia="Calibri"/>
          <w:szCs w:val="24"/>
        </w:rPr>
        <w:t xml:space="preserve"> </w:t>
      </w:r>
      <w:r w:rsidR="00DE5850">
        <w:rPr>
          <w:rFonts w:eastAsia="Calibri"/>
          <w:szCs w:val="24"/>
        </w:rPr>
        <w:t>dalībvalstis ir piesardzīgas. Eiropas Komisija uzsver, ka līdz</w:t>
      </w:r>
      <w:r w:rsidRPr="005A664E">
        <w:rPr>
          <w:rFonts w:eastAsia="Calibri"/>
          <w:szCs w:val="24"/>
        </w:rPr>
        <w:t xml:space="preserve"> 2025. gadam jāvirzās tuvāk kopējai eirozonas reprezentācijai un vienlaicīgi jāstiprina koordinācija arī ar</w:t>
      </w:r>
      <w:r w:rsidR="00DE5850">
        <w:rPr>
          <w:rFonts w:eastAsia="Calibri"/>
          <w:szCs w:val="24"/>
        </w:rPr>
        <w:t xml:space="preserve"> un starp ne-eirozonas valstīm, kamēr valstis, atbalstot labāku koordināciju, izteica bažas par esošo pārstāvības grupu izmaiņām. </w:t>
      </w:r>
    </w:p>
    <w:p w14:paraId="29749CE6" w14:textId="77777777" w:rsidR="00DE5850" w:rsidRDefault="00DE5850" w:rsidP="005A664E">
      <w:pPr>
        <w:pStyle w:val="Header"/>
        <w:tabs>
          <w:tab w:val="left" w:pos="720"/>
        </w:tabs>
        <w:rPr>
          <w:rFonts w:eastAsia="Calibri"/>
          <w:szCs w:val="24"/>
        </w:rPr>
      </w:pPr>
    </w:p>
    <w:p w14:paraId="79B3EF87" w14:textId="6BDB3829" w:rsidR="00DE5850" w:rsidRDefault="00DE5850" w:rsidP="005A664E">
      <w:pPr>
        <w:pStyle w:val="Header"/>
        <w:tabs>
          <w:tab w:val="left" w:pos="720"/>
        </w:tabs>
        <w:rPr>
          <w:rFonts w:eastAsia="Calibri"/>
          <w:szCs w:val="24"/>
        </w:rPr>
      </w:pPr>
      <w:r>
        <w:rPr>
          <w:rFonts w:eastAsia="Calibri"/>
          <w:szCs w:val="24"/>
        </w:rPr>
        <w:t xml:space="preserve">Nākamās diskusijas politiskā līmenī par Piecu prezidentu ziņojumu ir plānotas 2015. gada </w:t>
      </w:r>
      <w:r w:rsidR="0070120A">
        <w:rPr>
          <w:rFonts w:eastAsia="Calibri"/>
          <w:szCs w:val="24"/>
        </w:rPr>
        <w:t>17.-18. </w:t>
      </w:r>
      <w:r>
        <w:rPr>
          <w:rFonts w:eastAsia="Calibri"/>
          <w:szCs w:val="24"/>
        </w:rPr>
        <w:t xml:space="preserve">decembra Eiropadomē. </w:t>
      </w:r>
    </w:p>
    <w:p w14:paraId="06F9154B" w14:textId="77777777" w:rsidR="00DE5850" w:rsidRDefault="00DE5850" w:rsidP="005A664E">
      <w:pPr>
        <w:pStyle w:val="Header"/>
        <w:tabs>
          <w:tab w:val="left" w:pos="720"/>
        </w:tabs>
        <w:rPr>
          <w:rFonts w:eastAsia="Calibri"/>
          <w:szCs w:val="24"/>
        </w:rPr>
      </w:pPr>
    </w:p>
    <w:p w14:paraId="1CB28C7B" w14:textId="77777777" w:rsidR="00DE5850" w:rsidRDefault="00DE5850" w:rsidP="005A664E">
      <w:pPr>
        <w:pStyle w:val="Header"/>
        <w:tabs>
          <w:tab w:val="left" w:pos="720"/>
        </w:tabs>
        <w:rPr>
          <w:rFonts w:eastAsia="Calibri"/>
          <w:szCs w:val="24"/>
        </w:rPr>
      </w:pPr>
    </w:p>
    <w:p w14:paraId="08C400EF" w14:textId="77777777" w:rsidR="00DE5850" w:rsidRPr="005A664E" w:rsidRDefault="00DE5850" w:rsidP="005A664E">
      <w:pPr>
        <w:pStyle w:val="Header"/>
        <w:tabs>
          <w:tab w:val="left" w:pos="720"/>
        </w:tabs>
        <w:rPr>
          <w:szCs w:val="24"/>
        </w:rPr>
      </w:pPr>
    </w:p>
    <w:p w14:paraId="626497C8" w14:textId="77777777" w:rsidR="00B578BC" w:rsidRPr="00B578BC" w:rsidRDefault="00B578BC" w:rsidP="0082327C">
      <w:pPr>
        <w:pStyle w:val="Header"/>
        <w:tabs>
          <w:tab w:val="left" w:pos="720"/>
        </w:tabs>
        <w:rPr>
          <w:szCs w:val="28"/>
        </w:rPr>
      </w:pPr>
    </w:p>
    <w:p w14:paraId="481FAE05" w14:textId="77777777" w:rsidR="006C5AAD" w:rsidRPr="00D64EDF" w:rsidRDefault="00997983" w:rsidP="00A87C9E">
      <w:pPr>
        <w:pStyle w:val="Header"/>
        <w:tabs>
          <w:tab w:val="clear" w:pos="4153"/>
          <w:tab w:val="clear" w:pos="8306"/>
          <w:tab w:val="left" w:pos="720"/>
          <w:tab w:val="center" w:pos="8505"/>
        </w:tabs>
        <w:rPr>
          <w:szCs w:val="28"/>
        </w:rPr>
      </w:pPr>
      <w:r>
        <w:rPr>
          <w:szCs w:val="28"/>
        </w:rPr>
        <w:t>F</w:t>
      </w:r>
      <w:r w:rsidR="00A87C9E" w:rsidRPr="00D64EDF">
        <w:rPr>
          <w:szCs w:val="28"/>
        </w:rPr>
        <w:t>inanšu ministrs</w:t>
      </w:r>
      <w:r w:rsidR="00A87C9E" w:rsidRPr="00D64EDF">
        <w:rPr>
          <w:szCs w:val="28"/>
        </w:rPr>
        <w:tab/>
      </w:r>
      <w:r w:rsidR="00B578BC">
        <w:rPr>
          <w:szCs w:val="28"/>
        </w:rPr>
        <w:tab/>
      </w:r>
      <w:r w:rsidR="00FA6B74" w:rsidRPr="00D64EDF">
        <w:rPr>
          <w:szCs w:val="28"/>
        </w:rPr>
        <w:t>J.Reirs</w:t>
      </w:r>
    </w:p>
    <w:p w14:paraId="0263D1E8" w14:textId="77777777" w:rsidR="00E7151A" w:rsidRDefault="00E7151A" w:rsidP="00E7151A">
      <w:pPr>
        <w:ind w:firstLine="0"/>
        <w:rPr>
          <w:sz w:val="20"/>
        </w:rPr>
      </w:pPr>
    </w:p>
    <w:p w14:paraId="4A786DD3" w14:textId="77777777" w:rsidR="00E7151A" w:rsidRDefault="00E7151A" w:rsidP="00E7151A">
      <w:pPr>
        <w:ind w:firstLine="0"/>
        <w:rPr>
          <w:sz w:val="20"/>
        </w:rPr>
      </w:pPr>
    </w:p>
    <w:p w14:paraId="091A0882" w14:textId="54675C27" w:rsidR="002F63CF" w:rsidRPr="002F63CF" w:rsidRDefault="00304A90" w:rsidP="002F63CF">
      <w:pPr>
        <w:spacing w:after="0"/>
        <w:ind w:firstLine="0"/>
        <w:rPr>
          <w:color w:val="000000"/>
          <w:sz w:val="20"/>
        </w:rPr>
      </w:pPr>
      <w:r>
        <w:rPr>
          <w:color w:val="000000"/>
          <w:sz w:val="20"/>
        </w:rPr>
        <w:t>0</w:t>
      </w:r>
      <w:r w:rsidR="0070120A">
        <w:rPr>
          <w:color w:val="000000"/>
          <w:sz w:val="20"/>
        </w:rPr>
        <w:t>2</w:t>
      </w:r>
      <w:r w:rsidR="003F5B00">
        <w:rPr>
          <w:color w:val="000000"/>
          <w:sz w:val="20"/>
        </w:rPr>
        <w:t>.12</w:t>
      </w:r>
      <w:r w:rsidR="00FA6B74">
        <w:rPr>
          <w:color w:val="000000"/>
          <w:sz w:val="20"/>
        </w:rPr>
        <w:t>.2015.</w:t>
      </w:r>
      <w:r w:rsidR="00813B80">
        <w:rPr>
          <w:color w:val="000000"/>
          <w:sz w:val="20"/>
        </w:rPr>
        <w:t xml:space="preserve"> </w:t>
      </w:r>
      <w:r w:rsidR="00B04056">
        <w:rPr>
          <w:color w:val="000000"/>
          <w:sz w:val="20"/>
        </w:rPr>
        <w:t>1</w:t>
      </w:r>
      <w:r w:rsidR="0070120A">
        <w:rPr>
          <w:color w:val="000000"/>
          <w:sz w:val="20"/>
        </w:rPr>
        <w:t>2</w:t>
      </w:r>
      <w:r w:rsidR="00B04056">
        <w:rPr>
          <w:color w:val="000000"/>
          <w:sz w:val="20"/>
        </w:rPr>
        <w:t>:31</w:t>
      </w:r>
    </w:p>
    <w:p w14:paraId="46C506F8" w14:textId="14E65D44" w:rsidR="002F63CF" w:rsidRPr="002F63CF" w:rsidRDefault="00DE5850" w:rsidP="002F63CF">
      <w:pPr>
        <w:spacing w:after="0"/>
        <w:ind w:firstLine="0"/>
        <w:rPr>
          <w:color w:val="000000"/>
          <w:sz w:val="20"/>
        </w:rPr>
      </w:pPr>
      <w:r>
        <w:rPr>
          <w:color w:val="000000"/>
          <w:sz w:val="20"/>
        </w:rPr>
        <w:t>6</w:t>
      </w:r>
      <w:r w:rsidR="0070120A">
        <w:rPr>
          <w:color w:val="000000"/>
          <w:sz w:val="20"/>
        </w:rPr>
        <w:t>49</w:t>
      </w:r>
    </w:p>
    <w:p w14:paraId="0FA92439" w14:textId="77777777" w:rsidR="002F63CF" w:rsidRDefault="002F63CF" w:rsidP="002F63CF">
      <w:pPr>
        <w:spacing w:after="0"/>
        <w:ind w:firstLine="0"/>
        <w:rPr>
          <w:color w:val="000000"/>
          <w:sz w:val="20"/>
        </w:rPr>
      </w:pPr>
    </w:p>
    <w:p w14:paraId="66DF6729" w14:textId="77777777" w:rsidR="00FA6B74" w:rsidRDefault="003F5B00" w:rsidP="002F63CF">
      <w:pPr>
        <w:spacing w:after="0"/>
        <w:ind w:firstLine="0"/>
        <w:rPr>
          <w:color w:val="000000"/>
          <w:sz w:val="20"/>
        </w:rPr>
      </w:pPr>
      <w:r>
        <w:rPr>
          <w:color w:val="000000"/>
          <w:sz w:val="20"/>
        </w:rPr>
        <w:t>K. Bukovskis</w:t>
      </w:r>
    </w:p>
    <w:p w14:paraId="23858289" w14:textId="77777777" w:rsidR="00FA6B74" w:rsidRDefault="00FA6B74" w:rsidP="002F63CF">
      <w:pPr>
        <w:spacing w:after="0"/>
        <w:ind w:firstLine="0"/>
        <w:rPr>
          <w:color w:val="000000"/>
          <w:sz w:val="20"/>
        </w:rPr>
      </w:pPr>
      <w:r>
        <w:rPr>
          <w:color w:val="000000"/>
          <w:sz w:val="20"/>
        </w:rPr>
        <w:t>670</w:t>
      </w:r>
      <w:r w:rsidR="003F5B00">
        <w:rPr>
          <w:color w:val="000000"/>
          <w:sz w:val="20"/>
        </w:rPr>
        <w:t>95620</w:t>
      </w:r>
      <w:r>
        <w:rPr>
          <w:color w:val="000000"/>
          <w:sz w:val="20"/>
        </w:rPr>
        <w:t xml:space="preserve">, </w:t>
      </w:r>
      <w:hyperlink r:id="rId8" w:history="1">
        <w:r w:rsidR="003F5B00" w:rsidRPr="00553542">
          <w:rPr>
            <w:rStyle w:val="Hyperlink"/>
            <w:sz w:val="20"/>
          </w:rPr>
          <w:t>karlis.bukovskis@fm.gov.lv</w:t>
        </w:r>
      </w:hyperlink>
    </w:p>
    <w:p w14:paraId="53ED9829" w14:textId="77777777" w:rsidR="00986F89" w:rsidRDefault="00986F89" w:rsidP="006C5AAD">
      <w:pPr>
        <w:ind w:firstLine="0"/>
        <w:jc w:val="left"/>
        <w:rPr>
          <w:sz w:val="20"/>
          <w:highlight w:val="yellow"/>
        </w:rPr>
      </w:pPr>
    </w:p>
    <w:sectPr w:rsidR="00986F89" w:rsidSect="00D75082">
      <w:headerReference w:type="even" r:id="rId9"/>
      <w:headerReference w:type="default" r:id="rId10"/>
      <w:footerReference w:type="even" r:id="rId11"/>
      <w:footerReference w:type="default" r:id="rId12"/>
      <w:footerReference w:type="first" r:id="rId13"/>
      <w:pgSz w:w="11907" w:h="16840" w:code="9"/>
      <w:pgMar w:top="1134" w:right="567" w:bottom="1134" w:left="1701" w:header="567" w:footer="27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50492" w14:textId="77777777" w:rsidR="004071E3" w:rsidRDefault="004071E3">
      <w:r>
        <w:separator/>
      </w:r>
    </w:p>
  </w:endnote>
  <w:endnote w:type="continuationSeparator" w:id="0">
    <w:p w14:paraId="31990EAC" w14:textId="77777777" w:rsidR="004071E3" w:rsidRDefault="0040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11C3A" w14:textId="77777777" w:rsidR="00117A50" w:rsidRDefault="00117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4EBF5" w14:textId="77777777" w:rsidR="00117A50" w:rsidRDefault="00117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8E947" w14:textId="3F3E4237" w:rsidR="00117A50" w:rsidRPr="009C7ACA" w:rsidRDefault="00117A50" w:rsidP="007C00FD">
    <w:pPr>
      <w:pStyle w:val="PlainText"/>
      <w:tabs>
        <w:tab w:val="left" w:pos="993"/>
      </w:tabs>
      <w:jc w:val="both"/>
      <w:rPr>
        <w:rFonts w:ascii="Times New Roman" w:hAnsi="Times New Roman"/>
        <w:noProof/>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 FILENAME   \* MERGEFORMAT </w:instrText>
    </w:r>
    <w:r>
      <w:rPr>
        <w:rFonts w:ascii="Times New Roman" w:hAnsi="Times New Roman"/>
        <w:color w:val="000000"/>
        <w:sz w:val="20"/>
        <w:szCs w:val="20"/>
      </w:rPr>
      <w:fldChar w:fldCharType="separate"/>
    </w:r>
    <w:r>
      <w:rPr>
        <w:rFonts w:ascii="Times New Roman" w:hAnsi="Times New Roman"/>
        <w:noProof/>
        <w:color w:val="000000"/>
        <w:sz w:val="20"/>
        <w:szCs w:val="20"/>
      </w:rPr>
      <w:t>FMInf_</w:t>
    </w:r>
    <w:r w:rsidR="000374FB">
      <w:rPr>
        <w:rFonts w:ascii="Times New Roman" w:hAnsi="Times New Roman"/>
        <w:noProof/>
        <w:color w:val="000000"/>
        <w:sz w:val="20"/>
        <w:szCs w:val="20"/>
      </w:rPr>
      <w:t>0212</w:t>
    </w:r>
    <w:r>
      <w:rPr>
        <w:rFonts w:ascii="Times New Roman" w:hAnsi="Times New Roman"/>
        <w:noProof/>
        <w:color w:val="000000"/>
        <w:sz w:val="20"/>
        <w:szCs w:val="20"/>
      </w:rPr>
      <w:t>2015_</w:t>
    </w:r>
    <w:r w:rsidR="009C7ACA">
      <w:rPr>
        <w:rFonts w:ascii="Times New Roman" w:hAnsi="Times New Roman"/>
        <w:noProof/>
        <w:color w:val="000000"/>
        <w:sz w:val="20"/>
        <w:szCs w:val="20"/>
      </w:rPr>
      <w:t>EMS</w:t>
    </w:r>
    <w:r>
      <w:rPr>
        <w:rFonts w:ascii="Times New Roman" w:hAnsi="Times New Roman"/>
        <w:noProof/>
        <w:color w:val="000000"/>
        <w:sz w:val="20"/>
        <w:szCs w:val="20"/>
      </w:rPr>
      <w:t>.docx</w:t>
    </w:r>
    <w:r>
      <w:rPr>
        <w:rFonts w:ascii="Times New Roman" w:hAnsi="Times New Roman"/>
        <w:color w:val="000000"/>
        <w:sz w:val="20"/>
        <w:szCs w:val="20"/>
      </w:rPr>
      <w:fldChar w:fldCharType="end"/>
    </w:r>
    <w:r w:rsidRPr="00AE3050">
      <w:rPr>
        <w:rFonts w:ascii="Times New Roman" w:hAnsi="Times New Roman"/>
        <w:color w:val="000000"/>
        <w:sz w:val="20"/>
        <w:szCs w:val="20"/>
      </w:rPr>
      <w:t xml:space="preserve">; </w:t>
    </w:r>
    <w:r w:rsidR="00997983" w:rsidRPr="001D5642">
      <w:rPr>
        <w:rFonts w:ascii="Times New Roman" w:hAnsi="Times New Roman"/>
        <w:color w:val="000000"/>
        <w:sz w:val="20"/>
        <w:szCs w:val="20"/>
      </w:rPr>
      <w:t xml:space="preserve">Par </w:t>
    </w:r>
    <w:r w:rsidR="000374FB">
      <w:rPr>
        <w:rFonts w:ascii="Times New Roman" w:hAnsi="Times New Roman"/>
        <w:color w:val="000000"/>
        <w:sz w:val="20"/>
        <w:szCs w:val="20"/>
      </w:rPr>
      <w:t xml:space="preserve">informatīvo ziņojumu </w:t>
    </w:r>
    <w:r w:rsidR="000374FB" w:rsidRPr="000374FB">
      <w:rPr>
        <w:rFonts w:ascii="Times New Roman" w:hAnsi="Times New Roman"/>
        <w:color w:val="000000"/>
        <w:sz w:val="20"/>
        <w:szCs w:val="20"/>
      </w:rPr>
      <w:t>„Par ziņojumā “Par Ekonomiskās un monetārās savienības izveides pabeigšanu" ("Piecu prezidentu ziņojums") ietvertajām konceptuālajām nostādnēm Eiropas Savienības turpmākās attīstības jautājumos”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5535F" w14:textId="7CB1354D" w:rsidR="00117A50" w:rsidRDefault="00117A50" w:rsidP="00E65358">
    <w:pPr>
      <w:pStyle w:val="PlainText"/>
      <w:tabs>
        <w:tab w:val="left" w:pos="993"/>
      </w:tabs>
      <w:jc w:val="both"/>
    </w:pPr>
    <w:r>
      <w:rPr>
        <w:rFonts w:ascii="Times New Roman" w:hAnsi="Times New Roman"/>
        <w:color w:val="000000"/>
        <w:sz w:val="20"/>
        <w:szCs w:val="20"/>
      </w:rPr>
      <w:fldChar w:fldCharType="begin"/>
    </w:r>
    <w:r>
      <w:rPr>
        <w:rFonts w:ascii="Times New Roman" w:hAnsi="Times New Roman"/>
        <w:color w:val="000000"/>
        <w:sz w:val="20"/>
        <w:szCs w:val="20"/>
      </w:rPr>
      <w:instrText xml:space="preserve"> FILENAME   \* MERGEFORMAT </w:instrText>
    </w:r>
    <w:r>
      <w:rPr>
        <w:rFonts w:ascii="Times New Roman" w:hAnsi="Times New Roman"/>
        <w:color w:val="000000"/>
        <w:sz w:val="20"/>
        <w:szCs w:val="20"/>
      </w:rPr>
      <w:fldChar w:fldCharType="separate"/>
    </w:r>
    <w:r w:rsidR="009C7ACA">
      <w:rPr>
        <w:rFonts w:ascii="Times New Roman" w:hAnsi="Times New Roman"/>
        <w:noProof/>
        <w:color w:val="000000"/>
        <w:sz w:val="20"/>
        <w:szCs w:val="20"/>
      </w:rPr>
      <w:t>FMInf_</w:t>
    </w:r>
    <w:r w:rsidR="000374FB">
      <w:rPr>
        <w:rFonts w:ascii="Times New Roman" w:hAnsi="Times New Roman"/>
        <w:noProof/>
        <w:color w:val="000000"/>
        <w:sz w:val="20"/>
        <w:szCs w:val="20"/>
      </w:rPr>
      <w:t>02</w:t>
    </w:r>
    <w:r w:rsidR="001D5642">
      <w:rPr>
        <w:rFonts w:ascii="Times New Roman" w:hAnsi="Times New Roman"/>
        <w:noProof/>
        <w:color w:val="000000"/>
        <w:sz w:val="20"/>
        <w:szCs w:val="20"/>
      </w:rPr>
      <w:t>122015_EMS</w:t>
    </w:r>
    <w:r>
      <w:rPr>
        <w:rFonts w:ascii="Times New Roman" w:hAnsi="Times New Roman"/>
        <w:noProof/>
        <w:color w:val="000000"/>
        <w:sz w:val="20"/>
        <w:szCs w:val="20"/>
      </w:rPr>
      <w:t>.docx</w:t>
    </w:r>
    <w:r>
      <w:rPr>
        <w:rFonts w:ascii="Times New Roman" w:hAnsi="Times New Roman"/>
        <w:color w:val="000000"/>
        <w:sz w:val="20"/>
        <w:szCs w:val="20"/>
      </w:rPr>
      <w:fldChar w:fldCharType="end"/>
    </w:r>
    <w:r w:rsidRPr="00AE3050">
      <w:rPr>
        <w:rFonts w:ascii="Times New Roman" w:hAnsi="Times New Roman"/>
        <w:color w:val="000000"/>
        <w:sz w:val="20"/>
        <w:szCs w:val="20"/>
      </w:rPr>
      <w:t xml:space="preserve">; </w:t>
    </w:r>
    <w:r w:rsidR="001D5642" w:rsidRPr="001D5642">
      <w:rPr>
        <w:rFonts w:ascii="Times New Roman" w:hAnsi="Times New Roman"/>
        <w:color w:val="000000"/>
        <w:sz w:val="20"/>
        <w:szCs w:val="20"/>
      </w:rPr>
      <w:t xml:space="preserve">Par </w:t>
    </w:r>
    <w:r w:rsidR="000374FB">
      <w:rPr>
        <w:rFonts w:ascii="Times New Roman" w:hAnsi="Times New Roman"/>
        <w:color w:val="000000"/>
        <w:sz w:val="20"/>
        <w:szCs w:val="20"/>
      </w:rPr>
      <w:t xml:space="preserve">informatīvo ziņojumu </w:t>
    </w:r>
    <w:r w:rsidR="000374FB" w:rsidRPr="000374FB">
      <w:rPr>
        <w:rFonts w:ascii="Times New Roman" w:hAnsi="Times New Roman"/>
        <w:color w:val="000000"/>
        <w:sz w:val="20"/>
        <w:szCs w:val="20"/>
      </w:rPr>
      <w:t>„Par ziņojumā “Par Ekonomiskās un monetārās savienības izveides pabeigšanu" ("Piecu prezidentu ziņojums") ietvertajām konceptuālajām nostādnēm Eiropas Savienības turpmākās attīstības jautājumos”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632E2" w14:textId="77777777" w:rsidR="004071E3" w:rsidRDefault="004071E3">
      <w:r>
        <w:separator/>
      </w:r>
    </w:p>
  </w:footnote>
  <w:footnote w:type="continuationSeparator" w:id="0">
    <w:p w14:paraId="4A581D38" w14:textId="77777777" w:rsidR="004071E3" w:rsidRDefault="00407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B0610" w14:textId="77777777" w:rsidR="00117A50" w:rsidRDefault="00117A5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4456F3" w14:textId="77777777" w:rsidR="00117A50" w:rsidRDefault="00117A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49B20" w14:textId="77777777" w:rsidR="00117A50" w:rsidRDefault="00117A50" w:rsidP="00E65358">
    <w:pPr>
      <w:pStyle w:val="Header"/>
      <w:jc w:val="center"/>
    </w:pPr>
    <w:r>
      <w:fldChar w:fldCharType="begin"/>
    </w:r>
    <w:r>
      <w:instrText xml:space="preserve"> PAGE   \* MERGEFORMAT </w:instrText>
    </w:r>
    <w:r>
      <w:fldChar w:fldCharType="separate"/>
    </w:r>
    <w:r w:rsidR="009C7ACA">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8B899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B7037"/>
    <w:multiLevelType w:val="hybridMultilevel"/>
    <w:tmpl w:val="56707A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61C7DD0"/>
    <w:multiLevelType w:val="multilevel"/>
    <w:tmpl w:val="92BEF93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88C00F9"/>
    <w:multiLevelType w:val="hybridMultilevel"/>
    <w:tmpl w:val="C9F417F2"/>
    <w:lvl w:ilvl="0" w:tplc="64629B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0A1A3FDB"/>
    <w:multiLevelType w:val="hybridMultilevel"/>
    <w:tmpl w:val="0E6827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ACF6B93"/>
    <w:multiLevelType w:val="hybridMultilevel"/>
    <w:tmpl w:val="88D279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D256689"/>
    <w:multiLevelType w:val="hybridMultilevel"/>
    <w:tmpl w:val="FA6A55FE"/>
    <w:lvl w:ilvl="0" w:tplc="04090001">
      <w:start w:val="1"/>
      <w:numFmt w:val="bullet"/>
      <w:lvlText w:val=""/>
      <w:lvlJc w:val="left"/>
      <w:pPr>
        <w:tabs>
          <w:tab w:val="num" w:pos="720"/>
        </w:tabs>
        <w:ind w:left="720" w:hanging="360"/>
      </w:pPr>
      <w:rPr>
        <w:rFonts w:ascii="Symbol" w:hAnsi="Symbol" w:hint="default"/>
      </w:rPr>
    </w:lvl>
    <w:lvl w:ilvl="1" w:tplc="684A55F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C7109B"/>
    <w:multiLevelType w:val="hybridMultilevel"/>
    <w:tmpl w:val="5D087504"/>
    <w:lvl w:ilvl="0" w:tplc="FFFFFFFF">
      <w:start w:val="1"/>
      <w:numFmt w:val="bullet"/>
      <w:pStyle w:val="virsr21"/>
      <w:lvlText w:val=""/>
      <w:lvlJc w:val="left"/>
      <w:pPr>
        <w:tabs>
          <w:tab w:val="num" w:pos="360"/>
        </w:tabs>
        <w:ind w:left="284" w:hanging="284"/>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3705F8C"/>
    <w:multiLevelType w:val="hybridMultilevel"/>
    <w:tmpl w:val="A0380EE6"/>
    <w:lvl w:ilvl="0" w:tplc="04260011">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14610ECD"/>
    <w:multiLevelType w:val="hybridMultilevel"/>
    <w:tmpl w:val="FA5A0C42"/>
    <w:lvl w:ilvl="0" w:tplc="B5FC2F0E">
      <w:start w:val="1"/>
      <w:numFmt w:val="bullet"/>
      <w:lvlText w:val="–"/>
      <w:lvlJc w:val="left"/>
      <w:pPr>
        <w:tabs>
          <w:tab w:val="num" w:pos="720"/>
        </w:tabs>
        <w:ind w:left="720" w:hanging="360"/>
      </w:pPr>
      <w:rPr>
        <w:rFonts w:ascii="Times New Roman" w:hAnsi="Times New Roman" w:hint="default"/>
      </w:rPr>
    </w:lvl>
    <w:lvl w:ilvl="1" w:tplc="A3962F6E">
      <w:start w:val="1"/>
      <w:numFmt w:val="bullet"/>
      <w:lvlText w:val="–"/>
      <w:lvlJc w:val="left"/>
      <w:pPr>
        <w:tabs>
          <w:tab w:val="num" w:pos="1440"/>
        </w:tabs>
        <w:ind w:left="1440" w:hanging="360"/>
      </w:pPr>
      <w:rPr>
        <w:rFonts w:ascii="Times New Roman" w:hAnsi="Times New Roman" w:hint="default"/>
      </w:rPr>
    </w:lvl>
    <w:lvl w:ilvl="2" w:tplc="0D2EEDC8" w:tentative="1">
      <w:start w:val="1"/>
      <w:numFmt w:val="bullet"/>
      <w:lvlText w:val="–"/>
      <w:lvlJc w:val="left"/>
      <w:pPr>
        <w:tabs>
          <w:tab w:val="num" w:pos="2160"/>
        </w:tabs>
        <w:ind w:left="2160" w:hanging="360"/>
      </w:pPr>
      <w:rPr>
        <w:rFonts w:ascii="Times New Roman" w:hAnsi="Times New Roman" w:hint="default"/>
      </w:rPr>
    </w:lvl>
    <w:lvl w:ilvl="3" w:tplc="B08807D0" w:tentative="1">
      <w:start w:val="1"/>
      <w:numFmt w:val="bullet"/>
      <w:lvlText w:val="–"/>
      <w:lvlJc w:val="left"/>
      <w:pPr>
        <w:tabs>
          <w:tab w:val="num" w:pos="2880"/>
        </w:tabs>
        <w:ind w:left="2880" w:hanging="360"/>
      </w:pPr>
      <w:rPr>
        <w:rFonts w:ascii="Times New Roman" w:hAnsi="Times New Roman" w:hint="default"/>
      </w:rPr>
    </w:lvl>
    <w:lvl w:ilvl="4" w:tplc="F872DC78" w:tentative="1">
      <w:start w:val="1"/>
      <w:numFmt w:val="bullet"/>
      <w:lvlText w:val="–"/>
      <w:lvlJc w:val="left"/>
      <w:pPr>
        <w:tabs>
          <w:tab w:val="num" w:pos="3600"/>
        </w:tabs>
        <w:ind w:left="3600" w:hanging="360"/>
      </w:pPr>
      <w:rPr>
        <w:rFonts w:ascii="Times New Roman" w:hAnsi="Times New Roman" w:hint="default"/>
      </w:rPr>
    </w:lvl>
    <w:lvl w:ilvl="5" w:tplc="67CC8692" w:tentative="1">
      <w:start w:val="1"/>
      <w:numFmt w:val="bullet"/>
      <w:lvlText w:val="–"/>
      <w:lvlJc w:val="left"/>
      <w:pPr>
        <w:tabs>
          <w:tab w:val="num" w:pos="4320"/>
        </w:tabs>
        <w:ind w:left="4320" w:hanging="360"/>
      </w:pPr>
      <w:rPr>
        <w:rFonts w:ascii="Times New Roman" w:hAnsi="Times New Roman" w:hint="default"/>
      </w:rPr>
    </w:lvl>
    <w:lvl w:ilvl="6" w:tplc="1F148936" w:tentative="1">
      <w:start w:val="1"/>
      <w:numFmt w:val="bullet"/>
      <w:lvlText w:val="–"/>
      <w:lvlJc w:val="left"/>
      <w:pPr>
        <w:tabs>
          <w:tab w:val="num" w:pos="5040"/>
        </w:tabs>
        <w:ind w:left="5040" w:hanging="360"/>
      </w:pPr>
      <w:rPr>
        <w:rFonts w:ascii="Times New Roman" w:hAnsi="Times New Roman" w:hint="default"/>
      </w:rPr>
    </w:lvl>
    <w:lvl w:ilvl="7" w:tplc="6ED68DFC" w:tentative="1">
      <w:start w:val="1"/>
      <w:numFmt w:val="bullet"/>
      <w:lvlText w:val="–"/>
      <w:lvlJc w:val="left"/>
      <w:pPr>
        <w:tabs>
          <w:tab w:val="num" w:pos="5760"/>
        </w:tabs>
        <w:ind w:left="5760" w:hanging="360"/>
      </w:pPr>
      <w:rPr>
        <w:rFonts w:ascii="Times New Roman" w:hAnsi="Times New Roman" w:hint="default"/>
      </w:rPr>
    </w:lvl>
    <w:lvl w:ilvl="8" w:tplc="7D62A89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4FF36E3"/>
    <w:multiLevelType w:val="hybridMultilevel"/>
    <w:tmpl w:val="FA9001CE"/>
    <w:lvl w:ilvl="0" w:tplc="D106796E">
      <w:start w:val="1998"/>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1945157B"/>
    <w:multiLevelType w:val="hybridMultilevel"/>
    <w:tmpl w:val="7BA4D076"/>
    <w:lvl w:ilvl="0" w:tplc="C3229CCE">
      <w:start w:val="1"/>
      <w:numFmt w:val="decimal"/>
      <w:pStyle w:val="tekstsbul"/>
      <w:lvlText w:val="%1."/>
      <w:lvlJc w:val="left"/>
      <w:pPr>
        <w:ind w:left="180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1CBB6AC3"/>
    <w:multiLevelType w:val="hybridMultilevel"/>
    <w:tmpl w:val="3230B43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1E584A4D"/>
    <w:multiLevelType w:val="hybridMultilevel"/>
    <w:tmpl w:val="4A1ED9B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7983DEA"/>
    <w:multiLevelType w:val="hybridMultilevel"/>
    <w:tmpl w:val="D46250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89B7C90"/>
    <w:multiLevelType w:val="hybridMultilevel"/>
    <w:tmpl w:val="E396B0C8"/>
    <w:lvl w:ilvl="0" w:tplc="92763E2E">
      <w:start w:val="1"/>
      <w:numFmt w:val="bullet"/>
      <w:lvlText w:val="–"/>
      <w:lvlJc w:val="left"/>
      <w:pPr>
        <w:tabs>
          <w:tab w:val="num" w:pos="720"/>
        </w:tabs>
        <w:ind w:left="720" w:hanging="360"/>
      </w:pPr>
      <w:rPr>
        <w:rFonts w:ascii="Times New Roman" w:hAnsi="Times New Roman" w:hint="default"/>
      </w:rPr>
    </w:lvl>
    <w:lvl w:ilvl="1" w:tplc="E146B732">
      <w:start w:val="1"/>
      <w:numFmt w:val="bullet"/>
      <w:lvlText w:val="–"/>
      <w:lvlJc w:val="left"/>
      <w:pPr>
        <w:tabs>
          <w:tab w:val="num" w:pos="1440"/>
        </w:tabs>
        <w:ind w:left="1440" w:hanging="360"/>
      </w:pPr>
      <w:rPr>
        <w:rFonts w:ascii="Times New Roman" w:hAnsi="Times New Roman" w:hint="default"/>
      </w:rPr>
    </w:lvl>
    <w:lvl w:ilvl="2" w:tplc="A8EACBAA" w:tentative="1">
      <w:start w:val="1"/>
      <w:numFmt w:val="bullet"/>
      <w:lvlText w:val="–"/>
      <w:lvlJc w:val="left"/>
      <w:pPr>
        <w:tabs>
          <w:tab w:val="num" w:pos="2160"/>
        </w:tabs>
        <w:ind w:left="2160" w:hanging="360"/>
      </w:pPr>
      <w:rPr>
        <w:rFonts w:ascii="Times New Roman" w:hAnsi="Times New Roman" w:hint="default"/>
      </w:rPr>
    </w:lvl>
    <w:lvl w:ilvl="3" w:tplc="AF221AE2" w:tentative="1">
      <w:start w:val="1"/>
      <w:numFmt w:val="bullet"/>
      <w:lvlText w:val="–"/>
      <w:lvlJc w:val="left"/>
      <w:pPr>
        <w:tabs>
          <w:tab w:val="num" w:pos="2880"/>
        </w:tabs>
        <w:ind w:left="2880" w:hanging="360"/>
      </w:pPr>
      <w:rPr>
        <w:rFonts w:ascii="Times New Roman" w:hAnsi="Times New Roman" w:hint="default"/>
      </w:rPr>
    </w:lvl>
    <w:lvl w:ilvl="4" w:tplc="C4243322" w:tentative="1">
      <w:start w:val="1"/>
      <w:numFmt w:val="bullet"/>
      <w:lvlText w:val="–"/>
      <w:lvlJc w:val="left"/>
      <w:pPr>
        <w:tabs>
          <w:tab w:val="num" w:pos="3600"/>
        </w:tabs>
        <w:ind w:left="3600" w:hanging="360"/>
      </w:pPr>
      <w:rPr>
        <w:rFonts w:ascii="Times New Roman" w:hAnsi="Times New Roman" w:hint="default"/>
      </w:rPr>
    </w:lvl>
    <w:lvl w:ilvl="5" w:tplc="091E2F0C" w:tentative="1">
      <w:start w:val="1"/>
      <w:numFmt w:val="bullet"/>
      <w:lvlText w:val="–"/>
      <w:lvlJc w:val="left"/>
      <w:pPr>
        <w:tabs>
          <w:tab w:val="num" w:pos="4320"/>
        </w:tabs>
        <w:ind w:left="4320" w:hanging="360"/>
      </w:pPr>
      <w:rPr>
        <w:rFonts w:ascii="Times New Roman" w:hAnsi="Times New Roman" w:hint="default"/>
      </w:rPr>
    </w:lvl>
    <w:lvl w:ilvl="6" w:tplc="6EA4E400" w:tentative="1">
      <w:start w:val="1"/>
      <w:numFmt w:val="bullet"/>
      <w:lvlText w:val="–"/>
      <w:lvlJc w:val="left"/>
      <w:pPr>
        <w:tabs>
          <w:tab w:val="num" w:pos="5040"/>
        </w:tabs>
        <w:ind w:left="5040" w:hanging="360"/>
      </w:pPr>
      <w:rPr>
        <w:rFonts w:ascii="Times New Roman" w:hAnsi="Times New Roman" w:hint="default"/>
      </w:rPr>
    </w:lvl>
    <w:lvl w:ilvl="7" w:tplc="5B5C48A6" w:tentative="1">
      <w:start w:val="1"/>
      <w:numFmt w:val="bullet"/>
      <w:lvlText w:val="–"/>
      <w:lvlJc w:val="left"/>
      <w:pPr>
        <w:tabs>
          <w:tab w:val="num" w:pos="5760"/>
        </w:tabs>
        <w:ind w:left="5760" w:hanging="360"/>
      </w:pPr>
      <w:rPr>
        <w:rFonts w:ascii="Times New Roman" w:hAnsi="Times New Roman" w:hint="default"/>
      </w:rPr>
    </w:lvl>
    <w:lvl w:ilvl="8" w:tplc="63181CB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8D47C3A"/>
    <w:multiLevelType w:val="hybridMultilevel"/>
    <w:tmpl w:val="C9F417F2"/>
    <w:lvl w:ilvl="0" w:tplc="64629B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2C057F29"/>
    <w:multiLevelType w:val="hybridMultilevel"/>
    <w:tmpl w:val="6E9E1024"/>
    <w:lvl w:ilvl="0" w:tplc="C6ECD2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2C4D3B9D"/>
    <w:multiLevelType w:val="hybridMultilevel"/>
    <w:tmpl w:val="9F96DF56"/>
    <w:lvl w:ilvl="0" w:tplc="1DEC3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2E202DDC"/>
    <w:multiLevelType w:val="hybridMultilevel"/>
    <w:tmpl w:val="35DA4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FEF2DFB"/>
    <w:multiLevelType w:val="hybridMultilevel"/>
    <w:tmpl w:val="4F0ABB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34A852C0"/>
    <w:multiLevelType w:val="hybridMultilevel"/>
    <w:tmpl w:val="C344B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AD705DD"/>
    <w:multiLevelType w:val="multilevel"/>
    <w:tmpl w:val="334C53BC"/>
    <w:lvl w:ilvl="0">
      <w:start w:val="1"/>
      <w:numFmt w:val="decimal"/>
      <w:lvlText w:val="%1."/>
      <w:lvlJc w:val="left"/>
      <w:pPr>
        <w:ind w:left="180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320" w:hanging="1080"/>
      </w:pPr>
      <w:rPr>
        <w:rFonts w:hint="default"/>
      </w:rPr>
    </w:lvl>
    <w:lvl w:ilvl="6">
      <w:start w:val="1"/>
      <w:numFmt w:val="decimal"/>
      <w:lvlText w:val="%1.%2.%3.%4.%5.%6.%7."/>
      <w:lvlJc w:val="left"/>
      <w:pPr>
        <w:ind w:left="15840" w:hanging="1440"/>
      </w:pPr>
      <w:rPr>
        <w:rFonts w:hint="default"/>
      </w:rPr>
    </w:lvl>
    <w:lvl w:ilvl="7">
      <w:start w:val="1"/>
      <w:numFmt w:val="decimal"/>
      <w:lvlText w:val="%1.%2.%3.%4.%5.%6.%7.%8."/>
      <w:lvlJc w:val="left"/>
      <w:pPr>
        <w:ind w:left="18000" w:hanging="1440"/>
      </w:pPr>
      <w:rPr>
        <w:rFonts w:hint="default"/>
      </w:rPr>
    </w:lvl>
    <w:lvl w:ilvl="8">
      <w:start w:val="1"/>
      <w:numFmt w:val="decimal"/>
      <w:lvlText w:val="%1.%2.%3.%4.%5.%6.%7.%8.%9."/>
      <w:lvlJc w:val="left"/>
      <w:pPr>
        <w:ind w:left="20520" w:hanging="1800"/>
      </w:pPr>
      <w:rPr>
        <w:rFonts w:hint="default"/>
      </w:rPr>
    </w:lvl>
  </w:abstractNum>
  <w:abstractNum w:abstractNumId="24">
    <w:nsid w:val="409A0A83"/>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28E090A"/>
    <w:multiLevelType w:val="hybridMultilevel"/>
    <w:tmpl w:val="DE34FF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431444A"/>
    <w:multiLevelType w:val="multilevel"/>
    <w:tmpl w:val="92BEF93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82750E6"/>
    <w:multiLevelType w:val="hybridMultilevel"/>
    <w:tmpl w:val="76CE35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00F105A"/>
    <w:multiLevelType w:val="multilevel"/>
    <w:tmpl w:val="2DF8FE0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9">
    <w:nsid w:val="59C92DCC"/>
    <w:multiLevelType w:val="hybridMultilevel"/>
    <w:tmpl w:val="B5D8AD8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nsid w:val="5B5B08D3"/>
    <w:multiLevelType w:val="hybridMultilevel"/>
    <w:tmpl w:val="7662EDF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nsid w:val="628A128A"/>
    <w:multiLevelType w:val="multilevel"/>
    <w:tmpl w:val="E5A8F00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578732E"/>
    <w:multiLevelType w:val="hybridMultilevel"/>
    <w:tmpl w:val="E550E4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85971E5"/>
    <w:multiLevelType w:val="hybridMultilevel"/>
    <w:tmpl w:val="574C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84E6C"/>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1C574AF"/>
    <w:multiLevelType w:val="multilevel"/>
    <w:tmpl w:val="5B58A5C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nsid w:val="73EB4CB7"/>
    <w:multiLevelType w:val="multilevel"/>
    <w:tmpl w:val="2DF8FE0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7">
    <w:nsid w:val="745A64B8"/>
    <w:multiLevelType w:val="hybridMultilevel"/>
    <w:tmpl w:val="71068E40"/>
    <w:lvl w:ilvl="0" w:tplc="D61C66D2">
      <w:start w:val="1"/>
      <w:numFmt w:val="decimal"/>
      <w:pStyle w:val="Pielikumiem"/>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749B1D23"/>
    <w:multiLevelType w:val="hybridMultilevel"/>
    <w:tmpl w:val="A7F02112"/>
    <w:lvl w:ilvl="0" w:tplc="15EC6D5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9">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7E562DF"/>
    <w:multiLevelType w:val="hybridMultilevel"/>
    <w:tmpl w:val="B5D8AD8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nsid w:val="7B456433"/>
    <w:multiLevelType w:val="multilevel"/>
    <w:tmpl w:val="D17ABF9E"/>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F8A32B4"/>
    <w:multiLevelType w:val="hybridMultilevel"/>
    <w:tmpl w:val="4C10873C"/>
    <w:lvl w:ilvl="0" w:tplc="EA40359A">
      <w:start w:val="1"/>
      <w:numFmt w:val="decimal"/>
      <w:lvlText w:val="%1)"/>
      <w:lvlJc w:val="left"/>
      <w:pPr>
        <w:tabs>
          <w:tab w:val="num" w:pos="1560"/>
        </w:tabs>
        <w:ind w:left="156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19"/>
  </w:num>
  <w:num w:numId="2">
    <w:abstractNumId w:val="11"/>
  </w:num>
  <w:num w:numId="3">
    <w:abstractNumId w:val="12"/>
  </w:num>
  <w:num w:numId="4">
    <w:abstractNumId w:val="23"/>
  </w:num>
  <w:num w:numId="5">
    <w:abstractNumId w:val="36"/>
  </w:num>
  <w:num w:numId="6">
    <w:abstractNumId w:val="28"/>
  </w:num>
  <w:num w:numId="7">
    <w:abstractNumId w:val="4"/>
  </w:num>
  <w:num w:numId="8">
    <w:abstractNumId w:val="31"/>
  </w:num>
  <w:num w:numId="9">
    <w:abstractNumId w:val="2"/>
  </w:num>
  <w:num w:numId="10">
    <w:abstractNumId w:val="5"/>
  </w:num>
  <w:num w:numId="11">
    <w:abstractNumId w:val="13"/>
  </w:num>
  <w:num w:numId="12">
    <w:abstractNumId w:val="17"/>
  </w:num>
  <w:num w:numId="13">
    <w:abstractNumId w:val="10"/>
  </w:num>
  <w:num w:numId="14">
    <w:abstractNumId w:val="16"/>
  </w:num>
  <w:num w:numId="15">
    <w:abstractNumId w:val="30"/>
  </w:num>
  <w:num w:numId="16">
    <w:abstractNumId w:val="40"/>
  </w:num>
  <w:num w:numId="17">
    <w:abstractNumId w:val="29"/>
  </w:num>
  <w:num w:numId="18">
    <w:abstractNumId w:val="26"/>
  </w:num>
  <w:num w:numId="19">
    <w:abstractNumId w:val="42"/>
  </w:num>
  <w:num w:numId="20">
    <w:abstractNumId w:val="34"/>
  </w:num>
  <w:num w:numId="21">
    <w:abstractNumId w:val="24"/>
  </w:num>
  <w:num w:numId="22">
    <w:abstractNumId w:val="3"/>
  </w:num>
  <w:num w:numId="23">
    <w:abstractNumId w:val="37"/>
  </w:num>
  <w:num w:numId="24">
    <w:abstractNumId w:val="41"/>
  </w:num>
  <w:num w:numId="25">
    <w:abstractNumId w:val="39"/>
  </w:num>
  <w:num w:numId="26">
    <w:abstractNumId w:val="35"/>
  </w:num>
  <w:num w:numId="27">
    <w:abstractNumId w:val="7"/>
  </w:num>
  <w:num w:numId="28">
    <w:abstractNumId w:val="8"/>
  </w:num>
  <w:num w:numId="29">
    <w:abstractNumId w:val="38"/>
  </w:num>
  <w:num w:numId="30">
    <w:abstractNumId w:val="21"/>
  </w:num>
  <w:num w:numId="31">
    <w:abstractNumId w:val="1"/>
  </w:num>
  <w:num w:numId="32">
    <w:abstractNumId w:val="22"/>
  </w:num>
  <w:num w:numId="33">
    <w:abstractNumId w:val="25"/>
  </w:num>
  <w:num w:numId="34">
    <w:abstractNumId w:val="6"/>
  </w:num>
  <w:num w:numId="35">
    <w:abstractNumId w:val="33"/>
  </w:num>
  <w:num w:numId="36">
    <w:abstractNumId w:val="9"/>
  </w:num>
  <w:num w:numId="37">
    <w:abstractNumId w:val="20"/>
  </w:num>
  <w:num w:numId="38">
    <w:abstractNumId w:val="14"/>
  </w:num>
  <w:num w:numId="39">
    <w:abstractNumId w:val="15"/>
  </w:num>
  <w:num w:numId="40">
    <w:abstractNumId w:val="32"/>
  </w:num>
  <w:num w:numId="41">
    <w:abstractNumId w:val="18"/>
  </w:num>
  <w:num w:numId="42">
    <w:abstractNumId w:val="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fill="f" fillcolor="white">
      <v:fill color="white" on="f"/>
      <v:stroke weight="3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5C"/>
    <w:rsid w:val="000029AA"/>
    <w:rsid w:val="00016082"/>
    <w:rsid w:val="00030D47"/>
    <w:rsid w:val="00037401"/>
    <w:rsid w:val="000374FB"/>
    <w:rsid w:val="00045DB9"/>
    <w:rsid w:val="00064958"/>
    <w:rsid w:val="0006506E"/>
    <w:rsid w:val="00083A1B"/>
    <w:rsid w:val="00083EDD"/>
    <w:rsid w:val="00090B60"/>
    <w:rsid w:val="00093523"/>
    <w:rsid w:val="000B0236"/>
    <w:rsid w:val="000B4A66"/>
    <w:rsid w:val="000B6DE1"/>
    <w:rsid w:val="000B7C5B"/>
    <w:rsid w:val="000D7992"/>
    <w:rsid w:val="00100790"/>
    <w:rsid w:val="001105AD"/>
    <w:rsid w:val="00117A50"/>
    <w:rsid w:val="00120C0B"/>
    <w:rsid w:val="001223D6"/>
    <w:rsid w:val="00122493"/>
    <w:rsid w:val="00123109"/>
    <w:rsid w:val="001378F8"/>
    <w:rsid w:val="00145702"/>
    <w:rsid w:val="00146EC8"/>
    <w:rsid w:val="00150DBC"/>
    <w:rsid w:val="00153B75"/>
    <w:rsid w:val="00166A4F"/>
    <w:rsid w:val="00182FC5"/>
    <w:rsid w:val="00192A86"/>
    <w:rsid w:val="00196D3A"/>
    <w:rsid w:val="001B70D0"/>
    <w:rsid w:val="001C20D3"/>
    <w:rsid w:val="001D4D65"/>
    <w:rsid w:val="001D5642"/>
    <w:rsid w:val="001D5E45"/>
    <w:rsid w:val="001E0F38"/>
    <w:rsid w:val="001E0F53"/>
    <w:rsid w:val="001F0138"/>
    <w:rsid w:val="002245FF"/>
    <w:rsid w:val="00234D64"/>
    <w:rsid w:val="002363A0"/>
    <w:rsid w:val="00240E39"/>
    <w:rsid w:val="002727B6"/>
    <w:rsid w:val="00282C15"/>
    <w:rsid w:val="00285F6F"/>
    <w:rsid w:val="002874F1"/>
    <w:rsid w:val="00293960"/>
    <w:rsid w:val="002A48CC"/>
    <w:rsid w:val="002C540E"/>
    <w:rsid w:val="002D1BFD"/>
    <w:rsid w:val="002D5AAE"/>
    <w:rsid w:val="002D79B9"/>
    <w:rsid w:val="002E3483"/>
    <w:rsid w:val="002E6D1A"/>
    <w:rsid w:val="002F63CF"/>
    <w:rsid w:val="00304A90"/>
    <w:rsid w:val="00304FE6"/>
    <w:rsid w:val="00325DE9"/>
    <w:rsid w:val="00337D51"/>
    <w:rsid w:val="00340329"/>
    <w:rsid w:val="0034288B"/>
    <w:rsid w:val="003465C5"/>
    <w:rsid w:val="00352F78"/>
    <w:rsid w:val="00355708"/>
    <w:rsid w:val="00367473"/>
    <w:rsid w:val="00385DEC"/>
    <w:rsid w:val="00386AE6"/>
    <w:rsid w:val="00396275"/>
    <w:rsid w:val="003B0012"/>
    <w:rsid w:val="003B0B7E"/>
    <w:rsid w:val="003B252E"/>
    <w:rsid w:val="003B739F"/>
    <w:rsid w:val="003D600D"/>
    <w:rsid w:val="003E2180"/>
    <w:rsid w:val="003E73F8"/>
    <w:rsid w:val="003F4066"/>
    <w:rsid w:val="003F5B00"/>
    <w:rsid w:val="004067E2"/>
    <w:rsid w:val="004071E3"/>
    <w:rsid w:val="00411A46"/>
    <w:rsid w:val="00412C1C"/>
    <w:rsid w:val="00416A9F"/>
    <w:rsid w:val="00416B38"/>
    <w:rsid w:val="00417B7F"/>
    <w:rsid w:val="004262EE"/>
    <w:rsid w:val="00427A50"/>
    <w:rsid w:val="00437F0C"/>
    <w:rsid w:val="00450E89"/>
    <w:rsid w:val="004535D7"/>
    <w:rsid w:val="004576B6"/>
    <w:rsid w:val="00457AEC"/>
    <w:rsid w:val="00492CB2"/>
    <w:rsid w:val="00494910"/>
    <w:rsid w:val="004A57A3"/>
    <w:rsid w:val="004C6FC0"/>
    <w:rsid w:val="004D3AFA"/>
    <w:rsid w:val="004D4492"/>
    <w:rsid w:val="004D67AA"/>
    <w:rsid w:val="004E6EB0"/>
    <w:rsid w:val="004F3435"/>
    <w:rsid w:val="004F5C89"/>
    <w:rsid w:val="004F5EE0"/>
    <w:rsid w:val="00524ABE"/>
    <w:rsid w:val="00530053"/>
    <w:rsid w:val="0054024B"/>
    <w:rsid w:val="005419F5"/>
    <w:rsid w:val="00547541"/>
    <w:rsid w:val="00551703"/>
    <w:rsid w:val="005567FC"/>
    <w:rsid w:val="00556B2D"/>
    <w:rsid w:val="00566D98"/>
    <w:rsid w:val="00574650"/>
    <w:rsid w:val="0058581D"/>
    <w:rsid w:val="00592D57"/>
    <w:rsid w:val="00594257"/>
    <w:rsid w:val="005A0042"/>
    <w:rsid w:val="005A664E"/>
    <w:rsid w:val="005B0E40"/>
    <w:rsid w:val="005B1EE9"/>
    <w:rsid w:val="005C6C27"/>
    <w:rsid w:val="005C6F65"/>
    <w:rsid w:val="005D587C"/>
    <w:rsid w:val="005E37BF"/>
    <w:rsid w:val="005F11E2"/>
    <w:rsid w:val="005F286E"/>
    <w:rsid w:val="00604FE0"/>
    <w:rsid w:val="00606F08"/>
    <w:rsid w:val="00622483"/>
    <w:rsid w:val="00645DED"/>
    <w:rsid w:val="006526BD"/>
    <w:rsid w:val="00656308"/>
    <w:rsid w:val="006724FF"/>
    <w:rsid w:val="00672E4C"/>
    <w:rsid w:val="00673FC6"/>
    <w:rsid w:val="0067655D"/>
    <w:rsid w:val="00677CD0"/>
    <w:rsid w:val="006802E7"/>
    <w:rsid w:val="00680E5C"/>
    <w:rsid w:val="00680FDC"/>
    <w:rsid w:val="0069070C"/>
    <w:rsid w:val="006A1972"/>
    <w:rsid w:val="006B0F57"/>
    <w:rsid w:val="006C5AAD"/>
    <w:rsid w:val="006D22BD"/>
    <w:rsid w:val="006E0D1D"/>
    <w:rsid w:val="006E22C8"/>
    <w:rsid w:val="006F17BB"/>
    <w:rsid w:val="0070120A"/>
    <w:rsid w:val="00717CE4"/>
    <w:rsid w:val="0074599A"/>
    <w:rsid w:val="00771334"/>
    <w:rsid w:val="0078288A"/>
    <w:rsid w:val="00784987"/>
    <w:rsid w:val="00787C80"/>
    <w:rsid w:val="00787F33"/>
    <w:rsid w:val="007A79D7"/>
    <w:rsid w:val="007B3163"/>
    <w:rsid w:val="007B43A4"/>
    <w:rsid w:val="007C00FD"/>
    <w:rsid w:val="007C2C24"/>
    <w:rsid w:val="007C36B6"/>
    <w:rsid w:val="007C7434"/>
    <w:rsid w:val="007D2413"/>
    <w:rsid w:val="007E183F"/>
    <w:rsid w:val="007F52C9"/>
    <w:rsid w:val="007F65AD"/>
    <w:rsid w:val="00813B80"/>
    <w:rsid w:val="008150F6"/>
    <w:rsid w:val="00817FE6"/>
    <w:rsid w:val="0082327C"/>
    <w:rsid w:val="008304BE"/>
    <w:rsid w:val="00832653"/>
    <w:rsid w:val="00843716"/>
    <w:rsid w:val="008453B6"/>
    <w:rsid w:val="008529E1"/>
    <w:rsid w:val="00865D4C"/>
    <w:rsid w:val="00896344"/>
    <w:rsid w:val="008A0E58"/>
    <w:rsid w:val="008A1BCA"/>
    <w:rsid w:val="008A3E12"/>
    <w:rsid w:val="008B4D17"/>
    <w:rsid w:val="0090508E"/>
    <w:rsid w:val="00914EED"/>
    <w:rsid w:val="00917B7B"/>
    <w:rsid w:val="009200E3"/>
    <w:rsid w:val="0092415C"/>
    <w:rsid w:val="0092709C"/>
    <w:rsid w:val="00932410"/>
    <w:rsid w:val="00933436"/>
    <w:rsid w:val="00941413"/>
    <w:rsid w:val="00942900"/>
    <w:rsid w:val="00943793"/>
    <w:rsid w:val="00947C20"/>
    <w:rsid w:val="00955266"/>
    <w:rsid w:val="00960D07"/>
    <w:rsid w:val="00971F7E"/>
    <w:rsid w:val="00977BB9"/>
    <w:rsid w:val="00985189"/>
    <w:rsid w:val="00986F89"/>
    <w:rsid w:val="00993262"/>
    <w:rsid w:val="00997983"/>
    <w:rsid w:val="009A0D11"/>
    <w:rsid w:val="009A1C54"/>
    <w:rsid w:val="009A484A"/>
    <w:rsid w:val="009C3CAD"/>
    <w:rsid w:val="009C7906"/>
    <w:rsid w:val="009C7ACA"/>
    <w:rsid w:val="009D4D5F"/>
    <w:rsid w:val="00A13036"/>
    <w:rsid w:val="00A237EE"/>
    <w:rsid w:val="00A52407"/>
    <w:rsid w:val="00A65FBB"/>
    <w:rsid w:val="00A744A8"/>
    <w:rsid w:val="00A81519"/>
    <w:rsid w:val="00A83562"/>
    <w:rsid w:val="00A86B86"/>
    <w:rsid w:val="00A87C9E"/>
    <w:rsid w:val="00AA2126"/>
    <w:rsid w:val="00AA4377"/>
    <w:rsid w:val="00AB4D43"/>
    <w:rsid w:val="00AE3050"/>
    <w:rsid w:val="00AF1710"/>
    <w:rsid w:val="00AF630D"/>
    <w:rsid w:val="00B020CF"/>
    <w:rsid w:val="00B04056"/>
    <w:rsid w:val="00B11463"/>
    <w:rsid w:val="00B1370C"/>
    <w:rsid w:val="00B13BC5"/>
    <w:rsid w:val="00B13D40"/>
    <w:rsid w:val="00B240F0"/>
    <w:rsid w:val="00B338CD"/>
    <w:rsid w:val="00B34DD9"/>
    <w:rsid w:val="00B55CCD"/>
    <w:rsid w:val="00B578BC"/>
    <w:rsid w:val="00B728F0"/>
    <w:rsid w:val="00B8392D"/>
    <w:rsid w:val="00B90453"/>
    <w:rsid w:val="00B91363"/>
    <w:rsid w:val="00B95099"/>
    <w:rsid w:val="00BD424D"/>
    <w:rsid w:val="00BD4CC7"/>
    <w:rsid w:val="00BF6CEA"/>
    <w:rsid w:val="00C01769"/>
    <w:rsid w:val="00C0243D"/>
    <w:rsid w:val="00C0269F"/>
    <w:rsid w:val="00C07475"/>
    <w:rsid w:val="00C12D10"/>
    <w:rsid w:val="00C24283"/>
    <w:rsid w:val="00C27219"/>
    <w:rsid w:val="00C36319"/>
    <w:rsid w:val="00C438A0"/>
    <w:rsid w:val="00C479B1"/>
    <w:rsid w:val="00C50AD0"/>
    <w:rsid w:val="00C537E3"/>
    <w:rsid w:val="00C6516B"/>
    <w:rsid w:val="00C84933"/>
    <w:rsid w:val="00C9577C"/>
    <w:rsid w:val="00CB2BD7"/>
    <w:rsid w:val="00CC3D48"/>
    <w:rsid w:val="00CE6CC0"/>
    <w:rsid w:val="00CF041E"/>
    <w:rsid w:val="00D00113"/>
    <w:rsid w:val="00D2268F"/>
    <w:rsid w:val="00D26F7A"/>
    <w:rsid w:val="00D4097F"/>
    <w:rsid w:val="00D45C14"/>
    <w:rsid w:val="00D568E9"/>
    <w:rsid w:val="00D64EDF"/>
    <w:rsid w:val="00D75082"/>
    <w:rsid w:val="00D76DD7"/>
    <w:rsid w:val="00D811C5"/>
    <w:rsid w:val="00D910C5"/>
    <w:rsid w:val="00DB01D7"/>
    <w:rsid w:val="00DC52BB"/>
    <w:rsid w:val="00DE0F30"/>
    <w:rsid w:val="00DE30AC"/>
    <w:rsid w:val="00DE5850"/>
    <w:rsid w:val="00DF3164"/>
    <w:rsid w:val="00E05BA8"/>
    <w:rsid w:val="00E22448"/>
    <w:rsid w:val="00E23804"/>
    <w:rsid w:val="00E34CB6"/>
    <w:rsid w:val="00E4147B"/>
    <w:rsid w:val="00E45076"/>
    <w:rsid w:val="00E459C5"/>
    <w:rsid w:val="00E470DE"/>
    <w:rsid w:val="00E474E3"/>
    <w:rsid w:val="00E61144"/>
    <w:rsid w:val="00E62EA5"/>
    <w:rsid w:val="00E64F77"/>
    <w:rsid w:val="00E65358"/>
    <w:rsid w:val="00E7151A"/>
    <w:rsid w:val="00E71C14"/>
    <w:rsid w:val="00E7412C"/>
    <w:rsid w:val="00E90D96"/>
    <w:rsid w:val="00E9480B"/>
    <w:rsid w:val="00E95047"/>
    <w:rsid w:val="00EB63F7"/>
    <w:rsid w:val="00EC3C68"/>
    <w:rsid w:val="00EC57D9"/>
    <w:rsid w:val="00EC7F2D"/>
    <w:rsid w:val="00ED43CA"/>
    <w:rsid w:val="00EF0254"/>
    <w:rsid w:val="00F135BC"/>
    <w:rsid w:val="00F170BC"/>
    <w:rsid w:val="00F179BC"/>
    <w:rsid w:val="00F20E41"/>
    <w:rsid w:val="00F4501D"/>
    <w:rsid w:val="00F64685"/>
    <w:rsid w:val="00F67DE2"/>
    <w:rsid w:val="00F74079"/>
    <w:rsid w:val="00F97B79"/>
    <w:rsid w:val="00FA6B74"/>
    <w:rsid w:val="00FB3F02"/>
    <w:rsid w:val="00FC65C9"/>
    <w:rsid w:val="00FD15CF"/>
    <w:rsid w:val="00FD481B"/>
    <w:rsid w:val="00FE2C0F"/>
    <w:rsid w:val="00FF2753"/>
    <w:rsid w:val="00FF2E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3pt" linestyle="thinThin"/>
    </o:shapedefaults>
    <o:shapelayout v:ext="edit">
      <o:idmap v:ext="edit" data="1"/>
    </o:shapelayout>
  </w:shapeDefaults>
  <w:decimalSymbol w:val=","/>
  <w:listSeparator w:val=";"/>
  <w14:docId w14:val="59085A7C"/>
  <w15:docId w15:val="{DA442FAF-6026-4190-88B2-526A6942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firstLine="720"/>
      <w:jc w:val="both"/>
    </w:pPr>
    <w:rPr>
      <w:sz w:val="28"/>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rPr>
      <w:b/>
      <w:bCs/>
    </w:rPr>
  </w:style>
  <w:style w:type="paragraph" w:styleId="Heading6">
    <w:name w:val="heading 6"/>
    <w:basedOn w:val="Normal"/>
    <w:next w:val="Normal"/>
    <w:qFormat/>
    <w:pPr>
      <w:keepNext/>
      <w:tabs>
        <w:tab w:val="left" w:pos="0"/>
      </w:tabs>
      <w:outlineLvl w:val="5"/>
    </w:pPr>
    <w:rPr>
      <w:b/>
      <w:sz w:val="26"/>
    </w:rPr>
  </w:style>
  <w:style w:type="paragraph" w:styleId="Heading8">
    <w:name w:val="heading 8"/>
    <w:basedOn w:val="Normal"/>
    <w:next w:val="Normal"/>
    <w:qFormat/>
    <w:pPr>
      <w:keepNext/>
      <w:tabs>
        <w:tab w:val="left" w:pos="0"/>
      </w:tabs>
      <w:jc w:val="center"/>
      <w:outlineLvl w:val="7"/>
    </w:pPr>
    <w:rPr>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spacing w:after="0"/>
      <w:ind w:firstLine="0"/>
    </w:pPr>
    <w:rPr>
      <w:sz w:val="24"/>
    </w:rPr>
  </w:style>
  <w:style w:type="paragraph" w:styleId="FootnoteText">
    <w:name w:val="footnote text"/>
    <w:basedOn w:val="Normal"/>
    <w:semiHidden/>
    <w:rPr>
      <w:rFonts w:ascii="Garamond" w:hAnsi="Garamond"/>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customStyle="1" w:styleId="tabtekst">
    <w:name w:val="tab_tekst"/>
    <w:basedOn w:val="Normal"/>
    <w:pPr>
      <w:spacing w:after="0"/>
      <w:ind w:firstLine="0"/>
      <w:jc w:val="left"/>
    </w:pPr>
    <w:rPr>
      <w:kern w:val="24"/>
      <w:sz w:val="20"/>
    </w:rPr>
  </w:style>
  <w:style w:type="paragraph" w:customStyle="1" w:styleId="tabparaksts">
    <w:name w:val="tab_paraksts"/>
    <w:basedOn w:val="Normal"/>
    <w:pPr>
      <w:spacing w:before="120" w:after="0"/>
      <w:ind w:firstLine="0"/>
      <w:jc w:val="center"/>
    </w:pPr>
    <w:rPr>
      <w:i/>
      <w:kern w:val="24"/>
      <w:sz w:val="20"/>
    </w:rPr>
  </w:style>
  <w:style w:type="paragraph" w:styleId="BalloonText">
    <w:name w:val="Balloon Text"/>
    <w:basedOn w:val="Normal"/>
    <w:semiHidden/>
    <w:rPr>
      <w:rFonts w:ascii="Tahoma" w:hAnsi="Tahoma" w:cs="Tahoma"/>
      <w:sz w:val="16"/>
      <w:szCs w:val="16"/>
    </w:rPr>
  </w:style>
  <w:style w:type="paragraph" w:customStyle="1" w:styleId="H1">
    <w:name w:val="H1"/>
    <w:pPr>
      <w:spacing w:after="120"/>
      <w:jc w:val="center"/>
      <w:outlineLvl w:val="0"/>
    </w:pPr>
    <w:rPr>
      <w:b/>
      <w:sz w:val="44"/>
    </w:rPr>
  </w:style>
  <w:style w:type="paragraph" w:customStyle="1" w:styleId="H2">
    <w:name w:val="H2"/>
    <w:pPr>
      <w:spacing w:after="120"/>
      <w:jc w:val="center"/>
      <w:outlineLvl w:val="1"/>
    </w:pPr>
    <w:rPr>
      <w:b/>
      <w:sz w:val="36"/>
    </w:rPr>
  </w:style>
  <w:style w:type="paragraph" w:customStyle="1" w:styleId="H3">
    <w:name w:val="H3"/>
    <w:pPr>
      <w:spacing w:after="120"/>
      <w:jc w:val="center"/>
      <w:outlineLvl w:val="2"/>
    </w:pPr>
    <w:rPr>
      <w:b/>
      <w:sz w:val="32"/>
    </w:rPr>
  </w:style>
  <w:style w:type="paragraph" w:customStyle="1" w:styleId="H4">
    <w:name w:val="H4"/>
    <w:pPr>
      <w:spacing w:after="120"/>
      <w:jc w:val="center"/>
      <w:outlineLvl w:val="3"/>
    </w:pPr>
    <w:rPr>
      <w:b/>
      <w:sz w:val="28"/>
    </w:rPr>
  </w:style>
  <w:style w:type="paragraph" w:customStyle="1" w:styleId="T">
    <w:name w:val="T"/>
    <w:basedOn w:val="Normal"/>
    <w:pPr>
      <w:ind w:firstLine="0"/>
      <w:jc w:val="center"/>
    </w:pPr>
    <w:rPr>
      <w:b/>
      <w:i/>
    </w:rPr>
  </w:style>
  <w:style w:type="paragraph" w:customStyle="1" w:styleId="Z">
    <w:name w:val="Z"/>
    <w:basedOn w:val="T"/>
  </w:style>
  <w:style w:type="paragraph" w:styleId="Header">
    <w:name w:val="header"/>
    <w:basedOn w:val="Normal"/>
    <w:link w:val="HeaderChar"/>
    <w:uiPriority w:val="99"/>
    <w:pPr>
      <w:tabs>
        <w:tab w:val="center" w:pos="4153"/>
        <w:tab w:val="right" w:pos="8306"/>
      </w:tabs>
      <w:spacing w:after="0"/>
      <w:ind w:firstLine="0"/>
    </w:pPr>
    <w:rPr>
      <w:sz w:val="24"/>
    </w:rPr>
  </w:style>
  <w:style w:type="paragraph" w:customStyle="1" w:styleId="teksts">
    <w:name w:val="teksts"/>
    <w:pPr>
      <w:spacing w:after="40"/>
      <w:jc w:val="both"/>
    </w:pPr>
    <w:rPr>
      <w:rFonts w:ascii="Garamond" w:hAnsi="Garamond"/>
      <w:kern w:val="24"/>
      <w:sz w:val="24"/>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att">
    <w:name w:val="att"/>
    <w:basedOn w:val="Normal"/>
    <w:pPr>
      <w:ind w:firstLine="0"/>
      <w:jc w:val="center"/>
    </w:pPr>
    <w:rPr>
      <w:snapToGrid w:val="0"/>
      <w:color w:val="000000"/>
      <w:lang w:eastAsia="en-US"/>
    </w:rPr>
  </w:style>
  <w:style w:type="paragraph" w:styleId="CommentSubject">
    <w:name w:val="annotation subject"/>
    <w:basedOn w:val="CommentText"/>
    <w:next w:val="CommentText"/>
    <w:semiHidden/>
    <w:rPr>
      <w:b/>
      <w:bCs/>
    </w:rPr>
  </w:style>
  <w:style w:type="paragraph" w:customStyle="1" w:styleId="attpar">
    <w:name w:val="att_par"/>
    <w:pPr>
      <w:ind w:left="567" w:right="851" w:hanging="567"/>
    </w:pPr>
    <w:rPr>
      <w:rFonts w:ascii="Garamond" w:hAnsi="Garamond"/>
      <w:lang w:eastAsia="en-U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pPr>
      <w:spacing w:after="0"/>
      <w:ind w:left="720" w:firstLine="0"/>
      <w:jc w:val="left"/>
    </w:pPr>
    <w:rPr>
      <w:rFonts w:ascii="Calibri" w:eastAsia="Calibri" w:hAnsi="Calibri"/>
      <w:sz w:val="22"/>
      <w:szCs w:val="22"/>
    </w:rPr>
  </w:style>
  <w:style w:type="character" w:styleId="Hyperlink">
    <w:name w:val="Hyperlink"/>
    <w:semiHidden/>
    <w:rPr>
      <w:color w:val="0000FF"/>
      <w:u w:val="single"/>
    </w:rPr>
  </w:style>
  <w:style w:type="paragraph" w:styleId="NormalWeb">
    <w:name w:val="Normal (Web)"/>
    <w:basedOn w:val="Normal"/>
    <w:semiHidden/>
    <w:unhideWhenUsed/>
    <w:pPr>
      <w:spacing w:before="100" w:beforeAutospacing="1" w:after="100" w:afterAutospacing="1"/>
      <w:ind w:firstLine="0"/>
      <w:jc w:val="left"/>
    </w:pPr>
    <w:rPr>
      <w:color w:val="083064"/>
      <w:sz w:val="18"/>
      <w:szCs w:val="18"/>
    </w:rPr>
  </w:style>
  <w:style w:type="paragraph" w:customStyle="1" w:styleId="tabteksts">
    <w:name w:val="tab_teksts"/>
    <w:basedOn w:val="Normal"/>
    <w:pPr>
      <w:spacing w:after="0"/>
      <w:ind w:firstLine="0"/>
      <w:jc w:val="left"/>
    </w:pPr>
    <w:rPr>
      <w:sz w:val="20"/>
      <w:lang w:eastAsia="en-US"/>
    </w:rPr>
  </w:style>
  <w:style w:type="character" w:customStyle="1" w:styleId="FooterChar">
    <w:name w:val="Footer Char"/>
    <w:rPr>
      <w:sz w:val="24"/>
    </w:rPr>
  </w:style>
  <w:style w:type="paragraph" w:styleId="BodyTextIndent">
    <w:name w:val="Body Text Indent"/>
    <w:basedOn w:val="Normal"/>
    <w:semiHidden/>
  </w:style>
  <w:style w:type="paragraph" w:customStyle="1" w:styleId="StilsPirmrindia0cm">
    <w:name w:val="Stils Pirmā rindiņa:  0 cm"/>
    <w:basedOn w:val="Normal"/>
    <w:pPr>
      <w:spacing w:after="0"/>
      <w:ind w:firstLine="0"/>
    </w:pPr>
    <w:rPr>
      <w:sz w:val="24"/>
      <w:lang w:eastAsia="en-US"/>
    </w:rPr>
  </w:style>
  <w:style w:type="paragraph" w:styleId="BodyTextIndent2">
    <w:name w:val="Body Text Indent 2"/>
    <w:basedOn w:val="Normal"/>
    <w:semiHidden/>
    <w:pPr>
      <w:spacing w:after="0"/>
    </w:pPr>
    <w:rPr>
      <w:lang w:eastAsia="en-US"/>
    </w:rPr>
  </w:style>
  <w:style w:type="paragraph" w:customStyle="1" w:styleId="Lielaisvirsraksts">
    <w:name w:val="Lielais virsraksts"/>
    <w:basedOn w:val="Heading1"/>
    <w:next w:val="Normal"/>
    <w:pPr>
      <w:numPr>
        <w:numId w:val="22"/>
      </w:numPr>
      <w:spacing w:before="240" w:after="60"/>
    </w:pPr>
    <w:rPr>
      <w:rFonts w:cs="Arial"/>
      <w:bCs/>
      <w:kern w:val="32"/>
      <w:sz w:val="32"/>
      <w:szCs w:val="32"/>
      <w:lang w:eastAsia="en-US"/>
    </w:rPr>
  </w:style>
  <w:style w:type="paragraph" w:customStyle="1" w:styleId="Pielikumiem">
    <w:name w:val="Pielikumiem"/>
    <w:basedOn w:val="Heading1"/>
    <w:next w:val="BodyText"/>
    <w:pPr>
      <w:numPr>
        <w:numId w:val="23"/>
      </w:numPr>
      <w:spacing w:before="240" w:after="60"/>
      <w:jc w:val="right"/>
    </w:pPr>
    <w:rPr>
      <w:rFonts w:cs="Arial"/>
      <w:bCs/>
      <w:kern w:val="32"/>
      <w:sz w:val="28"/>
      <w:szCs w:val="32"/>
      <w:lang w:eastAsia="en-US"/>
    </w:rPr>
  </w:style>
  <w:style w:type="paragraph" w:styleId="BodyText">
    <w:name w:val="Body Text"/>
    <w:basedOn w:val="Normal"/>
    <w:semiHidden/>
    <w:pPr>
      <w:spacing w:after="0"/>
      <w:ind w:firstLine="0"/>
    </w:pPr>
    <w:rPr>
      <w:sz w:val="24"/>
      <w:lang w:eastAsia="en-US"/>
    </w:rPr>
  </w:style>
  <w:style w:type="paragraph" w:customStyle="1" w:styleId="11">
    <w:name w:val="1.1"/>
    <w:basedOn w:val="Normal"/>
    <w:pPr>
      <w:spacing w:after="0"/>
      <w:ind w:firstLine="0"/>
    </w:pPr>
    <w:rPr>
      <w:sz w:val="24"/>
      <w:lang w:eastAsia="en-US"/>
    </w:rPr>
  </w:style>
  <w:style w:type="paragraph" w:customStyle="1" w:styleId="1">
    <w:name w:val="1"/>
    <w:basedOn w:val="Normal"/>
    <w:pPr>
      <w:spacing w:after="0"/>
      <w:ind w:firstLine="0"/>
    </w:pPr>
    <w:rPr>
      <w:sz w:val="24"/>
      <w:lang w:eastAsia="en-US"/>
    </w:rPr>
  </w:style>
  <w:style w:type="paragraph" w:customStyle="1" w:styleId="111">
    <w:name w:val="1.1.1"/>
    <w:basedOn w:val="Normal"/>
    <w:pPr>
      <w:spacing w:after="0"/>
      <w:ind w:firstLine="0"/>
    </w:pPr>
    <w:rPr>
      <w:sz w:val="24"/>
      <w:lang w:eastAsia="en-US"/>
    </w:rPr>
  </w:style>
  <w:style w:type="paragraph" w:customStyle="1" w:styleId="1111">
    <w:name w:val="1.1.1.1"/>
    <w:basedOn w:val="Normal"/>
    <w:pPr>
      <w:tabs>
        <w:tab w:val="left" w:pos="2835"/>
      </w:tabs>
      <w:spacing w:after="0"/>
      <w:ind w:firstLine="0"/>
    </w:pPr>
    <w:rPr>
      <w:sz w:val="24"/>
      <w:lang w:eastAsia="en-US"/>
    </w:rPr>
  </w:style>
  <w:style w:type="paragraph" w:customStyle="1" w:styleId="Stlis11111">
    <w:name w:val="Stlis 1.1.1.1.1"/>
    <w:basedOn w:val="Normal"/>
    <w:pPr>
      <w:spacing w:after="0"/>
      <w:ind w:firstLine="0"/>
    </w:pPr>
    <w:rPr>
      <w:sz w:val="24"/>
      <w:lang w:eastAsia="en-US"/>
    </w:rPr>
  </w:style>
  <w:style w:type="paragraph" w:customStyle="1" w:styleId="Stlis1">
    <w:name w:val="Stlis 1"/>
    <w:basedOn w:val="Normal"/>
    <w:pPr>
      <w:numPr>
        <w:numId w:val="25"/>
      </w:numPr>
      <w:spacing w:after="0"/>
    </w:pPr>
    <w:rPr>
      <w:sz w:val="24"/>
      <w:lang w:eastAsia="en-US"/>
    </w:rPr>
  </w:style>
  <w:style w:type="paragraph" w:customStyle="1" w:styleId="Stils11">
    <w:name w:val="Stils 1.1"/>
    <w:basedOn w:val="Normal"/>
    <w:pPr>
      <w:numPr>
        <w:ilvl w:val="1"/>
        <w:numId w:val="25"/>
      </w:numPr>
      <w:spacing w:after="0"/>
    </w:pPr>
    <w:rPr>
      <w:sz w:val="24"/>
      <w:lang w:eastAsia="en-US"/>
    </w:rPr>
  </w:style>
  <w:style w:type="paragraph" w:customStyle="1" w:styleId="Stils111">
    <w:name w:val="Stils 1.1.1"/>
    <w:basedOn w:val="Normal"/>
    <w:pPr>
      <w:numPr>
        <w:ilvl w:val="2"/>
        <w:numId w:val="25"/>
      </w:numPr>
      <w:spacing w:after="0"/>
    </w:pPr>
    <w:rPr>
      <w:sz w:val="24"/>
      <w:lang w:eastAsia="en-US"/>
    </w:rPr>
  </w:style>
  <w:style w:type="paragraph" w:customStyle="1" w:styleId="Stlis1111">
    <w:name w:val="Stlis 1.1.1.1"/>
    <w:basedOn w:val="Normal"/>
    <w:pPr>
      <w:numPr>
        <w:ilvl w:val="3"/>
        <w:numId w:val="25"/>
      </w:numPr>
      <w:tabs>
        <w:tab w:val="left" w:pos="2835"/>
      </w:tabs>
      <w:spacing w:after="0"/>
    </w:pPr>
    <w:rPr>
      <w:sz w:val="24"/>
      <w:lang w:eastAsia="en-US"/>
    </w:rPr>
  </w:style>
  <w:style w:type="paragraph" w:customStyle="1" w:styleId="Stils11111">
    <w:name w:val="Stils 1.1.1.1.1"/>
    <w:basedOn w:val="Normal"/>
    <w:pPr>
      <w:numPr>
        <w:ilvl w:val="4"/>
        <w:numId w:val="25"/>
      </w:numPr>
      <w:spacing w:after="0"/>
    </w:pPr>
    <w:rPr>
      <w:sz w:val="24"/>
      <w:lang w:eastAsia="en-US"/>
    </w:rPr>
  </w:style>
  <w:style w:type="paragraph" w:customStyle="1" w:styleId="teksts1r">
    <w:name w:val="teksts_1r"/>
    <w:basedOn w:val="teksts"/>
    <w:pPr>
      <w:spacing w:before="120" w:after="120"/>
    </w:pPr>
    <w:rPr>
      <w:snapToGrid w:val="0"/>
      <w:kern w:val="0"/>
    </w:rPr>
  </w:style>
  <w:style w:type="paragraph" w:customStyle="1" w:styleId="tekstsbul">
    <w:name w:val="teksts_bul"/>
    <w:basedOn w:val="teksts"/>
    <w:pPr>
      <w:numPr>
        <w:numId w:val="3"/>
      </w:numPr>
      <w:spacing w:after="0"/>
    </w:pPr>
    <w:rPr>
      <w:snapToGrid w:val="0"/>
      <w:kern w:val="0"/>
    </w:rPr>
  </w:style>
  <w:style w:type="paragraph" w:customStyle="1" w:styleId="virsr21">
    <w:name w:val="virsr_21"/>
    <w:basedOn w:val="teksts"/>
    <w:pPr>
      <w:keepNext/>
      <w:numPr>
        <w:numId w:val="28"/>
      </w:numPr>
      <w:tabs>
        <w:tab w:val="clear" w:pos="360"/>
      </w:tabs>
      <w:spacing w:before="360" w:after="120"/>
      <w:ind w:left="0" w:firstLine="0"/>
      <w:jc w:val="left"/>
      <w:outlineLvl w:val="2"/>
    </w:pPr>
    <w:rPr>
      <w:b/>
      <w:snapToGrid w:val="0"/>
      <w:kern w:val="0"/>
    </w:rPr>
  </w:style>
  <w:style w:type="paragraph" w:styleId="BodyTextIndent3">
    <w:name w:val="Body Text Indent 3"/>
    <w:basedOn w:val="Normal"/>
    <w:link w:val="BodyTextIndent3Char"/>
    <w:semiHidden/>
    <w:rPr>
      <w:b/>
      <w:bCs/>
      <w:szCs w:val="28"/>
    </w:rPr>
  </w:style>
  <w:style w:type="paragraph" w:styleId="Revision">
    <w:name w:val="Revision"/>
    <w:hidden/>
    <w:semiHidden/>
    <w:rPr>
      <w:sz w:val="28"/>
    </w:rPr>
  </w:style>
  <w:style w:type="character" w:customStyle="1" w:styleId="CommentTextChar">
    <w:name w:val="Comment Text Char"/>
    <w:basedOn w:val="DefaultParagraphFont"/>
    <w:semiHidden/>
  </w:style>
  <w:style w:type="paragraph" w:customStyle="1" w:styleId="font5">
    <w:name w:val="font5"/>
    <w:basedOn w:val="Normal"/>
    <w:pPr>
      <w:spacing w:before="100" w:beforeAutospacing="1" w:after="100" w:afterAutospacing="1"/>
      <w:ind w:firstLine="0"/>
      <w:jc w:val="left"/>
    </w:pPr>
    <w:rPr>
      <w:rFonts w:eastAsia="Arial Unicode MS"/>
      <w:sz w:val="20"/>
      <w:lang w:val="en-GB" w:eastAsia="en-US"/>
    </w:rPr>
  </w:style>
  <w:style w:type="paragraph" w:customStyle="1" w:styleId="font7">
    <w:name w:val="font7"/>
    <w:basedOn w:val="Normal"/>
    <w:pPr>
      <w:spacing w:before="100" w:beforeAutospacing="1" w:after="100" w:afterAutospacing="1"/>
      <w:ind w:firstLine="0"/>
      <w:jc w:val="left"/>
    </w:pPr>
    <w:rPr>
      <w:rFonts w:eastAsia="Arial Unicode MS"/>
      <w:sz w:val="20"/>
      <w:lang w:val="en-GB" w:eastAsia="en-US"/>
    </w:rPr>
  </w:style>
  <w:style w:type="character" w:styleId="FollowedHyperlink">
    <w:name w:val="FollowedHyperlink"/>
    <w:semiHidden/>
    <w:rPr>
      <w:color w:val="800080"/>
      <w:u w:val="single"/>
    </w:rPr>
  </w:style>
  <w:style w:type="character" w:customStyle="1" w:styleId="BodyTextIndent3Char">
    <w:name w:val="Body Text Indent 3 Char"/>
    <w:link w:val="BodyTextIndent3"/>
    <w:semiHidden/>
    <w:rsid w:val="006B0F57"/>
    <w:rPr>
      <w:b/>
      <w:bCs/>
      <w:sz w:val="28"/>
      <w:szCs w:val="28"/>
    </w:rPr>
  </w:style>
  <w:style w:type="paragraph" w:styleId="BodyText3">
    <w:name w:val="Body Text 3"/>
    <w:basedOn w:val="Normal"/>
    <w:link w:val="BodyText3Char"/>
    <w:uiPriority w:val="99"/>
    <w:semiHidden/>
    <w:unhideWhenUsed/>
    <w:rsid w:val="006C5AAD"/>
    <w:rPr>
      <w:sz w:val="16"/>
      <w:szCs w:val="16"/>
    </w:rPr>
  </w:style>
  <w:style w:type="character" w:customStyle="1" w:styleId="BodyText3Char">
    <w:name w:val="Body Text 3 Char"/>
    <w:link w:val="BodyText3"/>
    <w:uiPriority w:val="99"/>
    <w:semiHidden/>
    <w:rsid w:val="006C5AAD"/>
    <w:rPr>
      <w:sz w:val="16"/>
      <w:szCs w:val="16"/>
    </w:rPr>
  </w:style>
  <w:style w:type="character" w:customStyle="1" w:styleId="HeaderChar">
    <w:name w:val="Header Char"/>
    <w:link w:val="Header"/>
    <w:uiPriority w:val="99"/>
    <w:rsid w:val="006C5AAD"/>
    <w:rPr>
      <w:sz w:val="24"/>
    </w:rPr>
  </w:style>
  <w:style w:type="paragraph" w:customStyle="1" w:styleId="tv2131">
    <w:name w:val="tv2131"/>
    <w:basedOn w:val="Normal"/>
    <w:rsid w:val="007E183F"/>
    <w:pPr>
      <w:spacing w:after="0" w:line="360" w:lineRule="auto"/>
      <w:ind w:firstLine="300"/>
      <w:jc w:val="left"/>
    </w:pPr>
    <w:rPr>
      <w:color w:val="414142"/>
      <w:sz w:val="20"/>
    </w:rPr>
  </w:style>
  <w:style w:type="paragraph" w:styleId="PlainText">
    <w:name w:val="Plain Text"/>
    <w:basedOn w:val="Normal"/>
    <w:link w:val="PlainTextChar"/>
    <w:uiPriority w:val="99"/>
    <w:unhideWhenUsed/>
    <w:rsid w:val="00AE3050"/>
    <w:pPr>
      <w:spacing w:after="0"/>
      <w:ind w:firstLine="0"/>
      <w:jc w:val="left"/>
    </w:pPr>
    <w:rPr>
      <w:rFonts w:ascii="Calibri" w:eastAsia="Calibri" w:hAnsi="Calibri"/>
      <w:sz w:val="22"/>
      <w:szCs w:val="21"/>
      <w:lang w:eastAsia="en-US"/>
    </w:rPr>
  </w:style>
  <w:style w:type="character" w:customStyle="1" w:styleId="PlainTextChar">
    <w:name w:val="Plain Text Char"/>
    <w:link w:val="PlainText"/>
    <w:uiPriority w:val="99"/>
    <w:rsid w:val="00AE3050"/>
    <w:rPr>
      <w:rFonts w:ascii="Calibri" w:eastAsia="Calibri" w:hAnsi="Calibri"/>
      <w:sz w:val="22"/>
      <w:szCs w:val="21"/>
      <w:lang w:eastAsia="en-US"/>
    </w:rPr>
  </w:style>
  <w:style w:type="paragraph" w:customStyle="1" w:styleId="tv2132">
    <w:name w:val="tv2132"/>
    <w:basedOn w:val="Normal"/>
    <w:rsid w:val="00045DB9"/>
    <w:pPr>
      <w:spacing w:after="0" w:line="360" w:lineRule="auto"/>
      <w:ind w:firstLine="300"/>
      <w:jc w:val="left"/>
    </w:pPr>
    <w:rPr>
      <w:color w:val="414142"/>
      <w:sz w:val="20"/>
    </w:rPr>
  </w:style>
  <w:style w:type="paragraph" w:styleId="ListBullet">
    <w:name w:val="List Bullet"/>
    <w:basedOn w:val="Normal"/>
    <w:uiPriority w:val="99"/>
    <w:unhideWhenUsed/>
    <w:rsid w:val="00E65358"/>
    <w:pPr>
      <w:numPr>
        <w:numId w:val="42"/>
      </w:numPr>
      <w:contextualSpacing/>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3F5B00"/>
    <w:rPr>
      <w:rFonts w:ascii="Calibri" w:eastAsia="Calibri" w:hAnsi="Calibri"/>
      <w:sz w:val="22"/>
      <w:szCs w:val="22"/>
    </w:rPr>
  </w:style>
  <w:style w:type="character" w:customStyle="1" w:styleId="c2">
    <w:name w:val="c2"/>
    <w:rsid w:val="005A664E"/>
    <w:rPr>
      <w:rFonts w:ascii="Times New Roman" w:hAnsi="Times New Roman" w:cs="Times New Roman"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3640">
      <w:bodyDiv w:val="1"/>
      <w:marLeft w:val="0"/>
      <w:marRight w:val="0"/>
      <w:marTop w:val="0"/>
      <w:marBottom w:val="0"/>
      <w:divBdr>
        <w:top w:val="none" w:sz="0" w:space="0" w:color="auto"/>
        <w:left w:val="none" w:sz="0" w:space="0" w:color="auto"/>
        <w:bottom w:val="none" w:sz="0" w:space="0" w:color="auto"/>
        <w:right w:val="none" w:sz="0" w:space="0" w:color="auto"/>
      </w:divBdr>
    </w:div>
    <w:div w:id="171725597">
      <w:bodyDiv w:val="1"/>
      <w:marLeft w:val="0"/>
      <w:marRight w:val="0"/>
      <w:marTop w:val="0"/>
      <w:marBottom w:val="0"/>
      <w:divBdr>
        <w:top w:val="none" w:sz="0" w:space="0" w:color="auto"/>
        <w:left w:val="none" w:sz="0" w:space="0" w:color="auto"/>
        <w:bottom w:val="none" w:sz="0" w:space="0" w:color="auto"/>
        <w:right w:val="none" w:sz="0" w:space="0" w:color="auto"/>
      </w:divBdr>
    </w:div>
    <w:div w:id="285552187">
      <w:bodyDiv w:val="1"/>
      <w:marLeft w:val="0"/>
      <w:marRight w:val="0"/>
      <w:marTop w:val="0"/>
      <w:marBottom w:val="0"/>
      <w:divBdr>
        <w:top w:val="none" w:sz="0" w:space="0" w:color="auto"/>
        <w:left w:val="none" w:sz="0" w:space="0" w:color="auto"/>
        <w:bottom w:val="none" w:sz="0" w:space="0" w:color="auto"/>
        <w:right w:val="none" w:sz="0" w:space="0" w:color="auto"/>
      </w:divBdr>
    </w:div>
    <w:div w:id="292828753">
      <w:bodyDiv w:val="1"/>
      <w:marLeft w:val="0"/>
      <w:marRight w:val="0"/>
      <w:marTop w:val="0"/>
      <w:marBottom w:val="0"/>
      <w:divBdr>
        <w:top w:val="none" w:sz="0" w:space="0" w:color="auto"/>
        <w:left w:val="none" w:sz="0" w:space="0" w:color="auto"/>
        <w:bottom w:val="none" w:sz="0" w:space="0" w:color="auto"/>
        <w:right w:val="none" w:sz="0" w:space="0" w:color="auto"/>
      </w:divBdr>
    </w:div>
    <w:div w:id="370309010">
      <w:bodyDiv w:val="1"/>
      <w:marLeft w:val="0"/>
      <w:marRight w:val="0"/>
      <w:marTop w:val="0"/>
      <w:marBottom w:val="0"/>
      <w:divBdr>
        <w:top w:val="none" w:sz="0" w:space="0" w:color="auto"/>
        <w:left w:val="none" w:sz="0" w:space="0" w:color="auto"/>
        <w:bottom w:val="none" w:sz="0" w:space="0" w:color="auto"/>
        <w:right w:val="none" w:sz="0" w:space="0" w:color="auto"/>
      </w:divBdr>
    </w:div>
    <w:div w:id="388766560">
      <w:bodyDiv w:val="1"/>
      <w:marLeft w:val="0"/>
      <w:marRight w:val="0"/>
      <w:marTop w:val="0"/>
      <w:marBottom w:val="0"/>
      <w:divBdr>
        <w:top w:val="none" w:sz="0" w:space="0" w:color="auto"/>
        <w:left w:val="none" w:sz="0" w:space="0" w:color="auto"/>
        <w:bottom w:val="none" w:sz="0" w:space="0" w:color="auto"/>
        <w:right w:val="none" w:sz="0" w:space="0" w:color="auto"/>
      </w:divBdr>
      <w:divsChild>
        <w:div w:id="409621197">
          <w:marLeft w:val="0"/>
          <w:marRight w:val="0"/>
          <w:marTop w:val="0"/>
          <w:marBottom w:val="0"/>
          <w:divBdr>
            <w:top w:val="none" w:sz="0" w:space="0" w:color="auto"/>
            <w:left w:val="none" w:sz="0" w:space="0" w:color="auto"/>
            <w:bottom w:val="none" w:sz="0" w:space="0" w:color="auto"/>
            <w:right w:val="none" w:sz="0" w:space="0" w:color="auto"/>
          </w:divBdr>
          <w:divsChild>
            <w:div w:id="1485582143">
              <w:marLeft w:val="0"/>
              <w:marRight w:val="0"/>
              <w:marTop w:val="0"/>
              <w:marBottom w:val="0"/>
              <w:divBdr>
                <w:top w:val="none" w:sz="0" w:space="0" w:color="auto"/>
                <w:left w:val="none" w:sz="0" w:space="0" w:color="auto"/>
                <w:bottom w:val="none" w:sz="0" w:space="0" w:color="auto"/>
                <w:right w:val="none" w:sz="0" w:space="0" w:color="auto"/>
              </w:divBdr>
              <w:divsChild>
                <w:div w:id="1813213361">
                  <w:marLeft w:val="0"/>
                  <w:marRight w:val="0"/>
                  <w:marTop w:val="0"/>
                  <w:marBottom w:val="0"/>
                  <w:divBdr>
                    <w:top w:val="none" w:sz="0" w:space="0" w:color="auto"/>
                    <w:left w:val="none" w:sz="0" w:space="0" w:color="auto"/>
                    <w:bottom w:val="none" w:sz="0" w:space="0" w:color="auto"/>
                    <w:right w:val="none" w:sz="0" w:space="0" w:color="auto"/>
                  </w:divBdr>
                  <w:divsChild>
                    <w:div w:id="1285892542">
                      <w:marLeft w:val="0"/>
                      <w:marRight w:val="0"/>
                      <w:marTop w:val="0"/>
                      <w:marBottom w:val="0"/>
                      <w:divBdr>
                        <w:top w:val="none" w:sz="0" w:space="0" w:color="auto"/>
                        <w:left w:val="none" w:sz="0" w:space="0" w:color="auto"/>
                        <w:bottom w:val="none" w:sz="0" w:space="0" w:color="auto"/>
                        <w:right w:val="none" w:sz="0" w:space="0" w:color="auto"/>
                      </w:divBdr>
                      <w:divsChild>
                        <w:div w:id="1800951059">
                          <w:marLeft w:val="0"/>
                          <w:marRight w:val="0"/>
                          <w:marTop w:val="0"/>
                          <w:marBottom w:val="0"/>
                          <w:divBdr>
                            <w:top w:val="none" w:sz="0" w:space="0" w:color="auto"/>
                            <w:left w:val="none" w:sz="0" w:space="0" w:color="auto"/>
                            <w:bottom w:val="none" w:sz="0" w:space="0" w:color="auto"/>
                            <w:right w:val="none" w:sz="0" w:space="0" w:color="auto"/>
                          </w:divBdr>
                          <w:divsChild>
                            <w:div w:id="15884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846631">
      <w:bodyDiv w:val="1"/>
      <w:marLeft w:val="0"/>
      <w:marRight w:val="0"/>
      <w:marTop w:val="0"/>
      <w:marBottom w:val="0"/>
      <w:divBdr>
        <w:top w:val="none" w:sz="0" w:space="0" w:color="auto"/>
        <w:left w:val="none" w:sz="0" w:space="0" w:color="auto"/>
        <w:bottom w:val="none" w:sz="0" w:space="0" w:color="auto"/>
        <w:right w:val="none" w:sz="0" w:space="0" w:color="auto"/>
      </w:divBdr>
    </w:div>
    <w:div w:id="1083573620">
      <w:bodyDiv w:val="1"/>
      <w:marLeft w:val="0"/>
      <w:marRight w:val="0"/>
      <w:marTop w:val="0"/>
      <w:marBottom w:val="0"/>
      <w:divBdr>
        <w:top w:val="none" w:sz="0" w:space="0" w:color="auto"/>
        <w:left w:val="none" w:sz="0" w:space="0" w:color="auto"/>
        <w:bottom w:val="none" w:sz="0" w:space="0" w:color="auto"/>
        <w:right w:val="none" w:sz="0" w:space="0" w:color="auto"/>
      </w:divBdr>
    </w:div>
    <w:div w:id="1189413754">
      <w:bodyDiv w:val="1"/>
      <w:marLeft w:val="0"/>
      <w:marRight w:val="0"/>
      <w:marTop w:val="0"/>
      <w:marBottom w:val="0"/>
      <w:divBdr>
        <w:top w:val="none" w:sz="0" w:space="0" w:color="auto"/>
        <w:left w:val="none" w:sz="0" w:space="0" w:color="auto"/>
        <w:bottom w:val="none" w:sz="0" w:space="0" w:color="auto"/>
        <w:right w:val="none" w:sz="0" w:space="0" w:color="auto"/>
      </w:divBdr>
      <w:divsChild>
        <w:div w:id="508759560">
          <w:marLeft w:val="0"/>
          <w:marRight w:val="0"/>
          <w:marTop w:val="0"/>
          <w:marBottom w:val="0"/>
          <w:divBdr>
            <w:top w:val="none" w:sz="0" w:space="0" w:color="auto"/>
            <w:left w:val="none" w:sz="0" w:space="0" w:color="auto"/>
            <w:bottom w:val="none" w:sz="0" w:space="0" w:color="auto"/>
            <w:right w:val="none" w:sz="0" w:space="0" w:color="auto"/>
          </w:divBdr>
          <w:divsChild>
            <w:div w:id="697395545">
              <w:marLeft w:val="0"/>
              <w:marRight w:val="0"/>
              <w:marTop w:val="0"/>
              <w:marBottom w:val="0"/>
              <w:divBdr>
                <w:top w:val="none" w:sz="0" w:space="0" w:color="auto"/>
                <w:left w:val="none" w:sz="0" w:space="0" w:color="auto"/>
                <w:bottom w:val="none" w:sz="0" w:space="0" w:color="auto"/>
                <w:right w:val="none" w:sz="0" w:space="0" w:color="auto"/>
              </w:divBdr>
              <w:divsChild>
                <w:div w:id="515387199">
                  <w:marLeft w:val="0"/>
                  <w:marRight w:val="0"/>
                  <w:marTop w:val="0"/>
                  <w:marBottom w:val="0"/>
                  <w:divBdr>
                    <w:top w:val="none" w:sz="0" w:space="0" w:color="auto"/>
                    <w:left w:val="none" w:sz="0" w:space="0" w:color="auto"/>
                    <w:bottom w:val="none" w:sz="0" w:space="0" w:color="auto"/>
                    <w:right w:val="none" w:sz="0" w:space="0" w:color="auto"/>
                  </w:divBdr>
                  <w:divsChild>
                    <w:div w:id="582103154">
                      <w:marLeft w:val="0"/>
                      <w:marRight w:val="0"/>
                      <w:marTop w:val="0"/>
                      <w:marBottom w:val="0"/>
                      <w:divBdr>
                        <w:top w:val="none" w:sz="0" w:space="0" w:color="auto"/>
                        <w:left w:val="none" w:sz="0" w:space="0" w:color="auto"/>
                        <w:bottom w:val="none" w:sz="0" w:space="0" w:color="auto"/>
                        <w:right w:val="none" w:sz="0" w:space="0" w:color="auto"/>
                      </w:divBdr>
                      <w:divsChild>
                        <w:div w:id="1634822288">
                          <w:marLeft w:val="0"/>
                          <w:marRight w:val="0"/>
                          <w:marTop w:val="0"/>
                          <w:marBottom w:val="0"/>
                          <w:divBdr>
                            <w:top w:val="none" w:sz="0" w:space="0" w:color="auto"/>
                            <w:left w:val="none" w:sz="0" w:space="0" w:color="auto"/>
                            <w:bottom w:val="none" w:sz="0" w:space="0" w:color="auto"/>
                            <w:right w:val="none" w:sz="0" w:space="0" w:color="auto"/>
                          </w:divBdr>
                          <w:divsChild>
                            <w:div w:id="20279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563677">
      <w:bodyDiv w:val="1"/>
      <w:marLeft w:val="0"/>
      <w:marRight w:val="0"/>
      <w:marTop w:val="0"/>
      <w:marBottom w:val="0"/>
      <w:divBdr>
        <w:top w:val="none" w:sz="0" w:space="0" w:color="auto"/>
        <w:left w:val="none" w:sz="0" w:space="0" w:color="auto"/>
        <w:bottom w:val="none" w:sz="0" w:space="0" w:color="auto"/>
        <w:right w:val="none" w:sz="0" w:space="0" w:color="auto"/>
      </w:divBdr>
    </w:div>
    <w:div w:id="1699045359">
      <w:bodyDiv w:val="1"/>
      <w:marLeft w:val="0"/>
      <w:marRight w:val="0"/>
      <w:marTop w:val="0"/>
      <w:marBottom w:val="0"/>
      <w:divBdr>
        <w:top w:val="none" w:sz="0" w:space="0" w:color="auto"/>
        <w:left w:val="none" w:sz="0" w:space="0" w:color="auto"/>
        <w:bottom w:val="none" w:sz="0" w:space="0" w:color="auto"/>
        <w:right w:val="none" w:sz="0" w:space="0" w:color="auto"/>
      </w:divBdr>
      <w:divsChild>
        <w:div w:id="390856723">
          <w:marLeft w:val="0"/>
          <w:marRight w:val="0"/>
          <w:marTop w:val="0"/>
          <w:marBottom w:val="0"/>
          <w:divBdr>
            <w:top w:val="none" w:sz="0" w:space="0" w:color="auto"/>
            <w:left w:val="none" w:sz="0" w:space="0" w:color="auto"/>
            <w:bottom w:val="none" w:sz="0" w:space="0" w:color="auto"/>
            <w:right w:val="none" w:sz="0" w:space="0" w:color="auto"/>
          </w:divBdr>
          <w:divsChild>
            <w:div w:id="1134716999">
              <w:marLeft w:val="0"/>
              <w:marRight w:val="0"/>
              <w:marTop w:val="0"/>
              <w:marBottom w:val="0"/>
              <w:divBdr>
                <w:top w:val="none" w:sz="0" w:space="0" w:color="auto"/>
                <w:left w:val="none" w:sz="0" w:space="0" w:color="auto"/>
                <w:bottom w:val="none" w:sz="0" w:space="0" w:color="auto"/>
                <w:right w:val="none" w:sz="0" w:space="0" w:color="auto"/>
              </w:divBdr>
              <w:divsChild>
                <w:div w:id="516116627">
                  <w:marLeft w:val="0"/>
                  <w:marRight w:val="0"/>
                  <w:marTop w:val="0"/>
                  <w:marBottom w:val="0"/>
                  <w:divBdr>
                    <w:top w:val="none" w:sz="0" w:space="0" w:color="auto"/>
                    <w:left w:val="none" w:sz="0" w:space="0" w:color="auto"/>
                    <w:bottom w:val="none" w:sz="0" w:space="0" w:color="auto"/>
                    <w:right w:val="none" w:sz="0" w:space="0" w:color="auto"/>
                  </w:divBdr>
                  <w:divsChild>
                    <w:div w:id="1409812908">
                      <w:marLeft w:val="0"/>
                      <w:marRight w:val="0"/>
                      <w:marTop w:val="0"/>
                      <w:marBottom w:val="0"/>
                      <w:divBdr>
                        <w:top w:val="none" w:sz="0" w:space="0" w:color="auto"/>
                        <w:left w:val="none" w:sz="0" w:space="0" w:color="auto"/>
                        <w:bottom w:val="none" w:sz="0" w:space="0" w:color="auto"/>
                        <w:right w:val="none" w:sz="0" w:space="0" w:color="auto"/>
                      </w:divBdr>
                      <w:divsChild>
                        <w:div w:id="867721879">
                          <w:marLeft w:val="0"/>
                          <w:marRight w:val="0"/>
                          <w:marTop w:val="0"/>
                          <w:marBottom w:val="0"/>
                          <w:divBdr>
                            <w:top w:val="none" w:sz="0" w:space="0" w:color="auto"/>
                            <w:left w:val="none" w:sz="0" w:space="0" w:color="auto"/>
                            <w:bottom w:val="none" w:sz="0" w:space="0" w:color="auto"/>
                            <w:right w:val="none" w:sz="0" w:space="0" w:color="auto"/>
                          </w:divBdr>
                          <w:divsChild>
                            <w:div w:id="19497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48182">
      <w:bodyDiv w:val="1"/>
      <w:marLeft w:val="0"/>
      <w:marRight w:val="0"/>
      <w:marTop w:val="0"/>
      <w:marBottom w:val="0"/>
      <w:divBdr>
        <w:top w:val="none" w:sz="0" w:space="0" w:color="auto"/>
        <w:left w:val="none" w:sz="0" w:space="0" w:color="auto"/>
        <w:bottom w:val="none" w:sz="0" w:space="0" w:color="auto"/>
        <w:right w:val="none" w:sz="0" w:space="0" w:color="auto"/>
      </w:divBdr>
    </w:div>
    <w:div w:id="1794399674">
      <w:bodyDiv w:val="1"/>
      <w:marLeft w:val="0"/>
      <w:marRight w:val="0"/>
      <w:marTop w:val="0"/>
      <w:marBottom w:val="0"/>
      <w:divBdr>
        <w:top w:val="none" w:sz="0" w:space="0" w:color="auto"/>
        <w:left w:val="none" w:sz="0" w:space="0" w:color="auto"/>
        <w:bottom w:val="none" w:sz="0" w:space="0" w:color="auto"/>
        <w:right w:val="none" w:sz="0" w:space="0" w:color="auto"/>
      </w:divBdr>
    </w:div>
    <w:div w:id="1815828597">
      <w:bodyDiv w:val="1"/>
      <w:marLeft w:val="0"/>
      <w:marRight w:val="0"/>
      <w:marTop w:val="0"/>
      <w:marBottom w:val="0"/>
      <w:divBdr>
        <w:top w:val="none" w:sz="0" w:space="0" w:color="auto"/>
        <w:left w:val="none" w:sz="0" w:space="0" w:color="auto"/>
        <w:bottom w:val="none" w:sz="0" w:space="0" w:color="auto"/>
        <w:right w:val="none" w:sz="0" w:space="0" w:color="auto"/>
      </w:divBdr>
    </w:div>
    <w:div w:id="2067683857">
      <w:bodyDiv w:val="1"/>
      <w:marLeft w:val="0"/>
      <w:marRight w:val="0"/>
      <w:marTop w:val="0"/>
      <w:marBottom w:val="0"/>
      <w:divBdr>
        <w:top w:val="none" w:sz="0" w:space="0" w:color="auto"/>
        <w:left w:val="none" w:sz="0" w:space="0" w:color="auto"/>
        <w:bottom w:val="none" w:sz="0" w:space="0" w:color="auto"/>
        <w:right w:val="none" w:sz="0" w:space="0" w:color="auto"/>
      </w:divBdr>
      <w:divsChild>
        <w:div w:id="762335304">
          <w:marLeft w:val="0"/>
          <w:marRight w:val="0"/>
          <w:marTop w:val="0"/>
          <w:marBottom w:val="0"/>
          <w:divBdr>
            <w:top w:val="none" w:sz="0" w:space="0" w:color="auto"/>
            <w:left w:val="none" w:sz="0" w:space="0" w:color="auto"/>
            <w:bottom w:val="none" w:sz="0" w:space="0" w:color="auto"/>
            <w:right w:val="none" w:sz="0" w:space="0" w:color="auto"/>
          </w:divBdr>
          <w:divsChild>
            <w:div w:id="884869949">
              <w:marLeft w:val="0"/>
              <w:marRight w:val="0"/>
              <w:marTop w:val="0"/>
              <w:marBottom w:val="0"/>
              <w:divBdr>
                <w:top w:val="none" w:sz="0" w:space="0" w:color="auto"/>
                <w:left w:val="none" w:sz="0" w:space="0" w:color="auto"/>
                <w:bottom w:val="none" w:sz="0" w:space="0" w:color="auto"/>
                <w:right w:val="none" w:sz="0" w:space="0" w:color="auto"/>
              </w:divBdr>
              <w:divsChild>
                <w:div w:id="1553347639">
                  <w:marLeft w:val="0"/>
                  <w:marRight w:val="0"/>
                  <w:marTop w:val="0"/>
                  <w:marBottom w:val="0"/>
                  <w:divBdr>
                    <w:top w:val="none" w:sz="0" w:space="0" w:color="auto"/>
                    <w:left w:val="none" w:sz="0" w:space="0" w:color="auto"/>
                    <w:bottom w:val="none" w:sz="0" w:space="0" w:color="auto"/>
                    <w:right w:val="none" w:sz="0" w:space="0" w:color="auto"/>
                  </w:divBdr>
                  <w:divsChild>
                    <w:div w:id="1137915777">
                      <w:marLeft w:val="0"/>
                      <w:marRight w:val="0"/>
                      <w:marTop w:val="0"/>
                      <w:marBottom w:val="0"/>
                      <w:divBdr>
                        <w:top w:val="none" w:sz="0" w:space="0" w:color="auto"/>
                        <w:left w:val="none" w:sz="0" w:space="0" w:color="auto"/>
                        <w:bottom w:val="none" w:sz="0" w:space="0" w:color="auto"/>
                        <w:right w:val="none" w:sz="0" w:space="0" w:color="auto"/>
                      </w:divBdr>
                      <w:divsChild>
                        <w:div w:id="1333028585">
                          <w:marLeft w:val="0"/>
                          <w:marRight w:val="0"/>
                          <w:marTop w:val="0"/>
                          <w:marBottom w:val="0"/>
                          <w:divBdr>
                            <w:top w:val="none" w:sz="0" w:space="0" w:color="auto"/>
                            <w:left w:val="none" w:sz="0" w:space="0" w:color="auto"/>
                            <w:bottom w:val="none" w:sz="0" w:space="0" w:color="auto"/>
                            <w:right w:val="none" w:sz="0" w:space="0" w:color="auto"/>
                          </w:divBdr>
                          <w:divsChild>
                            <w:div w:id="13619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bukovskis@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486B-8DE7-4662-AD81-451534A6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3517</Words>
  <Characters>2005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Par 2014. gada valsts pamatbudžeta ieņēmumiem un valsts pamatbudžeta izpildi, ilgtermiņa stabilizācijas rezerves ienākumiem, finanšu darījumiem un ar tiem saistītajiem maksājumiem un no ilgtermiņa stabilizācijas rezerves finansētajiem pasākumiem</vt:lpstr>
    </vt:vector>
  </TitlesOfParts>
  <Manager>G.Medne</Manager>
  <Company>Valsts kase</Company>
  <LinksUpToDate>false</LinksUpToDate>
  <CharactersWithSpaces>5511</CharactersWithSpaces>
  <SharedDoc>false</SharedDoc>
  <HLinks>
    <vt:vector size="6" baseType="variant">
      <vt:variant>
        <vt:i4>7405663</vt:i4>
      </vt:variant>
      <vt:variant>
        <vt:i4>0</vt:i4>
      </vt:variant>
      <vt:variant>
        <vt:i4>0</vt:i4>
      </vt:variant>
      <vt:variant>
        <vt:i4>5</vt:i4>
      </vt:variant>
      <vt:variant>
        <vt:lpwstr>mailto:Gints.Trupovnieks@fm.gov.lv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2014. gada valsts pamatbudžeta ieņēmumiem un valsts pamatbudžeta izpildi, ilgtermiņa stabilizācijas rezerves ienākumiem, finanšu darījumiem un ar tiem saistītajiem maksājumiem un no ilgtermiņa stabilizācijas rezerves finansētajiem pasākumiem</dc:title>
  <dc:subject>Informatīvais ziņojums</dc:subject>
  <dc:creator>L.Ozoliņa</dc:creator>
  <cp:keywords/>
  <dc:description>67083823, Liga.Ozolina@fm.gov.lv</dc:description>
  <cp:lastModifiedBy>Kārlis Bukovskis</cp:lastModifiedBy>
  <cp:revision>7</cp:revision>
  <cp:lastPrinted>2015-03-09T12:07:00Z</cp:lastPrinted>
  <dcterms:created xsi:type="dcterms:W3CDTF">2015-12-01T14:05:00Z</dcterms:created>
  <dcterms:modified xsi:type="dcterms:W3CDTF">2015-12-02T10:22:00Z</dcterms:modified>
</cp:coreProperties>
</file>