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84" w:rsidRDefault="00136D87" w:rsidP="00E74984">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r w:rsidR="00E74984">
        <w:rPr>
          <w:b/>
          <w:sz w:val="26"/>
          <w:szCs w:val="26"/>
        </w:rPr>
        <w:t xml:space="preserve"> </w:t>
      </w:r>
      <w:r w:rsidR="005D66E2" w:rsidRPr="006914B3">
        <w:rPr>
          <w:b/>
          <w:sz w:val="26"/>
          <w:szCs w:val="26"/>
        </w:rPr>
        <w:t>„</w:t>
      </w:r>
      <w:r w:rsidR="0097619B" w:rsidRPr="0097619B">
        <w:rPr>
          <w:b/>
          <w:sz w:val="26"/>
          <w:szCs w:val="26"/>
        </w:rPr>
        <w:t>Par apropriācijas pārdali</w:t>
      </w:r>
      <w:r w:rsidR="00CA693C" w:rsidRPr="006914B3">
        <w:rPr>
          <w:b/>
          <w:sz w:val="26"/>
          <w:szCs w:val="26"/>
        </w:rPr>
        <w:t>”</w:t>
      </w:r>
      <w:r w:rsidR="00020664" w:rsidRPr="006914B3">
        <w:rPr>
          <w:b/>
          <w:sz w:val="26"/>
          <w:szCs w:val="26"/>
        </w:rPr>
        <w:t xml:space="preserve"> </w:t>
      </w:r>
    </w:p>
    <w:p w:rsidR="00585B7B" w:rsidRPr="009B2F21" w:rsidRDefault="00585B7B" w:rsidP="00E74984">
      <w:pPr>
        <w:jc w:val="center"/>
        <w:rPr>
          <w:b/>
          <w:sz w:val="28"/>
          <w:szCs w:val="28"/>
        </w:rPr>
      </w:pPr>
      <w:r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Pr="006914B3">
          <w:rPr>
            <w:b/>
            <w:sz w:val="26"/>
            <w:szCs w:val="26"/>
          </w:rPr>
          <w:t>ziņojums</w:t>
        </w:r>
      </w:smartTag>
      <w:r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A74FB1" w:rsidRDefault="00E74984" w:rsidP="00A74FB1">
            <w:pPr>
              <w:pStyle w:val="ListParagraph"/>
              <w:numPr>
                <w:ilvl w:val="0"/>
                <w:numId w:val="9"/>
              </w:numPr>
              <w:ind w:right="127"/>
              <w:jc w:val="both"/>
              <w:rPr>
                <w:sz w:val="25"/>
                <w:szCs w:val="25"/>
              </w:rPr>
            </w:pPr>
            <w:r w:rsidRPr="00E74984">
              <w:rPr>
                <w:sz w:val="25"/>
                <w:szCs w:val="25"/>
              </w:rPr>
              <w:t xml:space="preserve">Latvijas Nacionālās sporta padomes (turpmāk – Padome) 2015.gada 12.novembra sēdē Ministru kabinetam izteiktais priekšlikums (prot. Nr.4 </w:t>
            </w:r>
            <w:r w:rsidR="00A74FB1">
              <w:rPr>
                <w:sz w:val="25"/>
                <w:szCs w:val="25"/>
              </w:rPr>
              <w:t>3</w:t>
            </w:r>
            <w:r w:rsidRPr="00E74984">
              <w:rPr>
                <w:sz w:val="25"/>
                <w:szCs w:val="25"/>
              </w:rPr>
              <w:t xml:space="preserve">.§., </w:t>
            </w:r>
            <w:r w:rsidR="00A74FB1">
              <w:rPr>
                <w:sz w:val="25"/>
                <w:szCs w:val="25"/>
              </w:rPr>
              <w:t>3.2</w:t>
            </w:r>
            <w:r w:rsidRPr="00E74984">
              <w:rPr>
                <w:sz w:val="25"/>
                <w:szCs w:val="25"/>
              </w:rPr>
              <w:t xml:space="preserve">.apakšpunkts) </w:t>
            </w:r>
            <w:r w:rsidR="00A74FB1">
              <w:rPr>
                <w:sz w:val="25"/>
                <w:szCs w:val="25"/>
              </w:rPr>
              <w:t xml:space="preserve">par apropriācijas pārdali Bobsleja un kamaniņu trases „Sigulda” infrastruktūras uzlabošanai, kā arī </w:t>
            </w:r>
            <w:r w:rsidR="00A74FB1" w:rsidRPr="00E74984">
              <w:rPr>
                <w:sz w:val="25"/>
                <w:szCs w:val="25"/>
              </w:rPr>
              <w:t xml:space="preserve"> izteiktais priekšlikums</w:t>
            </w:r>
            <w:r w:rsidR="00A74FB1">
              <w:rPr>
                <w:sz w:val="25"/>
                <w:szCs w:val="25"/>
              </w:rPr>
              <w:t xml:space="preserve"> </w:t>
            </w:r>
            <w:r w:rsidR="00A74FB1" w:rsidRPr="00E74984">
              <w:rPr>
                <w:sz w:val="25"/>
                <w:szCs w:val="25"/>
              </w:rPr>
              <w:t xml:space="preserve">(prot. Nr.4 </w:t>
            </w:r>
            <w:r w:rsidR="00A74FB1">
              <w:rPr>
                <w:sz w:val="25"/>
                <w:szCs w:val="25"/>
              </w:rPr>
              <w:t>4</w:t>
            </w:r>
            <w:r w:rsidR="00A74FB1" w:rsidRPr="00E74984">
              <w:rPr>
                <w:sz w:val="25"/>
                <w:szCs w:val="25"/>
              </w:rPr>
              <w:t xml:space="preserve">.§., </w:t>
            </w:r>
            <w:r w:rsidR="00A74FB1">
              <w:rPr>
                <w:sz w:val="25"/>
                <w:szCs w:val="25"/>
              </w:rPr>
              <w:t>4.7.1.</w:t>
            </w:r>
            <w:r w:rsidR="00A74FB1" w:rsidRPr="00E74984">
              <w:rPr>
                <w:sz w:val="25"/>
                <w:szCs w:val="25"/>
              </w:rPr>
              <w:t>apakšpunkts)</w:t>
            </w:r>
            <w:r w:rsidR="00A74FB1">
              <w:rPr>
                <w:sz w:val="25"/>
                <w:szCs w:val="25"/>
              </w:rPr>
              <w:t xml:space="preserve"> par apropriācijas pārdali naudas balvu piešķiršanai </w:t>
            </w:r>
            <w:r w:rsidR="00A74FB1" w:rsidRPr="00A74FB1">
              <w:rPr>
                <w:sz w:val="25"/>
                <w:szCs w:val="25"/>
              </w:rPr>
              <w:t>par izciliem sasniegumiem sportā 2014.gada nogalē un 2015.gadā</w:t>
            </w:r>
            <w:r w:rsidR="00A74FB1">
              <w:rPr>
                <w:sz w:val="25"/>
                <w:szCs w:val="25"/>
              </w:rPr>
              <w:t>.</w:t>
            </w:r>
          </w:p>
          <w:p w:rsidR="00AA3BDD" w:rsidRPr="00A74FB1" w:rsidRDefault="005D66E2" w:rsidP="00A74FB1">
            <w:pPr>
              <w:pStyle w:val="ListParagraph"/>
              <w:numPr>
                <w:ilvl w:val="0"/>
                <w:numId w:val="9"/>
              </w:numPr>
              <w:ind w:right="127"/>
              <w:jc w:val="both"/>
              <w:rPr>
                <w:sz w:val="25"/>
                <w:szCs w:val="25"/>
              </w:rPr>
            </w:pPr>
            <w:r w:rsidRPr="00E74984">
              <w:rPr>
                <w:sz w:val="25"/>
                <w:szCs w:val="25"/>
              </w:rPr>
              <w:t xml:space="preserve">Jautājuma saistība </w:t>
            </w:r>
            <w:r w:rsidR="00AA3BDD" w:rsidRPr="00E74984">
              <w:rPr>
                <w:sz w:val="25"/>
                <w:szCs w:val="25"/>
              </w:rPr>
              <w:t xml:space="preserve">ar </w:t>
            </w:r>
            <w:r w:rsidR="00A74FB1">
              <w:rPr>
                <w:sz w:val="25"/>
                <w:szCs w:val="25"/>
              </w:rPr>
              <w:t>Izglītības un zinātnes ministrijas</w:t>
            </w:r>
            <w:r w:rsidR="004672D6">
              <w:rPr>
                <w:sz w:val="25"/>
                <w:szCs w:val="25"/>
              </w:rPr>
              <w:t xml:space="preserve"> (turpmāk – IZM) </w:t>
            </w:r>
            <w:r w:rsidR="00AA3BDD" w:rsidRPr="00E74984">
              <w:rPr>
                <w:sz w:val="25"/>
                <w:szCs w:val="25"/>
              </w:rPr>
              <w:t>izstrādāto</w:t>
            </w:r>
            <w:r w:rsidR="00A74FB1">
              <w:rPr>
                <w:sz w:val="25"/>
                <w:szCs w:val="25"/>
              </w:rPr>
              <w:t xml:space="preserve"> </w:t>
            </w:r>
            <w:r w:rsidR="00AA3BDD" w:rsidRPr="00A74FB1">
              <w:rPr>
                <w:sz w:val="25"/>
                <w:szCs w:val="25"/>
              </w:rPr>
              <w:t>kabineta rīkojuma projektu „</w:t>
            </w:r>
            <w:r w:rsidR="00A74FB1" w:rsidRPr="00A74FB1">
              <w:rPr>
                <w:sz w:val="25"/>
                <w:szCs w:val="25"/>
              </w:rPr>
              <w:t>Par naudas balvu piešķiršanu par izciliem sasniegumiem sportā</w:t>
            </w:r>
            <w:r w:rsidR="00AA3BDD" w:rsidRPr="00A74FB1">
              <w:rPr>
                <w:sz w:val="25"/>
                <w:szCs w:val="25"/>
              </w:rPr>
              <w:t>”.</w:t>
            </w:r>
          </w:p>
          <w:p w:rsidR="001F49B0" w:rsidRPr="000505C1" w:rsidRDefault="00AA3BDD" w:rsidP="00AA3BDD">
            <w:pPr>
              <w:pStyle w:val="ListParagraph"/>
              <w:numPr>
                <w:ilvl w:val="0"/>
                <w:numId w:val="9"/>
              </w:numPr>
              <w:ind w:right="127"/>
              <w:jc w:val="both"/>
              <w:rPr>
                <w:sz w:val="25"/>
                <w:szCs w:val="25"/>
              </w:rPr>
            </w:pPr>
            <w:r w:rsidRPr="00E74984">
              <w:rPr>
                <w:sz w:val="25"/>
                <w:szCs w:val="25"/>
              </w:rPr>
              <w:t>Likuma “Par valsts budž</w:t>
            </w:r>
            <w:r w:rsidRPr="00AA3BDD">
              <w:rPr>
                <w:sz w:val="25"/>
                <w:szCs w:val="25"/>
              </w:rPr>
              <w:t>etu 2015.gadam” 31.panta 4.punkts.</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904148" w:rsidRDefault="0055675D" w:rsidP="00904148">
            <w:pPr>
              <w:ind w:left="132" w:right="127"/>
              <w:jc w:val="both"/>
              <w:rPr>
                <w:sz w:val="25"/>
                <w:szCs w:val="25"/>
              </w:rPr>
            </w:pPr>
            <w:r>
              <w:rPr>
                <w:rFonts w:eastAsia="Times New Roman"/>
                <w:color w:val="000000"/>
                <w:sz w:val="25"/>
                <w:szCs w:val="25"/>
              </w:rPr>
              <w:tab/>
            </w:r>
            <w:r w:rsidR="00904148">
              <w:t xml:space="preserve"> </w:t>
            </w:r>
            <w:r w:rsidR="00904148" w:rsidRPr="00904148">
              <w:rPr>
                <w:rFonts w:eastAsia="Times New Roman"/>
                <w:color w:val="000000"/>
                <w:sz w:val="25"/>
                <w:szCs w:val="25"/>
              </w:rPr>
              <w:t>Ņemot vērā Bobsleja un kamaniņu trasē „Sigulda” plānoto 2016./2017.gada Pasaules kausa posma skeletonā un bobslejā divniekiem, kā arī 2017.gada Pasaules junioru čempionāta kamaniņu sportā norisi, kā rezultātā atbilstoši Starptautiskās Bobsleja un skeletona federācijas un Starptautiskās Kamaniņu sporta federācijas prasībām nepieciešams veikt iepriekš neplānotas investīcijas trases infrastruktūrā, kā arī, lai nodrošinātu iespēju Bobsleja un kamaniņu trasē „Sigulda” augstākā līmeņa starptautiskās sporta sacensības kamaniņu sportā, bobslejā un skeletonā organizēt ilgtermiņā,</w:t>
            </w:r>
            <w:r w:rsidR="00904148">
              <w:rPr>
                <w:rFonts w:eastAsia="Times New Roman"/>
                <w:color w:val="000000"/>
                <w:sz w:val="25"/>
                <w:szCs w:val="25"/>
              </w:rPr>
              <w:t xml:space="preserve"> Padomes </w:t>
            </w:r>
            <w:r w:rsidR="00904148" w:rsidRPr="00E74984">
              <w:rPr>
                <w:sz w:val="25"/>
                <w:szCs w:val="25"/>
              </w:rPr>
              <w:t>2015.gada 12.novembra</w:t>
            </w:r>
            <w:r w:rsidR="00904148">
              <w:rPr>
                <w:sz w:val="25"/>
                <w:szCs w:val="25"/>
              </w:rPr>
              <w:t xml:space="preserve"> sēdē</w:t>
            </w:r>
            <w:r w:rsidR="003735EE">
              <w:rPr>
                <w:sz w:val="25"/>
                <w:szCs w:val="25"/>
              </w:rPr>
              <w:t>,</w:t>
            </w:r>
            <w:r w:rsidR="00904148">
              <w:rPr>
                <w:sz w:val="25"/>
                <w:szCs w:val="25"/>
              </w:rPr>
              <w:t xml:space="preserve"> izskatot jautājumu par </w:t>
            </w:r>
            <w:r w:rsidR="00904148">
              <w:t xml:space="preserve"> </w:t>
            </w:r>
            <w:r w:rsidR="00904148" w:rsidRPr="00904148">
              <w:rPr>
                <w:sz w:val="25"/>
                <w:szCs w:val="25"/>
              </w:rPr>
              <w:t>nepieciešamajām investīcijām Bobsl</w:t>
            </w:r>
            <w:r w:rsidR="00904148">
              <w:rPr>
                <w:sz w:val="25"/>
                <w:szCs w:val="25"/>
              </w:rPr>
              <w:t xml:space="preserve">eja un kamaniņu trasē „Sigulda” (Sabiedrības ar ierobežotu atbildību „Bobsleja un kamaniņu trase „Sigulda”” (turpmāk – SIA „Bobsleja un kamaniņu trase „Sigulda””) 2015.gada 21.augusta vēstule Nr.01-11/10), tika </w:t>
            </w:r>
            <w:r w:rsidR="00904148" w:rsidRPr="00904148">
              <w:rPr>
                <w:sz w:val="25"/>
                <w:szCs w:val="25"/>
              </w:rPr>
              <w:t>atbalstīt</w:t>
            </w:r>
            <w:r w:rsidR="00904148">
              <w:rPr>
                <w:sz w:val="25"/>
                <w:szCs w:val="25"/>
              </w:rPr>
              <w:t>s</w:t>
            </w:r>
            <w:r w:rsidR="00904148" w:rsidRPr="00904148">
              <w:rPr>
                <w:sz w:val="25"/>
                <w:szCs w:val="25"/>
              </w:rPr>
              <w:t xml:space="preserve"> </w:t>
            </w:r>
            <w:r w:rsidR="004672D6">
              <w:rPr>
                <w:sz w:val="25"/>
                <w:szCs w:val="25"/>
              </w:rPr>
              <w:t xml:space="preserve">IZM </w:t>
            </w:r>
            <w:r w:rsidR="00904148" w:rsidRPr="00904148">
              <w:rPr>
                <w:sz w:val="25"/>
                <w:szCs w:val="25"/>
              </w:rPr>
              <w:t>priekšlikum</w:t>
            </w:r>
            <w:r w:rsidR="00904148">
              <w:rPr>
                <w:sz w:val="25"/>
                <w:szCs w:val="25"/>
              </w:rPr>
              <w:t>s un izteikts aicinājums Ministru kabinetam</w:t>
            </w:r>
            <w:r w:rsidR="00904148" w:rsidRPr="00904148">
              <w:rPr>
                <w:sz w:val="25"/>
                <w:szCs w:val="25"/>
              </w:rPr>
              <w:t xml:space="preserve"> atbalstīt apropriācijas pārdali no </w:t>
            </w:r>
            <w:r w:rsidR="004672D6">
              <w:rPr>
                <w:sz w:val="25"/>
                <w:szCs w:val="25"/>
              </w:rPr>
              <w:t>IZM</w:t>
            </w:r>
            <w:r w:rsidR="00904148" w:rsidRPr="00904148">
              <w:rPr>
                <w:sz w:val="25"/>
                <w:szCs w:val="25"/>
              </w:rPr>
              <w:t xml:space="preserve"> 2015.gada budžeta apakšprogrammas 02.01.00 „Profesionālās izglītības programmu īstenošana” 300 000 </w:t>
            </w:r>
            <w:proofErr w:type="spellStart"/>
            <w:r w:rsidR="00904148" w:rsidRPr="005A4619">
              <w:rPr>
                <w:i/>
                <w:sz w:val="25"/>
                <w:szCs w:val="25"/>
              </w:rPr>
              <w:t>euro</w:t>
            </w:r>
            <w:proofErr w:type="spellEnd"/>
            <w:r w:rsidR="00904148" w:rsidRPr="00904148">
              <w:rPr>
                <w:sz w:val="25"/>
                <w:szCs w:val="25"/>
              </w:rPr>
              <w:t xml:space="preserve"> apmērā uz </w:t>
            </w:r>
            <w:r w:rsidR="004672D6">
              <w:rPr>
                <w:sz w:val="25"/>
                <w:szCs w:val="25"/>
              </w:rPr>
              <w:t>IZM</w:t>
            </w:r>
            <w:r w:rsidR="00904148" w:rsidRPr="00904148">
              <w:rPr>
                <w:sz w:val="25"/>
                <w:szCs w:val="25"/>
              </w:rPr>
              <w:t xml:space="preserve"> budžeta apakšprogrammu 09.04.00 „Sporta būves” Bobsleja un kamaniņu trases „Sigulda” inf</w:t>
            </w:r>
            <w:r w:rsidR="00904148">
              <w:rPr>
                <w:sz w:val="25"/>
                <w:szCs w:val="25"/>
              </w:rPr>
              <w:t xml:space="preserve">rastruktūras uzlabošanai, t.sk. </w:t>
            </w:r>
            <w:r w:rsidR="00904148" w:rsidRPr="00904148">
              <w:rPr>
                <w:sz w:val="25"/>
                <w:szCs w:val="25"/>
              </w:rPr>
              <w:t>bobsleja kamanu pacelšana</w:t>
            </w:r>
            <w:r w:rsidR="00904148">
              <w:rPr>
                <w:sz w:val="25"/>
                <w:szCs w:val="25"/>
              </w:rPr>
              <w:t xml:space="preserve">s lifta nomaiņai – 150 000 </w:t>
            </w:r>
            <w:proofErr w:type="spellStart"/>
            <w:r w:rsidR="00904148" w:rsidRPr="00904148">
              <w:rPr>
                <w:i/>
                <w:sz w:val="25"/>
                <w:szCs w:val="25"/>
              </w:rPr>
              <w:t>euro</w:t>
            </w:r>
            <w:proofErr w:type="spellEnd"/>
            <w:r w:rsidR="00904148">
              <w:rPr>
                <w:sz w:val="25"/>
                <w:szCs w:val="25"/>
              </w:rPr>
              <w:t xml:space="preserve">, kā arī </w:t>
            </w:r>
            <w:r w:rsidR="00904148" w:rsidRPr="00904148">
              <w:rPr>
                <w:sz w:val="25"/>
                <w:szCs w:val="25"/>
              </w:rPr>
              <w:t>junioru starta estakādes projektēšanai un būvniecībai –</w:t>
            </w:r>
            <w:r w:rsidR="004672D6">
              <w:rPr>
                <w:sz w:val="25"/>
                <w:szCs w:val="25"/>
              </w:rPr>
              <w:t xml:space="preserve"> </w:t>
            </w:r>
            <w:r w:rsidR="003735EE">
              <w:rPr>
                <w:sz w:val="25"/>
                <w:szCs w:val="25"/>
              </w:rPr>
              <w:br/>
            </w:r>
            <w:r w:rsidR="00904148" w:rsidRPr="00904148">
              <w:rPr>
                <w:sz w:val="25"/>
                <w:szCs w:val="25"/>
              </w:rPr>
              <w:t xml:space="preserve">150 000 </w:t>
            </w:r>
            <w:proofErr w:type="spellStart"/>
            <w:r w:rsidR="00904148" w:rsidRPr="00904148">
              <w:rPr>
                <w:i/>
                <w:sz w:val="25"/>
                <w:szCs w:val="25"/>
              </w:rPr>
              <w:t>euro</w:t>
            </w:r>
            <w:proofErr w:type="spellEnd"/>
            <w:r w:rsidR="00904148" w:rsidRPr="00904148">
              <w:rPr>
                <w:sz w:val="25"/>
                <w:szCs w:val="25"/>
              </w:rPr>
              <w:t>.</w:t>
            </w:r>
            <w:r w:rsidR="00904148">
              <w:rPr>
                <w:sz w:val="25"/>
                <w:szCs w:val="25"/>
              </w:rPr>
              <w:t xml:space="preserve"> Vienlaikus Padome nolēma </w:t>
            </w:r>
            <w:r w:rsidR="00904148" w:rsidRPr="00E74984">
              <w:rPr>
                <w:sz w:val="25"/>
                <w:szCs w:val="25"/>
              </w:rPr>
              <w:t xml:space="preserve">(prot. Nr.4 </w:t>
            </w:r>
            <w:r w:rsidR="00904148">
              <w:rPr>
                <w:sz w:val="25"/>
                <w:szCs w:val="25"/>
              </w:rPr>
              <w:t>3</w:t>
            </w:r>
            <w:r w:rsidR="00904148" w:rsidRPr="00E74984">
              <w:rPr>
                <w:sz w:val="25"/>
                <w:szCs w:val="25"/>
              </w:rPr>
              <w:t xml:space="preserve">.§., </w:t>
            </w:r>
            <w:r w:rsidR="00904148">
              <w:rPr>
                <w:sz w:val="25"/>
                <w:szCs w:val="25"/>
              </w:rPr>
              <w:t>3.5</w:t>
            </w:r>
            <w:r w:rsidR="00904148" w:rsidRPr="00E74984">
              <w:rPr>
                <w:sz w:val="25"/>
                <w:szCs w:val="25"/>
              </w:rPr>
              <w:t>.apakšpunkts)</w:t>
            </w:r>
            <w:r w:rsidR="00904148">
              <w:rPr>
                <w:sz w:val="25"/>
                <w:szCs w:val="25"/>
              </w:rPr>
              <w:t xml:space="preserve"> a</w:t>
            </w:r>
            <w:r w:rsidR="00904148" w:rsidRPr="00904148">
              <w:rPr>
                <w:sz w:val="25"/>
                <w:szCs w:val="25"/>
              </w:rPr>
              <w:t xml:space="preserve">icināt </w:t>
            </w:r>
            <w:r w:rsidR="004672D6">
              <w:rPr>
                <w:sz w:val="25"/>
                <w:szCs w:val="25"/>
              </w:rPr>
              <w:t xml:space="preserve">IZM </w:t>
            </w:r>
            <w:r w:rsidR="00904148" w:rsidRPr="00904148">
              <w:rPr>
                <w:sz w:val="25"/>
                <w:szCs w:val="25"/>
              </w:rPr>
              <w:t>(</w:t>
            </w:r>
            <w:r w:rsidR="00904148">
              <w:rPr>
                <w:sz w:val="25"/>
                <w:szCs w:val="25"/>
              </w:rPr>
              <w:t xml:space="preserve">SIA </w:t>
            </w:r>
            <w:r w:rsidR="00904148" w:rsidRPr="00904148">
              <w:rPr>
                <w:sz w:val="25"/>
                <w:szCs w:val="25"/>
              </w:rPr>
              <w:t xml:space="preserve">„Bobsleja un kamaniņu trase „Sigulda””) pārējās nepieciešamās investīcijas Bobsleja un kamaniņu trases „Sigulda” infrastruktūras uzlabošanai segt no </w:t>
            </w:r>
            <w:r w:rsidR="00904148">
              <w:rPr>
                <w:sz w:val="25"/>
                <w:szCs w:val="25"/>
              </w:rPr>
              <w:t>SIA</w:t>
            </w:r>
            <w:r w:rsidR="00904148" w:rsidRPr="00904148">
              <w:rPr>
                <w:sz w:val="25"/>
                <w:szCs w:val="25"/>
              </w:rPr>
              <w:t xml:space="preserve"> „Bobsleja un kamaniņu trase „Sigulda”” līdzekļiem.</w:t>
            </w:r>
            <w:r w:rsidR="00904148">
              <w:rPr>
                <w:sz w:val="25"/>
                <w:szCs w:val="25"/>
              </w:rPr>
              <w:t xml:space="preserve"> Attiecīgu apņemšanos SIA</w:t>
            </w:r>
            <w:r w:rsidR="00904148" w:rsidRPr="00904148">
              <w:rPr>
                <w:sz w:val="25"/>
                <w:szCs w:val="25"/>
              </w:rPr>
              <w:t xml:space="preserve"> „Bobsleja un kamaniņu trase </w:t>
            </w:r>
            <w:r w:rsidR="00904148" w:rsidRPr="00904148">
              <w:rPr>
                <w:sz w:val="25"/>
                <w:szCs w:val="25"/>
              </w:rPr>
              <w:lastRenderedPageBreak/>
              <w:t>„Sigulda””</w:t>
            </w:r>
            <w:r w:rsidR="00904148">
              <w:rPr>
                <w:sz w:val="25"/>
                <w:szCs w:val="25"/>
              </w:rPr>
              <w:t xml:space="preserve"> ir izteikusi arī </w:t>
            </w:r>
            <w:proofErr w:type="spellStart"/>
            <w:r w:rsidR="00904148">
              <w:rPr>
                <w:sz w:val="25"/>
                <w:szCs w:val="25"/>
              </w:rPr>
              <w:t>rakstveidā</w:t>
            </w:r>
            <w:proofErr w:type="spellEnd"/>
            <w:r w:rsidR="00904148">
              <w:rPr>
                <w:sz w:val="25"/>
                <w:szCs w:val="25"/>
              </w:rPr>
              <w:t xml:space="preserve"> – 2015.gada 13.novembra vēstulē Nr.01-11/13.</w:t>
            </w:r>
          </w:p>
          <w:p w:rsidR="005A4619" w:rsidRDefault="005A4619" w:rsidP="00904148">
            <w:pPr>
              <w:ind w:left="132" w:right="127"/>
              <w:jc w:val="both"/>
              <w:rPr>
                <w:rFonts w:eastAsia="Times New Roman"/>
                <w:color w:val="000000"/>
                <w:sz w:val="25"/>
                <w:szCs w:val="25"/>
              </w:rPr>
            </w:pPr>
            <w:r>
              <w:rPr>
                <w:rFonts w:eastAsia="Times New Roman"/>
                <w:color w:val="000000"/>
                <w:sz w:val="25"/>
                <w:szCs w:val="25"/>
              </w:rPr>
              <w:tab/>
              <w:t xml:space="preserve">Tāpat Padomes 2015.gada 12.novembra sēdē, </w:t>
            </w:r>
            <w:r w:rsidRPr="005A4619">
              <w:rPr>
                <w:rFonts w:eastAsia="Times New Roman"/>
                <w:color w:val="000000"/>
                <w:sz w:val="25"/>
                <w:szCs w:val="25"/>
              </w:rPr>
              <w:t xml:space="preserve">izvērtējot </w:t>
            </w:r>
            <w:r>
              <w:t xml:space="preserve"> </w:t>
            </w:r>
            <w:r w:rsidRPr="005A4619">
              <w:rPr>
                <w:rFonts w:eastAsia="Times New Roman"/>
                <w:color w:val="000000"/>
                <w:sz w:val="25"/>
                <w:szCs w:val="25"/>
              </w:rPr>
              <w:t>Ministru kabineta 2012.gada 3.janvāra noteikum</w:t>
            </w:r>
            <w:r>
              <w:rPr>
                <w:rFonts w:eastAsia="Times New Roman"/>
                <w:color w:val="000000"/>
                <w:sz w:val="25"/>
                <w:szCs w:val="25"/>
              </w:rPr>
              <w:t>os</w:t>
            </w:r>
            <w:r w:rsidRPr="005A4619">
              <w:rPr>
                <w:rFonts w:eastAsia="Times New Roman"/>
                <w:color w:val="000000"/>
                <w:sz w:val="25"/>
                <w:szCs w:val="25"/>
              </w:rPr>
              <w:t xml:space="preserve"> Nr.26 “Noteikumi par kārtību, kādā piešķiramas naudas balvas par izciliem sasniegumiem sportā, un naudas balvu apmēru” noteiktā kārtībā Izglītības un zinātnes ministrijā saņemtos Sporta likumā noteiktā kārtībā atzīto sporta federāciju iesniegumus naudas balvu piešķiršanai par izciliem sasniegumiem pārējos sporta veidos 2014.gada nogalē un 2015.gadā, Ministru kabinetam tika izteikts priekšlikums piešķirt naudas balvas sportistiem, viņu treneriem, sportistus apkalpojošajiem sporta darbiniekiem, tai skaitā sporta ārstiem, apkalpojošajam personālam un attiecīgajām sporta federācijām.</w:t>
            </w:r>
            <w:r>
              <w:rPr>
                <w:rFonts w:eastAsia="Times New Roman"/>
                <w:color w:val="000000"/>
                <w:sz w:val="25"/>
                <w:szCs w:val="25"/>
              </w:rPr>
              <w:t xml:space="preserve"> </w:t>
            </w:r>
            <w:r>
              <w:t xml:space="preserve"> </w:t>
            </w:r>
            <w:r>
              <w:rPr>
                <w:rFonts w:eastAsia="Times New Roman"/>
                <w:color w:val="000000"/>
                <w:sz w:val="25"/>
                <w:szCs w:val="25"/>
              </w:rPr>
              <w:t>Ņemot vērā to, ka saskaņā ar iepriekšminēto Ministru kabineta n</w:t>
            </w:r>
            <w:r w:rsidRPr="005A4619">
              <w:rPr>
                <w:rFonts w:eastAsia="Times New Roman"/>
                <w:color w:val="000000"/>
                <w:sz w:val="25"/>
                <w:szCs w:val="25"/>
              </w:rPr>
              <w:t xml:space="preserve">oteikumu 27.punktu naudas balvu izmaksai izmantojami </w:t>
            </w:r>
            <w:r>
              <w:rPr>
                <w:rFonts w:eastAsia="Times New Roman"/>
                <w:color w:val="000000"/>
                <w:sz w:val="25"/>
                <w:szCs w:val="25"/>
              </w:rPr>
              <w:t>IZM</w:t>
            </w:r>
            <w:r w:rsidRPr="005A4619">
              <w:rPr>
                <w:rFonts w:eastAsia="Times New Roman"/>
                <w:color w:val="000000"/>
                <w:sz w:val="25"/>
                <w:szCs w:val="25"/>
              </w:rPr>
              <w:t xml:space="preserve"> apakšprogrammai</w:t>
            </w:r>
            <w:r w:rsidR="00C44E2F">
              <w:rPr>
                <w:rFonts w:eastAsia="Times New Roman"/>
                <w:color w:val="000000"/>
                <w:sz w:val="25"/>
                <w:szCs w:val="25"/>
              </w:rPr>
              <w:t xml:space="preserve"> 09.08.00</w:t>
            </w:r>
            <w:r w:rsidRPr="005A4619">
              <w:rPr>
                <w:rFonts w:eastAsia="Times New Roman"/>
                <w:color w:val="000000"/>
                <w:sz w:val="25"/>
                <w:szCs w:val="25"/>
              </w:rPr>
              <w:t xml:space="preserve"> „Balvas par izciliem sasniegumiem sportā” paredzētie valsts budžeta līdzekļi un citi valsts budžeta līdzekļi, ja par to pieņemts attiecīgs lēmums atbilstoši Likuma</w:t>
            </w:r>
            <w:r>
              <w:rPr>
                <w:rFonts w:eastAsia="Times New Roman"/>
                <w:color w:val="000000"/>
                <w:sz w:val="25"/>
                <w:szCs w:val="25"/>
              </w:rPr>
              <w:t xml:space="preserve">m par budžetu un finanšu vadību, Padome </w:t>
            </w:r>
            <w:r>
              <w:rPr>
                <w:sz w:val="25"/>
                <w:szCs w:val="25"/>
              </w:rPr>
              <w:t xml:space="preserve"> nolēma </w:t>
            </w:r>
            <w:r w:rsidRPr="00E74984">
              <w:rPr>
                <w:sz w:val="25"/>
                <w:szCs w:val="25"/>
              </w:rPr>
              <w:t xml:space="preserve">(prot. Nr.4 </w:t>
            </w:r>
            <w:r w:rsidR="005375E0">
              <w:rPr>
                <w:sz w:val="25"/>
                <w:szCs w:val="25"/>
              </w:rPr>
              <w:t>4</w:t>
            </w:r>
            <w:r w:rsidRPr="00E74984">
              <w:rPr>
                <w:sz w:val="25"/>
                <w:szCs w:val="25"/>
              </w:rPr>
              <w:t xml:space="preserve">.§., </w:t>
            </w:r>
            <w:r w:rsidR="005375E0">
              <w:rPr>
                <w:sz w:val="25"/>
                <w:szCs w:val="25"/>
              </w:rPr>
              <w:t>4.7.1.</w:t>
            </w:r>
            <w:r w:rsidRPr="00E74984">
              <w:rPr>
                <w:sz w:val="25"/>
                <w:szCs w:val="25"/>
              </w:rPr>
              <w:t>apakšpunkts)</w:t>
            </w:r>
            <w:r>
              <w:rPr>
                <w:sz w:val="25"/>
                <w:szCs w:val="25"/>
              </w:rPr>
              <w:t xml:space="preserve"> a</w:t>
            </w:r>
            <w:r w:rsidRPr="00904148">
              <w:rPr>
                <w:sz w:val="25"/>
                <w:szCs w:val="25"/>
              </w:rPr>
              <w:t>icināt</w:t>
            </w:r>
            <w:r>
              <w:rPr>
                <w:sz w:val="25"/>
                <w:szCs w:val="25"/>
              </w:rPr>
              <w:t xml:space="preserve"> </w:t>
            </w:r>
            <w:r>
              <w:t xml:space="preserve"> Ministru kabinetu </w:t>
            </w:r>
            <w:r w:rsidRPr="005A4619">
              <w:rPr>
                <w:sz w:val="25"/>
                <w:szCs w:val="25"/>
              </w:rPr>
              <w:t xml:space="preserve">atbalstīt apropriācijas pārdali no </w:t>
            </w:r>
            <w:r>
              <w:rPr>
                <w:sz w:val="25"/>
                <w:szCs w:val="25"/>
              </w:rPr>
              <w:t>IZM</w:t>
            </w:r>
            <w:r w:rsidRPr="005A4619">
              <w:rPr>
                <w:sz w:val="25"/>
                <w:szCs w:val="25"/>
              </w:rPr>
              <w:t xml:space="preserve"> 2015.gada budžeta apakšprogrammas 02.01.00 „Profesionālās izglītības programmu īstenošana” 100 000 </w:t>
            </w:r>
            <w:proofErr w:type="spellStart"/>
            <w:r w:rsidRPr="005A4619">
              <w:rPr>
                <w:i/>
                <w:sz w:val="25"/>
                <w:szCs w:val="25"/>
              </w:rPr>
              <w:t>euro</w:t>
            </w:r>
            <w:proofErr w:type="spellEnd"/>
            <w:r w:rsidRPr="005A4619">
              <w:rPr>
                <w:sz w:val="25"/>
                <w:szCs w:val="25"/>
              </w:rPr>
              <w:t xml:space="preserve"> apmērā uz </w:t>
            </w:r>
            <w:r>
              <w:rPr>
                <w:sz w:val="25"/>
                <w:szCs w:val="25"/>
              </w:rPr>
              <w:t xml:space="preserve">IZM </w:t>
            </w:r>
            <w:r w:rsidRPr="005A4619">
              <w:rPr>
                <w:sz w:val="25"/>
                <w:szCs w:val="25"/>
              </w:rPr>
              <w:t>budžeta apakšprogrammu 09.08.00 „Balvas pa</w:t>
            </w:r>
            <w:r>
              <w:rPr>
                <w:sz w:val="25"/>
                <w:szCs w:val="25"/>
              </w:rPr>
              <w:t>r izciliem sasniegumiem sportā”.</w:t>
            </w:r>
          </w:p>
          <w:p w:rsidR="004672D6" w:rsidRDefault="00904148" w:rsidP="00095510">
            <w:pPr>
              <w:ind w:left="132" w:right="127"/>
              <w:jc w:val="both"/>
              <w:rPr>
                <w:rFonts w:eastAsia="Times New Roman"/>
                <w:color w:val="000000"/>
                <w:sz w:val="25"/>
                <w:szCs w:val="25"/>
              </w:rPr>
            </w:pPr>
            <w:r>
              <w:rPr>
                <w:rFonts w:eastAsia="Times New Roman"/>
                <w:color w:val="000000"/>
                <w:sz w:val="25"/>
                <w:szCs w:val="25"/>
              </w:rPr>
              <w:tab/>
            </w:r>
            <w:r w:rsidR="005A4619">
              <w:rPr>
                <w:rFonts w:eastAsia="Times New Roman"/>
                <w:color w:val="000000"/>
                <w:sz w:val="25"/>
                <w:szCs w:val="25"/>
              </w:rPr>
              <w:t>Jāatzīmē, ka v</w:t>
            </w:r>
            <w:r w:rsidR="00095510" w:rsidRPr="00095510">
              <w:rPr>
                <w:rFonts w:eastAsia="Times New Roman"/>
                <w:color w:val="000000"/>
                <w:sz w:val="25"/>
                <w:szCs w:val="25"/>
              </w:rPr>
              <w:t>isi finanšu līdzekļi 2015.gadam val</w:t>
            </w:r>
            <w:r w:rsidR="00095510">
              <w:rPr>
                <w:rFonts w:eastAsia="Times New Roman"/>
                <w:color w:val="000000"/>
                <w:sz w:val="25"/>
                <w:szCs w:val="25"/>
              </w:rPr>
              <w:t>sts budžeta programmā 09.00.00 „</w:t>
            </w:r>
            <w:r w:rsidR="00095510" w:rsidRPr="00095510">
              <w:rPr>
                <w:rFonts w:eastAsia="Times New Roman"/>
                <w:color w:val="000000"/>
                <w:sz w:val="25"/>
                <w:szCs w:val="25"/>
              </w:rPr>
              <w:t>Spo</w:t>
            </w:r>
            <w:r w:rsidR="00095510">
              <w:rPr>
                <w:rFonts w:eastAsia="Times New Roman"/>
                <w:color w:val="000000"/>
                <w:sz w:val="25"/>
                <w:szCs w:val="25"/>
              </w:rPr>
              <w:t>rts”, t.sk. apakšprogrammās 09.04</w:t>
            </w:r>
            <w:r w:rsidR="00095510" w:rsidRPr="00095510">
              <w:rPr>
                <w:rFonts w:eastAsia="Times New Roman"/>
                <w:color w:val="000000"/>
                <w:sz w:val="25"/>
                <w:szCs w:val="25"/>
              </w:rPr>
              <w:t>.00</w:t>
            </w:r>
            <w:r w:rsidR="00095510">
              <w:rPr>
                <w:rFonts w:eastAsia="Times New Roman"/>
                <w:color w:val="000000"/>
                <w:sz w:val="25"/>
                <w:szCs w:val="25"/>
              </w:rPr>
              <w:t xml:space="preserve"> „Sporta būves”</w:t>
            </w:r>
            <w:r w:rsidR="00095510" w:rsidRPr="00095510">
              <w:rPr>
                <w:rFonts w:eastAsia="Times New Roman"/>
                <w:color w:val="000000"/>
                <w:sz w:val="25"/>
                <w:szCs w:val="25"/>
              </w:rPr>
              <w:t>, no kur</w:t>
            </w:r>
            <w:r w:rsidR="00095510">
              <w:rPr>
                <w:rFonts w:eastAsia="Times New Roman"/>
                <w:color w:val="000000"/>
                <w:sz w:val="25"/>
                <w:szCs w:val="25"/>
              </w:rPr>
              <w:t>as</w:t>
            </w:r>
            <w:r w:rsidR="00095510" w:rsidRPr="00095510">
              <w:rPr>
                <w:rFonts w:eastAsia="Times New Roman"/>
                <w:color w:val="000000"/>
                <w:sz w:val="25"/>
                <w:szCs w:val="25"/>
              </w:rPr>
              <w:t xml:space="preserve"> varētu piešķirt līdzekļus </w:t>
            </w:r>
            <w:r>
              <w:rPr>
                <w:rFonts w:eastAsia="Times New Roman"/>
                <w:color w:val="000000"/>
                <w:sz w:val="25"/>
                <w:szCs w:val="25"/>
              </w:rPr>
              <w:t xml:space="preserve">Bobsleja un kamaniņu trasei „Sigulda”, kā arī apakšprogrammā 09.08.00 „Balvas par izciliem sasniegumiem sportā”, </w:t>
            </w:r>
            <w:r w:rsidR="00095510" w:rsidRPr="00095510">
              <w:rPr>
                <w:rFonts w:eastAsia="Times New Roman"/>
                <w:color w:val="000000"/>
                <w:sz w:val="25"/>
                <w:szCs w:val="25"/>
              </w:rPr>
              <w:t xml:space="preserve">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w:t>
            </w:r>
            <w:r w:rsidR="008829F8">
              <w:rPr>
                <w:rFonts w:eastAsia="Times New Roman"/>
                <w:color w:val="000000"/>
                <w:sz w:val="25"/>
                <w:szCs w:val="25"/>
              </w:rPr>
              <w:t>organizācijām</w:t>
            </w:r>
            <w:r w:rsidR="00095510" w:rsidRPr="00095510">
              <w:rPr>
                <w:rFonts w:eastAsia="Times New Roman"/>
                <w:color w:val="000000"/>
                <w:sz w:val="25"/>
                <w:szCs w:val="25"/>
              </w:rPr>
              <w:t xml:space="preserve"> (līgums paredz IZM tiesības samazināt līguma summu tikai tad, ja tiek izdarīti grozījumi likumā </w:t>
            </w:r>
            <w:r w:rsidR="00095510">
              <w:rPr>
                <w:rFonts w:eastAsia="Times New Roman"/>
                <w:color w:val="000000"/>
                <w:sz w:val="25"/>
                <w:szCs w:val="25"/>
              </w:rPr>
              <w:t>„</w:t>
            </w:r>
            <w:r w:rsidR="00095510" w:rsidRPr="00095510">
              <w:rPr>
                <w:rFonts w:eastAsia="Times New Roman"/>
                <w:color w:val="000000"/>
                <w:sz w:val="25"/>
                <w:szCs w:val="25"/>
              </w:rPr>
              <w:t xml:space="preserve">Par valsts budžetu 2015.gadam”, vai sporta </w:t>
            </w:r>
            <w:r w:rsidR="00095510">
              <w:rPr>
                <w:rFonts w:eastAsia="Times New Roman"/>
                <w:color w:val="000000"/>
                <w:sz w:val="25"/>
                <w:szCs w:val="25"/>
              </w:rPr>
              <w:t>organizācija</w:t>
            </w:r>
            <w:r w:rsidR="00095510" w:rsidRPr="00095510">
              <w:rPr>
                <w:rFonts w:eastAsia="Times New Roman"/>
                <w:color w:val="000000"/>
                <w:sz w:val="25"/>
                <w:szCs w:val="25"/>
              </w:rPr>
              <w:t xml:space="preserve"> neievēro pielīgtās saistības). </w:t>
            </w:r>
            <w:r w:rsidR="00446875">
              <w:rPr>
                <w:rFonts w:eastAsia="Times New Roman"/>
                <w:color w:val="000000"/>
                <w:sz w:val="25"/>
                <w:szCs w:val="25"/>
              </w:rPr>
              <w:t>Tomēr, iz</w:t>
            </w:r>
            <w:r w:rsidR="00095510">
              <w:rPr>
                <w:rFonts w:eastAsia="Times New Roman"/>
                <w:color w:val="000000"/>
                <w:sz w:val="25"/>
                <w:szCs w:val="25"/>
              </w:rPr>
              <w:t xml:space="preserve">vērtējot līdzekļu apguves prognozi IZM </w:t>
            </w:r>
            <w:r w:rsidR="00095510" w:rsidRPr="00095510">
              <w:rPr>
                <w:rFonts w:eastAsia="Times New Roman"/>
                <w:color w:val="000000"/>
                <w:sz w:val="25"/>
                <w:szCs w:val="25"/>
              </w:rPr>
              <w:t>budžeta apakšprogramm</w:t>
            </w:r>
            <w:r w:rsidR="00095510">
              <w:rPr>
                <w:rFonts w:eastAsia="Times New Roman"/>
                <w:color w:val="000000"/>
                <w:sz w:val="25"/>
                <w:szCs w:val="25"/>
              </w:rPr>
              <w:t>ā</w:t>
            </w:r>
            <w:r w:rsidR="00095510" w:rsidRPr="00095510">
              <w:rPr>
                <w:rFonts w:eastAsia="Times New Roman"/>
                <w:color w:val="000000"/>
                <w:sz w:val="25"/>
                <w:szCs w:val="25"/>
              </w:rPr>
              <w:t xml:space="preserve"> 02.01.00 „Profesionālās izglītības programmu īstenošana”</w:t>
            </w:r>
            <w:r w:rsidR="00095510">
              <w:rPr>
                <w:rFonts w:eastAsia="Times New Roman"/>
                <w:color w:val="000000"/>
                <w:sz w:val="25"/>
                <w:szCs w:val="25"/>
              </w:rPr>
              <w:t xml:space="preserve">, konstatējams līdzekļu ietaupījums, no kura </w:t>
            </w:r>
            <w:r w:rsidR="004672D6">
              <w:rPr>
                <w:rFonts w:eastAsia="Times New Roman"/>
                <w:color w:val="000000"/>
                <w:sz w:val="25"/>
                <w:szCs w:val="25"/>
              </w:rPr>
              <w:t>3</w:t>
            </w:r>
            <w:r w:rsidR="00095510">
              <w:rPr>
                <w:rFonts w:eastAsia="Times New Roman"/>
                <w:color w:val="000000"/>
                <w:sz w:val="25"/>
                <w:szCs w:val="25"/>
              </w:rPr>
              <w:t xml:space="preserve">00 000 </w:t>
            </w:r>
            <w:proofErr w:type="spellStart"/>
            <w:r w:rsidR="00095510" w:rsidRPr="00095510">
              <w:rPr>
                <w:rFonts w:eastAsia="Times New Roman"/>
                <w:i/>
                <w:color w:val="000000"/>
                <w:sz w:val="25"/>
                <w:szCs w:val="25"/>
              </w:rPr>
              <w:t>euro</w:t>
            </w:r>
            <w:proofErr w:type="spellEnd"/>
            <w:r w:rsidR="00095510">
              <w:rPr>
                <w:rFonts w:eastAsia="Times New Roman"/>
                <w:color w:val="000000"/>
                <w:sz w:val="25"/>
                <w:szCs w:val="25"/>
              </w:rPr>
              <w:t xml:space="preserve"> būtu iespējams novirzīt </w:t>
            </w:r>
            <w:r w:rsidR="004672D6">
              <w:rPr>
                <w:rFonts w:eastAsia="Times New Roman"/>
                <w:color w:val="000000"/>
                <w:sz w:val="25"/>
                <w:szCs w:val="25"/>
              </w:rPr>
              <w:t xml:space="preserve">Bobsleja un kamaniņu trases „Sigulda” infrastruktūras uzlabošanai, savukārt 100 000 </w:t>
            </w:r>
            <w:proofErr w:type="spellStart"/>
            <w:r w:rsidR="004672D6" w:rsidRPr="004672D6">
              <w:rPr>
                <w:rFonts w:eastAsia="Times New Roman"/>
                <w:i/>
                <w:color w:val="000000"/>
                <w:sz w:val="25"/>
                <w:szCs w:val="25"/>
              </w:rPr>
              <w:t>euro</w:t>
            </w:r>
            <w:proofErr w:type="spellEnd"/>
            <w:r w:rsidR="004672D6">
              <w:rPr>
                <w:rFonts w:eastAsia="Times New Roman"/>
                <w:color w:val="000000"/>
                <w:sz w:val="25"/>
                <w:szCs w:val="25"/>
              </w:rPr>
              <w:t xml:space="preserve"> novirzīt </w:t>
            </w:r>
            <w:r w:rsidR="004672D6" w:rsidRPr="004672D6">
              <w:rPr>
                <w:rFonts w:eastAsia="Times New Roman"/>
                <w:color w:val="000000"/>
                <w:sz w:val="25"/>
                <w:szCs w:val="25"/>
              </w:rPr>
              <w:t>naudas balvu piešķiršanai par izciliem sasniegumiem sportā 2014.gada nogalē un 2015.gadā.</w:t>
            </w:r>
          </w:p>
          <w:p w:rsidR="008829F8" w:rsidRPr="008829F8" w:rsidRDefault="008829F8" w:rsidP="008829F8">
            <w:pPr>
              <w:ind w:left="132" w:right="127"/>
              <w:jc w:val="both"/>
              <w:rPr>
                <w:rFonts w:eastAsia="Times New Roman"/>
                <w:color w:val="000000"/>
                <w:sz w:val="25"/>
                <w:szCs w:val="25"/>
              </w:rPr>
            </w:pPr>
            <w:r>
              <w:rPr>
                <w:rFonts w:eastAsia="Times New Roman"/>
                <w:color w:val="000000"/>
                <w:sz w:val="25"/>
                <w:szCs w:val="25"/>
              </w:rPr>
              <w:tab/>
            </w:r>
            <w:r w:rsidRPr="008829F8">
              <w:rPr>
                <w:rFonts w:eastAsia="Times New Roman"/>
                <w:color w:val="000000"/>
                <w:sz w:val="25"/>
                <w:szCs w:val="25"/>
              </w:rPr>
              <w:t xml:space="preserve">Saskaņā ar likuma “Par valsts budžetu 2015.gadam” 31.panta 4.punktu finanšu ministram ir tiesības veikt apropriācijas pārdali starp programmām, apakšprogrammām un budžeta izdevumu kodiem atbilstoši ekonomiskajām </w:t>
            </w:r>
            <w:r w:rsidRPr="008829F8">
              <w:rPr>
                <w:rFonts w:eastAsia="Times New Roman"/>
                <w:color w:val="000000"/>
                <w:sz w:val="25"/>
                <w:szCs w:val="25"/>
              </w:rPr>
              <w:lastRenderedPageBreak/>
              <w:t>kategorijām ministrijai vai citai centrālajai valsts iestādei likumā noteiktās apropriācijas ietvaros, ja ir pieņemts Ministru kabineta lēmums un Ministru kabinets ir deleģējis finanšu ministram tiesības veikt apropriācijas pārdali, nepiemērojot likuma 30.panta nosacījumus</w:t>
            </w:r>
            <w:r w:rsidR="007273DD">
              <w:rPr>
                <w:rFonts w:eastAsia="Times New Roman"/>
                <w:color w:val="000000"/>
                <w:sz w:val="25"/>
                <w:szCs w:val="25"/>
              </w:rPr>
              <w:t xml:space="preserve"> (30.panta 1.punkts)</w:t>
            </w:r>
            <w:bookmarkStart w:id="3" w:name="_GoBack"/>
            <w:bookmarkEnd w:id="3"/>
            <w:r w:rsidRPr="008829F8">
              <w:rPr>
                <w:rFonts w:eastAsia="Times New Roman"/>
                <w:color w:val="000000"/>
                <w:sz w:val="25"/>
                <w:szCs w:val="25"/>
              </w:rPr>
              <w:t>. Minētā norma arī nosaka, ka šādu apropriācijas pārdali atļauts veikt, ja Saeimas Budžeta un finanšu (nodokļu) komisija piecu dienu laikā no attiecīgās informācijas saņemšanas nav iebildusi pret apropriācijas pārdali.</w:t>
            </w:r>
          </w:p>
          <w:p w:rsidR="005A4619" w:rsidRPr="005A4619" w:rsidRDefault="008829F8" w:rsidP="005A4619">
            <w:pPr>
              <w:ind w:left="132" w:right="127"/>
              <w:jc w:val="both"/>
              <w:rPr>
                <w:rFonts w:eastAsia="Times New Roman"/>
                <w:color w:val="000000"/>
                <w:sz w:val="25"/>
                <w:szCs w:val="25"/>
              </w:rPr>
            </w:pPr>
            <w:r w:rsidRPr="008829F8">
              <w:rPr>
                <w:rFonts w:eastAsia="Times New Roman"/>
                <w:color w:val="000000"/>
                <w:sz w:val="25"/>
                <w:szCs w:val="25"/>
              </w:rPr>
              <w:tab/>
              <w:t xml:space="preserve">Ievērojot minēto,  </w:t>
            </w:r>
            <w:r w:rsidR="004672D6">
              <w:rPr>
                <w:rFonts w:eastAsia="Times New Roman"/>
                <w:color w:val="000000"/>
                <w:sz w:val="25"/>
                <w:szCs w:val="25"/>
              </w:rPr>
              <w:t>IZM</w:t>
            </w:r>
            <w:r w:rsidRPr="008829F8">
              <w:rPr>
                <w:rFonts w:eastAsia="Times New Roman"/>
                <w:color w:val="000000"/>
                <w:sz w:val="25"/>
                <w:szCs w:val="25"/>
              </w:rPr>
              <w:t xml:space="preserve"> ir izstrādājusi Mini</w:t>
            </w:r>
            <w:r w:rsidR="00270772">
              <w:rPr>
                <w:rFonts w:eastAsia="Times New Roman"/>
                <w:color w:val="000000"/>
                <w:sz w:val="25"/>
                <w:szCs w:val="25"/>
              </w:rPr>
              <w:t>stru kabineta rīkojuma projektu „</w:t>
            </w:r>
            <w:r w:rsidR="00270772" w:rsidRPr="00270772">
              <w:rPr>
                <w:rFonts w:eastAsia="Times New Roman"/>
                <w:color w:val="000000"/>
                <w:sz w:val="25"/>
                <w:szCs w:val="25"/>
              </w:rPr>
              <w:t>Par apropriācijas pārdali</w:t>
            </w:r>
            <w:r w:rsidR="00270772">
              <w:rPr>
                <w:rFonts w:eastAsia="Times New Roman"/>
                <w:color w:val="000000"/>
                <w:sz w:val="25"/>
                <w:szCs w:val="25"/>
              </w:rPr>
              <w:t xml:space="preserve">” (turpmāk – </w:t>
            </w:r>
            <w:r w:rsidR="004672D6">
              <w:rPr>
                <w:rFonts w:eastAsia="Times New Roman"/>
                <w:color w:val="000000"/>
                <w:sz w:val="25"/>
                <w:szCs w:val="25"/>
              </w:rPr>
              <w:t>R</w:t>
            </w:r>
            <w:r w:rsidR="00270772">
              <w:rPr>
                <w:rFonts w:eastAsia="Times New Roman"/>
                <w:color w:val="000000"/>
                <w:sz w:val="25"/>
                <w:szCs w:val="25"/>
              </w:rPr>
              <w:t>īkojuma projekts), kurš paredz a</w:t>
            </w:r>
            <w:r w:rsidR="00270772" w:rsidRPr="00270772">
              <w:rPr>
                <w:rFonts w:eastAsia="Times New Roman"/>
                <w:color w:val="000000"/>
                <w:sz w:val="25"/>
                <w:szCs w:val="25"/>
              </w:rPr>
              <w:t xml:space="preserve">tbalstīt apropriācijas </w:t>
            </w:r>
            <w:r w:rsidR="005A4619" w:rsidRPr="005A4619">
              <w:rPr>
                <w:rFonts w:eastAsia="Times New Roman"/>
                <w:color w:val="000000"/>
                <w:sz w:val="25"/>
                <w:szCs w:val="25"/>
              </w:rPr>
              <w:t xml:space="preserve">pārdali no </w:t>
            </w:r>
            <w:r w:rsidR="005A4619">
              <w:rPr>
                <w:rFonts w:eastAsia="Times New Roman"/>
                <w:color w:val="000000"/>
                <w:sz w:val="25"/>
                <w:szCs w:val="25"/>
              </w:rPr>
              <w:t>IZM</w:t>
            </w:r>
            <w:r w:rsidR="005A4619" w:rsidRPr="005A4619">
              <w:rPr>
                <w:rFonts w:eastAsia="Times New Roman"/>
                <w:color w:val="000000"/>
                <w:sz w:val="25"/>
                <w:szCs w:val="25"/>
              </w:rPr>
              <w:t xml:space="preserve"> 2015.gada budžeta apakšprogrammas 02.01.00 „Profesionālās izglītības programmu īstenošana” 400 000 </w:t>
            </w:r>
            <w:proofErr w:type="spellStart"/>
            <w:r w:rsidR="005A4619" w:rsidRPr="005A4619">
              <w:rPr>
                <w:rFonts w:eastAsia="Times New Roman"/>
                <w:i/>
                <w:color w:val="000000"/>
                <w:sz w:val="25"/>
                <w:szCs w:val="25"/>
              </w:rPr>
              <w:t>euro</w:t>
            </w:r>
            <w:proofErr w:type="spellEnd"/>
            <w:r w:rsidR="005A4619" w:rsidRPr="005A4619">
              <w:rPr>
                <w:rFonts w:eastAsia="Times New Roman"/>
                <w:color w:val="000000"/>
                <w:sz w:val="25"/>
                <w:szCs w:val="25"/>
              </w:rPr>
              <w:t xml:space="preserve"> apmērā uz šādām </w:t>
            </w:r>
            <w:r w:rsidR="005A4619">
              <w:rPr>
                <w:rFonts w:eastAsia="Times New Roman"/>
                <w:color w:val="000000"/>
                <w:sz w:val="25"/>
                <w:szCs w:val="25"/>
              </w:rPr>
              <w:t>IZM</w:t>
            </w:r>
            <w:r w:rsidR="005A4619" w:rsidRPr="005A4619">
              <w:rPr>
                <w:rFonts w:eastAsia="Times New Roman"/>
                <w:color w:val="000000"/>
                <w:sz w:val="25"/>
                <w:szCs w:val="25"/>
              </w:rPr>
              <w:t xml:space="preserve"> budžeta apakšprogrammām šādiem mērķiem:</w:t>
            </w:r>
          </w:p>
          <w:p w:rsidR="005A4619" w:rsidRPr="005A4619" w:rsidRDefault="005A4619" w:rsidP="005A4619">
            <w:pPr>
              <w:pStyle w:val="ListParagraph"/>
              <w:numPr>
                <w:ilvl w:val="0"/>
                <w:numId w:val="22"/>
              </w:numPr>
              <w:ind w:right="127"/>
              <w:jc w:val="both"/>
              <w:rPr>
                <w:rFonts w:eastAsia="Times New Roman"/>
                <w:color w:val="000000"/>
                <w:sz w:val="25"/>
                <w:szCs w:val="25"/>
              </w:rPr>
            </w:pPr>
            <w:r w:rsidRPr="005A4619">
              <w:rPr>
                <w:rFonts w:eastAsia="Times New Roman"/>
                <w:color w:val="000000"/>
                <w:sz w:val="25"/>
                <w:szCs w:val="25"/>
              </w:rPr>
              <w:t xml:space="preserve">apakšprogrammu 09.04.00 „Sporta būves”, lai nodrošinātu Bobsleja un kamaniņu trases „Sigulda” infrastruktūras uzlabošanu (SIA „Bobsleja un kamaniņu trase „Sigulda””) – 300 000 </w:t>
            </w:r>
            <w:proofErr w:type="spellStart"/>
            <w:r w:rsidRPr="005A4619">
              <w:rPr>
                <w:rFonts w:eastAsia="Times New Roman"/>
                <w:i/>
                <w:color w:val="000000"/>
                <w:sz w:val="25"/>
                <w:szCs w:val="25"/>
              </w:rPr>
              <w:t>euro</w:t>
            </w:r>
            <w:proofErr w:type="spellEnd"/>
            <w:r w:rsidRPr="005A4619">
              <w:rPr>
                <w:rFonts w:eastAsia="Times New Roman"/>
                <w:color w:val="000000"/>
                <w:sz w:val="25"/>
                <w:szCs w:val="25"/>
              </w:rPr>
              <w:t xml:space="preserve"> apmērā, t.sk. bobsleja kamanu pacelšanas lifta nomaiņai – 150 000 </w:t>
            </w:r>
            <w:proofErr w:type="spellStart"/>
            <w:r w:rsidRPr="005A4619">
              <w:rPr>
                <w:rFonts w:eastAsia="Times New Roman"/>
                <w:i/>
                <w:color w:val="000000"/>
                <w:sz w:val="25"/>
                <w:szCs w:val="25"/>
              </w:rPr>
              <w:t>euro</w:t>
            </w:r>
            <w:proofErr w:type="spellEnd"/>
            <w:r w:rsidRPr="005A4619">
              <w:rPr>
                <w:rFonts w:eastAsia="Times New Roman"/>
                <w:color w:val="000000"/>
                <w:sz w:val="25"/>
                <w:szCs w:val="25"/>
              </w:rPr>
              <w:t xml:space="preserve">, kā arī junioru starta estakādes projektēšanai un būvniecībai – 150 000 </w:t>
            </w:r>
            <w:proofErr w:type="spellStart"/>
            <w:r w:rsidRPr="005A4619">
              <w:rPr>
                <w:rFonts w:eastAsia="Times New Roman"/>
                <w:i/>
                <w:color w:val="000000"/>
                <w:sz w:val="25"/>
                <w:szCs w:val="25"/>
              </w:rPr>
              <w:t>euro</w:t>
            </w:r>
            <w:proofErr w:type="spellEnd"/>
            <w:r w:rsidRPr="005A4619">
              <w:rPr>
                <w:rFonts w:eastAsia="Times New Roman"/>
                <w:color w:val="000000"/>
                <w:sz w:val="25"/>
                <w:szCs w:val="25"/>
              </w:rPr>
              <w:t>;</w:t>
            </w:r>
          </w:p>
          <w:p w:rsidR="005A4619" w:rsidRPr="005A4619" w:rsidRDefault="005A4619" w:rsidP="005A4619">
            <w:pPr>
              <w:pStyle w:val="ListParagraph"/>
              <w:numPr>
                <w:ilvl w:val="0"/>
                <w:numId w:val="22"/>
              </w:numPr>
              <w:ind w:right="127"/>
              <w:jc w:val="both"/>
              <w:rPr>
                <w:rFonts w:eastAsia="Times New Roman"/>
                <w:color w:val="000000"/>
                <w:sz w:val="25"/>
                <w:szCs w:val="25"/>
              </w:rPr>
            </w:pPr>
            <w:r>
              <w:rPr>
                <w:rFonts w:eastAsia="Times New Roman"/>
                <w:color w:val="000000"/>
                <w:sz w:val="25"/>
                <w:szCs w:val="25"/>
              </w:rPr>
              <w:t>a</w:t>
            </w:r>
            <w:r w:rsidRPr="005A4619">
              <w:rPr>
                <w:rFonts w:eastAsia="Times New Roman"/>
                <w:color w:val="000000"/>
                <w:sz w:val="25"/>
                <w:szCs w:val="25"/>
              </w:rPr>
              <w:t xml:space="preserve">pakšprogrammu 09.08.00 „Balvas par izciliem sasniegumiem sportā”, lai nodrošinātu naudas balvu piešķiršanu par izciliem sasniegumiem sportā 2014.gada nogalē un 2015.gadā – 100 000 </w:t>
            </w:r>
            <w:proofErr w:type="spellStart"/>
            <w:r w:rsidRPr="005A4619">
              <w:rPr>
                <w:rFonts w:eastAsia="Times New Roman"/>
                <w:i/>
                <w:color w:val="000000"/>
                <w:sz w:val="25"/>
                <w:szCs w:val="25"/>
              </w:rPr>
              <w:t>euro</w:t>
            </w:r>
            <w:proofErr w:type="spellEnd"/>
            <w:r w:rsidRPr="005A4619">
              <w:rPr>
                <w:rFonts w:eastAsia="Times New Roman"/>
                <w:color w:val="000000"/>
                <w:sz w:val="25"/>
                <w:szCs w:val="25"/>
              </w:rPr>
              <w:t xml:space="preserve"> apmērā.</w:t>
            </w:r>
          </w:p>
          <w:p w:rsidR="005A4619" w:rsidRPr="005A4619" w:rsidRDefault="005A4619" w:rsidP="005A4619">
            <w:pPr>
              <w:ind w:left="132" w:right="127"/>
              <w:jc w:val="both"/>
              <w:rPr>
                <w:rFonts w:eastAsia="Times New Roman"/>
                <w:color w:val="000000"/>
                <w:sz w:val="25"/>
                <w:szCs w:val="25"/>
              </w:rPr>
            </w:pPr>
          </w:p>
          <w:p w:rsidR="00180373" w:rsidRPr="00E14286" w:rsidRDefault="00F13BE7" w:rsidP="005A4619">
            <w:pPr>
              <w:ind w:left="132" w:right="127"/>
              <w:jc w:val="both"/>
              <w:rPr>
                <w:rFonts w:eastAsia="Times New Roman"/>
                <w:color w:val="000000"/>
                <w:sz w:val="25"/>
                <w:szCs w:val="25"/>
              </w:rPr>
            </w:pPr>
            <w:r>
              <w:rPr>
                <w:rFonts w:eastAsia="Times New Roman"/>
                <w:color w:val="000000"/>
                <w:sz w:val="25"/>
                <w:szCs w:val="25"/>
              </w:rPr>
              <w:t>Vienlaikus</w:t>
            </w:r>
            <w:r w:rsidR="005A4619">
              <w:rPr>
                <w:rFonts w:eastAsia="Times New Roman"/>
                <w:color w:val="000000"/>
                <w:sz w:val="25"/>
                <w:szCs w:val="25"/>
              </w:rPr>
              <w:t xml:space="preserve"> Rīkojuma projekts </w:t>
            </w:r>
            <w:r w:rsidR="00180373">
              <w:rPr>
                <w:rFonts w:eastAsia="Times New Roman"/>
                <w:color w:val="000000"/>
                <w:sz w:val="25"/>
                <w:szCs w:val="25"/>
              </w:rPr>
              <w:t xml:space="preserve">paredz uzdevumu IZM nodrošināt </w:t>
            </w:r>
            <w:r w:rsidR="00180373" w:rsidRPr="00180373">
              <w:rPr>
                <w:rFonts w:eastAsia="Times New Roman"/>
                <w:color w:val="000000"/>
                <w:sz w:val="25"/>
                <w:szCs w:val="25"/>
              </w:rPr>
              <w:t>budžeta apakšprogrammā 02.01.00 „Profesionālās izglītības programmu īstenošana” plānoto pamatfunkciju īstenošanu valsts budžeta līdzekļu ietvaro</w:t>
            </w:r>
            <w:r w:rsidR="005A4619">
              <w:rPr>
                <w:rFonts w:eastAsia="Times New Roman"/>
                <w:color w:val="000000"/>
                <w:sz w:val="25"/>
                <w:szCs w:val="25"/>
              </w:rPr>
              <w:t xml:space="preserve">s, neveidojot maksājumu parādus. Tāpat Rīkojuma projekts paredz noteikt, ka IZM </w:t>
            </w:r>
            <w:r w:rsidR="005A4619" w:rsidRPr="005A4619">
              <w:rPr>
                <w:rFonts w:eastAsia="Times New Roman"/>
                <w:color w:val="000000"/>
                <w:sz w:val="25"/>
                <w:szCs w:val="25"/>
              </w:rPr>
              <w:t>nodrošina, ka, piešķirot atbalstu Bobsleja un kamaniņu trasei „Sigulda”, tiek ievērotas komercdarbības atbalsta kontroles normas</w:t>
            </w:r>
            <w:r w:rsidR="005A4619">
              <w:rPr>
                <w:rFonts w:eastAsia="Times New Roman"/>
                <w:color w:val="000000"/>
                <w:sz w:val="25"/>
                <w:szCs w:val="25"/>
              </w:rPr>
              <w:t>.</w:t>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5A4619" w:rsidP="00F13BE7">
            <w:pPr>
              <w:ind w:left="82" w:right="141"/>
              <w:jc w:val="both"/>
              <w:rPr>
                <w:sz w:val="25"/>
                <w:szCs w:val="25"/>
              </w:rPr>
            </w:pPr>
            <w:r>
              <w:rPr>
                <w:sz w:val="25"/>
                <w:szCs w:val="25"/>
              </w:rPr>
              <w:t>R</w:t>
            </w:r>
            <w:r w:rsidR="00DC332F" w:rsidRPr="00E14286">
              <w:rPr>
                <w:sz w:val="25"/>
                <w:szCs w:val="25"/>
              </w:rPr>
              <w:t>īkojuma projektu</w:t>
            </w:r>
            <w:r w:rsidR="002D62A9">
              <w:rPr>
                <w:sz w:val="25"/>
                <w:szCs w:val="25"/>
              </w:rPr>
              <w:t xml:space="preserve"> </w:t>
            </w:r>
            <w:r w:rsidR="00DC332F" w:rsidRPr="00E14286">
              <w:rPr>
                <w:sz w:val="25"/>
                <w:szCs w:val="25"/>
              </w:rPr>
              <w:t xml:space="preserve">izstrādāja IZM. </w:t>
            </w:r>
            <w:r w:rsidR="00C206E8">
              <w:rPr>
                <w:sz w:val="25"/>
                <w:szCs w:val="25"/>
              </w:rPr>
              <w:t>Ievērojot to</w:t>
            </w:r>
            <w:r w:rsidR="008C68D2" w:rsidRPr="00E14286">
              <w:rPr>
                <w:sz w:val="25"/>
                <w:szCs w:val="25"/>
              </w:rPr>
              <w:t xml:space="preserve">, ka </w:t>
            </w:r>
            <w:r w:rsidR="00414A9C">
              <w:rPr>
                <w:sz w:val="25"/>
                <w:szCs w:val="25"/>
              </w:rPr>
              <w:t>R</w:t>
            </w:r>
            <w:r w:rsidR="008C68D2" w:rsidRPr="00E14286">
              <w:rPr>
                <w:sz w:val="25"/>
                <w:szCs w:val="25"/>
              </w:rPr>
              <w:t>īkojuma projekts izstrādāts</w:t>
            </w:r>
            <w:r w:rsidR="00414A9C">
              <w:rPr>
                <w:sz w:val="25"/>
                <w:szCs w:val="25"/>
              </w:rPr>
              <w:t xml:space="preserve"> atbilstoši Padomes 2015.gada 12.novembra sēdē nolemtam, savukārt Padomes sēdē ir pārstāvēti visi nozīmīgākie sporta nozares sociālie partneri, kā arī faktu, k</w:t>
            </w:r>
            <w:r w:rsidR="00F13BE7">
              <w:rPr>
                <w:sz w:val="25"/>
                <w:szCs w:val="25"/>
              </w:rPr>
              <w:t>a</w:t>
            </w:r>
            <w:r w:rsidR="00414A9C">
              <w:rPr>
                <w:sz w:val="25"/>
                <w:szCs w:val="25"/>
              </w:rPr>
              <w:t xml:space="preserve"> pēc minētās Padomes sēdes sabiedrība tika informēta par Padomē pieņemtajiem lēmumiem,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Default="00414A9C" w:rsidP="00C13BBA">
            <w:pPr>
              <w:ind w:left="114" w:right="127"/>
              <w:jc w:val="both"/>
              <w:rPr>
                <w:sz w:val="25"/>
                <w:szCs w:val="25"/>
              </w:rPr>
            </w:pPr>
            <w:r>
              <w:rPr>
                <w:sz w:val="25"/>
                <w:szCs w:val="25"/>
              </w:rPr>
              <w:tab/>
              <w:t>R</w:t>
            </w:r>
            <w:r w:rsidR="00E5461A" w:rsidRPr="00E14286">
              <w:rPr>
                <w:sz w:val="25"/>
                <w:szCs w:val="25"/>
              </w:rPr>
              <w:t xml:space="preserve">īkojuma projekts tiešā veidā attiecas uz </w:t>
            </w:r>
            <w:r w:rsidR="00291AF4" w:rsidRPr="00E14286">
              <w:rPr>
                <w:sz w:val="25"/>
                <w:szCs w:val="25"/>
              </w:rPr>
              <w:t>tūrisma, sporta un brīvā laika politiku (sporta politiku). Pastarpināti Ministru kabineta rīkojuma projekts attiecas uz budžeta un finanšu politiku.</w:t>
            </w:r>
          </w:p>
          <w:p w:rsidR="00414A9C" w:rsidRDefault="00414A9C" w:rsidP="00414A9C">
            <w:pPr>
              <w:ind w:left="114" w:right="127"/>
              <w:jc w:val="both"/>
              <w:rPr>
                <w:sz w:val="25"/>
                <w:szCs w:val="25"/>
              </w:rPr>
            </w:pPr>
            <w:r>
              <w:rPr>
                <w:sz w:val="25"/>
                <w:szCs w:val="25"/>
              </w:rPr>
              <w:tab/>
              <w:t>Vienlaikus ar šo Rīkojuma projektu ir izstrādāts un izskatīšanai Ministru kabinetā vienotā dokumentu paketē</w:t>
            </w:r>
            <w:r w:rsidR="00671466">
              <w:rPr>
                <w:sz w:val="25"/>
                <w:szCs w:val="25"/>
              </w:rPr>
              <w:t xml:space="preserve"> </w:t>
            </w:r>
            <w:r>
              <w:rPr>
                <w:sz w:val="25"/>
                <w:szCs w:val="25"/>
              </w:rPr>
              <w:t xml:space="preserve">tiek </w:t>
            </w:r>
            <w:r>
              <w:rPr>
                <w:sz w:val="25"/>
                <w:szCs w:val="25"/>
              </w:rPr>
              <w:lastRenderedPageBreak/>
              <w:t xml:space="preserve">virzīts Ministru kabineta rīkojuma projekts </w:t>
            </w:r>
            <w:r>
              <w:t xml:space="preserve"> </w:t>
            </w:r>
            <w:r w:rsidRPr="00414A9C">
              <w:rPr>
                <w:sz w:val="25"/>
                <w:szCs w:val="25"/>
              </w:rPr>
              <w:t>„Par naudas balvu piešķiršanu pa</w:t>
            </w:r>
            <w:r>
              <w:rPr>
                <w:sz w:val="25"/>
                <w:szCs w:val="25"/>
              </w:rPr>
              <w:t xml:space="preserve">r izciliem sasniegumiem sportā”, kurš paredz piešķirt naudas balvas par </w:t>
            </w:r>
            <w:r w:rsidRPr="00A74FB1">
              <w:rPr>
                <w:sz w:val="25"/>
                <w:szCs w:val="25"/>
              </w:rPr>
              <w:t>izciliem sasniegumiem sportā 2014.gada nogalē un 2015.gadā</w:t>
            </w:r>
            <w:r>
              <w:rPr>
                <w:sz w:val="25"/>
                <w:szCs w:val="25"/>
              </w:rPr>
              <w:t>.</w:t>
            </w:r>
          </w:p>
          <w:p w:rsidR="007D0D80" w:rsidRPr="00E14286" w:rsidRDefault="00414A9C" w:rsidP="001745AA">
            <w:pPr>
              <w:ind w:left="114" w:right="127"/>
              <w:jc w:val="both"/>
              <w:rPr>
                <w:sz w:val="25"/>
                <w:szCs w:val="25"/>
              </w:rPr>
            </w:pPr>
            <w:r>
              <w:rPr>
                <w:sz w:val="25"/>
                <w:szCs w:val="25"/>
              </w:rPr>
              <w:tab/>
            </w:r>
            <w:r w:rsidR="007D0D80">
              <w:rPr>
                <w:sz w:val="25"/>
                <w:szCs w:val="25"/>
              </w:rPr>
              <w:t xml:space="preserve">Ņemot vērā nepieciešamību organizēt attiecīgas procedūras piešķirto līdzekļu apguves uzsākšanai, ar </w:t>
            </w:r>
            <w:r>
              <w:rPr>
                <w:sz w:val="25"/>
                <w:szCs w:val="25"/>
              </w:rPr>
              <w:t>R</w:t>
            </w:r>
            <w:r w:rsidR="007D0D80">
              <w:rPr>
                <w:sz w:val="25"/>
                <w:szCs w:val="25"/>
              </w:rPr>
              <w:t xml:space="preserve">īkojuma projektu </w:t>
            </w:r>
            <w:r>
              <w:rPr>
                <w:sz w:val="25"/>
                <w:szCs w:val="25"/>
              </w:rPr>
              <w:t xml:space="preserve">SIA „Bobsleja un kamaniņu trase „Sigulda” </w:t>
            </w:r>
            <w:r w:rsidR="001745AA">
              <w:rPr>
                <w:sz w:val="25"/>
                <w:szCs w:val="25"/>
              </w:rPr>
              <w:t xml:space="preserve"> piešķirto valsts finansējumu </w:t>
            </w:r>
            <w:r w:rsidR="007D0D80">
              <w:rPr>
                <w:sz w:val="25"/>
                <w:szCs w:val="25"/>
              </w:rPr>
              <w:t>pilnā apmērā plānots apgūt 2016.gadā.</w:t>
            </w:r>
          </w:p>
        </w:tc>
      </w:tr>
    </w:tbl>
    <w:p w:rsidR="00CD6134" w:rsidRDefault="00CD6134"/>
    <w:p w:rsidR="001745AA" w:rsidRDefault="001745AA"/>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3E1F5B">
        <w:trPr>
          <w:jc w:val="center"/>
        </w:trPr>
        <w:tc>
          <w:tcPr>
            <w:tcW w:w="3507"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81"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572" w:type="dxa"/>
            <w:gridSpan w:val="3"/>
            <w:vAlign w:val="center"/>
          </w:tcPr>
          <w:p w:rsidR="009B774A" w:rsidRPr="00E14286" w:rsidRDefault="009B774A" w:rsidP="001A0506">
            <w:pPr>
              <w:jc w:val="center"/>
              <w:rPr>
                <w:b/>
                <w:i/>
                <w:sz w:val="25"/>
                <w:szCs w:val="25"/>
              </w:rPr>
            </w:pPr>
            <w:r w:rsidRPr="00E14286">
              <w:rPr>
                <w:sz w:val="25"/>
                <w:szCs w:val="25"/>
              </w:rPr>
              <w:t>Turpmākie trīs gadi (</w:t>
            </w:r>
            <w:proofErr w:type="spellStart"/>
            <w:r w:rsidRPr="00E14286">
              <w:rPr>
                <w:i/>
                <w:sz w:val="25"/>
                <w:szCs w:val="25"/>
              </w:rPr>
              <w:t>euro</w:t>
            </w:r>
            <w:proofErr w:type="spellEnd"/>
            <w:r w:rsidRPr="00E14286">
              <w:rPr>
                <w:sz w:val="25"/>
                <w:szCs w:val="25"/>
              </w:rPr>
              <w:t>)</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2981"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189"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1617"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6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3E1F5B">
        <w:trPr>
          <w:jc w:val="center"/>
        </w:trPr>
        <w:tc>
          <w:tcPr>
            <w:tcW w:w="3507" w:type="dxa"/>
            <w:vAlign w:val="center"/>
          </w:tcPr>
          <w:p w:rsidR="009B774A" w:rsidRPr="00E14286" w:rsidRDefault="009B774A" w:rsidP="001A0506">
            <w:pPr>
              <w:jc w:val="center"/>
              <w:rPr>
                <w:bCs/>
                <w:sz w:val="25"/>
                <w:szCs w:val="25"/>
              </w:rPr>
            </w:pPr>
            <w:r w:rsidRPr="00E14286">
              <w:rPr>
                <w:bCs/>
                <w:sz w:val="25"/>
                <w:szCs w:val="25"/>
              </w:rPr>
              <w:t>1</w:t>
            </w:r>
          </w:p>
        </w:tc>
        <w:tc>
          <w:tcPr>
            <w:tcW w:w="1617" w:type="dxa"/>
            <w:vAlign w:val="center"/>
          </w:tcPr>
          <w:p w:rsidR="009B774A" w:rsidRPr="00E14286" w:rsidRDefault="009B774A" w:rsidP="001A0506">
            <w:pPr>
              <w:jc w:val="center"/>
              <w:rPr>
                <w:bCs/>
                <w:sz w:val="25"/>
                <w:szCs w:val="25"/>
              </w:rPr>
            </w:pPr>
            <w:r w:rsidRPr="00E14286">
              <w:rPr>
                <w:bCs/>
                <w:sz w:val="25"/>
                <w:szCs w:val="25"/>
              </w:rPr>
              <w:t>2</w:t>
            </w:r>
          </w:p>
        </w:tc>
        <w:tc>
          <w:tcPr>
            <w:tcW w:w="136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1189"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 Budžeta ieņēmumi:</w:t>
            </w:r>
          </w:p>
        </w:tc>
        <w:tc>
          <w:tcPr>
            <w:tcW w:w="1617" w:type="dxa"/>
          </w:tcPr>
          <w:p w:rsidR="0005209B" w:rsidRPr="00E14286" w:rsidRDefault="004A56AF" w:rsidP="0005209B">
            <w:pPr>
              <w:jc w:val="center"/>
              <w:rPr>
                <w:b/>
                <w:sz w:val="25"/>
                <w:szCs w:val="25"/>
              </w:rPr>
            </w:pPr>
            <w:r w:rsidRPr="00E14286">
              <w:rPr>
                <w:b/>
                <w:sz w:val="25"/>
                <w:szCs w:val="25"/>
              </w:rPr>
              <w:t>0</w:t>
            </w:r>
          </w:p>
        </w:tc>
        <w:tc>
          <w:tcPr>
            <w:tcW w:w="136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617" w:type="dxa"/>
          </w:tcPr>
          <w:p w:rsidR="0005209B" w:rsidRPr="00E14286" w:rsidRDefault="0005209B" w:rsidP="0005209B">
            <w:pPr>
              <w:jc w:val="center"/>
              <w:rPr>
                <w:i/>
                <w:sz w:val="25"/>
                <w:szCs w:val="25"/>
              </w:rPr>
            </w:pPr>
          </w:p>
        </w:tc>
        <w:tc>
          <w:tcPr>
            <w:tcW w:w="136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1.3. pašvaldību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 Budžeta izdevumi:</w:t>
            </w:r>
          </w:p>
        </w:tc>
        <w:tc>
          <w:tcPr>
            <w:tcW w:w="1617" w:type="dxa"/>
          </w:tcPr>
          <w:p w:rsidR="007A1337" w:rsidRPr="00E14286" w:rsidRDefault="007A1337" w:rsidP="007A1337">
            <w:pPr>
              <w:jc w:val="center"/>
              <w:rPr>
                <w:b/>
                <w:sz w:val="25"/>
                <w:szCs w:val="25"/>
              </w:rPr>
            </w:pPr>
            <w:r w:rsidRPr="00E14286">
              <w:rPr>
                <w:b/>
                <w:sz w:val="25"/>
                <w:szCs w:val="25"/>
              </w:rPr>
              <w:t>0</w:t>
            </w:r>
          </w:p>
        </w:tc>
        <w:tc>
          <w:tcPr>
            <w:tcW w:w="136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2.1. valsts pamatbudžets</w:t>
            </w:r>
          </w:p>
        </w:tc>
        <w:tc>
          <w:tcPr>
            <w:tcW w:w="1617" w:type="dxa"/>
          </w:tcPr>
          <w:p w:rsidR="007A1337" w:rsidRPr="00E14286" w:rsidRDefault="007A1337" w:rsidP="007A1337">
            <w:pPr>
              <w:jc w:val="center"/>
              <w:rPr>
                <w:i/>
                <w:sz w:val="25"/>
                <w:szCs w:val="25"/>
              </w:rPr>
            </w:pPr>
            <w:r w:rsidRPr="00E14286">
              <w:rPr>
                <w:i/>
                <w:sz w:val="25"/>
                <w:szCs w:val="25"/>
              </w:rPr>
              <w:t>0</w:t>
            </w:r>
          </w:p>
        </w:tc>
        <w:tc>
          <w:tcPr>
            <w:tcW w:w="136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2.2.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2.3. pašvaldību budžets </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3. Finansiālā ietekme:</w:t>
            </w:r>
          </w:p>
        </w:tc>
        <w:tc>
          <w:tcPr>
            <w:tcW w:w="1617" w:type="dxa"/>
            <w:shd w:val="clear" w:color="auto" w:fill="auto"/>
          </w:tcPr>
          <w:p w:rsidR="007A1337" w:rsidRPr="00E14286" w:rsidRDefault="004A56AF" w:rsidP="007A1337">
            <w:pPr>
              <w:jc w:val="center"/>
              <w:rPr>
                <w:b/>
                <w:sz w:val="25"/>
                <w:szCs w:val="25"/>
              </w:rPr>
            </w:pPr>
            <w:r w:rsidRPr="00E14286">
              <w:rPr>
                <w:b/>
                <w:sz w:val="25"/>
                <w:szCs w:val="25"/>
              </w:rPr>
              <w:t>0</w:t>
            </w:r>
          </w:p>
        </w:tc>
        <w:tc>
          <w:tcPr>
            <w:tcW w:w="136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4A56AF" w:rsidRPr="00E14286" w:rsidTr="003E1F5B">
        <w:trPr>
          <w:jc w:val="center"/>
        </w:trPr>
        <w:tc>
          <w:tcPr>
            <w:tcW w:w="3507" w:type="dxa"/>
          </w:tcPr>
          <w:p w:rsidR="004A56AF" w:rsidRPr="00E14286" w:rsidRDefault="004A56AF" w:rsidP="004A56AF">
            <w:pPr>
              <w:rPr>
                <w:sz w:val="25"/>
                <w:szCs w:val="25"/>
              </w:rPr>
            </w:pPr>
            <w:r w:rsidRPr="00E14286">
              <w:rPr>
                <w:sz w:val="25"/>
                <w:szCs w:val="25"/>
              </w:rPr>
              <w:t>3.1. valsts pamatbudžets</w:t>
            </w:r>
          </w:p>
        </w:tc>
        <w:tc>
          <w:tcPr>
            <w:tcW w:w="1617" w:type="dxa"/>
            <w:shd w:val="clear" w:color="auto" w:fill="auto"/>
          </w:tcPr>
          <w:p w:rsidR="004A56AF" w:rsidRPr="00E14286" w:rsidRDefault="004A56AF" w:rsidP="004A56AF">
            <w:pPr>
              <w:jc w:val="center"/>
              <w:rPr>
                <w:i/>
                <w:sz w:val="25"/>
                <w:szCs w:val="25"/>
              </w:rPr>
            </w:pPr>
            <w:r w:rsidRPr="00E14286">
              <w:rPr>
                <w:i/>
                <w:sz w:val="25"/>
                <w:szCs w:val="25"/>
              </w:rPr>
              <w:t>0</w:t>
            </w:r>
          </w:p>
        </w:tc>
        <w:tc>
          <w:tcPr>
            <w:tcW w:w="136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3.2. speciālais budžets</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3.3. pašvaldību budžets </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 Precizēta finansiālā ietekme:</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5.1. valsts pamatbudžets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5.2. speciālais 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5.3. pašvaldību budžets </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 xml:space="preserve">ciešams, detalizētu ieņēmumu </w:t>
            </w:r>
            <w:r w:rsidRPr="00E14286">
              <w:rPr>
                <w:sz w:val="25"/>
                <w:szCs w:val="25"/>
              </w:rPr>
              <w:lastRenderedPageBreak/>
              <w:t>un izdevumu aprēķinu var pie</w:t>
            </w:r>
            <w:r w:rsidRPr="00E14286">
              <w:rPr>
                <w:sz w:val="25"/>
                <w:szCs w:val="25"/>
              </w:rPr>
              <w:softHyphen/>
              <w:t>vienot anotācijas pielikumā):</w:t>
            </w:r>
          </w:p>
        </w:tc>
        <w:tc>
          <w:tcPr>
            <w:tcW w:w="6553" w:type="dxa"/>
            <w:gridSpan w:val="5"/>
            <w:vMerge w:val="restart"/>
            <w:shd w:val="clear" w:color="auto" w:fill="auto"/>
          </w:tcPr>
          <w:p w:rsidR="0047568D" w:rsidRDefault="00CD6134" w:rsidP="002D6D46">
            <w:pPr>
              <w:jc w:val="both"/>
              <w:rPr>
                <w:sz w:val="25"/>
                <w:szCs w:val="25"/>
              </w:rPr>
            </w:pPr>
            <w:r w:rsidRPr="00E14286">
              <w:rPr>
                <w:sz w:val="25"/>
                <w:szCs w:val="25"/>
              </w:rPr>
              <w:lastRenderedPageBreak/>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w:t>
            </w:r>
            <w:r w:rsidR="00075E50">
              <w:rPr>
                <w:sz w:val="25"/>
                <w:szCs w:val="25"/>
              </w:rPr>
              <w:t xml:space="preserve">IZM budžeta ietvaros, </w:t>
            </w:r>
            <w:r w:rsidR="00991845" w:rsidRPr="00E14286">
              <w:rPr>
                <w:sz w:val="25"/>
                <w:szCs w:val="25"/>
              </w:rPr>
              <w:t xml:space="preserve">iekšējās pārdales rezultātā </w:t>
            </w:r>
            <w:r w:rsidR="00075E50">
              <w:rPr>
                <w:sz w:val="25"/>
                <w:szCs w:val="25"/>
              </w:rPr>
              <w:t xml:space="preserve">IZM </w:t>
            </w:r>
            <w:r w:rsidR="00991845" w:rsidRPr="00E14286">
              <w:rPr>
                <w:sz w:val="25"/>
                <w:szCs w:val="25"/>
              </w:rPr>
              <w:t>201</w:t>
            </w:r>
            <w:r w:rsidR="0096760B">
              <w:rPr>
                <w:sz w:val="25"/>
                <w:szCs w:val="25"/>
              </w:rPr>
              <w:t>5</w:t>
            </w:r>
            <w:r w:rsidR="0047568D" w:rsidRPr="00E14286">
              <w:rPr>
                <w:sz w:val="25"/>
                <w:szCs w:val="25"/>
              </w:rPr>
              <w:t>.gada izdevumi nemainās.</w:t>
            </w:r>
          </w:p>
          <w:p w:rsidR="00C0400D" w:rsidRPr="00C0400D" w:rsidRDefault="00CD6134" w:rsidP="001745AA">
            <w:pPr>
              <w:jc w:val="both"/>
              <w:rPr>
                <w:rFonts w:eastAsia="Times New Roman"/>
                <w:color w:val="000000"/>
                <w:sz w:val="25"/>
                <w:szCs w:val="25"/>
              </w:rPr>
            </w:pPr>
            <w:r w:rsidRPr="00E14286">
              <w:rPr>
                <w:sz w:val="25"/>
                <w:szCs w:val="25"/>
              </w:rPr>
              <w:lastRenderedPageBreak/>
              <w:tab/>
            </w:r>
            <w:r w:rsidR="00D90152" w:rsidRPr="00E14286">
              <w:rPr>
                <w:sz w:val="25"/>
                <w:szCs w:val="25"/>
              </w:rPr>
              <w:t>Izdevumi 201</w:t>
            </w:r>
            <w:r w:rsidR="00075E50">
              <w:rPr>
                <w:sz w:val="25"/>
                <w:szCs w:val="25"/>
              </w:rPr>
              <w:t>5</w:t>
            </w:r>
            <w:r w:rsidR="00D90152" w:rsidRPr="00E14286">
              <w:rPr>
                <w:sz w:val="25"/>
                <w:szCs w:val="25"/>
              </w:rPr>
              <w:t xml:space="preserve">.gada </w:t>
            </w:r>
            <w:r w:rsidR="00075E50">
              <w:rPr>
                <w:rFonts w:eastAsia="Times New Roman"/>
                <w:color w:val="000000"/>
                <w:sz w:val="25"/>
                <w:szCs w:val="25"/>
              </w:rPr>
              <w:t xml:space="preserve">IZM </w:t>
            </w:r>
            <w:r w:rsidR="00075E50" w:rsidRPr="00270772">
              <w:rPr>
                <w:rFonts w:eastAsia="Times New Roman"/>
                <w:color w:val="000000"/>
                <w:sz w:val="25"/>
                <w:szCs w:val="25"/>
              </w:rPr>
              <w:t>budžeta apakšprogramm</w:t>
            </w:r>
            <w:r w:rsidR="00075E50">
              <w:rPr>
                <w:rFonts w:eastAsia="Times New Roman"/>
                <w:color w:val="000000"/>
                <w:sz w:val="25"/>
                <w:szCs w:val="25"/>
              </w:rPr>
              <w:t>ā</w:t>
            </w:r>
            <w:r w:rsidR="00075E50" w:rsidRPr="00270772">
              <w:rPr>
                <w:rFonts w:eastAsia="Times New Roman"/>
                <w:color w:val="000000"/>
                <w:sz w:val="25"/>
                <w:szCs w:val="25"/>
              </w:rPr>
              <w:t xml:space="preserve"> 02.01.00 „Profesionālās izglītības programmu īstenošana” </w:t>
            </w:r>
            <w:r w:rsidR="00075E50">
              <w:rPr>
                <w:rFonts w:eastAsia="Times New Roman"/>
                <w:color w:val="000000"/>
                <w:sz w:val="25"/>
                <w:szCs w:val="25"/>
              </w:rPr>
              <w:t xml:space="preserve">par </w:t>
            </w:r>
            <w:r w:rsidR="001745AA">
              <w:rPr>
                <w:rFonts w:eastAsia="Times New Roman"/>
                <w:color w:val="000000"/>
                <w:sz w:val="25"/>
                <w:szCs w:val="25"/>
              </w:rPr>
              <w:t>400</w:t>
            </w:r>
            <w:r w:rsidR="00075E50">
              <w:rPr>
                <w:rFonts w:eastAsia="Times New Roman"/>
                <w:color w:val="000000"/>
                <w:sz w:val="25"/>
                <w:szCs w:val="25"/>
              </w:rPr>
              <w:t xml:space="preserve"> 000 </w:t>
            </w:r>
            <w:proofErr w:type="spellStart"/>
            <w:r w:rsidR="00075E50" w:rsidRPr="00075E50">
              <w:rPr>
                <w:rFonts w:eastAsia="Times New Roman"/>
                <w:i/>
                <w:color w:val="000000"/>
                <w:sz w:val="25"/>
                <w:szCs w:val="25"/>
              </w:rPr>
              <w:t>euro</w:t>
            </w:r>
            <w:proofErr w:type="spellEnd"/>
            <w:r w:rsidR="00075E50">
              <w:rPr>
                <w:rFonts w:eastAsia="Times New Roman"/>
                <w:color w:val="000000"/>
                <w:sz w:val="25"/>
                <w:szCs w:val="25"/>
              </w:rPr>
              <w:t xml:space="preserve"> samazināsies, </w:t>
            </w:r>
            <w:r w:rsidR="00BE31BF">
              <w:rPr>
                <w:sz w:val="25"/>
                <w:szCs w:val="25"/>
              </w:rPr>
              <w:t xml:space="preserve">savukārt attiecīgi </w:t>
            </w:r>
            <w:r w:rsidR="001745AA">
              <w:rPr>
                <w:sz w:val="25"/>
                <w:szCs w:val="25"/>
              </w:rPr>
              <w:t>par 300</w:t>
            </w:r>
            <w:r w:rsidR="00A325CD">
              <w:rPr>
                <w:sz w:val="25"/>
                <w:szCs w:val="25"/>
              </w:rPr>
              <w:t> </w:t>
            </w:r>
            <w:r w:rsidR="001745AA">
              <w:rPr>
                <w:sz w:val="25"/>
                <w:szCs w:val="25"/>
              </w:rPr>
              <w:t>000</w:t>
            </w:r>
            <w:r w:rsidR="00A325CD">
              <w:rPr>
                <w:sz w:val="25"/>
                <w:szCs w:val="25"/>
              </w:rPr>
              <w:t xml:space="preserve"> </w:t>
            </w:r>
            <w:proofErr w:type="spellStart"/>
            <w:r w:rsidR="00A325CD" w:rsidRPr="00A325CD">
              <w:rPr>
                <w:i/>
                <w:sz w:val="25"/>
                <w:szCs w:val="25"/>
              </w:rPr>
              <w:t>euro</w:t>
            </w:r>
            <w:proofErr w:type="spellEnd"/>
            <w:r w:rsidR="001745AA">
              <w:rPr>
                <w:sz w:val="25"/>
                <w:szCs w:val="25"/>
              </w:rPr>
              <w:t xml:space="preserve"> </w:t>
            </w:r>
            <w:r w:rsidR="00BE31BF">
              <w:rPr>
                <w:sz w:val="25"/>
                <w:szCs w:val="25"/>
              </w:rPr>
              <w:t xml:space="preserve">palielināsies </w:t>
            </w:r>
            <w:r w:rsidR="00075E50">
              <w:rPr>
                <w:sz w:val="25"/>
                <w:szCs w:val="25"/>
              </w:rPr>
              <w:t xml:space="preserve">IZM </w:t>
            </w:r>
            <w:r w:rsidR="00BE31BF" w:rsidRPr="00E14286">
              <w:rPr>
                <w:sz w:val="25"/>
                <w:szCs w:val="25"/>
              </w:rPr>
              <w:t>valsts budžeta programmas 09.00.00 „Sports” apakšprogrammā</w:t>
            </w:r>
            <w:r w:rsidR="00075E50">
              <w:rPr>
                <w:sz w:val="25"/>
                <w:szCs w:val="25"/>
              </w:rPr>
              <w:t xml:space="preserve"> 09.04.00 „Sporta būves”</w:t>
            </w:r>
            <w:r w:rsidR="00BE31BF">
              <w:rPr>
                <w:sz w:val="25"/>
                <w:szCs w:val="25"/>
              </w:rPr>
              <w:t xml:space="preserve"> paredzētie izdevumi</w:t>
            </w:r>
            <w:r w:rsidR="001745AA">
              <w:rPr>
                <w:sz w:val="25"/>
                <w:szCs w:val="25"/>
              </w:rPr>
              <w:t xml:space="preserve">, kā arī par 100 000 </w:t>
            </w:r>
            <w:proofErr w:type="spellStart"/>
            <w:r w:rsidR="001745AA" w:rsidRPr="002F7A41">
              <w:rPr>
                <w:i/>
                <w:sz w:val="25"/>
                <w:szCs w:val="25"/>
              </w:rPr>
              <w:t>euro</w:t>
            </w:r>
            <w:proofErr w:type="spellEnd"/>
            <w:r w:rsidR="001745AA">
              <w:rPr>
                <w:sz w:val="25"/>
                <w:szCs w:val="25"/>
              </w:rPr>
              <w:t xml:space="preserve"> palielināsies </w:t>
            </w:r>
            <w:r w:rsidR="001745AA" w:rsidRPr="00E14286">
              <w:rPr>
                <w:sz w:val="25"/>
                <w:szCs w:val="25"/>
              </w:rPr>
              <w:t>apakšprogrammā</w:t>
            </w:r>
            <w:r w:rsidR="001745AA">
              <w:rPr>
                <w:sz w:val="25"/>
                <w:szCs w:val="25"/>
              </w:rPr>
              <w:t xml:space="preserve"> 09.08.00 „</w:t>
            </w:r>
            <w:r w:rsidR="001745AA" w:rsidRPr="005A4619">
              <w:rPr>
                <w:rFonts w:eastAsia="Times New Roman"/>
                <w:color w:val="000000"/>
                <w:sz w:val="25"/>
                <w:szCs w:val="25"/>
              </w:rPr>
              <w:t>Balvas par izciliem sasniegumiem sportā</w:t>
            </w:r>
            <w:r w:rsidR="001745AA">
              <w:rPr>
                <w:sz w:val="25"/>
                <w:szCs w:val="25"/>
              </w:rPr>
              <w:t>” paredzētie izdevumi</w:t>
            </w:r>
            <w:r w:rsidR="00BE31BF">
              <w:rPr>
                <w:sz w:val="25"/>
                <w:szCs w:val="25"/>
              </w:rPr>
              <w:t>.</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lastRenderedPageBreak/>
              <w:t>6.1. detalizēts ieņēmumu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6.2. detalizēts izdevumu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trHeight w:val="399"/>
          <w:jc w:val="center"/>
        </w:trPr>
        <w:tc>
          <w:tcPr>
            <w:tcW w:w="3507" w:type="dxa"/>
          </w:tcPr>
          <w:p w:rsidR="009B774A" w:rsidRPr="00E14286" w:rsidRDefault="009B774A" w:rsidP="001A0506">
            <w:pPr>
              <w:rPr>
                <w:sz w:val="25"/>
                <w:szCs w:val="25"/>
              </w:rPr>
            </w:pPr>
            <w:r w:rsidRPr="00E14286">
              <w:rPr>
                <w:sz w:val="25"/>
                <w:szCs w:val="25"/>
              </w:rPr>
              <w:t>7. Cita informācija</w:t>
            </w:r>
          </w:p>
        </w:tc>
        <w:tc>
          <w:tcPr>
            <w:tcW w:w="6553" w:type="dxa"/>
            <w:gridSpan w:val="5"/>
            <w:shd w:val="clear" w:color="auto" w:fill="auto"/>
          </w:tcPr>
          <w:p w:rsidR="009B774A" w:rsidRPr="00E14286" w:rsidRDefault="00075E50" w:rsidP="00F53178">
            <w:pPr>
              <w:jc w:val="both"/>
              <w:rPr>
                <w:sz w:val="25"/>
                <w:szCs w:val="25"/>
              </w:rPr>
            </w:pPr>
            <w:r w:rsidRPr="00075E50">
              <w:rPr>
                <w:sz w:val="25"/>
                <w:szCs w:val="25"/>
              </w:rPr>
              <w:t>Pēc Ministru kabineta rīkojuma projekta pieņemšanas IZM normatīvajos aktos noteiktā kārtībā sagatavos un iesniegs Finanšu ministrijā pieprasījumu valsts budžeta apropriācijas pārdalei.</w:t>
            </w:r>
          </w:p>
        </w:tc>
      </w:tr>
    </w:tbl>
    <w:p w:rsidR="00520B00" w:rsidRDefault="00520B00"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sadaļa –</w:t>
      </w:r>
      <w:r w:rsidR="00203110">
        <w:rPr>
          <w:i/>
          <w:sz w:val="26"/>
          <w:szCs w:val="26"/>
        </w:rPr>
        <w:t xml:space="preserve">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1745AA" w:rsidRDefault="001745AA" w:rsidP="00E244D0">
      <w:pPr>
        <w:ind w:left="720"/>
        <w:rPr>
          <w:sz w:val="22"/>
          <w:szCs w:val="22"/>
        </w:rPr>
      </w:pPr>
    </w:p>
    <w:p w:rsidR="001745AA" w:rsidRDefault="001745AA" w:rsidP="00E244D0">
      <w:pPr>
        <w:ind w:left="720"/>
        <w:rPr>
          <w:sz w:val="22"/>
          <w:szCs w:val="22"/>
        </w:rPr>
      </w:pPr>
    </w:p>
    <w:p w:rsidR="001745AA" w:rsidRDefault="001745AA" w:rsidP="00E244D0">
      <w:pPr>
        <w:ind w:left="720"/>
        <w:rPr>
          <w:sz w:val="22"/>
          <w:szCs w:val="22"/>
        </w:rPr>
      </w:pPr>
    </w:p>
    <w:p w:rsidR="001745AA" w:rsidRDefault="001745AA" w:rsidP="00E244D0">
      <w:pPr>
        <w:ind w:left="720"/>
        <w:rPr>
          <w:sz w:val="22"/>
          <w:szCs w:val="22"/>
        </w:rPr>
      </w:pPr>
    </w:p>
    <w:p w:rsidR="001745AA" w:rsidRDefault="001745AA" w:rsidP="00E244D0">
      <w:pPr>
        <w:ind w:left="720"/>
        <w:rPr>
          <w:sz w:val="22"/>
          <w:szCs w:val="22"/>
        </w:rPr>
      </w:pPr>
    </w:p>
    <w:p w:rsidR="001745AA" w:rsidRDefault="001745AA" w:rsidP="00E244D0">
      <w:pPr>
        <w:ind w:left="720"/>
        <w:rPr>
          <w:sz w:val="22"/>
          <w:szCs w:val="22"/>
        </w:rPr>
      </w:pPr>
    </w:p>
    <w:p w:rsidR="00121D05" w:rsidRDefault="00121D05" w:rsidP="00E244D0">
      <w:pPr>
        <w:ind w:left="720"/>
        <w:rPr>
          <w:sz w:val="22"/>
          <w:szCs w:val="22"/>
        </w:rPr>
      </w:pPr>
    </w:p>
    <w:p w:rsidR="00121D05" w:rsidRDefault="00121D05" w:rsidP="00E244D0">
      <w:pPr>
        <w:ind w:left="720"/>
        <w:rPr>
          <w:sz w:val="22"/>
          <w:szCs w:val="22"/>
        </w:rPr>
      </w:pPr>
    </w:p>
    <w:p w:rsidR="00E244D0" w:rsidRPr="002D62A9" w:rsidRDefault="001745AA" w:rsidP="00E244D0">
      <w:pPr>
        <w:ind w:left="720"/>
        <w:rPr>
          <w:sz w:val="22"/>
          <w:szCs w:val="22"/>
        </w:rPr>
      </w:pPr>
      <w:r>
        <w:rPr>
          <w:sz w:val="22"/>
          <w:szCs w:val="22"/>
        </w:rPr>
        <w:t>17</w:t>
      </w:r>
      <w:r w:rsidR="00E244D0" w:rsidRPr="002D62A9">
        <w:rPr>
          <w:sz w:val="22"/>
          <w:szCs w:val="22"/>
        </w:rPr>
        <w:t>.</w:t>
      </w:r>
      <w:r w:rsidR="0014095C" w:rsidRPr="002D62A9">
        <w:rPr>
          <w:sz w:val="22"/>
          <w:szCs w:val="22"/>
        </w:rPr>
        <w:t>1</w:t>
      </w:r>
      <w:r>
        <w:rPr>
          <w:sz w:val="22"/>
          <w:szCs w:val="22"/>
        </w:rPr>
        <w:t>1</w:t>
      </w:r>
      <w:r w:rsidR="00E244D0" w:rsidRPr="002D62A9">
        <w:rPr>
          <w:sz w:val="22"/>
          <w:szCs w:val="22"/>
        </w:rPr>
        <w:t xml:space="preserve">.2015. </w:t>
      </w:r>
      <w:r>
        <w:rPr>
          <w:sz w:val="22"/>
          <w:szCs w:val="22"/>
        </w:rPr>
        <w:t>10</w:t>
      </w:r>
      <w:r w:rsidR="00E244D0" w:rsidRPr="002D62A9">
        <w:rPr>
          <w:sz w:val="22"/>
          <w:szCs w:val="22"/>
        </w:rPr>
        <w:t>:</w:t>
      </w:r>
      <w:r w:rsidR="001F5F48">
        <w:rPr>
          <w:sz w:val="22"/>
          <w:szCs w:val="22"/>
        </w:rPr>
        <w:t>15</w:t>
      </w:r>
    </w:p>
    <w:p w:rsidR="00E244D0" w:rsidRPr="002D62A9" w:rsidRDefault="0048254F" w:rsidP="00E244D0">
      <w:pPr>
        <w:ind w:left="720"/>
        <w:rPr>
          <w:sz w:val="22"/>
          <w:szCs w:val="22"/>
        </w:rPr>
      </w:pPr>
      <w:r>
        <w:rPr>
          <w:sz w:val="22"/>
          <w:szCs w:val="22"/>
        </w:rPr>
        <w:t>13</w:t>
      </w:r>
      <w:r w:rsidR="00203110">
        <w:rPr>
          <w:sz w:val="22"/>
          <w:szCs w:val="22"/>
        </w:rPr>
        <w:t>45</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 xml:space="preserve">Sporta departamenta direktora vietnieks </w:t>
      </w:r>
      <w:proofErr w:type="spellStart"/>
      <w:r w:rsidRPr="002D62A9">
        <w:rPr>
          <w:sz w:val="22"/>
          <w:szCs w:val="22"/>
        </w:rPr>
        <w:t>E.Severs</w:t>
      </w:r>
      <w:proofErr w:type="spellEnd"/>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44" w:rsidRDefault="00115844" w:rsidP="00123E9B">
      <w:r>
        <w:separator/>
      </w:r>
    </w:p>
  </w:endnote>
  <w:endnote w:type="continuationSeparator" w:id="0">
    <w:p w:rsidR="00115844" w:rsidRDefault="0011584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Pr="00E74984" w:rsidRDefault="00E74984" w:rsidP="00E74984">
    <w:pPr>
      <w:ind w:left="-567" w:right="-568"/>
      <w:jc w:val="both"/>
    </w:pPr>
    <w:r>
      <w:rPr>
        <w:sz w:val="22"/>
        <w:szCs w:val="22"/>
      </w:rPr>
      <w:t>IZMAnot_171115_sports</w:t>
    </w:r>
    <w:r w:rsidRPr="004816F6">
      <w:rPr>
        <w:sz w:val="22"/>
        <w:szCs w:val="22"/>
      </w:rPr>
      <w:t xml:space="preserve">; Ministru kabineta rīkojuma projekta </w:t>
    </w:r>
    <w:r>
      <w:rPr>
        <w:sz w:val="22"/>
        <w:szCs w:val="22"/>
      </w:rPr>
      <w:t>„</w:t>
    </w:r>
    <w:r w:rsidRPr="0097619B">
      <w:rPr>
        <w:sz w:val="22"/>
        <w:szCs w:val="22"/>
      </w:rPr>
      <w:t>Par apropriācijas pārdali</w:t>
    </w:r>
    <w:r w:rsidRPr="00CA693C">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Pr="004816F6" w:rsidRDefault="00095510" w:rsidP="001A51C5">
    <w:pPr>
      <w:ind w:left="-567" w:right="-568"/>
      <w:jc w:val="both"/>
      <w:rPr>
        <w:sz w:val="22"/>
        <w:szCs w:val="22"/>
      </w:rPr>
    </w:pPr>
    <w:r>
      <w:rPr>
        <w:sz w:val="22"/>
        <w:szCs w:val="22"/>
      </w:rPr>
      <w:t>IZMAnot_</w:t>
    </w:r>
    <w:r w:rsidR="00E74984">
      <w:rPr>
        <w:sz w:val="22"/>
        <w:szCs w:val="22"/>
      </w:rPr>
      <w:t>171115</w:t>
    </w:r>
    <w:r>
      <w:rPr>
        <w:sz w:val="22"/>
        <w:szCs w:val="22"/>
      </w:rPr>
      <w:t>_</w:t>
    </w:r>
    <w:r w:rsidR="00E74984">
      <w:rPr>
        <w:sz w:val="22"/>
        <w:szCs w:val="22"/>
      </w:rPr>
      <w:t>sports</w:t>
    </w:r>
    <w:r w:rsidRPr="004816F6">
      <w:rPr>
        <w:sz w:val="22"/>
        <w:szCs w:val="22"/>
      </w:rPr>
      <w:t xml:space="preserve">; Ministru kabineta rīkojuma projekta </w:t>
    </w:r>
    <w:r>
      <w:rPr>
        <w:sz w:val="22"/>
        <w:szCs w:val="22"/>
      </w:rPr>
      <w:t>„</w:t>
    </w:r>
    <w:r w:rsidRPr="0097619B">
      <w:rPr>
        <w:sz w:val="22"/>
        <w:szCs w:val="22"/>
      </w:rPr>
      <w:t>Par apropriācijas pārdali</w:t>
    </w:r>
    <w:r w:rsidRPr="00CA693C">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44" w:rsidRDefault="00115844" w:rsidP="00123E9B">
      <w:r>
        <w:separator/>
      </w:r>
    </w:p>
  </w:footnote>
  <w:footnote w:type="continuationSeparator" w:id="0">
    <w:p w:rsidR="00115844" w:rsidRDefault="0011584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Default="00095510">
    <w:pPr>
      <w:pStyle w:val="Header"/>
      <w:jc w:val="center"/>
    </w:pPr>
    <w:r>
      <w:fldChar w:fldCharType="begin"/>
    </w:r>
    <w:r>
      <w:instrText xml:space="preserve"> PAGE   \* MERGEFORMAT </w:instrText>
    </w:r>
    <w:r>
      <w:fldChar w:fldCharType="separate"/>
    </w:r>
    <w:r w:rsidR="007273DD">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15:restartNumberingAfterBreak="0">
    <w:nsid w:val="31BA5F43"/>
    <w:multiLevelType w:val="hybridMultilevel"/>
    <w:tmpl w:val="9356DF56"/>
    <w:lvl w:ilvl="0" w:tplc="25F6C5EC">
      <w:start w:val="1"/>
      <w:numFmt w:val="decimal"/>
      <w:lvlText w:val="(%1)"/>
      <w:lvlJc w:val="left"/>
      <w:pPr>
        <w:ind w:left="1167" w:hanging="45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390C4BF7"/>
    <w:multiLevelType w:val="hybridMultilevel"/>
    <w:tmpl w:val="21AAC338"/>
    <w:lvl w:ilvl="0" w:tplc="79D20626">
      <w:start w:val="1"/>
      <w:numFmt w:val="decimal"/>
      <w:lvlText w:val="(%1)"/>
      <w:lvlJc w:val="left"/>
      <w:pPr>
        <w:ind w:left="577" w:hanging="435"/>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9"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16"/>
  </w:num>
  <w:num w:numId="3">
    <w:abstractNumId w:val="15"/>
  </w:num>
  <w:num w:numId="4">
    <w:abstractNumId w:val="19"/>
  </w:num>
  <w:num w:numId="5">
    <w:abstractNumId w:val="13"/>
  </w:num>
  <w:num w:numId="6">
    <w:abstractNumId w:val="14"/>
  </w:num>
  <w:num w:numId="7">
    <w:abstractNumId w:val="3"/>
  </w:num>
  <w:num w:numId="8">
    <w:abstractNumId w:val="0"/>
  </w:num>
  <w:num w:numId="9">
    <w:abstractNumId w:val="7"/>
  </w:num>
  <w:num w:numId="10">
    <w:abstractNumId w:val="20"/>
  </w:num>
  <w:num w:numId="11">
    <w:abstractNumId w:val="18"/>
  </w:num>
  <w:num w:numId="12">
    <w:abstractNumId w:val="4"/>
  </w:num>
  <w:num w:numId="13">
    <w:abstractNumId w:val="1"/>
  </w:num>
  <w:num w:numId="14">
    <w:abstractNumId w:val="2"/>
  </w:num>
  <w:num w:numId="15">
    <w:abstractNumId w:val="17"/>
  </w:num>
  <w:num w:numId="16">
    <w:abstractNumId w:val="21"/>
  </w:num>
  <w:num w:numId="17">
    <w:abstractNumId w:val="11"/>
  </w:num>
  <w:num w:numId="18">
    <w:abstractNumId w:val="12"/>
  </w:num>
  <w:num w:numId="19">
    <w:abstractNumId w:val="9"/>
  </w:num>
  <w:num w:numId="20">
    <w:abstractNumId w:val="5"/>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9CB"/>
    <w:rsid w:val="00074B8C"/>
    <w:rsid w:val="00075E50"/>
    <w:rsid w:val="00076F56"/>
    <w:rsid w:val="000777A0"/>
    <w:rsid w:val="000777F6"/>
    <w:rsid w:val="00080623"/>
    <w:rsid w:val="00080CC1"/>
    <w:rsid w:val="00081477"/>
    <w:rsid w:val="00081CEB"/>
    <w:rsid w:val="00082C6B"/>
    <w:rsid w:val="00083F74"/>
    <w:rsid w:val="000849C2"/>
    <w:rsid w:val="00084C38"/>
    <w:rsid w:val="0008599C"/>
    <w:rsid w:val="00090174"/>
    <w:rsid w:val="00090BFF"/>
    <w:rsid w:val="000912B2"/>
    <w:rsid w:val="0009162F"/>
    <w:rsid w:val="00091E26"/>
    <w:rsid w:val="000934D5"/>
    <w:rsid w:val="00094F13"/>
    <w:rsid w:val="00095510"/>
    <w:rsid w:val="00095EBB"/>
    <w:rsid w:val="00095F68"/>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844"/>
    <w:rsid w:val="00115EB8"/>
    <w:rsid w:val="00116669"/>
    <w:rsid w:val="00117C7E"/>
    <w:rsid w:val="00120303"/>
    <w:rsid w:val="0012123A"/>
    <w:rsid w:val="00121D05"/>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5AA"/>
    <w:rsid w:val="00174AEB"/>
    <w:rsid w:val="00175071"/>
    <w:rsid w:val="00180373"/>
    <w:rsid w:val="00180E6B"/>
    <w:rsid w:val="00181D00"/>
    <w:rsid w:val="001824F8"/>
    <w:rsid w:val="001828B2"/>
    <w:rsid w:val="0018329D"/>
    <w:rsid w:val="001838EC"/>
    <w:rsid w:val="00184814"/>
    <w:rsid w:val="00186DF5"/>
    <w:rsid w:val="0018701C"/>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51C5"/>
    <w:rsid w:val="001A6E9C"/>
    <w:rsid w:val="001B05D5"/>
    <w:rsid w:val="001B1189"/>
    <w:rsid w:val="001B15B5"/>
    <w:rsid w:val="001B32BB"/>
    <w:rsid w:val="001B34BA"/>
    <w:rsid w:val="001B3AF3"/>
    <w:rsid w:val="001B3C2D"/>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49B0"/>
    <w:rsid w:val="001F5F48"/>
    <w:rsid w:val="001F60F4"/>
    <w:rsid w:val="001F7448"/>
    <w:rsid w:val="002005CA"/>
    <w:rsid w:val="0020083C"/>
    <w:rsid w:val="00203110"/>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27DC"/>
    <w:rsid w:val="0025457B"/>
    <w:rsid w:val="0025458A"/>
    <w:rsid w:val="0025500E"/>
    <w:rsid w:val="002553DA"/>
    <w:rsid w:val="00255BAD"/>
    <w:rsid w:val="00257B3B"/>
    <w:rsid w:val="002637C0"/>
    <w:rsid w:val="00266356"/>
    <w:rsid w:val="00266A90"/>
    <w:rsid w:val="00270408"/>
    <w:rsid w:val="00270772"/>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665A"/>
    <w:rsid w:val="002C7C2B"/>
    <w:rsid w:val="002D4F98"/>
    <w:rsid w:val="002D50D6"/>
    <w:rsid w:val="002D5AC5"/>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2F7A41"/>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37C76"/>
    <w:rsid w:val="00341757"/>
    <w:rsid w:val="003418C3"/>
    <w:rsid w:val="003435FA"/>
    <w:rsid w:val="003445A2"/>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35EE"/>
    <w:rsid w:val="00374A37"/>
    <w:rsid w:val="00376CEF"/>
    <w:rsid w:val="003773F8"/>
    <w:rsid w:val="003805D9"/>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1075"/>
    <w:rsid w:val="003C2496"/>
    <w:rsid w:val="003C691E"/>
    <w:rsid w:val="003D01AF"/>
    <w:rsid w:val="003D4908"/>
    <w:rsid w:val="003D5EAB"/>
    <w:rsid w:val="003D7335"/>
    <w:rsid w:val="003E1F5B"/>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4A9C"/>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6875"/>
    <w:rsid w:val="004475CC"/>
    <w:rsid w:val="00450BED"/>
    <w:rsid w:val="00451063"/>
    <w:rsid w:val="004513C2"/>
    <w:rsid w:val="00451ABA"/>
    <w:rsid w:val="00452EA1"/>
    <w:rsid w:val="00453435"/>
    <w:rsid w:val="00454C99"/>
    <w:rsid w:val="00454E29"/>
    <w:rsid w:val="00455F8A"/>
    <w:rsid w:val="004560F5"/>
    <w:rsid w:val="004569F4"/>
    <w:rsid w:val="00456BC1"/>
    <w:rsid w:val="00463FD8"/>
    <w:rsid w:val="00464CD0"/>
    <w:rsid w:val="00466B9F"/>
    <w:rsid w:val="00466E6C"/>
    <w:rsid w:val="004672D6"/>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54F"/>
    <w:rsid w:val="00482B4C"/>
    <w:rsid w:val="00482F3D"/>
    <w:rsid w:val="0048376B"/>
    <w:rsid w:val="00486A8A"/>
    <w:rsid w:val="004925F7"/>
    <w:rsid w:val="0049304E"/>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3618"/>
    <w:rsid w:val="00503A76"/>
    <w:rsid w:val="00504DBF"/>
    <w:rsid w:val="00506F79"/>
    <w:rsid w:val="00510ABF"/>
    <w:rsid w:val="00511060"/>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375E0"/>
    <w:rsid w:val="005418EE"/>
    <w:rsid w:val="0054241F"/>
    <w:rsid w:val="005431CC"/>
    <w:rsid w:val="0054456F"/>
    <w:rsid w:val="00545639"/>
    <w:rsid w:val="005462AF"/>
    <w:rsid w:val="005511F9"/>
    <w:rsid w:val="00551AA8"/>
    <w:rsid w:val="00554CE1"/>
    <w:rsid w:val="005562DC"/>
    <w:rsid w:val="0055675D"/>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3C55"/>
    <w:rsid w:val="00594C27"/>
    <w:rsid w:val="00594DEF"/>
    <w:rsid w:val="005A02DC"/>
    <w:rsid w:val="005A03DE"/>
    <w:rsid w:val="005A077D"/>
    <w:rsid w:val="005A0EAC"/>
    <w:rsid w:val="005A19BE"/>
    <w:rsid w:val="005A2C74"/>
    <w:rsid w:val="005A4619"/>
    <w:rsid w:val="005A518B"/>
    <w:rsid w:val="005A627E"/>
    <w:rsid w:val="005A7083"/>
    <w:rsid w:val="005A7608"/>
    <w:rsid w:val="005A7644"/>
    <w:rsid w:val="005B1E9C"/>
    <w:rsid w:val="005B31E6"/>
    <w:rsid w:val="005B4A3E"/>
    <w:rsid w:val="005B4B22"/>
    <w:rsid w:val="005B57F2"/>
    <w:rsid w:val="005B5C5C"/>
    <w:rsid w:val="005C1641"/>
    <w:rsid w:val="005C179F"/>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0856"/>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4C2E"/>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466"/>
    <w:rsid w:val="00671666"/>
    <w:rsid w:val="00672827"/>
    <w:rsid w:val="00672CAB"/>
    <w:rsid w:val="00676453"/>
    <w:rsid w:val="00676573"/>
    <w:rsid w:val="006769A6"/>
    <w:rsid w:val="00682170"/>
    <w:rsid w:val="00684786"/>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1806"/>
    <w:rsid w:val="006F28DA"/>
    <w:rsid w:val="006F3DD2"/>
    <w:rsid w:val="006F5778"/>
    <w:rsid w:val="00700411"/>
    <w:rsid w:val="007052C3"/>
    <w:rsid w:val="00705BB4"/>
    <w:rsid w:val="00706CAC"/>
    <w:rsid w:val="00707D91"/>
    <w:rsid w:val="00710206"/>
    <w:rsid w:val="007103A6"/>
    <w:rsid w:val="00712406"/>
    <w:rsid w:val="00713888"/>
    <w:rsid w:val="007140A5"/>
    <w:rsid w:val="00714715"/>
    <w:rsid w:val="00717621"/>
    <w:rsid w:val="007213F1"/>
    <w:rsid w:val="00721827"/>
    <w:rsid w:val="007247C1"/>
    <w:rsid w:val="00724AF2"/>
    <w:rsid w:val="00724F55"/>
    <w:rsid w:val="007263F1"/>
    <w:rsid w:val="00726C59"/>
    <w:rsid w:val="007273DD"/>
    <w:rsid w:val="007275E1"/>
    <w:rsid w:val="0073052C"/>
    <w:rsid w:val="0073235F"/>
    <w:rsid w:val="00732686"/>
    <w:rsid w:val="00732A32"/>
    <w:rsid w:val="00733E34"/>
    <w:rsid w:val="00734D65"/>
    <w:rsid w:val="007351BE"/>
    <w:rsid w:val="00744221"/>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20DF"/>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1578"/>
    <w:rsid w:val="007C221B"/>
    <w:rsid w:val="007C231C"/>
    <w:rsid w:val="007C34AD"/>
    <w:rsid w:val="007C4848"/>
    <w:rsid w:val="007C49C6"/>
    <w:rsid w:val="007C5877"/>
    <w:rsid w:val="007C590D"/>
    <w:rsid w:val="007C5E55"/>
    <w:rsid w:val="007C6110"/>
    <w:rsid w:val="007C6451"/>
    <w:rsid w:val="007C65B1"/>
    <w:rsid w:val="007C7F74"/>
    <w:rsid w:val="007D0D80"/>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05C18"/>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7B2E"/>
    <w:rsid w:val="00880012"/>
    <w:rsid w:val="00882419"/>
    <w:rsid w:val="0088273C"/>
    <w:rsid w:val="008829F8"/>
    <w:rsid w:val="00884A65"/>
    <w:rsid w:val="00887353"/>
    <w:rsid w:val="0089266F"/>
    <w:rsid w:val="008928E8"/>
    <w:rsid w:val="00892CEB"/>
    <w:rsid w:val="00892DC2"/>
    <w:rsid w:val="0089323C"/>
    <w:rsid w:val="00893CD2"/>
    <w:rsid w:val="008957F2"/>
    <w:rsid w:val="008A17E9"/>
    <w:rsid w:val="008A60A4"/>
    <w:rsid w:val="008B2279"/>
    <w:rsid w:val="008B27BF"/>
    <w:rsid w:val="008B50AE"/>
    <w:rsid w:val="008B53EA"/>
    <w:rsid w:val="008B55F4"/>
    <w:rsid w:val="008C0191"/>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4148"/>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4007"/>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67F8"/>
    <w:rsid w:val="0096760B"/>
    <w:rsid w:val="00967D62"/>
    <w:rsid w:val="00970D16"/>
    <w:rsid w:val="0097189A"/>
    <w:rsid w:val="0097200A"/>
    <w:rsid w:val="0097619B"/>
    <w:rsid w:val="00976CDB"/>
    <w:rsid w:val="009848C9"/>
    <w:rsid w:val="009849CF"/>
    <w:rsid w:val="009879C2"/>
    <w:rsid w:val="00987CF4"/>
    <w:rsid w:val="00990076"/>
    <w:rsid w:val="00990A3C"/>
    <w:rsid w:val="00991790"/>
    <w:rsid w:val="00991845"/>
    <w:rsid w:val="0099370A"/>
    <w:rsid w:val="009950B3"/>
    <w:rsid w:val="009953D3"/>
    <w:rsid w:val="00995D97"/>
    <w:rsid w:val="00995F1F"/>
    <w:rsid w:val="00996AEB"/>
    <w:rsid w:val="009A4783"/>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6F9"/>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25C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1138"/>
    <w:rsid w:val="00A7205F"/>
    <w:rsid w:val="00A720FA"/>
    <w:rsid w:val="00A7341A"/>
    <w:rsid w:val="00A739AB"/>
    <w:rsid w:val="00A74FB1"/>
    <w:rsid w:val="00A75FB6"/>
    <w:rsid w:val="00A81A75"/>
    <w:rsid w:val="00A820BD"/>
    <w:rsid w:val="00A8540A"/>
    <w:rsid w:val="00A861B7"/>
    <w:rsid w:val="00A8706A"/>
    <w:rsid w:val="00A877FE"/>
    <w:rsid w:val="00A9391C"/>
    <w:rsid w:val="00A94CC5"/>
    <w:rsid w:val="00A960A0"/>
    <w:rsid w:val="00AA0527"/>
    <w:rsid w:val="00AA170E"/>
    <w:rsid w:val="00AA2CC8"/>
    <w:rsid w:val="00AA3BDD"/>
    <w:rsid w:val="00AA3C68"/>
    <w:rsid w:val="00AA4269"/>
    <w:rsid w:val="00AA4363"/>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16D91"/>
    <w:rsid w:val="00B244D4"/>
    <w:rsid w:val="00B251F9"/>
    <w:rsid w:val="00B25F1D"/>
    <w:rsid w:val="00B2782A"/>
    <w:rsid w:val="00B324F4"/>
    <w:rsid w:val="00B336D8"/>
    <w:rsid w:val="00B34BFA"/>
    <w:rsid w:val="00B356A4"/>
    <w:rsid w:val="00B411EC"/>
    <w:rsid w:val="00B41C0A"/>
    <w:rsid w:val="00B429CA"/>
    <w:rsid w:val="00B44F22"/>
    <w:rsid w:val="00B45046"/>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441F"/>
    <w:rsid w:val="00BA5CA2"/>
    <w:rsid w:val="00BA6305"/>
    <w:rsid w:val="00BA6A98"/>
    <w:rsid w:val="00BA7940"/>
    <w:rsid w:val="00BB302C"/>
    <w:rsid w:val="00BC0B52"/>
    <w:rsid w:val="00BC0D9F"/>
    <w:rsid w:val="00BC10F5"/>
    <w:rsid w:val="00BC3147"/>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1BF"/>
    <w:rsid w:val="00BE3D54"/>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3BBA"/>
    <w:rsid w:val="00C1447B"/>
    <w:rsid w:val="00C17CB6"/>
    <w:rsid w:val="00C206E8"/>
    <w:rsid w:val="00C221FB"/>
    <w:rsid w:val="00C23CCC"/>
    <w:rsid w:val="00C24859"/>
    <w:rsid w:val="00C25CDA"/>
    <w:rsid w:val="00C27E98"/>
    <w:rsid w:val="00C301CF"/>
    <w:rsid w:val="00C309F0"/>
    <w:rsid w:val="00C30CED"/>
    <w:rsid w:val="00C31183"/>
    <w:rsid w:val="00C31C0D"/>
    <w:rsid w:val="00C31E9F"/>
    <w:rsid w:val="00C33847"/>
    <w:rsid w:val="00C340E9"/>
    <w:rsid w:val="00C34365"/>
    <w:rsid w:val="00C345C2"/>
    <w:rsid w:val="00C378BC"/>
    <w:rsid w:val="00C40C5E"/>
    <w:rsid w:val="00C40D08"/>
    <w:rsid w:val="00C411E2"/>
    <w:rsid w:val="00C41BA9"/>
    <w:rsid w:val="00C42121"/>
    <w:rsid w:val="00C44E2F"/>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4E7A"/>
    <w:rsid w:val="00CB5545"/>
    <w:rsid w:val="00CB5F57"/>
    <w:rsid w:val="00CB6605"/>
    <w:rsid w:val="00CB7A72"/>
    <w:rsid w:val="00CC0D14"/>
    <w:rsid w:val="00CC3E80"/>
    <w:rsid w:val="00CC49D6"/>
    <w:rsid w:val="00CC5FD9"/>
    <w:rsid w:val="00CC7F63"/>
    <w:rsid w:val="00CD39F8"/>
    <w:rsid w:val="00CD5511"/>
    <w:rsid w:val="00CD5672"/>
    <w:rsid w:val="00CD6134"/>
    <w:rsid w:val="00CD7C93"/>
    <w:rsid w:val="00CE0B01"/>
    <w:rsid w:val="00CE133F"/>
    <w:rsid w:val="00CE2B81"/>
    <w:rsid w:val="00CE5941"/>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6BC1"/>
    <w:rsid w:val="00D714BA"/>
    <w:rsid w:val="00D72C35"/>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45C8"/>
    <w:rsid w:val="00E167E0"/>
    <w:rsid w:val="00E16A35"/>
    <w:rsid w:val="00E16D38"/>
    <w:rsid w:val="00E1791C"/>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44A0"/>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67D8D"/>
    <w:rsid w:val="00E71979"/>
    <w:rsid w:val="00E72113"/>
    <w:rsid w:val="00E724B9"/>
    <w:rsid w:val="00E73AE3"/>
    <w:rsid w:val="00E74984"/>
    <w:rsid w:val="00E754E7"/>
    <w:rsid w:val="00E75C2F"/>
    <w:rsid w:val="00E80F7A"/>
    <w:rsid w:val="00E81CA7"/>
    <w:rsid w:val="00E83103"/>
    <w:rsid w:val="00E83297"/>
    <w:rsid w:val="00E86C41"/>
    <w:rsid w:val="00E87358"/>
    <w:rsid w:val="00E87BDA"/>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A70FD"/>
    <w:rsid w:val="00EA781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4112"/>
    <w:rsid w:val="00EF5381"/>
    <w:rsid w:val="00EF58DD"/>
    <w:rsid w:val="00F00F9F"/>
    <w:rsid w:val="00F01660"/>
    <w:rsid w:val="00F03A50"/>
    <w:rsid w:val="00F04465"/>
    <w:rsid w:val="00F06077"/>
    <w:rsid w:val="00F06483"/>
    <w:rsid w:val="00F0730F"/>
    <w:rsid w:val="00F1205C"/>
    <w:rsid w:val="00F13091"/>
    <w:rsid w:val="00F13BE7"/>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2BBB"/>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EA0D-C1E7-462D-A56F-A424CE1D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6953</Words>
  <Characters>3964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valsts nozīmes sporta infrastruktūras attīstības projektu īstenošanai"</vt:lpstr>
    </vt:vector>
  </TitlesOfParts>
  <Company>Izglītības un zinātnes ministrija, Sporta departaments</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valsts nozīmes sporta infrastruktūras attīstības projektu īstenošanai"</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Santa Roze</cp:lastModifiedBy>
  <cp:revision>54</cp:revision>
  <cp:lastPrinted>2014-08-11T11:23:00Z</cp:lastPrinted>
  <dcterms:created xsi:type="dcterms:W3CDTF">2015-10-22T13:21:00Z</dcterms:created>
  <dcterms:modified xsi:type="dcterms:W3CDTF">2015-11-17T10:19:00Z</dcterms:modified>
</cp:coreProperties>
</file>