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3556" w14:textId="087083E1" w:rsidR="00E92A64" w:rsidRPr="0020107F" w:rsidRDefault="00E92A64" w:rsidP="00E92A64">
      <w:pPr>
        <w:widowControl w:val="0"/>
        <w:spacing w:after="0" w:line="240" w:lineRule="auto"/>
        <w:ind w:firstLine="720"/>
        <w:jc w:val="center"/>
        <w:rPr>
          <w:rFonts w:ascii="Times New Roman" w:eastAsia="Calibri" w:hAnsi="Times New Roman" w:cs="Times New Roman"/>
          <w:b/>
          <w:sz w:val="28"/>
          <w:szCs w:val="28"/>
        </w:rPr>
      </w:pPr>
      <w:bookmarkStart w:id="0" w:name="_GoBack"/>
      <w:bookmarkEnd w:id="0"/>
      <w:r w:rsidRPr="0020107F">
        <w:rPr>
          <w:rFonts w:ascii="Times New Roman" w:eastAsia="Calibri" w:hAnsi="Times New Roman" w:cs="Times New Roman"/>
          <w:b/>
          <w:sz w:val="28"/>
          <w:szCs w:val="28"/>
        </w:rPr>
        <w:t>Inform</w:t>
      </w:r>
      <w:r w:rsidR="005C7163" w:rsidRPr="0020107F">
        <w:rPr>
          <w:rFonts w:ascii="Times New Roman" w:eastAsia="Calibri" w:hAnsi="Times New Roman" w:cs="Times New Roman"/>
          <w:b/>
          <w:sz w:val="28"/>
          <w:szCs w:val="28"/>
        </w:rPr>
        <w:t xml:space="preserve">atīvais ziņojums </w:t>
      </w:r>
      <w:r w:rsidR="00757A4C" w:rsidRPr="0020107F">
        <w:rPr>
          <w:rFonts w:ascii="Times New Roman" w:eastAsia="Calibri" w:hAnsi="Times New Roman" w:cs="Times New Roman"/>
          <w:b/>
          <w:sz w:val="28"/>
          <w:szCs w:val="28"/>
        </w:rPr>
        <w:t>“P</w:t>
      </w:r>
      <w:r w:rsidR="005C7163" w:rsidRPr="0020107F">
        <w:rPr>
          <w:rFonts w:ascii="Times New Roman" w:eastAsia="Calibri" w:hAnsi="Times New Roman" w:cs="Times New Roman"/>
          <w:b/>
          <w:sz w:val="28"/>
          <w:szCs w:val="28"/>
        </w:rPr>
        <w:t xml:space="preserve">ar </w:t>
      </w:r>
      <w:r w:rsidR="005C7163" w:rsidRPr="0020107F">
        <w:rPr>
          <w:rFonts w:ascii="Times New Roman" w:eastAsia="Calibri" w:hAnsi="Times New Roman" w:cs="Times New Roman"/>
          <w:b/>
          <w:iCs/>
          <w:sz w:val="28"/>
          <w:szCs w:val="28"/>
        </w:rPr>
        <w:t xml:space="preserve">valsts piešķirtās dotācijas finansējuma </w:t>
      </w:r>
      <w:r w:rsidR="00757A4C" w:rsidRPr="0020107F">
        <w:rPr>
          <w:rFonts w:ascii="Times New Roman" w:eastAsia="Calibri" w:hAnsi="Times New Roman" w:cs="Times New Roman"/>
          <w:b/>
          <w:iCs/>
          <w:sz w:val="28"/>
          <w:szCs w:val="28"/>
        </w:rPr>
        <w:t xml:space="preserve">apmēru </w:t>
      </w:r>
      <w:r w:rsidR="005C7163" w:rsidRPr="0020107F">
        <w:rPr>
          <w:rFonts w:ascii="Times New Roman" w:eastAsia="Calibri" w:hAnsi="Times New Roman" w:cs="Times New Roman"/>
          <w:b/>
          <w:iCs/>
          <w:sz w:val="28"/>
          <w:szCs w:val="28"/>
        </w:rPr>
        <w:t>viena izglītojamā ēdināšanai, kāds tiek novirzīts pārtikas produktu iegādei</w:t>
      </w:r>
      <w:r w:rsidR="00757A4C" w:rsidRPr="0020107F">
        <w:rPr>
          <w:rFonts w:ascii="Times New Roman" w:eastAsia="Calibri" w:hAnsi="Times New Roman" w:cs="Times New Roman"/>
          <w:b/>
          <w:iCs/>
          <w:sz w:val="28"/>
          <w:szCs w:val="28"/>
        </w:rPr>
        <w:t>”</w:t>
      </w:r>
    </w:p>
    <w:p w14:paraId="3E6AEBA6" w14:textId="77777777" w:rsidR="00E92A64" w:rsidRPr="0020107F" w:rsidRDefault="00E92A64" w:rsidP="00E92A64">
      <w:pPr>
        <w:widowControl w:val="0"/>
        <w:spacing w:after="0" w:line="240" w:lineRule="auto"/>
        <w:ind w:firstLine="720"/>
        <w:jc w:val="both"/>
        <w:rPr>
          <w:rFonts w:ascii="Times New Roman" w:eastAsia="Calibri" w:hAnsi="Times New Roman" w:cs="Times New Roman"/>
          <w:sz w:val="28"/>
          <w:szCs w:val="28"/>
        </w:rPr>
      </w:pPr>
    </w:p>
    <w:p w14:paraId="60BE8821" w14:textId="55C41F2E" w:rsidR="00E92A64" w:rsidRPr="0020107F" w:rsidRDefault="00E92A64" w:rsidP="00E92A64">
      <w:pPr>
        <w:widowControl w:val="0"/>
        <w:spacing w:after="0" w:line="240" w:lineRule="auto"/>
        <w:ind w:firstLine="720"/>
        <w:jc w:val="both"/>
        <w:rPr>
          <w:rFonts w:ascii="Times New Roman" w:eastAsia="Calibri" w:hAnsi="Times New Roman" w:cs="Times New Roman"/>
          <w:iCs/>
          <w:sz w:val="28"/>
          <w:szCs w:val="28"/>
        </w:rPr>
      </w:pPr>
      <w:r w:rsidRPr="0020107F">
        <w:rPr>
          <w:rFonts w:ascii="Times New Roman" w:eastAsia="Calibri" w:hAnsi="Times New Roman" w:cs="Times New Roman"/>
          <w:sz w:val="28"/>
          <w:szCs w:val="28"/>
        </w:rPr>
        <w:t xml:space="preserve">Pamatojoties uz Ministru </w:t>
      </w:r>
      <w:r w:rsidR="006719CD" w:rsidRPr="0020107F">
        <w:rPr>
          <w:rFonts w:ascii="Times New Roman" w:eastAsia="Calibri" w:hAnsi="Times New Roman" w:cs="Times New Roman"/>
          <w:sz w:val="28"/>
          <w:szCs w:val="28"/>
        </w:rPr>
        <w:t>k</w:t>
      </w:r>
      <w:r w:rsidRPr="0020107F">
        <w:rPr>
          <w:rFonts w:ascii="Times New Roman" w:eastAsia="Calibri" w:hAnsi="Times New Roman" w:cs="Times New Roman"/>
          <w:sz w:val="28"/>
          <w:szCs w:val="28"/>
        </w:rPr>
        <w:t xml:space="preserve">abineta </w:t>
      </w:r>
      <w:r w:rsidR="00A87ED4" w:rsidRPr="0020107F">
        <w:rPr>
          <w:rFonts w:ascii="Times New Roman" w:eastAsia="Calibri" w:hAnsi="Times New Roman" w:cs="Times New Roman"/>
          <w:sz w:val="28"/>
          <w:szCs w:val="28"/>
        </w:rPr>
        <w:t xml:space="preserve">2015.gada 11.augusta </w:t>
      </w:r>
      <w:r w:rsidRPr="0020107F">
        <w:rPr>
          <w:rFonts w:ascii="Times New Roman" w:eastAsia="Calibri" w:hAnsi="Times New Roman" w:cs="Times New Roman"/>
          <w:sz w:val="28"/>
          <w:szCs w:val="28"/>
        </w:rPr>
        <w:t xml:space="preserve">sēdes </w:t>
      </w:r>
      <w:proofErr w:type="spellStart"/>
      <w:r w:rsidRPr="0020107F">
        <w:rPr>
          <w:rFonts w:ascii="Times New Roman" w:eastAsia="Calibri" w:hAnsi="Times New Roman" w:cs="Times New Roman"/>
          <w:sz w:val="28"/>
          <w:szCs w:val="28"/>
        </w:rPr>
        <w:t>protokol</w:t>
      </w:r>
      <w:r w:rsidR="00A87ED4" w:rsidRPr="0020107F">
        <w:rPr>
          <w:rFonts w:ascii="Times New Roman" w:eastAsia="Calibri" w:hAnsi="Times New Roman" w:cs="Times New Roman"/>
          <w:sz w:val="28"/>
          <w:szCs w:val="28"/>
        </w:rPr>
        <w:t>lēmuma</w:t>
      </w:r>
      <w:proofErr w:type="spellEnd"/>
      <w:r w:rsidR="00A87ED4" w:rsidRPr="0020107F">
        <w:rPr>
          <w:rFonts w:ascii="Times New Roman" w:eastAsia="Calibri" w:hAnsi="Times New Roman" w:cs="Times New Roman"/>
          <w:sz w:val="28"/>
          <w:szCs w:val="28"/>
        </w:rPr>
        <w:t xml:space="preserve"> (prot.</w:t>
      </w:r>
      <w:r w:rsidRPr="0020107F">
        <w:rPr>
          <w:rFonts w:ascii="Times New Roman" w:eastAsia="Calibri" w:hAnsi="Times New Roman" w:cs="Times New Roman"/>
          <w:sz w:val="28"/>
          <w:szCs w:val="28"/>
        </w:rPr>
        <w:t>Nr.38 39.§</w:t>
      </w:r>
      <w:r w:rsidR="00A87ED4" w:rsidRPr="0020107F">
        <w:rPr>
          <w:rFonts w:ascii="Times New Roman" w:eastAsia="Calibri" w:hAnsi="Times New Roman" w:cs="Times New Roman"/>
          <w:sz w:val="28"/>
          <w:szCs w:val="28"/>
        </w:rPr>
        <w:t xml:space="preserve">) “Noteikumu projekts “Grozījums Ministru kabineta 2010.gada 28.decembra noteikumos Nr.1206 “Kārtība, kādā aprēķina, piešķir un izlieto valsts budžetā paredzētos līdzekļus pašvaldībām pamatizglītības iestādes skolēnu ēdināšanai””” </w:t>
      </w:r>
      <w:r w:rsidRPr="0020107F">
        <w:rPr>
          <w:rFonts w:ascii="Times New Roman" w:eastAsia="Calibri" w:hAnsi="Times New Roman" w:cs="Times New Roman"/>
          <w:sz w:val="28"/>
          <w:szCs w:val="28"/>
        </w:rPr>
        <w:t xml:space="preserve">7.punktu (turpmāk </w:t>
      </w:r>
      <w:r w:rsidR="00A87ED4" w:rsidRPr="0020107F">
        <w:rPr>
          <w:rFonts w:ascii="Times New Roman" w:eastAsia="Calibri" w:hAnsi="Times New Roman" w:cs="Times New Roman"/>
          <w:sz w:val="28"/>
          <w:szCs w:val="28"/>
        </w:rPr>
        <w:t>–</w:t>
      </w:r>
      <w:r w:rsidRPr="0020107F">
        <w:rPr>
          <w:rFonts w:ascii="Times New Roman" w:eastAsia="Calibri" w:hAnsi="Times New Roman" w:cs="Times New Roman"/>
          <w:sz w:val="28"/>
          <w:szCs w:val="28"/>
        </w:rPr>
        <w:t xml:space="preserve"> </w:t>
      </w:r>
      <w:proofErr w:type="spellStart"/>
      <w:r w:rsidRPr="0020107F">
        <w:rPr>
          <w:rFonts w:ascii="Times New Roman" w:eastAsia="Calibri" w:hAnsi="Times New Roman" w:cs="Times New Roman"/>
          <w:sz w:val="28"/>
          <w:szCs w:val="28"/>
        </w:rPr>
        <w:t>protokollēmums</w:t>
      </w:r>
      <w:proofErr w:type="spellEnd"/>
      <w:r w:rsidRPr="0020107F">
        <w:rPr>
          <w:rFonts w:ascii="Times New Roman" w:eastAsia="Calibri" w:hAnsi="Times New Roman" w:cs="Times New Roman"/>
          <w:sz w:val="28"/>
          <w:szCs w:val="28"/>
        </w:rPr>
        <w:t xml:space="preserve">), </w:t>
      </w:r>
      <w:r w:rsidRPr="0020107F">
        <w:rPr>
          <w:rFonts w:ascii="Times New Roman" w:eastAsia="Calibri" w:hAnsi="Times New Roman" w:cs="Times New Roman"/>
          <w:iCs/>
          <w:sz w:val="28"/>
          <w:szCs w:val="28"/>
        </w:rPr>
        <w:t>Izglītības un zinātnes ministrijai līdz 2015.gada 1.decembrim, sadarbībā ar  Veselības ministriju, Finanšu ministriju, Labklājības ministriju, Vides aizsardzības un reģionālās attīstības ministriju un Latvijas Pašvaldību savienību, uzdots izstrādāt  iespējamos risinājumus valsts piešķirtās dotācijas finansējuma apmēra noteikšanai viena izglītojamā ēdināšanai, kāds tiek novirzīts pārtikas produktu iegādei, lai nodrošinātu bērniem izglītības iestādēs kvalitatīvu un uzturvielām bagātu ēdināšanu.</w:t>
      </w:r>
      <w:r w:rsidR="003565F0" w:rsidRPr="0020107F">
        <w:rPr>
          <w:rFonts w:ascii="Times New Roman" w:eastAsia="Calibri" w:hAnsi="Times New Roman" w:cs="Times New Roman"/>
          <w:iCs/>
          <w:sz w:val="28"/>
          <w:szCs w:val="28"/>
        </w:rPr>
        <w:t xml:space="preserve"> </w:t>
      </w:r>
    </w:p>
    <w:p w14:paraId="2E024F77" w14:textId="61FE154A" w:rsidR="002A6BDC" w:rsidRDefault="005C7163" w:rsidP="008D076E">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Izglītības un zinātnes ministrija aicināja iepriekš</w:t>
      </w:r>
      <w:r w:rsidR="006719CD" w:rsidRPr="0020107F">
        <w:rPr>
          <w:rFonts w:ascii="Times New Roman" w:eastAsia="Calibri" w:hAnsi="Times New Roman" w:cs="Times New Roman"/>
          <w:sz w:val="28"/>
          <w:szCs w:val="28"/>
        </w:rPr>
        <w:t xml:space="preserve"> </w:t>
      </w:r>
      <w:r w:rsidRPr="0020107F">
        <w:rPr>
          <w:rFonts w:ascii="Times New Roman" w:eastAsia="Calibri" w:hAnsi="Times New Roman" w:cs="Times New Roman"/>
          <w:sz w:val="28"/>
          <w:szCs w:val="28"/>
        </w:rPr>
        <w:t xml:space="preserve">minētās </w:t>
      </w:r>
      <w:r w:rsidR="006719CD" w:rsidRPr="0020107F">
        <w:rPr>
          <w:rFonts w:ascii="Times New Roman" w:eastAsia="Calibri" w:hAnsi="Times New Roman" w:cs="Times New Roman"/>
          <w:sz w:val="28"/>
          <w:szCs w:val="28"/>
        </w:rPr>
        <w:t>institūcijas</w:t>
      </w:r>
      <w:r w:rsidRPr="0020107F">
        <w:rPr>
          <w:rFonts w:ascii="Times New Roman" w:eastAsia="Calibri" w:hAnsi="Times New Roman" w:cs="Times New Roman"/>
          <w:sz w:val="28"/>
          <w:szCs w:val="28"/>
        </w:rPr>
        <w:t xml:space="preserve"> deleģēt pārstāvjus darbam šī jautājuma risināšanai. </w:t>
      </w:r>
      <w:r w:rsidR="00A87ED4" w:rsidRPr="0020107F">
        <w:rPr>
          <w:rFonts w:ascii="Times New Roman" w:eastAsia="Calibri" w:hAnsi="Times New Roman" w:cs="Times New Roman"/>
          <w:sz w:val="28"/>
          <w:szCs w:val="28"/>
        </w:rPr>
        <w:t>Izglītības un zinātnes ministrijas</w:t>
      </w:r>
      <w:r w:rsidRPr="0020107F">
        <w:rPr>
          <w:rFonts w:ascii="Times New Roman" w:eastAsia="Calibri" w:hAnsi="Times New Roman" w:cs="Times New Roman"/>
          <w:sz w:val="28"/>
          <w:szCs w:val="28"/>
        </w:rPr>
        <w:t xml:space="preserve"> organizēt</w:t>
      </w:r>
      <w:r w:rsidR="00A804DC" w:rsidRPr="0020107F">
        <w:rPr>
          <w:rFonts w:ascii="Times New Roman" w:eastAsia="Calibri" w:hAnsi="Times New Roman" w:cs="Times New Roman"/>
          <w:sz w:val="28"/>
          <w:szCs w:val="28"/>
        </w:rPr>
        <w:t>aj</w:t>
      </w:r>
      <w:r w:rsidR="004A0833" w:rsidRPr="0020107F">
        <w:rPr>
          <w:rFonts w:ascii="Times New Roman" w:eastAsia="Calibri" w:hAnsi="Times New Roman" w:cs="Times New Roman"/>
          <w:sz w:val="28"/>
          <w:szCs w:val="28"/>
        </w:rPr>
        <w:t>ās</w:t>
      </w:r>
      <w:r w:rsidRPr="0020107F">
        <w:rPr>
          <w:rFonts w:ascii="Times New Roman" w:eastAsia="Calibri" w:hAnsi="Times New Roman" w:cs="Times New Roman"/>
          <w:sz w:val="28"/>
          <w:szCs w:val="28"/>
        </w:rPr>
        <w:t xml:space="preserve"> starpinstitūciju sanāksm</w:t>
      </w:r>
      <w:r w:rsidR="00A804DC" w:rsidRPr="0020107F">
        <w:rPr>
          <w:rFonts w:ascii="Times New Roman" w:eastAsia="Calibri" w:hAnsi="Times New Roman" w:cs="Times New Roman"/>
          <w:sz w:val="28"/>
          <w:szCs w:val="28"/>
        </w:rPr>
        <w:t>ēs</w:t>
      </w:r>
      <w:r w:rsidRPr="0020107F">
        <w:rPr>
          <w:rFonts w:ascii="Times New Roman" w:eastAsia="Calibri" w:hAnsi="Times New Roman" w:cs="Times New Roman"/>
          <w:sz w:val="28"/>
          <w:szCs w:val="28"/>
        </w:rPr>
        <w:t xml:space="preserve"> </w:t>
      </w:r>
      <w:r w:rsidR="00A804DC" w:rsidRPr="0020107F">
        <w:rPr>
          <w:rFonts w:ascii="Times New Roman" w:eastAsia="Calibri" w:hAnsi="Times New Roman" w:cs="Times New Roman"/>
          <w:sz w:val="28"/>
          <w:szCs w:val="28"/>
        </w:rPr>
        <w:t xml:space="preserve">piedalījās </w:t>
      </w:r>
      <w:r w:rsidR="0077072F" w:rsidRPr="0020107F">
        <w:rPr>
          <w:rFonts w:ascii="Times New Roman" w:eastAsia="Calibri" w:hAnsi="Times New Roman" w:cs="Times New Roman"/>
          <w:sz w:val="28"/>
          <w:szCs w:val="28"/>
        </w:rPr>
        <w:t xml:space="preserve">pārstāvji no </w:t>
      </w:r>
      <w:r w:rsidR="00A804DC" w:rsidRPr="0020107F">
        <w:rPr>
          <w:rFonts w:ascii="Times New Roman" w:eastAsia="Calibri" w:hAnsi="Times New Roman" w:cs="Times New Roman"/>
          <w:iCs/>
          <w:sz w:val="28"/>
          <w:szCs w:val="28"/>
        </w:rPr>
        <w:t>Veselības ministrijas, Finanšu ministrijas, Labklājības ministrijas, Vides aizsardzības un reģionālās attīstības ministrijas</w:t>
      </w:r>
      <w:r w:rsidR="006719CD" w:rsidRPr="0020107F">
        <w:rPr>
          <w:rFonts w:ascii="Times New Roman" w:eastAsia="Calibri" w:hAnsi="Times New Roman" w:cs="Times New Roman"/>
          <w:iCs/>
          <w:sz w:val="28"/>
          <w:szCs w:val="28"/>
        </w:rPr>
        <w:t>,</w:t>
      </w:r>
      <w:r w:rsidR="00A804DC" w:rsidRPr="0020107F">
        <w:rPr>
          <w:rFonts w:ascii="Times New Roman" w:eastAsia="Calibri" w:hAnsi="Times New Roman" w:cs="Times New Roman"/>
          <w:iCs/>
          <w:sz w:val="28"/>
          <w:szCs w:val="28"/>
        </w:rPr>
        <w:t xml:space="preserve"> </w:t>
      </w:r>
      <w:r w:rsidR="007B271D" w:rsidRPr="0020107F">
        <w:rPr>
          <w:rFonts w:ascii="Times New Roman" w:eastAsia="Calibri" w:hAnsi="Times New Roman" w:cs="Times New Roman"/>
          <w:iCs/>
          <w:sz w:val="28"/>
          <w:szCs w:val="28"/>
        </w:rPr>
        <w:t>biedrības “</w:t>
      </w:r>
      <w:r w:rsidR="0077072F" w:rsidRPr="0020107F">
        <w:rPr>
          <w:rFonts w:ascii="Times New Roman" w:eastAsia="Calibri" w:hAnsi="Times New Roman" w:cs="Times New Roman"/>
          <w:sz w:val="28"/>
          <w:szCs w:val="28"/>
        </w:rPr>
        <w:t>Izglītības iestāžu ēdinātāju asociācija</w:t>
      </w:r>
      <w:r w:rsidR="007B271D" w:rsidRPr="0020107F">
        <w:rPr>
          <w:rFonts w:ascii="Times New Roman" w:eastAsia="Calibri" w:hAnsi="Times New Roman" w:cs="Times New Roman"/>
          <w:sz w:val="28"/>
          <w:szCs w:val="28"/>
        </w:rPr>
        <w:t>”</w:t>
      </w:r>
      <w:r w:rsidR="006719CD" w:rsidRPr="0020107F">
        <w:rPr>
          <w:rFonts w:ascii="Times New Roman" w:eastAsia="Calibri" w:hAnsi="Times New Roman" w:cs="Times New Roman"/>
          <w:sz w:val="28"/>
          <w:szCs w:val="28"/>
        </w:rPr>
        <w:t xml:space="preserve"> un </w:t>
      </w:r>
      <w:r w:rsidR="0077072F" w:rsidRPr="0020107F">
        <w:rPr>
          <w:rFonts w:ascii="Times New Roman" w:eastAsia="Calibri" w:hAnsi="Times New Roman" w:cs="Times New Roman"/>
          <w:sz w:val="28"/>
          <w:szCs w:val="28"/>
        </w:rPr>
        <w:t>Rīgas Domes.</w:t>
      </w:r>
      <w:r w:rsidR="00232998" w:rsidRPr="0020107F">
        <w:rPr>
          <w:rFonts w:ascii="Times New Roman" w:eastAsia="Calibri" w:hAnsi="Times New Roman" w:cs="Times New Roman"/>
          <w:sz w:val="28"/>
          <w:szCs w:val="28"/>
        </w:rPr>
        <w:t xml:space="preserve"> </w:t>
      </w:r>
      <w:r w:rsidR="00A804DC" w:rsidRPr="0020107F">
        <w:rPr>
          <w:rFonts w:ascii="Times New Roman" w:eastAsia="Calibri" w:hAnsi="Times New Roman" w:cs="Times New Roman"/>
          <w:sz w:val="28"/>
          <w:szCs w:val="28"/>
        </w:rPr>
        <w:t xml:space="preserve">No ministrijām, pašvaldībām, Centrālās Statistikas </w:t>
      </w:r>
      <w:r w:rsidR="00EA5771" w:rsidRPr="0020107F">
        <w:rPr>
          <w:rFonts w:ascii="Times New Roman" w:eastAsia="Calibri" w:hAnsi="Times New Roman" w:cs="Times New Roman"/>
          <w:sz w:val="28"/>
          <w:szCs w:val="28"/>
        </w:rPr>
        <w:t>pārvaldes</w:t>
      </w:r>
      <w:r w:rsidR="00A804DC" w:rsidRPr="0020107F">
        <w:rPr>
          <w:rFonts w:ascii="Times New Roman" w:eastAsia="Calibri" w:hAnsi="Times New Roman" w:cs="Times New Roman"/>
          <w:sz w:val="28"/>
          <w:szCs w:val="28"/>
        </w:rPr>
        <w:t xml:space="preserve"> t</w:t>
      </w:r>
      <w:r w:rsidR="00232998" w:rsidRPr="0020107F">
        <w:rPr>
          <w:rFonts w:ascii="Times New Roman" w:eastAsia="Calibri" w:hAnsi="Times New Roman" w:cs="Times New Roman"/>
          <w:sz w:val="28"/>
          <w:szCs w:val="28"/>
        </w:rPr>
        <w:t>ika saņemti informatīvie materiāli un priekšlikumi situācijas uzlabošanai</w:t>
      </w:r>
      <w:r w:rsidR="00A804DC" w:rsidRPr="0020107F">
        <w:rPr>
          <w:rFonts w:ascii="Times New Roman" w:eastAsia="Calibri" w:hAnsi="Times New Roman" w:cs="Times New Roman"/>
          <w:sz w:val="28"/>
          <w:szCs w:val="28"/>
        </w:rPr>
        <w:t xml:space="preserve">, kas tika izskatīti </w:t>
      </w:r>
      <w:r w:rsidR="008D076E">
        <w:rPr>
          <w:rFonts w:ascii="Times New Roman" w:eastAsia="Calibri" w:hAnsi="Times New Roman" w:cs="Times New Roman"/>
          <w:sz w:val="28"/>
          <w:szCs w:val="28"/>
        </w:rPr>
        <w:t xml:space="preserve">minētajās starpinstitūciju </w:t>
      </w:r>
      <w:r w:rsidR="00A804DC" w:rsidRPr="0020107F">
        <w:rPr>
          <w:rFonts w:ascii="Times New Roman" w:eastAsia="Calibri" w:hAnsi="Times New Roman" w:cs="Times New Roman"/>
          <w:sz w:val="28"/>
          <w:szCs w:val="28"/>
        </w:rPr>
        <w:t>sanāksmēs</w:t>
      </w:r>
      <w:r w:rsidR="00232998" w:rsidRPr="0020107F">
        <w:rPr>
          <w:rFonts w:ascii="Times New Roman" w:eastAsia="Calibri" w:hAnsi="Times New Roman" w:cs="Times New Roman"/>
          <w:sz w:val="28"/>
          <w:szCs w:val="28"/>
        </w:rPr>
        <w:t>.</w:t>
      </w:r>
    </w:p>
    <w:p w14:paraId="455B5298" w14:textId="77777777" w:rsidR="008D076E" w:rsidRDefault="008D076E" w:rsidP="008D076E">
      <w:pPr>
        <w:widowControl w:val="0"/>
        <w:spacing w:after="0" w:line="240" w:lineRule="auto"/>
        <w:ind w:firstLine="720"/>
        <w:jc w:val="both"/>
        <w:rPr>
          <w:rFonts w:ascii="Times New Roman" w:eastAsia="Calibri" w:hAnsi="Times New Roman" w:cs="Times New Roman"/>
          <w:sz w:val="28"/>
          <w:szCs w:val="28"/>
        </w:rPr>
      </w:pPr>
    </w:p>
    <w:p w14:paraId="0D4EBD17" w14:textId="77777777" w:rsidR="008D076E" w:rsidRPr="0020107F" w:rsidRDefault="008D076E" w:rsidP="008D076E">
      <w:pPr>
        <w:widowControl w:val="0"/>
        <w:spacing w:after="0" w:line="240" w:lineRule="auto"/>
        <w:ind w:firstLine="720"/>
        <w:jc w:val="center"/>
        <w:rPr>
          <w:rFonts w:ascii="Times New Roman" w:eastAsia="Calibri" w:hAnsi="Times New Roman" w:cs="Times New Roman"/>
          <w:b/>
          <w:sz w:val="28"/>
          <w:szCs w:val="28"/>
        </w:rPr>
      </w:pPr>
      <w:r w:rsidRPr="0020107F">
        <w:rPr>
          <w:rFonts w:ascii="Times New Roman" w:eastAsia="Calibri" w:hAnsi="Times New Roman" w:cs="Times New Roman"/>
          <w:b/>
          <w:sz w:val="28"/>
          <w:szCs w:val="28"/>
        </w:rPr>
        <w:t>I. Situācijas raksturojums</w:t>
      </w:r>
    </w:p>
    <w:p w14:paraId="20B8E0F7" w14:textId="77777777" w:rsidR="008D076E" w:rsidRPr="0020107F" w:rsidRDefault="008D076E">
      <w:pPr>
        <w:widowControl w:val="0"/>
        <w:spacing w:after="0" w:line="240" w:lineRule="auto"/>
        <w:ind w:firstLine="720"/>
        <w:jc w:val="center"/>
        <w:rPr>
          <w:rFonts w:ascii="Times New Roman" w:eastAsia="Calibri" w:hAnsi="Times New Roman" w:cs="Times New Roman"/>
          <w:b/>
          <w:sz w:val="28"/>
          <w:szCs w:val="28"/>
        </w:rPr>
      </w:pPr>
    </w:p>
    <w:p w14:paraId="29AF424D" w14:textId="626B1CCF" w:rsidR="001C49C9" w:rsidRPr="0020107F" w:rsidRDefault="001C49C9">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2008.gada 28.jūlijā tika pieņemti Ministru kabineta noteikumi Nr.605 “Kārtība, kādā aprēķina, piešķir un izlieto valsts budžeta līdzekļus pamatizglītības iestādes skolēnu ēdināšanai”. Šie noteikumi stājās spēkā ar 2008.gada 5.augustu, bet zaudēja spēku ar 2011.gada 1.janvāri</w:t>
      </w:r>
      <w:r w:rsidR="001663FC" w:rsidRPr="0020107F">
        <w:rPr>
          <w:rFonts w:ascii="Times New Roman" w:eastAsia="Calibri" w:hAnsi="Times New Roman" w:cs="Times New Roman"/>
          <w:sz w:val="28"/>
          <w:szCs w:val="28"/>
        </w:rPr>
        <w:t xml:space="preserve">. Šobrīd spēkā ir </w:t>
      </w:r>
      <w:r w:rsidR="00BD557C" w:rsidRPr="0020107F">
        <w:rPr>
          <w:rFonts w:ascii="Times New Roman" w:eastAsia="Calibri" w:hAnsi="Times New Roman" w:cs="Times New Roman"/>
          <w:sz w:val="28"/>
          <w:szCs w:val="28"/>
        </w:rPr>
        <w:t>M</w:t>
      </w:r>
      <w:r w:rsidR="001663FC" w:rsidRPr="0020107F">
        <w:rPr>
          <w:rFonts w:ascii="Times New Roman" w:eastAsia="Calibri" w:hAnsi="Times New Roman" w:cs="Times New Roman"/>
          <w:sz w:val="28"/>
          <w:szCs w:val="28"/>
        </w:rPr>
        <w:t xml:space="preserve">inistru kabineta </w:t>
      </w:r>
      <w:r w:rsidR="00A87ED4" w:rsidRPr="0020107F">
        <w:rPr>
          <w:rFonts w:ascii="Times New Roman" w:eastAsia="Calibri" w:hAnsi="Times New Roman" w:cs="Times New Roman"/>
          <w:sz w:val="28"/>
          <w:szCs w:val="28"/>
        </w:rPr>
        <w:t xml:space="preserve">2010.gada 28.decembra </w:t>
      </w:r>
      <w:r w:rsidR="001663FC" w:rsidRPr="0020107F">
        <w:rPr>
          <w:rFonts w:ascii="Times New Roman" w:eastAsia="Calibri" w:hAnsi="Times New Roman" w:cs="Times New Roman"/>
          <w:sz w:val="28"/>
          <w:szCs w:val="28"/>
        </w:rPr>
        <w:t xml:space="preserve">noteikumi </w:t>
      </w:r>
      <w:r w:rsidR="007B271D" w:rsidRPr="0020107F">
        <w:rPr>
          <w:rFonts w:ascii="Times New Roman" w:eastAsia="Calibri" w:hAnsi="Times New Roman" w:cs="Times New Roman"/>
          <w:sz w:val="28"/>
          <w:szCs w:val="28"/>
        </w:rPr>
        <w:t xml:space="preserve">Nr.1206 </w:t>
      </w:r>
      <w:r w:rsidR="001663FC" w:rsidRPr="0020107F">
        <w:rPr>
          <w:rFonts w:ascii="Times New Roman" w:eastAsia="Calibri" w:hAnsi="Times New Roman" w:cs="Times New Roman"/>
          <w:sz w:val="28"/>
          <w:szCs w:val="28"/>
        </w:rPr>
        <w:t>“Kārtība, kādā aprēķina, piešķir un izlieto valsts budžetā paredzētos līdzekļus pašvaldībām pamatizglītības iestādes skolēnu ēdināšanai”.</w:t>
      </w:r>
    </w:p>
    <w:p w14:paraId="438F550C" w14:textId="505948E0" w:rsidR="00A55092" w:rsidRPr="0020107F" w:rsidRDefault="00A55092" w:rsidP="00A804DC">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Kopš</w:t>
      </w:r>
      <w:r w:rsidR="001C49C9" w:rsidRPr="0020107F">
        <w:rPr>
          <w:rFonts w:ascii="Times New Roman" w:eastAsia="Calibri" w:hAnsi="Times New Roman" w:cs="Times New Roman"/>
          <w:sz w:val="28"/>
          <w:szCs w:val="28"/>
        </w:rPr>
        <w:t xml:space="preserve"> 2008.gada 1.septembra līdz 2014.gada 31.augustam valsts budžeta līdzekļi vienam izglītojamam dienā bija 1</w:t>
      </w:r>
      <w:r w:rsidR="00BD557C" w:rsidRPr="0020107F">
        <w:rPr>
          <w:rFonts w:ascii="Times New Roman" w:eastAsia="Calibri" w:hAnsi="Times New Roman" w:cs="Times New Roman"/>
          <w:sz w:val="28"/>
          <w:szCs w:val="28"/>
        </w:rPr>
        <w:t>,</w:t>
      </w:r>
      <w:r w:rsidR="001C49C9" w:rsidRPr="0020107F">
        <w:rPr>
          <w:rFonts w:ascii="Times New Roman" w:eastAsia="Calibri" w:hAnsi="Times New Roman" w:cs="Times New Roman"/>
          <w:sz w:val="28"/>
          <w:szCs w:val="28"/>
        </w:rPr>
        <w:t xml:space="preserve">14 </w:t>
      </w:r>
      <w:proofErr w:type="spellStart"/>
      <w:r w:rsidR="001C49C9" w:rsidRPr="0020107F">
        <w:rPr>
          <w:rFonts w:ascii="Times New Roman" w:eastAsia="Calibri" w:hAnsi="Times New Roman" w:cs="Times New Roman"/>
          <w:i/>
          <w:sz w:val="28"/>
          <w:szCs w:val="28"/>
        </w:rPr>
        <w:t>euro</w:t>
      </w:r>
      <w:proofErr w:type="spellEnd"/>
      <w:r w:rsidR="001C49C9" w:rsidRPr="0020107F">
        <w:rPr>
          <w:rFonts w:ascii="Times New Roman" w:eastAsia="Calibri" w:hAnsi="Times New Roman" w:cs="Times New Roman"/>
          <w:sz w:val="28"/>
          <w:szCs w:val="28"/>
        </w:rPr>
        <w:t>, bet sākot no</w:t>
      </w:r>
      <w:r w:rsidRPr="0020107F">
        <w:rPr>
          <w:rFonts w:ascii="Times New Roman" w:eastAsia="Calibri" w:hAnsi="Times New Roman" w:cs="Times New Roman"/>
          <w:sz w:val="28"/>
          <w:szCs w:val="28"/>
        </w:rPr>
        <w:t xml:space="preserve"> 2014.gada 1.</w:t>
      </w:r>
      <w:r w:rsidR="0013769F" w:rsidRPr="0020107F">
        <w:rPr>
          <w:rFonts w:ascii="Times New Roman" w:eastAsia="Calibri" w:hAnsi="Times New Roman" w:cs="Times New Roman"/>
          <w:sz w:val="28"/>
          <w:szCs w:val="28"/>
        </w:rPr>
        <w:t>septembra</w:t>
      </w:r>
      <w:r w:rsidRPr="0020107F">
        <w:rPr>
          <w:rFonts w:ascii="Times New Roman" w:eastAsia="Calibri" w:hAnsi="Times New Roman" w:cs="Times New Roman"/>
          <w:sz w:val="28"/>
          <w:szCs w:val="28"/>
        </w:rPr>
        <w:t xml:space="preserve"> </w:t>
      </w:r>
      <w:r w:rsidR="001C49C9" w:rsidRPr="0020107F">
        <w:rPr>
          <w:rFonts w:ascii="Times New Roman" w:eastAsia="Calibri" w:hAnsi="Times New Roman" w:cs="Times New Roman"/>
          <w:sz w:val="28"/>
          <w:szCs w:val="28"/>
        </w:rPr>
        <w:t xml:space="preserve"> valsts budžeta līdzekļi vienam izglītojamam dienā</w:t>
      </w:r>
      <w:r w:rsidR="001663FC" w:rsidRPr="0020107F">
        <w:rPr>
          <w:rFonts w:ascii="Times New Roman" w:eastAsia="Calibri" w:hAnsi="Times New Roman" w:cs="Times New Roman"/>
          <w:sz w:val="28"/>
          <w:szCs w:val="28"/>
        </w:rPr>
        <w:t xml:space="preserve"> </w:t>
      </w:r>
      <w:r w:rsidR="002F30A9" w:rsidRPr="0020107F">
        <w:rPr>
          <w:rFonts w:ascii="Times New Roman" w:eastAsia="Calibri" w:hAnsi="Times New Roman" w:cs="Times New Roman"/>
          <w:sz w:val="28"/>
          <w:szCs w:val="28"/>
        </w:rPr>
        <w:t xml:space="preserve">ir 1,42 </w:t>
      </w:r>
      <w:proofErr w:type="spellStart"/>
      <w:r w:rsidR="002F30A9" w:rsidRPr="0020107F">
        <w:rPr>
          <w:rFonts w:ascii="Times New Roman" w:eastAsia="Calibri" w:hAnsi="Times New Roman" w:cs="Times New Roman"/>
          <w:i/>
          <w:sz w:val="28"/>
          <w:szCs w:val="28"/>
        </w:rPr>
        <w:t>euro</w:t>
      </w:r>
      <w:proofErr w:type="spellEnd"/>
      <w:r w:rsidR="002F30A9" w:rsidRPr="0020107F">
        <w:rPr>
          <w:rFonts w:ascii="Times New Roman" w:eastAsia="Calibri" w:hAnsi="Times New Roman" w:cs="Times New Roman"/>
          <w:sz w:val="28"/>
          <w:szCs w:val="28"/>
        </w:rPr>
        <w:t>. Šāda summa pašvaldībām tiek</w:t>
      </w:r>
      <w:r w:rsidR="001C49C9" w:rsidRPr="0020107F">
        <w:rPr>
          <w:rFonts w:ascii="Times New Roman" w:eastAsia="Calibri" w:hAnsi="Times New Roman" w:cs="Times New Roman"/>
          <w:sz w:val="28"/>
          <w:szCs w:val="28"/>
        </w:rPr>
        <w:t xml:space="preserve"> aprēķināta un</w:t>
      </w:r>
      <w:r w:rsidR="002F30A9" w:rsidRPr="0020107F">
        <w:rPr>
          <w:rFonts w:ascii="Times New Roman" w:eastAsia="Calibri" w:hAnsi="Times New Roman" w:cs="Times New Roman"/>
          <w:sz w:val="28"/>
          <w:szCs w:val="28"/>
        </w:rPr>
        <w:t xml:space="preserve"> pārskaitīta par katru mācību dienu.</w:t>
      </w:r>
      <w:r w:rsidR="00C261AC" w:rsidRPr="0020107F">
        <w:rPr>
          <w:rFonts w:ascii="Times New Roman" w:eastAsia="Calibri" w:hAnsi="Times New Roman" w:cs="Times New Roman"/>
          <w:sz w:val="28"/>
          <w:szCs w:val="28"/>
        </w:rPr>
        <w:t xml:space="preserve"> Mācību dienas tiek noteiktas saskaņā ar </w:t>
      </w:r>
      <w:r w:rsidR="00BD557C" w:rsidRPr="0020107F">
        <w:rPr>
          <w:rFonts w:ascii="Times New Roman" w:eastAsia="Calibri" w:hAnsi="Times New Roman" w:cs="Times New Roman"/>
          <w:sz w:val="28"/>
          <w:szCs w:val="28"/>
        </w:rPr>
        <w:t>M</w:t>
      </w:r>
      <w:r w:rsidR="00C261AC" w:rsidRPr="0020107F">
        <w:rPr>
          <w:rFonts w:ascii="Times New Roman" w:eastAsia="Calibri" w:hAnsi="Times New Roman" w:cs="Times New Roman"/>
          <w:sz w:val="28"/>
          <w:szCs w:val="28"/>
        </w:rPr>
        <w:t>inistru kabineta noteikumiem, kuri reglamentē mācību gada un mācību semestra sākuma un beigu laiku.</w:t>
      </w:r>
    </w:p>
    <w:p w14:paraId="6CBE755D" w14:textId="1A6290A2" w:rsidR="00DF11E6" w:rsidRPr="0020107F" w:rsidRDefault="00C261AC" w:rsidP="00B136FF">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Saskaņā ar spēkā esošiem Ministru </w:t>
      </w:r>
      <w:r w:rsidR="00BD557C" w:rsidRPr="0020107F">
        <w:rPr>
          <w:rFonts w:ascii="Times New Roman" w:eastAsia="Calibri" w:hAnsi="Times New Roman" w:cs="Times New Roman"/>
          <w:sz w:val="28"/>
          <w:szCs w:val="28"/>
        </w:rPr>
        <w:t>k</w:t>
      </w:r>
      <w:r w:rsidRPr="0020107F">
        <w:rPr>
          <w:rFonts w:ascii="Times New Roman" w:eastAsia="Calibri" w:hAnsi="Times New Roman" w:cs="Times New Roman"/>
          <w:sz w:val="28"/>
          <w:szCs w:val="28"/>
        </w:rPr>
        <w:t>abineta noteikumiem</w:t>
      </w:r>
      <w:r w:rsidR="00DF11E6" w:rsidRPr="0020107F">
        <w:rPr>
          <w:rFonts w:ascii="Times New Roman" w:eastAsia="Calibri" w:hAnsi="Times New Roman" w:cs="Times New Roman"/>
          <w:sz w:val="28"/>
          <w:szCs w:val="28"/>
        </w:rPr>
        <w:t>:</w:t>
      </w:r>
    </w:p>
    <w:p w14:paraId="61A95FFA" w14:textId="77777777" w:rsidR="00DF11E6" w:rsidRPr="0020107F" w:rsidRDefault="00C261AC" w:rsidP="0020107F">
      <w:pPr>
        <w:pStyle w:val="ListParagraph"/>
        <w:numPr>
          <w:ilvl w:val="0"/>
          <w:numId w:val="2"/>
        </w:numPr>
        <w:spacing w:after="0" w:line="240" w:lineRule="auto"/>
        <w:ind w:left="357" w:hanging="357"/>
        <w:jc w:val="both"/>
        <w:rPr>
          <w:rFonts w:ascii="Times New Roman" w:hAnsi="Times New Roman" w:cs="Times New Roman"/>
          <w:sz w:val="28"/>
          <w:szCs w:val="28"/>
        </w:rPr>
      </w:pPr>
      <w:r w:rsidRPr="0020107F">
        <w:rPr>
          <w:rFonts w:ascii="Times New Roman" w:hAnsi="Times New Roman" w:cs="Times New Roman"/>
          <w:sz w:val="28"/>
          <w:szCs w:val="28"/>
        </w:rPr>
        <w:t xml:space="preserve"> no 2008.gada 1 septembra līdz 2012.gada 31.decembrim, finansējums tika piešķirts 1.klases izglītojamiem</w:t>
      </w:r>
      <w:r w:rsidR="00DF11E6" w:rsidRPr="0020107F">
        <w:rPr>
          <w:rFonts w:ascii="Times New Roman" w:hAnsi="Times New Roman" w:cs="Times New Roman"/>
          <w:sz w:val="28"/>
          <w:szCs w:val="28"/>
        </w:rPr>
        <w:t>;</w:t>
      </w:r>
      <w:r w:rsidRPr="0020107F">
        <w:rPr>
          <w:rFonts w:ascii="Times New Roman" w:hAnsi="Times New Roman" w:cs="Times New Roman"/>
          <w:sz w:val="28"/>
          <w:szCs w:val="28"/>
        </w:rPr>
        <w:t xml:space="preserve"> </w:t>
      </w:r>
    </w:p>
    <w:p w14:paraId="39D3E8F1" w14:textId="77777777" w:rsidR="00C261AC" w:rsidRPr="0020107F" w:rsidRDefault="00C261AC" w:rsidP="0020107F">
      <w:pPr>
        <w:pStyle w:val="ListParagraph"/>
        <w:numPr>
          <w:ilvl w:val="0"/>
          <w:numId w:val="2"/>
        </w:numPr>
        <w:spacing w:after="0" w:line="240" w:lineRule="auto"/>
        <w:ind w:left="357" w:hanging="357"/>
        <w:jc w:val="both"/>
        <w:rPr>
          <w:rFonts w:ascii="Times New Roman" w:hAnsi="Times New Roman" w:cs="Times New Roman"/>
          <w:sz w:val="28"/>
          <w:szCs w:val="28"/>
        </w:rPr>
      </w:pPr>
      <w:r w:rsidRPr="0020107F">
        <w:rPr>
          <w:rFonts w:ascii="Times New Roman" w:hAnsi="Times New Roman" w:cs="Times New Roman"/>
          <w:sz w:val="28"/>
          <w:szCs w:val="28"/>
        </w:rPr>
        <w:lastRenderedPageBreak/>
        <w:t>no 2013.gada 1.janvāra līdz</w:t>
      </w:r>
      <w:r w:rsidR="00DF11E6" w:rsidRPr="0020107F">
        <w:rPr>
          <w:rFonts w:ascii="Times New Roman" w:hAnsi="Times New Roman" w:cs="Times New Roman"/>
          <w:sz w:val="28"/>
          <w:szCs w:val="28"/>
        </w:rPr>
        <w:t xml:space="preserve"> 2014.gada 31.augustam finansējums tika piešķirts 1. un 2.klases izglītojamiem;</w:t>
      </w:r>
    </w:p>
    <w:p w14:paraId="119C2757" w14:textId="77777777" w:rsidR="00DF11E6" w:rsidRPr="0020107F" w:rsidRDefault="00DF11E6" w:rsidP="0020107F">
      <w:pPr>
        <w:pStyle w:val="ListParagraph"/>
        <w:numPr>
          <w:ilvl w:val="0"/>
          <w:numId w:val="2"/>
        </w:numPr>
        <w:spacing w:after="0" w:line="240" w:lineRule="auto"/>
        <w:ind w:left="357" w:hanging="357"/>
        <w:jc w:val="both"/>
        <w:rPr>
          <w:rFonts w:ascii="Times New Roman" w:hAnsi="Times New Roman" w:cs="Times New Roman"/>
          <w:sz w:val="28"/>
          <w:szCs w:val="28"/>
        </w:rPr>
      </w:pPr>
      <w:r w:rsidRPr="0020107F">
        <w:rPr>
          <w:rFonts w:ascii="Times New Roman" w:hAnsi="Times New Roman" w:cs="Times New Roman"/>
          <w:sz w:val="28"/>
          <w:szCs w:val="28"/>
        </w:rPr>
        <w:t xml:space="preserve"> no 2014.gada 1.septembra līdz 2015.gada 31.augustam finansējums tika piešķirts no 1. līdz 3.klases izglītojamiem;</w:t>
      </w:r>
    </w:p>
    <w:p w14:paraId="2E9DFA84" w14:textId="525359E9" w:rsidR="00DF11E6" w:rsidRPr="0020107F" w:rsidRDefault="00DF11E6" w:rsidP="0020107F">
      <w:pPr>
        <w:pStyle w:val="ListParagraph"/>
        <w:numPr>
          <w:ilvl w:val="0"/>
          <w:numId w:val="2"/>
        </w:numPr>
        <w:spacing w:after="0" w:line="240" w:lineRule="auto"/>
        <w:ind w:left="357" w:hanging="357"/>
        <w:jc w:val="both"/>
        <w:rPr>
          <w:rFonts w:ascii="Times New Roman" w:hAnsi="Times New Roman" w:cs="Times New Roman"/>
          <w:sz w:val="28"/>
          <w:szCs w:val="28"/>
        </w:rPr>
      </w:pPr>
      <w:r w:rsidRPr="0020107F">
        <w:rPr>
          <w:rFonts w:ascii="Times New Roman" w:hAnsi="Times New Roman" w:cs="Times New Roman"/>
          <w:sz w:val="28"/>
          <w:szCs w:val="28"/>
        </w:rPr>
        <w:t>kopš 2015.gada 1.septembra finansējums tika piešķirts no 1. līdz 4.klases izglītojamiem</w:t>
      </w:r>
      <w:r w:rsidR="00BD557C" w:rsidRPr="0020107F">
        <w:rPr>
          <w:rFonts w:ascii="Times New Roman" w:hAnsi="Times New Roman" w:cs="Times New Roman"/>
          <w:sz w:val="28"/>
          <w:szCs w:val="28"/>
        </w:rPr>
        <w:t>.</w:t>
      </w:r>
    </w:p>
    <w:p w14:paraId="0C7C0778" w14:textId="328E2B77" w:rsidR="0008148D" w:rsidRPr="0020107F" w:rsidRDefault="00BD557C" w:rsidP="0020107F">
      <w:pPr>
        <w:widowControl w:val="0"/>
        <w:spacing w:after="0" w:line="240" w:lineRule="auto"/>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K</w:t>
      </w:r>
      <w:r w:rsidR="00DF11E6" w:rsidRPr="0020107F">
        <w:rPr>
          <w:rFonts w:ascii="Times New Roman" w:eastAsia="Calibri" w:hAnsi="Times New Roman" w:cs="Times New Roman"/>
          <w:sz w:val="28"/>
          <w:szCs w:val="28"/>
        </w:rPr>
        <w:t>opš 2008.gada</w:t>
      </w:r>
      <w:r w:rsidRPr="0020107F">
        <w:rPr>
          <w:rFonts w:ascii="Times New Roman" w:eastAsia="Calibri" w:hAnsi="Times New Roman" w:cs="Times New Roman"/>
          <w:sz w:val="28"/>
          <w:szCs w:val="28"/>
        </w:rPr>
        <w:t xml:space="preserve"> </w:t>
      </w:r>
      <w:r w:rsidR="004A0833" w:rsidRPr="0020107F">
        <w:rPr>
          <w:rFonts w:ascii="Times New Roman" w:eastAsia="Calibri" w:hAnsi="Times New Roman" w:cs="Times New Roman"/>
          <w:sz w:val="28"/>
          <w:szCs w:val="28"/>
        </w:rPr>
        <w:t xml:space="preserve">finansējums </w:t>
      </w:r>
      <w:r w:rsidRPr="0020107F">
        <w:rPr>
          <w:rFonts w:ascii="Times New Roman" w:eastAsia="Calibri" w:hAnsi="Times New Roman" w:cs="Times New Roman"/>
          <w:sz w:val="28"/>
          <w:szCs w:val="28"/>
        </w:rPr>
        <w:t>šim mērķim ir būtiski pieaudzis.</w:t>
      </w:r>
      <w:r w:rsidR="008D076E">
        <w:rPr>
          <w:rFonts w:ascii="Times New Roman" w:eastAsia="Calibri" w:hAnsi="Times New Roman" w:cs="Times New Roman"/>
          <w:sz w:val="28"/>
          <w:szCs w:val="28"/>
        </w:rPr>
        <w:t xml:space="preserve"> </w:t>
      </w:r>
      <w:r w:rsidR="004A0833" w:rsidRPr="0020107F">
        <w:rPr>
          <w:rFonts w:ascii="Times New Roman" w:eastAsia="Calibri" w:hAnsi="Times New Roman" w:cs="Times New Roman"/>
          <w:sz w:val="28"/>
          <w:szCs w:val="28"/>
        </w:rPr>
        <w:t>Valsts budžet</w:t>
      </w:r>
      <w:r w:rsidR="008D076E">
        <w:rPr>
          <w:rFonts w:ascii="Times New Roman" w:eastAsia="Calibri" w:hAnsi="Times New Roman" w:cs="Times New Roman"/>
          <w:sz w:val="28"/>
          <w:szCs w:val="28"/>
        </w:rPr>
        <w:t>a</w:t>
      </w:r>
      <w:r w:rsidR="004A0833" w:rsidRPr="0020107F">
        <w:rPr>
          <w:rFonts w:ascii="Times New Roman" w:eastAsia="Calibri" w:hAnsi="Times New Roman" w:cs="Times New Roman"/>
          <w:sz w:val="28"/>
          <w:szCs w:val="28"/>
        </w:rPr>
        <w:t xml:space="preserve"> apakšprogrammai 01.07.00 „Dotācija brīvpusdienu nodrošināšanai 1., 2. un 3.klases izglītojamiem” </w:t>
      </w:r>
      <w:r w:rsidR="008D076E">
        <w:rPr>
          <w:rFonts w:ascii="Times New Roman" w:eastAsia="Calibri" w:hAnsi="Times New Roman" w:cs="Times New Roman"/>
          <w:sz w:val="28"/>
          <w:szCs w:val="28"/>
        </w:rPr>
        <w:t>piešķirtais</w:t>
      </w:r>
      <w:r w:rsidR="008D076E" w:rsidRPr="0020107F">
        <w:rPr>
          <w:rFonts w:ascii="Times New Roman" w:eastAsia="Calibri" w:hAnsi="Times New Roman" w:cs="Times New Roman"/>
          <w:sz w:val="28"/>
          <w:szCs w:val="28"/>
        </w:rPr>
        <w:t xml:space="preserve"> </w:t>
      </w:r>
      <w:r w:rsidR="003565F0" w:rsidRPr="0020107F">
        <w:rPr>
          <w:rFonts w:ascii="Times New Roman" w:eastAsia="Calibri" w:hAnsi="Times New Roman" w:cs="Times New Roman"/>
          <w:sz w:val="28"/>
          <w:szCs w:val="28"/>
        </w:rPr>
        <w:t>finansējums par periodu no 201</w:t>
      </w:r>
      <w:r w:rsidR="00174FC9" w:rsidRPr="0020107F">
        <w:rPr>
          <w:rFonts w:ascii="Times New Roman" w:eastAsia="Calibri" w:hAnsi="Times New Roman" w:cs="Times New Roman"/>
          <w:sz w:val="28"/>
          <w:szCs w:val="28"/>
        </w:rPr>
        <w:t>2</w:t>
      </w:r>
      <w:r w:rsidR="003565F0" w:rsidRPr="0020107F">
        <w:rPr>
          <w:rFonts w:ascii="Times New Roman" w:eastAsia="Calibri" w:hAnsi="Times New Roman" w:cs="Times New Roman"/>
          <w:sz w:val="28"/>
          <w:szCs w:val="28"/>
        </w:rPr>
        <w:t xml:space="preserve">.gada līdz 2016.gadam </w:t>
      </w:r>
      <w:r w:rsidR="004A0833" w:rsidRPr="0020107F">
        <w:rPr>
          <w:rFonts w:ascii="Times New Roman" w:eastAsia="Calibri" w:hAnsi="Times New Roman" w:cs="Times New Roman"/>
          <w:sz w:val="28"/>
          <w:szCs w:val="28"/>
        </w:rPr>
        <w:t>atspoguļots tabulā</w:t>
      </w:r>
      <w:r w:rsidR="00442378" w:rsidRPr="0020107F">
        <w:rPr>
          <w:rFonts w:ascii="Times New Roman" w:eastAsia="Calibri" w:hAnsi="Times New Roman" w:cs="Times New Roman"/>
          <w:sz w:val="28"/>
          <w:szCs w:val="28"/>
        </w:rPr>
        <w:t xml:space="preserve"> nr.1</w:t>
      </w:r>
      <w:r w:rsidR="0008148D" w:rsidRPr="0020107F">
        <w:rPr>
          <w:rFonts w:ascii="Times New Roman" w:eastAsia="Calibri" w:hAnsi="Times New Roman" w:cs="Times New Roman"/>
          <w:sz w:val="28"/>
          <w:szCs w:val="28"/>
        </w:rPr>
        <w:t xml:space="preserve"> un </w:t>
      </w:r>
      <w:r w:rsidR="00604B09" w:rsidRPr="0020107F">
        <w:rPr>
          <w:rFonts w:ascii="Times New Roman" w:eastAsia="Calibri" w:hAnsi="Times New Roman" w:cs="Times New Roman"/>
          <w:sz w:val="28"/>
          <w:szCs w:val="28"/>
        </w:rPr>
        <w:t>grafikā</w:t>
      </w:r>
      <w:r w:rsidR="00442378" w:rsidRPr="0020107F">
        <w:rPr>
          <w:rFonts w:ascii="Times New Roman" w:eastAsia="Calibri" w:hAnsi="Times New Roman" w:cs="Times New Roman"/>
          <w:sz w:val="28"/>
          <w:szCs w:val="28"/>
        </w:rPr>
        <w:t xml:space="preserve"> nr.1</w:t>
      </w:r>
    </w:p>
    <w:p w14:paraId="2497C207" w14:textId="77777777" w:rsidR="003565F0" w:rsidRPr="0020107F" w:rsidRDefault="003565F0" w:rsidP="0020107F">
      <w:pPr>
        <w:tabs>
          <w:tab w:val="left" w:pos="0"/>
          <w:tab w:val="left" w:pos="284"/>
        </w:tabs>
        <w:spacing w:after="0"/>
        <w:jc w:val="both"/>
        <w:rPr>
          <w:rFonts w:ascii="Times New Roman" w:hAnsi="Times New Roman" w:cs="Times New Roman"/>
          <w:sz w:val="28"/>
          <w:szCs w:val="28"/>
        </w:rPr>
      </w:pPr>
    </w:p>
    <w:p w14:paraId="0D373DF8" w14:textId="7CDF7CBC" w:rsidR="004A0833" w:rsidRPr="0020107F" w:rsidRDefault="004A0833" w:rsidP="0077072F">
      <w:pPr>
        <w:tabs>
          <w:tab w:val="left" w:pos="0"/>
          <w:tab w:val="left" w:pos="284"/>
        </w:tabs>
        <w:spacing w:after="0"/>
        <w:jc w:val="right"/>
        <w:rPr>
          <w:sz w:val="28"/>
          <w:szCs w:val="28"/>
        </w:rPr>
      </w:pPr>
      <w:r w:rsidRPr="0020107F">
        <w:rPr>
          <w:sz w:val="28"/>
          <w:szCs w:val="28"/>
        </w:rPr>
        <w:t xml:space="preserve"> </w:t>
      </w:r>
      <w:r w:rsidR="0077072F" w:rsidRPr="0020107F">
        <w:rPr>
          <w:rFonts w:ascii="Times New Roman" w:hAnsi="Times New Roman" w:cs="Times New Roman"/>
          <w:sz w:val="28"/>
          <w:szCs w:val="28"/>
        </w:rPr>
        <w:t>Tabula.Nr.1</w:t>
      </w:r>
    </w:p>
    <w:tbl>
      <w:tblPr>
        <w:tblStyle w:val="TableGrid"/>
        <w:tblW w:w="0" w:type="auto"/>
        <w:tblLook w:val="04A0" w:firstRow="1" w:lastRow="0" w:firstColumn="1" w:lastColumn="0" w:noHBand="0" w:noVBand="1"/>
      </w:tblPr>
      <w:tblGrid>
        <w:gridCol w:w="1559"/>
        <w:gridCol w:w="1559"/>
        <w:gridCol w:w="1560"/>
        <w:gridCol w:w="1560"/>
        <w:gridCol w:w="1560"/>
        <w:gridCol w:w="1560"/>
      </w:tblGrid>
      <w:tr w:rsidR="00604B09" w:rsidRPr="003D6E1E" w14:paraId="24985EA1" w14:textId="77777777" w:rsidTr="00604B09">
        <w:tc>
          <w:tcPr>
            <w:tcW w:w="1559" w:type="dxa"/>
          </w:tcPr>
          <w:p w14:paraId="1B510F7D" w14:textId="7F3196AB" w:rsidR="00604B09" w:rsidRPr="002F4469" w:rsidRDefault="00917750" w:rsidP="0020107F">
            <w:pPr>
              <w:jc w:val="center"/>
              <w:rPr>
                <w:b/>
                <w:sz w:val="24"/>
                <w:szCs w:val="24"/>
              </w:rPr>
            </w:pPr>
            <w:r w:rsidRPr="002F4469">
              <w:rPr>
                <w:b/>
                <w:sz w:val="24"/>
                <w:szCs w:val="24"/>
              </w:rPr>
              <w:t>Gads</w:t>
            </w:r>
          </w:p>
        </w:tc>
        <w:tc>
          <w:tcPr>
            <w:tcW w:w="1559" w:type="dxa"/>
          </w:tcPr>
          <w:p w14:paraId="0FCBF153" w14:textId="5F1208B4" w:rsidR="00604B09" w:rsidRPr="002F4469" w:rsidRDefault="00604B09" w:rsidP="0020107F">
            <w:pPr>
              <w:jc w:val="center"/>
              <w:rPr>
                <w:b/>
                <w:sz w:val="24"/>
                <w:szCs w:val="24"/>
              </w:rPr>
            </w:pPr>
            <w:r w:rsidRPr="002F4469">
              <w:rPr>
                <w:b/>
                <w:sz w:val="24"/>
                <w:szCs w:val="24"/>
              </w:rPr>
              <w:t>2012.gads</w:t>
            </w:r>
          </w:p>
        </w:tc>
        <w:tc>
          <w:tcPr>
            <w:tcW w:w="1560" w:type="dxa"/>
          </w:tcPr>
          <w:p w14:paraId="1DF5B87F" w14:textId="4A2CDD11" w:rsidR="00604B09" w:rsidRPr="002F4469" w:rsidRDefault="00604B09" w:rsidP="0020107F">
            <w:pPr>
              <w:jc w:val="center"/>
              <w:rPr>
                <w:b/>
                <w:sz w:val="24"/>
                <w:szCs w:val="24"/>
              </w:rPr>
            </w:pPr>
            <w:r w:rsidRPr="002F4469">
              <w:rPr>
                <w:b/>
                <w:sz w:val="24"/>
                <w:szCs w:val="24"/>
              </w:rPr>
              <w:t>2013.gads</w:t>
            </w:r>
          </w:p>
        </w:tc>
        <w:tc>
          <w:tcPr>
            <w:tcW w:w="1560" w:type="dxa"/>
          </w:tcPr>
          <w:p w14:paraId="76B3B494" w14:textId="77777777" w:rsidR="00604B09" w:rsidRPr="002F4469" w:rsidRDefault="00604B09" w:rsidP="0020107F">
            <w:pPr>
              <w:jc w:val="center"/>
              <w:rPr>
                <w:b/>
                <w:sz w:val="24"/>
                <w:szCs w:val="24"/>
              </w:rPr>
            </w:pPr>
            <w:r w:rsidRPr="002F4469">
              <w:rPr>
                <w:b/>
                <w:sz w:val="24"/>
                <w:szCs w:val="24"/>
              </w:rPr>
              <w:t>2014.gads</w:t>
            </w:r>
          </w:p>
        </w:tc>
        <w:tc>
          <w:tcPr>
            <w:tcW w:w="1560" w:type="dxa"/>
          </w:tcPr>
          <w:p w14:paraId="672386CD" w14:textId="77777777" w:rsidR="00604B09" w:rsidRPr="002F4469" w:rsidRDefault="00604B09" w:rsidP="0020107F">
            <w:pPr>
              <w:jc w:val="center"/>
              <w:rPr>
                <w:b/>
                <w:sz w:val="24"/>
                <w:szCs w:val="24"/>
              </w:rPr>
            </w:pPr>
            <w:r w:rsidRPr="002F4469">
              <w:rPr>
                <w:b/>
                <w:sz w:val="24"/>
                <w:szCs w:val="24"/>
              </w:rPr>
              <w:t>2015.gads</w:t>
            </w:r>
          </w:p>
        </w:tc>
        <w:tc>
          <w:tcPr>
            <w:tcW w:w="1560" w:type="dxa"/>
          </w:tcPr>
          <w:p w14:paraId="58F75C2F" w14:textId="0C4CD2BF" w:rsidR="00604B09" w:rsidRPr="002F4469" w:rsidRDefault="00604B09" w:rsidP="0020107F">
            <w:pPr>
              <w:jc w:val="center"/>
              <w:rPr>
                <w:b/>
                <w:sz w:val="24"/>
                <w:szCs w:val="24"/>
              </w:rPr>
            </w:pPr>
            <w:r w:rsidRPr="002F4469">
              <w:rPr>
                <w:b/>
                <w:sz w:val="24"/>
                <w:szCs w:val="24"/>
              </w:rPr>
              <w:t>2016.gad</w:t>
            </w:r>
            <w:r w:rsidR="001A35BA" w:rsidRPr="002F4469">
              <w:rPr>
                <w:b/>
                <w:sz w:val="24"/>
                <w:szCs w:val="24"/>
              </w:rPr>
              <w:t>s</w:t>
            </w:r>
            <w:r w:rsidRPr="002F4469">
              <w:rPr>
                <w:b/>
                <w:sz w:val="24"/>
                <w:szCs w:val="24"/>
              </w:rPr>
              <w:t xml:space="preserve"> </w:t>
            </w:r>
          </w:p>
        </w:tc>
      </w:tr>
      <w:tr w:rsidR="00604B09" w:rsidRPr="003D6E1E" w14:paraId="729BA387" w14:textId="77777777" w:rsidTr="00604B09">
        <w:tc>
          <w:tcPr>
            <w:tcW w:w="1559" w:type="dxa"/>
          </w:tcPr>
          <w:p w14:paraId="0472FB04" w14:textId="40995D3B" w:rsidR="00604B09" w:rsidRPr="0020107F" w:rsidRDefault="00174FC9">
            <w:pPr>
              <w:rPr>
                <w:sz w:val="24"/>
                <w:szCs w:val="24"/>
              </w:rPr>
            </w:pPr>
            <w:proofErr w:type="spellStart"/>
            <w:r w:rsidRPr="0020107F">
              <w:rPr>
                <w:sz w:val="24"/>
                <w:szCs w:val="24"/>
              </w:rPr>
              <w:t>Valsts</w:t>
            </w:r>
            <w:proofErr w:type="spellEnd"/>
            <w:r w:rsidRPr="0020107F">
              <w:rPr>
                <w:sz w:val="24"/>
                <w:szCs w:val="24"/>
              </w:rPr>
              <w:t xml:space="preserve"> </w:t>
            </w:r>
            <w:proofErr w:type="spellStart"/>
            <w:r w:rsidRPr="0020107F">
              <w:rPr>
                <w:sz w:val="24"/>
                <w:szCs w:val="24"/>
              </w:rPr>
              <w:t>budžeta</w:t>
            </w:r>
            <w:proofErr w:type="spellEnd"/>
            <w:r w:rsidRPr="0020107F">
              <w:rPr>
                <w:sz w:val="24"/>
                <w:szCs w:val="24"/>
              </w:rPr>
              <w:t xml:space="preserve"> </w:t>
            </w:r>
            <w:proofErr w:type="spellStart"/>
            <w:r w:rsidR="00604B09" w:rsidRPr="0020107F">
              <w:rPr>
                <w:sz w:val="24"/>
                <w:szCs w:val="24"/>
              </w:rPr>
              <w:t>finansējums</w:t>
            </w:r>
            <w:proofErr w:type="spellEnd"/>
            <w:r w:rsidR="00604B09" w:rsidRPr="0020107F">
              <w:rPr>
                <w:sz w:val="24"/>
                <w:szCs w:val="24"/>
              </w:rPr>
              <w:t xml:space="preserve"> </w:t>
            </w:r>
            <w:r w:rsidR="00604B09" w:rsidRPr="0020107F">
              <w:rPr>
                <w:i/>
                <w:sz w:val="24"/>
                <w:szCs w:val="24"/>
              </w:rPr>
              <w:t>euro</w:t>
            </w:r>
          </w:p>
        </w:tc>
        <w:tc>
          <w:tcPr>
            <w:tcW w:w="1559" w:type="dxa"/>
          </w:tcPr>
          <w:p w14:paraId="4A148897" w14:textId="77777777" w:rsidR="00604B09" w:rsidRPr="0020107F" w:rsidRDefault="00604B09" w:rsidP="004A0833">
            <w:pPr>
              <w:rPr>
                <w:sz w:val="24"/>
                <w:szCs w:val="24"/>
              </w:rPr>
            </w:pPr>
            <w:r w:rsidRPr="0020107F">
              <w:rPr>
                <w:sz w:val="24"/>
                <w:szCs w:val="24"/>
              </w:rPr>
              <w:t>3</w:t>
            </w:r>
            <w:r w:rsidR="00DB1131" w:rsidRPr="0020107F">
              <w:rPr>
                <w:sz w:val="24"/>
                <w:szCs w:val="24"/>
              </w:rPr>
              <w:t> </w:t>
            </w:r>
            <w:r w:rsidRPr="0020107F">
              <w:rPr>
                <w:sz w:val="24"/>
                <w:szCs w:val="24"/>
              </w:rPr>
              <w:t>975</w:t>
            </w:r>
            <w:r w:rsidR="00DB1131" w:rsidRPr="0020107F">
              <w:rPr>
                <w:sz w:val="24"/>
                <w:szCs w:val="24"/>
              </w:rPr>
              <w:t xml:space="preserve"> </w:t>
            </w:r>
            <w:r w:rsidRPr="0020107F">
              <w:rPr>
                <w:sz w:val="24"/>
                <w:szCs w:val="24"/>
              </w:rPr>
              <w:t>511</w:t>
            </w:r>
          </w:p>
        </w:tc>
        <w:tc>
          <w:tcPr>
            <w:tcW w:w="1560" w:type="dxa"/>
          </w:tcPr>
          <w:p w14:paraId="10C8F548" w14:textId="569A691D" w:rsidR="00604B09" w:rsidRPr="0020107F" w:rsidRDefault="00604B09">
            <w:pPr>
              <w:rPr>
                <w:sz w:val="24"/>
                <w:szCs w:val="24"/>
              </w:rPr>
            </w:pPr>
            <w:r w:rsidRPr="0020107F">
              <w:rPr>
                <w:sz w:val="24"/>
                <w:szCs w:val="24"/>
              </w:rPr>
              <w:t>8</w:t>
            </w:r>
            <w:r w:rsidR="00DB1131" w:rsidRPr="0020107F">
              <w:rPr>
                <w:sz w:val="24"/>
                <w:szCs w:val="24"/>
              </w:rPr>
              <w:t> </w:t>
            </w:r>
            <w:r w:rsidRPr="0020107F">
              <w:rPr>
                <w:sz w:val="24"/>
                <w:szCs w:val="24"/>
              </w:rPr>
              <w:t>125</w:t>
            </w:r>
            <w:r w:rsidR="00DB1131" w:rsidRPr="0020107F">
              <w:rPr>
                <w:sz w:val="24"/>
                <w:szCs w:val="24"/>
              </w:rPr>
              <w:t xml:space="preserve"> </w:t>
            </w:r>
            <w:r w:rsidR="0081010F" w:rsidRPr="0020107F">
              <w:rPr>
                <w:sz w:val="24"/>
                <w:szCs w:val="24"/>
              </w:rPr>
              <w:t>971</w:t>
            </w:r>
          </w:p>
        </w:tc>
        <w:tc>
          <w:tcPr>
            <w:tcW w:w="1560" w:type="dxa"/>
          </w:tcPr>
          <w:p w14:paraId="08767844" w14:textId="77777777" w:rsidR="00604B09" w:rsidRPr="0020107F" w:rsidRDefault="00604B09" w:rsidP="004A0833">
            <w:pPr>
              <w:rPr>
                <w:sz w:val="24"/>
                <w:szCs w:val="24"/>
              </w:rPr>
            </w:pPr>
            <w:r w:rsidRPr="0020107F">
              <w:rPr>
                <w:sz w:val="24"/>
                <w:szCs w:val="24"/>
              </w:rPr>
              <w:t>11</w:t>
            </w:r>
            <w:r w:rsidR="00DB1131" w:rsidRPr="0020107F">
              <w:rPr>
                <w:sz w:val="24"/>
                <w:szCs w:val="24"/>
              </w:rPr>
              <w:t> </w:t>
            </w:r>
            <w:r w:rsidRPr="0020107F">
              <w:rPr>
                <w:sz w:val="24"/>
                <w:szCs w:val="24"/>
              </w:rPr>
              <w:t>679</w:t>
            </w:r>
            <w:r w:rsidR="00DB1131" w:rsidRPr="0020107F">
              <w:rPr>
                <w:sz w:val="24"/>
                <w:szCs w:val="24"/>
              </w:rPr>
              <w:t xml:space="preserve"> </w:t>
            </w:r>
            <w:r w:rsidRPr="0020107F">
              <w:rPr>
                <w:sz w:val="24"/>
                <w:szCs w:val="24"/>
              </w:rPr>
              <w:t>100</w:t>
            </w:r>
          </w:p>
        </w:tc>
        <w:tc>
          <w:tcPr>
            <w:tcW w:w="1560" w:type="dxa"/>
          </w:tcPr>
          <w:p w14:paraId="43F08984" w14:textId="53269088" w:rsidR="00604B09" w:rsidRPr="0020107F" w:rsidRDefault="00604B09">
            <w:pPr>
              <w:rPr>
                <w:sz w:val="24"/>
                <w:szCs w:val="24"/>
              </w:rPr>
            </w:pPr>
            <w:r w:rsidRPr="0020107F">
              <w:rPr>
                <w:sz w:val="24"/>
                <w:szCs w:val="24"/>
              </w:rPr>
              <w:t>17</w:t>
            </w:r>
            <w:r w:rsidR="00DB1131" w:rsidRPr="0020107F">
              <w:rPr>
                <w:sz w:val="24"/>
                <w:szCs w:val="24"/>
              </w:rPr>
              <w:t> </w:t>
            </w:r>
            <w:r w:rsidR="0081010F" w:rsidRPr="0020107F">
              <w:rPr>
                <w:sz w:val="24"/>
                <w:szCs w:val="24"/>
              </w:rPr>
              <w:t>203 517</w:t>
            </w:r>
          </w:p>
        </w:tc>
        <w:tc>
          <w:tcPr>
            <w:tcW w:w="1560" w:type="dxa"/>
          </w:tcPr>
          <w:p w14:paraId="7DD86B5C" w14:textId="77777777" w:rsidR="00604B09" w:rsidRPr="0020107F" w:rsidRDefault="00604B09" w:rsidP="004A0833">
            <w:pPr>
              <w:rPr>
                <w:sz w:val="24"/>
                <w:szCs w:val="24"/>
              </w:rPr>
            </w:pPr>
            <w:r w:rsidRPr="0020107F">
              <w:rPr>
                <w:sz w:val="24"/>
                <w:szCs w:val="24"/>
              </w:rPr>
              <w:t>20</w:t>
            </w:r>
            <w:r w:rsidR="00DB1131" w:rsidRPr="0020107F">
              <w:rPr>
                <w:sz w:val="24"/>
                <w:szCs w:val="24"/>
              </w:rPr>
              <w:t> </w:t>
            </w:r>
            <w:r w:rsidRPr="0020107F">
              <w:rPr>
                <w:sz w:val="24"/>
                <w:szCs w:val="24"/>
              </w:rPr>
              <w:t>541</w:t>
            </w:r>
            <w:r w:rsidR="00DB1131" w:rsidRPr="0020107F">
              <w:rPr>
                <w:sz w:val="24"/>
                <w:szCs w:val="24"/>
              </w:rPr>
              <w:t xml:space="preserve"> </w:t>
            </w:r>
            <w:r w:rsidRPr="0020107F">
              <w:rPr>
                <w:sz w:val="24"/>
                <w:szCs w:val="24"/>
              </w:rPr>
              <w:t>554</w:t>
            </w:r>
          </w:p>
        </w:tc>
      </w:tr>
    </w:tbl>
    <w:p w14:paraId="57DD5CAA" w14:textId="77777777" w:rsidR="0077072F" w:rsidRPr="0020107F" w:rsidRDefault="0077072F" w:rsidP="009314E8">
      <w:pPr>
        <w:widowControl w:val="0"/>
        <w:spacing w:after="0" w:line="240" w:lineRule="auto"/>
        <w:ind w:firstLine="720"/>
        <w:jc w:val="right"/>
        <w:rPr>
          <w:rFonts w:ascii="Times New Roman" w:eastAsia="Calibri" w:hAnsi="Times New Roman" w:cs="Times New Roman"/>
          <w:sz w:val="28"/>
          <w:szCs w:val="28"/>
        </w:rPr>
      </w:pPr>
    </w:p>
    <w:p w14:paraId="6238D1E1" w14:textId="5CF3EF04" w:rsidR="0077072F" w:rsidRPr="0020107F" w:rsidRDefault="0077072F" w:rsidP="009314E8">
      <w:pPr>
        <w:widowControl w:val="0"/>
        <w:spacing w:after="0" w:line="240" w:lineRule="auto"/>
        <w:ind w:firstLine="720"/>
        <w:jc w:val="right"/>
        <w:rPr>
          <w:rFonts w:ascii="Times New Roman" w:eastAsia="Calibri" w:hAnsi="Times New Roman" w:cs="Times New Roman"/>
          <w:sz w:val="28"/>
          <w:szCs w:val="28"/>
        </w:rPr>
      </w:pPr>
    </w:p>
    <w:p w14:paraId="1D8488B3" w14:textId="1A44B63D" w:rsidR="005977C3" w:rsidRPr="0020107F" w:rsidRDefault="0022178C" w:rsidP="0020107F">
      <w:pPr>
        <w:widowControl w:val="0"/>
        <w:spacing w:after="0" w:line="240" w:lineRule="auto"/>
        <w:ind w:firstLine="720"/>
        <w:jc w:val="right"/>
        <w:rPr>
          <w:sz w:val="28"/>
          <w:szCs w:val="28"/>
        </w:rPr>
      </w:pPr>
      <w:r>
        <w:rPr>
          <w:noProof/>
          <w:lang w:eastAsia="lv-LV"/>
        </w:rPr>
        <w:drawing>
          <wp:anchor distT="0" distB="0" distL="114300" distR="114300" simplePos="0" relativeHeight="251673600" behindDoc="0" locked="0" layoutInCell="1" allowOverlap="1" wp14:anchorId="685DF966" wp14:editId="1FEB83BC">
            <wp:simplePos x="0" y="0"/>
            <wp:positionH relativeFrom="margin">
              <wp:align>center</wp:align>
            </wp:positionH>
            <wp:positionV relativeFrom="paragraph">
              <wp:posOffset>401955</wp:posOffset>
            </wp:positionV>
            <wp:extent cx="4572000" cy="27432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314E8" w:rsidRPr="0020107F">
        <w:rPr>
          <w:rFonts w:ascii="Times New Roman" w:eastAsia="Calibri" w:hAnsi="Times New Roman" w:cs="Times New Roman"/>
          <w:sz w:val="28"/>
          <w:szCs w:val="28"/>
        </w:rPr>
        <w:t>Grafiks Nr.</w:t>
      </w:r>
      <w:r w:rsidR="001C32B0" w:rsidRPr="0020107F">
        <w:rPr>
          <w:rFonts w:ascii="Times New Roman" w:eastAsia="Calibri" w:hAnsi="Times New Roman" w:cs="Times New Roman"/>
          <w:sz w:val="28"/>
          <w:szCs w:val="28"/>
        </w:rPr>
        <w:t>1</w:t>
      </w:r>
      <w:r w:rsidR="009314E8" w:rsidRPr="0020107F">
        <w:rPr>
          <w:rFonts w:ascii="Times New Roman" w:eastAsia="Calibri" w:hAnsi="Times New Roman" w:cs="Times New Roman"/>
          <w:sz w:val="28"/>
          <w:szCs w:val="28"/>
        </w:rPr>
        <w:t>.</w:t>
      </w:r>
    </w:p>
    <w:p w14:paraId="0919F6FA" w14:textId="77777777" w:rsidR="00E270D7" w:rsidRDefault="00E270D7" w:rsidP="002F4469">
      <w:pPr>
        <w:ind w:firstLine="720"/>
        <w:jc w:val="both"/>
        <w:rPr>
          <w:rFonts w:ascii="Times New Roman" w:hAnsi="Times New Roman" w:cs="Times New Roman"/>
          <w:sz w:val="28"/>
          <w:szCs w:val="28"/>
        </w:rPr>
      </w:pPr>
    </w:p>
    <w:p w14:paraId="5A62CC1F" w14:textId="3E9C89E9" w:rsidR="008D076E" w:rsidRDefault="00AA3A60" w:rsidP="002F4469">
      <w:pPr>
        <w:ind w:firstLine="720"/>
        <w:jc w:val="both"/>
        <w:rPr>
          <w:rFonts w:ascii="Times New Roman" w:hAnsi="Times New Roman" w:cs="Times New Roman"/>
          <w:sz w:val="28"/>
          <w:szCs w:val="28"/>
        </w:rPr>
      </w:pPr>
      <w:r w:rsidRPr="0020107F">
        <w:rPr>
          <w:rFonts w:ascii="Times New Roman" w:hAnsi="Times New Roman" w:cs="Times New Roman"/>
          <w:sz w:val="28"/>
          <w:szCs w:val="28"/>
        </w:rPr>
        <w:t xml:space="preserve">Grafikā Nr.2 </w:t>
      </w:r>
      <w:r w:rsidR="001754E2" w:rsidRPr="0020107F">
        <w:rPr>
          <w:rFonts w:ascii="Times New Roman" w:hAnsi="Times New Roman" w:cs="Times New Roman"/>
          <w:sz w:val="28"/>
          <w:szCs w:val="28"/>
        </w:rPr>
        <w:t>redzam</w:t>
      </w:r>
      <w:r w:rsidR="001754E2">
        <w:rPr>
          <w:rFonts w:ascii="Times New Roman" w:hAnsi="Times New Roman" w:cs="Times New Roman"/>
          <w:sz w:val="28"/>
          <w:szCs w:val="28"/>
        </w:rPr>
        <w:t>a</w:t>
      </w:r>
      <w:r w:rsidR="001754E2" w:rsidRPr="0020107F">
        <w:rPr>
          <w:rFonts w:ascii="Times New Roman" w:hAnsi="Times New Roman" w:cs="Times New Roman"/>
          <w:sz w:val="28"/>
          <w:szCs w:val="28"/>
        </w:rPr>
        <w:t xml:space="preserve"> </w:t>
      </w:r>
      <w:r w:rsidR="00702E10" w:rsidRPr="0020107F">
        <w:rPr>
          <w:rFonts w:ascii="Times New Roman" w:hAnsi="Times New Roman" w:cs="Times New Roman"/>
          <w:sz w:val="28"/>
          <w:szCs w:val="28"/>
        </w:rPr>
        <w:t>Izglītojamo skaita dinamika no 2011.gada līdz 2015. gada</w:t>
      </w:r>
      <w:r w:rsidR="003D6E1E" w:rsidRPr="0020107F">
        <w:rPr>
          <w:rFonts w:ascii="Times New Roman" w:hAnsi="Times New Roman" w:cs="Times New Roman"/>
          <w:sz w:val="28"/>
          <w:szCs w:val="28"/>
        </w:rPr>
        <w:t>m</w:t>
      </w:r>
      <w:r w:rsidR="00702E10" w:rsidRPr="0020107F">
        <w:rPr>
          <w:rFonts w:ascii="Times New Roman" w:hAnsi="Times New Roman" w:cs="Times New Roman"/>
          <w:sz w:val="28"/>
          <w:szCs w:val="28"/>
        </w:rPr>
        <w:t>, kuriem tiek piešķirts valsts budžeta finansējums skolēnu ēdināšanai.</w:t>
      </w:r>
      <w:r w:rsidRPr="0020107F">
        <w:rPr>
          <w:rFonts w:ascii="Times New Roman" w:hAnsi="Times New Roman" w:cs="Times New Roman"/>
          <w:sz w:val="28"/>
          <w:szCs w:val="28"/>
        </w:rPr>
        <w:t xml:space="preserve"> </w:t>
      </w:r>
      <w:r w:rsidR="00174FC9" w:rsidRPr="0020107F">
        <w:rPr>
          <w:rFonts w:ascii="Times New Roman" w:hAnsi="Times New Roman" w:cs="Times New Roman"/>
          <w:sz w:val="28"/>
          <w:szCs w:val="28"/>
        </w:rPr>
        <w:t>K</w:t>
      </w:r>
      <w:r w:rsidRPr="0020107F">
        <w:rPr>
          <w:rFonts w:ascii="Times New Roman" w:hAnsi="Times New Roman" w:cs="Times New Roman"/>
          <w:sz w:val="28"/>
          <w:szCs w:val="28"/>
        </w:rPr>
        <w:t>opš 2015.gada 1.septembra valsts nodrošina brīvpusdienas jau 80 761 izglītojamiem, kas mācās 1-4.klasē.</w:t>
      </w:r>
    </w:p>
    <w:p w14:paraId="052B415D" w14:textId="77777777" w:rsidR="00E270D7" w:rsidRDefault="00E270D7" w:rsidP="0020107F">
      <w:pPr>
        <w:ind w:firstLine="720"/>
        <w:jc w:val="right"/>
        <w:rPr>
          <w:rFonts w:ascii="Times New Roman" w:eastAsia="Calibri" w:hAnsi="Times New Roman" w:cs="Times New Roman"/>
          <w:sz w:val="28"/>
          <w:szCs w:val="28"/>
        </w:rPr>
      </w:pPr>
    </w:p>
    <w:p w14:paraId="67773911" w14:textId="77777777" w:rsidR="00E270D7" w:rsidRDefault="00E270D7" w:rsidP="0020107F">
      <w:pPr>
        <w:ind w:firstLine="720"/>
        <w:jc w:val="right"/>
        <w:rPr>
          <w:rFonts w:ascii="Times New Roman" w:eastAsia="Calibri" w:hAnsi="Times New Roman" w:cs="Times New Roman"/>
          <w:sz w:val="28"/>
          <w:szCs w:val="28"/>
        </w:rPr>
      </w:pPr>
    </w:p>
    <w:p w14:paraId="63D5286D" w14:textId="77777777" w:rsidR="00E270D7" w:rsidRDefault="00E270D7" w:rsidP="0020107F">
      <w:pPr>
        <w:ind w:firstLine="720"/>
        <w:jc w:val="right"/>
        <w:rPr>
          <w:rFonts w:ascii="Times New Roman" w:eastAsia="Calibri" w:hAnsi="Times New Roman" w:cs="Times New Roman"/>
          <w:sz w:val="28"/>
          <w:szCs w:val="28"/>
        </w:rPr>
      </w:pPr>
    </w:p>
    <w:p w14:paraId="6450C171" w14:textId="77777777" w:rsidR="00E270D7" w:rsidRDefault="00E270D7" w:rsidP="0020107F">
      <w:pPr>
        <w:ind w:firstLine="720"/>
        <w:jc w:val="right"/>
        <w:rPr>
          <w:rFonts w:ascii="Times New Roman" w:eastAsia="Calibri" w:hAnsi="Times New Roman" w:cs="Times New Roman"/>
          <w:sz w:val="28"/>
          <w:szCs w:val="28"/>
        </w:rPr>
      </w:pPr>
    </w:p>
    <w:p w14:paraId="007CF613" w14:textId="74B01BB1" w:rsidR="004D548C" w:rsidRPr="0020107F" w:rsidRDefault="00E270D7" w:rsidP="0020107F">
      <w:pPr>
        <w:ind w:firstLine="720"/>
        <w:jc w:val="right"/>
        <w:rPr>
          <w:rFonts w:ascii="Times New Roman" w:eastAsia="Calibri" w:hAnsi="Times New Roman" w:cs="Times New Roman"/>
          <w:sz w:val="28"/>
          <w:szCs w:val="28"/>
        </w:rPr>
      </w:pPr>
      <w:r>
        <w:rPr>
          <w:noProof/>
          <w:lang w:eastAsia="lv-LV"/>
        </w:rPr>
        <w:drawing>
          <wp:anchor distT="0" distB="0" distL="114300" distR="114300" simplePos="0" relativeHeight="251674624" behindDoc="0" locked="0" layoutInCell="1" allowOverlap="1" wp14:anchorId="604898CC" wp14:editId="40055659">
            <wp:simplePos x="0" y="0"/>
            <wp:positionH relativeFrom="margin">
              <wp:align>left</wp:align>
            </wp:positionH>
            <wp:positionV relativeFrom="paragraph">
              <wp:posOffset>321945</wp:posOffset>
            </wp:positionV>
            <wp:extent cx="5948680" cy="2661285"/>
            <wp:effectExtent l="0" t="0" r="13970" b="571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02E10" w:rsidRPr="0020107F">
        <w:rPr>
          <w:rFonts w:ascii="Times New Roman" w:eastAsia="Calibri" w:hAnsi="Times New Roman" w:cs="Times New Roman"/>
          <w:sz w:val="28"/>
          <w:szCs w:val="28"/>
        </w:rPr>
        <w:t>Grafiks Nr.2.</w:t>
      </w:r>
    </w:p>
    <w:p w14:paraId="1215B1A6" w14:textId="707BFE8E" w:rsidR="009314E8" w:rsidRPr="0020107F" w:rsidRDefault="009314E8" w:rsidP="004A0833">
      <w:pPr>
        <w:rPr>
          <w:sz w:val="28"/>
          <w:szCs w:val="28"/>
        </w:rPr>
      </w:pPr>
    </w:p>
    <w:p w14:paraId="75321E15" w14:textId="1EE28191" w:rsidR="00664FCD" w:rsidRPr="0020107F" w:rsidRDefault="005732D0" w:rsidP="00664FCD">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Izglītības un zinātnes ministrijas </w:t>
      </w:r>
      <w:r w:rsidR="001754E2" w:rsidRPr="0020107F">
        <w:rPr>
          <w:rFonts w:ascii="Times New Roman" w:eastAsia="Calibri" w:hAnsi="Times New Roman" w:cs="Times New Roman"/>
          <w:sz w:val="28"/>
          <w:szCs w:val="28"/>
        </w:rPr>
        <w:t>organizēt</w:t>
      </w:r>
      <w:r w:rsidR="001754E2">
        <w:rPr>
          <w:rFonts w:ascii="Times New Roman" w:eastAsia="Calibri" w:hAnsi="Times New Roman" w:cs="Times New Roman"/>
          <w:sz w:val="28"/>
          <w:szCs w:val="28"/>
        </w:rPr>
        <w:t>o</w:t>
      </w:r>
      <w:r w:rsidR="001754E2" w:rsidRPr="0020107F">
        <w:rPr>
          <w:rFonts w:ascii="Times New Roman" w:eastAsia="Calibri" w:hAnsi="Times New Roman" w:cs="Times New Roman"/>
          <w:sz w:val="28"/>
          <w:szCs w:val="28"/>
        </w:rPr>
        <w:t xml:space="preserve"> starpinstitūcij</w:t>
      </w:r>
      <w:r w:rsidR="001754E2">
        <w:rPr>
          <w:rFonts w:ascii="Times New Roman" w:eastAsia="Calibri" w:hAnsi="Times New Roman" w:cs="Times New Roman"/>
          <w:sz w:val="28"/>
          <w:szCs w:val="28"/>
        </w:rPr>
        <w:t>u</w:t>
      </w:r>
      <w:r w:rsidR="001754E2" w:rsidRPr="0020107F">
        <w:rPr>
          <w:rFonts w:ascii="Times New Roman" w:eastAsia="Calibri" w:hAnsi="Times New Roman" w:cs="Times New Roman"/>
          <w:sz w:val="28"/>
          <w:szCs w:val="28"/>
        </w:rPr>
        <w:t xml:space="preserve"> sanāksm</w:t>
      </w:r>
      <w:r w:rsidR="001754E2">
        <w:rPr>
          <w:rFonts w:ascii="Times New Roman" w:eastAsia="Calibri" w:hAnsi="Times New Roman" w:cs="Times New Roman"/>
          <w:sz w:val="28"/>
          <w:szCs w:val="28"/>
        </w:rPr>
        <w:t xml:space="preserve">ju </w:t>
      </w:r>
      <w:r w:rsidR="003565F0" w:rsidRPr="0020107F">
        <w:rPr>
          <w:rFonts w:ascii="Times New Roman" w:eastAsia="Calibri" w:hAnsi="Times New Roman" w:cs="Times New Roman"/>
          <w:sz w:val="28"/>
          <w:szCs w:val="28"/>
        </w:rPr>
        <w:t>dalībnieki</w:t>
      </w:r>
      <w:r w:rsidR="00664FCD" w:rsidRPr="0020107F">
        <w:rPr>
          <w:rFonts w:ascii="Times New Roman" w:eastAsia="Calibri" w:hAnsi="Times New Roman" w:cs="Times New Roman"/>
          <w:sz w:val="28"/>
          <w:szCs w:val="28"/>
        </w:rPr>
        <w:t xml:space="preserve"> vienojās, ka  Izglītības un zinātnes ministrija lūdz pašvaldībām iesniegt informāciju par valsts budžeta līdzekļu izlietojumu izglītojamo ēdināšanai pamatizglītības iestādēs no 1.-3. klasei uz </w:t>
      </w:r>
      <w:r w:rsidR="004F3B28" w:rsidRPr="0020107F">
        <w:rPr>
          <w:rFonts w:ascii="Times New Roman" w:eastAsia="Calibri" w:hAnsi="Times New Roman" w:cs="Times New Roman"/>
          <w:sz w:val="28"/>
          <w:szCs w:val="28"/>
        </w:rPr>
        <w:t>2015.gada 31.maiju</w:t>
      </w:r>
      <w:r w:rsidR="00664FCD" w:rsidRPr="0020107F">
        <w:rPr>
          <w:rFonts w:ascii="Times New Roman" w:eastAsia="Calibri" w:hAnsi="Times New Roman" w:cs="Times New Roman"/>
          <w:sz w:val="28"/>
          <w:szCs w:val="28"/>
        </w:rPr>
        <w:t>.</w:t>
      </w:r>
    </w:p>
    <w:p w14:paraId="1EB8F08F" w14:textId="77AF0A71" w:rsidR="00664FCD" w:rsidRPr="0020107F" w:rsidRDefault="00D83AD0" w:rsidP="00664FCD">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I</w:t>
      </w:r>
      <w:r w:rsidR="00664FCD" w:rsidRPr="0020107F">
        <w:rPr>
          <w:rFonts w:ascii="Times New Roman" w:eastAsia="Calibri" w:hAnsi="Times New Roman" w:cs="Times New Roman"/>
          <w:sz w:val="28"/>
          <w:szCs w:val="28"/>
        </w:rPr>
        <w:t xml:space="preserve">nformācija tika saņemta par 9 republikas pilsētām un 91 no 110 novadiem, kas ir 84 % no visām pilsētu un novadu domēm. </w:t>
      </w:r>
    </w:p>
    <w:p w14:paraId="37F16B33" w14:textId="113082DF" w:rsidR="00664FCD" w:rsidRPr="0020107F" w:rsidRDefault="00BD557C" w:rsidP="00664FCD">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I</w:t>
      </w:r>
      <w:r w:rsidR="00664FCD" w:rsidRPr="0020107F">
        <w:rPr>
          <w:rFonts w:ascii="Times New Roman" w:eastAsia="Calibri" w:hAnsi="Times New Roman" w:cs="Times New Roman"/>
          <w:sz w:val="28"/>
          <w:szCs w:val="28"/>
        </w:rPr>
        <w:t>nformācija</w:t>
      </w:r>
      <w:r w:rsidRPr="0020107F">
        <w:rPr>
          <w:rFonts w:ascii="Times New Roman" w:eastAsia="Calibri" w:hAnsi="Times New Roman" w:cs="Times New Roman"/>
          <w:sz w:val="28"/>
          <w:szCs w:val="28"/>
        </w:rPr>
        <w:t xml:space="preserve"> </w:t>
      </w:r>
      <w:r w:rsidR="004F3B28" w:rsidRPr="0020107F">
        <w:rPr>
          <w:rFonts w:ascii="Times New Roman" w:eastAsia="Calibri" w:hAnsi="Times New Roman" w:cs="Times New Roman"/>
          <w:sz w:val="28"/>
          <w:szCs w:val="28"/>
        </w:rPr>
        <w:t xml:space="preserve">tika </w:t>
      </w:r>
      <w:r w:rsidRPr="0020107F">
        <w:rPr>
          <w:rFonts w:ascii="Times New Roman" w:eastAsia="Calibri" w:hAnsi="Times New Roman" w:cs="Times New Roman"/>
          <w:sz w:val="28"/>
          <w:szCs w:val="28"/>
        </w:rPr>
        <w:t>saņemta</w:t>
      </w:r>
      <w:r w:rsidR="00664FCD" w:rsidRPr="0020107F">
        <w:rPr>
          <w:rFonts w:ascii="Times New Roman" w:eastAsia="Calibri" w:hAnsi="Times New Roman" w:cs="Times New Roman"/>
          <w:sz w:val="28"/>
          <w:szCs w:val="28"/>
        </w:rPr>
        <w:t xml:space="preserve"> par 570 pašvaldību izglītības iestādēm un to filiālēm un privātajām izglītības iestādēm.</w:t>
      </w:r>
    </w:p>
    <w:p w14:paraId="43AA67C8" w14:textId="1EB6D51F" w:rsidR="00664FCD" w:rsidRPr="0020107F" w:rsidRDefault="00664FCD" w:rsidP="00664FCD">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267 pašvaldību izglītības iestādes un to filiālēs un 17 juridisko personu dibinātās izglītības </w:t>
      </w:r>
      <w:r w:rsidR="004F3B28" w:rsidRPr="0020107F">
        <w:rPr>
          <w:rFonts w:ascii="Times New Roman" w:eastAsia="Calibri" w:hAnsi="Times New Roman" w:cs="Times New Roman"/>
          <w:sz w:val="28"/>
          <w:szCs w:val="28"/>
        </w:rPr>
        <w:t xml:space="preserve">iestādes </w:t>
      </w:r>
      <w:r w:rsidRPr="0020107F">
        <w:rPr>
          <w:rFonts w:ascii="Times New Roman" w:eastAsia="Calibri" w:hAnsi="Times New Roman" w:cs="Times New Roman"/>
          <w:sz w:val="28"/>
          <w:szCs w:val="28"/>
        </w:rPr>
        <w:t>ir iesniegušas ziņas, ka ar valsts noteikto finansējuma apjomu izglītojamo ēdināšanai, 1</w:t>
      </w:r>
      <w:r w:rsidR="00BD557C" w:rsidRPr="0020107F">
        <w:rPr>
          <w:rFonts w:ascii="Times New Roman" w:eastAsia="Calibri" w:hAnsi="Times New Roman" w:cs="Times New Roman"/>
          <w:sz w:val="28"/>
          <w:szCs w:val="28"/>
        </w:rPr>
        <w:t>,</w:t>
      </w:r>
      <w:r w:rsidRPr="0020107F">
        <w:rPr>
          <w:rFonts w:ascii="Times New Roman" w:eastAsia="Calibri" w:hAnsi="Times New Roman" w:cs="Times New Roman"/>
          <w:sz w:val="28"/>
          <w:szCs w:val="28"/>
        </w:rPr>
        <w:t xml:space="preserve">42 </w:t>
      </w:r>
      <w:proofErr w:type="spellStart"/>
      <w:r w:rsidR="00BD557C" w:rsidRPr="0020107F">
        <w:rPr>
          <w:rFonts w:ascii="Times New Roman" w:eastAsia="Calibri" w:hAnsi="Times New Roman" w:cs="Times New Roman"/>
          <w:i/>
          <w:sz w:val="28"/>
          <w:szCs w:val="28"/>
        </w:rPr>
        <w:t>euro</w:t>
      </w:r>
      <w:proofErr w:type="spellEnd"/>
      <w:r w:rsidRPr="0020107F">
        <w:rPr>
          <w:rFonts w:ascii="Times New Roman" w:eastAsia="Calibri" w:hAnsi="Times New Roman" w:cs="Times New Roman"/>
          <w:sz w:val="28"/>
          <w:szCs w:val="28"/>
        </w:rPr>
        <w:t xml:space="preserve"> vienam izglītojamam dienā, nav pietiekoši, lai nosegtu visus ēdināšanas pakalpojuma izdevumus. Līdz ar to pašvaldība vai privātā izglītības iestāde sedz </w:t>
      </w:r>
      <w:r w:rsidR="00A87ED4" w:rsidRPr="0020107F">
        <w:rPr>
          <w:rFonts w:ascii="Times New Roman" w:eastAsia="Calibri" w:hAnsi="Times New Roman" w:cs="Times New Roman"/>
          <w:sz w:val="28"/>
          <w:szCs w:val="28"/>
        </w:rPr>
        <w:t xml:space="preserve">atlikušo </w:t>
      </w:r>
      <w:r w:rsidRPr="0020107F">
        <w:rPr>
          <w:rFonts w:ascii="Times New Roman" w:eastAsia="Calibri" w:hAnsi="Times New Roman" w:cs="Times New Roman"/>
          <w:sz w:val="28"/>
          <w:szCs w:val="28"/>
        </w:rPr>
        <w:t>izdevumu daļu. Savukārt konkrētus  datus par papildu piemaksu apjomu uz vienu izglītojamo dienā, ko veic pašvaldība vai privātā izglītības iestāde, iesniedza 59% no izglītības iestādēm, kuras ir norādījušas, ka pašvaldība vai privātā izglītības iestāde sedz atlikušo ēdināšanas pakalpojuma izdevuma daļu.  (sk.grafiku.Nr.</w:t>
      </w:r>
      <w:r w:rsidR="009314E8" w:rsidRPr="0020107F">
        <w:rPr>
          <w:rFonts w:ascii="Times New Roman" w:eastAsia="Calibri" w:hAnsi="Times New Roman" w:cs="Times New Roman"/>
          <w:sz w:val="28"/>
          <w:szCs w:val="28"/>
        </w:rPr>
        <w:t>3</w:t>
      </w:r>
      <w:r w:rsidRPr="0020107F">
        <w:rPr>
          <w:rFonts w:ascii="Times New Roman" w:eastAsia="Calibri" w:hAnsi="Times New Roman" w:cs="Times New Roman"/>
          <w:sz w:val="28"/>
          <w:szCs w:val="28"/>
        </w:rPr>
        <w:t>.)</w:t>
      </w:r>
    </w:p>
    <w:p w14:paraId="694D53F6"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569AFF53"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1341EFC4"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6397F929"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583E7442"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6EFEE410"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43801CB8"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24DA8FB2"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6FC752C3"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4CBEFE65"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563256C3" w14:textId="77777777" w:rsidR="00E270D7" w:rsidRDefault="00E270D7" w:rsidP="00664FCD">
      <w:pPr>
        <w:widowControl w:val="0"/>
        <w:spacing w:after="0" w:line="240" w:lineRule="auto"/>
        <w:ind w:firstLine="720"/>
        <w:jc w:val="right"/>
        <w:rPr>
          <w:rFonts w:ascii="Times New Roman" w:eastAsia="Calibri" w:hAnsi="Times New Roman" w:cs="Times New Roman"/>
          <w:sz w:val="28"/>
          <w:szCs w:val="28"/>
        </w:rPr>
      </w:pPr>
    </w:p>
    <w:p w14:paraId="7B5C3ED7" w14:textId="77777777" w:rsidR="00664FCD" w:rsidRPr="0020107F" w:rsidRDefault="00664FCD" w:rsidP="00664FCD">
      <w:pPr>
        <w:widowControl w:val="0"/>
        <w:spacing w:after="0" w:line="240" w:lineRule="auto"/>
        <w:ind w:firstLine="720"/>
        <w:jc w:val="right"/>
        <w:rPr>
          <w:rFonts w:ascii="Times New Roman" w:eastAsia="Calibri" w:hAnsi="Times New Roman" w:cs="Times New Roman"/>
          <w:sz w:val="28"/>
          <w:szCs w:val="28"/>
        </w:rPr>
      </w:pPr>
      <w:r w:rsidRPr="0020107F">
        <w:rPr>
          <w:rFonts w:ascii="Times New Roman" w:eastAsia="Calibri" w:hAnsi="Times New Roman" w:cs="Times New Roman"/>
          <w:sz w:val="28"/>
          <w:szCs w:val="28"/>
        </w:rPr>
        <w:t>Grafiks Nr.</w:t>
      </w:r>
      <w:r w:rsidR="009314E8" w:rsidRPr="0020107F">
        <w:rPr>
          <w:rFonts w:ascii="Times New Roman" w:eastAsia="Calibri" w:hAnsi="Times New Roman" w:cs="Times New Roman"/>
          <w:sz w:val="28"/>
          <w:szCs w:val="28"/>
        </w:rPr>
        <w:t>3</w:t>
      </w:r>
      <w:r w:rsidRPr="0020107F">
        <w:rPr>
          <w:rFonts w:ascii="Times New Roman" w:eastAsia="Calibri" w:hAnsi="Times New Roman" w:cs="Times New Roman"/>
          <w:sz w:val="28"/>
          <w:szCs w:val="28"/>
        </w:rPr>
        <w:t>.</w:t>
      </w:r>
    </w:p>
    <w:p w14:paraId="2E104ABB" w14:textId="0B312CD9" w:rsidR="00173292" w:rsidRPr="0020107F" w:rsidRDefault="00664FCD" w:rsidP="0020107F">
      <w:pPr>
        <w:widowControl w:val="0"/>
        <w:spacing w:after="0" w:line="240" w:lineRule="auto"/>
        <w:jc w:val="both"/>
        <w:rPr>
          <w:rFonts w:ascii="Times New Roman" w:eastAsia="Calibri" w:hAnsi="Times New Roman" w:cs="Times New Roman"/>
          <w:sz w:val="28"/>
          <w:szCs w:val="28"/>
        </w:rPr>
      </w:pPr>
      <w:r w:rsidRPr="0020107F">
        <w:rPr>
          <w:rFonts w:ascii="Times New Roman" w:eastAsia="Calibri" w:hAnsi="Times New Roman" w:cs="Times New Roman"/>
          <w:noProof/>
          <w:sz w:val="28"/>
          <w:szCs w:val="28"/>
          <w:lang w:eastAsia="lv-LV"/>
        </w:rPr>
        <w:drawing>
          <wp:anchor distT="0" distB="0" distL="114300" distR="114300" simplePos="0" relativeHeight="251672576" behindDoc="0" locked="0" layoutInCell="1" allowOverlap="1" wp14:anchorId="31E7FBD3" wp14:editId="63BD6171">
            <wp:simplePos x="0" y="0"/>
            <wp:positionH relativeFrom="margin">
              <wp:align>left</wp:align>
            </wp:positionH>
            <wp:positionV relativeFrom="paragraph">
              <wp:posOffset>175895</wp:posOffset>
            </wp:positionV>
            <wp:extent cx="6048375" cy="3048000"/>
            <wp:effectExtent l="0" t="0" r="9525"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16CDBE4" w14:textId="683950E0" w:rsidR="00664FCD" w:rsidRPr="0020107F" w:rsidRDefault="00D83AD0" w:rsidP="0020107F">
      <w:pPr>
        <w:widowControl w:val="0"/>
        <w:spacing w:after="0" w:line="240" w:lineRule="auto"/>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No a</w:t>
      </w:r>
      <w:r w:rsidR="00664FCD" w:rsidRPr="0020107F">
        <w:rPr>
          <w:rFonts w:ascii="Times New Roman" w:eastAsia="Calibri" w:hAnsi="Times New Roman" w:cs="Times New Roman"/>
          <w:sz w:val="28"/>
          <w:szCs w:val="28"/>
        </w:rPr>
        <w:t>pkopot</w:t>
      </w:r>
      <w:r w:rsidRPr="0020107F">
        <w:rPr>
          <w:rFonts w:ascii="Times New Roman" w:eastAsia="Calibri" w:hAnsi="Times New Roman" w:cs="Times New Roman"/>
          <w:sz w:val="28"/>
          <w:szCs w:val="28"/>
        </w:rPr>
        <w:t>aj</w:t>
      </w:r>
      <w:r w:rsidR="00664FCD" w:rsidRPr="0020107F">
        <w:rPr>
          <w:rFonts w:ascii="Times New Roman" w:eastAsia="Calibri" w:hAnsi="Times New Roman" w:cs="Times New Roman"/>
          <w:sz w:val="28"/>
          <w:szCs w:val="28"/>
        </w:rPr>
        <w:t>ie</w:t>
      </w:r>
      <w:r w:rsidRPr="0020107F">
        <w:rPr>
          <w:rFonts w:ascii="Times New Roman" w:eastAsia="Calibri" w:hAnsi="Times New Roman" w:cs="Times New Roman"/>
          <w:sz w:val="28"/>
          <w:szCs w:val="28"/>
        </w:rPr>
        <w:t xml:space="preserve">m </w:t>
      </w:r>
      <w:r w:rsidR="00664FCD" w:rsidRPr="0020107F">
        <w:rPr>
          <w:rFonts w:ascii="Times New Roman" w:eastAsia="Calibri" w:hAnsi="Times New Roman" w:cs="Times New Roman"/>
          <w:sz w:val="28"/>
          <w:szCs w:val="28"/>
        </w:rPr>
        <w:t xml:space="preserve"> dati</w:t>
      </w:r>
      <w:r w:rsidRPr="0020107F">
        <w:rPr>
          <w:rFonts w:ascii="Times New Roman" w:eastAsia="Calibri" w:hAnsi="Times New Roman" w:cs="Times New Roman"/>
          <w:sz w:val="28"/>
          <w:szCs w:val="28"/>
        </w:rPr>
        <w:t>em redzams</w:t>
      </w:r>
      <w:r w:rsidR="00664FCD" w:rsidRPr="0020107F">
        <w:rPr>
          <w:rFonts w:ascii="Times New Roman" w:eastAsia="Calibri" w:hAnsi="Times New Roman" w:cs="Times New Roman"/>
          <w:sz w:val="28"/>
          <w:szCs w:val="28"/>
        </w:rPr>
        <w:t>, ka vidējais rādītājs</w:t>
      </w:r>
      <w:r w:rsidR="00871A99">
        <w:rPr>
          <w:rFonts w:ascii="Times New Roman" w:eastAsia="Calibri" w:hAnsi="Times New Roman" w:cs="Times New Roman"/>
          <w:sz w:val="28"/>
          <w:szCs w:val="28"/>
        </w:rPr>
        <w:t>,</w:t>
      </w:r>
      <w:r w:rsidR="00664FCD" w:rsidRPr="0020107F">
        <w:rPr>
          <w:rFonts w:ascii="Times New Roman" w:eastAsia="Calibri" w:hAnsi="Times New Roman" w:cs="Times New Roman"/>
          <w:sz w:val="28"/>
          <w:szCs w:val="28"/>
        </w:rPr>
        <w:t xml:space="preserve"> par kādu pašvaldības vai privātās izglītības iestādes veic piemaksas ēdināšanas pakalpojuma nodrošināšanai</w:t>
      </w:r>
      <w:r w:rsidR="00871A99">
        <w:rPr>
          <w:rFonts w:ascii="Times New Roman" w:eastAsia="Calibri" w:hAnsi="Times New Roman" w:cs="Times New Roman"/>
          <w:sz w:val="28"/>
          <w:szCs w:val="28"/>
        </w:rPr>
        <w:t>,</w:t>
      </w:r>
      <w:r w:rsidR="00664FCD" w:rsidRPr="0020107F">
        <w:rPr>
          <w:rFonts w:ascii="Times New Roman" w:eastAsia="Calibri" w:hAnsi="Times New Roman" w:cs="Times New Roman"/>
          <w:sz w:val="28"/>
          <w:szCs w:val="28"/>
        </w:rPr>
        <w:t xml:space="preserve"> ir 0</w:t>
      </w:r>
      <w:r w:rsidR="00BD557C" w:rsidRPr="0020107F">
        <w:rPr>
          <w:rFonts w:ascii="Times New Roman" w:eastAsia="Calibri" w:hAnsi="Times New Roman" w:cs="Times New Roman"/>
          <w:sz w:val="28"/>
          <w:szCs w:val="28"/>
        </w:rPr>
        <w:t>,</w:t>
      </w:r>
      <w:r w:rsidR="00664FCD" w:rsidRPr="0020107F">
        <w:rPr>
          <w:rFonts w:ascii="Times New Roman" w:eastAsia="Calibri" w:hAnsi="Times New Roman" w:cs="Times New Roman"/>
          <w:sz w:val="28"/>
          <w:szCs w:val="28"/>
        </w:rPr>
        <w:t xml:space="preserve">61 </w:t>
      </w:r>
      <w:proofErr w:type="spellStart"/>
      <w:r w:rsidR="00BD557C" w:rsidRPr="0020107F">
        <w:rPr>
          <w:rFonts w:ascii="Times New Roman" w:eastAsia="Calibri" w:hAnsi="Times New Roman" w:cs="Times New Roman"/>
          <w:i/>
          <w:sz w:val="28"/>
          <w:szCs w:val="28"/>
        </w:rPr>
        <w:t>euro</w:t>
      </w:r>
      <w:proofErr w:type="spellEnd"/>
      <w:r w:rsidR="00664FCD" w:rsidRPr="0020107F">
        <w:rPr>
          <w:rFonts w:ascii="Times New Roman" w:eastAsia="Calibri" w:hAnsi="Times New Roman" w:cs="Times New Roman"/>
          <w:sz w:val="28"/>
          <w:szCs w:val="28"/>
        </w:rPr>
        <w:t xml:space="preserve"> dienā par vienu izglītojamo, bet skaitliski vislielākā piemaksu grupa ir robežās no 0</w:t>
      </w:r>
      <w:r w:rsidR="00BD557C" w:rsidRPr="0020107F">
        <w:rPr>
          <w:rFonts w:ascii="Times New Roman" w:eastAsia="Calibri" w:hAnsi="Times New Roman" w:cs="Times New Roman"/>
          <w:sz w:val="28"/>
          <w:szCs w:val="28"/>
        </w:rPr>
        <w:t>,</w:t>
      </w:r>
      <w:r w:rsidR="00664FCD" w:rsidRPr="0020107F">
        <w:rPr>
          <w:rFonts w:ascii="Times New Roman" w:eastAsia="Calibri" w:hAnsi="Times New Roman" w:cs="Times New Roman"/>
          <w:sz w:val="28"/>
          <w:szCs w:val="28"/>
        </w:rPr>
        <w:t xml:space="preserve">21 </w:t>
      </w:r>
      <w:proofErr w:type="spellStart"/>
      <w:r w:rsidR="00BD557C" w:rsidRPr="0020107F">
        <w:rPr>
          <w:rFonts w:ascii="Times New Roman" w:eastAsia="Calibri" w:hAnsi="Times New Roman" w:cs="Times New Roman"/>
          <w:i/>
          <w:sz w:val="28"/>
          <w:szCs w:val="28"/>
        </w:rPr>
        <w:t>euro</w:t>
      </w:r>
      <w:proofErr w:type="spellEnd"/>
      <w:r w:rsidR="00664FCD" w:rsidRPr="0020107F">
        <w:rPr>
          <w:rFonts w:ascii="Times New Roman" w:eastAsia="Calibri" w:hAnsi="Times New Roman" w:cs="Times New Roman"/>
          <w:sz w:val="28"/>
          <w:szCs w:val="28"/>
        </w:rPr>
        <w:t xml:space="preserve"> līdz 0</w:t>
      </w:r>
      <w:r w:rsidR="00BD557C" w:rsidRPr="0020107F">
        <w:rPr>
          <w:rFonts w:ascii="Times New Roman" w:eastAsia="Calibri" w:hAnsi="Times New Roman" w:cs="Times New Roman"/>
          <w:sz w:val="28"/>
          <w:szCs w:val="28"/>
        </w:rPr>
        <w:t>,</w:t>
      </w:r>
      <w:r w:rsidR="00664FCD" w:rsidRPr="0020107F">
        <w:rPr>
          <w:rFonts w:ascii="Times New Roman" w:eastAsia="Calibri" w:hAnsi="Times New Roman" w:cs="Times New Roman"/>
          <w:sz w:val="28"/>
          <w:szCs w:val="28"/>
        </w:rPr>
        <w:t xml:space="preserve">30 </w:t>
      </w:r>
      <w:proofErr w:type="spellStart"/>
      <w:r w:rsidR="00BD557C" w:rsidRPr="0020107F">
        <w:rPr>
          <w:rFonts w:ascii="Times New Roman" w:eastAsia="Calibri" w:hAnsi="Times New Roman" w:cs="Times New Roman"/>
          <w:i/>
          <w:sz w:val="28"/>
          <w:szCs w:val="28"/>
        </w:rPr>
        <w:t>euro</w:t>
      </w:r>
      <w:proofErr w:type="spellEnd"/>
      <w:r w:rsidR="00664FCD" w:rsidRPr="0020107F">
        <w:rPr>
          <w:rFonts w:ascii="Times New Roman" w:eastAsia="Calibri" w:hAnsi="Times New Roman" w:cs="Times New Roman"/>
          <w:sz w:val="28"/>
          <w:szCs w:val="28"/>
        </w:rPr>
        <w:t xml:space="preserve"> par vienu izglītojamo dienā</w:t>
      </w:r>
      <w:r w:rsidRPr="0020107F">
        <w:rPr>
          <w:rFonts w:ascii="Times New Roman" w:eastAsia="Calibri" w:hAnsi="Times New Roman" w:cs="Times New Roman"/>
          <w:sz w:val="28"/>
          <w:szCs w:val="28"/>
        </w:rPr>
        <w:t>, t.i.,</w:t>
      </w:r>
      <w:r w:rsidR="00664FCD" w:rsidRPr="0020107F">
        <w:rPr>
          <w:rFonts w:ascii="Times New Roman" w:eastAsia="Calibri" w:hAnsi="Times New Roman" w:cs="Times New Roman"/>
          <w:sz w:val="28"/>
          <w:szCs w:val="28"/>
        </w:rPr>
        <w:t xml:space="preserve"> 30 izglītības iestādes, jeb 18 % no kopējā izglītības iestāžu apjoma, par kurām iesniegti dati par pašvaldību veikto papildus maksājuma apjomu.</w:t>
      </w:r>
    </w:p>
    <w:p w14:paraId="783CBC6D" w14:textId="2D18A726" w:rsidR="00664FCD" w:rsidRPr="0020107F" w:rsidRDefault="00664FCD" w:rsidP="00290CC8">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No iesniegtajiem izglītības iestāžu un to filiāļu datiem ir izdarāms secinājums, ka vidēji no visiem viena izglītojamā ēdināšanas izdevumiem, pārtikas produktu iegādei tiek izlietoti 54 %, atalgojumam 28 %, komunālajiem pakalpojumiem 9 %, materiāltehniskajam nodrošinājumam 4%, bet pārējie</w:t>
      </w:r>
      <w:r w:rsidR="00D83AD0" w:rsidRPr="0020107F">
        <w:rPr>
          <w:rFonts w:ascii="Times New Roman" w:eastAsia="Calibri" w:hAnsi="Times New Roman" w:cs="Times New Roman"/>
          <w:sz w:val="28"/>
          <w:szCs w:val="28"/>
        </w:rPr>
        <w:t>m</w:t>
      </w:r>
      <w:r w:rsidRPr="0020107F">
        <w:rPr>
          <w:rFonts w:ascii="Times New Roman" w:eastAsia="Calibri" w:hAnsi="Times New Roman" w:cs="Times New Roman"/>
          <w:sz w:val="28"/>
          <w:szCs w:val="28"/>
        </w:rPr>
        <w:t xml:space="preserve"> izdevumi</w:t>
      </w:r>
      <w:r w:rsidR="00D83AD0" w:rsidRPr="0020107F">
        <w:rPr>
          <w:rFonts w:ascii="Times New Roman" w:eastAsia="Calibri" w:hAnsi="Times New Roman" w:cs="Times New Roman"/>
          <w:sz w:val="28"/>
          <w:szCs w:val="28"/>
        </w:rPr>
        <w:t>em</w:t>
      </w:r>
      <w:r w:rsidRPr="0020107F">
        <w:rPr>
          <w:rFonts w:ascii="Times New Roman" w:eastAsia="Calibri" w:hAnsi="Times New Roman" w:cs="Times New Roman"/>
          <w:sz w:val="28"/>
          <w:szCs w:val="28"/>
        </w:rPr>
        <w:t xml:space="preserve"> 5% (sk. grafiku. Nr.</w:t>
      </w:r>
      <w:r w:rsidR="009314E8" w:rsidRPr="0020107F">
        <w:rPr>
          <w:rFonts w:ascii="Times New Roman" w:eastAsia="Calibri" w:hAnsi="Times New Roman" w:cs="Times New Roman"/>
          <w:sz w:val="28"/>
          <w:szCs w:val="28"/>
        </w:rPr>
        <w:t>4</w:t>
      </w:r>
      <w:r w:rsidRPr="0020107F">
        <w:rPr>
          <w:rFonts w:ascii="Times New Roman" w:eastAsia="Calibri" w:hAnsi="Times New Roman" w:cs="Times New Roman"/>
          <w:sz w:val="28"/>
          <w:szCs w:val="28"/>
        </w:rPr>
        <w:t>)</w:t>
      </w:r>
      <w:r w:rsidR="00BD557C" w:rsidRPr="0020107F">
        <w:rPr>
          <w:rFonts w:ascii="Times New Roman" w:eastAsia="Calibri" w:hAnsi="Times New Roman" w:cs="Times New Roman"/>
          <w:sz w:val="28"/>
          <w:szCs w:val="28"/>
        </w:rPr>
        <w:t>.</w:t>
      </w:r>
    </w:p>
    <w:p w14:paraId="4D159284" w14:textId="77777777" w:rsidR="00664FCD" w:rsidRPr="0020107F" w:rsidRDefault="00664FCD" w:rsidP="00290CC8">
      <w:pPr>
        <w:widowControl w:val="0"/>
        <w:spacing w:after="0" w:line="240" w:lineRule="auto"/>
        <w:jc w:val="both"/>
        <w:rPr>
          <w:rFonts w:ascii="Times New Roman" w:eastAsia="Calibri" w:hAnsi="Times New Roman" w:cs="Times New Roman"/>
          <w:sz w:val="28"/>
          <w:szCs w:val="28"/>
        </w:rPr>
      </w:pPr>
    </w:p>
    <w:p w14:paraId="4FA2A19A" w14:textId="77777777" w:rsidR="00664FCD" w:rsidRPr="0020107F" w:rsidRDefault="00664FCD" w:rsidP="00664FCD">
      <w:pPr>
        <w:widowControl w:val="0"/>
        <w:spacing w:after="0" w:line="240" w:lineRule="auto"/>
        <w:ind w:firstLine="720"/>
        <w:jc w:val="right"/>
        <w:rPr>
          <w:rFonts w:ascii="Times New Roman" w:eastAsia="Calibri" w:hAnsi="Times New Roman" w:cs="Times New Roman"/>
          <w:sz w:val="28"/>
          <w:szCs w:val="28"/>
        </w:rPr>
      </w:pPr>
      <w:r w:rsidRPr="0020107F">
        <w:rPr>
          <w:rFonts w:ascii="Times New Roman" w:eastAsia="Calibri" w:hAnsi="Times New Roman" w:cs="Times New Roman"/>
          <w:noProof/>
          <w:sz w:val="28"/>
          <w:szCs w:val="28"/>
          <w:lang w:eastAsia="lv-LV"/>
        </w:rPr>
        <w:lastRenderedPageBreak/>
        <w:drawing>
          <wp:anchor distT="0" distB="0" distL="114300" distR="114300" simplePos="0" relativeHeight="251671552" behindDoc="0" locked="0" layoutInCell="1" allowOverlap="1" wp14:anchorId="4A319979" wp14:editId="04B62860">
            <wp:simplePos x="0" y="0"/>
            <wp:positionH relativeFrom="margin">
              <wp:align>center</wp:align>
            </wp:positionH>
            <wp:positionV relativeFrom="paragraph">
              <wp:posOffset>327660</wp:posOffset>
            </wp:positionV>
            <wp:extent cx="5443220" cy="3404870"/>
            <wp:effectExtent l="0" t="0" r="5080" b="508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20107F">
        <w:rPr>
          <w:rFonts w:ascii="Times New Roman" w:eastAsia="Calibri" w:hAnsi="Times New Roman" w:cs="Times New Roman"/>
          <w:sz w:val="28"/>
          <w:szCs w:val="28"/>
        </w:rPr>
        <w:t>Grafiks Nr.</w:t>
      </w:r>
      <w:r w:rsidR="009314E8" w:rsidRPr="0020107F">
        <w:rPr>
          <w:rFonts w:ascii="Times New Roman" w:eastAsia="Calibri" w:hAnsi="Times New Roman" w:cs="Times New Roman"/>
          <w:sz w:val="28"/>
          <w:szCs w:val="28"/>
        </w:rPr>
        <w:t>4</w:t>
      </w:r>
      <w:r w:rsidRPr="0020107F">
        <w:rPr>
          <w:rFonts w:ascii="Times New Roman" w:eastAsia="Calibri" w:hAnsi="Times New Roman" w:cs="Times New Roman"/>
          <w:sz w:val="28"/>
          <w:szCs w:val="28"/>
        </w:rPr>
        <w:t>.</w:t>
      </w:r>
    </w:p>
    <w:p w14:paraId="2D1E6E02" w14:textId="77777777" w:rsidR="00664FCD" w:rsidRPr="0020107F" w:rsidRDefault="00664FCD" w:rsidP="00664FCD">
      <w:pPr>
        <w:widowControl w:val="0"/>
        <w:spacing w:after="0" w:line="240" w:lineRule="auto"/>
        <w:ind w:firstLine="720"/>
        <w:jc w:val="right"/>
        <w:rPr>
          <w:rFonts w:ascii="Times New Roman" w:eastAsia="Calibri" w:hAnsi="Times New Roman" w:cs="Times New Roman"/>
          <w:sz w:val="28"/>
          <w:szCs w:val="28"/>
        </w:rPr>
      </w:pPr>
    </w:p>
    <w:p w14:paraId="036F0D22" w14:textId="79E09702" w:rsidR="00664FCD" w:rsidRPr="0020107F" w:rsidRDefault="00664FCD" w:rsidP="00290CC8">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Apkopojot datus, var redzēt, ka kategorijā </w:t>
      </w:r>
      <w:r w:rsidR="00D83AD0" w:rsidRPr="0020107F">
        <w:rPr>
          <w:rFonts w:ascii="Times New Roman" w:eastAsia="Calibri" w:hAnsi="Times New Roman" w:cs="Times New Roman"/>
          <w:sz w:val="28"/>
          <w:szCs w:val="28"/>
        </w:rPr>
        <w:t>“P</w:t>
      </w:r>
      <w:r w:rsidRPr="0020107F">
        <w:rPr>
          <w:rFonts w:ascii="Times New Roman" w:eastAsia="Calibri" w:hAnsi="Times New Roman" w:cs="Times New Roman"/>
          <w:sz w:val="28"/>
          <w:szCs w:val="28"/>
        </w:rPr>
        <w:t>ārējās izmaksas</w:t>
      </w:r>
      <w:r w:rsidR="00D83AD0" w:rsidRPr="0020107F">
        <w:rPr>
          <w:rFonts w:ascii="Times New Roman" w:eastAsia="Calibri" w:hAnsi="Times New Roman" w:cs="Times New Roman"/>
          <w:sz w:val="28"/>
          <w:szCs w:val="28"/>
        </w:rPr>
        <w:t>”</w:t>
      </w:r>
      <w:r w:rsidRPr="0020107F">
        <w:rPr>
          <w:rFonts w:ascii="Times New Roman" w:eastAsia="Calibri" w:hAnsi="Times New Roman" w:cs="Times New Roman"/>
          <w:sz w:val="28"/>
          <w:szCs w:val="28"/>
        </w:rPr>
        <w:t xml:space="preserve"> ietilps</w:t>
      </w:r>
      <w:r w:rsidR="00D83AD0" w:rsidRPr="0020107F">
        <w:rPr>
          <w:rFonts w:ascii="Times New Roman" w:eastAsia="Calibri" w:hAnsi="Times New Roman" w:cs="Times New Roman"/>
          <w:sz w:val="28"/>
          <w:szCs w:val="28"/>
        </w:rPr>
        <w:t xml:space="preserve">t ļoti dažādu izdevumu grupas </w:t>
      </w:r>
      <w:r w:rsidR="00871A99">
        <w:rPr>
          <w:rFonts w:ascii="Times New Roman" w:eastAsia="Calibri" w:hAnsi="Times New Roman" w:cs="Times New Roman"/>
          <w:sz w:val="28"/>
          <w:szCs w:val="28"/>
        </w:rPr>
        <w:t>–</w:t>
      </w:r>
      <w:r w:rsidR="00D83AD0" w:rsidRPr="0020107F">
        <w:rPr>
          <w:rFonts w:ascii="Times New Roman" w:eastAsia="Calibri" w:hAnsi="Times New Roman" w:cs="Times New Roman"/>
          <w:sz w:val="28"/>
          <w:szCs w:val="28"/>
        </w:rPr>
        <w:t xml:space="preserve"> </w:t>
      </w:r>
      <w:r w:rsidRPr="0020107F">
        <w:rPr>
          <w:rFonts w:ascii="Times New Roman" w:eastAsia="Calibri" w:hAnsi="Times New Roman" w:cs="Times New Roman"/>
          <w:sz w:val="28"/>
          <w:szCs w:val="28"/>
        </w:rPr>
        <w:t>nodokļi, sakaru pakalpojumi, darbinieku apmācība, apsardzes pakalpojumi, transporta pakalpojumi, telpu sanitārtehniskā nodrošināšana, administratīvie izdevumi, iekārtu nolietojums u.c.</w:t>
      </w:r>
    </w:p>
    <w:p w14:paraId="565792FD" w14:textId="76609CCA" w:rsidR="004A0A8B" w:rsidRPr="0020107F" w:rsidRDefault="005E0E8E" w:rsidP="0020107F">
      <w:pPr>
        <w:spacing w:after="0" w:line="240" w:lineRule="auto"/>
        <w:ind w:firstLine="720"/>
        <w:jc w:val="both"/>
        <w:rPr>
          <w:rFonts w:ascii="Times New Roman" w:hAnsi="Times New Roman" w:cs="Times New Roman"/>
          <w:sz w:val="28"/>
          <w:szCs w:val="28"/>
        </w:rPr>
      </w:pPr>
      <w:r w:rsidRPr="0020107F">
        <w:rPr>
          <w:rFonts w:ascii="Times New Roman" w:hAnsi="Times New Roman" w:cs="Times New Roman"/>
          <w:sz w:val="28"/>
          <w:szCs w:val="28"/>
        </w:rPr>
        <w:t>Biedrība “</w:t>
      </w:r>
      <w:r w:rsidR="00020379" w:rsidRPr="0020107F">
        <w:rPr>
          <w:rFonts w:ascii="Times New Roman" w:hAnsi="Times New Roman" w:cs="Times New Roman"/>
          <w:sz w:val="28"/>
          <w:szCs w:val="28"/>
        </w:rPr>
        <w:t>Izglītības iestāžu ēdinātāju asociācija</w:t>
      </w:r>
      <w:r w:rsidRPr="0020107F">
        <w:rPr>
          <w:rFonts w:ascii="Times New Roman" w:hAnsi="Times New Roman" w:cs="Times New Roman"/>
          <w:sz w:val="28"/>
          <w:szCs w:val="28"/>
        </w:rPr>
        <w:t>”</w:t>
      </w:r>
      <w:r w:rsidR="00020379" w:rsidRPr="0020107F">
        <w:rPr>
          <w:rFonts w:ascii="Times New Roman" w:hAnsi="Times New Roman" w:cs="Times New Roman"/>
          <w:sz w:val="28"/>
          <w:szCs w:val="28"/>
        </w:rPr>
        <w:t xml:space="preserve"> informēja, ka 2015.gada septembra un oktobra mēnešos, atbilstoši Zaļā iepirkuma prasībām, pārtikas produktu izmaksas vidēji sastāda 0</w:t>
      </w:r>
      <w:r w:rsidR="00843E0E" w:rsidRPr="0020107F">
        <w:rPr>
          <w:rFonts w:ascii="Times New Roman" w:hAnsi="Times New Roman" w:cs="Times New Roman"/>
          <w:sz w:val="28"/>
          <w:szCs w:val="28"/>
        </w:rPr>
        <w:t>,</w:t>
      </w:r>
      <w:r w:rsidR="00020379" w:rsidRPr="0020107F">
        <w:rPr>
          <w:rFonts w:ascii="Times New Roman" w:hAnsi="Times New Roman" w:cs="Times New Roman"/>
          <w:sz w:val="28"/>
          <w:szCs w:val="28"/>
        </w:rPr>
        <w:t xml:space="preserve">91 </w:t>
      </w:r>
      <w:proofErr w:type="spellStart"/>
      <w:r w:rsidR="00020379" w:rsidRPr="0020107F">
        <w:rPr>
          <w:rFonts w:ascii="Times New Roman" w:hAnsi="Times New Roman" w:cs="Times New Roman"/>
          <w:i/>
          <w:sz w:val="28"/>
          <w:szCs w:val="28"/>
        </w:rPr>
        <w:t>euro</w:t>
      </w:r>
      <w:proofErr w:type="spellEnd"/>
      <w:r w:rsidR="00020379" w:rsidRPr="0020107F">
        <w:rPr>
          <w:rFonts w:ascii="Times New Roman" w:hAnsi="Times New Roman" w:cs="Times New Roman"/>
          <w:sz w:val="28"/>
          <w:szCs w:val="28"/>
        </w:rPr>
        <w:t xml:space="preserve"> centi uz vienu izglītojamo no 1-4.klasei.</w:t>
      </w:r>
      <w:r w:rsidR="00E12499" w:rsidRPr="0020107F">
        <w:rPr>
          <w:rFonts w:ascii="Times New Roman" w:hAnsi="Times New Roman" w:cs="Times New Roman"/>
          <w:sz w:val="28"/>
          <w:szCs w:val="28"/>
        </w:rPr>
        <w:t xml:space="preserve"> No 2016.gada 1.janvāra</w:t>
      </w:r>
      <w:r w:rsidR="00020379" w:rsidRPr="0020107F">
        <w:rPr>
          <w:rFonts w:ascii="Times New Roman" w:hAnsi="Times New Roman" w:cs="Times New Roman"/>
          <w:sz w:val="28"/>
          <w:szCs w:val="28"/>
        </w:rPr>
        <w:t xml:space="preserve"> </w:t>
      </w:r>
      <w:r w:rsidR="00E12499" w:rsidRPr="0020107F">
        <w:rPr>
          <w:rFonts w:ascii="Times New Roman" w:hAnsi="Times New Roman" w:cs="Times New Roman"/>
          <w:sz w:val="28"/>
          <w:szCs w:val="28"/>
        </w:rPr>
        <w:t xml:space="preserve">stāsies spēkā grozījumi Ministru kabineta </w:t>
      </w:r>
      <w:r w:rsidR="00A87ED4" w:rsidRPr="0020107F">
        <w:rPr>
          <w:rFonts w:ascii="Times New Roman" w:hAnsi="Times New Roman" w:cs="Times New Roman"/>
          <w:sz w:val="28"/>
          <w:szCs w:val="28"/>
        </w:rPr>
        <w:t xml:space="preserve">2012.gada 13.marta </w:t>
      </w:r>
      <w:r w:rsidR="00E12499" w:rsidRPr="0020107F">
        <w:rPr>
          <w:rFonts w:ascii="Times New Roman" w:hAnsi="Times New Roman" w:cs="Times New Roman"/>
          <w:sz w:val="28"/>
          <w:szCs w:val="28"/>
        </w:rPr>
        <w:t>noteikumos Nr.172 „</w:t>
      </w:r>
      <w:r w:rsidR="00E12499" w:rsidRPr="0020107F">
        <w:rPr>
          <w:rFonts w:ascii="Times New Roman" w:hAnsi="Times New Roman" w:cs="Times New Roman"/>
          <w:iCs/>
          <w:sz w:val="28"/>
          <w:szCs w:val="28"/>
        </w:rPr>
        <w:t>Noteikumi par uztura normām izglītības iestāžu izglītojamiem, sociālās aprūpes un sociālās rehabilitācijas institūciju klientiem un ārstniecības iestāžu pacientiem”</w:t>
      </w:r>
      <w:r w:rsidR="00E12499" w:rsidRPr="0020107F">
        <w:rPr>
          <w:rFonts w:ascii="Times New Roman" w:hAnsi="Times New Roman" w:cs="Times New Roman"/>
          <w:sz w:val="28"/>
          <w:szCs w:val="28"/>
        </w:rPr>
        <w:t xml:space="preserve">, </w:t>
      </w:r>
      <w:r w:rsidRPr="0020107F">
        <w:rPr>
          <w:rFonts w:ascii="Times New Roman" w:hAnsi="Times New Roman" w:cs="Times New Roman"/>
          <w:sz w:val="28"/>
          <w:szCs w:val="28"/>
        </w:rPr>
        <w:t xml:space="preserve">un </w:t>
      </w:r>
      <w:r w:rsidR="00020379" w:rsidRPr="0020107F">
        <w:rPr>
          <w:rFonts w:ascii="Times New Roman" w:hAnsi="Times New Roman" w:cs="Times New Roman"/>
          <w:sz w:val="28"/>
          <w:szCs w:val="28"/>
        </w:rPr>
        <w:t>produktu pašizmaksa vēl pieaugs. No 2016.gada 1.janvāra pārtikas produktu izmaksas sasniegs 0</w:t>
      </w:r>
      <w:r w:rsidR="00BD557C" w:rsidRPr="0020107F">
        <w:rPr>
          <w:rFonts w:ascii="Times New Roman" w:hAnsi="Times New Roman" w:cs="Times New Roman"/>
          <w:sz w:val="28"/>
          <w:szCs w:val="28"/>
        </w:rPr>
        <w:t>,</w:t>
      </w:r>
      <w:r w:rsidR="00020379" w:rsidRPr="0020107F">
        <w:rPr>
          <w:rFonts w:ascii="Times New Roman" w:hAnsi="Times New Roman" w:cs="Times New Roman"/>
          <w:sz w:val="28"/>
          <w:szCs w:val="28"/>
        </w:rPr>
        <w:t xml:space="preserve">95 </w:t>
      </w:r>
      <w:proofErr w:type="spellStart"/>
      <w:r w:rsidR="00020379" w:rsidRPr="0020107F">
        <w:rPr>
          <w:rFonts w:ascii="Times New Roman" w:hAnsi="Times New Roman" w:cs="Times New Roman"/>
          <w:i/>
          <w:sz w:val="28"/>
          <w:szCs w:val="28"/>
        </w:rPr>
        <w:t>euro</w:t>
      </w:r>
      <w:proofErr w:type="spellEnd"/>
      <w:r w:rsidR="00020379" w:rsidRPr="0020107F">
        <w:rPr>
          <w:rFonts w:ascii="Times New Roman" w:hAnsi="Times New Roman" w:cs="Times New Roman"/>
          <w:sz w:val="28"/>
          <w:szCs w:val="28"/>
        </w:rPr>
        <w:t xml:space="preserve"> uz vienu izglītojamo.</w:t>
      </w:r>
      <w:r w:rsidR="006378EF" w:rsidRPr="0020107F">
        <w:rPr>
          <w:rFonts w:ascii="Times New Roman" w:hAnsi="Times New Roman" w:cs="Times New Roman"/>
          <w:sz w:val="28"/>
          <w:szCs w:val="28"/>
        </w:rPr>
        <w:t xml:space="preserve"> </w:t>
      </w:r>
      <w:r w:rsidR="00ED3564" w:rsidRPr="0020107F">
        <w:rPr>
          <w:rFonts w:ascii="Times New Roman" w:hAnsi="Times New Roman" w:cs="Times New Roman"/>
          <w:sz w:val="28"/>
          <w:szCs w:val="28"/>
        </w:rPr>
        <w:t xml:space="preserve">Biedrība </w:t>
      </w:r>
      <w:r w:rsidR="006378EF" w:rsidRPr="0020107F">
        <w:rPr>
          <w:rFonts w:ascii="Times New Roman" w:hAnsi="Times New Roman" w:cs="Times New Roman"/>
          <w:sz w:val="28"/>
          <w:szCs w:val="28"/>
        </w:rPr>
        <w:t xml:space="preserve">uzskata, ka summai par vienu izglītojamā ēdināšanu jābūt 1,89 </w:t>
      </w:r>
      <w:proofErr w:type="spellStart"/>
      <w:r w:rsidR="006378EF" w:rsidRPr="0020107F">
        <w:rPr>
          <w:rFonts w:ascii="Times New Roman" w:hAnsi="Times New Roman" w:cs="Times New Roman"/>
          <w:i/>
          <w:sz w:val="28"/>
          <w:szCs w:val="28"/>
        </w:rPr>
        <w:t>euro</w:t>
      </w:r>
      <w:proofErr w:type="spellEnd"/>
      <w:r w:rsidR="006378EF" w:rsidRPr="0020107F">
        <w:rPr>
          <w:rFonts w:ascii="Times New Roman" w:hAnsi="Times New Roman" w:cs="Times New Roman"/>
          <w:sz w:val="28"/>
          <w:szCs w:val="28"/>
        </w:rPr>
        <w:t>.</w:t>
      </w:r>
    </w:p>
    <w:p w14:paraId="65C488A9" w14:textId="19E84A0C" w:rsidR="00891DD7" w:rsidRPr="0020107F" w:rsidRDefault="004A0A8B" w:rsidP="0020107F">
      <w:pPr>
        <w:spacing w:after="0" w:line="240" w:lineRule="auto"/>
        <w:ind w:firstLine="720"/>
        <w:jc w:val="both"/>
        <w:rPr>
          <w:rFonts w:ascii="Times New Roman" w:hAnsi="Times New Roman" w:cs="Times New Roman"/>
          <w:bCs/>
          <w:sz w:val="28"/>
          <w:szCs w:val="28"/>
        </w:rPr>
      </w:pPr>
      <w:r w:rsidRPr="0020107F">
        <w:rPr>
          <w:rFonts w:ascii="Times New Roman" w:hAnsi="Times New Roman" w:cs="Times New Roman"/>
          <w:bCs/>
          <w:sz w:val="28"/>
          <w:szCs w:val="28"/>
        </w:rPr>
        <w:t xml:space="preserve">Rīgā publiskos skolu ēdināšanas pakalpojumu iepirkumos vidējā ēdinātāju piedāvātā cena ir 1,36 </w:t>
      </w:r>
      <w:proofErr w:type="spellStart"/>
      <w:r w:rsidRPr="0020107F">
        <w:rPr>
          <w:rFonts w:ascii="Times New Roman" w:hAnsi="Times New Roman" w:cs="Times New Roman"/>
          <w:bCs/>
          <w:i/>
          <w:sz w:val="28"/>
          <w:szCs w:val="28"/>
        </w:rPr>
        <w:t>euro</w:t>
      </w:r>
      <w:proofErr w:type="spellEnd"/>
      <w:r w:rsidRPr="0020107F">
        <w:rPr>
          <w:rFonts w:ascii="Times New Roman" w:hAnsi="Times New Roman" w:cs="Times New Roman"/>
          <w:bCs/>
          <w:sz w:val="28"/>
          <w:szCs w:val="28"/>
        </w:rPr>
        <w:t>. Rīgas Dome</w:t>
      </w:r>
      <w:r w:rsidR="00BD557C" w:rsidRPr="0020107F">
        <w:rPr>
          <w:rFonts w:ascii="Times New Roman" w:hAnsi="Times New Roman" w:cs="Times New Roman"/>
          <w:bCs/>
          <w:sz w:val="28"/>
          <w:szCs w:val="28"/>
        </w:rPr>
        <w:t>s pārstāve informēja, ka</w:t>
      </w:r>
      <w:r w:rsidRPr="0020107F">
        <w:rPr>
          <w:rFonts w:ascii="Times New Roman" w:hAnsi="Times New Roman" w:cs="Times New Roman"/>
          <w:bCs/>
          <w:sz w:val="28"/>
          <w:szCs w:val="28"/>
        </w:rPr>
        <w:t xml:space="preserve"> neredz pamata maksas celšanai</w:t>
      </w:r>
      <w:r w:rsidR="00D83AD0" w:rsidRPr="0020107F">
        <w:rPr>
          <w:rFonts w:ascii="Times New Roman" w:hAnsi="Times New Roman" w:cs="Times New Roman"/>
          <w:bCs/>
          <w:sz w:val="28"/>
          <w:szCs w:val="28"/>
        </w:rPr>
        <w:t xml:space="preserve"> un n</w:t>
      </w:r>
      <w:r w:rsidR="006378EF" w:rsidRPr="0020107F">
        <w:rPr>
          <w:rFonts w:ascii="Times New Roman" w:hAnsi="Times New Roman" w:cs="Times New Roman"/>
          <w:bCs/>
          <w:sz w:val="28"/>
          <w:szCs w:val="28"/>
        </w:rPr>
        <w:t>e</w:t>
      </w:r>
      <w:r w:rsidRPr="0020107F">
        <w:rPr>
          <w:rFonts w:ascii="Times New Roman" w:hAnsi="Times New Roman" w:cs="Times New Roman"/>
          <w:bCs/>
          <w:sz w:val="28"/>
          <w:szCs w:val="28"/>
        </w:rPr>
        <w:t>redz pamatojuma noteikt 70% pārtikai</w:t>
      </w:r>
      <w:r w:rsidR="006378EF" w:rsidRPr="0020107F">
        <w:rPr>
          <w:rFonts w:ascii="Times New Roman" w:hAnsi="Times New Roman" w:cs="Times New Roman"/>
          <w:bCs/>
          <w:sz w:val="28"/>
          <w:szCs w:val="28"/>
        </w:rPr>
        <w:t>, jo:</w:t>
      </w:r>
    </w:p>
    <w:p w14:paraId="190C690E" w14:textId="77777777" w:rsidR="00E31E57" w:rsidRPr="0020107F" w:rsidRDefault="006378EF" w:rsidP="0020107F">
      <w:pPr>
        <w:spacing w:after="0" w:line="240" w:lineRule="auto"/>
        <w:ind w:firstLine="720"/>
        <w:jc w:val="both"/>
        <w:rPr>
          <w:rFonts w:ascii="Times New Roman" w:hAnsi="Times New Roman" w:cs="Times New Roman"/>
          <w:bCs/>
          <w:sz w:val="28"/>
          <w:szCs w:val="28"/>
        </w:rPr>
      </w:pPr>
      <w:r w:rsidRPr="0020107F">
        <w:rPr>
          <w:rFonts w:ascii="Times New Roman" w:hAnsi="Times New Roman" w:cs="Times New Roman"/>
          <w:bCs/>
          <w:sz w:val="28"/>
          <w:szCs w:val="28"/>
        </w:rPr>
        <w:t>1) tas ir ēdināšanas pakalpojums, kura izpildei ir nepieciešami izdevumi, kas saistīti ne tikai ar produktu izmaksām, bet arī ar izmaksu pozīcijām, kas saistītas ar ēdiena gatavošanu, piemēram, atalgojums, nodokļu nomaksa, telpu un inventāra noma, uzturēšana un citi administratīvie izdevumi, t.sk., civiltiesiskās atbildības apdrošināšana, kas tiek prasīta Rīgas iepirkumu ietvaros;</w:t>
      </w:r>
    </w:p>
    <w:p w14:paraId="4DCBAA73" w14:textId="66C7FB9D" w:rsidR="00E31E57" w:rsidRPr="0020107F" w:rsidRDefault="006378EF" w:rsidP="0020107F">
      <w:pPr>
        <w:spacing w:after="0" w:line="240" w:lineRule="auto"/>
        <w:ind w:firstLine="720"/>
        <w:jc w:val="both"/>
        <w:rPr>
          <w:rFonts w:ascii="Times New Roman" w:hAnsi="Times New Roman" w:cs="Times New Roman"/>
          <w:bCs/>
          <w:sz w:val="28"/>
          <w:szCs w:val="28"/>
        </w:rPr>
      </w:pPr>
      <w:r w:rsidRPr="0020107F">
        <w:rPr>
          <w:rFonts w:ascii="Times New Roman" w:hAnsi="Times New Roman" w:cs="Times New Roman"/>
          <w:bCs/>
          <w:sz w:val="28"/>
          <w:szCs w:val="28"/>
        </w:rPr>
        <w:t>2) šādas normas noteikšana rada jautājumu – no kādiem līdzekļiem ēdinātājs segs ar ēdiena gatavošanu saistītās izmaksas. Rīgas pilsētas pašvaldības 2016.gada budžetā šādi līdzekļi nav plānoti</w:t>
      </w:r>
      <w:r w:rsidR="00E31E57" w:rsidRPr="0020107F">
        <w:rPr>
          <w:rFonts w:ascii="Times New Roman" w:hAnsi="Times New Roman" w:cs="Times New Roman"/>
          <w:bCs/>
          <w:sz w:val="28"/>
          <w:szCs w:val="28"/>
        </w:rPr>
        <w:t>;</w:t>
      </w:r>
    </w:p>
    <w:p w14:paraId="0492F4AD" w14:textId="77777777" w:rsidR="00A87ED4" w:rsidRPr="0020107F" w:rsidRDefault="006378EF" w:rsidP="0020107F">
      <w:pPr>
        <w:spacing w:after="0" w:line="240" w:lineRule="auto"/>
        <w:ind w:firstLine="720"/>
        <w:jc w:val="both"/>
        <w:rPr>
          <w:rFonts w:ascii="Times New Roman" w:hAnsi="Times New Roman" w:cs="Times New Roman"/>
          <w:bCs/>
          <w:sz w:val="28"/>
          <w:szCs w:val="28"/>
        </w:rPr>
      </w:pPr>
      <w:r w:rsidRPr="0020107F">
        <w:rPr>
          <w:rFonts w:ascii="Times New Roman" w:hAnsi="Times New Roman" w:cs="Times New Roman"/>
          <w:bCs/>
          <w:sz w:val="28"/>
          <w:szCs w:val="28"/>
        </w:rPr>
        <w:lastRenderedPageBreak/>
        <w:t>3) šādas normas izpildes kontrole nav iespējama, jo to, cik ēdinātājs tērē produktu iegādei, nav iespējams kontrolēt, tādēļ, ka šīs izmaksas ir atšķirīgas un mainīgas, kā arī tādēļ, ka informācija par izdevumiem un to aprēķins ir katra pakalpojuma sniedzēja nevis pasūtītāja rīcībā;</w:t>
      </w:r>
    </w:p>
    <w:p w14:paraId="0D59BE8D" w14:textId="5801D7D2" w:rsidR="004A0A8B" w:rsidRPr="0020107F" w:rsidRDefault="006378EF" w:rsidP="0020107F">
      <w:pPr>
        <w:spacing w:after="0" w:line="240" w:lineRule="auto"/>
        <w:ind w:firstLine="720"/>
        <w:jc w:val="both"/>
        <w:rPr>
          <w:rFonts w:ascii="Times New Roman" w:hAnsi="Times New Roman" w:cs="Times New Roman"/>
          <w:sz w:val="28"/>
          <w:szCs w:val="28"/>
        </w:rPr>
      </w:pPr>
      <w:r w:rsidRPr="0020107F">
        <w:rPr>
          <w:rFonts w:ascii="Times New Roman" w:hAnsi="Times New Roman" w:cs="Times New Roman"/>
          <w:bCs/>
          <w:sz w:val="28"/>
          <w:szCs w:val="28"/>
        </w:rPr>
        <w:t>4)</w:t>
      </w:r>
      <w:r w:rsidR="00A87ED4" w:rsidRPr="0020107F">
        <w:rPr>
          <w:rFonts w:ascii="Times New Roman" w:hAnsi="Times New Roman" w:cs="Times New Roman"/>
          <w:bCs/>
          <w:sz w:val="28"/>
          <w:szCs w:val="28"/>
        </w:rPr>
        <w:t xml:space="preserve"> </w:t>
      </w:r>
      <w:r w:rsidRPr="0020107F">
        <w:rPr>
          <w:rFonts w:ascii="Times New Roman" w:hAnsi="Times New Roman" w:cs="Times New Roman"/>
          <w:bCs/>
          <w:sz w:val="28"/>
          <w:szCs w:val="28"/>
        </w:rPr>
        <w:t>jaunas normas noteikšana nerisina jau esošo normu neizpildes problēmu</w:t>
      </w:r>
      <w:r w:rsidR="00E31E57" w:rsidRPr="0020107F">
        <w:rPr>
          <w:rFonts w:ascii="Times New Roman" w:hAnsi="Times New Roman" w:cs="Times New Roman"/>
          <w:bCs/>
          <w:sz w:val="28"/>
          <w:szCs w:val="28"/>
        </w:rPr>
        <w:t>.</w:t>
      </w:r>
    </w:p>
    <w:p w14:paraId="46EFD800" w14:textId="0F031A89" w:rsidR="008F1D82" w:rsidRPr="0020107F" w:rsidRDefault="00322D30" w:rsidP="00290CC8">
      <w:pPr>
        <w:widowControl w:val="0"/>
        <w:spacing w:after="0" w:line="240" w:lineRule="auto"/>
        <w:ind w:firstLine="720"/>
        <w:jc w:val="both"/>
        <w:rPr>
          <w:rFonts w:ascii="Times New Roman" w:hAnsi="Times New Roman" w:cs="Times New Roman"/>
          <w:sz w:val="28"/>
          <w:szCs w:val="28"/>
        </w:rPr>
      </w:pPr>
      <w:r w:rsidRPr="0020107F">
        <w:rPr>
          <w:rFonts w:ascii="Times New Roman" w:eastAsia="Calibri" w:hAnsi="Times New Roman" w:cs="Times New Roman"/>
          <w:sz w:val="28"/>
          <w:szCs w:val="28"/>
        </w:rPr>
        <w:t xml:space="preserve">Ministriju pārstāvji uzskata, ka </w:t>
      </w:r>
      <w:r w:rsidR="00384A0E" w:rsidRPr="0020107F">
        <w:rPr>
          <w:rFonts w:ascii="Times New Roman" w:eastAsia="Calibri" w:hAnsi="Times New Roman" w:cs="Times New Roman"/>
          <w:sz w:val="28"/>
          <w:szCs w:val="28"/>
        </w:rPr>
        <w:t xml:space="preserve">objektīvākais </w:t>
      </w:r>
      <w:r w:rsidRPr="0020107F">
        <w:rPr>
          <w:rFonts w:ascii="Times New Roman" w:eastAsia="Calibri" w:hAnsi="Times New Roman" w:cs="Times New Roman"/>
          <w:sz w:val="28"/>
          <w:szCs w:val="28"/>
        </w:rPr>
        <w:t>rādītājs un pamatojums</w:t>
      </w:r>
      <w:r w:rsidR="00384A0E" w:rsidRPr="0020107F">
        <w:rPr>
          <w:rFonts w:ascii="Times New Roman" w:eastAsia="Calibri" w:hAnsi="Times New Roman" w:cs="Times New Roman"/>
          <w:sz w:val="28"/>
          <w:szCs w:val="28"/>
        </w:rPr>
        <w:t xml:space="preserve"> </w:t>
      </w:r>
      <w:r w:rsidRPr="0020107F">
        <w:rPr>
          <w:rFonts w:ascii="Times New Roman" w:eastAsia="Calibri" w:hAnsi="Times New Roman" w:cs="Times New Roman"/>
          <w:sz w:val="28"/>
          <w:szCs w:val="28"/>
        </w:rPr>
        <w:t>summas celšanai</w:t>
      </w:r>
      <w:r w:rsidR="00384A0E" w:rsidRPr="0020107F">
        <w:rPr>
          <w:rFonts w:ascii="Times New Roman" w:eastAsia="Calibri" w:hAnsi="Times New Roman" w:cs="Times New Roman"/>
          <w:sz w:val="28"/>
          <w:szCs w:val="28"/>
        </w:rPr>
        <w:t xml:space="preserve"> par vienu izglītojamo dienā</w:t>
      </w:r>
      <w:r w:rsidRPr="0020107F">
        <w:rPr>
          <w:rFonts w:ascii="Times New Roman" w:eastAsia="Calibri" w:hAnsi="Times New Roman" w:cs="Times New Roman"/>
          <w:sz w:val="28"/>
          <w:szCs w:val="28"/>
        </w:rPr>
        <w:t xml:space="preserve"> ir inflācija</w:t>
      </w:r>
      <w:r w:rsidR="00384A0E" w:rsidRPr="0020107F">
        <w:rPr>
          <w:rFonts w:ascii="Times New Roman" w:eastAsia="Calibri" w:hAnsi="Times New Roman" w:cs="Times New Roman"/>
          <w:sz w:val="28"/>
          <w:szCs w:val="28"/>
        </w:rPr>
        <w:t>s rādītājs</w:t>
      </w:r>
      <w:r w:rsidRPr="0020107F">
        <w:rPr>
          <w:rFonts w:ascii="Times New Roman" w:eastAsia="Calibri" w:hAnsi="Times New Roman" w:cs="Times New Roman"/>
          <w:sz w:val="28"/>
          <w:szCs w:val="28"/>
        </w:rPr>
        <w:t xml:space="preserve">. </w:t>
      </w:r>
      <w:r w:rsidR="00891DD7" w:rsidRPr="0020107F">
        <w:rPr>
          <w:rFonts w:ascii="Times New Roman" w:eastAsia="Calibri" w:hAnsi="Times New Roman" w:cs="Times New Roman"/>
          <w:sz w:val="28"/>
          <w:szCs w:val="28"/>
        </w:rPr>
        <w:t xml:space="preserve">2015.gada 25.novembra </w:t>
      </w:r>
      <w:r w:rsidR="00891DD7" w:rsidRPr="0020107F">
        <w:rPr>
          <w:rFonts w:ascii="Times New Roman" w:hAnsi="Times New Roman" w:cs="Times New Roman"/>
          <w:sz w:val="28"/>
          <w:szCs w:val="28"/>
        </w:rPr>
        <w:t>s</w:t>
      </w:r>
      <w:r w:rsidR="008F1D82" w:rsidRPr="0020107F">
        <w:rPr>
          <w:rFonts w:ascii="Times New Roman" w:hAnsi="Times New Roman" w:cs="Times New Roman"/>
          <w:sz w:val="28"/>
          <w:szCs w:val="28"/>
        </w:rPr>
        <w:t>anāksm</w:t>
      </w:r>
      <w:r w:rsidR="00384A0E" w:rsidRPr="0020107F">
        <w:rPr>
          <w:rFonts w:ascii="Times New Roman" w:hAnsi="Times New Roman" w:cs="Times New Roman"/>
          <w:sz w:val="28"/>
          <w:szCs w:val="28"/>
        </w:rPr>
        <w:t>ē</w:t>
      </w:r>
      <w:r w:rsidR="008F1D82" w:rsidRPr="0020107F">
        <w:rPr>
          <w:rFonts w:ascii="Times New Roman" w:hAnsi="Times New Roman" w:cs="Times New Roman"/>
          <w:sz w:val="28"/>
          <w:szCs w:val="28"/>
        </w:rPr>
        <w:t xml:space="preserve"> </w:t>
      </w:r>
      <w:r w:rsidR="00384A0E" w:rsidRPr="0020107F">
        <w:rPr>
          <w:rFonts w:ascii="Times New Roman" w:hAnsi="Times New Roman" w:cs="Times New Roman"/>
          <w:sz w:val="28"/>
          <w:szCs w:val="28"/>
        </w:rPr>
        <w:t xml:space="preserve"> tika nolemts</w:t>
      </w:r>
      <w:r w:rsidR="008F1D82" w:rsidRPr="0020107F">
        <w:rPr>
          <w:rFonts w:ascii="Times New Roman" w:hAnsi="Times New Roman" w:cs="Times New Roman"/>
          <w:sz w:val="28"/>
          <w:szCs w:val="28"/>
        </w:rPr>
        <w:t xml:space="preserve"> </w:t>
      </w:r>
      <w:r w:rsidR="00384A0E" w:rsidRPr="0020107F">
        <w:rPr>
          <w:rFonts w:ascii="Times New Roman" w:hAnsi="Times New Roman" w:cs="Times New Roman"/>
          <w:sz w:val="28"/>
          <w:szCs w:val="28"/>
        </w:rPr>
        <w:t xml:space="preserve">lūgt </w:t>
      </w:r>
      <w:r w:rsidR="008F1D82" w:rsidRPr="0020107F">
        <w:rPr>
          <w:rFonts w:ascii="Times New Roman" w:hAnsi="Times New Roman" w:cs="Times New Roman"/>
          <w:sz w:val="28"/>
          <w:szCs w:val="28"/>
        </w:rPr>
        <w:t>Centrālajai statistikas pārvaldei</w:t>
      </w:r>
      <w:r w:rsidR="00384A0E" w:rsidRPr="0020107F">
        <w:rPr>
          <w:rFonts w:ascii="Times New Roman" w:hAnsi="Times New Roman" w:cs="Times New Roman"/>
          <w:sz w:val="28"/>
          <w:szCs w:val="28"/>
        </w:rPr>
        <w:t xml:space="preserve"> sniegt</w:t>
      </w:r>
      <w:r w:rsidR="008F1D82" w:rsidRPr="0020107F">
        <w:rPr>
          <w:rFonts w:ascii="Times New Roman" w:hAnsi="Times New Roman" w:cs="Times New Roman"/>
          <w:sz w:val="28"/>
          <w:szCs w:val="28"/>
        </w:rPr>
        <w:t xml:space="preserve"> informāciju par inflācij</w:t>
      </w:r>
      <w:r w:rsidR="00384A0E" w:rsidRPr="0020107F">
        <w:rPr>
          <w:rFonts w:ascii="Times New Roman" w:hAnsi="Times New Roman" w:cs="Times New Roman"/>
          <w:sz w:val="28"/>
          <w:szCs w:val="28"/>
        </w:rPr>
        <w:t>as</w:t>
      </w:r>
      <w:r w:rsidR="008F1D82" w:rsidRPr="0020107F">
        <w:rPr>
          <w:rFonts w:ascii="Times New Roman" w:hAnsi="Times New Roman" w:cs="Times New Roman"/>
          <w:sz w:val="28"/>
          <w:szCs w:val="28"/>
        </w:rPr>
        <w:t xml:space="preserve"> </w:t>
      </w:r>
      <w:r w:rsidR="00384A0E" w:rsidRPr="0020107F">
        <w:rPr>
          <w:rFonts w:ascii="Times New Roman" w:hAnsi="Times New Roman" w:cs="Times New Roman"/>
          <w:sz w:val="28"/>
          <w:szCs w:val="28"/>
        </w:rPr>
        <w:t xml:space="preserve">rādītājiem </w:t>
      </w:r>
      <w:r w:rsidR="008F1D82" w:rsidRPr="0020107F">
        <w:rPr>
          <w:rFonts w:ascii="Times New Roman" w:hAnsi="Times New Roman" w:cs="Times New Roman"/>
          <w:sz w:val="28"/>
          <w:szCs w:val="28"/>
        </w:rPr>
        <w:t>par atsevišķiem posteņiem, kas attiecas uz ēdināšanas pakalpojumiem. Pamatojoties uz tiem, tiks aprēķināta objektīvi nepieciešamā summa vienam izglītojamajam</w:t>
      </w:r>
      <w:r w:rsidR="00891DD7" w:rsidRPr="0020107F">
        <w:rPr>
          <w:rFonts w:ascii="Times New Roman" w:hAnsi="Times New Roman" w:cs="Times New Roman"/>
          <w:sz w:val="28"/>
          <w:szCs w:val="28"/>
        </w:rPr>
        <w:t xml:space="preserve"> dienā</w:t>
      </w:r>
      <w:r w:rsidR="008F1D82" w:rsidRPr="0020107F">
        <w:rPr>
          <w:rFonts w:ascii="Times New Roman" w:hAnsi="Times New Roman" w:cs="Times New Roman"/>
          <w:sz w:val="28"/>
          <w:szCs w:val="28"/>
        </w:rPr>
        <w:t xml:space="preserve">. </w:t>
      </w:r>
      <w:r w:rsidRPr="0020107F">
        <w:rPr>
          <w:rFonts w:ascii="Times New Roman" w:hAnsi="Times New Roman" w:cs="Times New Roman"/>
          <w:sz w:val="28"/>
          <w:szCs w:val="28"/>
        </w:rPr>
        <w:t xml:space="preserve">No Centrālā statistikas </w:t>
      </w:r>
      <w:r w:rsidR="00384A0E" w:rsidRPr="0020107F">
        <w:rPr>
          <w:rFonts w:ascii="Times New Roman" w:hAnsi="Times New Roman" w:cs="Times New Roman"/>
          <w:sz w:val="28"/>
          <w:szCs w:val="28"/>
        </w:rPr>
        <w:t xml:space="preserve">pārvaldes </w:t>
      </w:r>
      <w:r w:rsidRPr="0020107F">
        <w:rPr>
          <w:rFonts w:ascii="Times New Roman" w:hAnsi="Times New Roman" w:cs="Times New Roman"/>
          <w:sz w:val="28"/>
          <w:szCs w:val="28"/>
        </w:rPr>
        <w:t xml:space="preserve">tika saņemta </w:t>
      </w:r>
      <w:r w:rsidR="0012116E" w:rsidRPr="0020107F">
        <w:rPr>
          <w:rFonts w:ascii="Times New Roman" w:hAnsi="Times New Roman" w:cs="Times New Roman"/>
          <w:sz w:val="28"/>
          <w:szCs w:val="28"/>
        </w:rPr>
        <w:t xml:space="preserve">turpmāk minētā </w:t>
      </w:r>
      <w:r w:rsidRPr="0020107F">
        <w:rPr>
          <w:rFonts w:ascii="Times New Roman" w:hAnsi="Times New Roman" w:cs="Times New Roman"/>
          <w:sz w:val="28"/>
          <w:szCs w:val="28"/>
        </w:rPr>
        <w:t>informācija</w:t>
      </w:r>
      <w:r w:rsidR="0012116E" w:rsidRPr="0020107F">
        <w:rPr>
          <w:rFonts w:ascii="Times New Roman" w:hAnsi="Times New Roman" w:cs="Times New Roman"/>
          <w:sz w:val="28"/>
          <w:szCs w:val="28"/>
        </w:rPr>
        <w:t>.</w:t>
      </w:r>
      <w:r w:rsidRPr="0020107F">
        <w:rPr>
          <w:rFonts w:ascii="Times New Roman" w:hAnsi="Times New Roman" w:cs="Times New Roman"/>
          <w:sz w:val="28"/>
          <w:szCs w:val="28"/>
        </w:rPr>
        <w:t xml:space="preserve"> </w:t>
      </w:r>
    </w:p>
    <w:p w14:paraId="7A3E5B5A" w14:textId="051DB6B1" w:rsidR="00671011" w:rsidRPr="0020107F" w:rsidRDefault="00671011" w:rsidP="00671011">
      <w:pPr>
        <w:spacing w:line="240" w:lineRule="auto"/>
        <w:ind w:firstLine="567"/>
        <w:jc w:val="both"/>
        <w:rPr>
          <w:rFonts w:ascii="Times New Roman" w:eastAsia="Times New Roman" w:hAnsi="Times New Roman" w:cs="Times New Roman"/>
          <w:color w:val="000000"/>
          <w:sz w:val="28"/>
          <w:szCs w:val="28"/>
          <w:lang w:eastAsia="lv-LV"/>
        </w:rPr>
      </w:pPr>
      <w:r w:rsidRPr="0020107F">
        <w:rPr>
          <w:rFonts w:ascii="Times New Roman" w:eastAsia="Times New Roman" w:hAnsi="Times New Roman" w:cs="Times New Roman"/>
          <w:color w:val="000000"/>
          <w:sz w:val="28"/>
          <w:szCs w:val="28"/>
          <w:lang w:eastAsia="lv-LV"/>
        </w:rPr>
        <w:t>Informācija par patēriņa cenu pārmaiņām 2015.gada septembrī, salīdzinot ar 2008. gada septembri (no 01.10.2008. līdz 30.09.2015.) šādām patēriņa grupām:</w:t>
      </w:r>
    </w:p>
    <w:p w14:paraId="4543865A" w14:textId="77777777" w:rsidR="00671011" w:rsidRPr="0020107F" w:rsidRDefault="00385402" w:rsidP="00A804DC">
      <w:pPr>
        <w:spacing w:line="240" w:lineRule="auto"/>
        <w:jc w:val="right"/>
        <w:rPr>
          <w:rFonts w:ascii="Times New Roman" w:eastAsia="Times New Roman" w:hAnsi="Times New Roman" w:cs="Times New Roman"/>
          <w:color w:val="000000"/>
          <w:sz w:val="28"/>
          <w:szCs w:val="28"/>
          <w:lang w:eastAsia="lv-LV"/>
        </w:rPr>
      </w:pPr>
      <w:r w:rsidRPr="0020107F">
        <w:rPr>
          <w:rFonts w:ascii="Times New Roman" w:eastAsia="Times New Roman" w:hAnsi="Times New Roman" w:cs="Times New Roman"/>
          <w:color w:val="000000"/>
          <w:sz w:val="28"/>
          <w:szCs w:val="28"/>
          <w:lang w:eastAsia="lv-LV"/>
        </w:rPr>
        <w:t>Tabula.Nr.2.</w:t>
      </w:r>
    </w:p>
    <w:tbl>
      <w:tblPr>
        <w:tblStyle w:val="TableGrid"/>
        <w:tblW w:w="0" w:type="auto"/>
        <w:tblInd w:w="567" w:type="dxa"/>
        <w:tblLayout w:type="fixed"/>
        <w:tblLook w:val="04A0" w:firstRow="1" w:lastRow="0" w:firstColumn="1" w:lastColumn="0" w:noHBand="0" w:noVBand="1"/>
      </w:tblPr>
      <w:tblGrid>
        <w:gridCol w:w="3652"/>
        <w:gridCol w:w="3289"/>
      </w:tblGrid>
      <w:tr w:rsidR="00671011" w:rsidRPr="003D6E1E" w14:paraId="0693E1FB" w14:textId="77777777" w:rsidTr="0020107F">
        <w:tc>
          <w:tcPr>
            <w:tcW w:w="3652" w:type="dxa"/>
            <w:tcBorders>
              <w:top w:val="single" w:sz="4" w:space="0" w:color="auto"/>
              <w:left w:val="single" w:sz="4" w:space="0" w:color="auto"/>
              <w:bottom w:val="single" w:sz="4" w:space="0" w:color="auto"/>
              <w:right w:val="single" w:sz="4" w:space="0" w:color="auto"/>
            </w:tcBorders>
            <w:hideMark/>
          </w:tcPr>
          <w:p w14:paraId="4A8611DF" w14:textId="77777777" w:rsidR="00671011" w:rsidRPr="0020107F" w:rsidRDefault="00671011">
            <w:pPr>
              <w:contextualSpacing/>
              <w:jc w:val="center"/>
              <w:rPr>
                <w:b/>
                <w:color w:val="000000"/>
                <w:sz w:val="24"/>
                <w:szCs w:val="24"/>
                <w:lang w:val="lv-LV" w:eastAsia="lv-LV"/>
              </w:rPr>
            </w:pPr>
            <w:proofErr w:type="spellStart"/>
            <w:r w:rsidRPr="0020107F">
              <w:rPr>
                <w:b/>
                <w:color w:val="000000"/>
                <w:sz w:val="24"/>
                <w:szCs w:val="24"/>
                <w:lang w:eastAsia="lv-LV"/>
              </w:rPr>
              <w:t>Patēriņa</w:t>
            </w:r>
            <w:proofErr w:type="spellEnd"/>
            <w:r w:rsidRPr="0020107F">
              <w:rPr>
                <w:b/>
                <w:color w:val="000000"/>
                <w:sz w:val="24"/>
                <w:szCs w:val="24"/>
                <w:lang w:eastAsia="lv-LV"/>
              </w:rPr>
              <w:t xml:space="preserve"> </w:t>
            </w:r>
            <w:proofErr w:type="spellStart"/>
            <w:r w:rsidRPr="0020107F">
              <w:rPr>
                <w:b/>
                <w:color w:val="000000"/>
                <w:sz w:val="24"/>
                <w:szCs w:val="24"/>
                <w:lang w:eastAsia="lv-LV"/>
              </w:rPr>
              <w:t>grupa</w:t>
            </w:r>
            <w:proofErr w:type="spellEnd"/>
          </w:p>
        </w:tc>
        <w:tc>
          <w:tcPr>
            <w:tcW w:w="3289" w:type="dxa"/>
            <w:tcBorders>
              <w:top w:val="single" w:sz="4" w:space="0" w:color="auto"/>
              <w:left w:val="single" w:sz="4" w:space="0" w:color="auto"/>
              <w:bottom w:val="single" w:sz="4" w:space="0" w:color="auto"/>
              <w:right w:val="single" w:sz="4" w:space="0" w:color="auto"/>
            </w:tcBorders>
            <w:hideMark/>
          </w:tcPr>
          <w:p w14:paraId="1468766D" w14:textId="77777777" w:rsidR="00671011" w:rsidRPr="0020107F" w:rsidRDefault="00671011">
            <w:pPr>
              <w:contextualSpacing/>
              <w:jc w:val="center"/>
              <w:rPr>
                <w:b/>
                <w:color w:val="000000"/>
                <w:sz w:val="24"/>
                <w:szCs w:val="24"/>
                <w:lang w:val="lv-LV" w:eastAsia="lv-LV"/>
              </w:rPr>
            </w:pPr>
            <w:proofErr w:type="spellStart"/>
            <w:r w:rsidRPr="0020107F">
              <w:rPr>
                <w:b/>
                <w:color w:val="000000"/>
                <w:sz w:val="24"/>
                <w:szCs w:val="24"/>
                <w:lang w:eastAsia="lv-LV"/>
              </w:rPr>
              <w:t>Patēriņa</w:t>
            </w:r>
            <w:proofErr w:type="spellEnd"/>
            <w:r w:rsidRPr="0020107F">
              <w:rPr>
                <w:b/>
                <w:color w:val="000000"/>
                <w:sz w:val="24"/>
                <w:szCs w:val="24"/>
                <w:lang w:eastAsia="lv-LV"/>
              </w:rPr>
              <w:t xml:space="preserve"> </w:t>
            </w:r>
            <w:proofErr w:type="spellStart"/>
            <w:r w:rsidRPr="0020107F">
              <w:rPr>
                <w:b/>
                <w:color w:val="000000"/>
                <w:sz w:val="24"/>
                <w:szCs w:val="24"/>
                <w:lang w:eastAsia="lv-LV"/>
              </w:rPr>
              <w:t>cenu</w:t>
            </w:r>
            <w:proofErr w:type="spellEnd"/>
            <w:r w:rsidRPr="0020107F">
              <w:rPr>
                <w:b/>
                <w:color w:val="000000"/>
                <w:sz w:val="24"/>
                <w:szCs w:val="24"/>
                <w:lang w:eastAsia="lv-LV"/>
              </w:rPr>
              <w:t xml:space="preserve"> </w:t>
            </w:r>
            <w:proofErr w:type="spellStart"/>
            <w:r w:rsidRPr="0020107F">
              <w:rPr>
                <w:b/>
                <w:color w:val="000000"/>
                <w:sz w:val="24"/>
                <w:szCs w:val="24"/>
                <w:lang w:eastAsia="lv-LV"/>
              </w:rPr>
              <w:t>pārmaiņas</w:t>
            </w:r>
            <w:proofErr w:type="spellEnd"/>
            <w:r w:rsidRPr="0020107F">
              <w:rPr>
                <w:b/>
                <w:color w:val="000000"/>
                <w:sz w:val="24"/>
                <w:szCs w:val="24"/>
                <w:lang w:eastAsia="lv-LV"/>
              </w:rPr>
              <w:t>, %</w:t>
            </w:r>
          </w:p>
        </w:tc>
      </w:tr>
      <w:tr w:rsidR="00671011" w:rsidRPr="003D6E1E" w14:paraId="7BFB4941" w14:textId="77777777" w:rsidTr="0020107F">
        <w:tc>
          <w:tcPr>
            <w:tcW w:w="3652" w:type="dxa"/>
            <w:tcBorders>
              <w:top w:val="single" w:sz="4" w:space="0" w:color="auto"/>
              <w:left w:val="single" w:sz="4" w:space="0" w:color="auto"/>
              <w:bottom w:val="single" w:sz="4" w:space="0" w:color="auto"/>
              <w:right w:val="single" w:sz="4" w:space="0" w:color="auto"/>
            </w:tcBorders>
            <w:vAlign w:val="center"/>
            <w:hideMark/>
          </w:tcPr>
          <w:p w14:paraId="72511E5E" w14:textId="77777777" w:rsidR="00671011" w:rsidRPr="00B136FF" w:rsidRDefault="00671011">
            <w:pPr>
              <w:contextualSpacing/>
              <w:rPr>
                <w:color w:val="000000"/>
                <w:sz w:val="24"/>
                <w:szCs w:val="24"/>
                <w:lang w:val="lv-LV" w:eastAsia="lv-LV"/>
              </w:rPr>
            </w:pPr>
            <w:r w:rsidRPr="00B136FF">
              <w:rPr>
                <w:color w:val="000000"/>
                <w:sz w:val="24"/>
                <w:szCs w:val="24"/>
                <w:lang w:val="lv-LV" w:eastAsia="lv-LV"/>
              </w:rPr>
              <w:t>Pārtika un bezalkoholiskie dzērieni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D06E13A" w14:textId="77777777" w:rsidR="00671011" w:rsidRPr="00B136FF" w:rsidRDefault="00671011">
            <w:pPr>
              <w:tabs>
                <w:tab w:val="decimal" w:pos="2070"/>
                <w:tab w:val="decimal" w:pos="2302"/>
              </w:tabs>
              <w:ind w:right="1168"/>
              <w:contextualSpacing/>
              <w:jc w:val="right"/>
              <w:rPr>
                <w:color w:val="000000"/>
                <w:sz w:val="24"/>
                <w:szCs w:val="24"/>
                <w:lang w:val="lv-LV" w:eastAsia="lv-LV"/>
              </w:rPr>
            </w:pPr>
            <w:r w:rsidRPr="00B136FF">
              <w:rPr>
                <w:color w:val="000000"/>
                <w:sz w:val="24"/>
                <w:szCs w:val="24"/>
                <w:lang w:val="lv-LV" w:eastAsia="lv-LV"/>
              </w:rPr>
              <w:t>7,5</w:t>
            </w:r>
          </w:p>
        </w:tc>
      </w:tr>
      <w:tr w:rsidR="00671011" w:rsidRPr="003D6E1E" w14:paraId="7EAC4EDF" w14:textId="77777777" w:rsidTr="0020107F">
        <w:tc>
          <w:tcPr>
            <w:tcW w:w="3652" w:type="dxa"/>
            <w:tcBorders>
              <w:top w:val="single" w:sz="4" w:space="0" w:color="auto"/>
              <w:left w:val="single" w:sz="4" w:space="0" w:color="auto"/>
              <w:bottom w:val="single" w:sz="4" w:space="0" w:color="auto"/>
              <w:right w:val="single" w:sz="4" w:space="0" w:color="auto"/>
            </w:tcBorders>
            <w:vAlign w:val="center"/>
            <w:hideMark/>
          </w:tcPr>
          <w:p w14:paraId="723644FC" w14:textId="77777777" w:rsidR="00671011" w:rsidRPr="00B136FF" w:rsidRDefault="00671011">
            <w:pPr>
              <w:contextualSpacing/>
              <w:rPr>
                <w:color w:val="000000"/>
                <w:sz w:val="24"/>
                <w:szCs w:val="24"/>
                <w:lang w:val="lv-LV" w:eastAsia="lv-LV"/>
              </w:rPr>
            </w:pPr>
            <w:r w:rsidRPr="00B136FF">
              <w:rPr>
                <w:color w:val="000000"/>
                <w:sz w:val="24"/>
                <w:szCs w:val="24"/>
                <w:lang w:val="lv-LV" w:eastAsia="lv-LV"/>
              </w:rPr>
              <w:t>Mājoklis, ūdens, elektroenerģija, gāze un cits kurināmais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70179D9" w14:textId="77777777" w:rsidR="00671011" w:rsidRPr="00B136FF" w:rsidRDefault="00671011">
            <w:pPr>
              <w:tabs>
                <w:tab w:val="decimal" w:pos="2070"/>
                <w:tab w:val="decimal" w:pos="2302"/>
              </w:tabs>
              <w:ind w:right="1168"/>
              <w:contextualSpacing/>
              <w:jc w:val="right"/>
              <w:rPr>
                <w:color w:val="000000"/>
                <w:sz w:val="24"/>
                <w:szCs w:val="24"/>
                <w:lang w:val="lv-LV" w:eastAsia="lv-LV"/>
              </w:rPr>
            </w:pPr>
            <w:r w:rsidRPr="00B136FF">
              <w:rPr>
                <w:color w:val="000000"/>
                <w:sz w:val="24"/>
                <w:szCs w:val="24"/>
                <w:lang w:val="lv-LV" w:eastAsia="lv-LV"/>
              </w:rPr>
              <w:t>23,0</w:t>
            </w:r>
          </w:p>
        </w:tc>
      </w:tr>
      <w:tr w:rsidR="00671011" w:rsidRPr="003D6E1E" w14:paraId="249EF0BA" w14:textId="77777777" w:rsidTr="0020107F">
        <w:trPr>
          <w:trHeight w:val="339"/>
        </w:trPr>
        <w:tc>
          <w:tcPr>
            <w:tcW w:w="3652" w:type="dxa"/>
            <w:tcBorders>
              <w:top w:val="single" w:sz="4" w:space="0" w:color="auto"/>
              <w:left w:val="single" w:sz="4" w:space="0" w:color="auto"/>
              <w:bottom w:val="single" w:sz="4" w:space="0" w:color="auto"/>
              <w:right w:val="single" w:sz="4" w:space="0" w:color="auto"/>
            </w:tcBorders>
            <w:vAlign w:val="center"/>
            <w:hideMark/>
          </w:tcPr>
          <w:p w14:paraId="335AC76F" w14:textId="77777777" w:rsidR="00671011" w:rsidRPr="00B136FF" w:rsidRDefault="00671011">
            <w:pPr>
              <w:contextualSpacing/>
              <w:rPr>
                <w:color w:val="000000"/>
                <w:sz w:val="24"/>
                <w:szCs w:val="24"/>
                <w:lang w:val="lv-LV" w:eastAsia="lv-LV"/>
              </w:rPr>
            </w:pPr>
            <w:r w:rsidRPr="00B136FF">
              <w:rPr>
                <w:color w:val="000000"/>
                <w:sz w:val="24"/>
                <w:szCs w:val="24"/>
                <w:lang w:val="lv-LV" w:eastAsia="lv-LV"/>
              </w:rPr>
              <w:t>Ēdināšanas pakalpojumi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CA1C212" w14:textId="77777777" w:rsidR="00671011" w:rsidRPr="00B136FF" w:rsidRDefault="00671011">
            <w:pPr>
              <w:tabs>
                <w:tab w:val="decimal" w:pos="2070"/>
                <w:tab w:val="decimal" w:pos="2302"/>
              </w:tabs>
              <w:ind w:right="1168"/>
              <w:contextualSpacing/>
              <w:jc w:val="right"/>
              <w:rPr>
                <w:color w:val="000000"/>
                <w:sz w:val="24"/>
                <w:szCs w:val="24"/>
                <w:lang w:val="lv-LV" w:eastAsia="lv-LV"/>
              </w:rPr>
            </w:pPr>
            <w:r w:rsidRPr="00B136FF">
              <w:rPr>
                <w:color w:val="000000"/>
                <w:sz w:val="24"/>
                <w:szCs w:val="24"/>
                <w:lang w:val="lv-LV" w:eastAsia="lv-LV"/>
              </w:rPr>
              <w:t>5,0</w:t>
            </w:r>
          </w:p>
        </w:tc>
      </w:tr>
    </w:tbl>
    <w:p w14:paraId="0085CE4A" w14:textId="77777777" w:rsidR="00322D30" w:rsidRPr="0020107F" w:rsidRDefault="00322D30" w:rsidP="00322D30">
      <w:pPr>
        <w:widowControl w:val="0"/>
        <w:spacing w:after="0" w:line="240" w:lineRule="auto"/>
        <w:ind w:firstLine="720"/>
        <w:jc w:val="both"/>
        <w:rPr>
          <w:rFonts w:ascii="Times New Roman" w:hAnsi="Times New Roman" w:cs="Times New Roman"/>
          <w:sz w:val="28"/>
          <w:szCs w:val="28"/>
        </w:rPr>
      </w:pPr>
    </w:p>
    <w:p w14:paraId="2847A1A2" w14:textId="77777777" w:rsidR="00020379" w:rsidRPr="0020107F" w:rsidRDefault="00020379" w:rsidP="00664FCD">
      <w:pPr>
        <w:widowControl w:val="0"/>
        <w:spacing w:after="0" w:line="240" w:lineRule="auto"/>
        <w:ind w:firstLine="720"/>
        <w:jc w:val="both"/>
        <w:rPr>
          <w:rFonts w:ascii="Times New Roman" w:eastAsia="Calibri" w:hAnsi="Times New Roman" w:cs="Times New Roman"/>
          <w:sz w:val="28"/>
          <w:szCs w:val="28"/>
        </w:rPr>
      </w:pPr>
    </w:p>
    <w:p w14:paraId="5F1098E5" w14:textId="5FF64B43" w:rsidR="00385402" w:rsidRPr="0020107F" w:rsidRDefault="00385402" w:rsidP="00664FCD">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Pamatojoties uz Centrālās statistikas pārvaldes sniegto informāciju un uz pašvaldību sniegto informāciju, kuru dati ir izklāstīti iepriekš, </w:t>
      </w:r>
      <w:r w:rsidR="0012116E" w:rsidRPr="0020107F">
        <w:rPr>
          <w:rFonts w:ascii="Times New Roman" w:eastAsia="Calibri" w:hAnsi="Times New Roman" w:cs="Times New Roman"/>
          <w:sz w:val="28"/>
          <w:szCs w:val="28"/>
        </w:rPr>
        <w:t xml:space="preserve">Izglītības un zinātnes ministrija </w:t>
      </w:r>
      <w:r w:rsidRPr="0020107F">
        <w:rPr>
          <w:rFonts w:ascii="Times New Roman" w:eastAsia="Calibri" w:hAnsi="Times New Roman" w:cs="Times New Roman"/>
          <w:sz w:val="28"/>
          <w:szCs w:val="28"/>
        </w:rPr>
        <w:t>ir veikusi sekojošus aprēķinus:</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572"/>
        <w:gridCol w:w="1549"/>
        <w:gridCol w:w="1404"/>
        <w:gridCol w:w="1405"/>
        <w:gridCol w:w="1164"/>
      </w:tblGrid>
      <w:tr w:rsidR="00385402" w:rsidRPr="003D6E1E" w14:paraId="5D4C76F9" w14:textId="77777777" w:rsidTr="0020107F">
        <w:trPr>
          <w:trHeight w:val="2759"/>
        </w:trPr>
        <w:tc>
          <w:tcPr>
            <w:tcW w:w="2514" w:type="dxa"/>
            <w:shd w:val="clear" w:color="auto" w:fill="auto"/>
            <w:vAlign w:val="center"/>
            <w:hideMark/>
          </w:tcPr>
          <w:p w14:paraId="1AC674C1" w14:textId="77777777" w:rsidR="00385402" w:rsidRPr="002F4469" w:rsidRDefault="00385402" w:rsidP="00385402">
            <w:pPr>
              <w:spacing w:after="0" w:line="240" w:lineRule="auto"/>
              <w:jc w:val="center"/>
              <w:rPr>
                <w:rFonts w:ascii="Times New Roman" w:eastAsia="Times New Roman" w:hAnsi="Times New Roman" w:cs="Times New Roman"/>
                <w:b/>
                <w:color w:val="000000"/>
                <w:sz w:val="24"/>
                <w:szCs w:val="24"/>
                <w:lang w:eastAsia="lv-LV"/>
              </w:rPr>
            </w:pPr>
            <w:r w:rsidRPr="002F4469">
              <w:rPr>
                <w:rFonts w:ascii="Times New Roman" w:eastAsia="Times New Roman" w:hAnsi="Times New Roman" w:cs="Times New Roman"/>
                <w:b/>
                <w:color w:val="000000"/>
                <w:sz w:val="24"/>
                <w:szCs w:val="24"/>
                <w:lang w:eastAsia="lv-LV"/>
              </w:rPr>
              <w:t>Izdevumu proporcija</w:t>
            </w:r>
          </w:p>
        </w:tc>
        <w:tc>
          <w:tcPr>
            <w:tcW w:w="1586" w:type="dxa"/>
            <w:shd w:val="clear" w:color="auto" w:fill="auto"/>
            <w:vAlign w:val="center"/>
            <w:hideMark/>
          </w:tcPr>
          <w:p w14:paraId="4A79CCF4" w14:textId="543FFF30" w:rsidR="00385402" w:rsidRPr="002F4469" w:rsidRDefault="00385402" w:rsidP="00B8175F">
            <w:pPr>
              <w:spacing w:after="0" w:line="240" w:lineRule="auto"/>
              <w:jc w:val="center"/>
              <w:rPr>
                <w:rFonts w:ascii="Times New Roman" w:eastAsia="Times New Roman" w:hAnsi="Times New Roman" w:cs="Times New Roman"/>
                <w:b/>
                <w:color w:val="000000"/>
                <w:sz w:val="24"/>
                <w:szCs w:val="24"/>
                <w:lang w:eastAsia="lv-LV"/>
              </w:rPr>
            </w:pPr>
            <w:r w:rsidRPr="002F4469">
              <w:rPr>
                <w:rFonts w:ascii="Times New Roman" w:eastAsia="Times New Roman" w:hAnsi="Times New Roman" w:cs="Times New Roman"/>
                <w:b/>
                <w:color w:val="000000"/>
                <w:sz w:val="24"/>
                <w:szCs w:val="24"/>
                <w:lang w:eastAsia="lv-LV"/>
              </w:rPr>
              <w:t xml:space="preserve">Vidējais izdevumu % sadalījums atbilstoši </w:t>
            </w:r>
            <w:proofErr w:type="spellStart"/>
            <w:r w:rsidRPr="002F4469">
              <w:rPr>
                <w:rFonts w:ascii="Times New Roman" w:eastAsia="Times New Roman" w:hAnsi="Times New Roman" w:cs="Times New Roman"/>
                <w:b/>
                <w:color w:val="000000"/>
                <w:sz w:val="24"/>
                <w:szCs w:val="24"/>
                <w:lang w:eastAsia="lv-LV"/>
              </w:rPr>
              <w:t>pašv</w:t>
            </w:r>
            <w:proofErr w:type="spellEnd"/>
            <w:r w:rsidRPr="002F4469">
              <w:rPr>
                <w:rFonts w:ascii="Times New Roman" w:eastAsia="Times New Roman" w:hAnsi="Times New Roman" w:cs="Times New Roman"/>
                <w:b/>
                <w:color w:val="000000"/>
                <w:sz w:val="24"/>
                <w:szCs w:val="24"/>
                <w:lang w:eastAsia="lv-LV"/>
              </w:rPr>
              <w:t xml:space="preserve">. un </w:t>
            </w:r>
            <w:proofErr w:type="spellStart"/>
            <w:r w:rsidRPr="002F4469">
              <w:rPr>
                <w:rFonts w:ascii="Times New Roman" w:eastAsia="Times New Roman" w:hAnsi="Times New Roman" w:cs="Times New Roman"/>
                <w:b/>
                <w:color w:val="000000"/>
                <w:sz w:val="24"/>
                <w:szCs w:val="24"/>
                <w:lang w:eastAsia="lv-LV"/>
              </w:rPr>
              <w:t>priv</w:t>
            </w:r>
            <w:proofErr w:type="spellEnd"/>
            <w:r w:rsidRPr="002F4469">
              <w:rPr>
                <w:rFonts w:ascii="Times New Roman" w:eastAsia="Times New Roman" w:hAnsi="Times New Roman" w:cs="Times New Roman"/>
                <w:b/>
                <w:color w:val="000000"/>
                <w:sz w:val="24"/>
                <w:szCs w:val="24"/>
                <w:lang w:eastAsia="lv-LV"/>
              </w:rPr>
              <w:t xml:space="preserve">. </w:t>
            </w:r>
            <w:proofErr w:type="spellStart"/>
            <w:r w:rsidRPr="002F4469">
              <w:rPr>
                <w:rFonts w:ascii="Times New Roman" w:eastAsia="Times New Roman" w:hAnsi="Times New Roman" w:cs="Times New Roman"/>
                <w:b/>
                <w:color w:val="000000"/>
                <w:sz w:val="24"/>
                <w:szCs w:val="24"/>
                <w:lang w:eastAsia="lv-LV"/>
              </w:rPr>
              <w:t>izgl</w:t>
            </w:r>
            <w:proofErr w:type="spellEnd"/>
            <w:r w:rsidRPr="002F4469">
              <w:rPr>
                <w:rFonts w:ascii="Times New Roman" w:eastAsia="Times New Roman" w:hAnsi="Times New Roman" w:cs="Times New Roman"/>
                <w:b/>
                <w:color w:val="000000"/>
                <w:sz w:val="24"/>
                <w:szCs w:val="24"/>
                <w:lang w:eastAsia="lv-LV"/>
              </w:rPr>
              <w:t>. iest</w:t>
            </w:r>
            <w:r w:rsidR="00B8175F" w:rsidRPr="002F4469">
              <w:rPr>
                <w:rFonts w:ascii="Times New Roman" w:eastAsia="Times New Roman" w:hAnsi="Times New Roman" w:cs="Times New Roman"/>
                <w:b/>
                <w:color w:val="000000"/>
                <w:sz w:val="24"/>
                <w:szCs w:val="24"/>
                <w:lang w:eastAsia="lv-LV"/>
              </w:rPr>
              <w:t>āžu</w:t>
            </w:r>
            <w:r w:rsidRPr="002F4469">
              <w:rPr>
                <w:rFonts w:ascii="Times New Roman" w:eastAsia="Times New Roman" w:hAnsi="Times New Roman" w:cs="Times New Roman"/>
                <w:b/>
                <w:color w:val="000000"/>
                <w:sz w:val="24"/>
                <w:szCs w:val="24"/>
                <w:lang w:eastAsia="lv-LV"/>
              </w:rPr>
              <w:t xml:space="preserve"> iesniegtajiem datiem, %</w:t>
            </w:r>
          </w:p>
        </w:tc>
        <w:tc>
          <w:tcPr>
            <w:tcW w:w="1462" w:type="dxa"/>
            <w:shd w:val="clear" w:color="auto" w:fill="auto"/>
            <w:vAlign w:val="center"/>
            <w:hideMark/>
          </w:tcPr>
          <w:p w14:paraId="3DB8995D" w14:textId="44C5F027" w:rsidR="00385402" w:rsidRPr="002F4469" w:rsidRDefault="00385402" w:rsidP="00385402">
            <w:pPr>
              <w:spacing w:after="0" w:line="240" w:lineRule="auto"/>
              <w:jc w:val="center"/>
              <w:rPr>
                <w:rFonts w:ascii="Times New Roman" w:eastAsia="Times New Roman" w:hAnsi="Times New Roman" w:cs="Times New Roman"/>
                <w:b/>
                <w:color w:val="000000"/>
                <w:sz w:val="24"/>
                <w:szCs w:val="24"/>
                <w:lang w:eastAsia="lv-LV"/>
              </w:rPr>
            </w:pPr>
            <w:r w:rsidRPr="002F4469">
              <w:rPr>
                <w:rFonts w:ascii="Times New Roman" w:eastAsia="Times New Roman" w:hAnsi="Times New Roman" w:cs="Times New Roman"/>
                <w:b/>
                <w:color w:val="000000"/>
                <w:sz w:val="24"/>
                <w:szCs w:val="24"/>
                <w:lang w:eastAsia="lv-LV"/>
              </w:rPr>
              <w:t xml:space="preserve">Vidējais izdevumu % sadalījums atbilstoši </w:t>
            </w:r>
            <w:proofErr w:type="spellStart"/>
            <w:r w:rsidRPr="002F4469">
              <w:rPr>
                <w:rFonts w:ascii="Times New Roman" w:eastAsia="Times New Roman" w:hAnsi="Times New Roman" w:cs="Times New Roman"/>
                <w:b/>
                <w:color w:val="000000"/>
                <w:sz w:val="24"/>
                <w:szCs w:val="24"/>
                <w:lang w:eastAsia="lv-LV"/>
              </w:rPr>
              <w:t>pašv</w:t>
            </w:r>
            <w:proofErr w:type="spellEnd"/>
            <w:r w:rsidRPr="002F4469">
              <w:rPr>
                <w:rFonts w:ascii="Times New Roman" w:eastAsia="Times New Roman" w:hAnsi="Times New Roman" w:cs="Times New Roman"/>
                <w:b/>
                <w:color w:val="000000"/>
                <w:sz w:val="24"/>
                <w:szCs w:val="24"/>
                <w:lang w:eastAsia="lv-LV"/>
              </w:rPr>
              <w:t xml:space="preserve">. un </w:t>
            </w:r>
            <w:proofErr w:type="spellStart"/>
            <w:r w:rsidRPr="002F4469">
              <w:rPr>
                <w:rFonts w:ascii="Times New Roman" w:eastAsia="Times New Roman" w:hAnsi="Times New Roman" w:cs="Times New Roman"/>
                <w:b/>
                <w:color w:val="000000"/>
                <w:sz w:val="24"/>
                <w:szCs w:val="24"/>
                <w:lang w:eastAsia="lv-LV"/>
              </w:rPr>
              <w:t>priv</w:t>
            </w:r>
            <w:proofErr w:type="spellEnd"/>
            <w:r w:rsidRPr="002F4469">
              <w:rPr>
                <w:rFonts w:ascii="Times New Roman" w:eastAsia="Times New Roman" w:hAnsi="Times New Roman" w:cs="Times New Roman"/>
                <w:b/>
                <w:color w:val="000000"/>
                <w:sz w:val="24"/>
                <w:szCs w:val="24"/>
                <w:lang w:eastAsia="lv-LV"/>
              </w:rPr>
              <w:t xml:space="preserve">. </w:t>
            </w:r>
            <w:proofErr w:type="spellStart"/>
            <w:r w:rsidRPr="002F4469">
              <w:rPr>
                <w:rFonts w:ascii="Times New Roman" w:eastAsia="Times New Roman" w:hAnsi="Times New Roman" w:cs="Times New Roman"/>
                <w:b/>
                <w:color w:val="000000"/>
                <w:sz w:val="24"/>
                <w:szCs w:val="24"/>
                <w:lang w:eastAsia="lv-LV"/>
              </w:rPr>
              <w:t>izgl</w:t>
            </w:r>
            <w:proofErr w:type="spellEnd"/>
            <w:r w:rsidRPr="002F4469">
              <w:rPr>
                <w:rFonts w:ascii="Times New Roman" w:eastAsia="Times New Roman" w:hAnsi="Times New Roman" w:cs="Times New Roman"/>
                <w:b/>
                <w:color w:val="000000"/>
                <w:sz w:val="24"/>
                <w:szCs w:val="24"/>
                <w:lang w:eastAsia="lv-LV"/>
              </w:rPr>
              <w:t>. iest</w:t>
            </w:r>
            <w:r w:rsidR="00B8175F" w:rsidRPr="002F4469">
              <w:rPr>
                <w:rFonts w:ascii="Times New Roman" w:eastAsia="Times New Roman" w:hAnsi="Times New Roman" w:cs="Times New Roman"/>
                <w:b/>
                <w:color w:val="000000"/>
                <w:sz w:val="24"/>
                <w:szCs w:val="24"/>
                <w:lang w:eastAsia="lv-LV"/>
              </w:rPr>
              <w:t>āžu</w:t>
            </w:r>
            <w:r w:rsidRPr="002F4469">
              <w:rPr>
                <w:rFonts w:ascii="Times New Roman" w:eastAsia="Times New Roman" w:hAnsi="Times New Roman" w:cs="Times New Roman"/>
                <w:b/>
                <w:color w:val="000000"/>
                <w:sz w:val="24"/>
                <w:szCs w:val="24"/>
                <w:lang w:eastAsia="lv-LV"/>
              </w:rPr>
              <w:t>. iesniegtajiem datiem, % sadalījums izteikts EUR</w:t>
            </w:r>
          </w:p>
        </w:tc>
        <w:tc>
          <w:tcPr>
            <w:tcW w:w="1380" w:type="dxa"/>
            <w:shd w:val="clear" w:color="auto" w:fill="auto"/>
            <w:vAlign w:val="center"/>
            <w:hideMark/>
          </w:tcPr>
          <w:p w14:paraId="6DE04DC3" w14:textId="63530798" w:rsidR="00385402" w:rsidRPr="002F4469" w:rsidRDefault="00385402" w:rsidP="00B8175F">
            <w:pPr>
              <w:spacing w:after="0" w:line="240" w:lineRule="auto"/>
              <w:jc w:val="center"/>
              <w:rPr>
                <w:rFonts w:ascii="Times New Roman" w:eastAsia="Times New Roman" w:hAnsi="Times New Roman" w:cs="Times New Roman"/>
                <w:b/>
                <w:color w:val="000000"/>
                <w:sz w:val="24"/>
                <w:szCs w:val="24"/>
                <w:lang w:eastAsia="lv-LV"/>
              </w:rPr>
            </w:pPr>
            <w:r w:rsidRPr="002F4469">
              <w:rPr>
                <w:rFonts w:ascii="Times New Roman" w:eastAsia="Times New Roman" w:hAnsi="Times New Roman" w:cs="Times New Roman"/>
                <w:b/>
                <w:color w:val="000000"/>
                <w:sz w:val="24"/>
                <w:szCs w:val="24"/>
                <w:lang w:eastAsia="lv-LV"/>
              </w:rPr>
              <w:t>Centrālās stati</w:t>
            </w:r>
            <w:r w:rsidR="00B8175F" w:rsidRPr="002F4469">
              <w:rPr>
                <w:rFonts w:ascii="Times New Roman" w:eastAsia="Times New Roman" w:hAnsi="Times New Roman" w:cs="Times New Roman"/>
                <w:b/>
                <w:color w:val="000000"/>
                <w:sz w:val="24"/>
                <w:szCs w:val="24"/>
                <w:lang w:eastAsia="lv-LV"/>
              </w:rPr>
              <w:t>s</w:t>
            </w:r>
            <w:r w:rsidRPr="002F4469">
              <w:rPr>
                <w:rFonts w:ascii="Times New Roman" w:eastAsia="Times New Roman" w:hAnsi="Times New Roman" w:cs="Times New Roman"/>
                <w:b/>
                <w:color w:val="000000"/>
                <w:sz w:val="24"/>
                <w:szCs w:val="24"/>
                <w:lang w:eastAsia="lv-LV"/>
              </w:rPr>
              <w:t>tikas sniegtā informācija par inflācijas rādītājiem no 01.10.2008. līdz 30.09.2015.</w:t>
            </w:r>
          </w:p>
        </w:tc>
        <w:tc>
          <w:tcPr>
            <w:tcW w:w="1417" w:type="dxa"/>
            <w:shd w:val="clear" w:color="auto" w:fill="auto"/>
            <w:vAlign w:val="center"/>
            <w:hideMark/>
          </w:tcPr>
          <w:p w14:paraId="51142EE5" w14:textId="77777777" w:rsidR="00385402" w:rsidRPr="002F4469" w:rsidRDefault="00385402" w:rsidP="00385402">
            <w:pPr>
              <w:spacing w:after="0" w:line="240" w:lineRule="auto"/>
              <w:jc w:val="center"/>
              <w:rPr>
                <w:rFonts w:ascii="Times New Roman" w:eastAsia="Times New Roman" w:hAnsi="Times New Roman" w:cs="Times New Roman"/>
                <w:b/>
                <w:color w:val="000000"/>
                <w:sz w:val="24"/>
                <w:szCs w:val="24"/>
                <w:lang w:eastAsia="lv-LV"/>
              </w:rPr>
            </w:pPr>
            <w:r w:rsidRPr="002F4469">
              <w:rPr>
                <w:rFonts w:ascii="Times New Roman" w:eastAsia="Times New Roman" w:hAnsi="Times New Roman" w:cs="Times New Roman"/>
                <w:b/>
                <w:color w:val="000000"/>
                <w:sz w:val="24"/>
                <w:szCs w:val="24"/>
                <w:lang w:eastAsia="lv-LV"/>
              </w:rPr>
              <w:t>Pieaugums atbilstoši inflācijas rādītājam</w:t>
            </w:r>
          </w:p>
        </w:tc>
        <w:tc>
          <w:tcPr>
            <w:tcW w:w="1174" w:type="dxa"/>
            <w:shd w:val="clear" w:color="auto" w:fill="auto"/>
            <w:vAlign w:val="center"/>
            <w:hideMark/>
          </w:tcPr>
          <w:p w14:paraId="0E57E72E" w14:textId="77777777" w:rsidR="00385402" w:rsidRPr="0020107F" w:rsidRDefault="00385402" w:rsidP="0020107F">
            <w:pPr>
              <w:spacing w:after="0" w:line="240" w:lineRule="auto"/>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KOPĀ</w:t>
            </w:r>
          </w:p>
        </w:tc>
      </w:tr>
      <w:tr w:rsidR="00385402" w:rsidRPr="003D6E1E" w14:paraId="1AB7A5E1" w14:textId="77777777" w:rsidTr="0020107F">
        <w:trPr>
          <w:trHeight w:val="827"/>
        </w:trPr>
        <w:tc>
          <w:tcPr>
            <w:tcW w:w="2514" w:type="dxa"/>
            <w:shd w:val="clear" w:color="auto" w:fill="auto"/>
            <w:vAlign w:val="bottom"/>
            <w:hideMark/>
          </w:tcPr>
          <w:p w14:paraId="597D0F30"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Pārtikas produktu % daļa  no kopējām viena skolēna ēdināšanas izmaksām dienā</w:t>
            </w:r>
          </w:p>
        </w:tc>
        <w:tc>
          <w:tcPr>
            <w:tcW w:w="1586" w:type="dxa"/>
            <w:shd w:val="clear" w:color="auto" w:fill="auto"/>
            <w:vAlign w:val="bottom"/>
            <w:hideMark/>
          </w:tcPr>
          <w:p w14:paraId="2DBC9162"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54%</w:t>
            </w:r>
          </w:p>
        </w:tc>
        <w:tc>
          <w:tcPr>
            <w:tcW w:w="1462" w:type="dxa"/>
            <w:shd w:val="clear" w:color="auto" w:fill="auto"/>
            <w:noWrap/>
            <w:vAlign w:val="bottom"/>
            <w:hideMark/>
          </w:tcPr>
          <w:p w14:paraId="36223A7D"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0,61</w:t>
            </w:r>
          </w:p>
        </w:tc>
        <w:tc>
          <w:tcPr>
            <w:tcW w:w="1380" w:type="dxa"/>
            <w:shd w:val="clear" w:color="auto" w:fill="auto"/>
            <w:noWrap/>
            <w:vAlign w:val="bottom"/>
            <w:hideMark/>
          </w:tcPr>
          <w:p w14:paraId="5A2A97BD"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7,5%</w:t>
            </w:r>
          </w:p>
        </w:tc>
        <w:tc>
          <w:tcPr>
            <w:tcW w:w="1417" w:type="dxa"/>
            <w:shd w:val="clear" w:color="auto" w:fill="auto"/>
            <w:noWrap/>
            <w:vAlign w:val="bottom"/>
            <w:hideMark/>
          </w:tcPr>
          <w:p w14:paraId="2F0C0EB2"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0,05</w:t>
            </w:r>
          </w:p>
        </w:tc>
        <w:tc>
          <w:tcPr>
            <w:tcW w:w="1174" w:type="dxa"/>
            <w:shd w:val="clear" w:color="auto" w:fill="auto"/>
            <w:noWrap/>
            <w:vAlign w:val="bottom"/>
            <w:hideMark/>
          </w:tcPr>
          <w:p w14:paraId="7C9C7EC1" w14:textId="77777777" w:rsidR="00385402" w:rsidRPr="0020107F" w:rsidRDefault="00385402" w:rsidP="00385402">
            <w:pPr>
              <w:spacing w:after="0" w:line="240" w:lineRule="auto"/>
              <w:jc w:val="right"/>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0,66</w:t>
            </w:r>
          </w:p>
        </w:tc>
      </w:tr>
      <w:tr w:rsidR="00385402" w:rsidRPr="003D6E1E" w14:paraId="08003FC1" w14:textId="77777777" w:rsidTr="0020107F">
        <w:trPr>
          <w:trHeight w:val="827"/>
        </w:trPr>
        <w:tc>
          <w:tcPr>
            <w:tcW w:w="2514" w:type="dxa"/>
            <w:shd w:val="clear" w:color="auto" w:fill="auto"/>
            <w:vAlign w:val="bottom"/>
            <w:hideMark/>
          </w:tcPr>
          <w:p w14:paraId="126374A5"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Atalgojuma % daļa no kopējām viena skolēna ēdināšanas izmaksām dienā</w:t>
            </w:r>
          </w:p>
        </w:tc>
        <w:tc>
          <w:tcPr>
            <w:tcW w:w="1586" w:type="dxa"/>
            <w:shd w:val="clear" w:color="auto" w:fill="auto"/>
            <w:vAlign w:val="bottom"/>
            <w:hideMark/>
          </w:tcPr>
          <w:p w14:paraId="0C7E917F"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28%</w:t>
            </w:r>
          </w:p>
        </w:tc>
        <w:tc>
          <w:tcPr>
            <w:tcW w:w="1462" w:type="dxa"/>
            <w:shd w:val="clear" w:color="auto" w:fill="auto"/>
            <w:noWrap/>
            <w:vAlign w:val="bottom"/>
            <w:hideMark/>
          </w:tcPr>
          <w:p w14:paraId="6EA06769"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0,32</w:t>
            </w:r>
          </w:p>
        </w:tc>
        <w:tc>
          <w:tcPr>
            <w:tcW w:w="1380" w:type="dxa"/>
            <w:shd w:val="clear" w:color="auto" w:fill="auto"/>
            <w:noWrap/>
            <w:vAlign w:val="bottom"/>
            <w:hideMark/>
          </w:tcPr>
          <w:p w14:paraId="1AAC22C7"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5%</w:t>
            </w:r>
          </w:p>
        </w:tc>
        <w:tc>
          <w:tcPr>
            <w:tcW w:w="1417" w:type="dxa"/>
            <w:shd w:val="clear" w:color="auto" w:fill="auto"/>
            <w:noWrap/>
            <w:vAlign w:val="bottom"/>
            <w:hideMark/>
          </w:tcPr>
          <w:p w14:paraId="58BEFB0B"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0,02</w:t>
            </w:r>
          </w:p>
        </w:tc>
        <w:tc>
          <w:tcPr>
            <w:tcW w:w="1174" w:type="dxa"/>
            <w:shd w:val="clear" w:color="auto" w:fill="auto"/>
            <w:noWrap/>
            <w:vAlign w:val="bottom"/>
            <w:hideMark/>
          </w:tcPr>
          <w:p w14:paraId="31B1AB2A" w14:textId="77777777" w:rsidR="00385402" w:rsidRPr="0020107F" w:rsidRDefault="00385402" w:rsidP="00385402">
            <w:pPr>
              <w:spacing w:after="0" w:line="240" w:lineRule="auto"/>
              <w:jc w:val="right"/>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0,34</w:t>
            </w:r>
          </w:p>
        </w:tc>
      </w:tr>
      <w:tr w:rsidR="00385402" w:rsidRPr="003D6E1E" w14:paraId="22EC4CEB" w14:textId="77777777" w:rsidTr="0020107F">
        <w:trPr>
          <w:trHeight w:val="827"/>
        </w:trPr>
        <w:tc>
          <w:tcPr>
            <w:tcW w:w="2514" w:type="dxa"/>
            <w:shd w:val="clear" w:color="auto" w:fill="auto"/>
            <w:vAlign w:val="bottom"/>
            <w:hideMark/>
          </w:tcPr>
          <w:p w14:paraId="0C9A8C42"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 xml:space="preserve">Komunālo pakalpojumu % daļa no kopējām viena skolēna </w:t>
            </w:r>
            <w:r w:rsidRPr="0020107F">
              <w:rPr>
                <w:rFonts w:ascii="Times New Roman" w:eastAsia="Times New Roman" w:hAnsi="Times New Roman" w:cs="Times New Roman"/>
                <w:color w:val="000000"/>
                <w:sz w:val="24"/>
                <w:szCs w:val="24"/>
                <w:lang w:eastAsia="lv-LV"/>
              </w:rPr>
              <w:lastRenderedPageBreak/>
              <w:t>ēdināšanas izmaksām dienā</w:t>
            </w:r>
          </w:p>
        </w:tc>
        <w:tc>
          <w:tcPr>
            <w:tcW w:w="1586" w:type="dxa"/>
            <w:shd w:val="clear" w:color="auto" w:fill="auto"/>
            <w:vAlign w:val="bottom"/>
            <w:hideMark/>
          </w:tcPr>
          <w:p w14:paraId="20037BD9"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lastRenderedPageBreak/>
              <w:t>9%</w:t>
            </w:r>
          </w:p>
        </w:tc>
        <w:tc>
          <w:tcPr>
            <w:tcW w:w="1462" w:type="dxa"/>
            <w:shd w:val="clear" w:color="auto" w:fill="auto"/>
            <w:noWrap/>
            <w:vAlign w:val="bottom"/>
            <w:hideMark/>
          </w:tcPr>
          <w:p w14:paraId="40B2EC54"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0,10</w:t>
            </w:r>
          </w:p>
        </w:tc>
        <w:tc>
          <w:tcPr>
            <w:tcW w:w="1380" w:type="dxa"/>
            <w:shd w:val="clear" w:color="auto" w:fill="auto"/>
            <w:noWrap/>
            <w:vAlign w:val="bottom"/>
            <w:hideMark/>
          </w:tcPr>
          <w:p w14:paraId="2B212AB5"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23%</w:t>
            </w:r>
          </w:p>
        </w:tc>
        <w:tc>
          <w:tcPr>
            <w:tcW w:w="1417" w:type="dxa"/>
            <w:shd w:val="clear" w:color="auto" w:fill="auto"/>
            <w:noWrap/>
            <w:vAlign w:val="bottom"/>
            <w:hideMark/>
          </w:tcPr>
          <w:p w14:paraId="32703394"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0,02</w:t>
            </w:r>
          </w:p>
        </w:tc>
        <w:tc>
          <w:tcPr>
            <w:tcW w:w="1174" w:type="dxa"/>
            <w:shd w:val="clear" w:color="auto" w:fill="auto"/>
            <w:noWrap/>
            <w:vAlign w:val="bottom"/>
            <w:hideMark/>
          </w:tcPr>
          <w:p w14:paraId="157775BB" w14:textId="77777777" w:rsidR="00385402" w:rsidRPr="0020107F" w:rsidRDefault="00385402" w:rsidP="00385402">
            <w:pPr>
              <w:spacing w:after="0" w:line="240" w:lineRule="auto"/>
              <w:jc w:val="right"/>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0,12</w:t>
            </w:r>
          </w:p>
        </w:tc>
      </w:tr>
      <w:tr w:rsidR="00385402" w:rsidRPr="003D6E1E" w14:paraId="0EFA16E6" w14:textId="77777777" w:rsidTr="0020107F">
        <w:trPr>
          <w:trHeight w:val="1103"/>
        </w:trPr>
        <w:tc>
          <w:tcPr>
            <w:tcW w:w="2514" w:type="dxa"/>
            <w:shd w:val="clear" w:color="auto" w:fill="auto"/>
            <w:vAlign w:val="bottom"/>
            <w:hideMark/>
          </w:tcPr>
          <w:p w14:paraId="5E4F9FDF"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lastRenderedPageBreak/>
              <w:t xml:space="preserve">Materiāltehniskā nodrošinājuma % daļa no kopējām viena skolēna ēdināšanas izmaksām dienā </w:t>
            </w:r>
          </w:p>
        </w:tc>
        <w:tc>
          <w:tcPr>
            <w:tcW w:w="1586" w:type="dxa"/>
            <w:shd w:val="clear" w:color="auto" w:fill="auto"/>
            <w:vAlign w:val="bottom"/>
            <w:hideMark/>
          </w:tcPr>
          <w:p w14:paraId="2FB5194F"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4%</w:t>
            </w:r>
          </w:p>
        </w:tc>
        <w:tc>
          <w:tcPr>
            <w:tcW w:w="1462" w:type="dxa"/>
            <w:shd w:val="clear" w:color="auto" w:fill="auto"/>
            <w:noWrap/>
            <w:vAlign w:val="bottom"/>
            <w:hideMark/>
          </w:tcPr>
          <w:p w14:paraId="5198C9BC"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0,05</w:t>
            </w:r>
          </w:p>
        </w:tc>
        <w:tc>
          <w:tcPr>
            <w:tcW w:w="1380" w:type="dxa"/>
            <w:shd w:val="clear" w:color="auto" w:fill="auto"/>
            <w:noWrap/>
            <w:vAlign w:val="bottom"/>
            <w:hideMark/>
          </w:tcPr>
          <w:p w14:paraId="6D80098F" w14:textId="7C0DA75F" w:rsidR="00385402" w:rsidRPr="0020107F" w:rsidRDefault="00385402" w:rsidP="00AB1205">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 </w:t>
            </w:r>
          </w:p>
        </w:tc>
        <w:tc>
          <w:tcPr>
            <w:tcW w:w="1417" w:type="dxa"/>
            <w:shd w:val="clear" w:color="auto" w:fill="auto"/>
            <w:noWrap/>
            <w:vAlign w:val="bottom"/>
            <w:hideMark/>
          </w:tcPr>
          <w:p w14:paraId="63FBB21A"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 </w:t>
            </w:r>
          </w:p>
        </w:tc>
        <w:tc>
          <w:tcPr>
            <w:tcW w:w="1174" w:type="dxa"/>
            <w:shd w:val="clear" w:color="auto" w:fill="auto"/>
            <w:noWrap/>
            <w:vAlign w:val="bottom"/>
            <w:hideMark/>
          </w:tcPr>
          <w:p w14:paraId="49EC72BA" w14:textId="77777777" w:rsidR="00385402" w:rsidRPr="0020107F" w:rsidRDefault="00385402" w:rsidP="00385402">
            <w:pPr>
              <w:spacing w:after="0" w:line="240" w:lineRule="auto"/>
              <w:jc w:val="right"/>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0,05</w:t>
            </w:r>
          </w:p>
        </w:tc>
      </w:tr>
      <w:tr w:rsidR="00385402" w:rsidRPr="003D6E1E" w14:paraId="5561EA0C" w14:textId="77777777" w:rsidTr="0020107F">
        <w:trPr>
          <w:trHeight w:val="827"/>
        </w:trPr>
        <w:tc>
          <w:tcPr>
            <w:tcW w:w="2514" w:type="dxa"/>
            <w:shd w:val="clear" w:color="auto" w:fill="auto"/>
            <w:vAlign w:val="bottom"/>
            <w:hideMark/>
          </w:tcPr>
          <w:p w14:paraId="2B4D3A6A"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Pārējo izmaksu % daļa no kopējām viena skolēna ēdināšanas izmaksām dienā</w:t>
            </w:r>
          </w:p>
        </w:tc>
        <w:tc>
          <w:tcPr>
            <w:tcW w:w="1586" w:type="dxa"/>
            <w:shd w:val="clear" w:color="auto" w:fill="auto"/>
            <w:vAlign w:val="bottom"/>
            <w:hideMark/>
          </w:tcPr>
          <w:p w14:paraId="4CC6CB93"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5%</w:t>
            </w:r>
          </w:p>
        </w:tc>
        <w:tc>
          <w:tcPr>
            <w:tcW w:w="1462" w:type="dxa"/>
            <w:shd w:val="clear" w:color="auto" w:fill="auto"/>
            <w:noWrap/>
            <w:vAlign w:val="bottom"/>
            <w:hideMark/>
          </w:tcPr>
          <w:p w14:paraId="017CA2CB" w14:textId="77777777" w:rsidR="00385402" w:rsidRPr="0020107F" w:rsidRDefault="00385402" w:rsidP="00385402">
            <w:pPr>
              <w:spacing w:after="0" w:line="240" w:lineRule="auto"/>
              <w:jc w:val="right"/>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0,06</w:t>
            </w:r>
          </w:p>
        </w:tc>
        <w:tc>
          <w:tcPr>
            <w:tcW w:w="1380" w:type="dxa"/>
            <w:shd w:val="clear" w:color="auto" w:fill="auto"/>
            <w:noWrap/>
            <w:vAlign w:val="bottom"/>
            <w:hideMark/>
          </w:tcPr>
          <w:p w14:paraId="257DF7CD" w14:textId="32DAF4D4" w:rsidR="00385402" w:rsidRPr="0020107F" w:rsidRDefault="00385402" w:rsidP="00AB1205">
            <w:pPr>
              <w:spacing w:after="0" w:line="240" w:lineRule="auto"/>
              <w:jc w:val="right"/>
              <w:rPr>
                <w:rFonts w:ascii="Times New Roman" w:eastAsia="Times New Roman" w:hAnsi="Times New Roman" w:cs="Times New Roman"/>
                <w:color w:val="000000"/>
                <w:sz w:val="24"/>
                <w:szCs w:val="24"/>
                <w:lang w:eastAsia="lv-LV"/>
              </w:rPr>
            </w:pPr>
          </w:p>
        </w:tc>
        <w:tc>
          <w:tcPr>
            <w:tcW w:w="1417" w:type="dxa"/>
            <w:shd w:val="clear" w:color="auto" w:fill="auto"/>
            <w:noWrap/>
            <w:vAlign w:val="bottom"/>
            <w:hideMark/>
          </w:tcPr>
          <w:p w14:paraId="6C9833D6"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 </w:t>
            </w:r>
          </w:p>
        </w:tc>
        <w:tc>
          <w:tcPr>
            <w:tcW w:w="1174" w:type="dxa"/>
            <w:shd w:val="clear" w:color="auto" w:fill="auto"/>
            <w:noWrap/>
            <w:vAlign w:val="bottom"/>
            <w:hideMark/>
          </w:tcPr>
          <w:p w14:paraId="26097F35" w14:textId="77777777" w:rsidR="00385402" w:rsidRPr="0020107F" w:rsidRDefault="00385402" w:rsidP="00385402">
            <w:pPr>
              <w:spacing w:after="0" w:line="240" w:lineRule="auto"/>
              <w:jc w:val="right"/>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0,06</w:t>
            </w:r>
          </w:p>
        </w:tc>
      </w:tr>
      <w:tr w:rsidR="00385402" w:rsidRPr="003D6E1E" w14:paraId="2223A39B" w14:textId="77777777" w:rsidTr="0020107F">
        <w:trPr>
          <w:trHeight w:val="827"/>
        </w:trPr>
        <w:tc>
          <w:tcPr>
            <w:tcW w:w="2514" w:type="dxa"/>
            <w:shd w:val="clear" w:color="auto" w:fill="auto"/>
            <w:vAlign w:val="bottom"/>
            <w:hideMark/>
          </w:tcPr>
          <w:p w14:paraId="285CA760" w14:textId="77777777" w:rsidR="00385402" w:rsidRPr="0020107F" w:rsidRDefault="0058280F"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Pi</w:t>
            </w:r>
            <w:r w:rsidR="00385402" w:rsidRPr="0020107F">
              <w:rPr>
                <w:rFonts w:ascii="Times New Roman" w:eastAsia="Times New Roman" w:hAnsi="Times New Roman" w:cs="Times New Roman"/>
                <w:color w:val="000000"/>
                <w:sz w:val="24"/>
                <w:szCs w:val="24"/>
                <w:lang w:eastAsia="lv-LV"/>
              </w:rPr>
              <w:t>eauguma st</w:t>
            </w:r>
            <w:r w:rsidRPr="0020107F">
              <w:rPr>
                <w:rFonts w:ascii="Times New Roman" w:eastAsia="Times New Roman" w:hAnsi="Times New Roman" w:cs="Times New Roman"/>
                <w:color w:val="000000"/>
                <w:sz w:val="24"/>
                <w:szCs w:val="24"/>
                <w:lang w:eastAsia="lv-LV"/>
              </w:rPr>
              <w:t>ar</w:t>
            </w:r>
            <w:r w:rsidR="00385402" w:rsidRPr="0020107F">
              <w:rPr>
                <w:rFonts w:ascii="Times New Roman" w:eastAsia="Times New Roman" w:hAnsi="Times New Roman" w:cs="Times New Roman"/>
                <w:color w:val="000000"/>
                <w:sz w:val="24"/>
                <w:szCs w:val="24"/>
                <w:lang w:eastAsia="lv-LV"/>
              </w:rPr>
              <w:t>pība, kas nav izteikta ar citiem rādītājiem uz 01.09.2014.</w:t>
            </w:r>
          </w:p>
        </w:tc>
        <w:tc>
          <w:tcPr>
            <w:tcW w:w="1586" w:type="dxa"/>
            <w:shd w:val="clear" w:color="auto" w:fill="auto"/>
            <w:vAlign w:val="bottom"/>
            <w:hideMark/>
          </w:tcPr>
          <w:p w14:paraId="058DDFA0"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 </w:t>
            </w:r>
          </w:p>
        </w:tc>
        <w:tc>
          <w:tcPr>
            <w:tcW w:w="1462" w:type="dxa"/>
            <w:shd w:val="clear" w:color="auto" w:fill="auto"/>
            <w:noWrap/>
            <w:vAlign w:val="bottom"/>
            <w:hideMark/>
          </w:tcPr>
          <w:p w14:paraId="2EC8B71F"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 </w:t>
            </w:r>
          </w:p>
        </w:tc>
        <w:tc>
          <w:tcPr>
            <w:tcW w:w="1380" w:type="dxa"/>
            <w:shd w:val="clear" w:color="auto" w:fill="auto"/>
            <w:noWrap/>
            <w:vAlign w:val="bottom"/>
            <w:hideMark/>
          </w:tcPr>
          <w:p w14:paraId="6525EA5D"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 </w:t>
            </w:r>
          </w:p>
        </w:tc>
        <w:tc>
          <w:tcPr>
            <w:tcW w:w="1417" w:type="dxa"/>
            <w:shd w:val="clear" w:color="auto" w:fill="auto"/>
            <w:noWrap/>
            <w:vAlign w:val="bottom"/>
            <w:hideMark/>
          </w:tcPr>
          <w:p w14:paraId="7A9CE446" w14:textId="77777777" w:rsidR="00385402" w:rsidRPr="0020107F" w:rsidRDefault="00385402" w:rsidP="00385402">
            <w:pPr>
              <w:spacing w:after="0" w:line="240" w:lineRule="auto"/>
              <w:rPr>
                <w:rFonts w:ascii="Times New Roman" w:eastAsia="Times New Roman" w:hAnsi="Times New Roman" w:cs="Times New Roman"/>
                <w:color w:val="000000"/>
                <w:sz w:val="24"/>
                <w:szCs w:val="24"/>
                <w:lang w:eastAsia="lv-LV"/>
              </w:rPr>
            </w:pPr>
            <w:r w:rsidRPr="0020107F">
              <w:rPr>
                <w:rFonts w:ascii="Times New Roman" w:eastAsia="Times New Roman" w:hAnsi="Times New Roman" w:cs="Times New Roman"/>
                <w:color w:val="000000"/>
                <w:sz w:val="24"/>
                <w:szCs w:val="24"/>
                <w:lang w:eastAsia="lv-LV"/>
              </w:rPr>
              <w:t> </w:t>
            </w:r>
          </w:p>
        </w:tc>
        <w:tc>
          <w:tcPr>
            <w:tcW w:w="1174" w:type="dxa"/>
            <w:shd w:val="clear" w:color="auto" w:fill="auto"/>
            <w:noWrap/>
            <w:vAlign w:val="bottom"/>
            <w:hideMark/>
          </w:tcPr>
          <w:p w14:paraId="6FEE403F" w14:textId="206C4998" w:rsidR="00385402" w:rsidRPr="0020107F" w:rsidRDefault="00385402" w:rsidP="000334C4">
            <w:pPr>
              <w:spacing w:after="0" w:line="240" w:lineRule="auto"/>
              <w:jc w:val="right"/>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0,</w:t>
            </w:r>
            <w:r w:rsidR="000334C4" w:rsidRPr="0020107F">
              <w:rPr>
                <w:rFonts w:ascii="Times New Roman" w:eastAsia="Times New Roman" w:hAnsi="Times New Roman" w:cs="Times New Roman"/>
                <w:b/>
                <w:bCs/>
                <w:color w:val="000000"/>
                <w:sz w:val="24"/>
                <w:szCs w:val="24"/>
                <w:lang w:eastAsia="lv-LV"/>
              </w:rPr>
              <w:t>19</w:t>
            </w:r>
          </w:p>
        </w:tc>
      </w:tr>
      <w:tr w:rsidR="00385402" w:rsidRPr="003D6E1E" w14:paraId="1912F74B" w14:textId="77777777" w:rsidTr="0020107F">
        <w:trPr>
          <w:trHeight w:val="275"/>
        </w:trPr>
        <w:tc>
          <w:tcPr>
            <w:tcW w:w="2514" w:type="dxa"/>
            <w:shd w:val="clear" w:color="auto" w:fill="auto"/>
            <w:noWrap/>
            <w:vAlign w:val="bottom"/>
            <w:hideMark/>
          </w:tcPr>
          <w:p w14:paraId="4C482861" w14:textId="77777777" w:rsidR="00385402" w:rsidRPr="0020107F" w:rsidRDefault="00385402" w:rsidP="00385402">
            <w:pPr>
              <w:spacing w:after="0" w:line="240" w:lineRule="auto"/>
              <w:jc w:val="right"/>
              <w:rPr>
                <w:rFonts w:ascii="Times New Roman" w:eastAsia="Times New Roman" w:hAnsi="Times New Roman" w:cs="Times New Roman"/>
                <w:b/>
                <w:bCs/>
                <w:color w:val="000000"/>
                <w:sz w:val="24"/>
                <w:szCs w:val="24"/>
                <w:lang w:eastAsia="lv-LV"/>
              </w:rPr>
            </w:pPr>
          </w:p>
        </w:tc>
        <w:tc>
          <w:tcPr>
            <w:tcW w:w="1586" w:type="dxa"/>
            <w:shd w:val="clear" w:color="auto" w:fill="auto"/>
            <w:noWrap/>
            <w:vAlign w:val="bottom"/>
            <w:hideMark/>
          </w:tcPr>
          <w:p w14:paraId="0741FE7D" w14:textId="77777777" w:rsidR="00385402" w:rsidRPr="0020107F" w:rsidRDefault="00385402" w:rsidP="00385402">
            <w:pPr>
              <w:spacing w:after="0" w:line="240" w:lineRule="auto"/>
              <w:rPr>
                <w:rFonts w:ascii="Times New Roman" w:eastAsia="Times New Roman" w:hAnsi="Times New Roman" w:cs="Times New Roman"/>
                <w:sz w:val="24"/>
                <w:szCs w:val="24"/>
                <w:lang w:eastAsia="lv-LV"/>
              </w:rPr>
            </w:pPr>
          </w:p>
        </w:tc>
        <w:tc>
          <w:tcPr>
            <w:tcW w:w="1462" w:type="dxa"/>
            <w:shd w:val="clear" w:color="auto" w:fill="auto"/>
            <w:noWrap/>
            <w:vAlign w:val="bottom"/>
            <w:hideMark/>
          </w:tcPr>
          <w:p w14:paraId="09CCAE72" w14:textId="77777777" w:rsidR="00385402" w:rsidRPr="0020107F" w:rsidRDefault="00385402" w:rsidP="00385402">
            <w:pPr>
              <w:spacing w:after="0" w:line="240" w:lineRule="auto"/>
              <w:jc w:val="center"/>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1,14</w:t>
            </w:r>
          </w:p>
        </w:tc>
        <w:tc>
          <w:tcPr>
            <w:tcW w:w="1380" w:type="dxa"/>
            <w:shd w:val="clear" w:color="auto" w:fill="auto"/>
            <w:noWrap/>
            <w:vAlign w:val="bottom"/>
            <w:hideMark/>
          </w:tcPr>
          <w:p w14:paraId="0C4D0543" w14:textId="77777777" w:rsidR="00385402" w:rsidRPr="0020107F" w:rsidRDefault="00385402" w:rsidP="00385402">
            <w:pPr>
              <w:spacing w:after="0" w:line="240" w:lineRule="auto"/>
              <w:jc w:val="center"/>
              <w:rPr>
                <w:rFonts w:ascii="Times New Roman" w:eastAsia="Times New Roman" w:hAnsi="Times New Roman" w:cs="Times New Roman"/>
                <w:b/>
                <w:bCs/>
                <w:color w:val="000000"/>
                <w:sz w:val="24"/>
                <w:szCs w:val="24"/>
                <w:lang w:eastAsia="lv-LV"/>
              </w:rPr>
            </w:pPr>
          </w:p>
        </w:tc>
        <w:tc>
          <w:tcPr>
            <w:tcW w:w="1417" w:type="dxa"/>
            <w:shd w:val="clear" w:color="auto" w:fill="auto"/>
            <w:noWrap/>
            <w:vAlign w:val="bottom"/>
            <w:hideMark/>
          </w:tcPr>
          <w:p w14:paraId="01CF9783" w14:textId="77777777" w:rsidR="00385402" w:rsidRPr="0020107F" w:rsidRDefault="00385402" w:rsidP="00385402">
            <w:pPr>
              <w:spacing w:after="0" w:line="240" w:lineRule="auto"/>
              <w:rPr>
                <w:rFonts w:ascii="Times New Roman" w:eastAsia="Times New Roman" w:hAnsi="Times New Roman" w:cs="Times New Roman"/>
                <w:sz w:val="24"/>
                <w:szCs w:val="24"/>
                <w:lang w:eastAsia="lv-LV"/>
              </w:rPr>
            </w:pPr>
          </w:p>
        </w:tc>
        <w:tc>
          <w:tcPr>
            <w:tcW w:w="1174" w:type="dxa"/>
            <w:shd w:val="clear" w:color="auto" w:fill="auto"/>
            <w:noWrap/>
            <w:vAlign w:val="bottom"/>
            <w:hideMark/>
          </w:tcPr>
          <w:p w14:paraId="13F42A99" w14:textId="77777777" w:rsidR="00385402" w:rsidRPr="0020107F" w:rsidRDefault="00385402" w:rsidP="00385402">
            <w:pPr>
              <w:spacing w:after="0" w:line="240" w:lineRule="auto"/>
              <w:jc w:val="center"/>
              <w:rPr>
                <w:rFonts w:ascii="Times New Roman" w:eastAsia="Times New Roman" w:hAnsi="Times New Roman" w:cs="Times New Roman"/>
                <w:b/>
                <w:bCs/>
                <w:color w:val="000000"/>
                <w:sz w:val="24"/>
                <w:szCs w:val="24"/>
                <w:lang w:eastAsia="lv-LV"/>
              </w:rPr>
            </w:pPr>
            <w:r w:rsidRPr="0020107F">
              <w:rPr>
                <w:rFonts w:ascii="Times New Roman" w:eastAsia="Times New Roman" w:hAnsi="Times New Roman" w:cs="Times New Roman"/>
                <w:b/>
                <w:bCs/>
                <w:color w:val="000000"/>
                <w:sz w:val="24"/>
                <w:szCs w:val="24"/>
                <w:lang w:eastAsia="lv-LV"/>
              </w:rPr>
              <w:t>1,42</w:t>
            </w:r>
          </w:p>
        </w:tc>
      </w:tr>
    </w:tbl>
    <w:p w14:paraId="07A5BC36" w14:textId="77777777" w:rsidR="00385402" w:rsidRPr="0020107F" w:rsidRDefault="00385402" w:rsidP="00664FCD">
      <w:pPr>
        <w:widowControl w:val="0"/>
        <w:spacing w:after="0" w:line="240" w:lineRule="auto"/>
        <w:ind w:firstLine="720"/>
        <w:jc w:val="both"/>
        <w:rPr>
          <w:rFonts w:ascii="Times New Roman" w:eastAsia="Calibri" w:hAnsi="Times New Roman" w:cs="Times New Roman"/>
          <w:sz w:val="28"/>
          <w:szCs w:val="28"/>
        </w:rPr>
      </w:pPr>
    </w:p>
    <w:p w14:paraId="7C320D6D" w14:textId="380E2EAC" w:rsidR="001663FC" w:rsidRPr="0020107F" w:rsidRDefault="0058280F" w:rsidP="00A804DC">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Veiktie aprēķini norāda, ka viena izglītojamā dienā likmes pieaugums 2014.gada 1.septembrī no 1</w:t>
      </w:r>
      <w:r w:rsidR="00E5463C" w:rsidRPr="0020107F">
        <w:rPr>
          <w:rFonts w:ascii="Times New Roman" w:eastAsia="Calibri" w:hAnsi="Times New Roman" w:cs="Times New Roman"/>
          <w:sz w:val="28"/>
          <w:szCs w:val="28"/>
        </w:rPr>
        <w:t>,</w:t>
      </w:r>
      <w:r w:rsidRPr="0020107F">
        <w:rPr>
          <w:rFonts w:ascii="Times New Roman" w:eastAsia="Calibri" w:hAnsi="Times New Roman" w:cs="Times New Roman"/>
          <w:sz w:val="28"/>
          <w:szCs w:val="28"/>
        </w:rPr>
        <w:t xml:space="preserve">14 </w:t>
      </w:r>
      <w:proofErr w:type="spellStart"/>
      <w:r w:rsidRPr="0020107F">
        <w:rPr>
          <w:rFonts w:ascii="Times New Roman" w:eastAsia="Calibri" w:hAnsi="Times New Roman" w:cs="Times New Roman"/>
          <w:i/>
          <w:sz w:val="28"/>
          <w:szCs w:val="28"/>
        </w:rPr>
        <w:t>euro</w:t>
      </w:r>
      <w:proofErr w:type="spellEnd"/>
      <w:r w:rsidRPr="0020107F">
        <w:rPr>
          <w:rFonts w:ascii="Times New Roman" w:eastAsia="Calibri" w:hAnsi="Times New Roman" w:cs="Times New Roman"/>
          <w:sz w:val="28"/>
          <w:szCs w:val="28"/>
        </w:rPr>
        <w:t xml:space="preserve"> uz 1</w:t>
      </w:r>
      <w:r w:rsidR="00E5463C" w:rsidRPr="0020107F">
        <w:rPr>
          <w:rFonts w:ascii="Times New Roman" w:eastAsia="Calibri" w:hAnsi="Times New Roman" w:cs="Times New Roman"/>
          <w:sz w:val="28"/>
          <w:szCs w:val="28"/>
        </w:rPr>
        <w:t>,</w:t>
      </w:r>
      <w:r w:rsidRPr="0020107F">
        <w:rPr>
          <w:rFonts w:ascii="Times New Roman" w:eastAsia="Calibri" w:hAnsi="Times New Roman" w:cs="Times New Roman"/>
          <w:sz w:val="28"/>
          <w:szCs w:val="28"/>
        </w:rPr>
        <w:t xml:space="preserve">42 </w:t>
      </w:r>
      <w:proofErr w:type="spellStart"/>
      <w:r w:rsidRPr="0020107F">
        <w:rPr>
          <w:rFonts w:ascii="Times New Roman" w:eastAsia="Calibri" w:hAnsi="Times New Roman" w:cs="Times New Roman"/>
          <w:i/>
          <w:sz w:val="28"/>
          <w:szCs w:val="28"/>
        </w:rPr>
        <w:t>euro</w:t>
      </w:r>
      <w:proofErr w:type="spellEnd"/>
      <w:r w:rsidRPr="0020107F">
        <w:rPr>
          <w:rFonts w:ascii="Times New Roman" w:eastAsia="Calibri" w:hAnsi="Times New Roman" w:cs="Times New Roman"/>
          <w:sz w:val="28"/>
          <w:szCs w:val="28"/>
        </w:rPr>
        <w:t xml:space="preserve"> ir sedzis inflācijas</w:t>
      </w:r>
      <w:r w:rsidR="001663FC" w:rsidRPr="0020107F">
        <w:rPr>
          <w:rFonts w:ascii="Times New Roman" w:eastAsia="Calibri" w:hAnsi="Times New Roman" w:cs="Times New Roman"/>
          <w:sz w:val="28"/>
          <w:szCs w:val="28"/>
        </w:rPr>
        <w:t xml:space="preserve"> pieaugumu.</w:t>
      </w:r>
    </w:p>
    <w:p w14:paraId="2667A79F" w14:textId="77777777" w:rsidR="00C0629F" w:rsidRPr="0020107F" w:rsidRDefault="00C0629F" w:rsidP="00A804DC">
      <w:pPr>
        <w:widowControl w:val="0"/>
        <w:spacing w:after="0" w:line="240" w:lineRule="auto"/>
        <w:ind w:firstLine="720"/>
        <w:jc w:val="both"/>
        <w:rPr>
          <w:rFonts w:ascii="Times New Roman" w:eastAsia="Calibri" w:hAnsi="Times New Roman" w:cs="Times New Roman"/>
          <w:sz w:val="28"/>
          <w:szCs w:val="28"/>
        </w:rPr>
      </w:pPr>
    </w:p>
    <w:p w14:paraId="2794519B" w14:textId="7A870FC4" w:rsidR="005F4B31" w:rsidRPr="0020107F" w:rsidRDefault="00CB0B4B" w:rsidP="005F4B31">
      <w:pPr>
        <w:jc w:val="center"/>
        <w:rPr>
          <w:rFonts w:ascii="Times New Roman" w:hAnsi="Times New Roman" w:cs="Times New Roman"/>
          <w:b/>
          <w:sz w:val="28"/>
          <w:szCs w:val="28"/>
        </w:rPr>
      </w:pPr>
      <w:r w:rsidRPr="0020107F">
        <w:rPr>
          <w:rFonts w:ascii="Times New Roman" w:hAnsi="Times New Roman" w:cs="Times New Roman"/>
          <w:b/>
          <w:sz w:val="28"/>
          <w:szCs w:val="28"/>
        </w:rPr>
        <w:t>II</w:t>
      </w:r>
      <w:r w:rsidR="0012116E" w:rsidRPr="0020107F">
        <w:rPr>
          <w:rFonts w:ascii="Times New Roman" w:hAnsi="Times New Roman" w:cs="Times New Roman"/>
          <w:b/>
          <w:sz w:val="28"/>
          <w:szCs w:val="28"/>
        </w:rPr>
        <w:t>.</w:t>
      </w:r>
      <w:r w:rsidRPr="0020107F">
        <w:rPr>
          <w:rFonts w:ascii="Times New Roman" w:hAnsi="Times New Roman" w:cs="Times New Roman"/>
          <w:b/>
          <w:sz w:val="28"/>
          <w:szCs w:val="28"/>
        </w:rPr>
        <w:t xml:space="preserve"> S</w:t>
      </w:r>
      <w:r w:rsidR="000918A6" w:rsidRPr="0020107F">
        <w:rPr>
          <w:rFonts w:ascii="Times New Roman" w:hAnsi="Times New Roman" w:cs="Times New Roman"/>
          <w:b/>
          <w:sz w:val="28"/>
          <w:szCs w:val="28"/>
        </w:rPr>
        <w:t>ecinājumi un priekšlikumi.</w:t>
      </w:r>
    </w:p>
    <w:p w14:paraId="201ECD2F" w14:textId="000B777D" w:rsidR="00CB0B4B" w:rsidRPr="0020107F" w:rsidRDefault="00CB0B4B" w:rsidP="0020107F">
      <w:pPr>
        <w:spacing w:after="0" w:line="240" w:lineRule="auto"/>
        <w:rPr>
          <w:rFonts w:ascii="Times New Roman" w:hAnsi="Times New Roman" w:cs="Times New Roman"/>
          <w:b/>
          <w:sz w:val="28"/>
          <w:szCs w:val="28"/>
        </w:rPr>
      </w:pPr>
      <w:r w:rsidRPr="0020107F">
        <w:rPr>
          <w:rFonts w:ascii="Times New Roman" w:hAnsi="Times New Roman" w:cs="Times New Roman"/>
          <w:b/>
          <w:sz w:val="28"/>
          <w:szCs w:val="28"/>
        </w:rPr>
        <w:t>Secinājumi:</w:t>
      </w:r>
    </w:p>
    <w:p w14:paraId="1487F6FB" w14:textId="22D992D9" w:rsidR="005F4B31" w:rsidRPr="0020107F" w:rsidRDefault="0012116E" w:rsidP="0020107F">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1. </w:t>
      </w:r>
      <w:r w:rsidR="000918A6" w:rsidRPr="0020107F">
        <w:rPr>
          <w:rFonts w:ascii="Times New Roman" w:eastAsia="Calibri" w:hAnsi="Times New Roman" w:cs="Times New Roman"/>
          <w:sz w:val="28"/>
          <w:szCs w:val="28"/>
        </w:rPr>
        <w:t xml:space="preserve">Kopš 2015.gada 1.septembra </w:t>
      </w:r>
      <w:r w:rsidR="0082532E" w:rsidRPr="0020107F">
        <w:rPr>
          <w:rFonts w:ascii="Times New Roman" w:eastAsia="Calibri" w:hAnsi="Times New Roman" w:cs="Times New Roman"/>
          <w:sz w:val="28"/>
          <w:szCs w:val="28"/>
        </w:rPr>
        <w:t xml:space="preserve">no 1. līdz 4.klases 80 761 izglītojamiem </w:t>
      </w:r>
      <w:r w:rsidR="000918A6" w:rsidRPr="0020107F">
        <w:rPr>
          <w:rFonts w:ascii="Times New Roman" w:eastAsia="Calibri" w:hAnsi="Times New Roman" w:cs="Times New Roman"/>
          <w:sz w:val="28"/>
          <w:szCs w:val="28"/>
        </w:rPr>
        <w:t>valsts nodrošina ēdināšanu</w:t>
      </w:r>
      <w:r w:rsidR="003F3246" w:rsidRPr="0020107F">
        <w:rPr>
          <w:rFonts w:ascii="Times New Roman" w:eastAsia="Calibri" w:hAnsi="Times New Roman" w:cs="Times New Roman"/>
          <w:sz w:val="28"/>
          <w:szCs w:val="28"/>
        </w:rPr>
        <w:t>. Valsts budžeta līdzekļi vienam izglītojamajam dienā ir</w:t>
      </w:r>
      <w:r w:rsidR="000918A6" w:rsidRPr="0020107F">
        <w:rPr>
          <w:rFonts w:ascii="Times New Roman" w:eastAsia="Calibri" w:hAnsi="Times New Roman" w:cs="Times New Roman"/>
          <w:sz w:val="28"/>
          <w:szCs w:val="28"/>
        </w:rPr>
        <w:t xml:space="preserve"> 1,42 </w:t>
      </w:r>
      <w:proofErr w:type="spellStart"/>
      <w:r w:rsidR="000918A6" w:rsidRPr="0020107F">
        <w:rPr>
          <w:rFonts w:ascii="Times New Roman" w:eastAsia="Calibri" w:hAnsi="Times New Roman" w:cs="Times New Roman"/>
          <w:sz w:val="28"/>
          <w:szCs w:val="28"/>
        </w:rPr>
        <w:t>euro</w:t>
      </w:r>
      <w:proofErr w:type="spellEnd"/>
      <w:r w:rsidR="000918A6" w:rsidRPr="0020107F">
        <w:rPr>
          <w:rFonts w:ascii="Times New Roman" w:eastAsia="Calibri" w:hAnsi="Times New Roman" w:cs="Times New Roman"/>
          <w:sz w:val="28"/>
          <w:szCs w:val="28"/>
        </w:rPr>
        <w:t>.</w:t>
      </w:r>
    </w:p>
    <w:p w14:paraId="4D343267" w14:textId="5F5A1602" w:rsidR="000918A6" w:rsidRPr="0020107F" w:rsidRDefault="0012116E" w:rsidP="0020107F">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2. </w:t>
      </w:r>
      <w:r w:rsidR="003F3246" w:rsidRPr="0020107F">
        <w:rPr>
          <w:rFonts w:ascii="Times New Roman" w:eastAsia="Calibri" w:hAnsi="Times New Roman" w:cs="Times New Roman"/>
          <w:sz w:val="28"/>
          <w:szCs w:val="28"/>
        </w:rPr>
        <w:t xml:space="preserve">Saskaņā ar apkopoto informāciju </w:t>
      </w:r>
      <w:r w:rsidR="0082532E" w:rsidRPr="0020107F">
        <w:rPr>
          <w:rFonts w:ascii="Times New Roman" w:eastAsia="Calibri" w:hAnsi="Times New Roman" w:cs="Times New Roman"/>
          <w:sz w:val="28"/>
          <w:szCs w:val="28"/>
        </w:rPr>
        <w:t>p</w:t>
      </w:r>
      <w:r w:rsidR="000918A6" w:rsidRPr="0020107F">
        <w:rPr>
          <w:rFonts w:ascii="Times New Roman" w:eastAsia="Calibri" w:hAnsi="Times New Roman" w:cs="Times New Roman"/>
          <w:sz w:val="28"/>
          <w:szCs w:val="28"/>
        </w:rPr>
        <w:t xml:space="preserve">ārtikas produktiem vidēji tiek tērēti tikai 54% </w:t>
      </w:r>
      <w:r w:rsidR="003F3246" w:rsidRPr="0020107F">
        <w:rPr>
          <w:rFonts w:ascii="Times New Roman" w:eastAsia="Calibri" w:hAnsi="Times New Roman" w:cs="Times New Roman"/>
          <w:sz w:val="28"/>
          <w:szCs w:val="28"/>
        </w:rPr>
        <w:t>no kopējiem ēdināšanas izdevumiem</w:t>
      </w:r>
      <w:r w:rsidRPr="0020107F">
        <w:rPr>
          <w:rFonts w:ascii="Times New Roman" w:eastAsia="Calibri" w:hAnsi="Times New Roman" w:cs="Times New Roman"/>
          <w:sz w:val="28"/>
          <w:szCs w:val="28"/>
        </w:rPr>
        <w:t>.</w:t>
      </w:r>
    </w:p>
    <w:p w14:paraId="667E8949" w14:textId="5C61CACD" w:rsidR="000918A6" w:rsidRPr="0020107F" w:rsidRDefault="0012116E" w:rsidP="0020107F">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3. Saskaņā ar </w:t>
      </w:r>
      <w:r w:rsidR="003F3246" w:rsidRPr="0020107F">
        <w:rPr>
          <w:rFonts w:ascii="Times New Roman" w:eastAsia="Calibri" w:hAnsi="Times New Roman" w:cs="Times New Roman"/>
          <w:sz w:val="28"/>
          <w:szCs w:val="28"/>
        </w:rPr>
        <w:t>pašvaldību un privāto izglītības iestāžu sniegto informāciju 50%</w:t>
      </w:r>
      <w:r w:rsidR="002D346D" w:rsidRPr="0020107F">
        <w:rPr>
          <w:rFonts w:ascii="Times New Roman" w:eastAsia="Calibri" w:hAnsi="Times New Roman" w:cs="Times New Roman"/>
          <w:sz w:val="28"/>
          <w:szCs w:val="28"/>
        </w:rPr>
        <w:t xml:space="preserve"> gadījumos pašvaldības </w:t>
      </w:r>
      <w:r w:rsidRPr="0020107F">
        <w:rPr>
          <w:rFonts w:ascii="Times New Roman" w:eastAsia="Calibri" w:hAnsi="Times New Roman" w:cs="Times New Roman"/>
          <w:sz w:val="28"/>
          <w:szCs w:val="28"/>
        </w:rPr>
        <w:t xml:space="preserve">un </w:t>
      </w:r>
      <w:r w:rsidR="002D346D" w:rsidRPr="0020107F">
        <w:rPr>
          <w:rFonts w:ascii="Times New Roman" w:eastAsia="Calibri" w:hAnsi="Times New Roman" w:cs="Times New Roman"/>
          <w:sz w:val="28"/>
          <w:szCs w:val="28"/>
        </w:rPr>
        <w:t>privātās izglītības iestādes veic papildu maksājumus, lai nodrošinātu ēdināšanas pakalpojumu.</w:t>
      </w:r>
    </w:p>
    <w:p w14:paraId="1F6596A1" w14:textId="51214775" w:rsidR="000918A6" w:rsidRPr="0020107F" w:rsidRDefault="0012116E" w:rsidP="0020107F">
      <w:pPr>
        <w:widowControl w:val="0"/>
        <w:spacing w:after="0" w:line="240" w:lineRule="auto"/>
        <w:ind w:firstLine="720"/>
        <w:jc w:val="both"/>
        <w:rPr>
          <w:rFonts w:ascii="Times New Roman" w:eastAsia="Calibri" w:hAnsi="Times New Roman" w:cs="Times New Roman"/>
          <w:sz w:val="28"/>
          <w:szCs w:val="28"/>
        </w:rPr>
      </w:pPr>
      <w:r w:rsidRPr="0020107F">
        <w:rPr>
          <w:rFonts w:ascii="Times New Roman" w:eastAsia="Calibri" w:hAnsi="Times New Roman" w:cs="Times New Roman"/>
          <w:sz w:val="28"/>
          <w:szCs w:val="28"/>
        </w:rPr>
        <w:t xml:space="preserve">4. </w:t>
      </w:r>
      <w:r w:rsidR="000918A6" w:rsidRPr="0020107F">
        <w:rPr>
          <w:rFonts w:ascii="Times New Roman" w:eastAsia="Calibri" w:hAnsi="Times New Roman" w:cs="Times New Roman"/>
          <w:sz w:val="28"/>
          <w:szCs w:val="28"/>
        </w:rPr>
        <w:t xml:space="preserve">Lai palielinātu pārtikas produktu proporciju un </w:t>
      </w:r>
      <w:r w:rsidR="009B4EBA" w:rsidRPr="0020107F">
        <w:rPr>
          <w:rFonts w:ascii="Times New Roman" w:eastAsia="Calibri" w:hAnsi="Times New Roman" w:cs="Times New Roman"/>
          <w:sz w:val="28"/>
          <w:szCs w:val="28"/>
        </w:rPr>
        <w:t>pārtikas produktiem izmantojamo līdzekļu apmēru,</w:t>
      </w:r>
      <w:r w:rsidR="000918A6" w:rsidRPr="0020107F">
        <w:rPr>
          <w:rFonts w:ascii="Times New Roman" w:eastAsia="Calibri" w:hAnsi="Times New Roman" w:cs="Times New Roman"/>
          <w:sz w:val="28"/>
          <w:szCs w:val="28"/>
        </w:rPr>
        <w:t xml:space="preserve"> ir nepieciešams palielināt kopējo valsts budžeta summu vienam izglītojamajam</w:t>
      </w:r>
      <w:r w:rsidR="002D346D" w:rsidRPr="0020107F">
        <w:rPr>
          <w:rFonts w:ascii="Times New Roman" w:eastAsia="Calibri" w:hAnsi="Times New Roman" w:cs="Times New Roman"/>
          <w:sz w:val="28"/>
          <w:szCs w:val="28"/>
        </w:rPr>
        <w:t xml:space="preserve"> dienā</w:t>
      </w:r>
      <w:r w:rsidR="000918A6" w:rsidRPr="0020107F">
        <w:rPr>
          <w:rFonts w:ascii="Times New Roman" w:eastAsia="Calibri" w:hAnsi="Times New Roman" w:cs="Times New Roman"/>
          <w:sz w:val="28"/>
          <w:szCs w:val="28"/>
        </w:rPr>
        <w:t>.</w:t>
      </w:r>
    </w:p>
    <w:p w14:paraId="74F015B5" w14:textId="77777777" w:rsidR="005F4B31" w:rsidRPr="0020107F" w:rsidRDefault="005F4B31" w:rsidP="0020107F">
      <w:pPr>
        <w:widowControl w:val="0"/>
        <w:spacing w:after="0" w:line="240" w:lineRule="auto"/>
        <w:ind w:firstLine="720"/>
        <w:jc w:val="both"/>
        <w:rPr>
          <w:rFonts w:ascii="Times New Roman" w:eastAsia="Calibri" w:hAnsi="Times New Roman" w:cs="Times New Roman"/>
          <w:sz w:val="28"/>
          <w:szCs w:val="28"/>
        </w:rPr>
      </w:pPr>
    </w:p>
    <w:p w14:paraId="1750618D" w14:textId="2EADFE47" w:rsidR="000918A6" w:rsidRPr="0020107F" w:rsidRDefault="00020379" w:rsidP="0020107F">
      <w:pPr>
        <w:spacing w:after="0" w:line="240" w:lineRule="auto"/>
        <w:jc w:val="both"/>
        <w:rPr>
          <w:rFonts w:ascii="Times New Roman" w:hAnsi="Times New Roman" w:cs="Times New Roman"/>
          <w:b/>
          <w:sz w:val="28"/>
          <w:szCs w:val="28"/>
        </w:rPr>
      </w:pPr>
      <w:r w:rsidRPr="0020107F">
        <w:rPr>
          <w:rFonts w:ascii="Times New Roman" w:hAnsi="Times New Roman" w:cs="Times New Roman"/>
          <w:b/>
          <w:sz w:val="28"/>
          <w:szCs w:val="28"/>
        </w:rPr>
        <w:t>P</w:t>
      </w:r>
      <w:r w:rsidR="000918A6" w:rsidRPr="0020107F">
        <w:rPr>
          <w:rFonts w:ascii="Times New Roman" w:hAnsi="Times New Roman" w:cs="Times New Roman"/>
          <w:b/>
          <w:sz w:val="28"/>
          <w:szCs w:val="28"/>
        </w:rPr>
        <w:t>riekšlikumi:</w:t>
      </w:r>
    </w:p>
    <w:p w14:paraId="631B649B" w14:textId="5D34D816" w:rsidR="00D16CA8" w:rsidRPr="0020107F" w:rsidRDefault="0012116E" w:rsidP="0020107F">
      <w:pPr>
        <w:spacing w:after="0" w:line="240" w:lineRule="auto"/>
        <w:ind w:firstLine="720"/>
        <w:jc w:val="both"/>
        <w:rPr>
          <w:rFonts w:ascii="Times New Roman" w:hAnsi="Times New Roman" w:cs="Times New Roman"/>
          <w:b/>
          <w:sz w:val="28"/>
          <w:szCs w:val="28"/>
        </w:rPr>
      </w:pPr>
      <w:r w:rsidRPr="0020107F">
        <w:rPr>
          <w:rFonts w:ascii="Times New Roman" w:hAnsi="Times New Roman" w:cs="Times New Roman"/>
          <w:b/>
          <w:sz w:val="28"/>
          <w:szCs w:val="28"/>
        </w:rPr>
        <w:t xml:space="preserve">1. </w:t>
      </w:r>
      <w:r w:rsidR="00D16CA8" w:rsidRPr="0020107F">
        <w:rPr>
          <w:rFonts w:ascii="Times New Roman" w:hAnsi="Times New Roman" w:cs="Times New Roman"/>
          <w:b/>
          <w:sz w:val="28"/>
          <w:szCs w:val="28"/>
        </w:rPr>
        <w:t xml:space="preserve">Jautājumu par skolēnu ēdināšanai papildu nepieciešamo finansējumu  izskatīt likumprojekta „Par vidēja termiņa budžeta ietvaru 2017., 2018. un 2019.gadam” un likumprojekta „Par valsts budžetu 2017.gadam” sagatavošanas un izskatīšanas procesā. Izglītības un zinātnes ministrijai pēc skolēnu ēdināšanai papildus nepieciešamā finansējuma </w:t>
      </w:r>
      <w:r w:rsidRPr="0020107F">
        <w:rPr>
          <w:rFonts w:ascii="Times New Roman" w:hAnsi="Times New Roman" w:cs="Times New Roman"/>
          <w:b/>
          <w:sz w:val="28"/>
          <w:szCs w:val="28"/>
        </w:rPr>
        <w:t xml:space="preserve">piešķiršanas  </w:t>
      </w:r>
      <w:r w:rsidR="00D16CA8" w:rsidRPr="0020107F">
        <w:rPr>
          <w:rFonts w:ascii="Times New Roman" w:hAnsi="Times New Roman" w:cs="Times New Roman"/>
          <w:b/>
          <w:sz w:val="28"/>
          <w:szCs w:val="28"/>
        </w:rPr>
        <w:t xml:space="preserve">virzīt grozījumus </w:t>
      </w:r>
      <w:r w:rsidR="00D16CA8" w:rsidRPr="0020107F">
        <w:rPr>
          <w:rFonts w:ascii="Times New Roman" w:hAnsi="Times New Roman" w:cs="Times New Roman"/>
          <w:b/>
          <w:bCs/>
          <w:sz w:val="28"/>
          <w:szCs w:val="28"/>
        </w:rPr>
        <w:t xml:space="preserve">Ministru kabineta </w:t>
      </w:r>
      <w:r w:rsidR="00ED3564" w:rsidRPr="0020107F">
        <w:rPr>
          <w:rFonts w:ascii="Times New Roman" w:hAnsi="Times New Roman" w:cs="Times New Roman"/>
          <w:b/>
          <w:bCs/>
          <w:sz w:val="28"/>
          <w:szCs w:val="28"/>
        </w:rPr>
        <w:t xml:space="preserve">2010.gada 28.decembra </w:t>
      </w:r>
      <w:r w:rsidR="00D16CA8" w:rsidRPr="0020107F">
        <w:rPr>
          <w:rFonts w:ascii="Times New Roman" w:hAnsi="Times New Roman" w:cs="Times New Roman"/>
          <w:b/>
          <w:bCs/>
          <w:sz w:val="28"/>
          <w:szCs w:val="28"/>
        </w:rPr>
        <w:t>noteikumos Nr.1206</w:t>
      </w:r>
      <w:r w:rsidR="00D16CA8" w:rsidRPr="0020107F">
        <w:rPr>
          <w:rFonts w:ascii="Times New Roman" w:hAnsi="Times New Roman" w:cs="Times New Roman"/>
          <w:b/>
          <w:sz w:val="28"/>
          <w:szCs w:val="28"/>
        </w:rPr>
        <w:t xml:space="preserve"> “</w:t>
      </w:r>
      <w:r w:rsidR="00D16CA8" w:rsidRPr="0020107F">
        <w:rPr>
          <w:rFonts w:ascii="Times New Roman" w:hAnsi="Times New Roman" w:cs="Times New Roman"/>
          <w:b/>
          <w:bCs/>
          <w:sz w:val="28"/>
          <w:szCs w:val="28"/>
        </w:rPr>
        <w:t>Kārtība, kādā aprēķina, piešķir un izlieto valsts budžetā paredzētos līdzekļus pašvaldībām pamatizglītības iestādes skolēnu ēdināšanai”</w:t>
      </w:r>
      <w:r w:rsidR="00ED3564" w:rsidRPr="0020107F">
        <w:rPr>
          <w:rFonts w:ascii="Times New Roman" w:hAnsi="Times New Roman" w:cs="Times New Roman"/>
          <w:b/>
          <w:bCs/>
          <w:sz w:val="28"/>
          <w:szCs w:val="28"/>
        </w:rPr>
        <w:t>,</w:t>
      </w:r>
      <w:r w:rsidR="00D16CA8" w:rsidRPr="0020107F">
        <w:rPr>
          <w:rFonts w:ascii="Times New Roman" w:hAnsi="Times New Roman" w:cs="Times New Roman"/>
          <w:b/>
          <w:bCs/>
          <w:sz w:val="28"/>
          <w:szCs w:val="28"/>
        </w:rPr>
        <w:t xml:space="preserve"> </w:t>
      </w:r>
      <w:r w:rsidR="00D16CA8" w:rsidRPr="0020107F">
        <w:rPr>
          <w:rFonts w:ascii="Times New Roman" w:hAnsi="Times New Roman" w:cs="Times New Roman"/>
          <w:b/>
          <w:sz w:val="28"/>
          <w:szCs w:val="28"/>
        </w:rPr>
        <w:t>nosakot, ka</w:t>
      </w:r>
      <w:r w:rsidR="005732D0" w:rsidRPr="0020107F">
        <w:rPr>
          <w:rFonts w:ascii="Times New Roman" w:hAnsi="Times New Roman" w:cs="Times New Roman"/>
          <w:b/>
          <w:sz w:val="28"/>
          <w:szCs w:val="28"/>
        </w:rPr>
        <w:t xml:space="preserve"> valsts budžeta līdzekļi vienam izglītojamam dienā ir 1.89 </w:t>
      </w:r>
      <w:proofErr w:type="spellStart"/>
      <w:r w:rsidR="005732D0" w:rsidRPr="0020107F">
        <w:rPr>
          <w:rFonts w:ascii="Times New Roman" w:hAnsi="Times New Roman" w:cs="Times New Roman"/>
          <w:b/>
          <w:i/>
          <w:sz w:val="28"/>
          <w:szCs w:val="28"/>
        </w:rPr>
        <w:t>euro</w:t>
      </w:r>
      <w:proofErr w:type="spellEnd"/>
      <w:r w:rsidR="005732D0" w:rsidRPr="0020107F">
        <w:rPr>
          <w:rFonts w:ascii="Times New Roman" w:hAnsi="Times New Roman" w:cs="Times New Roman"/>
          <w:b/>
          <w:i/>
          <w:sz w:val="28"/>
          <w:szCs w:val="28"/>
        </w:rPr>
        <w:t xml:space="preserve"> un</w:t>
      </w:r>
      <w:r w:rsidR="00D16CA8" w:rsidRPr="0020107F">
        <w:rPr>
          <w:rFonts w:ascii="Times New Roman" w:hAnsi="Times New Roman" w:cs="Times New Roman"/>
          <w:b/>
          <w:sz w:val="28"/>
          <w:szCs w:val="28"/>
        </w:rPr>
        <w:t xml:space="preserve"> pārtikas produktu </w:t>
      </w:r>
      <w:r w:rsidR="00D16CA8" w:rsidRPr="0020107F">
        <w:rPr>
          <w:rFonts w:ascii="Times New Roman" w:hAnsi="Times New Roman" w:cs="Times New Roman"/>
          <w:b/>
          <w:sz w:val="28"/>
          <w:szCs w:val="28"/>
        </w:rPr>
        <w:lastRenderedPageBreak/>
        <w:t>iegādei tiek novirzīts ne mazāk kā 70% no valsts piešķirtā finansējuma ēdināšanas izdevumiem.</w:t>
      </w:r>
    </w:p>
    <w:p w14:paraId="03E74C12" w14:textId="79AC008B" w:rsidR="000918A6" w:rsidRPr="0020107F" w:rsidRDefault="00596D57" w:rsidP="0020107F">
      <w:pPr>
        <w:spacing w:after="0" w:line="240" w:lineRule="auto"/>
        <w:ind w:firstLine="720"/>
        <w:jc w:val="both"/>
        <w:rPr>
          <w:rFonts w:ascii="Times New Roman" w:hAnsi="Times New Roman" w:cs="Times New Roman"/>
          <w:sz w:val="28"/>
          <w:szCs w:val="28"/>
        </w:rPr>
      </w:pPr>
      <w:r w:rsidRPr="0020107F">
        <w:rPr>
          <w:rFonts w:ascii="Times New Roman" w:hAnsi="Times New Roman" w:cs="Times New Roman"/>
          <w:sz w:val="28"/>
          <w:szCs w:val="28"/>
        </w:rPr>
        <w:t xml:space="preserve">Šim priekšlikumam nepieciešami papildus līdzekļi budžetā jau esošajam bērnu skaitam. </w:t>
      </w:r>
      <w:r w:rsidR="00FC1C9A" w:rsidRPr="0020107F">
        <w:rPr>
          <w:rFonts w:ascii="Times New Roman" w:hAnsi="Times New Roman" w:cs="Times New Roman"/>
          <w:sz w:val="28"/>
          <w:szCs w:val="28"/>
        </w:rPr>
        <w:t xml:space="preserve">Ja </w:t>
      </w:r>
      <w:r w:rsidR="004073F9" w:rsidRPr="0020107F">
        <w:rPr>
          <w:rFonts w:ascii="Times New Roman" w:hAnsi="Times New Roman" w:cs="Times New Roman"/>
          <w:sz w:val="28"/>
          <w:szCs w:val="28"/>
        </w:rPr>
        <w:t xml:space="preserve">ēdināšanai </w:t>
      </w:r>
      <w:r w:rsidR="00FC1C9A" w:rsidRPr="0020107F">
        <w:rPr>
          <w:rFonts w:ascii="Times New Roman" w:hAnsi="Times New Roman" w:cs="Times New Roman"/>
          <w:sz w:val="28"/>
          <w:szCs w:val="28"/>
        </w:rPr>
        <w:t xml:space="preserve">piešķirt 1,89 </w:t>
      </w:r>
      <w:proofErr w:type="spellStart"/>
      <w:r w:rsidR="00FC1C9A" w:rsidRPr="0020107F">
        <w:rPr>
          <w:rFonts w:ascii="Times New Roman" w:hAnsi="Times New Roman" w:cs="Times New Roman"/>
          <w:i/>
          <w:sz w:val="28"/>
          <w:szCs w:val="28"/>
        </w:rPr>
        <w:t>euro</w:t>
      </w:r>
      <w:proofErr w:type="spellEnd"/>
      <w:r w:rsidR="00FC1C9A" w:rsidRPr="0020107F">
        <w:rPr>
          <w:rFonts w:ascii="Times New Roman" w:hAnsi="Times New Roman" w:cs="Times New Roman"/>
          <w:sz w:val="28"/>
          <w:szCs w:val="28"/>
        </w:rPr>
        <w:t xml:space="preserve"> dienā, tad budžetā 1.-4.klašu izglītojamiem gadā būtu nepieciešami</w:t>
      </w:r>
      <w:r w:rsidR="004073F9" w:rsidRPr="0020107F">
        <w:rPr>
          <w:rFonts w:ascii="Times New Roman" w:hAnsi="Times New Roman" w:cs="Times New Roman"/>
          <w:sz w:val="28"/>
          <w:szCs w:val="28"/>
        </w:rPr>
        <w:t xml:space="preserve"> papildu</w:t>
      </w:r>
      <w:r w:rsidR="00AA026B" w:rsidRPr="0020107F">
        <w:rPr>
          <w:rFonts w:ascii="Times New Roman" w:hAnsi="Times New Roman" w:cs="Times New Roman"/>
          <w:sz w:val="28"/>
          <w:szCs w:val="28"/>
        </w:rPr>
        <w:t xml:space="preserve"> </w:t>
      </w:r>
      <w:r w:rsidR="004073F9" w:rsidRPr="0020107F">
        <w:rPr>
          <w:rFonts w:ascii="Times New Roman" w:hAnsi="Times New Roman" w:cs="Times New Roman"/>
          <w:sz w:val="28"/>
          <w:szCs w:val="28"/>
        </w:rPr>
        <w:t>(</w:t>
      </w:r>
      <w:r w:rsidR="000801B3" w:rsidRPr="0020107F">
        <w:rPr>
          <w:rFonts w:ascii="Times New Roman" w:hAnsi="Times New Roman" w:cs="Times New Roman"/>
          <w:sz w:val="28"/>
          <w:szCs w:val="28"/>
        </w:rPr>
        <w:t>0,47</w:t>
      </w:r>
      <w:r w:rsidR="000801B3" w:rsidRPr="0020107F">
        <w:rPr>
          <w:rFonts w:ascii="Times New Roman" w:hAnsi="Times New Roman" w:cs="Times New Roman"/>
          <w:i/>
          <w:sz w:val="28"/>
          <w:szCs w:val="28"/>
        </w:rPr>
        <w:t>euro</w:t>
      </w:r>
      <w:r w:rsidR="000801B3" w:rsidRPr="0020107F">
        <w:rPr>
          <w:rFonts w:ascii="Times New Roman" w:hAnsi="Times New Roman" w:cs="Times New Roman"/>
          <w:sz w:val="28"/>
          <w:szCs w:val="28"/>
        </w:rPr>
        <w:t xml:space="preserve"> x 170</w:t>
      </w:r>
      <w:r w:rsidR="00AA026B" w:rsidRPr="0020107F">
        <w:rPr>
          <w:rFonts w:ascii="Times New Roman" w:hAnsi="Times New Roman" w:cs="Times New Roman"/>
          <w:sz w:val="28"/>
          <w:szCs w:val="28"/>
        </w:rPr>
        <w:t xml:space="preserve"> </w:t>
      </w:r>
      <w:r w:rsidR="000801B3" w:rsidRPr="0020107F">
        <w:rPr>
          <w:rFonts w:ascii="Times New Roman" w:hAnsi="Times New Roman" w:cs="Times New Roman"/>
          <w:sz w:val="28"/>
          <w:szCs w:val="28"/>
        </w:rPr>
        <w:t>dienas x 21743 izglītojamie</w:t>
      </w:r>
      <w:r w:rsidR="00AA026B" w:rsidRPr="0020107F">
        <w:rPr>
          <w:rFonts w:ascii="Times New Roman" w:hAnsi="Times New Roman" w:cs="Times New Roman"/>
          <w:sz w:val="28"/>
          <w:szCs w:val="28"/>
        </w:rPr>
        <w:t xml:space="preserve"> </w:t>
      </w:r>
      <w:r w:rsidR="000801B3" w:rsidRPr="0020107F">
        <w:rPr>
          <w:rFonts w:ascii="Times New Roman" w:hAnsi="Times New Roman" w:cs="Times New Roman"/>
          <w:sz w:val="28"/>
          <w:szCs w:val="28"/>
        </w:rPr>
        <w:t>1.klasē</w:t>
      </w:r>
      <w:r w:rsidR="00D16CA8" w:rsidRPr="0020107F">
        <w:rPr>
          <w:rFonts w:ascii="Times New Roman" w:hAnsi="Times New Roman" w:cs="Times New Roman"/>
          <w:sz w:val="28"/>
          <w:szCs w:val="28"/>
        </w:rPr>
        <w:t xml:space="preserve">= 1 737 266 </w:t>
      </w:r>
      <w:proofErr w:type="spellStart"/>
      <w:r w:rsidR="00D16CA8" w:rsidRPr="0020107F">
        <w:rPr>
          <w:rFonts w:ascii="Times New Roman" w:hAnsi="Times New Roman" w:cs="Times New Roman"/>
          <w:i/>
          <w:sz w:val="28"/>
          <w:szCs w:val="28"/>
        </w:rPr>
        <w:t>euro</w:t>
      </w:r>
      <w:proofErr w:type="spellEnd"/>
      <w:r w:rsidR="000801B3" w:rsidRPr="0020107F">
        <w:rPr>
          <w:rFonts w:ascii="Times New Roman" w:hAnsi="Times New Roman" w:cs="Times New Roman"/>
          <w:sz w:val="28"/>
          <w:szCs w:val="28"/>
        </w:rPr>
        <w:t>; 0</w:t>
      </w:r>
      <w:r w:rsidR="004073F9" w:rsidRPr="0020107F">
        <w:rPr>
          <w:rFonts w:ascii="Times New Roman" w:hAnsi="Times New Roman" w:cs="Times New Roman"/>
          <w:sz w:val="28"/>
          <w:szCs w:val="28"/>
        </w:rPr>
        <w:t>,47</w:t>
      </w:r>
      <w:r w:rsidR="004073F9" w:rsidRPr="0020107F">
        <w:rPr>
          <w:rFonts w:ascii="Times New Roman" w:hAnsi="Times New Roman" w:cs="Times New Roman"/>
          <w:i/>
          <w:sz w:val="28"/>
          <w:szCs w:val="28"/>
        </w:rPr>
        <w:t>euro</w:t>
      </w:r>
      <w:r w:rsidR="000801B3" w:rsidRPr="0020107F">
        <w:rPr>
          <w:rFonts w:ascii="Times New Roman" w:hAnsi="Times New Roman" w:cs="Times New Roman"/>
          <w:sz w:val="28"/>
          <w:szCs w:val="28"/>
        </w:rPr>
        <w:t xml:space="preserve"> </w:t>
      </w:r>
      <w:r w:rsidR="004073F9" w:rsidRPr="0020107F">
        <w:rPr>
          <w:rFonts w:ascii="Times New Roman" w:hAnsi="Times New Roman" w:cs="Times New Roman"/>
          <w:sz w:val="28"/>
          <w:szCs w:val="28"/>
        </w:rPr>
        <w:t>x</w:t>
      </w:r>
      <w:r w:rsidR="000801B3" w:rsidRPr="0020107F">
        <w:rPr>
          <w:rFonts w:ascii="Times New Roman" w:hAnsi="Times New Roman" w:cs="Times New Roman"/>
          <w:sz w:val="28"/>
          <w:szCs w:val="28"/>
        </w:rPr>
        <w:t xml:space="preserve"> </w:t>
      </w:r>
      <w:r w:rsidR="004073F9" w:rsidRPr="0020107F">
        <w:rPr>
          <w:rFonts w:ascii="Times New Roman" w:hAnsi="Times New Roman" w:cs="Times New Roman"/>
          <w:sz w:val="28"/>
          <w:szCs w:val="28"/>
        </w:rPr>
        <w:t>175</w:t>
      </w:r>
      <w:r w:rsidR="00AA026B" w:rsidRPr="0020107F">
        <w:rPr>
          <w:rFonts w:ascii="Times New Roman" w:hAnsi="Times New Roman" w:cs="Times New Roman"/>
          <w:sz w:val="28"/>
          <w:szCs w:val="28"/>
        </w:rPr>
        <w:t xml:space="preserve"> </w:t>
      </w:r>
      <w:r w:rsidR="004073F9" w:rsidRPr="0020107F">
        <w:rPr>
          <w:rFonts w:ascii="Times New Roman" w:hAnsi="Times New Roman" w:cs="Times New Roman"/>
          <w:sz w:val="28"/>
          <w:szCs w:val="28"/>
        </w:rPr>
        <w:t>dienas</w:t>
      </w:r>
      <w:r w:rsidR="000801B3" w:rsidRPr="0020107F">
        <w:rPr>
          <w:rFonts w:ascii="Times New Roman" w:hAnsi="Times New Roman" w:cs="Times New Roman"/>
          <w:sz w:val="28"/>
          <w:szCs w:val="28"/>
        </w:rPr>
        <w:t xml:space="preserve"> </w:t>
      </w:r>
      <w:r w:rsidR="004073F9" w:rsidRPr="0020107F">
        <w:rPr>
          <w:rFonts w:ascii="Times New Roman" w:hAnsi="Times New Roman" w:cs="Times New Roman"/>
          <w:sz w:val="28"/>
          <w:szCs w:val="28"/>
        </w:rPr>
        <w:t>x</w:t>
      </w:r>
      <w:r w:rsidR="000801B3" w:rsidRPr="0020107F">
        <w:rPr>
          <w:rFonts w:ascii="Times New Roman" w:hAnsi="Times New Roman" w:cs="Times New Roman"/>
          <w:sz w:val="28"/>
          <w:szCs w:val="28"/>
        </w:rPr>
        <w:t xml:space="preserve"> 59018 </w:t>
      </w:r>
      <w:r w:rsidR="004073F9" w:rsidRPr="0020107F">
        <w:rPr>
          <w:rFonts w:ascii="Times New Roman" w:hAnsi="Times New Roman" w:cs="Times New Roman"/>
          <w:sz w:val="28"/>
          <w:szCs w:val="28"/>
        </w:rPr>
        <w:t>izglītojamie</w:t>
      </w:r>
      <w:r w:rsidR="00AA026B" w:rsidRPr="0020107F">
        <w:rPr>
          <w:rFonts w:ascii="Times New Roman" w:hAnsi="Times New Roman" w:cs="Times New Roman"/>
          <w:sz w:val="28"/>
          <w:szCs w:val="28"/>
        </w:rPr>
        <w:t xml:space="preserve"> </w:t>
      </w:r>
      <w:r w:rsidR="000801B3" w:rsidRPr="0020107F">
        <w:rPr>
          <w:rFonts w:ascii="Times New Roman" w:hAnsi="Times New Roman" w:cs="Times New Roman"/>
          <w:sz w:val="28"/>
          <w:szCs w:val="28"/>
        </w:rPr>
        <w:t>2.-4.klasē</w:t>
      </w:r>
      <w:r w:rsidR="00AA026B" w:rsidRPr="0020107F">
        <w:rPr>
          <w:rFonts w:ascii="Times New Roman" w:hAnsi="Times New Roman" w:cs="Times New Roman"/>
          <w:sz w:val="28"/>
          <w:szCs w:val="28"/>
        </w:rPr>
        <w:t xml:space="preserve"> </w:t>
      </w:r>
      <w:r w:rsidR="00D16CA8" w:rsidRPr="0020107F">
        <w:rPr>
          <w:rFonts w:ascii="Times New Roman" w:hAnsi="Times New Roman" w:cs="Times New Roman"/>
          <w:sz w:val="28"/>
          <w:szCs w:val="28"/>
        </w:rPr>
        <w:t xml:space="preserve">= 4 854 231 </w:t>
      </w:r>
      <w:proofErr w:type="spellStart"/>
      <w:r w:rsidR="00D16CA8" w:rsidRPr="0020107F">
        <w:rPr>
          <w:rFonts w:ascii="Times New Roman" w:hAnsi="Times New Roman" w:cs="Times New Roman"/>
          <w:i/>
          <w:sz w:val="28"/>
          <w:szCs w:val="28"/>
        </w:rPr>
        <w:t>euro</w:t>
      </w:r>
      <w:proofErr w:type="spellEnd"/>
      <w:r w:rsidR="004073F9" w:rsidRPr="0020107F">
        <w:rPr>
          <w:rFonts w:ascii="Times New Roman" w:hAnsi="Times New Roman" w:cs="Times New Roman"/>
          <w:sz w:val="28"/>
          <w:szCs w:val="28"/>
        </w:rPr>
        <w:t xml:space="preserve">) </w:t>
      </w:r>
      <w:r w:rsidR="000801B3" w:rsidRPr="0020107F">
        <w:rPr>
          <w:rFonts w:ascii="Times New Roman" w:hAnsi="Times New Roman" w:cs="Times New Roman"/>
          <w:sz w:val="28"/>
          <w:szCs w:val="28"/>
        </w:rPr>
        <w:t>6 591 497</w:t>
      </w:r>
      <w:r w:rsidR="004073F9" w:rsidRPr="0020107F">
        <w:rPr>
          <w:rFonts w:ascii="Times New Roman" w:hAnsi="Times New Roman" w:cs="Times New Roman"/>
          <w:sz w:val="28"/>
          <w:szCs w:val="28"/>
        </w:rPr>
        <w:t xml:space="preserve"> </w:t>
      </w:r>
      <w:proofErr w:type="spellStart"/>
      <w:r w:rsidR="004073F9" w:rsidRPr="0020107F">
        <w:rPr>
          <w:rFonts w:ascii="Times New Roman" w:hAnsi="Times New Roman" w:cs="Times New Roman"/>
          <w:i/>
          <w:sz w:val="28"/>
          <w:szCs w:val="28"/>
        </w:rPr>
        <w:t>euro</w:t>
      </w:r>
      <w:proofErr w:type="spellEnd"/>
      <w:r w:rsidR="004073F9" w:rsidRPr="0020107F">
        <w:rPr>
          <w:rFonts w:ascii="Times New Roman" w:hAnsi="Times New Roman" w:cs="Times New Roman"/>
          <w:sz w:val="28"/>
          <w:szCs w:val="28"/>
        </w:rPr>
        <w:t>.</w:t>
      </w:r>
    </w:p>
    <w:p w14:paraId="6051BD12" w14:textId="77777777" w:rsidR="00AA026B" w:rsidRPr="0020107F" w:rsidRDefault="00AA026B" w:rsidP="0020107F">
      <w:pPr>
        <w:spacing w:after="0" w:line="240" w:lineRule="auto"/>
        <w:ind w:firstLine="720"/>
        <w:jc w:val="both"/>
        <w:rPr>
          <w:rFonts w:ascii="Times New Roman" w:hAnsi="Times New Roman" w:cs="Times New Roman"/>
          <w:sz w:val="28"/>
          <w:szCs w:val="28"/>
        </w:rPr>
      </w:pPr>
    </w:p>
    <w:p w14:paraId="5B5DF79A" w14:textId="3E11AD77" w:rsidR="00596D57" w:rsidRPr="0020107F" w:rsidRDefault="00596D57" w:rsidP="0020107F">
      <w:pPr>
        <w:spacing w:after="0" w:line="240" w:lineRule="auto"/>
        <w:ind w:firstLine="720"/>
        <w:jc w:val="both"/>
        <w:rPr>
          <w:rFonts w:ascii="Times New Roman" w:hAnsi="Times New Roman" w:cs="Times New Roman"/>
          <w:b/>
          <w:sz w:val="28"/>
          <w:szCs w:val="28"/>
        </w:rPr>
      </w:pPr>
      <w:r w:rsidRPr="0020107F">
        <w:rPr>
          <w:rFonts w:ascii="Times New Roman" w:hAnsi="Times New Roman" w:cs="Times New Roman"/>
          <w:b/>
          <w:sz w:val="28"/>
          <w:szCs w:val="28"/>
        </w:rPr>
        <w:t xml:space="preserve">2. </w:t>
      </w:r>
      <w:r w:rsidR="00AA026B" w:rsidRPr="0020107F">
        <w:rPr>
          <w:rFonts w:ascii="Times New Roman" w:hAnsi="Times New Roman" w:cs="Times New Roman"/>
          <w:b/>
          <w:sz w:val="28"/>
          <w:szCs w:val="28"/>
        </w:rPr>
        <w:t xml:space="preserve">Neizdarīt grozījumus </w:t>
      </w:r>
      <w:r w:rsidR="007E7859" w:rsidRPr="0020107F">
        <w:rPr>
          <w:rFonts w:ascii="Times New Roman" w:eastAsia="Times New Roman" w:hAnsi="Times New Roman" w:cs="Times New Roman"/>
          <w:b/>
          <w:bCs/>
          <w:color w:val="414142"/>
          <w:sz w:val="28"/>
          <w:szCs w:val="28"/>
          <w:lang w:eastAsia="lv-LV"/>
        </w:rPr>
        <w:t xml:space="preserve">Ministru kabineta </w:t>
      </w:r>
      <w:r w:rsidR="00AA026B" w:rsidRPr="0020107F">
        <w:rPr>
          <w:rFonts w:ascii="Times New Roman" w:eastAsia="Times New Roman" w:hAnsi="Times New Roman" w:cs="Times New Roman"/>
          <w:b/>
          <w:bCs/>
          <w:color w:val="414142"/>
          <w:sz w:val="28"/>
          <w:szCs w:val="28"/>
          <w:lang w:eastAsia="lv-LV"/>
        </w:rPr>
        <w:t xml:space="preserve">2010.gada 28.decembra </w:t>
      </w:r>
      <w:r w:rsidR="007E7859" w:rsidRPr="0020107F">
        <w:rPr>
          <w:rFonts w:ascii="Times New Roman" w:eastAsia="Times New Roman" w:hAnsi="Times New Roman" w:cs="Times New Roman"/>
          <w:b/>
          <w:bCs/>
          <w:color w:val="414142"/>
          <w:sz w:val="28"/>
          <w:szCs w:val="28"/>
          <w:lang w:eastAsia="lv-LV"/>
        </w:rPr>
        <w:t>noteikum</w:t>
      </w:r>
      <w:r w:rsidR="00AA026B" w:rsidRPr="0020107F">
        <w:rPr>
          <w:rFonts w:ascii="Times New Roman" w:eastAsia="Times New Roman" w:hAnsi="Times New Roman" w:cs="Times New Roman"/>
          <w:b/>
          <w:bCs/>
          <w:color w:val="414142"/>
          <w:sz w:val="28"/>
          <w:szCs w:val="28"/>
          <w:lang w:eastAsia="lv-LV"/>
        </w:rPr>
        <w:t>os</w:t>
      </w:r>
      <w:r w:rsidR="007E7859" w:rsidRPr="0020107F">
        <w:rPr>
          <w:rFonts w:ascii="Times New Roman" w:eastAsia="Times New Roman" w:hAnsi="Times New Roman" w:cs="Times New Roman"/>
          <w:b/>
          <w:bCs/>
          <w:color w:val="414142"/>
          <w:sz w:val="28"/>
          <w:szCs w:val="28"/>
          <w:lang w:eastAsia="lv-LV"/>
        </w:rPr>
        <w:t xml:space="preserve"> Nr.1206 “Kārtība, kādā aprēķina, piešķir un izlieto valsts budžetā paredzētos līdzekļus pašvaldībām pamatizglītības iestādes skolēnu ēdināšanai”.</w:t>
      </w:r>
    </w:p>
    <w:p w14:paraId="3EF0AE18" w14:textId="47389242" w:rsidR="00596D57" w:rsidRPr="0020107F" w:rsidRDefault="00596D57" w:rsidP="0020107F">
      <w:pPr>
        <w:spacing w:after="0" w:line="240" w:lineRule="auto"/>
        <w:ind w:firstLine="720"/>
        <w:jc w:val="both"/>
        <w:rPr>
          <w:rFonts w:ascii="Times New Roman" w:hAnsi="Times New Roman" w:cs="Times New Roman"/>
          <w:sz w:val="28"/>
          <w:szCs w:val="28"/>
        </w:rPr>
      </w:pPr>
      <w:r w:rsidRPr="0020107F">
        <w:rPr>
          <w:rFonts w:ascii="Times New Roman" w:hAnsi="Times New Roman" w:cs="Times New Roman"/>
          <w:sz w:val="28"/>
          <w:szCs w:val="28"/>
        </w:rPr>
        <w:t xml:space="preserve">Šis priekšlikums neatrisina jautājumu par pārtikas produktu kvalitātes uzlabošanos un ēdināšanas kvalitātes uzlabošanos, jo šobrīd iestādēs izglītojamo ēdināšanas pārtikas produktiem tērē 54% jeb 0,77 </w:t>
      </w:r>
      <w:proofErr w:type="spellStart"/>
      <w:r w:rsidRPr="0020107F">
        <w:rPr>
          <w:rFonts w:ascii="Times New Roman" w:hAnsi="Times New Roman" w:cs="Times New Roman"/>
          <w:i/>
          <w:sz w:val="28"/>
          <w:szCs w:val="28"/>
        </w:rPr>
        <w:t>euro</w:t>
      </w:r>
      <w:proofErr w:type="spellEnd"/>
      <w:r w:rsidRPr="0020107F">
        <w:rPr>
          <w:rFonts w:ascii="Times New Roman" w:hAnsi="Times New Roman" w:cs="Times New Roman"/>
          <w:sz w:val="28"/>
          <w:szCs w:val="28"/>
        </w:rPr>
        <w:t xml:space="preserve"> </w:t>
      </w:r>
      <w:r w:rsidR="00AA026B" w:rsidRPr="0020107F">
        <w:rPr>
          <w:rFonts w:ascii="Times New Roman" w:hAnsi="Times New Roman" w:cs="Times New Roman"/>
          <w:sz w:val="28"/>
          <w:szCs w:val="28"/>
        </w:rPr>
        <w:t xml:space="preserve">vienam </w:t>
      </w:r>
      <w:r w:rsidRPr="0020107F">
        <w:rPr>
          <w:rFonts w:ascii="Times New Roman" w:hAnsi="Times New Roman" w:cs="Times New Roman"/>
          <w:sz w:val="28"/>
          <w:szCs w:val="28"/>
        </w:rPr>
        <w:t>izglītojamajam.</w:t>
      </w:r>
    </w:p>
    <w:p w14:paraId="1BA687B2" w14:textId="77777777" w:rsidR="00AA026B" w:rsidRPr="0020107F" w:rsidRDefault="00AA026B" w:rsidP="0020107F">
      <w:pPr>
        <w:spacing w:after="0" w:line="240" w:lineRule="auto"/>
        <w:ind w:firstLine="720"/>
        <w:jc w:val="both"/>
        <w:rPr>
          <w:rFonts w:ascii="Times New Roman" w:hAnsi="Times New Roman" w:cs="Times New Roman"/>
          <w:sz w:val="28"/>
          <w:szCs w:val="28"/>
        </w:rPr>
      </w:pPr>
    </w:p>
    <w:p w14:paraId="3253B380" w14:textId="59039C40" w:rsidR="00596D57" w:rsidRPr="0020107F" w:rsidRDefault="00596D57" w:rsidP="0020107F">
      <w:pPr>
        <w:spacing w:after="0" w:line="240" w:lineRule="auto"/>
        <w:ind w:firstLine="720"/>
        <w:jc w:val="both"/>
        <w:rPr>
          <w:rFonts w:ascii="Times New Roman" w:hAnsi="Times New Roman" w:cs="Times New Roman"/>
          <w:b/>
          <w:sz w:val="28"/>
          <w:szCs w:val="28"/>
        </w:rPr>
      </w:pPr>
      <w:r w:rsidRPr="0020107F">
        <w:rPr>
          <w:rFonts w:ascii="Times New Roman" w:hAnsi="Times New Roman" w:cs="Times New Roman"/>
          <w:b/>
          <w:sz w:val="28"/>
          <w:szCs w:val="28"/>
        </w:rPr>
        <w:t xml:space="preserve">3. </w:t>
      </w:r>
      <w:r w:rsidR="00AC1DD6" w:rsidRPr="0020107F">
        <w:rPr>
          <w:rFonts w:ascii="Times New Roman" w:hAnsi="Times New Roman" w:cs="Times New Roman"/>
          <w:b/>
          <w:bCs/>
          <w:sz w:val="28"/>
          <w:szCs w:val="28"/>
        </w:rPr>
        <w:t xml:space="preserve"> Noteikt </w:t>
      </w:r>
      <w:r w:rsidRPr="0020107F">
        <w:rPr>
          <w:rFonts w:ascii="Times New Roman" w:hAnsi="Times New Roman" w:cs="Times New Roman"/>
          <w:b/>
          <w:bCs/>
          <w:sz w:val="28"/>
          <w:szCs w:val="28"/>
        </w:rPr>
        <w:t>apmēr</w:t>
      </w:r>
      <w:r w:rsidR="00AC1DD6" w:rsidRPr="0020107F">
        <w:rPr>
          <w:rFonts w:ascii="Times New Roman" w:hAnsi="Times New Roman" w:cs="Times New Roman"/>
          <w:b/>
          <w:bCs/>
          <w:sz w:val="28"/>
          <w:szCs w:val="28"/>
        </w:rPr>
        <w:t>u</w:t>
      </w:r>
      <w:r w:rsidRPr="0020107F">
        <w:rPr>
          <w:rFonts w:ascii="Times New Roman" w:hAnsi="Times New Roman" w:cs="Times New Roman"/>
          <w:b/>
          <w:bCs/>
          <w:sz w:val="28"/>
          <w:szCs w:val="28"/>
        </w:rPr>
        <w:t xml:space="preserve">, kāds tiek novirzīts pārtikas produktu iegādei, </w:t>
      </w:r>
      <w:r w:rsidRPr="0020107F">
        <w:rPr>
          <w:rFonts w:ascii="Times New Roman" w:hAnsi="Times New Roman" w:cs="Times New Roman"/>
          <w:b/>
          <w:sz w:val="28"/>
          <w:szCs w:val="28"/>
        </w:rPr>
        <w:t xml:space="preserve">lai nodrošinātu, </w:t>
      </w:r>
      <w:r w:rsidRPr="00E270D7">
        <w:rPr>
          <w:rFonts w:ascii="Times New Roman" w:hAnsi="Times New Roman" w:cs="Times New Roman"/>
          <w:b/>
          <w:sz w:val="28"/>
          <w:szCs w:val="28"/>
        </w:rPr>
        <w:t xml:space="preserve">ka </w:t>
      </w:r>
      <w:r w:rsidR="00CF2F30" w:rsidRPr="002F4469">
        <w:rPr>
          <w:rFonts w:ascii="Times New Roman" w:hAnsi="Times New Roman" w:cs="Times New Roman"/>
          <w:b/>
          <w:sz w:val="28"/>
          <w:szCs w:val="28"/>
        </w:rPr>
        <w:t>pie pašreizēj</w:t>
      </w:r>
      <w:r w:rsidR="00AC1DD6" w:rsidRPr="002F4469">
        <w:rPr>
          <w:rFonts w:ascii="Times New Roman" w:hAnsi="Times New Roman" w:cs="Times New Roman"/>
          <w:b/>
          <w:sz w:val="28"/>
          <w:szCs w:val="28"/>
        </w:rPr>
        <w:t>ā</w:t>
      </w:r>
      <w:r w:rsidR="00CF2F30" w:rsidRPr="002F4469">
        <w:rPr>
          <w:rFonts w:ascii="Times New Roman" w:hAnsi="Times New Roman" w:cs="Times New Roman"/>
          <w:b/>
          <w:sz w:val="28"/>
          <w:szCs w:val="28"/>
        </w:rPr>
        <w:t xml:space="preserve"> valsts finansējuma, kas ir 1.42 </w:t>
      </w:r>
      <w:proofErr w:type="spellStart"/>
      <w:r w:rsidR="00CF2F30" w:rsidRPr="002F4469">
        <w:rPr>
          <w:rFonts w:ascii="Times New Roman" w:hAnsi="Times New Roman" w:cs="Times New Roman"/>
          <w:b/>
          <w:i/>
          <w:sz w:val="28"/>
          <w:szCs w:val="28"/>
        </w:rPr>
        <w:t>euro</w:t>
      </w:r>
      <w:proofErr w:type="spellEnd"/>
      <w:r w:rsidR="00CF2F30" w:rsidRPr="002F4469">
        <w:rPr>
          <w:rFonts w:ascii="Times New Roman" w:hAnsi="Times New Roman" w:cs="Times New Roman"/>
          <w:b/>
          <w:sz w:val="28"/>
          <w:szCs w:val="28"/>
        </w:rPr>
        <w:t xml:space="preserve"> par vienu izglītojamo dienā</w:t>
      </w:r>
      <w:r w:rsidR="001E04CB" w:rsidRPr="00E270D7">
        <w:rPr>
          <w:rFonts w:ascii="Times New Roman" w:hAnsi="Times New Roman" w:cs="Times New Roman"/>
          <w:b/>
          <w:sz w:val="28"/>
          <w:szCs w:val="28"/>
        </w:rPr>
        <w:t>, lielākā daļa</w:t>
      </w:r>
      <w:r w:rsidR="001E04CB" w:rsidRPr="0020107F">
        <w:rPr>
          <w:rFonts w:ascii="Times New Roman" w:hAnsi="Times New Roman" w:cs="Times New Roman"/>
          <w:b/>
          <w:sz w:val="28"/>
          <w:szCs w:val="28"/>
        </w:rPr>
        <w:t xml:space="preserve"> vai</w:t>
      </w:r>
      <w:r w:rsidR="005C4CF7" w:rsidRPr="0020107F">
        <w:rPr>
          <w:rFonts w:ascii="Times New Roman" w:hAnsi="Times New Roman" w:cs="Times New Roman"/>
          <w:b/>
          <w:sz w:val="28"/>
          <w:szCs w:val="28"/>
        </w:rPr>
        <w:t xml:space="preserve"> vismaz</w:t>
      </w:r>
      <w:r w:rsidRPr="0020107F">
        <w:rPr>
          <w:rFonts w:ascii="Times New Roman" w:hAnsi="Times New Roman" w:cs="Times New Roman"/>
          <w:b/>
          <w:sz w:val="28"/>
          <w:szCs w:val="28"/>
        </w:rPr>
        <w:t xml:space="preserve"> 70% no valsts piešķirtā finansējuma viena izglītojamā ēdināšanai tiek novirzīti pārtikas produktu iegādei</w:t>
      </w:r>
      <w:r w:rsidR="005F39BA" w:rsidRPr="0020107F">
        <w:rPr>
          <w:rFonts w:ascii="Times New Roman" w:hAnsi="Times New Roman" w:cs="Times New Roman"/>
          <w:b/>
          <w:sz w:val="28"/>
          <w:szCs w:val="28"/>
        </w:rPr>
        <w:t>.</w:t>
      </w:r>
    </w:p>
    <w:p w14:paraId="5019F4BD" w14:textId="5FCF6C2B" w:rsidR="000918A6" w:rsidRPr="0020107F" w:rsidRDefault="00596D57" w:rsidP="0020107F">
      <w:pPr>
        <w:spacing w:after="0" w:line="240" w:lineRule="auto"/>
        <w:ind w:firstLine="720"/>
        <w:jc w:val="both"/>
        <w:rPr>
          <w:rFonts w:ascii="Times New Roman" w:hAnsi="Times New Roman" w:cs="Times New Roman"/>
          <w:bCs/>
          <w:sz w:val="28"/>
          <w:szCs w:val="28"/>
        </w:rPr>
      </w:pPr>
      <w:r w:rsidRPr="0020107F">
        <w:rPr>
          <w:rFonts w:ascii="Times New Roman" w:hAnsi="Times New Roman" w:cs="Times New Roman"/>
          <w:bCs/>
          <w:sz w:val="28"/>
          <w:szCs w:val="28"/>
        </w:rPr>
        <w:t xml:space="preserve">Lai nodrošinātu bērniem pēc iespējas veselīgāku, dabīgāku un uzturvielām bagātāku uzturu, kas vienlaikus atbilst visām </w:t>
      </w:r>
      <w:r w:rsidRPr="0020107F">
        <w:rPr>
          <w:rFonts w:ascii="Times New Roman" w:hAnsi="Times New Roman" w:cs="Times New Roman"/>
          <w:sz w:val="28"/>
          <w:szCs w:val="28"/>
        </w:rPr>
        <w:t xml:space="preserve">Ministru kabineta </w:t>
      </w:r>
      <w:r w:rsidR="007B271D" w:rsidRPr="0020107F">
        <w:rPr>
          <w:rFonts w:ascii="Times New Roman" w:hAnsi="Times New Roman" w:cs="Times New Roman"/>
          <w:sz w:val="28"/>
          <w:szCs w:val="28"/>
        </w:rPr>
        <w:t xml:space="preserve">2012.gada 13.marta </w:t>
      </w:r>
      <w:r w:rsidRPr="0020107F">
        <w:rPr>
          <w:rFonts w:ascii="Times New Roman" w:hAnsi="Times New Roman" w:cs="Times New Roman"/>
          <w:sz w:val="28"/>
          <w:szCs w:val="28"/>
        </w:rPr>
        <w:t xml:space="preserve">noteikumu Nr.172 </w:t>
      </w:r>
      <w:r w:rsidR="007B271D" w:rsidRPr="0020107F">
        <w:rPr>
          <w:rFonts w:ascii="Times New Roman" w:hAnsi="Times New Roman" w:cs="Times New Roman"/>
          <w:sz w:val="28"/>
          <w:szCs w:val="28"/>
        </w:rPr>
        <w:t>“</w:t>
      </w:r>
      <w:r w:rsidRPr="0020107F">
        <w:rPr>
          <w:rFonts w:ascii="Times New Roman" w:hAnsi="Times New Roman" w:cs="Times New Roman"/>
          <w:iCs/>
          <w:sz w:val="28"/>
          <w:szCs w:val="28"/>
        </w:rPr>
        <w:t>Noteikumi par uztura normām izglītības iestāžu izglītojamiem, sociālās aprūpes un sociālās rehabilitācijas institūciju klientiem un ārstniecības iestāžu pacientiem</w:t>
      </w:r>
      <w:r w:rsidR="007B271D" w:rsidRPr="0020107F">
        <w:rPr>
          <w:rFonts w:ascii="Times New Roman" w:hAnsi="Times New Roman" w:cs="Times New Roman"/>
          <w:sz w:val="28"/>
          <w:szCs w:val="28"/>
        </w:rPr>
        <w:t xml:space="preserve">” </w:t>
      </w:r>
      <w:r w:rsidRPr="0020107F">
        <w:rPr>
          <w:rFonts w:ascii="Times New Roman" w:hAnsi="Times New Roman" w:cs="Times New Roman"/>
          <w:sz w:val="28"/>
          <w:szCs w:val="28"/>
        </w:rPr>
        <w:t>noteiktajām kvalitātes prasībām, kas laika gaitā arī tika paaugstinātas,</w:t>
      </w:r>
      <w:r w:rsidRPr="0020107F">
        <w:rPr>
          <w:rFonts w:ascii="Times New Roman" w:hAnsi="Times New Roman" w:cs="Times New Roman"/>
          <w:bCs/>
          <w:sz w:val="28"/>
          <w:szCs w:val="28"/>
        </w:rPr>
        <w:t xml:space="preserve"> ir jānosaka valsts piešķirtā finansējuma apmērs viena izglītojamā ēdināšanai, kāds tiek novirzīts pārtikas produktu iegādei.</w:t>
      </w:r>
      <w:r w:rsidR="00EE741A" w:rsidRPr="0020107F">
        <w:rPr>
          <w:rFonts w:ascii="Times New Roman" w:hAnsi="Times New Roman" w:cs="Times New Roman"/>
          <w:bCs/>
          <w:sz w:val="28"/>
          <w:szCs w:val="28"/>
        </w:rPr>
        <w:t xml:space="preserve"> Ieviešot jaunu regulējumu pie</w:t>
      </w:r>
      <w:r w:rsidR="00AC1DD6" w:rsidRPr="0020107F">
        <w:rPr>
          <w:rFonts w:ascii="Times New Roman" w:hAnsi="Times New Roman" w:cs="Times New Roman"/>
          <w:bCs/>
          <w:sz w:val="28"/>
          <w:szCs w:val="28"/>
        </w:rPr>
        <w:t xml:space="preserve"> pašreiz spēkā esošā  valsts finans</w:t>
      </w:r>
      <w:r w:rsidR="00023915" w:rsidRPr="0020107F">
        <w:rPr>
          <w:rFonts w:ascii="Times New Roman" w:hAnsi="Times New Roman" w:cs="Times New Roman"/>
          <w:bCs/>
          <w:sz w:val="28"/>
          <w:szCs w:val="28"/>
        </w:rPr>
        <w:t xml:space="preserve">ējuma, kas ir </w:t>
      </w:r>
      <w:r w:rsidR="00EE741A" w:rsidRPr="0020107F">
        <w:rPr>
          <w:rFonts w:ascii="Times New Roman" w:hAnsi="Times New Roman" w:cs="Times New Roman"/>
          <w:bCs/>
          <w:sz w:val="28"/>
          <w:szCs w:val="28"/>
        </w:rPr>
        <w:t xml:space="preserve">1,42 </w:t>
      </w:r>
      <w:proofErr w:type="spellStart"/>
      <w:r w:rsidR="00EE741A" w:rsidRPr="0020107F">
        <w:rPr>
          <w:rFonts w:ascii="Times New Roman" w:hAnsi="Times New Roman" w:cs="Times New Roman"/>
          <w:bCs/>
          <w:i/>
          <w:sz w:val="28"/>
          <w:szCs w:val="28"/>
        </w:rPr>
        <w:t>euro</w:t>
      </w:r>
      <w:proofErr w:type="spellEnd"/>
      <w:r w:rsidR="00EE741A" w:rsidRPr="0020107F">
        <w:rPr>
          <w:rFonts w:ascii="Times New Roman" w:hAnsi="Times New Roman" w:cs="Times New Roman"/>
          <w:bCs/>
          <w:sz w:val="28"/>
          <w:szCs w:val="28"/>
        </w:rPr>
        <w:t xml:space="preserve"> </w:t>
      </w:r>
      <w:r w:rsidR="00023915" w:rsidRPr="0020107F">
        <w:rPr>
          <w:rFonts w:ascii="Times New Roman" w:hAnsi="Times New Roman" w:cs="Times New Roman"/>
          <w:bCs/>
          <w:sz w:val="28"/>
          <w:szCs w:val="28"/>
        </w:rPr>
        <w:t xml:space="preserve">dienā par vienu izglītojamo, </w:t>
      </w:r>
      <w:r w:rsidR="00EE741A" w:rsidRPr="0020107F">
        <w:rPr>
          <w:rFonts w:ascii="Times New Roman" w:hAnsi="Times New Roman" w:cs="Times New Roman"/>
          <w:bCs/>
          <w:sz w:val="28"/>
          <w:szCs w:val="28"/>
        </w:rPr>
        <w:t>pastāv risks, ka ēdināšanas pakalpojumu sniedzēji nespēj nodrošināt ēdināšanas pakalpojumu sniegšanu, jo nepietiek līdzekļu pārējām izmaksām.</w:t>
      </w:r>
    </w:p>
    <w:p w14:paraId="44FA9329" w14:textId="77777777" w:rsidR="00205BD1" w:rsidRPr="0020107F" w:rsidRDefault="00205BD1" w:rsidP="0020107F">
      <w:pPr>
        <w:spacing w:after="0" w:line="240" w:lineRule="auto"/>
        <w:ind w:firstLine="720"/>
        <w:jc w:val="both"/>
        <w:rPr>
          <w:rFonts w:ascii="Times New Roman" w:hAnsi="Times New Roman" w:cs="Times New Roman"/>
          <w:bCs/>
          <w:sz w:val="28"/>
          <w:szCs w:val="28"/>
        </w:rPr>
      </w:pPr>
    </w:p>
    <w:p w14:paraId="1DB69F55" w14:textId="31809EEA" w:rsidR="00023915" w:rsidRPr="0020107F" w:rsidRDefault="00023915" w:rsidP="0020107F">
      <w:pPr>
        <w:spacing w:after="0" w:line="240" w:lineRule="auto"/>
        <w:ind w:firstLine="720"/>
        <w:jc w:val="both"/>
        <w:rPr>
          <w:rFonts w:ascii="Times New Roman" w:hAnsi="Times New Roman" w:cs="Times New Roman"/>
          <w:bCs/>
          <w:sz w:val="28"/>
          <w:szCs w:val="28"/>
        </w:rPr>
      </w:pPr>
      <w:r w:rsidRPr="0020107F">
        <w:rPr>
          <w:rFonts w:ascii="Times New Roman" w:hAnsi="Times New Roman" w:cs="Times New Roman"/>
          <w:bCs/>
          <w:sz w:val="28"/>
          <w:szCs w:val="28"/>
        </w:rPr>
        <w:t>Līdz ar to Izglītības un zinātnes ministrija virza izskatīšanai pirmo priekšlikumu.</w:t>
      </w:r>
    </w:p>
    <w:p w14:paraId="6480DE28" w14:textId="77777777" w:rsidR="007B271D" w:rsidRPr="0020107F" w:rsidRDefault="007B271D" w:rsidP="0020107F">
      <w:pPr>
        <w:spacing w:after="0" w:line="240" w:lineRule="auto"/>
        <w:ind w:firstLine="720"/>
        <w:jc w:val="both"/>
        <w:rPr>
          <w:rFonts w:ascii="Times New Roman" w:hAnsi="Times New Roman" w:cs="Times New Roman"/>
          <w:bCs/>
          <w:sz w:val="28"/>
          <w:szCs w:val="28"/>
        </w:rPr>
      </w:pPr>
    </w:p>
    <w:p w14:paraId="3ED784F7" w14:textId="77777777" w:rsidR="007B271D" w:rsidRPr="0020107F" w:rsidRDefault="007B271D" w:rsidP="0020107F">
      <w:pPr>
        <w:spacing w:after="0" w:line="240" w:lineRule="auto"/>
        <w:ind w:firstLine="720"/>
        <w:jc w:val="both"/>
        <w:rPr>
          <w:rFonts w:ascii="Times New Roman" w:hAnsi="Times New Roman" w:cs="Times New Roman"/>
          <w:bCs/>
          <w:sz w:val="28"/>
          <w:szCs w:val="28"/>
        </w:rPr>
      </w:pPr>
    </w:p>
    <w:p w14:paraId="6D14C8CD" w14:textId="7E4271F5" w:rsidR="007B271D" w:rsidRPr="0020107F" w:rsidRDefault="007B271D" w:rsidP="0020107F">
      <w:pPr>
        <w:spacing w:after="0" w:line="240" w:lineRule="auto"/>
        <w:jc w:val="both"/>
        <w:rPr>
          <w:rFonts w:ascii="Times New Roman" w:hAnsi="Times New Roman" w:cs="Times New Roman"/>
          <w:bCs/>
          <w:sz w:val="28"/>
          <w:szCs w:val="28"/>
        </w:rPr>
      </w:pPr>
      <w:r w:rsidRPr="0020107F">
        <w:rPr>
          <w:rFonts w:ascii="Times New Roman" w:hAnsi="Times New Roman" w:cs="Times New Roman"/>
          <w:bCs/>
          <w:sz w:val="28"/>
          <w:szCs w:val="28"/>
        </w:rPr>
        <w:t>Izglītības un zinātnes ministre</w:t>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t>Mārīte Seile</w:t>
      </w:r>
    </w:p>
    <w:p w14:paraId="561AB033" w14:textId="77777777" w:rsidR="007B271D" w:rsidRPr="0020107F" w:rsidRDefault="007B271D" w:rsidP="0020107F">
      <w:pPr>
        <w:spacing w:after="0" w:line="240" w:lineRule="auto"/>
        <w:jc w:val="both"/>
        <w:rPr>
          <w:rFonts w:ascii="Times New Roman" w:hAnsi="Times New Roman" w:cs="Times New Roman"/>
          <w:bCs/>
          <w:sz w:val="28"/>
          <w:szCs w:val="28"/>
        </w:rPr>
      </w:pPr>
    </w:p>
    <w:p w14:paraId="58E67974" w14:textId="77777777" w:rsidR="007B271D" w:rsidRPr="0020107F" w:rsidRDefault="007B271D" w:rsidP="0020107F">
      <w:pPr>
        <w:spacing w:after="0" w:line="240" w:lineRule="auto"/>
        <w:jc w:val="both"/>
        <w:rPr>
          <w:rFonts w:ascii="Times New Roman" w:hAnsi="Times New Roman" w:cs="Times New Roman"/>
          <w:bCs/>
          <w:sz w:val="28"/>
          <w:szCs w:val="28"/>
        </w:rPr>
      </w:pPr>
    </w:p>
    <w:p w14:paraId="1CCE4AAF" w14:textId="4000D540" w:rsidR="007B271D" w:rsidRPr="0020107F" w:rsidRDefault="007B271D" w:rsidP="0020107F">
      <w:pPr>
        <w:spacing w:after="0" w:line="240" w:lineRule="auto"/>
        <w:jc w:val="both"/>
        <w:rPr>
          <w:rFonts w:ascii="Times New Roman" w:hAnsi="Times New Roman" w:cs="Times New Roman"/>
          <w:bCs/>
          <w:sz w:val="28"/>
          <w:szCs w:val="28"/>
        </w:rPr>
      </w:pPr>
      <w:r w:rsidRPr="0020107F">
        <w:rPr>
          <w:rFonts w:ascii="Times New Roman" w:hAnsi="Times New Roman" w:cs="Times New Roman"/>
          <w:bCs/>
          <w:sz w:val="28"/>
          <w:szCs w:val="28"/>
        </w:rPr>
        <w:t xml:space="preserve">Vizē: </w:t>
      </w:r>
    </w:p>
    <w:p w14:paraId="76A54248" w14:textId="77777777" w:rsidR="0019519C" w:rsidRPr="0020107F" w:rsidRDefault="0019519C" w:rsidP="0020107F">
      <w:pPr>
        <w:spacing w:after="0" w:line="240" w:lineRule="auto"/>
        <w:jc w:val="both"/>
        <w:rPr>
          <w:rFonts w:ascii="Times New Roman" w:hAnsi="Times New Roman" w:cs="Times New Roman"/>
          <w:bCs/>
          <w:sz w:val="28"/>
          <w:szCs w:val="28"/>
        </w:rPr>
      </w:pPr>
    </w:p>
    <w:p w14:paraId="3CECC110" w14:textId="2081E107" w:rsidR="0019519C" w:rsidRPr="0020107F" w:rsidRDefault="0019519C" w:rsidP="0020107F">
      <w:pPr>
        <w:spacing w:after="0" w:line="240" w:lineRule="auto"/>
        <w:jc w:val="both"/>
        <w:rPr>
          <w:rFonts w:ascii="Times New Roman" w:hAnsi="Times New Roman" w:cs="Times New Roman"/>
          <w:sz w:val="28"/>
          <w:szCs w:val="28"/>
        </w:rPr>
      </w:pPr>
      <w:r w:rsidRPr="0020107F">
        <w:rPr>
          <w:rFonts w:ascii="Times New Roman" w:hAnsi="Times New Roman" w:cs="Times New Roman"/>
          <w:bCs/>
          <w:sz w:val="28"/>
          <w:szCs w:val="28"/>
        </w:rPr>
        <w:t>Valsts sek</w:t>
      </w:r>
      <w:r w:rsidR="00BD720C" w:rsidRPr="0020107F">
        <w:rPr>
          <w:rFonts w:ascii="Times New Roman" w:hAnsi="Times New Roman" w:cs="Times New Roman"/>
          <w:bCs/>
          <w:sz w:val="28"/>
          <w:szCs w:val="28"/>
        </w:rPr>
        <w:t>re</w:t>
      </w:r>
      <w:r w:rsidRPr="0020107F">
        <w:rPr>
          <w:rFonts w:ascii="Times New Roman" w:hAnsi="Times New Roman" w:cs="Times New Roman"/>
          <w:bCs/>
          <w:sz w:val="28"/>
          <w:szCs w:val="28"/>
        </w:rPr>
        <w:t>tāre</w:t>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r>
      <w:r w:rsidRPr="0020107F">
        <w:rPr>
          <w:rFonts w:ascii="Times New Roman" w:hAnsi="Times New Roman" w:cs="Times New Roman"/>
          <w:bCs/>
          <w:sz w:val="28"/>
          <w:szCs w:val="28"/>
        </w:rPr>
        <w:tab/>
        <w:t xml:space="preserve">Līga Lejiņa </w:t>
      </w:r>
    </w:p>
    <w:p w14:paraId="0ECEDC31" w14:textId="77777777" w:rsidR="000918A6" w:rsidRPr="0020107F" w:rsidRDefault="000918A6" w:rsidP="0020107F">
      <w:pPr>
        <w:spacing w:after="0" w:line="240" w:lineRule="auto"/>
        <w:rPr>
          <w:rFonts w:ascii="Times New Roman" w:hAnsi="Times New Roman" w:cs="Times New Roman"/>
          <w:sz w:val="28"/>
          <w:szCs w:val="28"/>
        </w:rPr>
      </w:pPr>
    </w:p>
    <w:p w14:paraId="30E1FC00" w14:textId="77777777" w:rsidR="000918A6" w:rsidRPr="0020107F" w:rsidRDefault="000918A6" w:rsidP="004A0833">
      <w:pPr>
        <w:rPr>
          <w:rFonts w:ascii="Times New Roman" w:hAnsi="Times New Roman" w:cs="Times New Roman"/>
          <w:sz w:val="28"/>
          <w:szCs w:val="28"/>
        </w:rPr>
      </w:pPr>
    </w:p>
    <w:p w14:paraId="688D4851" w14:textId="77777777" w:rsidR="000918A6" w:rsidRDefault="000918A6" w:rsidP="004A0833">
      <w:pPr>
        <w:rPr>
          <w:rFonts w:ascii="Times New Roman" w:hAnsi="Times New Roman" w:cs="Times New Roman"/>
          <w:sz w:val="24"/>
          <w:szCs w:val="24"/>
        </w:rPr>
      </w:pPr>
    </w:p>
    <w:p w14:paraId="0F1C2DBC" w14:textId="77777777" w:rsidR="000918A6" w:rsidRPr="000918A6" w:rsidRDefault="000918A6" w:rsidP="004A0833">
      <w:pPr>
        <w:rPr>
          <w:rFonts w:ascii="Times New Roman" w:hAnsi="Times New Roman" w:cs="Times New Roman"/>
          <w:sz w:val="24"/>
          <w:szCs w:val="24"/>
        </w:rPr>
      </w:pPr>
    </w:p>
    <w:p w14:paraId="471344C3" w14:textId="77777777" w:rsidR="000918A6" w:rsidRPr="000918A6" w:rsidRDefault="000918A6" w:rsidP="004A0833">
      <w:pPr>
        <w:rPr>
          <w:rFonts w:ascii="Times New Roman" w:hAnsi="Times New Roman" w:cs="Times New Roman"/>
          <w:sz w:val="24"/>
          <w:szCs w:val="24"/>
        </w:rPr>
      </w:pPr>
    </w:p>
    <w:p w14:paraId="4941C0E9" w14:textId="77777777" w:rsidR="000918A6" w:rsidRDefault="000918A6" w:rsidP="004A0833"/>
    <w:p w14:paraId="7A927CD6" w14:textId="77777777" w:rsidR="000918A6" w:rsidRDefault="000918A6" w:rsidP="004A0833"/>
    <w:p w14:paraId="60CC27E9" w14:textId="77777777" w:rsidR="000918A6" w:rsidRDefault="000918A6" w:rsidP="004A0833"/>
    <w:p w14:paraId="6456BD57" w14:textId="77777777" w:rsidR="00BD18C2" w:rsidRDefault="00BD18C2" w:rsidP="00BD18C2">
      <w:pPr>
        <w:pStyle w:val="NoSpacing"/>
        <w:rPr>
          <w:rFonts w:ascii="Times New Roman" w:hAnsi="Times New Roman" w:cs="Times New Roman"/>
          <w:sz w:val="20"/>
          <w:szCs w:val="20"/>
        </w:rPr>
      </w:pPr>
      <w:r w:rsidRPr="00FD4732">
        <w:rPr>
          <w:rFonts w:ascii="Times New Roman" w:hAnsi="Times New Roman" w:cs="Times New Roman"/>
          <w:sz w:val="20"/>
          <w:szCs w:val="20"/>
        </w:rPr>
        <w:t xml:space="preserve">Ieva Pētersone, </w:t>
      </w:r>
    </w:p>
    <w:p w14:paraId="6EAA8C4B" w14:textId="77777777" w:rsidR="00BD18C2" w:rsidRPr="00FD4732" w:rsidRDefault="00BD18C2" w:rsidP="00BD18C2">
      <w:pPr>
        <w:pStyle w:val="NoSpacing"/>
        <w:rPr>
          <w:rFonts w:ascii="Times New Roman" w:hAnsi="Times New Roman" w:cs="Times New Roman"/>
          <w:sz w:val="20"/>
          <w:szCs w:val="20"/>
        </w:rPr>
      </w:pPr>
      <w:r w:rsidRPr="00FD4732">
        <w:rPr>
          <w:rFonts w:ascii="Times New Roman" w:hAnsi="Times New Roman" w:cs="Times New Roman"/>
          <w:sz w:val="20"/>
          <w:szCs w:val="20"/>
        </w:rPr>
        <w:t>67047829</w:t>
      </w:r>
    </w:p>
    <w:p w14:paraId="1FD50359" w14:textId="77777777" w:rsidR="00BD18C2" w:rsidRPr="00FD4732" w:rsidRDefault="00BD18C2" w:rsidP="00BD18C2">
      <w:pPr>
        <w:pStyle w:val="NoSpacing"/>
        <w:rPr>
          <w:rFonts w:ascii="Times New Roman" w:hAnsi="Times New Roman" w:cs="Times New Roman"/>
          <w:sz w:val="20"/>
          <w:szCs w:val="20"/>
        </w:rPr>
      </w:pPr>
      <w:r w:rsidRPr="00FD4732">
        <w:rPr>
          <w:rFonts w:ascii="Times New Roman" w:hAnsi="Times New Roman" w:cs="Times New Roman"/>
          <w:sz w:val="20"/>
          <w:szCs w:val="20"/>
        </w:rPr>
        <w:t>ieva.petersone@izm.gov.lv</w:t>
      </w:r>
    </w:p>
    <w:p w14:paraId="49EE289A" w14:textId="77777777" w:rsidR="00BD18C2" w:rsidRPr="00BD18C2" w:rsidRDefault="00BD18C2" w:rsidP="00BD18C2">
      <w:pPr>
        <w:spacing w:after="0"/>
        <w:rPr>
          <w:rFonts w:ascii="Times New Roman" w:hAnsi="Times New Roman" w:cs="Times New Roman"/>
          <w:sz w:val="20"/>
          <w:szCs w:val="20"/>
        </w:rPr>
      </w:pPr>
      <w:r w:rsidRPr="00BD18C2">
        <w:rPr>
          <w:rFonts w:ascii="Times New Roman" w:hAnsi="Times New Roman" w:cs="Times New Roman"/>
          <w:sz w:val="20"/>
          <w:szCs w:val="20"/>
        </w:rPr>
        <w:t>Aigars Cirmans</w:t>
      </w:r>
    </w:p>
    <w:p w14:paraId="5098696C" w14:textId="77777777" w:rsidR="00BD18C2" w:rsidRPr="00BD18C2" w:rsidRDefault="00BD18C2" w:rsidP="00BD18C2">
      <w:pPr>
        <w:spacing w:after="0"/>
        <w:rPr>
          <w:rFonts w:ascii="Times New Roman" w:hAnsi="Times New Roman" w:cs="Times New Roman"/>
          <w:sz w:val="20"/>
          <w:szCs w:val="20"/>
        </w:rPr>
      </w:pPr>
      <w:r w:rsidRPr="00BD18C2">
        <w:rPr>
          <w:rFonts w:ascii="Times New Roman" w:hAnsi="Times New Roman" w:cs="Times New Roman"/>
          <w:sz w:val="20"/>
          <w:szCs w:val="20"/>
        </w:rPr>
        <w:t>67047797</w:t>
      </w:r>
    </w:p>
    <w:p w14:paraId="02112709" w14:textId="77777777" w:rsidR="00BD18C2" w:rsidRPr="00BD18C2" w:rsidRDefault="00BD18C2" w:rsidP="00BD18C2">
      <w:pPr>
        <w:spacing w:after="0"/>
        <w:rPr>
          <w:rFonts w:ascii="Times New Roman" w:hAnsi="Times New Roman" w:cs="Times New Roman"/>
          <w:sz w:val="20"/>
          <w:szCs w:val="20"/>
        </w:rPr>
      </w:pPr>
      <w:r w:rsidRPr="00BD18C2">
        <w:rPr>
          <w:rFonts w:ascii="Times New Roman" w:hAnsi="Times New Roman" w:cs="Times New Roman"/>
          <w:sz w:val="20"/>
          <w:szCs w:val="20"/>
        </w:rPr>
        <w:t>Aigars.cirmans@izm.gov.lv</w:t>
      </w:r>
    </w:p>
    <w:sectPr w:rsidR="00BD18C2" w:rsidRPr="00BD18C2" w:rsidSect="0020107F">
      <w:headerReference w:type="default" r:id="rId13"/>
      <w:footerReference w:type="default" r:id="rId14"/>
      <w:headerReference w:type="first" r:id="rId15"/>
      <w:footerReference w:type="first" r:id="rId16"/>
      <w:pgSz w:w="11920" w:h="16840"/>
      <w:pgMar w:top="-1100"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650F9" w14:textId="77777777" w:rsidR="009C6CD3" w:rsidRDefault="009C6CD3" w:rsidP="00E92A64">
      <w:pPr>
        <w:spacing w:after="0" w:line="240" w:lineRule="auto"/>
      </w:pPr>
      <w:r>
        <w:separator/>
      </w:r>
    </w:p>
  </w:endnote>
  <w:endnote w:type="continuationSeparator" w:id="0">
    <w:p w14:paraId="0F3F2B5A" w14:textId="77777777" w:rsidR="009C6CD3" w:rsidRDefault="009C6CD3" w:rsidP="00E9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7EF7" w14:textId="20BD053F" w:rsidR="007D2174" w:rsidRPr="0020107F" w:rsidRDefault="00757A4C" w:rsidP="0020107F">
    <w:pPr>
      <w:pStyle w:val="Footer"/>
      <w:jc w:val="both"/>
      <w:rPr>
        <w:rFonts w:ascii="Times New Roman" w:hAnsi="Times New Roman" w:cs="Times New Roman"/>
        <w:sz w:val="24"/>
        <w:szCs w:val="24"/>
      </w:rPr>
    </w:pPr>
    <w:r w:rsidRPr="0020107F">
      <w:rPr>
        <w:rFonts w:ascii="Times New Roman" w:hAnsi="Times New Roman" w:cs="Times New Roman"/>
        <w:sz w:val="24"/>
        <w:szCs w:val="24"/>
      </w:rPr>
      <w:t>IZMZino_011215_edinasana; Informatīvais ziņojums “Par valsts piešķirtās dotācijas finansējuma apmēru viena izglītojamā ēdināšanai, kāds tiek novirzīts pārtikas produktu iegādei”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6046" w14:textId="77777777" w:rsidR="00F32142" w:rsidRDefault="00F32142">
    <w:pPr>
      <w:pStyle w:val="Footer"/>
      <w:jc w:val="right"/>
    </w:pPr>
  </w:p>
  <w:p w14:paraId="106946EF" w14:textId="1684D20B" w:rsidR="00F32142" w:rsidRPr="0020107F" w:rsidRDefault="00757A4C" w:rsidP="0020107F">
    <w:pPr>
      <w:pStyle w:val="Footer"/>
      <w:tabs>
        <w:tab w:val="clear" w:pos="4153"/>
        <w:tab w:val="clear" w:pos="8306"/>
      </w:tabs>
      <w:jc w:val="both"/>
      <w:rPr>
        <w:rFonts w:ascii="Times New Roman" w:hAnsi="Times New Roman" w:cs="Times New Roman"/>
        <w:sz w:val="24"/>
        <w:szCs w:val="24"/>
      </w:rPr>
    </w:pPr>
    <w:r w:rsidRPr="0020107F">
      <w:rPr>
        <w:rFonts w:ascii="Times New Roman" w:hAnsi="Times New Roman" w:cs="Times New Roman"/>
        <w:sz w:val="24"/>
        <w:szCs w:val="24"/>
      </w:rPr>
      <w:t>IZM</w:t>
    </w:r>
    <w:r>
      <w:rPr>
        <w:rFonts w:ascii="Times New Roman" w:hAnsi="Times New Roman" w:cs="Times New Roman"/>
        <w:sz w:val="24"/>
        <w:szCs w:val="24"/>
      </w:rPr>
      <w:t>Zino_011215_edinasana; Informatīvais ziņojums “Par valsts piešķirtās dotācijas finansējuma apmēru viena izglītojamā ēdināšanai, kāds tiek novirzīts pārtikas produktu iegādei”</w:t>
    </w:r>
    <w:r w:rsidRPr="0020107F">
      <w:rPr>
        <w:rFonts w:ascii="Times New Roman" w:hAnsi="Times New Roman" w:cs="Times New Roman"/>
        <w:sz w:val="24"/>
        <w:szCs w:val="24"/>
      </w:rPr>
      <w:tab/>
    </w:r>
    <w:r w:rsidRPr="0020107F">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7AE7D" w14:textId="77777777" w:rsidR="009C6CD3" w:rsidRDefault="009C6CD3" w:rsidP="00E92A64">
      <w:pPr>
        <w:spacing w:after="0" w:line="240" w:lineRule="auto"/>
      </w:pPr>
      <w:r>
        <w:separator/>
      </w:r>
    </w:p>
  </w:footnote>
  <w:footnote w:type="continuationSeparator" w:id="0">
    <w:p w14:paraId="105CBE2B" w14:textId="77777777" w:rsidR="009C6CD3" w:rsidRDefault="009C6CD3" w:rsidP="00E92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24839"/>
      <w:docPartObj>
        <w:docPartGallery w:val="Page Numbers (Top of Page)"/>
        <w:docPartUnique/>
      </w:docPartObj>
    </w:sdtPr>
    <w:sdtEndPr>
      <w:rPr>
        <w:rFonts w:ascii="Times New Roman" w:hAnsi="Times New Roman" w:cs="Times New Roman"/>
        <w:noProof/>
        <w:sz w:val="24"/>
        <w:szCs w:val="24"/>
      </w:rPr>
    </w:sdtEndPr>
    <w:sdtContent>
      <w:p w14:paraId="5F3D3846" w14:textId="2C68CA48" w:rsidR="00757A4C" w:rsidRPr="0020107F" w:rsidRDefault="00757A4C">
        <w:pPr>
          <w:pStyle w:val="Header"/>
          <w:jc w:val="center"/>
          <w:rPr>
            <w:rFonts w:ascii="Times New Roman" w:hAnsi="Times New Roman" w:cs="Times New Roman"/>
            <w:sz w:val="24"/>
            <w:szCs w:val="24"/>
          </w:rPr>
        </w:pPr>
        <w:r w:rsidRPr="0020107F">
          <w:rPr>
            <w:rFonts w:ascii="Times New Roman" w:hAnsi="Times New Roman" w:cs="Times New Roman"/>
            <w:sz w:val="24"/>
            <w:szCs w:val="24"/>
          </w:rPr>
          <w:fldChar w:fldCharType="begin"/>
        </w:r>
        <w:r w:rsidRPr="0020107F">
          <w:rPr>
            <w:rFonts w:ascii="Times New Roman" w:hAnsi="Times New Roman" w:cs="Times New Roman"/>
            <w:sz w:val="24"/>
            <w:szCs w:val="24"/>
          </w:rPr>
          <w:instrText xml:space="preserve"> PAGE   \* MERGEFORMAT </w:instrText>
        </w:r>
        <w:r w:rsidRPr="0020107F">
          <w:rPr>
            <w:rFonts w:ascii="Times New Roman" w:hAnsi="Times New Roman" w:cs="Times New Roman"/>
            <w:sz w:val="24"/>
            <w:szCs w:val="24"/>
          </w:rPr>
          <w:fldChar w:fldCharType="separate"/>
        </w:r>
        <w:r w:rsidR="006D1F48">
          <w:rPr>
            <w:rFonts w:ascii="Times New Roman" w:hAnsi="Times New Roman" w:cs="Times New Roman"/>
            <w:noProof/>
            <w:sz w:val="24"/>
            <w:szCs w:val="24"/>
          </w:rPr>
          <w:t>9</w:t>
        </w:r>
        <w:r w:rsidRPr="0020107F">
          <w:rPr>
            <w:rFonts w:ascii="Times New Roman" w:hAnsi="Times New Roman" w:cs="Times New Roman"/>
            <w:noProof/>
            <w:sz w:val="24"/>
            <w:szCs w:val="24"/>
          </w:rPr>
          <w:fldChar w:fldCharType="end"/>
        </w:r>
      </w:p>
    </w:sdtContent>
  </w:sdt>
  <w:p w14:paraId="029A5123" w14:textId="77777777" w:rsidR="00757A4C" w:rsidRDefault="00757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0CD4" w14:textId="15DB1744" w:rsidR="00F32142" w:rsidRPr="007D2174" w:rsidRDefault="00F32142">
    <w:pPr>
      <w:pStyle w:val="Header"/>
      <w:jc w:val="right"/>
      <w:rPr>
        <w:rFonts w:ascii="Times New Roman" w:hAnsi="Times New Roman" w:cs="Times New Roman"/>
      </w:rPr>
    </w:pPr>
  </w:p>
  <w:p w14:paraId="2EE51754" w14:textId="77777777" w:rsidR="00545D03" w:rsidRDefault="009C6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83D"/>
    <w:multiLevelType w:val="hybridMultilevel"/>
    <w:tmpl w:val="D728B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495D0B"/>
    <w:multiLevelType w:val="hybridMultilevel"/>
    <w:tmpl w:val="0902CD1C"/>
    <w:lvl w:ilvl="0" w:tplc="96B4F6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6256CED"/>
    <w:multiLevelType w:val="multilevel"/>
    <w:tmpl w:val="79D0AB40"/>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38BA07F3"/>
    <w:multiLevelType w:val="hybridMultilevel"/>
    <w:tmpl w:val="6EA8AFC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0A639A1"/>
    <w:multiLevelType w:val="hybridMultilevel"/>
    <w:tmpl w:val="1048DD60"/>
    <w:lvl w:ilvl="0" w:tplc="40E27482">
      <w:start w:val="200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67"/>
    <w:rsid w:val="00020379"/>
    <w:rsid w:val="00023915"/>
    <w:rsid w:val="000334C4"/>
    <w:rsid w:val="0006425E"/>
    <w:rsid w:val="00066FB1"/>
    <w:rsid w:val="000801B3"/>
    <w:rsid w:val="0008148D"/>
    <w:rsid w:val="00084DE5"/>
    <w:rsid w:val="000917E7"/>
    <w:rsid w:val="000918A6"/>
    <w:rsid w:val="000A04C3"/>
    <w:rsid w:val="000A7085"/>
    <w:rsid w:val="000B45A8"/>
    <w:rsid w:val="000B5D6B"/>
    <w:rsid w:val="000C505D"/>
    <w:rsid w:val="00105C3B"/>
    <w:rsid w:val="0012116E"/>
    <w:rsid w:val="00125032"/>
    <w:rsid w:val="0013769F"/>
    <w:rsid w:val="001431A8"/>
    <w:rsid w:val="00163580"/>
    <w:rsid w:val="001663FC"/>
    <w:rsid w:val="00167F72"/>
    <w:rsid w:val="001731F6"/>
    <w:rsid w:val="00173292"/>
    <w:rsid w:val="00174FC9"/>
    <w:rsid w:val="001754E2"/>
    <w:rsid w:val="00192DAD"/>
    <w:rsid w:val="0019519C"/>
    <w:rsid w:val="001A35BA"/>
    <w:rsid w:val="001A792D"/>
    <w:rsid w:val="001C32B0"/>
    <w:rsid w:val="001C4459"/>
    <w:rsid w:val="001C49C9"/>
    <w:rsid w:val="001D0868"/>
    <w:rsid w:val="001E04CB"/>
    <w:rsid w:val="001E7FFA"/>
    <w:rsid w:val="0020107F"/>
    <w:rsid w:val="00201F86"/>
    <w:rsid w:val="00204680"/>
    <w:rsid w:val="00205BD1"/>
    <w:rsid w:val="00211D70"/>
    <w:rsid w:val="00213A07"/>
    <w:rsid w:val="0022178C"/>
    <w:rsid w:val="0022216F"/>
    <w:rsid w:val="00226C69"/>
    <w:rsid w:val="00232998"/>
    <w:rsid w:val="00284633"/>
    <w:rsid w:val="0028466C"/>
    <w:rsid w:val="00290CC8"/>
    <w:rsid w:val="00293955"/>
    <w:rsid w:val="002A1E3F"/>
    <w:rsid w:val="002A6BDC"/>
    <w:rsid w:val="002C207C"/>
    <w:rsid w:val="002D346D"/>
    <w:rsid w:val="002F30A9"/>
    <w:rsid w:val="002F4469"/>
    <w:rsid w:val="003069BB"/>
    <w:rsid w:val="00322D30"/>
    <w:rsid w:val="00324AD4"/>
    <w:rsid w:val="00351233"/>
    <w:rsid w:val="003565F0"/>
    <w:rsid w:val="00365ACA"/>
    <w:rsid w:val="00384A0E"/>
    <w:rsid w:val="00385402"/>
    <w:rsid w:val="003A03C0"/>
    <w:rsid w:val="003B3317"/>
    <w:rsid w:val="003D2596"/>
    <w:rsid w:val="003D6E1E"/>
    <w:rsid w:val="003E3BD8"/>
    <w:rsid w:val="003F3246"/>
    <w:rsid w:val="003F7C31"/>
    <w:rsid w:val="004073F9"/>
    <w:rsid w:val="004343B7"/>
    <w:rsid w:val="00442378"/>
    <w:rsid w:val="00447271"/>
    <w:rsid w:val="00481D63"/>
    <w:rsid w:val="00487F7D"/>
    <w:rsid w:val="004938D9"/>
    <w:rsid w:val="004A0833"/>
    <w:rsid w:val="004A0A8B"/>
    <w:rsid w:val="004A0FA8"/>
    <w:rsid w:val="004C1F75"/>
    <w:rsid w:val="004D548C"/>
    <w:rsid w:val="004E03E7"/>
    <w:rsid w:val="004F3B28"/>
    <w:rsid w:val="004F6EDA"/>
    <w:rsid w:val="00505D06"/>
    <w:rsid w:val="005179C0"/>
    <w:rsid w:val="005375A6"/>
    <w:rsid w:val="00551BF5"/>
    <w:rsid w:val="00567C43"/>
    <w:rsid w:val="005732D0"/>
    <w:rsid w:val="0058280F"/>
    <w:rsid w:val="00596D57"/>
    <w:rsid w:val="005977C3"/>
    <w:rsid w:val="005C4CF7"/>
    <w:rsid w:val="005C7163"/>
    <w:rsid w:val="005D50AA"/>
    <w:rsid w:val="005E09A7"/>
    <w:rsid w:val="005E0E8E"/>
    <w:rsid w:val="005F39BA"/>
    <w:rsid w:val="005F4B31"/>
    <w:rsid w:val="00604B09"/>
    <w:rsid w:val="0061140D"/>
    <w:rsid w:val="006203D6"/>
    <w:rsid w:val="006234B6"/>
    <w:rsid w:val="006378EF"/>
    <w:rsid w:val="00664FCD"/>
    <w:rsid w:val="00666807"/>
    <w:rsid w:val="00671011"/>
    <w:rsid w:val="006719CD"/>
    <w:rsid w:val="006C3AC0"/>
    <w:rsid w:val="006D1F48"/>
    <w:rsid w:val="006E15E1"/>
    <w:rsid w:val="006F1F22"/>
    <w:rsid w:val="00702E10"/>
    <w:rsid w:val="00713ED4"/>
    <w:rsid w:val="00723923"/>
    <w:rsid w:val="00751DC5"/>
    <w:rsid w:val="00757A4C"/>
    <w:rsid w:val="0077072F"/>
    <w:rsid w:val="00797C88"/>
    <w:rsid w:val="007A0A6D"/>
    <w:rsid w:val="007A1F49"/>
    <w:rsid w:val="007A725C"/>
    <w:rsid w:val="007B1975"/>
    <w:rsid w:val="007B271D"/>
    <w:rsid w:val="007D2174"/>
    <w:rsid w:val="007E7859"/>
    <w:rsid w:val="007F4EBC"/>
    <w:rsid w:val="0081010F"/>
    <w:rsid w:val="0082532E"/>
    <w:rsid w:val="008272FD"/>
    <w:rsid w:val="00843E0E"/>
    <w:rsid w:val="008622DE"/>
    <w:rsid w:val="00871A99"/>
    <w:rsid w:val="0087564A"/>
    <w:rsid w:val="00876E98"/>
    <w:rsid w:val="008904AC"/>
    <w:rsid w:val="00891DD7"/>
    <w:rsid w:val="008A145F"/>
    <w:rsid w:val="008D076E"/>
    <w:rsid w:val="008D5340"/>
    <w:rsid w:val="008F1D82"/>
    <w:rsid w:val="008F34F5"/>
    <w:rsid w:val="009016BD"/>
    <w:rsid w:val="00917750"/>
    <w:rsid w:val="0092573B"/>
    <w:rsid w:val="009314E8"/>
    <w:rsid w:val="00960315"/>
    <w:rsid w:val="009773E0"/>
    <w:rsid w:val="009823DC"/>
    <w:rsid w:val="009B4EBA"/>
    <w:rsid w:val="009B7AF5"/>
    <w:rsid w:val="009C6CD3"/>
    <w:rsid w:val="009D1ACA"/>
    <w:rsid w:val="009D3550"/>
    <w:rsid w:val="009E4EFC"/>
    <w:rsid w:val="00A55092"/>
    <w:rsid w:val="00A804DC"/>
    <w:rsid w:val="00A81398"/>
    <w:rsid w:val="00A87ED4"/>
    <w:rsid w:val="00AA026B"/>
    <w:rsid w:val="00AA296F"/>
    <w:rsid w:val="00AA3A60"/>
    <w:rsid w:val="00AB0746"/>
    <w:rsid w:val="00AB1205"/>
    <w:rsid w:val="00AB7C80"/>
    <w:rsid w:val="00AC1DD6"/>
    <w:rsid w:val="00AE7882"/>
    <w:rsid w:val="00B033B3"/>
    <w:rsid w:val="00B136FF"/>
    <w:rsid w:val="00B25D78"/>
    <w:rsid w:val="00B33596"/>
    <w:rsid w:val="00B43DA0"/>
    <w:rsid w:val="00B51D96"/>
    <w:rsid w:val="00B52AA3"/>
    <w:rsid w:val="00B677F4"/>
    <w:rsid w:val="00B8175F"/>
    <w:rsid w:val="00B96986"/>
    <w:rsid w:val="00BA3A85"/>
    <w:rsid w:val="00BD18C2"/>
    <w:rsid w:val="00BD557C"/>
    <w:rsid w:val="00BD720C"/>
    <w:rsid w:val="00BE0D67"/>
    <w:rsid w:val="00C0629F"/>
    <w:rsid w:val="00C261AC"/>
    <w:rsid w:val="00C30734"/>
    <w:rsid w:val="00C3520F"/>
    <w:rsid w:val="00C52644"/>
    <w:rsid w:val="00C75FC4"/>
    <w:rsid w:val="00C82585"/>
    <w:rsid w:val="00C87F27"/>
    <w:rsid w:val="00C953C0"/>
    <w:rsid w:val="00CB0B4B"/>
    <w:rsid w:val="00CB36AA"/>
    <w:rsid w:val="00CB7B01"/>
    <w:rsid w:val="00CF2F30"/>
    <w:rsid w:val="00D16CA8"/>
    <w:rsid w:val="00D27941"/>
    <w:rsid w:val="00D30C50"/>
    <w:rsid w:val="00D5258F"/>
    <w:rsid w:val="00D55B3D"/>
    <w:rsid w:val="00D63929"/>
    <w:rsid w:val="00D83AD0"/>
    <w:rsid w:val="00DB1131"/>
    <w:rsid w:val="00DC1F93"/>
    <w:rsid w:val="00DC55B7"/>
    <w:rsid w:val="00DF11E6"/>
    <w:rsid w:val="00E10765"/>
    <w:rsid w:val="00E10AEF"/>
    <w:rsid w:val="00E12499"/>
    <w:rsid w:val="00E21132"/>
    <w:rsid w:val="00E261C6"/>
    <w:rsid w:val="00E270D7"/>
    <w:rsid w:val="00E31E57"/>
    <w:rsid w:val="00E45BB1"/>
    <w:rsid w:val="00E5463C"/>
    <w:rsid w:val="00E92A64"/>
    <w:rsid w:val="00EA1054"/>
    <w:rsid w:val="00EA5771"/>
    <w:rsid w:val="00EB3725"/>
    <w:rsid w:val="00EC2C67"/>
    <w:rsid w:val="00ED04D5"/>
    <w:rsid w:val="00ED3564"/>
    <w:rsid w:val="00ED3701"/>
    <w:rsid w:val="00EE2841"/>
    <w:rsid w:val="00EE741A"/>
    <w:rsid w:val="00EF3F85"/>
    <w:rsid w:val="00F25216"/>
    <w:rsid w:val="00F32142"/>
    <w:rsid w:val="00F3780E"/>
    <w:rsid w:val="00F75CA7"/>
    <w:rsid w:val="00FB7124"/>
    <w:rsid w:val="00FC1C9A"/>
    <w:rsid w:val="00FD2C91"/>
    <w:rsid w:val="00FD36C3"/>
    <w:rsid w:val="00FD4732"/>
    <w:rsid w:val="00FD6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A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2A64"/>
  </w:style>
  <w:style w:type="paragraph" w:styleId="Footer">
    <w:name w:val="footer"/>
    <w:basedOn w:val="Normal"/>
    <w:link w:val="FooterChar"/>
    <w:uiPriority w:val="99"/>
    <w:unhideWhenUsed/>
    <w:rsid w:val="00E92A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A64"/>
  </w:style>
  <w:style w:type="table" w:styleId="TableGrid">
    <w:name w:val="Table Grid"/>
    <w:basedOn w:val="TableNormal"/>
    <w:uiPriority w:val="59"/>
    <w:rsid w:val="00E92A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4732"/>
    <w:pPr>
      <w:spacing w:after="0" w:line="240" w:lineRule="auto"/>
    </w:pPr>
  </w:style>
  <w:style w:type="paragraph" w:styleId="BalloonText">
    <w:name w:val="Balloon Text"/>
    <w:basedOn w:val="Normal"/>
    <w:link w:val="BalloonTextChar"/>
    <w:uiPriority w:val="99"/>
    <w:semiHidden/>
    <w:unhideWhenUsed/>
    <w:rsid w:val="0019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AD"/>
    <w:rPr>
      <w:rFonts w:ascii="Segoe UI" w:hAnsi="Segoe UI" w:cs="Segoe UI"/>
      <w:sz w:val="18"/>
      <w:szCs w:val="18"/>
    </w:rPr>
  </w:style>
  <w:style w:type="paragraph" w:styleId="ListParagraph">
    <w:name w:val="List Paragraph"/>
    <w:basedOn w:val="Normal"/>
    <w:uiPriority w:val="34"/>
    <w:qFormat/>
    <w:rsid w:val="000918A6"/>
    <w:pPr>
      <w:ind w:left="720"/>
      <w:contextualSpacing/>
    </w:pPr>
  </w:style>
  <w:style w:type="paragraph" w:styleId="PlainText">
    <w:name w:val="Plain Text"/>
    <w:basedOn w:val="Normal"/>
    <w:link w:val="PlainTextChar"/>
    <w:uiPriority w:val="99"/>
    <w:semiHidden/>
    <w:unhideWhenUsed/>
    <w:rsid w:val="00E261C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261C6"/>
    <w:rPr>
      <w:rFonts w:ascii="Calibri" w:hAnsi="Calibri" w:cs="Consolas"/>
      <w:szCs w:val="21"/>
    </w:rPr>
  </w:style>
  <w:style w:type="character" w:styleId="CommentReference">
    <w:name w:val="annotation reference"/>
    <w:basedOn w:val="DefaultParagraphFont"/>
    <w:uiPriority w:val="99"/>
    <w:semiHidden/>
    <w:unhideWhenUsed/>
    <w:rsid w:val="00384A0E"/>
    <w:rPr>
      <w:sz w:val="16"/>
      <w:szCs w:val="16"/>
    </w:rPr>
  </w:style>
  <w:style w:type="paragraph" w:styleId="CommentText">
    <w:name w:val="annotation text"/>
    <w:basedOn w:val="Normal"/>
    <w:link w:val="CommentTextChar"/>
    <w:uiPriority w:val="99"/>
    <w:semiHidden/>
    <w:unhideWhenUsed/>
    <w:rsid w:val="00384A0E"/>
    <w:pPr>
      <w:spacing w:line="240" w:lineRule="auto"/>
    </w:pPr>
    <w:rPr>
      <w:sz w:val="20"/>
      <w:szCs w:val="20"/>
    </w:rPr>
  </w:style>
  <w:style w:type="character" w:customStyle="1" w:styleId="CommentTextChar">
    <w:name w:val="Comment Text Char"/>
    <w:basedOn w:val="DefaultParagraphFont"/>
    <w:link w:val="CommentText"/>
    <w:uiPriority w:val="99"/>
    <w:semiHidden/>
    <w:rsid w:val="00384A0E"/>
    <w:rPr>
      <w:sz w:val="20"/>
      <w:szCs w:val="20"/>
    </w:rPr>
  </w:style>
  <w:style w:type="paragraph" w:styleId="CommentSubject">
    <w:name w:val="annotation subject"/>
    <w:basedOn w:val="CommentText"/>
    <w:next w:val="CommentText"/>
    <w:link w:val="CommentSubjectChar"/>
    <w:uiPriority w:val="99"/>
    <w:semiHidden/>
    <w:unhideWhenUsed/>
    <w:rsid w:val="00384A0E"/>
    <w:rPr>
      <w:b/>
      <w:bCs/>
    </w:rPr>
  </w:style>
  <w:style w:type="character" w:customStyle="1" w:styleId="CommentSubjectChar">
    <w:name w:val="Comment Subject Char"/>
    <w:basedOn w:val="CommentTextChar"/>
    <w:link w:val="CommentSubject"/>
    <w:uiPriority w:val="99"/>
    <w:semiHidden/>
    <w:rsid w:val="00384A0E"/>
    <w:rPr>
      <w:b/>
      <w:bCs/>
      <w:sz w:val="20"/>
      <w:szCs w:val="20"/>
    </w:rPr>
  </w:style>
  <w:style w:type="paragraph" w:styleId="Revision">
    <w:name w:val="Revision"/>
    <w:hidden/>
    <w:uiPriority w:val="99"/>
    <w:semiHidden/>
    <w:rsid w:val="003565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A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2A64"/>
  </w:style>
  <w:style w:type="paragraph" w:styleId="Footer">
    <w:name w:val="footer"/>
    <w:basedOn w:val="Normal"/>
    <w:link w:val="FooterChar"/>
    <w:uiPriority w:val="99"/>
    <w:unhideWhenUsed/>
    <w:rsid w:val="00E92A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A64"/>
  </w:style>
  <w:style w:type="table" w:styleId="TableGrid">
    <w:name w:val="Table Grid"/>
    <w:basedOn w:val="TableNormal"/>
    <w:uiPriority w:val="59"/>
    <w:rsid w:val="00E92A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4732"/>
    <w:pPr>
      <w:spacing w:after="0" w:line="240" w:lineRule="auto"/>
    </w:pPr>
  </w:style>
  <w:style w:type="paragraph" w:styleId="BalloonText">
    <w:name w:val="Balloon Text"/>
    <w:basedOn w:val="Normal"/>
    <w:link w:val="BalloonTextChar"/>
    <w:uiPriority w:val="99"/>
    <w:semiHidden/>
    <w:unhideWhenUsed/>
    <w:rsid w:val="0019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AD"/>
    <w:rPr>
      <w:rFonts w:ascii="Segoe UI" w:hAnsi="Segoe UI" w:cs="Segoe UI"/>
      <w:sz w:val="18"/>
      <w:szCs w:val="18"/>
    </w:rPr>
  </w:style>
  <w:style w:type="paragraph" w:styleId="ListParagraph">
    <w:name w:val="List Paragraph"/>
    <w:basedOn w:val="Normal"/>
    <w:uiPriority w:val="34"/>
    <w:qFormat/>
    <w:rsid w:val="000918A6"/>
    <w:pPr>
      <w:ind w:left="720"/>
      <w:contextualSpacing/>
    </w:pPr>
  </w:style>
  <w:style w:type="paragraph" w:styleId="PlainText">
    <w:name w:val="Plain Text"/>
    <w:basedOn w:val="Normal"/>
    <w:link w:val="PlainTextChar"/>
    <w:uiPriority w:val="99"/>
    <w:semiHidden/>
    <w:unhideWhenUsed/>
    <w:rsid w:val="00E261C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261C6"/>
    <w:rPr>
      <w:rFonts w:ascii="Calibri" w:hAnsi="Calibri" w:cs="Consolas"/>
      <w:szCs w:val="21"/>
    </w:rPr>
  </w:style>
  <w:style w:type="character" w:styleId="CommentReference">
    <w:name w:val="annotation reference"/>
    <w:basedOn w:val="DefaultParagraphFont"/>
    <w:uiPriority w:val="99"/>
    <w:semiHidden/>
    <w:unhideWhenUsed/>
    <w:rsid w:val="00384A0E"/>
    <w:rPr>
      <w:sz w:val="16"/>
      <w:szCs w:val="16"/>
    </w:rPr>
  </w:style>
  <w:style w:type="paragraph" w:styleId="CommentText">
    <w:name w:val="annotation text"/>
    <w:basedOn w:val="Normal"/>
    <w:link w:val="CommentTextChar"/>
    <w:uiPriority w:val="99"/>
    <w:semiHidden/>
    <w:unhideWhenUsed/>
    <w:rsid w:val="00384A0E"/>
    <w:pPr>
      <w:spacing w:line="240" w:lineRule="auto"/>
    </w:pPr>
    <w:rPr>
      <w:sz w:val="20"/>
      <w:szCs w:val="20"/>
    </w:rPr>
  </w:style>
  <w:style w:type="character" w:customStyle="1" w:styleId="CommentTextChar">
    <w:name w:val="Comment Text Char"/>
    <w:basedOn w:val="DefaultParagraphFont"/>
    <w:link w:val="CommentText"/>
    <w:uiPriority w:val="99"/>
    <w:semiHidden/>
    <w:rsid w:val="00384A0E"/>
    <w:rPr>
      <w:sz w:val="20"/>
      <w:szCs w:val="20"/>
    </w:rPr>
  </w:style>
  <w:style w:type="paragraph" w:styleId="CommentSubject">
    <w:name w:val="annotation subject"/>
    <w:basedOn w:val="CommentText"/>
    <w:next w:val="CommentText"/>
    <w:link w:val="CommentSubjectChar"/>
    <w:uiPriority w:val="99"/>
    <w:semiHidden/>
    <w:unhideWhenUsed/>
    <w:rsid w:val="00384A0E"/>
    <w:rPr>
      <w:b/>
      <w:bCs/>
    </w:rPr>
  </w:style>
  <w:style w:type="character" w:customStyle="1" w:styleId="CommentSubjectChar">
    <w:name w:val="Comment Subject Char"/>
    <w:basedOn w:val="CommentTextChar"/>
    <w:link w:val="CommentSubject"/>
    <w:uiPriority w:val="99"/>
    <w:semiHidden/>
    <w:rsid w:val="00384A0E"/>
    <w:rPr>
      <w:b/>
      <w:bCs/>
      <w:sz w:val="20"/>
      <w:szCs w:val="20"/>
    </w:rPr>
  </w:style>
  <w:style w:type="paragraph" w:styleId="Revision">
    <w:name w:val="Revision"/>
    <w:hidden/>
    <w:uiPriority w:val="99"/>
    <w:semiHidden/>
    <w:rsid w:val="00356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664">
      <w:bodyDiv w:val="1"/>
      <w:marLeft w:val="0"/>
      <w:marRight w:val="0"/>
      <w:marTop w:val="0"/>
      <w:marBottom w:val="0"/>
      <w:divBdr>
        <w:top w:val="none" w:sz="0" w:space="0" w:color="auto"/>
        <w:left w:val="none" w:sz="0" w:space="0" w:color="auto"/>
        <w:bottom w:val="none" w:sz="0" w:space="0" w:color="auto"/>
        <w:right w:val="none" w:sz="0" w:space="0" w:color="auto"/>
      </w:divBdr>
    </w:div>
    <w:div w:id="98184163">
      <w:bodyDiv w:val="1"/>
      <w:marLeft w:val="0"/>
      <w:marRight w:val="0"/>
      <w:marTop w:val="0"/>
      <w:marBottom w:val="0"/>
      <w:divBdr>
        <w:top w:val="none" w:sz="0" w:space="0" w:color="auto"/>
        <w:left w:val="none" w:sz="0" w:space="0" w:color="auto"/>
        <w:bottom w:val="none" w:sz="0" w:space="0" w:color="auto"/>
        <w:right w:val="none" w:sz="0" w:space="0" w:color="auto"/>
      </w:divBdr>
    </w:div>
    <w:div w:id="855118030">
      <w:bodyDiv w:val="1"/>
      <w:marLeft w:val="0"/>
      <w:marRight w:val="0"/>
      <w:marTop w:val="0"/>
      <w:marBottom w:val="0"/>
      <w:divBdr>
        <w:top w:val="none" w:sz="0" w:space="0" w:color="auto"/>
        <w:left w:val="none" w:sz="0" w:space="0" w:color="auto"/>
        <w:bottom w:val="none" w:sz="0" w:space="0" w:color="auto"/>
        <w:right w:val="none" w:sz="0" w:space="0" w:color="auto"/>
      </w:divBdr>
    </w:div>
    <w:div w:id="1190607999">
      <w:bodyDiv w:val="1"/>
      <w:marLeft w:val="0"/>
      <w:marRight w:val="0"/>
      <w:marTop w:val="0"/>
      <w:marBottom w:val="0"/>
      <w:divBdr>
        <w:top w:val="none" w:sz="0" w:space="0" w:color="auto"/>
        <w:left w:val="none" w:sz="0" w:space="0" w:color="auto"/>
        <w:bottom w:val="none" w:sz="0" w:space="0" w:color="auto"/>
        <w:right w:val="none" w:sz="0" w:space="0" w:color="auto"/>
      </w:divBdr>
    </w:div>
    <w:div w:id="1350835826">
      <w:bodyDiv w:val="1"/>
      <w:marLeft w:val="0"/>
      <w:marRight w:val="0"/>
      <w:marTop w:val="0"/>
      <w:marBottom w:val="0"/>
      <w:divBdr>
        <w:top w:val="none" w:sz="0" w:space="0" w:color="auto"/>
        <w:left w:val="none" w:sz="0" w:space="0" w:color="auto"/>
        <w:bottom w:val="none" w:sz="0" w:space="0" w:color="auto"/>
        <w:right w:val="none" w:sz="0" w:space="0" w:color="auto"/>
      </w:divBdr>
    </w:div>
    <w:div w:id="1384207589">
      <w:bodyDiv w:val="1"/>
      <w:marLeft w:val="0"/>
      <w:marRight w:val="0"/>
      <w:marTop w:val="0"/>
      <w:marBottom w:val="0"/>
      <w:divBdr>
        <w:top w:val="none" w:sz="0" w:space="0" w:color="auto"/>
        <w:left w:val="none" w:sz="0" w:space="0" w:color="auto"/>
        <w:bottom w:val="none" w:sz="0" w:space="0" w:color="auto"/>
        <w:right w:val="none" w:sz="0" w:space="0" w:color="auto"/>
      </w:divBdr>
      <w:divsChild>
        <w:div w:id="832834666">
          <w:marLeft w:val="0"/>
          <w:marRight w:val="0"/>
          <w:marTop w:val="0"/>
          <w:marBottom w:val="0"/>
          <w:divBdr>
            <w:top w:val="none" w:sz="0" w:space="0" w:color="auto"/>
            <w:left w:val="none" w:sz="0" w:space="0" w:color="auto"/>
            <w:bottom w:val="none" w:sz="0" w:space="0" w:color="auto"/>
            <w:right w:val="none" w:sz="0" w:space="0" w:color="auto"/>
          </w:divBdr>
          <w:divsChild>
            <w:div w:id="691344403">
              <w:marLeft w:val="0"/>
              <w:marRight w:val="0"/>
              <w:marTop w:val="0"/>
              <w:marBottom w:val="0"/>
              <w:divBdr>
                <w:top w:val="none" w:sz="0" w:space="0" w:color="auto"/>
                <w:left w:val="none" w:sz="0" w:space="0" w:color="auto"/>
                <w:bottom w:val="none" w:sz="0" w:space="0" w:color="auto"/>
                <w:right w:val="none" w:sz="0" w:space="0" w:color="auto"/>
              </w:divBdr>
              <w:divsChild>
                <w:div w:id="2097432345">
                  <w:marLeft w:val="0"/>
                  <w:marRight w:val="0"/>
                  <w:marTop w:val="0"/>
                  <w:marBottom w:val="0"/>
                  <w:divBdr>
                    <w:top w:val="none" w:sz="0" w:space="0" w:color="auto"/>
                    <w:left w:val="none" w:sz="0" w:space="0" w:color="auto"/>
                    <w:bottom w:val="none" w:sz="0" w:space="0" w:color="auto"/>
                    <w:right w:val="none" w:sz="0" w:space="0" w:color="auto"/>
                  </w:divBdr>
                  <w:divsChild>
                    <w:div w:id="280304885">
                      <w:marLeft w:val="0"/>
                      <w:marRight w:val="0"/>
                      <w:marTop w:val="0"/>
                      <w:marBottom w:val="0"/>
                      <w:divBdr>
                        <w:top w:val="none" w:sz="0" w:space="0" w:color="auto"/>
                        <w:left w:val="none" w:sz="0" w:space="0" w:color="auto"/>
                        <w:bottom w:val="none" w:sz="0" w:space="0" w:color="auto"/>
                        <w:right w:val="none" w:sz="0" w:space="0" w:color="auto"/>
                      </w:divBdr>
                      <w:divsChild>
                        <w:div w:id="971834377">
                          <w:marLeft w:val="0"/>
                          <w:marRight w:val="0"/>
                          <w:marTop w:val="0"/>
                          <w:marBottom w:val="0"/>
                          <w:divBdr>
                            <w:top w:val="none" w:sz="0" w:space="0" w:color="auto"/>
                            <w:left w:val="none" w:sz="0" w:space="0" w:color="auto"/>
                            <w:bottom w:val="none" w:sz="0" w:space="0" w:color="auto"/>
                            <w:right w:val="none" w:sz="0" w:space="0" w:color="auto"/>
                          </w:divBdr>
                          <w:divsChild>
                            <w:div w:id="1170869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440242">
      <w:bodyDiv w:val="1"/>
      <w:marLeft w:val="0"/>
      <w:marRight w:val="0"/>
      <w:marTop w:val="0"/>
      <w:marBottom w:val="0"/>
      <w:divBdr>
        <w:top w:val="none" w:sz="0" w:space="0" w:color="auto"/>
        <w:left w:val="none" w:sz="0" w:space="0" w:color="auto"/>
        <w:bottom w:val="none" w:sz="0" w:space="0" w:color="auto"/>
        <w:right w:val="none" w:sz="0" w:space="0" w:color="auto"/>
      </w:divBdr>
    </w:div>
    <w:div w:id="1459375856">
      <w:bodyDiv w:val="1"/>
      <w:marLeft w:val="0"/>
      <w:marRight w:val="0"/>
      <w:marTop w:val="0"/>
      <w:marBottom w:val="0"/>
      <w:divBdr>
        <w:top w:val="none" w:sz="0" w:space="0" w:color="auto"/>
        <w:left w:val="none" w:sz="0" w:space="0" w:color="auto"/>
        <w:bottom w:val="none" w:sz="0" w:space="0" w:color="auto"/>
        <w:right w:val="none" w:sz="0" w:space="0" w:color="auto"/>
      </w:divBdr>
    </w:div>
    <w:div w:id="20660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eva.petersone\AppData\Local\Microsoft\Windows\INetCache\Content.Outlook\28CJ01JX\Brivpusdienas_2015_2018_grafiki_infozinojumam_12%201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Valst</a:t>
            </a:r>
            <a:r>
              <a:rPr lang="lv-LV">
                <a:latin typeface="Times New Roman" panose="02020603050405020304" pitchFamily="18" charset="0"/>
                <a:cs typeface="Times New Roman" panose="02020603050405020304" pitchFamily="18" charset="0"/>
              </a:rPr>
              <a:t>s budžets</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solidFill>
              <a:ln>
                <a:noFill/>
              </a:ln>
              <a:effectLst/>
            </c:spPr>
          </c:dPt>
          <c:dPt>
            <c:idx val="1"/>
            <c:invertIfNegative val="0"/>
            <c:bubble3D val="0"/>
            <c:spPr>
              <a:solidFill>
                <a:schemeClr val="accent1"/>
              </a:solidFill>
              <a:ln>
                <a:solidFill>
                  <a:schemeClr val="accent2">
                    <a:alpha val="97000"/>
                  </a:schemeClr>
                </a:solidFill>
              </a:ln>
              <a:effectLst/>
            </c:spPr>
          </c:dPt>
          <c:dPt>
            <c:idx val="2"/>
            <c:invertIfNegative val="0"/>
            <c:bubble3D val="0"/>
            <c:spPr>
              <a:solidFill>
                <a:srgbClr val="00B050"/>
              </a:solidFill>
              <a:ln>
                <a:noFill/>
              </a:ln>
              <a:effectLst/>
            </c:spPr>
          </c:dPt>
          <c:dPt>
            <c:idx val="3"/>
            <c:invertIfNegative val="0"/>
            <c:bubble3D val="0"/>
            <c:spPr>
              <a:solidFill>
                <a:schemeClr val="accent2"/>
              </a:solidFill>
              <a:ln>
                <a:noFill/>
              </a:ln>
              <a:effectLst/>
            </c:spPr>
          </c:dPt>
          <c:dPt>
            <c:idx val="4"/>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Grafiki!$B$10:$F$10</c:f>
              <c:numCache>
                <c:formatCode>General</c:formatCode>
                <c:ptCount val="5"/>
                <c:pt idx="0">
                  <c:v>2012</c:v>
                </c:pt>
                <c:pt idx="1">
                  <c:v>2013</c:v>
                </c:pt>
                <c:pt idx="2">
                  <c:v>2014</c:v>
                </c:pt>
                <c:pt idx="3">
                  <c:v>2015</c:v>
                </c:pt>
                <c:pt idx="4">
                  <c:v>2016</c:v>
                </c:pt>
              </c:numCache>
            </c:numRef>
          </c:cat>
          <c:val>
            <c:numRef>
              <c:f>Grafiki!$B$13:$F$13</c:f>
              <c:numCache>
                <c:formatCode>General</c:formatCode>
                <c:ptCount val="5"/>
                <c:pt idx="0">
                  <c:v>3.9</c:v>
                </c:pt>
                <c:pt idx="1">
                  <c:v>8.1</c:v>
                </c:pt>
                <c:pt idx="2">
                  <c:v>11.6</c:v>
                </c:pt>
                <c:pt idx="3">
                  <c:v>17.2</c:v>
                </c:pt>
                <c:pt idx="4">
                  <c:v>20.5</c:v>
                </c:pt>
              </c:numCache>
            </c:numRef>
          </c:val>
        </c:ser>
        <c:dLbls>
          <c:showLegendKey val="0"/>
          <c:showVal val="0"/>
          <c:showCatName val="0"/>
          <c:showSerName val="0"/>
          <c:showPercent val="0"/>
          <c:showBubbleSize val="0"/>
        </c:dLbls>
        <c:gapWidth val="219"/>
        <c:overlap val="-27"/>
        <c:axId val="212454400"/>
        <c:axId val="212460672"/>
      </c:barChart>
      <c:catAx>
        <c:axId val="212454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Gads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2460672"/>
        <c:crosses val="autoZero"/>
        <c:auto val="1"/>
        <c:lblAlgn val="ctr"/>
        <c:lblOffset val="100"/>
        <c:noMultiLvlLbl val="0"/>
      </c:catAx>
      <c:valAx>
        <c:axId val="21246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milj. euro</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24544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Izglītojamo skaita dinamika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'Skolēnu skaits'!$B$3</c:f>
              <c:strCache>
                <c:ptCount val="1"/>
                <c:pt idx="0">
                  <c:v>1.klase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'Skolēnu skaits'!$A$4:$A$8</c:f>
              <c:numCache>
                <c:formatCode>General</c:formatCode>
                <c:ptCount val="5"/>
                <c:pt idx="0">
                  <c:v>2011</c:v>
                </c:pt>
                <c:pt idx="1">
                  <c:v>2012</c:v>
                </c:pt>
                <c:pt idx="2">
                  <c:v>2013</c:v>
                </c:pt>
                <c:pt idx="3">
                  <c:v>2014</c:v>
                </c:pt>
                <c:pt idx="4">
                  <c:v>2015</c:v>
                </c:pt>
              </c:numCache>
            </c:numRef>
          </c:cat>
          <c:val>
            <c:numRef>
              <c:f>'Skolēnu skaits'!$B$4:$B$8</c:f>
              <c:numCache>
                <c:formatCode>#,##0</c:formatCode>
                <c:ptCount val="5"/>
                <c:pt idx="0">
                  <c:v>18796</c:v>
                </c:pt>
                <c:pt idx="1">
                  <c:v>19583</c:v>
                </c:pt>
                <c:pt idx="2">
                  <c:v>20252</c:v>
                </c:pt>
                <c:pt idx="3">
                  <c:v>21143</c:v>
                </c:pt>
                <c:pt idx="4">
                  <c:v>21743</c:v>
                </c:pt>
              </c:numCache>
            </c:numRef>
          </c:val>
        </c:ser>
        <c:ser>
          <c:idx val="1"/>
          <c:order val="1"/>
          <c:tx>
            <c:strRef>
              <c:f>'Skolēnu skaits'!$C$3</c:f>
              <c:strCache>
                <c:ptCount val="1"/>
                <c:pt idx="0">
                  <c:v>2.klase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'Skolēnu skaits'!$A$4:$A$8</c:f>
              <c:numCache>
                <c:formatCode>General</c:formatCode>
                <c:ptCount val="5"/>
                <c:pt idx="0">
                  <c:v>2011</c:v>
                </c:pt>
                <c:pt idx="1">
                  <c:v>2012</c:v>
                </c:pt>
                <c:pt idx="2">
                  <c:v>2013</c:v>
                </c:pt>
                <c:pt idx="3">
                  <c:v>2014</c:v>
                </c:pt>
                <c:pt idx="4">
                  <c:v>2015</c:v>
                </c:pt>
              </c:numCache>
            </c:numRef>
          </c:cat>
          <c:val>
            <c:numRef>
              <c:f>'Skolēnu skaits'!$C$4:$C$8</c:f>
              <c:numCache>
                <c:formatCode>General</c:formatCode>
                <c:ptCount val="5"/>
                <c:pt idx="2" formatCode="#,##0">
                  <c:v>18988</c:v>
                </c:pt>
                <c:pt idx="3" formatCode="#,##0">
                  <c:v>19638</c:v>
                </c:pt>
                <c:pt idx="4" formatCode="#,##0">
                  <c:v>20725</c:v>
                </c:pt>
              </c:numCache>
            </c:numRef>
          </c:val>
        </c:ser>
        <c:ser>
          <c:idx val="2"/>
          <c:order val="2"/>
          <c:tx>
            <c:strRef>
              <c:f>'Skolēnu skaits'!$D$3</c:f>
              <c:strCache>
                <c:ptCount val="1"/>
                <c:pt idx="0">
                  <c:v>3.klase</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'Skolēnu skaits'!$A$4:$A$8</c:f>
              <c:numCache>
                <c:formatCode>General</c:formatCode>
                <c:ptCount val="5"/>
                <c:pt idx="0">
                  <c:v>2011</c:v>
                </c:pt>
                <c:pt idx="1">
                  <c:v>2012</c:v>
                </c:pt>
                <c:pt idx="2">
                  <c:v>2013</c:v>
                </c:pt>
                <c:pt idx="3">
                  <c:v>2014</c:v>
                </c:pt>
                <c:pt idx="4">
                  <c:v>2015</c:v>
                </c:pt>
              </c:numCache>
            </c:numRef>
          </c:cat>
          <c:val>
            <c:numRef>
              <c:f>'Skolēnu skaits'!$D$4:$D$8</c:f>
              <c:numCache>
                <c:formatCode>General</c:formatCode>
                <c:ptCount val="5"/>
                <c:pt idx="3" formatCode="#,##0">
                  <c:v>18837</c:v>
                </c:pt>
                <c:pt idx="4" formatCode="#,##0">
                  <c:v>19565</c:v>
                </c:pt>
              </c:numCache>
            </c:numRef>
          </c:val>
        </c:ser>
        <c:ser>
          <c:idx val="3"/>
          <c:order val="3"/>
          <c:tx>
            <c:strRef>
              <c:f>'Skolēnu skaits'!$E$3</c:f>
              <c:strCache>
                <c:ptCount val="1"/>
                <c:pt idx="0">
                  <c:v>4.klase</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'Skolēnu skaits'!$A$4:$A$8</c:f>
              <c:numCache>
                <c:formatCode>General</c:formatCode>
                <c:ptCount val="5"/>
                <c:pt idx="0">
                  <c:v>2011</c:v>
                </c:pt>
                <c:pt idx="1">
                  <c:v>2012</c:v>
                </c:pt>
                <c:pt idx="2">
                  <c:v>2013</c:v>
                </c:pt>
                <c:pt idx="3">
                  <c:v>2014</c:v>
                </c:pt>
                <c:pt idx="4">
                  <c:v>2015</c:v>
                </c:pt>
              </c:numCache>
            </c:numRef>
          </c:cat>
          <c:val>
            <c:numRef>
              <c:f>'Skolēnu skaits'!$E$4:$E$8</c:f>
              <c:numCache>
                <c:formatCode>General</c:formatCode>
                <c:ptCount val="5"/>
                <c:pt idx="4" formatCode="#,##0">
                  <c:v>18728</c:v>
                </c:pt>
              </c:numCache>
            </c:numRef>
          </c:val>
        </c:ser>
        <c:dLbls>
          <c:showLegendKey val="0"/>
          <c:showVal val="1"/>
          <c:showCatName val="0"/>
          <c:showSerName val="0"/>
          <c:showPercent val="0"/>
          <c:showBubbleSize val="0"/>
        </c:dLbls>
        <c:gapWidth val="150"/>
        <c:shape val="box"/>
        <c:axId val="167179392"/>
        <c:axId val="167181312"/>
        <c:axId val="0"/>
      </c:bar3DChart>
      <c:catAx>
        <c:axId val="167179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Gads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7181312"/>
        <c:crosses val="autoZero"/>
        <c:auto val="1"/>
        <c:lblAlgn val="ctr"/>
        <c:lblOffset val="100"/>
        <c:noMultiLvlLbl val="0"/>
      </c:catAx>
      <c:valAx>
        <c:axId val="16718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Izglītojamo skaits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717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Republikas</a:t>
            </a:r>
            <a:r>
              <a:rPr lang="lv-LV" baseline="0">
                <a:latin typeface="Times New Roman" panose="02020603050405020304" pitchFamily="18" charset="0"/>
                <a:cs typeface="Times New Roman" panose="02020603050405020304" pitchFamily="18" charset="0"/>
              </a:rPr>
              <a:t> pilsētu, novadu un privāto izglītības iestāžu izdevumu daļa no viena izglītojamā ēdināšanas izmaksām dienā</a:t>
            </a:r>
            <a:endParaRPr lang="lv-LV">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802072526331265E-2"/>
          <c:y val="0.22125570715322262"/>
          <c:w val="0.89276158448128917"/>
          <c:h val="0.4784667609672682"/>
        </c:manualLayout>
      </c:layout>
      <c:bar3DChart>
        <c:barDir val="col"/>
        <c:grouping val="stacked"/>
        <c:varyColors val="0"/>
        <c:ser>
          <c:idx val="0"/>
          <c:order val="0"/>
          <c:tx>
            <c:strRef>
              <c:f>Sheet2!$D$159</c:f>
              <c:strCache>
                <c:ptCount val="1"/>
                <c:pt idx="0">
                  <c:v>Novadi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Sheet2!$B$160:$B$176</c:f>
              <c:strCache>
                <c:ptCount val="17"/>
                <c:pt idx="0">
                  <c:v>0,00-0,10</c:v>
                </c:pt>
                <c:pt idx="1">
                  <c:v>0,11-0,20</c:v>
                </c:pt>
                <c:pt idx="2">
                  <c:v>0,21-0,30</c:v>
                </c:pt>
                <c:pt idx="3">
                  <c:v>0,31-0,40</c:v>
                </c:pt>
                <c:pt idx="4">
                  <c:v>0,41-0,50</c:v>
                </c:pt>
                <c:pt idx="5">
                  <c:v>0,51-0,60</c:v>
                </c:pt>
                <c:pt idx="6">
                  <c:v>0,61-0,70</c:v>
                </c:pt>
                <c:pt idx="7">
                  <c:v>0,71-0,80</c:v>
                </c:pt>
                <c:pt idx="8">
                  <c:v>0,81-0,90</c:v>
                </c:pt>
                <c:pt idx="9">
                  <c:v>0,91-1,00</c:v>
                </c:pt>
                <c:pt idx="10">
                  <c:v>1,01-1,10</c:v>
                </c:pt>
                <c:pt idx="11">
                  <c:v>1,11-1,20</c:v>
                </c:pt>
                <c:pt idx="12">
                  <c:v>1,21-1,30</c:v>
                </c:pt>
                <c:pt idx="13">
                  <c:v>1,31-1,40</c:v>
                </c:pt>
                <c:pt idx="14">
                  <c:v>1,42</c:v>
                </c:pt>
                <c:pt idx="15">
                  <c:v>1,50-2,00</c:v>
                </c:pt>
                <c:pt idx="16">
                  <c:v>2,01-3,00</c:v>
                </c:pt>
              </c:strCache>
            </c:strRef>
          </c:cat>
          <c:val>
            <c:numRef>
              <c:f>Sheet2!$D$160:$D$176</c:f>
              <c:numCache>
                <c:formatCode>General</c:formatCode>
                <c:ptCount val="17"/>
                <c:pt idx="0">
                  <c:v>12</c:v>
                </c:pt>
                <c:pt idx="1">
                  <c:v>13</c:v>
                </c:pt>
                <c:pt idx="2">
                  <c:v>16</c:v>
                </c:pt>
                <c:pt idx="3">
                  <c:v>3</c:v>
                </c:pt>
                <c:pt idx="4">
                  <c:v>11</c:v>
                </c:pt>
                <c:pt idx="5">
                  <c:v>10</c:v>
                </c:pt>
                <c:pt idx="6">
                  <c:v>11</c:v>
                </c:pt>
                <c:pt idx="7">
                  <c:v>8</c:v>
                </c:pt>
                <c:pt idx="8">
                  <c:v>11</c:v>
                </c:pt>
                <c:pt idx="9">
                  <c:v>5</c:v>
                </c:pt>
                <c:pt idx="10">
                  <c:v>7</c:v>
                </c:pt>
                <c:pt idx="11">
                  <c:v>6</c:v>
                </c:pt>
                <c:pt idx="12">
                  <c:v>4</c:v>
                </c:pt>
                <c:pt idx="13">
                  <c:v>3</c:v>
                </c:pt>
                <c:pt idx="15">
                  <c:v>3</c:v>
                </c:pt>
                <c:pt idx="16">
                  <c:v>2</c:v>
                </c:pt>
              </c:numCache>
            </c:numRef>
          </c:val>
        </c:ser>
        <c:ser>
          <c:idx val="1"/>
          <c:order val="1"/>
          <c:tx>
            <c:strRef>
              <c:f>Sheet2!$E$159</c:f>
              <c:strCache>
                <c:ptCount val="1"/>
                <c:pt idx="0">
                  <c:v>Republikas pilsētas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Sheet2!$B$160:$B$176</c:f>
              <c:strCache>
                <c:ptCount val="17"/>
                <c:pt idx="0">
                  <c:v>0,00-0,10</c:v>
                </c:pt>
                <c:pt idx="1">
                  <c:v>0,11-0,20</c:v>
                </c:pt>
                <c:pt idx="2">
                  <c:v>0,21-0,30</c:v>
                </c:pt>
                <c:pt idx="3">
                  <c:v>0,31-0,40</c:v>
                </c:pt>
                <c:pt idx="4">
                  <c:v>0,41-0,50</c:v>
                </c:pt>
                <c:pt idx="5">
                  <c:v>0,51-0,60</c:v>
                </c:pt>
                <c:pt idx="6">
                  <c:v>0,61-0,70</c:v>
                </c:pt>
                <c:pt idx="7">
                  <c:v>0,71-0,80</c:v>
                </c:pt>
                <c:pt idx="8">
                  <c:v>0,81-0,90</c:v>
                </c:pt>
                <c:pt idx="9">
                  <c:v>0,91-1,00</c:v>
                </c:pt>
                <c:pt idx="10">
                  <c:v>1,01-1,10</c:v>
                </c:pt>
                <c:pt idx="11">
                  <c:v>1,11-1,20</c:v>
                </c:pt>
                <c:pt idx="12">
                  <c:v>1,21-1,30</c:v>
                </c:pt>
                <c:pt idx="13">
                  <c:v>1,31-1,40</c:v>
                </c:pt>
                <c:pt idx="14">
                  <c:v>1,42</c:v>
                </c:pt>
                <c:pt idx="15">
                  <c:v>1,50-2,00</c:v>
                </c:pt>
                <c:pt idx="16">
                  <c:v>2,01-3,00</c:v>
                </c:pt>
              </c:strCache>
            </c:strRef>
          </c:cat>
          <c:val>
            <c:numRef>
              <c:f>Sheet2!$E$160:$E$176</c:f>
              <c:numCache>
                <c:formatCode>General</c:formatCode>
                <c:ptCount val="17"/>
                <c:pt idx="1">
                  <c:v>11</c:v>
                </c:pt>
                <c:pt idx="2">
                  <c:v>13</c:v>
                </c:pt>
                <c:pt idx="5">
                  <c:v>1</c:v>
                </c:pt>
              </c:numCache>
            </c:numRef>
          </c:val>
        </c:ser>
        <c:ser>
          <c:idx val="2"/>
          <c:order val="2"/>
          <c:tx>
            <c:strRef>
              <c:f>Sheet2!$F$159</c:f>
              <c:strCache>
                <c:ptCount val="1"/>
                <c:pt idx="0">
                  <c:v>Privātās izglītības iestādes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Sheet2!$B$160:$B$176</c:f>
              <c:strCache>
                <c:ptCount val="17"/>
                <c:pt idx="0">
                  <c:v>0,00-0,10</c:v>
                </c:pt>
                <c:pt idx="1">
                  <c:v>0,11-0,20</c:v>
                </c:pt>
                <c:pt idx="2">
                  <c:v>0,21-0,30</c:v>
                </c:pt>
                <c:pt idx="3">
                  <c:v>0,31-0,40</c:v>
                </c:pt>
                <c:pt idx="4">
                  <c:v>0,41-0,50</c:v>
                </c:pt>
                <c:pt idx="5">
                  <c:v>0,51-0,60</c:v>
                </c:pt>
                <c:pt idx="6">
                  <c:v>0,61-0,70</c:v>
                </c:pt>
                <c:pt idx="7">
                  <c:v>0,71-0,80</c:v>
                </c:pt>
                <c:pt idx="8">
                  <c:v>0,81-0,90</c:v>
                </c:pt>
                <c:pt idx="9">
                  <c:v>0,91-1,00</c:v>
                </c:pt>
                <c:pt idx="10">
                  <c:v>1,01-1,10</c:v>
                </c:pt>
                <c:pt idx="11">
                  <c:v>1,11-1,20</c:v>
                </c:pt>
                <c:pt idx="12">
                  <c:v>1,21-1,30</c:v>
                </c:pt>
                <c:pt idx="13">
                  <c:v>1,31-1,40</c:v>
                </c:pt>
                <c:pt idx="14">
                  <c:v>1,42</c:v>
                </c:pt>
                <c:pt idx="15">
                  <c:v>1,50-2,00</c:v>
                </c:pt>
                <c:pt idx="16">
                  <c:v>2,01-3,00</c:v>
                </c:pt>
              </c:strCache>
            </c:strRef>
          </c:cat>
          <c:val>
            <c:numRef>
              <c:f>Sheet2!$F$160:$F$176</c:f>
              <c:numCache>
                <c:formatCode>General</c:formatCode>
                <c:ptCount val="17"/>
                <c:pt idx="1">
                  <c:v>1</c:v>
                </c:pt>
                <c:pt idx="2">
                  <c:v>1</c:v>
                </c:pt>
                <c:pt idx="5">
                  <c:v>6</c:v>
                </c:pt>
                <c:pt idx="7">
                  <c:v>2</c:v>
                </c:pt>
                <c:pt idx="8">
                  <c:v>1</c:v>
                </c:pt>
                <c:pt idx="9">
                  <c:v>1</c:v>
                </c:pt>
                <c:pt idx="10">
                  <c:v>1</c:v>
                </c:pt>
                <c:pt idx="16">
                  <c:v>4</c:v>
                </c:pt>
              </c:numCache>
            </c:numRef>
          </c:val>
        </c:ser>
        <c:dLbls>
          <c:showLegendKey val="0"/>
          <c:showVal val="1"/>
          <c:showCatName val="0"/>
          <c:showSerName val="0"/>
          <c:showPercent val="0"/>
          <c:showBubbleSize val="0"/>
        </c:dLbls>
        <c:gapWidth val="150"/>
        <c:shape val="box"/>
        <c:axId val="212081664"/>
        <c:axId val="212091648"/>
        <c:axId val="0"/>
      </c:bar3DChart>
      <c:catAx>
        <c:axId val="212081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Izdevumi, EUR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2091648"/>
        <c:crosses val="autoZero"/>
        <c:auto val="1"/>
        <c:lblAlgn val="ctr"/>
        <c:lblOffset val="100"/>
        <c:noMultiLvlLbl val="0"/>
      </c:catAx>
      <c:valAx>
        <c:axId val="212091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Izglītības iestāžu skaits, gab.</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208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Viena</a:t>
            </a:r>
            <a:r>
              <a:rPr lang="lv-LV" baseline="0">
                <a:latin typeface="Times New Roman" panose="02020603050405020304" pitchFamily="18" charset="0"/>
                <a:cs typeface="Times New Roman" panose="02020603050405020304" pitchFamily="18" charset="0"/>
              </a:rPr>
              <a:t> izglītojamā ēdināšanas dienas vidējais % izdevumu sadalījums</a:t>
            </a:r>
            <a:endParaRPr lang="lv-LV">
              <a:latin typeface="Times New Roman" panose="02020603050405020304" pitchFamily="18" charset="0"/>
              <a:cs typeface="Times New Roman" panose="02020603050405020304" pitchFamily="18" charset="0"/>
            </a:endParaRPr>
          </a:p>
        </c:rich>
      </c:tx>
      <c:layout>
        <c:manualLayout>
          <c:xMode val="edge"/>
          <c:yMode val="edge"/>
          <c:x val="0.17628479859973423"/>
          <c:y val="3.356642863771398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29539354735837E-2"/>
          <c:y val="0.10103495019951908"/>
          <c:w val="0.59434250298243529"/>
          <c:h val="0.85420981161686227"/>
        </c:manualLayout>
      </c:layout>
      <c:bar3DChart>
        <c:barDir val="col"/>
        <c:grouping val="stacked"/>
        <c:varyColors val="0"/>
        <c:ser>
          <c:idx val="0"/>
          <c:order val="0"/>
          <c:tx>
            <c:strRef>
              <c:f>Sheet2!$C$111</c:f>
              <c:strCache>
                <c:ptCount val="1"/>
                <c:pt idx="0">
                  <c:v>Pārtikas produktu % daļa  no kopējām viena skolēna ēdināšanas izmaksām dienā</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Sheet2!$C$112</c:f>
              <c:numCache>
                <c:formatCode>0%</c:formatCode>
                <c:ptCount val="1"/>
                <c:pt idx="0">
                  <c:v>0.54</c:v>
                </c:pt>
              </c:numCache>
            </c:numRef>
          </c:val>
        </c:ser>
        <c:ser>
          <c:idx val="1"/>
          <c:order val="1"/>
          <c:tx>
            <c:strRef>
              <c:f>Sheet2!$D$111</c:f>
              <c:strCache>
                <c:ptCount val="1"/>
                <c:pt idx="0">
                  <c:v>Atalgojuma % daļa no kopējām viena skolēna ēdināšanas izmaksām dienā</c:v>
                </c:pt>
              </c:strCache>
            </c:strRef>
          </c:tx>
          <c:spPr>
            <a:solidFill>
              <a:srgbClr val="FF993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Sheet2!$D$112</c:f>
              <c:numCache>
                <c:formatCode>0%</c:formatCode>
                <c:ptCount val="1"/>
                <c:pt idx="0">
                  <c:v>0.28000000000000003</c:v>
                </c:pt>
              </c:numCache>
            </c:numRef>
          </c:val>
        </c:ser>
        <c:ser>
          <c:idx val="2"/>
          <c:order val="2"/>
          <c:tx>
            <c:strRef>
              <c:f>Sheet2!$E$111</c:f>
              <c:strCache>
                <c:ptCount val="1"/>
                <c:pt idx="0">
                  <c:v>Komunālo pakalpojumu % daļa no kopējām viena skolēna ēdināšanas izmaksām dienā</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Sheet2!$E$112</c:f>
              <c:numCache>
                <c:formatCode>0%</c:formatCode>
                <c:ptCount val="1"/>
                <c:pt idx="0">
                  <c:v>0.09</c:v>
                </c:pt>
              </c:numCache>
            </c:numRef>
          </c:val>
        </c:ser>
        <c:ser>
          <c:idx val="3"/>
          <c:order val="3"/>
          <c:tx>
            <c:strRef>
              <c:f>Sheet2!$F$111</c:f>
              <c:strCache>
                <c:ptCount val="1"/>
                <c:pt idx="0">
                  <c:v>Materiāltehniskā nodrošinājuma % daļa no kopējām viena skolēna ēdināšanas izmaksām dienā </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Sheet2!$F$112</c:f>
              <c:numCache>
                <c:formatCode>0%</c:formatCode>
                <c:ptCount val="1"/>
                <c:pt idx="0">
                  <c:v>0.04</c:v>
                </c:pt>
              </c:numCache>
            </c:numRef>
          </c:val>
        </c:ser>
        <c:ser>
          <c:idx val="4"/>
          <c:order val="4"/>
          <c:tx>
            <c:strRef>
              <c:f>Sheet2!$G$111</c:f>
              <c:strCache>
                <c:ptCount val="1"/>
                <c:pt idx="0">
                  <c:v>Pārējo izmaksu % daļa no kopējām viena skolēna ēdināšanas izmaksām dienā</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Sheet2!$G$112</c:f>
              <c:numCache>
                <c:formatCode>0%</c:formatCode>
                <c:ptCount val="1"/>
                <c:pt idx="0">
                  <c:v>0.05</c:v>
                </c:pt>
              </c:numCache>
            </c:numRef>
          </c:val>
        </c:ser>
        <c:dLbls>
          <c:showLegendKey val="0"/>
          <c:showVal val="1"/>
          <c:showCatName val="0"/>
          <c:showSerName val="0"/>
          <c:showPercent val="0"/>
          <c:showBubbleSize val="0"/>
        </c:dLbls>
        <c:gapWidth val="150"/>
        <c:shape val="box"/>
        <c:axId val="213764736"/>
        <c:axId val="215204224"/>
        <c:axId val="0"/>
      </c:bar3DChart>
      <c:catAx>
        <c:axId val="213764736"/>
        <c:scaling>
          <c:orientation val="minMax"/>
        </c:scaling>
        <c:delete val="1"/>
        <c:axPos val="b"/>
        <c:numFmt formatCode="General" sourceLinked="1"/>
        <c:majorTickMark val="out"/>
        <c:minorTickMark val="none"/>
        <c:tickLblPos val="nextTo"/>
        <c:crossAx val="215204224"/>
        <c:crosses val="autoZero"/>
        <c:auto val="1"/>
        <c:lblAlgn val="ctr"/>
        <c:lblOffset val="100"/>
        <c:noMultiLvlLbl val="0"/>
      </c:catAx>
      <c:valAx>
        <c:axId val="2152042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213764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A162-2AF1-4F9F-8CAF-071F5437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8813</Words>
  <Characters>5024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Pētersone</dc:creator>
  <cp:lastModifiedBy>Jekaterina Borovika</cp:lastModifiedBy>
  <cp:revision>3</cp:revision>
  <cp:lastPrinted>2015-12-08T13:41:00Z</cp:lastPrinted>
  <dcterms:created xsi:type="dcterms:W3CDTF">2015-12-15T08:54:00Z</dcterms:created>
  <dcterms:modified xsi:type="dcterms:W3CDTF">2015-12-15T08:55:00Z</dcterms:modified>
</cp:coreProperties>
</file>