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265009" w:rsidRPr="00265009" w:rsidRDefault="00265009" w:rsidP="00265009">
      <w:pPr>
        <w:tabs>
          <w:tab w:val="center" w:pos="7568"/>
          <w:tab w:val="left" w:pos="10455"/>
        </w:tabs>
        <w:jc w:val="center"/>
        <w:rPr>
          <w:rFonts w:eastAsia="Times New Roman"/>
          <w:b/>
          <w:sz w:val="28"/>
          <w:szCs w:val="28"/>
          <w:lang w:eastAsia="lv-LV"/>
        </w:rPr>
      </w:pPr>
      <w:r w:rsidRPr="00265009">
        <w:rPr>
          <w:rFonts w:eastAsia="Times New Roman"/>
          <w:b/>
          <w:sz w:val="28"/>
          <w:szCs w:val="28"/>
          <w:lang w:eastAsia="lv-LV"/>
        </w:rPr>
        <w:t>Grozījumi likumā "Par izložu un azartspēļu nodevu un nodokli"</w:t>
      </w:r>
    </w:p>
    <w:p w:rsidR="00F42992" w:rsidRPr="00C176C2" w:rsidRDefault="00172AE2" w:rsidP="00172AE2">
      <w:pPr>
        <w:tabs>
          <w:tab w:val="center" w:pos="7568"/>
          <w:tab w:val="left" w:pos="10455"/>
        </w:tabs>
        <w:jc w:val="center"/>
        <w:rPr>
          <w:b/>
          <w:i/>
          <w:sz w:val="26"/>
          <w:szCs w:val="26"/>
        </w:rPr>
      </w:pPr>
      <w:r w:rsidRPr="00C176C2">
        <w:rPr>
          <w:b/>
          <w:i/>
          <w:sz w:val="26"/>
          <w:szCs w:val="26"/>
        </w:rPr>
        <w:t xml:space="preserve"> </w:t>
      </w:r>
      <w:r w:rsidR="00F42992" w:rsidRPr="00C176C2">
        <w:rPr>
          <w:b/>
          <w:i/>
          <w:sz w:val="26"/>
          <w:szCs w:val="26"/>
        </w:rPr>
        <w:t>(Nr.</w:t>
      </w:r>
      <w:r w:rsidR="00F42992">
        <w:rPr>
          <w:b/>
          <w:i/>
          <w:sz w:val="26"/>
          <w:szCs w:val="26"/>
        </w:rPr>
        <w:t>3</w:t>
      </w:r>
      <w:r w:rsidR="005B5A41">
        <w:rPr>
          <w:b/>
          <w:i/>
          <w:sz w:val="26"/>
          <w:szCs w:val="26"/>
        </w:rPr>
        <w:t>7</w:t>
      </w:r>
      <w:r w:rsidR="00265009">
        <w:rPr>
          <w:b/>
          <w:i/>
          <w:sz w:val="26"/>
          <w:szCs w:val="26"/>
        </w:rPr>
        <w:t>7</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F42992" w:rsidRPr="008E2AF5" w:rsidTr="00546540">
        <w:tc>
          <w:tcPr>
            <w:tcW w:w="3960" w:type="dxa"/>
          </w:tcPr>
          <w:p w:rsidR="00F42992" w:rsidRPr="008E2AF5" w:rsidRDefault="00F42992" w:rsidP="001A7D73">
            <w:pPr>
              <w:jc w:val="center"/>
              <w:rPr>
                <w:b/>
                <w:bCs/>
                <w:iCs/>
                <w:szCs w:val="24"/>
              </w:rPr>
            </w:pPr>
            <w:r w:rsidRPr="008E2AF5">
              <w:rPr>
                <w:b/>
                <w:bCs/>
                <w:iCs/>
                <w:szCs w:val="24"/>
              </w:rPr>
              <w:t>Spēkā esošā redakcija</w:t>
            </w:r>
          </w:p>
        </w:tc>
        <w:tc>
          <w:tcPr>
            <w:tcW w:w="3960" w:type="dxa"/>
          </w:tcPr>
          <w:p w:rsidR="00F42992" w:rsidRPr="008E2AF5" w:rsidRDefault="00F42992" w:rsidP="001A7D73">
            <w:pPr>
              <w:pStyle w:val="Heading1"/>
            </w:pPr>
            <w:r w:rsidRPr="008E2AF5">
              <w:t>Pirmā lasījuma redakcija</w:t>
            </w:r>
          </w:p>
        </w:tc>
        <w:tc>
          <w:tcPr>
            <w:tcW w:w="567" w:type="dxa"/>
          </w:tcPr>
          <w:p w:rsidR="00F42992" w:rsidRPr="008E2AF5" w:rsidRDefault="00F42992" w:rsidP="001A7D73">
            <w:pPr>
              <w:jc w:val="center"/>
              <w:rPr>
                <w:b/>
                <w:bCs/>
                <w:iCs/>
                <w:szCs w:val="24"/>
              </w:rPr>
            </w:pPr>
            <w:r w:rsidRPr="008E2AF5">
              <w:rPr>
                <w:b/>
                <w:bCs/>
                <w:iCs/>
                <w:szCs w:val="24"/>
              </w:rPr>
              <w:t>Nr.</w:t>
            </w:r>
          </w:p>
        </w:tc>
        <w:tc>
          <w:tcPr>
            <w:tcW w:w="3960" w:type="dxa"/>
          </w:tcPr>
          <w:p w:rsidR="00F42992" w:rsidRPr="008E2AF5" w:rsidRDefault="00F42992" w:rsidP="001A7D73">
            <w:pPr>
              <w:ind w:firstLine="10"/>
              <w:jc w:val="center"/>
              <w:rPr>
                <w:b/>
                <w:bCs/>
                <w:iCs/>
                <w:szCs w:val="24"/>
              </w:rPr>
            </w:pPr>
            <w:r w:rsidRPr="008E2AF5">
              <w:rPr>
                <w:b/>
                <w:bCs/>
                <w:iCs/>
                <w:szCs w:val="24"/>
              </w:rPr>
              <w:t>Priekšlikumi</w:t>
            </w:r>
          </w:p>
          <w:p w:rsidR="00F42992" w:rsidRPr="008E2AF5" w:rsidRDefault="00F42992" w:rsidP="00C12EC0">
            <w:pPr>
              <w:jc w:val="center"/>
              <w:rPr>
                <w:b/>
                <w:bCs/>
                <w:iCs/>
                <w:szCs w:val="24"/>
              </w:rPr>
            </w:pPr>
            <w:r w:rsidRPr="008E2AF5">
              <w:rPr>
                <w:b/>
                <w:bCs/>
                <w:iCs/>
                <w:szCs w:val="24"/>
              </w:rPr>
              <w:t>(</w:t>
            </w:r>
            <w:r w:rsidR="00C12EC0">
              <w:rPr>
                <w:b/>
                <w:bCs/>
                <w:iCs/>
                <w:szCs w:val="24"/>
              </w:rPr>
              <w:t>9</w:t>
            </w:r>
            <w:r w:rsidRPr="008E2AF5">
              <w:rPr>
                <w:b/>
                <w:bCs/>
                <w:iCs/>
                <w:szCs w:val="24"/>
              </w:rPr>
              <w:t>)</w:t>
            </w:r>
          </w:p>
        </w:tc>
        <w:tc>
          <w:tcPr>
            <w:tcW w:w="1420" w:type="dxa"/>
          </w:tcPr>
          <w:p w:rsidR="00F42992" w:rsidRPr="008E2AF5" w:rsidRDefault="00F42992" w:rsidP="001A7D73">
            <w:pPr>
              <w:jc w:val="center"/>
              <w:rPr>
                <w:b/>
                <w:bCs/>
                <w:iCs/>
                <w:szCs w:val="24"/>
              </w:rPr>
            </w:pPr>
            <w:r w:rsidRPr="008E2AF5">
              <w:rPr>
                <w:b/>
                <w:bCs/>
                <w:iCs/>
                <w:szCs w:val="24"/>
              </w:rPr>
              <w:t>Ministru kabineta atzinums</w:t>
            </w:r>
          </w:p>
        </w:tc>
        <w:tc>
          <w:tcPr>
            <w:tcW w:w="1420" w:type="dxa"/>
          </w:tcPr>
          <w:p w:rsidR="00F42992" w:rsidRPr="008E2AF5" w:rsidRDefault="00F42992" w:rsidP="001A7D73">
            <w:pPr>
              <w:jc w:val="center"/>
              <w:rPr>
                <w:b/>
                <w:bCs/>
                <w:iCs/>
                <w:szCs w:val="24"/>
              </w:rPr>
            </w:pPr>
            <w:r w:rsidRPr="008E2AF5">
              <w:rPr>
                <w:b/>
                <w:bCs/>
                <w:iCs/>
                <w:szCs w:val="24"/>
              </w:rPr>
              <w:t>Komisijas atzinums</w:t>
            </w:r>
          </w:p>
        </w:tc>
      </w:tr>
      <w:tr w:rsidR="00F42992" w:rsidRPr="008E2AF5" w:rsidTr="001A7D73">
        <w:tc>
          <w:tcPr>
            <w:tcW w:w="3960" w:type="dxa"/>
          </w:tcPr>
          <w:p w:rsidR="00F42992" w:rsidRPr="008E2AF5" w:rsidRDefault="00F42992" w:rsidP="001A7D73">
            <w:pPr>
              <w:jc w:val="both"/>
              <w:rPr>
                <w:sz w:val="22"/>
              </w:rPr>
            </w:pPr>
          </w:p>
        </w:tc>
        <w:tc>
          <w:tcPr>
            <w:tcW w:w="3960" w:type="dxa"/>
          </w:tcPr>
          <w:p w:rsidR="00F42992" w:rsidRPr="00517E3F" w:rsidRDefault="00265009" w:rsidP="00265009">
            <w:pPr>
              <w:ind w:firstLine="567"/>
              <w:jc w:val="both"/>
              <w:rPr>
                <w:sz w:val="22"/>
              </w:rPr>
            </w:pPr>
            <w:r w:rsidRPr="00265009">
              <w:rPr>
                <w:sz w:val="22"/>
              </w:rPr>
              <w:t xml:space="preserve">Izdarīt likumā "Par izložu un azartspēļu nodevu un nodokli" (Latvijas Republikas Saeimas un Ministru Kabineta Ziņotājs, 1994, 14. nr.; 1995, 22. nr.; 1997, 9. nr.; 1999, 17., 24. nr.; 2001, 15., 24. nr.; 2003, 2., 15., 20., 23. nr.; 2005, 14. nr.; 2007, 8. nr.; 2009, 14. nr.; Latvijas Vēstnesis, 2011, 65., 204. nr.; 2013, 194. nr.) šādus grozījumus: </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b/>
                <w:sz w:val="22"/>
                <w:u w:val="single"/>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265009" w:rsidRPr="008E2AF5" w:rsidTr="001A7D73">
        <w:tc>
          <w:tcPr>
            <w:tcW w:w="3960" w:type="dxa"/>
          </w:tcPr>
          <w:p w:rsidR="00904C37" w:rsidRPr="00904C37" w:rsidRDefault="00904C37" w:rsidP="00874868">
            <w:pPr>
              <w:ind w:firstLine="567"/>
              <w:jc w:val="both"/>
              <w:rPr>
                <w:bCs/>
                <w:sz w:val="22"/>
                <w:u w:val="single"/>
              </w:rPr>
            </w:pPr>
            <w:r w:rsidRPr="00904C37">
              <w:rPr>
                <w:b/>
                <w:bCs/>
                <w:sz w:val="22"/>
                <w:u w:val="single"/>
              </w:rPr>
              <w:t>1. pants.</w:t>
            </w:r>
            <w:r w:rsidRPr="00904C37">
              <w:rPr>
                <w:bCs/>
                <w:sz w:val="22"/>
                <w:u w:val="single"/>
              </w:rPr>
              <w:t xml:space="preserve"> Izložu un azartspēļu nodokli maksā kapitālsabiedrības, kas likumā noteiktajā kārtībā saņēmušas speciālu atļauju (licenci) izložu un azartspēļu organizēšanai un uzturēšanai.</w:t>
            </w:r>
          </w:p>
          <w:p w:rsidR="00874868" w:rsidRPr="00904C37" w:rsidRDefault="00874868" w:rsidP="00874868">
            <w:pPr>
              <w:ind w:firstLine="567"/>
              <w:jc w:val="both"/>
              <w:rPr>
                <w:sz w:val="22"/>
                <w:u w:val="single"/>
              </w:rPr>
            </w:pPr>
            <w:r w:rsidRPr="00904C37">
              <w:rPr>
                <w:b/>
                <w:bCs/>
                <w:sz w:val="22"/>
                <w:u w:val="single"/>
              </w:rPr>
              <w:t xml:space="preserve">2. pants. </w:t>
            </w:r>
            <w:r w:rsidRPr="00904C37">
              <w:rPr>
                <w:sz w:val="22"/>
                <w:u w:val="single"/>
              </w:rPr>
              <w:t>Par speciālo atļauju (licenci) azartspēļu organizēšanai un uzturēšanai iekasējama valsts nodeva šādā apmērā:</w:t>
            </w:r>
          </w:p>
          <w:p w:rsidR="00874868" w:rsidRPr="00904C37" w:rsidRDefault="00874868" w:rsidP="00874868">
            <w:pPr>
              <w:ind w:firstLine="567"/>
              <w:jc w:val="both"/>
              <w:rPr>
                <w:sz w:val="22"/>
                <w:u w:val="single"/>
              </w:rPr>
            </w:pPr>
            <w:r w:rsidRPr="00904C37">
              <w:rPr>
                <w:sz w:val="22"/>
                <w:u w:val="single"/>
              </w:rPr>
              <w:t>1) spēļu automātu, bingo, ruletes, kāršu un kauliņu spēles organizēšanai un uzturēšanai:</w:t>
            </w:r>
          </w:p>
          <w:p w:rsidR="00874868" w:rsidRPr="00904C37" w:rsidRDefault="00874868" w:rsidP="00874868">
            <w:pPr>
              <w:ind w:firstLine="567"/>
              <w:jc w:val="both"/>
              <w:rPr>
                <w:sz w:val="22"/>
                <w:u w:val="single"/>
              </w:rPr>
            </w:pPr>
            <w:r w:rsidRPr="00904C37">
              <w:rPr>
                <w:sz w:val="22"/>
                <w:u w:val="single"/>
              </w:rPr>
              <w:t xml:space="preserve">b) par speciālās atļaujas (licences) pagarināšanu — 35 580 </w:t>
            </w:r>
            <w:r w:rsidRPr="00904C37">
              <w:rPr>
                <w:i/>
                <w:iCs/>
                <w:sz w:val="22"/>
                <w:u w:val="single"/>
              </w:rPr>
              <w:t>euro</w:t>
            </w:r>
            <w:r w:rsidRPr="00904C37">
              <w:rPr>
                <w:sz w:val="22"/>
                <w:u w:val="single"/>
              </w:rPr>
              <w:t>,</w:t>
            </w:r>
          </w:p>
          <w:p w:rsidR="00904C37" w:rsidRPr="00904C37" w:rsidRDefault="00874868" w:rsidP="00874868">
            <w:pPr>
              <w:ind w:firstLine="567"/>
              <w:jc w:val="both"/>
              <w:rPr>
                <w:sz w:val="22"/>
                <w:u w:val="single"/>
              </w:rPr>
            </w:pPr>
            <w:r w:rsidRPr="00904C37">
              <w:rPr>
                <w:sz w:val="22"/>
                <w:u w:val="single"/>
              </w:rPr>
              <w:t xml:space="preserve">c) par speciālās atļaujas (licences) ikgadējo pārreģistrāciju — 35 580 </w:t>
            </w:r>
            <w:r w:rsidRPr="00904C37">
              <w:rPr>
                <w:i/>
                <w:iCs/>
                <w:sz w:val="22"/>
                <w:u w:val="single"/>
              </w:rPr>
              <w:t>euro</w:t>
            </w:r>
            <w:r w:rsidRPr="00904C37">
              <w:rPr>
                <w:sz w:val="22"/>
                <w:u w:val="single"/>
              </w:rPr>
              <w:t xml:space="preserve"> par katru kārtējo gadu,</w:t>
            </w:r>
          </w:p>
          <w:p w:rsidR="00904C37" w:rsidRPr="00904C37" w:rsidRDefault="00904C37" w:rsidP="00874868">
            <w:pPr>
              <w:ind w:firstLine="567"/>
              <w:jc w:val="both"/>
              <w:rPr>
                <w:sz w:val="22"/>
                <w:u w:val="single"/>
              </w:rPr>
            </w:pPr>
            <w:r w:rsidRPr="00904C37">
              <w:rPr>
                <w:sz w:val="22"/>
                <w:u w:val="single"/>
              </w:rPr>
              <w:t xml:space="preserve"> d) par kazino atvēršanas atļauju </w:t>
            </w:r>
            <w:r w:rsidRPr="00904C37">
              <w:rPr>
                <w:sz w:val="22"/>
                <w:u w:val="single"/>
              </w:rPr>
              <w:lastRenderedPageBreak/>
              <w:t xml:space="preserve">(licenci) — 28 460 </w:t>
            </w:r>
            <w:r w:rsidRPr="00904C37">
              <w:rPr>
                <w:i/>
                <w:iCs/>
                <w:sz w:val="22"/>
                <w:u w:val="single"/>
              </w:rPr>
              <w:t>euro</w:t>
            </w:r>
            <w:r w:rsidRPr="00904C37">
              <w:rPr>
                <w:sz w:val="22"/>
                <w:u w:val="single"/>
              </w:rPr>
              <w:t xml:space="preserve"> par katru kārtējo gadu, </w:t>
            </w:r>
          </w:p>
          <w:p w:rsidR="00904C37" w:rsidRPr="00904C37" w:rsidRDefault="00904C37" w:rsidP="00904C37">
            <w:pPr>
              <w:ind w:firstLine="567"/>
              <w:jc w:val="both"/>
              <w:rPr>
                <w:sz w:val="22"/>
                <w:u w:val="single"/>
              </w:rPr>
            </w:pPr>
            <w:r w:rsidRPr="00904C37">
              <w:rPr>
                <w:sz w:val="22"/>
                <w:u w:val="single"/>
              </w:rPr>
              <w:t xml:space="preserve">e) par spēļu zāles vai bingo zāles atvēršanas atļauju (licenci) — 4270 </w:t>
            </w:r>
            <w:r w:rsidRPr="00904C37">
              <w:rPr>
                <w:i/>
                <w:iCs/>
                <w:sz w:val="22"/>
                <w:u w:val="single"/>
              </w:rPr>
              <w:t>euro</w:t>
            </w:r>
            <w:r w:rsidRPr="00904C37">
              <w:rPr>
                <w:sz w:val="22"/>
                <w:u w:val="single"/>
              </w:rPr>
              <w:t xml:space="preserve"> par katru kārtējo gadu; </w:t>
            </w:r>
          </w:p>
          <w:p w:rsidR="00904C37" w:rsidRPr="00904C37" w:rsidRDefault="00904C37" w:rsidP="00904C37">
            <w:pPr>
              <w:ind w:firstLine="567"/>
              <w:jc w:val="both"/>
              <w:rPr>
                <w:sz w:val="22"/>
                <w:u w:val="single"/>
              </w:rPr>
            </w:pPr>
            <w:r w:rsidRPr="00904C37">
              <w:rPr>
                <w:sz w:val="22"/>
                <w:u w:val="single"/>
              </w:rPr>
              <w:t>2) totalizatora vai derību organizēšanai un uzturēšanai:</w:t>
            </w:r>
          </w:p>
          <w:p w:rsidR="00904C37" w:rsidRPr="00904C37" w:rsidRDefault="00904C37" w:rsidP="00904C37">
            <w:pPr>
              <w:ind w:firstLine="567"/>
              <w:jc w:val="both"/>
              <w:rPr>
                <w:sz w:val="22"/>
                <w:u w:val="single"/>
              </w:rPr>
            </w:pPr>
            <w:r w:rsidRPr="00904C37">
              <w:rPr>
                <w:sz w:val="22"/>
                <w:u w:val="single"/>
              </w:rPr>
              <w:t xml:space="preserve">a) par speciālās atļaujas (licences) izsniegšanu — 42 690 </w:t>
            </w:r>
            <w:r w:rsidRPr="00904C37">
              <w:rPr>
                <w:i/>
                <w:iCs/>
                <w:sz w:val="22"/>
                <w:u w:val="single"/>
              </w:rPr>
              <w:t>euro</w:t>
            </w:r>
            <w:r w:rsidRPr="00904C37">
              <w:rPr>
                <w:sz w:val="22"/>
                <w:u w:val="single"/>
              </w:rPr>
              <w:t>,</w:t>
            </w:r>
          </w:p>
          <w:p w:rsidR="00904C37" w:rsidRPr="00904C37" w:rsidRDefault="00904C37" w:rsidP="00904C37">
            <w:pPr>
              <w:ind w:firstLine="567"/>
              <w:jc w:val="both"/>
              <w:rPr>
                <w:sz w:val="22"/>
                <w:u w:val="single"/>
              </w:rPr>
            </w:pPr>
            <w:r w:rsidRPr="00904C37">
              <w:rPr>
                <w:sz w:val="22"/>
                <w:u w:val="single"/>
              </w:rPr>
              <w:t xml:space="preserve">b) par speciālās atļaujas (licences) pagarināšanu — 42 690 </w:t>
            </w:r>
            <w:r w:rsidRPr="00904C37">
              <w:rPr>
                <w:i/>
                <w:iCs/>
                <w:sz w:val="22"/>
                <w:u w:val="single"/>
              </w:rPr>
              <w:t>euro</w:t>
            </w:r>
            <w:r w:rsidRPr="00904C37">
              <w:rPr>
                <w:sz w:val="22"/>
                <w:u w:val="single"/>
              </w:rPr>
              <w:t>,</w:t>
            </w:r>
          </w:p>
          <w:p w:rsidR="00904C37" w:rsidRPr="00904C37" w:rsidRDefault="00904C37" w:rsidP="00904C37">
            <w:pPr>
              <w:ind w:firstLine="567"/>
              <w:jc w:val="both"/>
              <w:rPr>
                <w:sz w:val="22"/>
                <w:u w:val="single"/>
                <w:lang w:eastAsia="lv-LV"/>
              </w:rPr>
            </w:pPr>
            <w:r w:rsidRPr="00904C37">
              <w:rPr>
                <w:sz w:val="22"/>
                <w:u w:val="single"/>
              </w:rPr>
              <w:t xml:space="preserve">c) par speciālās atļaujas (licences) ikgadējo pārreģistrāciju — 42 690 </w:t>
            </w:r>
            <w:r w:rsidRPr="00904C37">
              <w:rPr>
                <w:i/>
                <w:iCs/>
                <w:sz w:val="22"/>
                <w:u w:val="single"/>
              </w:rPr>
              <w:t>euro</w:t>
            </w:r>
            <w:r w:rsidRPr="00904C37">
              <w:rPr>
                <w:sz w:val="22"/>
                <w:u w:val="single"/>
              </w:rPr>
              <w:t xml:space="preserve"> par katru kārtējo gadu;</w:t>
            </w:r>
            <w:r w:rsidRPr="00904C37">
              <w:rPr>
                <w:sz w:val="22"/>
                <w:u w:val="single"/>
                <w:lang w:eastAsia="lv-LV"/>
              </w:rPr>
              <w:t xml:space="preserve"> </w:t>
            </w:r>
          </w:p>
          <w:p w:rsidR="00904C37" w:rsidRPr="00904C37" w:rsidRDefault="00904C37" w:rsidP="00904C37">
            <w:pPr>
              <w:ind w:firstLine="567"/>
              <w:jc w:val="both"/>
              <w:rPr>
                <w:sz w:val="22"/>
                <w:u w:val="single"/>
                <w:lang w:eastAsia="lv-LV"/>
              </w:rPr>
            </w:pPr>
            <w:r w:rsidRPr="00904C37">
              <w:rPr>
                <w:sz w:val="22"/>
                <w:u w:val="single"/>
                <w:lang w:eastAsia="lv-LV"/>
              </w:rPr>
              <w:t>3) veiksmes spēles pa tālruni organizēšanai un uzturēšanai:</w:t>
            </w:r>
          </w:p>
          <w:p w:rsidR="00904C37" w:rsidRPr="00904C37" w:rsidRDefault="00904C37" w:rsidP="00904C37">
            <w:pPr>
              <w:ind w:firstLine="567"/>
              <w:jc w:val="both"/>
              <w:rPr>
                <w:sz w:val="22"/>
                <w:u w:val="single"/>
                <w:lang w:eastAsia="lv-LV"/>
              </w:rPr>
            </w:pPr>
            <w:r w:rsidRPr="00904C37">
              <w:rPr>
                <w:sz w:val="22"/>
                <w:u w:val="single"/>
                <w:lang w:eastAsia="lv-LV"/>
              </w:rPr>
              <w:t xml:space="preserve">a) par speciālās atļaujas (licences) izsniegšanu — 14 230 </w:t>
            </w:r>
            <w:r w:rsidRPr="00904C37">
              <w:rPr>
                <w:i/>
                <w:iCs/>
                <w:sz w:val="22"/>
                <w:u w:val="single"/>
                <w:lang w:eastAsia="lv-LV"/>
              </w:rPr>
              <w:t>euro</w:t>
            </w:r>
            <w:r w:rsidRPr="00904C37">
              <w:rPr>
                <w:sz w:val="22"/>
                <w:u w:val="single"/>
                <w:lang w:eastAsia="lv-LV"/>
              </w:rPr>
              <w:t>,</w:t>
            </w:r>
          </w:p>
          <w:p w:rsidR="00904C37" w:rsidRPr="00904C37" w:rsidRDefault="00904C37" w:rsidP="00904C37">
            <w:pPr>
              <w:ind w:firstLine="567"/>
              <w:jc w:val="both"/>
              <w:rPr>
                <w:sz w:val="22"/>
                <w:u w:val="single"/>
                <w:lang w:eastAsia="lv-LV"/>
              </w:rPr>
            </w:pPr>
            <w:r w:rsidRPr="00904C37">
              <w:rPr>
                <w:sz w:val="22"/>
                <w:u w:val="single"/>
                <w:lang w:eastAsia="lv-LV"/>
              </w:rPr>
              <w:t xml:space="preserve">b) par speciālās atļaujas (licences) pagarināšanu — 14 230 </w:t>
            </w:r>
            <w:r w:rsidRPr="00904C37">
              <w:rPr>
                <w:i/>
                <w:iCs/>
                <w:sz w:val="22"/>
                <w:u w:val="single"/>
                <w:lang w:eastAsia="lv-LV"/>
              </w:rPr>
              <w:t>euro</w:t>
            </w:r>
            <w:r w:rsidRPr="00904C37">
              <w:rPr>
                <w:sz w:val="22"/>
                <w:u w:val="single"/>
                <w:lang w:eastAsia="lv-LV"/>
              </w:rPr>
              <w:t>,</w:t>
            </w:r>
          </w:p>
          <w:p w:rsidR="00265009" w:rsidRPr="00904C37" w:rsidRDefault="00904C37" w:rsidP="00904C37">
            <w:pPr>
              <w:ind w:firstLine="567"/>
              <w:jc w:val="both"/>
              <w:rPr>
                <w:sz w:val="22"/>
              </w:rPr>
            </w:pPr>
            <w:r w:rsidRPr="00904C37">
              <w:rPr>
                <w:sz w:val="22"/>
                <w:u w:val="single"/>
                <w:lang w:eastAsia="lv-LV"/>
              </w:rPr>
              <w:t xml:space="preserve">c) par speciālās atļaujas (licences) ikgadējo pārreģistrāciju — 14 230 </w:t>
            </w:r>
            <w:r w:rsidRPr="00904C37">
              <w:rPr>
                <w:i/>
                <w:iCs/>
                <w:sz w:val="22"/>
                <w:u w:val="single"/>
                <w:lang w:eastAsia="lv-LV"/>
              </w:rPr>
              <w:t>euro</w:t>
            </w:r>
            <w:r w:rsidRPr="00904C37">
              <w:rPr>
                <w:sz w:val="22"/>
                <w:u w:val="single"/>
                <w:lang w:eastAsia="lv-LV"/>
              </w:rPr>
              <w:t xml:space="preserve"> par katru kārtējo gadu.</w:t>
            </w:r>
          </w:p>
        </w:tc>
        <w:tc>
          <w:tcPr>
            <w:tcW w:w="3960" w:type="dxa"/>
          </w:tcPr>
          <w:p w:rsidR="00265009" w:rsidRPr="00904C37" w:rsidRDefault="00265009" w:rsidP="00265009">
            <w:pPr>
              <w:ind w:firstLine="567"/>
              <w:jc w:val="both"/>
              <w:rPr>
                <w:rFonts w:eastAsia="Times New Roman"/>
                <w:sz w:val="22"/>
                <w:lang w:eastAsia="lv-LV"/>
              </w:rPr>
            </w:pPr>
            <w:r w:rsidRPr="00904C37">
              <w:rPr>
                <w:rFonts w:eastAsia="Times New Roman"/>
                <w:sz w:val="22"/>
                <w:lang w:eastAsia="lv-LV"/>
              </w:rPr>
              <w:lastRenderedPageBreak/>
              <w:t>1.  2. pantā:</w:t>
            </w:r>
          </w:p>
          <w:p w:rsidR="00904C37" w:rsidRDefault="00265009" w:rsidP="00265009">
            <w:pPr>
              <w:ind w:firstLine="567"/>
              <w:jc w:val="both"/>
              <w:rPr>
                <w:rFonts w:eastAsia="Times New Roman"/>
                <w:sz w:val="22"/>
                <w:lang w:eastAsia="lv-LV"/>
              </w:rPr>
            </w:pPr>
            <w:r w:rsidRPr="00904C37">
              <w:rPr>
                <w:rFonts w:eastAsia="Times New Roman"/>
                <w:sz w:val="22"/>
                <w:lang w:eastAsia="lv-LV"/>
              </w:rPr>
              <w:t>aizstāt pirmās daļas 1. punkta "b" un "c" apakšpunktā skaitli "35 580" ar skaitli "37 000";</w:t>
            </w:r>
            <w:r w:rsidR="00904C37" w:rsidRPr="00904C37">
              <w:rPr>
                <w:rFonts w:eastAsia="Times New Roman"/>
                <w:sz w:val="22"/>
                <w:lang w:eastAsia="lv-LV"/>
              </w:rPr>
              <w:t xml:space="preserve"> </w:t>
            </w:r>
          </w:p>
          <w:p w:rsidR="00904C37" w:rsidRDefault="00904C37" w:rsidP="00265009">
            <w:pPr>
              <w:ind w:firstLine="567"/>
              <w:jc w:val="both"/>
              <w:rPr>
                <w:rFonts w:eastAsia="Times New Roman"/>
                <w:sz w:val="22"/>
                <w:lang w:eastAsia="lv-LV"/>
              </w:rPr>
            </w:pPr>
            <w:r w:rsidRPr="00904C37">
              <w:rPr>
                <w:rFonts w:eastAsia="Times New Roman"/>
                <w:sz w:val="22"/>
                <w:lang w:eastAsia="lv-LV"/>
              </w:rPr>
              <w:t xml:space="preserve">aizstāt pirmās daļas 1. punkta "d" apakšpunktā skaitli "28 460" ar skaitli "30 000"; </w:t>
            </w:r>
          </w:p>
          <w:p w:rsidR="00904C37" w:rsidRDefault="00904C37" w:rsidP="00265009">
            <w:pPr>
              <w:ind w:firstLine="567"/>
              <w:jc w:val="both"/>
              <w:rPr>
                <w:rFonts w:eastAsia="Times New Roman"/>
                <w:sz w:val="22"/>
                <w:lang w:eastAsia="lv-LV"/>
              </w:rPr>
            </w:pPr>
            <w:r w:rsidRPr="00904C37">
              <w:rPr>
                <w:rFonts w:eastAsia="Times New Roman"/>
                <w:sz w:val="22"/>
                <w:lang w:eastAsia="lv-LV"/>
              </w:rPr>
              <w:t>aizstāt pirmās daļas 1. punkta "e" apakšpunktā skaitli "4 270" ar skaitli "4 500";</w:t>
            </w:r>
            <w:r w:rsidRPr="00265009">
              <w:rPr>
                <w:rFonts w:eastAsia="Times New Roman"/>
                <w:sz w:val="22"/>
                <w:lang w:eastAsia="lv-LV"/>
              </w:rPr>
              <w:t xml:space="preserve"> </w:t>
            </w:r>
          </w:p>
          <w:p w:rsidR="00904C37" w:rsidRPr="00904C37" w:rsidRDefault="00904C37" w:rsidP="00265009">
            <w:pPr>
              <w:ind w:firstLine="567"/>
              <w:jc w:val="both"/>
              <w:rPr>
                <w:rFonts w:eastAsia="Times New Roman"/>
                <w:sz w:val="22"/>
                <w:lang w:eastAsia="lv-LV"/>
              </w:rPr>
            </w:pPr>
            <w:r w:rsidRPr="00265009">
              <w:rPr>
                <w:rFonts w:eastAsia="Times New Roman"/>
                <w:sz w:val="22"/>
                <w:lang w:eastAsia="lv-LV"/>
              </w:rPr>
              <w:t xml:space="preserve">aizstāt pirmās daļas 2. punkta "a", "b" un "c" apakšpunktā skaitli "42 690" ar skaitli </w:t>
            </w:r>
            <w:r w:rsidRPr="00904C37">
              <w:rPr>
                <w:rFonts w:eastAsia="Times New Roman"/>
                <w:sz w:val="22"/>
                <w:lang w:eastAsia="lv-LV"/>
              </w:rPr>
              <w:t>"45 000";</w:t>
            </w:r>
          </w:p>
          <w:p w:rsidR="00265009" w:rsidRPr="00904C37" w:rsidRDefault="00904C37" w:rsidP="00265009">
            <w:pPr>
              <w:ind w:firstLine="567"/>
              <w:jc w:val="both"/>
              <w:rPr>
                <w:sz w:val="22"/>
              </w:rPr>
            </w:pPr>
            <w:r w:rsidRPr="00904C37">
              <w:rPr>
                <w:rFonts w:eastAsia="Times New Roman"/>
                <w:sz w:val="22"/>
                <w:lang w:eastAsia="lv-LV"/>
              </w:rPr>
              <w:t xml:space="preserve"> aizstāt pirmās daļas 3. punkta "a", "b" un "c" apakšpunktā skaitli "14 230" ar skaitli "15 000".</w:t>
            </w:r>
          </w:p>
        </w:tc>
        <w:tc>
          <w:tcPr>
            <w:tcW w:w="567" w:type="dxa"/>
          </w:tcPr>
          <w:p w:rsidR="00265009" w:rsidRPr="008E2AF5" w:rsidRDefault="001B6C49" w:rsidP="001A7D73">
            <w:pPr>
              <w:jc w:val="center"/>
              <w:rPr>
                <w:b/>
                <w:sz w:val="22"/>
              </w:rPr>
            </w:pPr>
            <w:r>
              <w:rPr>
                <w:b/>
                <w:sz w:val="22"/>
              </w:rPr>
              <w:t>1</w:t>
            </w:r>
          </w:p>
        </w:tc>
        <w:tc>
          <w:tcPr>
            <w:tcW w:w="3960" w:type="dxa"/>
          </w:tcPr>
          <w:p w:rsidR="00265009" w:rsidRDefault="00904C37" w:rsidP="009241A2">
            <w:pPr>
              <w:ind w:firstLine="567"/>
              <w:jc w:val="both"/>
              <w:rPr>
                <w:b/>
                <w:sz w:val="22"/>
                <w:u w:val="single"/>
              </w:rPr>
            </w:pPr>
            <w:r>
              <w:rPr>
                <w:b/>
                <w:sz w:val="22"/>
                <w:u w:val="single"/>
              </w:rPr>
              <w:t>Finanšu ministrijas parlamentārais sekretārs A.Ašeradens</w:t>
            </w:r>
          </w:p>
          <w:p w:rsidR="00904C37" w:rsidRPr="00904C37" w:rsidRDefault="00904C37" w:rsidP="009241A2">
            <w:pPr>
              <w:ind w:firstLine="567"/>
              <w:jc w:val="both"/>
              <w:rPr>
                <w:sz w:val="22"/>
              </w:rPr>
            </w:pPr>
            <w:r w:rsidRPr="00904C37">
              <w:rPr>
                <w:sz w:val="22"/>
              </w:rPr>
              <w:t>Izteikt likuma 1. un 2.pantu šādā redakcijā:</w:t>
            </w:r>
          </w:p>
          <w:p w:rsidR="00904C37" w:rsidRPr="00904C37" w:rsidRDefault="00904C37" w:rsidP="009241A2">
            <w:pPr>
              <w:ind w:firstLine="567"/>
              <w:jc w:val="both"/>
              <w:rPr>
                <w:sz w:val="22"/>
              </w:rPr>
            </w:pPr>
            <w:r w:rsidRPr="00904C37">
              <w:rPr>
                <w:sz w:val="22"/>
              </w:rPr>
              <w:t>“</w:t>
            </w:r>
            <w:r w:rsidRPr="00904C37">
              <w:rPr>
                <w:b/>
                <w:sz w:val="22"/>
              </w:rPr>
              <w:t>1.pants.</w:t>
            </w:r>
            <w:r w:rsidRPr="00904C37">
              <w:rPr>
                <w:sz w:val="22"/>
              </w:rPr>
              <w:t xml:space="preserve"> Izložu un azartspēļu nodokli maksā kapitālsabiedrība, kas likumā noteiktajā kārtībā saņēmusi speciālu atļauju (licenci) izložu organizēšanai vai nepieciešamās licences attiecīgo azartspēļu organizēšanai.”.</w:t>
            </w:r>
          </w:p>
          <w:p w:rsidR="00904C37" w:rsidRPr="00904C37" w:rsidRDefault="00904C37" w:rsidP="009241A2">
            <w:pPr>
              <w:ind w:firstLine="567"/>
              <w:jc w:val="both"/>
              <w:rPr>
                <w:sz w:val="22"/>
              </w:rPr>
            </w:pPr>
            <w:r w:rsidRPr="00904C37">
              <w:rPr>
                <w:sz w:val="22"/>
              </w:rPr>
              <w:t xml:space="preserve"> </w:t>
            </w:r>
            <w:r w:rsidRPr="00904C37">
              <w:rPr>
                <w:b/>
                <w:sz w:val="22"/>
              </w:rPr>
              <w:t>2.pants.</w:t>
            </w:r>
            <w:r w:rsidRPr="00904C37">
              <w:rPr>
                <w:sz w:val="22"/>
              </w:rPr>
              <w:t xml:space="preserve"> Azartspēļu nodevas likme par:</w:t>
            </w:r>
          </w:p>
          <w:p w:rsidR="00904C37" w:rsidRPr="00904C37" w:rsidRDefault="00904C37" w:rsidP="009241A2">
            <w:pPr>
              <w:ind w:firstLine="567"/>
              <w:jc w:val="both"/>
              <w:rPr>
                <w:sz w:val="22"/>
              </w:rPr>
            </w:pPr>
            <w:r w:rsidRPr="00904C37">
              <w:rPr>
                <w:sz w:val="22"/>
              </w:rPr>
              <w:t>1) azartspēļu – azartspēļu automātu spēles, ruletes, kāršu spēles, kauliņu spēles, derības, totalizators, bingo un veiksmes spēli pa tālruni – organizēšanas licences izsniegšanu vai pārreģistrāciju ir:</w:t>
            </w:r>
          </w:p>
          <w:p w:rsidR="00904C37" w:rsidRPr="00904C37" w:rsidRDefault="00904C37" w:rsidP="009241A2">
            <w:pPr>
              <w:ind w:firstLine="567"/>
              <w:jc w:val="both"/>
              <w:rPr>
                <w:sz w:val="22"/>
              </w:rPr>
            </w:pPr>
            <w:r w:rsidRPr="00904C37">
              <w:rPr>
                <w:sz w:val="22"/>
              </w:rPr>
              <w:t xml:space="preserve">a) 427 000 euro par azartspēļu </w:t>
            </w:r>
            <w:r w:rsidRPr="00904C37">
              <w:rPr>
                <w:sz w:val="22"/>
              </w:rPr>
              <w:lastRenderedPageBreak/>
              <w:t>organizēšanas licences izsniegšanu (tai skaitā par azartspēļu organizēšanas licences izsniegšanu, ja azartspēļu organizēšana notiek arī ar elektronisko sakaru pakalpojumu starpniecību) vai;</w:t>
            </w:r>
          </w:p>
          <w:p w:rsidR="00904C37" w:rsidRPr="00904C37" w:rsidRDefault="00904C37" w:rsidP="009241A2">
            <w:pPr>
              <w:ind w:firstLine="567"/>
              <w:jc w:val="both"/>
              <w:rPr>
                <w:sz w:val="22"/>
              </w:rPr>
            </w:pPr>
            <w:r w:rsidRPr="00904C37">
              <w:rPr>
                <w:sz w:val="22"/>
              </w:rPr>
              <w:t>b) 200 000 euro par azartspēļu organizēšanas licences izsniegšanu, ja azartspēļu organizēšana notiek tikai ar elektronisko sakaru pakalpojumu starpniecību (interaktīvās azartspēles);</w:t>
            </w:r>
          </w:p>
          <w:p w:rsidR="00904C37" w:rsidRPr="00904C37" w:rsidRDefault="00904C37" w:rsidP="009241A2">
            <w:pPr>
              <w:ind w:firstLine="567"/>
              <w:jc w:val="both"/>
              <w:rPr>
                <w:sz w:val="22"/>
              </w:rPr>
            </w:pPr>
            <w:r w:rsidRPr="00904C37">
              <w:rPr>
                <w:sz w:val="22"/>
              </w:rPr>
              <w:t>c) 37 000 euro par šīs daļas “a” un “b” apakšpunktā minētās azartspēļu organizēšanas licences pārreģistrāciju;</w:t>
            </w:r>
          </w:p>
          <w:p w:rsidR="00904C37" w:rsidRPr="00904C37" w:rsidRDefault="00904C37" w:rsidP="009241A2">
            <w:pPr>
              <w:ind w:firstLine="567"/>
              <w:jc w:val="both"/>
              <w:rPr>
                <w:sz w:val="22"/>
              </w:rPr>
            </w:pPr>
            <w:r w:rsidRPr="00904C37">
              <w:rPr>
                <w:sz w:val="22"/>
              </w:rPr>
              <w:t>2) azartspēļu organizēšanas vietas licences izsniegšanu vai pārreģistrāciju, kas dod tiesības organizēt azartspēles konkrētā azartspēļu organizēšanas vietā (kazino, spēļu zāle, bingo zāle, totalizatora vai derību dalības likmju pieņemšanas vieta), ir:</w:t>
            </w:r>
          </w:p>
          <w:p w:rsidR="00904C37" w:rsidRPr="00904C37" w:rsidRDefault="00904C37" w:rsidP="009241A2">
            <w:pPr>
              <w:ind w:firstLine="567"/>
              <w:jc w:val="both"/>
              <w:rPr>
                <w:sz w:val="22"/>
              </w:rPr>
            </w:pPr>
            <w:r w:rsidRPr="00904C37">
              <w:rPr>
                <w:sz w:val="22"/>
              </w:rPr>
              <w:t>a) kazino – 30 000 euro;</w:t>
            </w:r>
          </w:p>
          <w:p w:rsidR="001B6C49" w:rsidRDefault="00904C37" w:rsidP="009241A2">
            <w:pPr>
              <w:ind w:firstLine="567"/>
              <w:jc w:val="both"/>
              <w:rPr>
                <w:sz w:val="22"/>
              </w:rPr>
            </w:pPr>
            <w:r w:rsidRPr="00904C37">
              <w:rPr>
                <w:sz w:val="22"/>
              </w:rPr>
              <w:t xml:space="preserve">b) spēļu zālei vai bingo zālei – </w:t>
            </w:r>
          </w:p>
          <w:p w:rsidR="00904C37" w:rsidRPr="00904C37" w:rsidRDefault="00904C37" w:rsidP="009241A2">
            <w:pPr>
              <w:ind w:firstLine="567"/>
              <w:jc w:val="both"/>
              <w:rPr>
                <w:sz w:val="22"/>
              </w:rPr>
            </w:pPr>
            <w:r w:rsidRPr="00904C37">
              <w:rPr>
                <w:sz w:val="22"/>
              </w:rPr>
              <w:t>4 500 euro;</w:t>
            </w:r>
          </w:p>
          <w:p w:rsidR="00904C37" w:rsidRPr="00904C37" w:rsidRDefault="00904C37" w:rsidP="009241A2">
            <w:pPr>
              <w:ind w:firstLine="567"/>
              <w:jc w:val="both"/>
              <w:rPr>
                <w:sz w:val="22"/>
              </w:rPr>
            </w:pPr>
            <w:r w:rsidRPr="00904C37">
              <w:rPr>
                <w:sz w:val="22"/>
              </w:rPr>
              <w:t>c) totalizatora vai derību dalības likmju pieņemšanas vietai – 2 000 euro.</w:t>
            </w:r>
          </w:p>
          <w:p w:rsidR="00904C37" w:rsidRPr="00904C37" w:rsidRDefault="00904C37" w:rsidP="009241A2">
            <w:pPr>
              <w:ind w:firstLine="567"/>
              <w:jc w:val="both"/>
              <w:rPr>
                <w:sz w:val="22"/>
              </w:rPr>
            </w:pPr>
            <w:r w:rsidRPr="00904C37">
              <w:rPr>
                <w:sz w:val="22"/>
              </w:rPr>
              <w:t xml:space="preserve">Šā panta pirmās daļas 2.punktu nepiemēro, ja azartspēļu organizēšana notiek tikai ar elektronisko sakaru pakalpojumu starpniecību. </w:t>
            </w:r>
          </w:p>
          <w:p w:rsidR="00904C37" w:rsidRPr="00904C37" w:rsidRDefault="00904C37" w:rsidP="009241A2">
            <w:pPr>
              <w:ind w:firstLine="567"/>
              <w:jc w:val="both"/>
              <w:rPr>
                <w:sz w:val="22"/>
              </w:rPr>
            </w:pPr>
            <w:r w:rsidRPr="00904C37">
              <w:rPr>
                <w:sz w:val="22"/>
              </w:rPr>
              <w:t xml:space="preserve">Azartspēļu organizēšanas licences un azartspēļu organizēšanas vietas licences ikgadējā pārreģistrācija veicama, sākot ar nākamo gadu pēc attiecīgās licences izsniegšanas. Azartspēļu nodevu par azartspēļu organizēšanas licences pārreģistrāciju un azartspēļu </w:t>
            </w:r>
            <w:r w:rsidRPr="00904C37">
              <w:rPr>
                <w:sz w:val="22"/>
              </w:rPr>
              <w:lastRenderedPageBreak/>
              <w:t>organizēšanas vietas licences pārreģistrāciju maksā par katru kārtējo gadu.</w:t>
            </w:r>
          </w:p>
          <w:p w:rsidR="00904C37" w:rsidRPr="00904C37" w:rsidRDefault="00904C37" w:rsidP="009241A2">
            <w:pPr>
              <w:ind w:firstLine="567"/>
              <w:jc w:val="both"/>
              <w:rPr>
                <w:sz w:val="22"/>
              </w:rPr>
            </w:pPr>
            <w:r w:rsidRPr="00904C37">
              <w:rPr>
                <w:sz w:val="22"/>
              </w:rPr>
              <w:t>Azartspēļu nodevu par azartspēļu organizēšanas licences izsniegšanu un azartspēļu organizēšanas vietas licences izsniegšanu maksā pirms licences izsniegšanas. Azartspēļu nodevu par azartspēļu organizēšanas licences izsniegšanu, pārreģistrāciju un azartspēļu organizēšanas vietas licences izsniegšanu, pārreģistrāciju maksā 10 darba dienu laikā pēc lēmuma par azartspēļu organizēšanas licences izsniegšanu, pārreģistrāciju vai pēc lēmuma par azartspēļu organizēšanas vietas licences izsniegšanu vai pārreģistrāciju paziņošanas.”</w:t>
            </w:r>
          </w:p>
        </w:tc>
        <w:tc>
          <w:tcPr>
            <w:tcW w:w="1420" w:type="dxa"/>
          </w:tcPr>
          <w:p w:rsidR="00265009" w:rsidRPr="008E2AF5" w:rsidRDefault="00265009" w:rsidP="001A7D73">
            <w:pPr>
              <w:jc w:val="center"/>
              <w:rPr>
                <w:sz w:val="22"/>
              </w:rPr>
            </w:pPr>
          </w:p>
        </w:tc>
        <w:tc>
          <w:tcPr>
            <w:tcW w:w="1420" w:type="dxa"/>
          </w:tcPr>
          <w:p w:rsidR="00265009" w:rsidRPr="008E2AF5" w:rsidRDefault="00265009" w:rsidP="001A7D73">
            <w:pPr>
              <w:jc w:val="center"/>
              <w:rPr>
                <w:sz w:val="22"/>
              </w:rPr>
            </w:pPr>
          </w:p>
        </w:tc>
      </w:tr>
      <w:tr w:rsidR="00265009" w:rsidRPr="008E2AF5" w:rsidTr="001A7D73">
        <w:tc>
          <w:tcPr>
            <w:tcW w:w="3960" w:type="dxa"/>
          </w:tcPr>
          <w:p w:rsidR="00874868" w:rsidRPr="00874868" w:rsidRDefault="00874868" w:rsidP="00874868">
            <w:pPr>
              <w:ind w:firstLine="567"/>
              <w:jc w:val="both"/>
              <w:rPr>
                <w:sz w:val="22"/>
                <w:lang w:eastAsia="lv-LV"/>
              </w:rPr>
            </w:pPr>
            <w:r w:rsidRPr="00874868">
              <w:rPr>
                <w:b/>
                <w:bCs/>
                <w:sz w:val="22"/>
                <w:lang w:eastAsia="lv-LV"/>
              </w:rPr>
              <w:lastRenderedPageBreak/>
              <w:t>3. pants.</w:t>
            </w:r>
            <w:r w:rsidRPr="00874868">
              <w:rPr>
                <w:sz w:val="22"/>
                <w:lang w:eastAsia="lv-LV"/>
              </w:rPr>
              <w:t xml:space="preserve"> Ar azartspēļu nodokli apliekamais objekts ir azartspēļu organizētājs — kapitālsabiedrība, azartspēļu norises vieta un spēļu iekārtas. No katras iekārtotās vai uzstādītās azartspēļu tiešās norises vietas iekasējams nodoklis pēc šādām likmēm par katru kārtējo kalendāro gadu:</w:t>
            </w:r>
          </w:p>
          <w:p w:rsidR="00874868" w:rsidRPr="00874868" w:rsidRDefault="00874868" w:rsidP="00874868">
            <w:pPr>
              <w:ind w:firstLine="567"/>
              <w:jc w:val="both"/>
              <w:rPr>
                <w:sz w:val="22"/>
                <w:lang w:eastAsia="lv-LV"/>
              </w:rPr>
            </w:pPr>
            <w:r w:rsidRPr="00874868">
              <w:rPr>
                <w:sz w:val="22"/>
                <w:lang w:eastAsia="lv-LV"/>
              </w:rPr>
              <w:t xml:space="preserve">1) rulete (cilindriskā spēle) — par katru ruletes rotējošajai iekārtai pievienoto spēļu galdu — </w:t>
            </w:r>
            <w:r w:rsidRPr="00874868">
              <w:rPr>
                <w:sz w:val="22"/>
                <w:u w:val="single"/>
                <w:lang w:eastAsia="lv-LV"/>
              </w:rPr>
              <w:t>17 279,36</w:t>
            </w:r>
            <w:r w:rsidRPr="00874868">
              <w:rPr>
                <w:sz w:val="22"/>
                <w:lang w:eastAsia="lv-LV"/>
              </w:rPr>
              <w:t xml:space="preserve"> </w:t>
            </w:r>
            <w:r w:rsidRPr="00874868">
              <w:rPr>
                <w:i/>
                <w:iCs/>
                <w:sz w:val="22"/>
                <w:lang w:eastAsia="lv-LV"/>
              </w:rPr>
              <w:t>euro</w:t>
            </w:r>
            <w:r w:rsidRPr="00874868">
              <w:rPr>
                <w:sz w:val="22"/>
                <w:lang w:eastAsia="lv-LV"/>
              </w:rPr>
              <w:t>;</w:t>
            </w:r>
          </w:p>
          <w:p w:rsidR="00CA2F3E" w:rsidRDefault="00874868" w:rsidP="00874868">
            <w:pPr>
              <w:ind w:firstLine="567"/>
              <w:jc w:val="both"/>
              <w:rPr>
                <w:sz w:val="22"/>
                <w:lang w:eastAsia="lv-LV"/>
              </w:rPr>
            </w:pPr>
            <w:r w:rsidRPr="00874868">
              <w:rPr>
                <w:sz w:val="22"/>
                <w:lang w:eastAsia="lv-LV"/>
              </w:rPr>
              <w:t xml:space="preserve">2) kāršu un kauliņu spēles — par katru galdu — </w:t>
            </w:r>
            <w:r w:rsidRPr="00874868">
              <w:rPr>
                <w:sz w:val="22"/>
                <w:u w:val="single"/>
                <w:lang w:eastAsia="lv-LV"/>
              </w:rPr>
              <w:t>17 279,36</w:t>
            </w:r>
            <w:r w:rsidRPr="00874868">
              <w:rPr>
                <w:sz w:val="22"/>
                <w:lang w:eastAsia="lv-LV"/>
              </w:rPr>
              <w:t xml:space="preserve"> </w:t>
            </w:r>
            <w:r w:rsidRPr="00874868">
              <w:rPr>
                <w:i/>
                <w:iCs/>
                <w:sz w:val="22"/>
                <w:lang w:eastAsia="lv-LV"/>
              </w:rPr>
              <w:t>euro</w:t>
            </w:r>
            <w:r w:rsidRPr="00874868">
              <w:rPr>
                <w:sz w:val="22"/>
                <w:lang w:eastAsia="lv-LV"/>
              </w:rPr>
              <w:t>;</w:t>
            </w:r>
            <w:r w:rsidR="00CA2F3E" w:rsidRPr="00874868">
              <w:rPr>
                <w:sz w:val="22"/>
                <w:lang w:eastAsia="lv-LV"/>
              </w:rPr>
              <w:t xml:space="preserve"> </w:t>
            </w:r>
          </w:p>
          <w:p w:rsidR="00265009" w:rsidRPr="0065395D" w:rsidRDefault="00CA2F3E" w:rsidP="00874868">
            <w:pPr>
              <w:ind w:firstLine="567"/>
              <w:jc w:val="both"/>
              <w:rPr>
                <w:sz w:val="22"/>
                <w:lang w:eastAsia="lv-LV"/>
              </w:rPr>
            </w:pPr>
            <w:r w:rsidRPr="00874868">
              <w:rPr>
                <w:sz w:val="22"/>
                <w:lang w:eastAsia="lv-LV"/>
              </w:rPr>
              <w:t xml:space="preserve">3) videospēles un mehāniskie automāti — par katra automāta katru spēles vietu — </w:t>
            </w:r>
            <w:r w:rsidRPr="00874868">
              <w:rPr>
                <w:sz w:val="22"/>
                <w:u w:val="single"/>
                <w:lang w:eastAsia="lv-LV"/>
              </w:rPr>
              <w:t>3141,70</w:t>
            </w:r>
            <w:r w:rsidRPr="00874868">
              <w:rPr>
                <w:sz w:val="22"/>
                <w:lang w:eastAsia="lv-LV"/>
              </w:rPr>
              <w:t xml:space="preserve"> </w:t>
            </w:r>
            <w:r w:rsidRPr="00874868">
              <w:rPr>
                <w:i/>
                <w:iCs/>
                <w:sz w:val="22"/>
                <w:lang w:eastAsia="lv-LV"/>
              </w:rPr>
              <w:t>euro</w:t>
            </w:r>
            <w:r w:rsidRPr="00874868">
              <w:rPr>
                <w:sz w:val="22"/>
                <w:lang w:eastAsia="lv-LV"/>
              </w:rPr>
              <w:t>.</w:t>
            </w:r>
          </w:p>
        </w:tc>
        <w:tc>
          <w:tcPr>
            <w:tcW w:w="3960" w:type="dxa"/>
          </w:tcPr>
          <w:p w:rsidR="00265009" w:rsidRPr="00265009" w:rsidRDefault="00265009" w:rsidP="00265009">
            <w:pPr>
              <w:ind w:firstLine="567"/>
              <w:jc w:val="both"/>
              <w:rPr>
                <w:rFonts w:eastAsia="Times New Roman"/>
                <w:sz w:val="22"/>
                <w:lang w:eastAsia="lv-LV"/>
              </w:rPr>
            </w:pPr>
            <w:r w:rsidRPr="00265009">
              <w:rPr>
                <w:rFonts w:eastAsia="Times New Roman"/>
                <w:sz w:val="22"/>
                <w:lang w:eastAsia="lv-LV"/>
              </w:rPr>
              <w:t>2.  3. pantā:</w:t>
            </w:r>
          </w:p>
          <w:p w:rsidR="00CA2F3E" w:rsidRDefault="00265009" w:rsidP="00CA2F3E">
            <w:pPr>
              <w:ind w:firstLine="567"/>
              <w:jc w:val="both"/>
              <w:rPr>
                <w:rFonts w:eastAsia="Times New Roman"/>
                <w:sz w:val="22"/>
                <w:lang w:eastAsia="lv-LV"/>
              </w:rPr>
            </w:pPr>
            <w:r w:rsidRPr="00265009">
              <w:rPr>
                <w:rFonts w:eastAsia="Times New Roman"/>
                <w:sz w:val="22"/>
                <w:lang w:eastAsia="lv-LV"/>
              </w:rPr>
              <w:t>aizstāt pirmās daļas 1. un 2. punktā skaitli "17 279,36" ar skaitli "</w:t>
            </w:r>
            <w:r w:rsidRPr="00874868">
              <w:rPr>
                <w:rFonts w:eastAsia="Times New Roman"/>
                <w:sz w:val="22"/>
                <w:u w:val="single"/>
                <w:lang w:eastAsia="lv-LV"/>
              </w:rPr>
              <w:t>18 000</w:t>
            </w:r>
            <w:r w:rsidRPr="00265009">
              <w:rPr>
                <w:rFonts w:eastAsia="Times New Roman"/>
                <w:sz w:val="22"/>
                <w:lang w:eastAsia="lv-LV"/>
              </w:rPr>
              <w:t>";</w:t>
            </w:r>
          </w:p>
          <w:p w:rsidR="00265009" w:rsidRPr="00265009" w:rsidRDefault="00CA2F3E" w:rsidP="00CA2F3E">
            <w:pPr>
              <w:ind w:firstLine="567"/>
              <w:jc w:val="both"/>
              <w:rPr>
                <w:rFonts w:eastAsia="Times New Roman"/>
                <w:sz w:val="22"/>
                <w:lang w:eastAsia="lv-LV"/>
              </w:rPr>
            </w:pPr>
            <w:r w:rsidRPr="00265009">
              <w:rPr>
                <w:rFonts w:eastAsia="Times New Roman"/>
                <w:sz w:val="22"/>
                <w:lang w:eastAsia="lv-LV"/>
              </w:rPr>
              <w:t>aizstāt pirmās daļas 3. punktā skaitli "3 141,70" ar skaitli "</w:t>
            </w:r>
            <w:r w:rsidRPr="000136E5">
              <w:rPr>
                <w:rFonts w:eastAsia="Times New Roman"/>
                <w:sz w:val="22"/>
                <w:u w:val="single"/>
                <w:lang w:eastAsia="lv-LV"/>
              </w:rPr>
              <w:t>3 300</w:t>
            </w:r>
            <w:r w:rsidRPr="00265009">
              <w:rPr>
                <w:rFonts w:eastAsia="Times New Roman"/>
                <w:sz w:val="22"/>
                <w:lang w:eastAsia="lv-LV"/>
              </w:rPr>
              <w:t>".</w:t>
            </w:r>
          </w:p>
        </w:tc>
        <w:tc>
          <w:tcPr>
            <w:tcW w:w="567" w:type="dxa"/>
          </w:tcPr>
          <w:p w:rsidR="00265009" w:rsidRDefault="001B6C49" w:rsidP="001A7D73">
            <w:pPr>
              <w:jc w:val="center"/>
              <w:rPr>
                <w:b/>
                <w:sz w:val="22"/>
              </w:rPr>
            </w:pPr>
            <w:r>
              <w:rPr>
                <w:b/>
                <w:sz w:val="22"/>
              </w:rPr>
              <w:t>2</w:t>
            </w: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r>
              <w:rPr>
                <w:b/>
                <w:sz w:val="22"/>
              </w:rPr>
              <w:t>3</w:t>
            </w: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r>
              <w:rPr>
                <w:b/>
                <w:sz w:val="22"/>
              </w:rPr>
              <w:t>4</w:t>
            </w: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Pr="008E2AF5" w:rsidRDefault="001B6C49" w:rsidP="001A7D73">
            <w:pPr>
              <w:jc w:val="center"/>
              <w:rPr>
                <w:b/>
                <w:sz w:val="22"/>
              </w:rPr>
            </w:pPr>
            <w:r>
              <w:rPr>
                <w:b/>
                <w:sz w:val="22"/>
              </w:rPr>
              <w:t>5</w:t>
            </w:r>
          </w:p>
        </w:tc>
        <w:tc>
          <w:tcPr>
            <w:tcW w:w="3960" w:type="dxa"/>
          </w:tcPr>
          <w:p w:rsidR="00410A5D" w:rsidRDefault="00410A5D" w:rsidP="001A7D73">
            <w:pPr>
              <w:ind w:firstLine="567"/>
              <w:jc w:val="both"/>
              <w:rPr>
                <w:sz w:val="22"/>
              </w:rPr>
            </w:pPr>
            <w:r w:rsidRPr="00410A5D">
              <w:rPr>
                <w:b/>
                <w:sz w:val="22"/>
                <w:u w:val="single"/>
              </w:rPr>
              <w:t>Deputāts I.Parādnieks</w:t>
            </w:r>
            <w:r w:rsidR="002C41E5">
              <w:rPr>
                <w:rStyle w:val="EndnoteReference"/>
                <w:b/>
                <w:sz w:val="22"/>
                <w:u w:val="single"/>
              </w:rPr>
              <w:endnoteReference w:id="1"/>
            </w:r>
          </w:p>
          <w:p w:rsidR="00410A5D" w:rsidRDefault="00410A5D" w:rsidP="001A7D73">
            <w:pPr>
              <w:ind w:firstLine="567"/>
              <w:jc w:val="both"/>
              <w:rPr>
                <w:sz w:val="22"/>
                <w:u w:val="single"/>
              </w:rPr>
            </w:pPr>
            <w:r w:rsidRPr="00410A5D">
              <w:rPr>
                <w:sz w:val="22"/>
              </w:rPr>
              <w:t xml:space="preserve">Aizstāt likuma 3.panta pirmās daļas 1.punktā skaitli “17 279,36” ar skaitli </w:t>
            </w:r>
            <w:r w:rsidRPr="00410A5D">
              <w:rPr>
                <w:sz w:val="22"/>
                <w:u w:val="single"/>
              </w:rPr>
              <w:t>“20 000”.</w:t>
            </w:r>
          </w:p>
          <w:p w:rsidR="00410A5D" w:rsidRDefault="00410A5D" w:rsidP="00410A5D">
            <w:pPr>
              <w:ind w:firstLine="567"/>
              <w:jc w:val="both"/>
              <w:rPr>
                <w:b/>
                <w:sz w:val="22"/>
                <w:u w:val="single"/>
              </w:rPr>
            </w:pPr>
            <w:r w:rsidRPr="00410A5D">
              <w:rPr>
                <w:b/>
                <w:sz w:val="22"/>
                <w:u w:val="single"/>
              </w:rPr>
              <w:t>Deputāts I.Parādnieks</w:t>
            </w:r>
          </w:p>
          <w:p w:rsidR="00410A5D" w:rsidRPr="00410A5D" w:rsidRDefault="00410A5D" w:rsidP="00410A5D">
            <w:pPr>
              <w:ind w:firstLine="567"/>
              <w:jc w:val="both"/>
              <w:rPr>
                <w:sz w:val="22"/>
                <w:u w:val="single"/>
              </w:rPr>
            </w:pPr>
            <w:r w:rsidRPr="00410A5D">
              <w:rPr>
                <w:sz w:val="22"/>
              </w:rPr>
              <w:t>Aizstāt likuma 3.panta pirmās daļas 2.punktā skaitli “17 279,36” ar skaitli “</w:t>
            </w:r>
            <w:r w:rsidRPr="00410A5D">
              <w:rPr>
                <w:sz w:val="22"/>
                <w:u w:val="single"/>
              </w:rPr>
              <w:t>20 000”.</w:t>
            </w:r>
          </w:p>
          <w:p w:rsidR="00410A5D" w:rsidRDefault="00410A5D" w:rsidP="00410A5D">
            <w:pPr>
              <w:ind w:firstLine="567"/>
              <w:jc w:val="both"/>
              <w:rPr>
                <w:sz w:val="22"/>
              </w:rPr>
            </w:pPr>
            <w:r w:rsidRPr="00410A5D">
              <w:rPr>
                <w:b/>
                <w:sz w:val="22"/>
                <w:u w:val="single"/>
              </w:rPr>
              <w:t>Deputāts I.Parādnieks</w:t>
            </w:r>
          </w:p>
          <w:p w:rsidR="00410A5D" w:rsidRPr="00410A5D" w:rsidRDefault="00410A5D" w:rsidP="001A7D73">
            <w:pPr>
              <w:ind w:firstLine="567"/>
              <w:jc w:val="both"/>
              <w:rPr>
                <w:sz w:val="22"/>
              </w:rPr>
            </w:pPr>
            <w:r w:rsidRPr="00410A5D">
              <w:rPr>
                <w:sz w:val="22"/>
              </w:rPr>
              <w:t>Aizstāt likuma 3.panta pirmās daļas 3.punktā skaitli “3141,70” ar skaitli “</w:t>
            </w:r>
            <w:r w:rsidRPr="00410A5D">
              <w:rPr>
                <w:sz w:val="22"/>
                <w:u w:val="single"/>
              </w:rPr>
              <w:t>4200,00</w:t>
            </w:r>
            <w:r w:rsidRPr="00410A5D">
              <w:rPr>
                <w:sz w:val="22"/>
              </w:rPr>
              <w:t>”.</w:t>
            </w:r>
          </w:p>
          <w:p w:rsidR="00265009" w:rsidRDefault="00CA2F3E" w:rsidP="001A7D73">
            <w:pPr>
              <w:ind w:firstLine="567"/>
              <w:jc w:val="both"/>
              <w:rPr>
                <w:b/>
                <w:sz w:val="22"/>
                <w:u w:val="single"/>
              </w:rPr>
            </w:pPr>
            <w:r w:rsidRPr="00CA2F3E">
              <w:rPr>
                <w:b/>
                <w:sz w:val="22"/>
                <w:u w:val="single"/>
              </w:rPr>
              <w:t>Deputāts J.Trupovnieks</w:t>
            </w:r>
          </w:p>
          <w:p w:rsidR="0004543B" w:rsidRPr="0004543B" w:rsidRDefault="0004543B" w:rsidP="0004543B">
            <w:pPr>
              <w:ind w:firstLine="567"/>
              <w:jc w:val="both"/>
              <w:rPr>
                <w:sz w:val="22"/>
              </w:rPr>
            </w:pPr>
            <w:r w:rsidRPr="0004543B">
              <w:rPr>
                <w:sz w:val="22"/>
              </w:rPr>
              <w:t xml:space="preserve">Izteikt likumprojekta 2. punktu, likuma </w:t>
            </w:r>
            <w:r w:rsidRPr="0004543B">
              <w:rPr>
                <w:bCs/>
                <w:i/>
                <w:sz w:val="22"/>
              </w:rPr>
              <w:t>„Par izložu un azartspēļu nodevu un nodokli”</w:t>
            </w:r>
            <w:r w:rsidRPr="0004543B">
              <w:rPr>
                <w:sz w:val="22"/>
              </w:rPr>
              <w:t xml:space="preserve"> šādā redakcijā:</w:t>
            </w:r>
          </w:p>
          <w:p w:rsidR="0004543B" w:rsidRPr="0004543B" w:rsidRDefault="0004543B" w:rsidP="0004543B">
            <w:pPr>
              <w:ind w:firstLine="567"/>
              <w:jc w:val="both"/>
              <w:rPr>
                <w:sz w:val="22"/>
              </w:rPr>
            </w:pPr>
            <w:r w:rsidRPr="0004543B">
              <w:rPr>
                <w:sz w:val="22"/>
              </w:rPr>
              <w:t>„1) rulete (cilindriskā spēle) — par katru ruletes rotējošajai iekārtai pievienoto spēļu galdu — 18 000 </w:t>
            </w:r>
            <w:r w:rsidRPr="0004543B">
              <w:rPr>
                <w:i/>
                <w:iCs/>
                <w:sz w:val="22"/>
              </w:rPr>
              <w:t>euro</w:t>
            </w:r>
            <w:r w:rsidRPr="0004543B">
              <w:rPr>
                <w:sz w:val="22"/>
              </w:rPr>
              <w:t>;</w:t>
            </w:r>
          </w:p>
          <w:p w:rsidR="0004543B" w:rsidRPr="0004543B" w:rsidRDefault="0004543B" w:rsidP="0004543B">
            <w:pPr>
              <w:ind w:firstLine="567"/>
              <w:jc w:val="both"/>
              <w:rPr>
                <w:sz w:val="22"/>
              </w:rPr>
            </w:pPr>
            <w:r w:rsidRPr="0004543B">
              <w:rPr>
                <w:sz w:val="22"/>
              </w:rPr>
              <w:lastRenderedPageBreak/>
              <w:t>2) kāršu un kauliņu spēles — par katru galdu — 18 000 </w:t>
            </w:r>
            <w:r w:rsidRPr="0004543B">
              <w:rPr>
                <w:i/>
                <w:iCs/>
                <w:sz w:val="22"/>
              </w:rPr>
              <w:t>euro</w:t>
            </w:r>
            <w:r w:rsidRPr="0004543B">
              <w:rPr>
                <w:sz w:val="22"/>
              </w:rPr>
              <w:t>;</w:t>
            </w:r>
          </w:p>
          <w:p w:rsidR="0004543B" w:rsidRPr="00647F0B" w:rsidRDefault="0004543B" w:rsidP="00410A5D">
            <w:pPr>
              <w:ind w:firstLine="567"/>
              <w:jc w:val="both"/>
              <w:rPr>
                <w:sz w:val="22"/>
              </w:rPr>
            </w:pPr>
            <w:r w:rsidRPr="0004543B">
              <w:rPr>
                <w:sz w:val="22"/>
              </w:rPr>
              <w:t xml:space="preserve">3) videospēles un mehāniskie automāti — par katra automāta katru spēles vietu — </w:t>
            </w:r>
            <w:r w:rsidRPr="009241A2">
              <w:rPr>
                <w:sz w:val="22"/>
                <w:u w:val="single"/>
              </w:rPr>
              <w:t>3204</w:t>
            </w:r>
            <w:r w:rsidRPr="0004543B">
              <w:rPr>
                <w:sz w:val="22"/>
              </w:rPr>
              <w:t> </w:t>
            </w:r>
            <w:r w:rsidRPr="0004543B">
              <w:rPr>
                <w:i/>
                <w:iCs/>
                <w:sz w:val="22"/>
              </w:rPr>
              <w:t>euro”.</w:t>
            </w:r>
          </w:p>
        </w:tc>
        <w:tc>
          <w:tcPr>
            <w:tcW w:w="1420" w:type="dxa"/>
          </w:tcPr>
          <w:p w:rsidR="00265009" w:rsidRPr="008E2AF5" w:rsidRDefault="00265009" w:rsidP="001A7D73">
            <w:pPr>
              <w:jc w:val="center"/>
              <w:rPr>
                <w:sz w:val="22"/>
              </w:rPr>
            </w:pPr>
          </w:p>
        </w:tc>
        <w:tc>
          <w:tcPr>
            <w:tcW w:w="1420" w:type="dxa"/>
          </w:tcPr>
          <w:p w:rsidR="00265009" w:rsidRPr="008E2AF5" w:rsidRDefault="00265009" w:rsidP="001A7D73">
            <w:pPr>
              <w:jc w:val="center"/>
              <w:rPr>
                <w:sz w:val="22"/>
              </w:rPr>
            </w:pPr>
          </w:p>
        </w:tc>
      </w:tr>
      <w:tr w:rsidR="00C64B05" w:rsidRPr="008E2AF5" w:rsidTr="001A7D73">
        <w:tc>
          <w:tcPr>
            <w:tcW w:w="3960" w:type="dxa"/>
          </w:tcPr>
          <w:p w:rsidR="00C64B05" w:rsidRPr="00B35439" w:rsidRDefault="00C64B05" w:rsidP="00C64B05">
            <w:pPr>
              <w:ind w:firstLine="567"/>
              <w:jc w:val="both"/>
              <w:rPr>
                <w:bCs/>
                <w:sz w:val="22"/>
                <w:lang w:eastAsia="lv-LV"/>
              </w:rPr>
            </w:pPr>
            <w:r w:rsidRPr="00B35439">
              <w:rPr>
                <w:b/>
                <w:bCs/>
                <w:sz w:val="22"/>
                <w:lang w:eastAsia="lv-LV"/>
              </w:rPr>
              <w:lastRenderedPageBreak/>
              <w:t>6. pants.</w:t>
            </w:r>
            <w:r w:rsidRPr="00B35439">
              <w:rPr>
                <w:bCs/>
                <w:sz w:val="22"/>
                <w:lang w:eastAsia="lv-LV"/>
              </w:rPr>
              <w:t xml:space="preserve"> Par speciālās atļaujas (licences) izsniegšanu no izložu organizētājiem iekasējama valsts nodeva šādā apmērā:</w:t>
            </w:r>
          </w:p>
          <w:p w:rsidR="00C64B05" w:rsidRPr="00B35439" w:rsidRDefault="00C64B05" w:rsidP="00C64B05">
            <w:pPr>
              <w:ind w:firstLine="567"/>
              <w:jc w:val="both"/>
              <w:rPr>
                <w:bCs/>
                <w:sz w:val="22"/>
                <w:lang w:eastAsia="lv-LV"/>
              </w:rPr>
            </w:pPr>
            <w:r w:rsidRPr="00B35439">
              <w:rPr>
                <w:bCs/>
                <w:sz w:val="22"/>
                <w:lang w:eastAsia="lv-LV"/>
              </w:rPr>
              <w:t>1) par valsts mēroga izlozēm — par katru kalendāro gadu — 14 230 euro;</w:t>
            </w:r>
          </w:p>
          <w:p w:rsidR="00C64B05" w:rsidRPr="00B35439" w:rsidRDefault="00C64B05" w:rsidP="00C64B05">
            <w:pPr>
              <w:ind w:firstLine="567"/>
              <w:jc w:val="both"/>
              <w:rPr>
                <w:bCs/>
                <w:sz w:val="22"/>
                <w:lang w:eastAsia="lv-LV"/>
              </w:rPr>
            </w:pPr>
            <w:r w:rsidRPr="00B35439">
              <w:rPr>
                <w:bCs/>
                <w:sz w:val="22"/>
                <w:lang w:eastAsia="lv-LV"/>
              </w:rPr>
              <w:t>2) par vietēja mēroga izlozēm — par katru kalendāro gadu — 720 euro;</w:t>
            </w:r>
          </w:p>
          <w:p w:rsidR="00C64B05" w:rsidRPr="00B35439" w:rsidRDefault="00C64B05" w:rsidP="00C64B05">
            <w:pPr>
              <w:ind w:firstLine="567"/>
              <w:jc w:val="both"/>
              <w:rPr>
                <w:bCs/>
                <w:sz w:val="22"/>
                <w:lang w:eastAsia="lv-LV"/>
              </w:rPr>
            </w:pPr>
            <w:r w:rsidRPr="00B35439">
              <w:rPr>
                <w:bCs/>
                <w:sz w:val="22"/>
                <w:lang w:eastAsia="lv-LV"/>
              </w:rPr>
              <w:t xml:space="preserve">3) par valsts mēroga momentloterijām — par katru izlozi — </w:t>
            </w:r>
            <w:r w:rsidRPr="00B35439">
              <w:rPr>
                <w:bCs/>
                <w:sz w:val="22"/>
                <w:u w:val="single"/>
                <w:lang w:eastAsia="lv-LV"/>
              </w:rPr>
              <w:t xml:space="preserve">8540 </w:t>
            </w:r>
            <w:r w:rsidRPr="00B35439">
              <w:rPr>
                <w:bCs/>
                <w:sz w:val="22"/>
                <w:lang w:eastAsia="lv-LV"/>
              </w:rPr>
              <w:t>euro;</w:t>
            </w:r>
          </w:p>
          <w:p w:rsidR="00C64B05" w:rsidRPr="00B35439" w:rsidRDefault="00C64B05" w:rsidP="00C64B05">
            <w:pPr>
              <w:ind w:firstLine="567"/>
              <w:jc w:val="both"/>
              <w:rPr>
                <w:bCs/>
                <w:sz w:val="22"/>
                <w:lang w:eastAsia="lv-LV"/>
              </w:rPr>
            </w:pPr>
            <w:r w:rsidRPr="00B35439">
              <w:rPr>
                <w:bCs/>
                <w:sz w:val="22"/>
                <w:lang w:eastAsia="lv-LV"/>
              </w:rPr>
              <w:t>4) par vietēja mēroga momentloterijām — par katru izlozi — 720 euro;</w:t>
            </w:r>
          </w:p>
          <w:p w:rsidR="00C64B05" w:rsidRPr="00874868" w:rsidRDefault="00C64B05" w:rsidP="00C64B05">
            <w:pPr>
              <w:ind w:firstLine="567"/>
              <w:jc w:val="both"/>
              <w:rPr>
                <w:b/>
                <w:bCs/>
                <w:sz w:val="22"/>
                <w:lang w:eastAsia="lv-LV"/>
              </w:rPr>
            </w:pPr>
            <w:r w:rsidRPr="00B35439">
              <w:rPr>
                <w:bCs/>
                <w:sz w:val="22"/>
                <w:lang w:eastAsia="lv-LV"/>
              </w:rPr>
              <w:t>5) par vietēja mēroga vienreizēja rakstura izlozēm — par katru izlozi — 35 euro.</w:t>
            </w:r>
          </w:p>
        </w:tc>
        <w:tc>
          <w:tcPr>
            <w:tcW w:w="3960" w:type="dxa"/>
          </w:tcPr>
          <w:p w:rsidR="00C64B05" w:rsidRPr="00265009" w:rsidRDefault="00C64B05" w:rsidP="00265009">
            <w:pPr>
              <w:ind w:firstLine="567"/>
              <w:jc w:val="both"/>
              <w:rPr>
                <w:rFonts w:eastAsia="Times New Roman"/>
                <w:sz w:val="22"/>
                <w:lang w:eastAsia="lv-LV"/>
              </w:rPr>
            </w:pPr>
          </w:p>
        </w:tc>
        <w:tc>
          <w:tcPr>
            <w:tcW w:w="567" w:type="dxa"/>
          </w:tcPr>
          <w:p w:rsidR="00C64B05" w:rsidRDefault="00C64B05" w:rsidP="001A7D73">
            <w:pPr>
              <w:jc w:val="center"/>
              <w:rPr>
                <w:b/>
                <w:sz w:val="22"/>
              </w:rPr>
            </w:pPr>
            <w:r>
              <w:rPr>
                <w:b/>
                <w:sz w:val="22"/>
              </w:rPr>
              <w:t>6</w:t>
            </w:r>
          </w:p>
        </w:tc>
        <w:tc>
          <w:tcPr>
            <w:tcW w:w="3960" w:type="dxa"/>
          </w:tcPr>
          <w:p w:rsidR="00C64B05" w:rsidRDefault="00C64B05" w:rsidP="00C64B05">
            <w:pPr>
              <w:ind w:firstLine="567"/>
              <w:jc w:val="both"/>
              <w:rPr>
                <w:b/>
                <w:sz w:val="22"/>
                <w:u w:val="single"/>
              </w:rPr>
            </w:pPr>
            <w:r>
              <w:rPr>
                <w:b/>
                <w:sz w:val="22"/>
                <w:u w:val="single"/>
              </w:rPr>
              <w:t>Finanšu ministrijas parlamentārais sekretārs A.Ašeradens</w:t>
            </w:r>
          </w:p>
          <w:p w:rsidR="00C64B05" w:rsidRPr="00904C37" w:rsidRDefault="00C64B05" w:rsidP="00C64B05">
            <w:pPr>
              <w:ind w:firstLine="567"/>
              <w:jc w:val="both"/>
              <w:rPr>
                <w:sz w:val="22"/>
              </w:rPr>
            </w:pPr>
            <w:r w:rsidRPr="00904C37">
              <w:rPr>
                <w:sz w:val="22"/>
              </w:rPr>
              <w:t>Likuma 6.pantā:</w:t>
            </w:r>
          </w:p>
          <w:p w:rsidR="00C64B05" w:rsidRDefault="00C64B05" w:rsidP="00C64B05">
            <w:pPr>
              <w:ind w:firstLine="567"/>
              <w:jc w:val="both"/>
              <w:rPr>
                <w:sz w:val="22"/>
              </w:rPr>
            </w:pPr>
            <w:r w:rsidRPr="00904C37">
              <w:rPr>
                <w:sz w:val="22"/>
              </w:rPr>
              <w:t>aizstāt 3.punktā skaitli “8540” ar skaitli “1 000”.</w:t>
            </w:r>
          </w:p>
          <w:p w:rsidR="00C12EC0" w:rsidRPr="00B35439" w:rsidRDefault="00C12EC0" w:rsidP="00C12EC0">
            <w:pPr>
              <w:ind w:firstLine="567"/>
              <w:jc w:val="both"/>
              <w:rPr>
                <w:sz w:val="22"/>
              </w:rPr>
            </w:pPr>
            <w:r w:rsidRPr="00B35439">
              <w:rPr>
                <w:sz w:val="22"/>
              </w:rPr>
              <w:t xml:space="preserve">papildināt pantu ar otro daļu šādā redakcijā: </w:t>
            </w:r>
          </w:p>
          <w:p w:rsidR="00C12EC0" w:rsidRPr="00B35439" w:rsidRDefault="00C12EC0" w:rsidP="00C12EC0">
            <w:pPr>
              <w:ind w:firstLine="567"/>
              <w:jc w:val="both"/>
              <w:rPr>
                <w:sz w:val="22"/>
              </w:rPr>
            </w:pPr>
            <w:r w:rsidRPr="00B35439">
              <w:rPr>
                <w:sz w:val="22"/>
              </w:rPr>
              <w:t>“Par momentloterijas jaunas biļešu sērijas izdošanu (sākot no otrās sērijas) valsts nodevas likme:</w:t>
            </w:r>
          </w:p>
          <w:p w:rsidR="00C12EC0" w:rsidRPr="00B35439" w:rsidRDefault="00C12EC0" w:rsidP="00C12EC0">
            <w:pPr>
              <w:ind w:firstLine="567"/>
              <w:jc w:val="both"/>
              <w:rPr>
                <w:sz w:val="22"/>
              </w:rPr>
            </w:pPr>
            <w:r w:rsidRPr="00B35439">
              <w:rPr>
                <w:sz w:val="22"/>
              </w:rPr>
              <w:t>1) par valsts mēroga momentloteriju – 720 euro;</w:t>
            </w:r>
          </w:p>
          <w:p w:rsidR="00C64B05" w:rsidRPr="00410A5D" w:rsidRDefault="00C12EC0" w:rsidP="00C12EC0">
            <w:pPr>
              <w:ind w:firstLine="567"/>
              <w:jc w:val="both"/>
              <w:rPr>
                <w:b/>
                <w:sz w:val="22"/>
                <w:u w:val="single"/>
              </w:rPr>
            </w:pPr>
            <w:r w:rsidRPr="00B35439">
              <w:rPr>
                <w:sz w:val="22"/>
              </w:rPr>
              <w:t>2) par vietēja mēroga momentloteriju – 720 euro.”.</w:t>
            </w:r>
          </w:p>
        </w:tc>
        <w:tc>
          <w:tcPr>
            <w:tcW w:w="1420" w:type="dxa"/>
          </w:tcPr>
          <w:p w:rsidR="00C64B05" w:rsidRPr="008E2AF5" w:rsidRDefault="00C64B05" w:rsidP="001A7D73">
            <w:pPr>
              <w:jc w:val="center"/>
              <w:rPr>
                <w:sz w:val="22"/>
              </w:rPr>
            </w:pPr>
          </w:p>
        </w:tc>
        <w:tc>
          <w:tcPr>
            <w:tcW w:w="1420" w:type="dxa"/>
          </w:tcPr>
          <w:p w:rsidR="00C64B05" w:rsidRPr="008E2AF5" w:rsidRDefault="00C64B05" w:rsidP="001A7D73">
            <w:pPr>
              <w:jc w:val="center"/>
              <w:rPr>
                <w:sz w:val="22"/>
              </w:rPr>
            </w:pPr>
          </w:p>
        </w:tc>
      </w:tr>
      <w:tr w:rsidR="00CA2F3E" w:rsidRPr="008E2AF5" w:rsidTr="001A7D73">
        <w:tc>
          <w:tcPr>
            <w:tcW w:w="3960" w:type="dxa"/>
          </w:tcPr>
          <w:p w:rsidR="00CA2F3E" w:rsidRPr="00CA2F3E" w:rsidRDefault="00CA2F3E" w:rsidP="00CA2F3E">
            <w:pPr>
              <w:ind w:firstLine="567"/>
              <w:jc w:val="both"/>
              <w:rPr>
                <w:sz w:val="22"/>
                <w:lang w:eastAsia="lv-LV"/>
              </w:rPr>
            </w:pPr>
            <w:r w:rsidRPr="00CA2F3E">
              <w:rPr>
                <w:b/>
                <w:bCs/>
                <w:sz w:val="22"/>
                <w:lang w:eastAsia="lv-LV"/>
              </w:rPr>
              <w:t>12. pants.</w:t>
            </w:r>
            <w:r w:rsidRPr="00CA2F3E">
              <w:rPr>
                <w:sz w:val="22"/>
                <w:lang w:eastAsia="lv-LV"/>
              </w:rPr>
              <w:t xml:space="preserve"> Ienākumi no izložu un azartspēļu nodevas [maksa par </w:t>
            </w:r>
            <w:r w:rsidRPr="00B35439">
              <w:rPr>
                <w:sz w:val="22"/>
                <w:u w:val="single"/>
                <w:lang w:eastAsia="lv-LV"/>
              </w:rPr>
              <w:t>speciālo atļauju (licenci)</w:t>
            </w:r>
            <w:r w:rsidRPr="00CA2F3E">
              <w:rPr>
                <w:sz w:val="22"/>
                <w:lang w:eastAsia="lv-LV"/>
              </w:rPr>
              <w:t>] tiek ieskaitīti valsts pamatbudžetā.</w:t>
            </w:r>
          </w:p>
          <w:p w:rsidR="00CA2F3E" w:rsidRPr="00CA2F3E" w:rsidRDefault="00CA2F3E" w:rsidP="00CA2F3E">
            <w:pPr>
              <w:ind w:firstLine="567"/>
              <w:jc w:val="both"/>
              <w:rPr>
                <w:sz w:val="22"/>
                <w:lang w:eastAsia="lv-LV"/>
              </w:rPr>
            </w:pPr>
            <w:r w:rsidRPr="00CA2F3E">
              <w:rPr>
                <w:sz w:val="22"/>
                <w:lang w:eastAsia="lv-LV"/>
              </w:rPr>
              <w:t>Ienākumi no azartspēļu nodokļa 75 procentu apmērā ieskaitāmi valsts pamatbudžetā, bet 25 procentu apmērā — tās pašvaldības budžetā, kuras teritorijā tiek organizēta azartspēle.</w:t>
            </w:r>
          </w:p>
          <w:p w:rsidR="001B6C49" w:rsidRDefault="00CA2F3E" w:rsidP="001B6C49">
            <w:pPr>
              <w:ind w:firstLine="567"/>
              <w:jc w:val="both"/>
              <w:rPr>
                <w:b/>
                <w:bCs/>
                <w:sz w:val="22"/>
                <w:lang w:eastAsia="lv-LV"/>
              </w:rPr>
            </w:pPr>
            <w:r w:rsidRPr="00CA2F3E">
              <w:rPr>
                <w:sz w:val="22"/>
                <w:lang w:eastAsia="lv-LV"/>
              </w:rPr>
              <w:t>Ienākumi no valsts mēroga izložu nodokļa ieskaitāmi valsts pamatbudžetā, bet no vietējā mēroga izložu nodokļa — tās pašvaldības budžetā, kuras teritorijā tiek organizēta izloze.</w:t>
            </w:r>
            <w:r w:rsidR="001B6C49" w:rsidRPr="00B35439">
              <w:rPr>
                <w:b/>
                <w:bCs/>
                <w:sz w:val="22"/>
                <w:lang w:eastAsia="lv-LV"/>
              </w:rPr>
              <w:t xml:space="preserve"> </w:t>
            </w:r>
          </w:p>
          <w:p w:rsidR="00CA2F3E" w:rsidRPr="00874868" w:rsidRDefault="00CA2F3E" w:rsidP="001B6C49">
            <w:pPr>
              <w:ind w:firstLine="567"/>
              <w:jc w:val="both"/>
              <w:rPr>
                <w:sz w:val="22"/>
                <w:lang w:eastAsia="lv-LV"/>
              </w:rPr>
            </w:pPr>
          </w:p>
        </w:tc>
        <w:tc>
          <w:tcPr>
            <w:tcW w:w="3960" w:type="dxa"/>
          </w:tcPr>
          <w:p w:rsidR="00CA2F3E" w:rsidRPr="00265009" w:rsidRDefault="00CA2F3E" w:rsidP="00265009">
            <w:pPr>
              <w:ind w:firstLine="567"/>
              <w:jc w:val="both"/>
              <w:rPr>
                <w:rFonts w:eastAsia="Times New Roman"/>
                <w:sz w:val="22"/>
                <w:lang w:eastAsia="lv-LV"/>
              </w:rPr>
            </w:pPr>
          </w:p>
        </w:tc>
        <w:tc>
          <w:tcPr>
            <w:tcW w:w="567" w:type="dxa"/>
          </w:tcPr>
          <w:p w:rsidR="001B6C49" w:rsidRDefault="00C12EC0" w:rsidP="001A7D73">
            <w:pPr>
              <w:jc w:val="center"/>
              <w:rPr>
                <w:b/>
                <w:sz w:val="22"/>
              </w:rPr>
            </w:pPr>
            <w:r>
              <w:rPr>
                <w:b/>
                <w:sz w:val="22"/>
              </w:rPr>
              <w:t>7</w:t>
            </w: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1B6C49" w:rsidRDefault="001B6C49" w:rsidP="001A7D73">
            <w:pPr>
              <w:jc w:val="center"/>
              <w:rPr>
                <w:b/>
                <w:sz w:val="22"/>
              </w:rPr>
            </w:pPr>
          </w:p>
          <w:p w:rsidR="00C12EC0" w:rsidRDefault="00C12EC0" w:rsidP="001A7D73">
            <w:pPr>
              <w:jc w:val="center"/>
              <w:rPr>
                <w:b/>
                <w:sz w:val="22"/>
              </w:rPr>
            </w:pPr>
          </w:p>
          <w:p w:rsidR="001B6C49" w:rsidRDefault="001B6C49" w:rsidP="001A7D73">
            <w:pPr>
              <w:jc w:val="center"/>
              <w:rPr>
                <w:b/>
                <w:sz w:val="22"/>
              </w:rPr>
            </w:pPr>
          </w:p>
          <w:p w:rsidR="00C64B05" w:rsidRDefault="00C64B05" w:rsidP="001A7D73">
            <w:pPr>
              <w:jc w:val="center"/>
              <w:rPr>
                <w:b/>
                <w:sz w:val="22"/>
              </w:rPr>
            </w:pPr>
          </w:p>
          <w:p w:rsidR="00C64B05" w:rsidRDefault="00C12EC0" w:rsidP="001A7D73">
            <w:pPr>
              <w:jc w:val="center"/>
              <w:rPr>
                <w:b/>
                <w:sz w:val="22"/>
              </w:rPr>
            </w:pPr>
            <w:r>
              <w:rPr>
                <w:b/>
                <w:sz w:val="22"/>
              </w:rPr>
              <w:t>8</w:t>
            </w:r>
          </w:p>
          <w:p w:rsidR="001B6C49" w:rsidRPr="008E2AF5" w:rsidRDefault="001B6C49" w:rsidP="001A7D73">
            <w:pPr>
              <w:jc w:val="center"/>
              <w:rPr>
                <w:b/>
                <w:sz w:val="22"/>
              </w:rPr>
            </w:pPr>
          </w:p>
        </w:tc>
        <w:tc>
          <w:tcPr>
            <w:tcW w:w="3960" w:type="dxa"/>
          </w:tcPr>
          <w:p w:rsidR="00CA2F3E" w:rsidRDefault="00CA2F3E" w:rsidP="001A7D73">
            <w:pPr>
              <w:ind w:firstLine="567"/>
              <w:jc w:val="both"/>
              <w:rPr>
                <w:b/>
                <w:sz w:val="22"/>
                <w:u w:val="single"/>
              </w:rPr>
            </w:pPr>
            <w:r w:rsidRPr="00CA2F3E">
              <w:rPr>
                <w:b/>
                <w:sz w:val="22"/>
                <w:u w:val="single"/>
              </w:rPr>
              <w:lastRenderedPageBreak/>
              <w:t>Deputāts J.Trupovnieks</w:t>
            </w:r>
          </w:p>
          <w:p w:rsidR="00832753" w:rsidRPr="00832753" w:rsidRDefault="00832753" w:rsidP="00832753">
            <w:pPr>
              <w:ind w:firstLine="567"/>
              <w:jc w:val="both"/>
              <w:rPr>
                <w:sz w:val="22"/>
              </w:rPr>
            </w:pPr>
            <w:r w:rsidRPr="00832753">
              <w:rPr>
                <w:sz w:val="22"/>
              </w:rPr>
              <w:t>Izteikt  likuma „Par izložu un azartspēļu nodevu un nodokli” 12.pantu šādā redakcijā :</w:t>
            </w:r>
          </w:p>
          <w:p w:rsidR="00832753" w:rsidRPr="00832753" w:rsidRDefault="00832753" w:rsidP="00832753">
            <w:pPr>
              <w:ind w:firstLine="567"/>
              <w:jc w:val="both"/>
              <w:rPr>
                <w:sz w:val="22"/>
              </w:rPr>
            </w:pPr>
            <w:r w:rsidRPr="00832753">
              <w:rPr>
                <w:sz w:val="22"/>
              </w:rPr>
              <w:t xml:space="preserve">„12. pants. (1) Ienākumi no izložu un azartspēļu nodevas [maksa par speciālo atļauju (licenci)], kas minēti šā likuma otrā panta  pirmās daļas pirmā punkta „a”, „b”, „c” apakšpunktos, otrā panta  pirmās daļas otrā  punkta „a”, „b”, „c” apakšpunktos, otrā  panta  pirmās daļas trešā punkta „a”, „b”, „c” apakšpunktos  tiek ieskaitīti valsts pamatbudžetā un šā likuma otrā </w:t>
            </w:r>
            <w:r w:rsidRPr="00832753">
              <w:rPr>
                <w:sz w:val="22"/>
              </w:rPr>
              <w:lastRenderedPageBreak/>
              <w:t xml:space="preserve">panta  pirmās daļas pirmā punkta „d” un „e” apakšpunktos minētās nodevas tās pašvaldības  budžetā, kuras teritorijā atrodas  konkrētās azartspēļu organizēšanas vietas. </w:t>
            </w:r>
          </w:p>
          <w:p w:rsidR="00832753" w:rsidRPr="00832753" w:rsidRDefault="00832753" w:rsidP="00832753">
            <w:pPr>
              <w:ind w:firstLine="567"/>
              <w:jc w:val="both"/>
              <w:rPr>
                <w:sz w:val="22"/>
              </w:rPr>
            </w:pPr>
            <w:r w:rsidRPr="00832753">
              <w:rPr>
                <w:sz w:val="22"/>
              </w:rPr>
              <w:t xml:space="preserve"> (2) Azartspēļu nodokli par azartspēļu automātiem, kāršu, kauliņu, ruletes spēles galdiem 40 procentu apmērā ieskaita valsts pamatbudžetā, 30 procentu apmērā – tās pašvaldības budžetā, kuras teritorijā tiek organizēta azartspēle un 30 procentus valsts pamatbudžetā  veselības aizsardzības vajadzībām. </w:t>
            </w:r>
          </w:p>
          <w:p w:rsidR="00832753" w:rsidRPr="00832753" w:rsidRDefault="00832753" w:rsidP="00832753">
            <w:pPr>
              <w:ind w:firstLine="567"/>
              <w:jc w:val="both"/>
              <w:rPr>
                <w:sz w:val="22"/>
              </w:rPr>
            </w:pPr>
            <w:r w:rsidRPr="00832753">
              <w:rPr>
                <w:sz w:val="22"/>
              </w:rPr>
              <w:t>Azartspēļu nodokli par totalizatora, derību, veiksmes spēles organizēšanu un azartspēļu, kuras organizē, izmantojot telekomunikācijas 100 procentu apmērā ieskaita valsts pamatbudžetā.</w:t>
            </w:r>
          </w:p>
          <w:p w:rsidR="00832753" w:rsidRDefault="00832753" w:rsidP="00832753">
            <w:pPr>
              <w:ind w:firstLine="567"/>
              <w:jc w:val="both"/>
              <w:rPr>
                <w:sz w:val="22"/>
              </w:rPr>
            </w:pPr>
            <w:r w:rsidRPr="00832753">
              <w:rPr>
                <w:sz w:val="22"/>
              </w:rPr>
              <w:t>(3) Ienākumi no valsts mēroga izložu nodokļa ieskaitāmi valsts pamatbudžetā, bet no vietēja mēroga izložu nodokļa — tās pašvaldības budžetā, kuras teritorijā tiek organizēta izloze”.</w:t>
            </w:r>
          </w:p>
          <w:p w:rsidR="00B35439" w:rsidRDefault="00B35439" w:rsidP="00B35439">
            <w:pPr>
              <w:ind w:firstLine="567"/>
              <w:jc w:val="both"/>
              <w:rPr>
                <w:b/>
                <w:sz w:val="22"/>
                <w:u w:val="single"/>
              </w:rPr>
            </w:pPr>
            <w:r>
              <w:rPr>
                <w:b/>
                <w:sz w:val="22"/>
                <w:u w:val="single"/>
              </w:rPr>
              <w:t>Finanšu ministrijas parlamentārais sekretārs A.Ašeradens</w:t>
            </w:r>
          </w:p>
          <w:p w:rsidR="00832753" w:rsidRPr="00832753" w:rsidRDefault="00B35439" w:rsidP="00B35439">
            <w:pPr>
              <w:ind w:firstLine="567"/>
              <w:jc w:val="both"/>
              <w:rPr>
                <w:sz w:val="22"/>
              </w:rPr>
            </w:pPr>
            <w:r w:rsidRPr="00B35439">
              <w:rPr>
                <w:sz w:val="22"/>
              </w:rPr>
              <w:t>Aizstāt likuma 12. un 14.pantā vārdus “speciālā atļauja (licence)” (attiecīgā locījumā) ar vārdiem “attiecīgā licence” (attiecīgā locījumā).</w:t>
            </w:r>
          </w:p>
        </w:tc>
        <w:tc>
          <w:tcPr>
            <w:tcW w:w="1420" w:type="dxa"/>
          </w:tcPr>
          <w:p w:rsidR="00CA2F3E" w:rsidRPr="008E2AF5" w:rsidRDefault="00CA2F3E" w:rsidP="001A7D73">
            <w:pPr>
              <w:jc w:val="center"/>
              <w:rPr>
                <w:sz w:val="22"/>
              </w:rPr>
            </w:pPr>
          </w:p>
        </w:tc>
        <w:tc>
          <w:tcPr>
            <w:tcW w:w="1420" w:type="dxa"/>
          </w:tcPr>
          <w:p w:rsidR="00CA2F3E" w:rsidRPr="008E2AF5" w:rsidRDefault="00CA2F3E" w:rsidP="001A7D73">
            <w:pPr>
              <w:jc w:val="center"/>
              <w:rPr>
                <w:sz w:val="22"/>
              </w:rPr>
            </w:pPr>
          </w:p>
        </w:tc>
      </w:tr>
      <w:tr w:rsidR="00C64B05" w:rsidRPr="008E2AF5" w:rsidTr="001A7D73">
        <w:tc>
          <w:tcPr>
            <w:tcW w:w="3960" w:type="dxa"/>
          </w:tcPr>
          <w:p w:rsidR="00C64B05" w:rsidRPr="00B35439" w:rsidRDefault="00C64B05" w:rsidP="00C64B05">
            <w:pPr>
              <w:ind w:firstLine="567"/>
              <w:jc w:val="both"/>
              <w:rPr>
                <w:bCs/>
                <w:sz w:val="22"/>
                <w:lang w:eastAsia="lv-LV"/>
              </w:rPr>
            </w:pPr>
            <w:r w:rsidRPr="00B35439">
              <w:rPr>
                <w:b/>
                <w:bCs/>
                <w:sz w:val="22"/>
                <w:lang w:eastAsia="lv-LV"/>
              </w:rPr>
              <w:lastRenderedPageBreak/>
              <w:t>14. pants.</w:t>
            </w:r>
            <w:r w:rsidRPr="00B35439">
              <w:rPr>
                <w:bCs/>
                <w:sz w:val="22"/>
                <w:lang w:eastAsia="lv-LV"/>
              </w:rPr>
              <w:t xml:space="preserve"> Ja kapitālsabiedrība ir nokavējusi nodokļa samaksas termiņu, tad par katru nokavēto dienu tiek aprēķināta nokavējuma nauda piecu procentu apmērā no laikā nenomaksātās summas. Ja </w:t>
            </w:r>
            <w:r w:rsidRPr="00B35439">
              <w:rPr>
                <w:bCs/>
                <w:sz w:val="22"/>
                <w:lang w:eastAsia="lv-LV"/>
              </w:rPr>
              <w:lastRenderedPageBreak/>
              <w:t xml:space="preserve">termiņš ir nokavēts ilgāk par 30 dienām, Valsts ieņēmumu dienesta iestādes aptur kapitālsabiedrības darbību izložu un azartspēļu organizēšanā un ierosina anulēt </w:t>
            </w:r>
            <w:r w:rsidRPr="001B6C49">
              <w:rPr>
                <w:bCs/>
                <w:sz w:val="22"/>
                <w:u w:val="single"/>
                <w:lang w:eastAsia="lv-LV"/>
              </w:rPr>
              <w:t>speciālo atļauju (licenci).</w:t>
            </w:r>
          </w:p>
          <w:p w:rsidR="00C64B05" w:rsidRPr="00CA2F3E" w:rsidRDefault="00C64B05" w:rsidP="00C64B05">
            <w:pPr>
              <w:ind w:firstLine="567"/>
              <w:jc w:val="both"/>
              <w:rPr>
                <w:b/>
                <w:bCs/>
                <w:sz w:val="22"/>
                <w:lang w:eastAsia="lv-LV"/>
              </w:rPr>
            </w:pPr>
            <w:r w:rsidRPr="00B35439">
              <w:rPr>
                <w:bCs/>
                <w:sz w:val="22"/>
                <w:lang w:eastAsia="lv-LV"/>
              </w:rPr>
              <w:t xml:space="preserve">Ja </w:t>
            </w:r>
            <w:r w:rsidRPr="001B6C49">
              <w:rPr>
                <w:bCs/>
                <w:sz w:val="22"/>
                <w:u w:val="single"/>
                <w:lang w:eastAsia="lv-LV"/>
              </w:rPr>
              <w:t>speciālā atļauja (licence)</w:t>
            </w:r>
            <w:r w:rsidRPr="00B35439">
              <w:rPr>
                <w:bCs/>
                <w:sz w:val="22"/>
                <w:lang w:eastAsia="lv-LV"/>
              </w:rPr>
              <w:t xml:space="preserve"> tiek anulēta, par tās izsniegšanu samaksātā valsts nodeva netiek atmaksāta.</w:t>
            </w:r>
          </w:p>
        </w:tc>
        <w:tc>
          <w:tcPr>
            <w:tcW w:w="3960" w:type="dxa"/>
          </w:tcPr>
          <w:p w:rsidR="00C64B05" w:rsidRPr="00265009" w:rsidRDefault="00C64B05" w:rsidP="00265009">
            <w:pPr>
              <w:ind w:firstLine="567"/>
              <w:jc w:val="both"/>
              <w:rPr>
                <w:rFonts w:eastAsia="Times New Roman"/>
                <w:sz w:val="22"/>
                <w:lang w:eastAsia="lv-LV"/>
              </w:rPr>
            </w:pPr>
          </w:p>
        </w:tc>
        <w:tc>
          <w:tcPr>
            <w:tcW w:w="567" w:type="dxa"/>
          </w:tcPr>
          <w:p w:rsidR="00C64B05" w:rsidRDefault="00C64B05" w:rsidP="001A7D73">
            <w:pPr>
              <w:jc w:val="center"/>
              <w:rPr>
                <w:b/>
                <w:sz w:val="22"/>
              </w:rPr>
            </w:pPr>
          </w:p>
        </w:tc>
        <w:tc>
          <w:tcPr>
            <w:tcW w:w="3960" w:type="dxa"/>
          </w:tcPr>
          <w:p w:rsidR="00C64B05" w:rsidRPr="00CA2F3E" w:rsidRDefault="00C64B05" w:rsidP="001A7D73">
            <w:pPr>
              <w:ind w:firstLine="567"/>
              <w:jc w:val="both"/>
              <w:rPr>
                <w:b/>
                <w:sz w:val="22"/>
                <w:u w:val="single"/>
              </w:rPr>
            </w:pPr>
          </w:p>
        </w:tc>
        <w:tc>
          <w:tcPr>
            <w:tcW w:w="1420" w:type="dxa"/>
          </w:tcPr>
          <w:p w:rsidR="00C64B05" w:rsidRPr="008E2AF5" w:rsidRDefault="00C64B05" w:rsidP="001A7D73">
            <w:pPr>
              <w:jc w:val="center"/>
              <w:rPr>
                <w:sz w:val="22"/>
              </w:rPr>
            </w:pPr>
          </w:p>
        </w:tc>
        <w:tc>
          <w:tcPr>
            <w:tcW w:w="1420" w:type="dxa"/>
          </w:tcPr>
          <w:p w:rsidR="00C64B05" w:rsidRPr="008E2AF5" w:rsidRDefault="00C64B05" w:rsidP="001A7D73">
            <w:pPr>
              <w:jc w:val="center"/>
              <w:rPr>
                <w:sz w:val="22"/>
              </w:rPr>
            </w:pPr>
          </w:p>
        </w:tc>
      </w:tr>
      <w:tr w:rsidR="003A6642" w:rsidRPr="008E2AF5" w:rsidTr="001A7D73">
        <w:tc>
          <w:tcPr>
            <w:tcW w:w="3960" w:type="dxa"/>
          </w:tcPr>
          <w:p w:rsidR="001B6C49" w:rsidRPr="001B6C49" w:rsidRDefault="001B6C49" w:rsidP="00B35439">
            <w:pPr>
              <w:ind w:firstLine="567"/>
              <w:jc w:val="both"/>
              <w:rPr>
                <w:b/>
                <w:bCs/>
                <w:sz w:val="22"/>
                <w:lang w:eastAsia="lv-LV"/>
              </w:rPr>
            </w:pPr>
            <w:r w:rsidRPr="001B6C49">
              <w:rPr>
                <w:b/>
                <w:bCs/>
                <w:sz w:val="22"/>
                <w:lang w:eastAsia="lv-LV"/>
              </w:rPr>
              <w:lastRenderedPageBreak/>
              <w:t>Pārejas noteikumi</w:t>
            </w:r>
          </w:p>
          <w:p w:rsidR="003A6642" w:rsidRPr="001B6C49" w:rsidRDefault="001B6C49" w:rsidP="00B35439">
            <w:pPr>
              <w:ind w:firstLine="567"/>
              <w:jc w:val="both"/>
              <w:rPr>
                <w:bCs/>
                <w:sz w:val="22"/>
                <w:lang w:eastAsia="lv-LV"/>
              </w:rPr>
            </w:pPr>
            <w:r w:rsidRPr="001B6C49">
              <w:rPr>
                <w:bCs/>
                <w:sz w:val="22"/>
                <w:lang w:eastAsia="lv-LV"/>
              </w:rPr>
              <w:t>12. Grozījums attiecībā uz šā likuma 15.panta izslēgšanu stājas spēkā 2011.gada 1.jūlijā.</w:t>
            </w:r>
          </w:p>
        </w:tc>
        <w:tc>
          <w:tcPr>
            <w:tcW w:w="3960" w:type="dxa"/>
          </w:tcPr>
          <w:p w:rsidR="003A6642" w:rsidRPr="00265009" w:rsidRDefault="003A6642" w:rsidP="00265009">
            <w:pPr>
              <w:ind w:firstLine="567"/>
              <w:jc w:val="both"/>
              <w:rPr>
                <w:rFonts w:eastAsia="Times New Roman"/>
                <w:sz w:val="22"/>
                <w:lang w:eastAsia="lv-LV"/>
              </w:rPr>
            </w:pPr>
          </w:p>
        </w:tc>
        <w:tc>
          <w:tcPr>
            <w:tcW w:w="567" w:type="dxa"/>
          </w:tcPr>
          <w:p w:rsidR="003A6642" w:rsidRPr="008E2AF5" w:rsidRDefault="00C12EC0" w:rsidP="001A7D73">
            <w:pPr>
              <w:jc w:val="center"/>
              <w:rPr>
                <w:b/>
                <w:sz w:val="22"/>
              </w:rPr>
            </w:pPr>
            <w:r>
              <w:rPr>
                <w:b/>
                <w:sz w:val="22"/>
              </w:rPr>
              <w:t>9</w:t>
            </w:r>
          </w:p>
        </w:tc>
        <w:tc>
          <w:tcPr>
            <w:tcW w:w="3960" w:type="dxa"/>
          </w:tcPr>
          <w:p w:rsidR="000B60EF" w:rsidRDefault="000B60EF" w:rsidP="000B60EF">
            <w:pPr>
              <w:ind w:firstLine="567"/>
              <w:jc w:val="both"/>
              <w:rPr>
                <w:sz w:val="22"/>
              </w:rPr>
            </w:pPr>
            <w:r w:rsidRPr="00410A5D">
              <w:rPr>
                <w:b/>
                <w:sz w:val="22"/>
                <w:u w:val="single"/>
              </w:rPr>
              <w:t>Deputāts I.Parādnieks</w:t>
            </w:r>
          </w:p>
          <w:p w:rsidR="003A6642" w:rsidRPr="003A6642" w:rsidRDefault="003A6642" w:rsidP="003A6642">
            <w:pPr>
              <w:ind w:firstLine="567"/>
              <w:jc w:val="both"/>
              <w:rPr>
                <w:sz w:val="22"/>
              </w:rPr>
            </w:pPr>
            <w:r w:rsidRPr="003A6642">
              <w:rPr>
                <w:sz w:val="22"/>
              </w:rPr>
              <w:t>Papildināt likumu ar Pārejas noteikumu 1</w:t>
            </w:r>
            <w:r w:rsidR="00C64B05">
              <w:rPr>
                <w:sz w:val="22"/>
              </w:rPr>
              <w:t>3</w:t>
            </w:r>
            <w:r w:rsidRPr="003A6642">
              <w:rPr>
                <w:sz w:val="22"/>
              </w:rPr>
              <w:t>., 1</w:t>
            </w:r>
            <w:r w:rsidR="00C64B05">
              <w:rPr>
                <w:sz w:val="22"/>
              </w:rPr>
              <w:t>4</w:t>
            </w:r>
            <w:r w:rsidRPr="003A6642">
              <w:rPr>
                <w:sz w:val="22"/>
              </w:rPr>
              <w:t>., 1</w:t>
            </w:r>
            <w:r w:rsidR="00C64B05">
              <w:rPr>
                <w:sz w:val="22"/>
              </w:rPr>
              <w:t>5</w:t>
            </w:r>
            <w:r w:rsidRPr="003A6642">
              <w:rPr>
                <w:sz w:val="22"/>
              </w:rPr>
              <w:t>. un 1</w:t>
            </w:r>
            <w:r w:rsidR="00C64B05">
              <w:rPr>
                <w:sz w:val="22"/>
              </w:rPr>
              <w:t>6</w:t>
            </w:r>
            <w:r w:rsidRPr="003A6642">
              <w:rPr>
                <w:sz w:val="22"/>
              </w:rPr>
              <w:t>.punktu šādā redakcijā:</w:t>
            </w:r>
          </w:p>
          <w:p w:rsidR="003A6642" w:rsidRPr="003A6642" w:rsidRDefault="003A6642" w:rsidP="003A6642">
            <w:pPr>
              <w:ind w:firstLine="567"/>
              <w:jc w:val="both"/>
              <w:rPr>
                <w:sz w:val="22"/>
              </w:rPr>
            </w:pPr>
            <w:r w:rsidRPr="003A6642">
              <w:rPr>
                <w:sz w:val="22"/>
              </w:rPr>
              <w:tab/>
              <w:t>“1</w:t>
            </w:r>
            <w:r w:rsidR="00C64B05">
              <w:rPr>
                <w:sz w:val="22"/>
              </w:rPr>
              <w:t>3</w:t>
            </w:r>
            <w:r w:rsidRPr="003A6642">
              <w:rPr>
                <w:sz w:val="22"/>
              </w:rPr>
              <w:t xml:space="preserve">. Šā likuma 3.panta pirmās daļas 1. un 2.punktā noteikto nodokļa likmi ruletei (cilindriskajai spēlei), kā arī kāršu un kauliņu spēlei par spēļu galdu 20 000 </w:t>
            </w:r>
            <w:r w:rsidRPr="003A6642">
              <w:rPr>
                <w:i/>
                <w:sz w:val="22"/>
              </w:rPr>
              <w:t>euro</w:t>
            </w:r>
            <w:r w:rsidRPr="003A6642">
              <w:rPr>
                <w:sz w:val="22"/>
              </w:rPr>
              <w:t xml:space="preserve"> apmērā, piemēro ar 2018.gada 1.janvāri.</w:t>
            </w:r>
          </w:p>
          <w:p w:rsidR="003A6642" w:rsidRPr="003A6642" w:rsidRDefault="003A6642" w:rsidP="003A6642">
            <w:pPr>
              <w:ind w:firstLine="567"/>
              <w:jc w:val="both"/>
              <w:rPr>
                <w:sz w:val="22"/>
              </w:rPr>
            </w:pPr>
            <w:r w:rsidRPr="003A6642">
              <w:rPr>
                <w:sz w:val="22"/>
              </w:rPr>
              <w:t>1</w:t>
            </w:r>
            <w:r w:rsidR="00C64B05">
              <w:rPr>
                <w:sz w:val="22"/>
              </w:rPr>
              <w:t>4</w:t>
            </w:r>
            <w:r w:rsidRPr="003A6642">
              <w:rPr>
                <w:sz w:val="22"/>
              </w:rPr>
              <w:t>. Līdz dienai, kad atbilstoši šā likuma pārejas noteikumu 1</w:t>
            </w:r>
            <w:r w:rsidR="00C12EC0">
              <w:rPr>
                <w:sz w:val="22"/>
              </w:rPr>
              <w:t>3</w:t>
            </w:r>
            <w:r w:rsidRPr="003A6642">
              <w:rPr>
                <w:sz w:val="22"/>
              </w:rPr>
              <w:t>.punktam sāk piemērot šā likuma 3.panta pirmās daļas 1. un 2.punktā noteikto nodokļa likmi ruletei (cilindriskajai spēlei), kā arī kāršu un kauliņu spēlei par katru spēļu galdu, ruleti (cilindrisko spēli) un kāršu un kauliņu spēli par katru spēļu galdu spēļu galdu apliek ar nodokli:</w:t>
            </w:r>
          </w:p>
          <w:p w:rsidR="003A6642" w:rsidRPr="003A6642" w:rsidRDefault="003A6642" w:rsidP="003A6642">
            <w:pPr>
              <w:ind w:firstLine="567"/>
              <w:jc w:val="both"/>
              <w:rPr>
                <w:sz w:val="22"/>
              </w:rPr>
            </w:pPr>
            <w:r w:rsidRPr="003A6642">
              <w:rPr>
                <w:sz w:val="22"/>
              </w:rPr>
              <w:t>1) no 2016.gada 1.janvāra līdz 201</w:t>
            </w:r>
            <w:r w:rsidR="0064741D">
              <w:rPr>
                <w:sz w:val="22"/>
              </w:rPr>
              <w:t>6</w:t>
            </w:r>
            <w:r w:rsidRPr="003A6642">
              <w:rPr>
                <w:sz w:val="22"/>
              </w:rPr>
              <w:t xml:space="preserve">.gada 31.decembrim – 18 000,00 </w:t>
            </w:r>
            <w:r w:rsidRPr="003A6642">
              <w:rPr>
                <w:i/>
                <w:sz w:val="22"/>
              </w:rPr>
              <w:t>euro</w:t>
            </w:r>
            <w:r w:rsidRPr="003A6642">
              <w:rPr>
                <w:sz w:val="22"/>
              </w:rPr>
              <w:t xml:space="preserve"> apmērā;</w:t>
            </w:r>
          </w:p>
          <w:p w:rsidR="003A6642" w:rsidRPr="003A6642" w:rsidRDefault="003A6642" w:rsidP="003A6642">
            <w:pPr>
              <w:ind w:firstLine="567"/>
              <w:jc w:val="both"/>
              <w:rPr>
                <w:sz w:val="22"/>
              </w:rPr>
            </w:pPr>
            <w:r w:rsidRPr="003A6642">
              <w:rPr>
                <w:sz w:val="22"/>
              </w:rPr>
              <w:t>2) no 2017.gada 1.janvāra līdz 201</w:t>
            </w:r>
            <w:r w:rsidR="0064741D">
              <w:rPr>
                <w:sz w:val="22"/>
              </w:rPr>
              <w:t>7</w:t>
            </w:r>
            <w:r w:rsidRPr="003A6642">
              <w:rPr>
                <w:sz w:val="22"/>
              </w:rPr>
              <w:t xml:space="preserve">.gada 31.decembrim – 19 000,00 </w:t>
            </w:r>
            <w:r w:rsidRPr="003A6642">
              <w:rPr>
                <w:i/>
                <w:sz w:val="22"/>
              </w:rPr>
              <w:t>euro</w:t>
            </w:r>
            <w:r w:rsidRPr="003A6642">
              <w:rPr>
                <w:sz w:val="22"/>
              </w:rPr>
              <w:t xml:space="preserve"> apmērā.</w:t>
            </w:r>
          </w:p>
          <w:p w:rsidR="003A6642" w:rsidRPr="003A6642" w:rsidRDefault="003A6642" w:rsidP="003A6642">
            <w:pPr>
              <w:ind w:firstLine="567"/>
              <w:jc w:val="both"/>
              <w:rPr>
                <w:sz w:val="22"/>
              </w:rPr>
            </w:pPr>
            <w:r w:rsidRPr="003A6642">
              <w:rPr>
                <w:sz w:val="22"/>
              </w:rPr>
              <w:t>1</w:t>
            </w:r>
            <w:r w:rsidR="00C64B05">
              <w:rPr>
                <w:sz w:val="22"/>
              </w:rPr>
              <w:t>5</w:t>
            </w:r>
            <w:r w:rsidRPr="003A6642">
              <w:rPr>
                <w:sz w:val="22"/>
              </w:rPr>
              <w:t xml:space="preserve">. Šā likuma 3.panta pirmās daļas 3.punktā noteikto nodokļa likmi videospēlēm un mehāniskajiem </w:t>
            </w:r>
            <w:r w:rsidRPr="003A6642">
              <w:rPr>
                <w:sz w:val="22"/>
              </w:rPr>
              <w:lastRenderedPageBreak/>
              <w:t xml:space="preserve">automātiem par katra automāta katru spēles vietu 4200,00 </w:t>
            </w:r>
            <w:r w:rsidRPr="003A6642">
              <w:rPr>
                <w:i/>
                <w:sz w:val="22"/>
              </w:rPr>
              <w:t>euro</w:t>
            </w:r>
            <w:r w:rsidRPr="003A6642">
              <w:rPr>
                <w:sz w:val="22"/>
              </w:rPr>
              <w:t xml:space="preserve"> apmērā, piemēro ar 2018.gada 1.janvāri.</w:t>
            </w:r>
          </w:p>
          <w:p w:rsidR="003A6642" w:rsidRPr="003A6642" w:rsidRDefault="003A6642" w:rsidP="003A6642">
            <w:pPr>
              <w:ind w:firstLine="567"/>
              <w:jc w:val="both"/>
              <w:rPr>
                <w:sz w:val="22"/>
              </w:rPr>
            </w:pPr>
            <w:r w:rsidRPr="003A6642">
              <w:rPr>
                <w:sz w:val="22"/>
              </w:rPr>
              <w:t>1</w:t>
            </w:r>
            <w:r w:rsidR="00C64B05">
              <w:rPr>
                <w:sz w:val="22"/>
              </w:rPr>
              <w:t>6</w:t>
            </w:r>
            <w:r w:rsidRPr="003A6642">
              <w:rPr>
                <w:sz w:val="22"/>
              </w:rPr>
              <w:t>. Līdz dienai, kad atbilstoši šā likuma pārejas noteikumu 1</w:t>
            </w:r>
            <w:r w:rsidR="00C12EC0">
              <w:rPr>
                <w:sz w:val="22"/>
              </w:rPr>
              <w:t>5</w:t>
            </w:r>
            <w:r w:rsidRPr="003A6642">
              <w:rPr>
                <w:sz w:val="22"/>
              </w:rPr>
              <w:t>.punktam sāk piemērot šā likuma 3.panta pirmās daļas 3.punktā noteikto nodokļa likmi videospēlēm un mehāniskajiem automātiem par katra automāta katru spēles vietu, videospēles un mehāniskos automātus par katra automāta katru spēles vietu, apliek ar nodokli:</w:t>
            </w:r>
          </w:p>
          <w:p w:rsidR="003A6642" w:rsidRPr="003A6642" w:rsidRDefault="003A6642" w:rsidP="003A6642">
            <w:pPr>
              <w:ind w:firstLine="567"/>
              <w:jc w:val="both"/>
              <w:rPr>
                <w:sz w:val="22"/>
              </w:rPr>
            </w:pPr>
            <w:r w:rsidRPr="003A6642">
              <w:rPr>
                <w:sz w:val="22"/>
              </w:rPr>
              <w:t xml:space="preserve">1) </w:t>
            </w:r>
            <w:r w:rsidR="0064741D">
              <w:rPr>
                <w:sz w:val="22"/>
              </w:rPr>
              <w:t>no 2016.gada 1.janvāra līdz 2016</w:t>
            </w:r>
            <w:r w:rsidRPr="003A6642">
              <w:rPr>
                <w:sz w:val="22"/>
              </w:rPr>
              <w:t xml:space="preserve">.gada 31.decembrim – 3480,00 </w:t>
            </w:r>
            <w:r w:rsidRPr="003A6642">
              <w:rPr>
                <w:i/>
                <w:sz w:val="22"/>
              </w:rPr>
              <w:t>euro</w:t>
            </w:r>
            <w:r w:rsidRPr="003A6642">
              <w:rPr>
                <w:sz w:val="22"/>
              </w:rPr>
              <w:t xml:space="preserve"> apmērā;</w:t>
            </w:r>
          </w:p>
          <w:p w:rsidR="003A6642" w:rsidRPr="003A6642" w:rsidRDefault="003A6642" w:rsidP="0064741D">
            <w:pPr>
              <w:ind w:firstLine="567"/>
              <w:jc w:val="both"/>
              <w:rPr>
                <w:sz w:val="22"/>
              </w:rPr>
            </w:pPr>
            <w:r w:rsidRPr="003A6642">
              <w:rPr>
                <w:sz w:val="22"/>
              </w:rPr>
              <w:t>2) no 2017.gada 1.janvāra līdz 201</w:t>
            </w:r>
            <w:r w:rsidR="0064741D">
              <w:rPr>
                <w:sz w:val="22"/>
              </w:rPr>
              <w:t>7</w:t>
            </w:r>
            <w:bookmarkStart w:id="0" w:name="_GoBack"/>
            <w:bookmarkEnd w:id="0"/>
            <w:r w:rsidRPr="003A6642">
              <w:rPr>
                <w:sz w:val="22"/>
              </w:rPr>
              <w:t xml:space="preserve">.gada 31.decembrim – 3840,00 </w:t>
            </w:r>
            <w:r w:rsidRPr="003A6642">
              <w:rPr>
                <w:i/>
                <w:sz w:val="22"/>
              </w:rPr>
              <w:t>euro</w:t>
            </w:r>
            <w:r w:rsidRPr="003A6642">
              <w:rPr>
                <w:sz w:val="22"/>
              </w:rPr>
              <w:t xml:space="preserve"> apmērā.”</w:t>
            </w:r>
          </w:p>
        </w:tc>
        <w:tc>
          <w:tcPr>
            <w:tcW w:w="1420" w:type="dxa"/>
          </w:tcPr>
          <w:p w:rsidR="003A6642" w:rsidRPr="008E2AF5" w:rsidRDefault="003A6642" w:rsidP="001A7D73">
            <w:pPr>
              <w:jc w:val="center"/>
              <w:rPr>
                <w:sz w:val="22"/>
              </w:rPr>
            </w:pPr>
          </w:p>
        </w:tc>
        <w:tc>
          <w:tcPr>
            <w:tcW w:w="1420" w:type="dxa"/>
          </w:tcPr>
          <w:p w:rsidR="003A6642" w:rsidRPr="008E2AF5" w:rsidRDefault="003A6642" w:rsidP="001A7D73">
            <w:pPr>
              <w:jc w:val="center"/>
              <w:rPr>
                <w:sz w:val="22"/>
              </w:rPr>
            </w:pPr>
          </w:p>
        </w:tc>
      </w:tr>
      <w:tr w:rsidR="00F42992" w:rsidRPr="008E2AF5" w:rsidTr="001A7D73">
        <w:tc>
          <w:tcPr>
            <w:tcW w:w="3960" w:type="dxa"/>
          </w:tcPr>
          <w:p w:rsidR="00F42992" w:rsidRPr="00517E3F" w:rsidRDefault="00F42992" w:rsidP="00833BE7">
            <w:pPr>
              <w:ind w:firstLine="567"/>
              <w:jc w:val="both"/>
              <w:rPr>
                <w:bCs/>
                <w:sz w:val="22"/>
                <w:lang w:eastAsia="lv-LV"/>
              </w:rPr>
            </w:pPr>
          </w:p>
        </w:tc>
        <w:tc>
          <w:tcPr>
            <w:tcW w:w="3960" w:type="dxa"/>
          </w:tcPr>
          <w:p w:rsidR="00F42992" w:rsidRPr="00517E3F" w:rsidRDefault="00265009" w:rsidP="000136E5">
            <w:pPr>
              <w:tabs>
                <w:tab w:val="left" w:pos="1134"/>
              </w:tabs>
              <w:ind w:firstLine="567"/>
              <w:jc w:val="both"/>
              <w:rPr>
                <w:rFonts w:eastAsia="Times New Roman"/>
                <w:color w:val="000000"/>
                <w:sz w:val="22"/>
                <w:lang w:eastAsia="lv-LV"/>
              </w:rPr>
            </w:pPr>
            <w:r w:rsidRPr="00265009">
              <w:rPr>
                <w:rFonts w:eastAsia="Times New Roman"/>
                <w:color w:val="000000"/>
                <w:sz w:val="22"/>
                <w:lang w:eastAsia="lv-LV"/>
              </w:rPr>
              <w:t>Likums stājas spēkā 2016. gada 1. janvārī.</w:t>
            </w:r>
          </w:p>
        </w:tc>
        <w:tc>
          <w:tcPr>
            <w:tcW w:w="567" w:type="dxa"/>
          </w:tcPr>
          <w:p w:rsidR="00F42992" w:rsidRPr="008E2AF5" w:rsidRDefault="00F42992" w:rsidP="001A7D73">
            <w:pPr>
              <w:jc w:val="center"/>
              <w:rPr>
                <w:b/>
                <w:sz w:val="22"/>
              </w:rPr>
            </w:pPr>
          </w:p>
        </w:tc>
        <w:tc>
          <w:tcPr>
            <w:tcW w:w="3960" w:type="dxa"/>
          </w:tcPr>
          <w:p w:rsidR="00F42992" w:rsidRPr="008B4C73"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bl>
    <w:p w:rsidR="007A4333" w:rsidRDefault="007A4333" w:rsidP="00AE0F1E"/>
    <w:sectPr w:rsidR="007A4333" w:rsidSect="00C71E28">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8A" w:rsidRDefault="00037D8A" w:rsidP="004942FE">
      <w:r>
        <w:separator/>
      </w:r>
    </w:p>
  </w:endnote>
  <w:endnote w:type="continuationSeparator" w:id="0">
    <w:p w:rsidR="00037D8A" w:rsidRDefault="00037D8A" w:rsidP="004942FE">
      <w:r>
        <w:continuationSeparator/>
      </w:r>
    </w:p>
  </w:endnote>
  <w:endnote w:id="1">
    <w:p w:rsidR="002C41E5" w:rsidRDefault="002C41E5" w:rsidP="002C41E5">
      <w:pPr>
        <w:pStyle w:val="EndnoteText"/>
      </w:pPr>
      <w:r>
        <w:rPr>
          <w:rStyle w:val="EndnoteReference"/>
        </w:rPr>
        <w:endnoteRef/>
      </w:r>
      <w:r>
        <w:t xml:space="preserve"> </w:t>
      </w:r>
      <w:r w:rsidRPr="002C41E5">
        <w:rPr>
          <w:b/>
          <w:u w:val="single"/>
        </w:rPr>
        <w:t>Deputāta I.Parādnieka priekšlikumu pamatojums.</w:t>
      </w:r>
      <w:r>
        <w:t xml:space="preserve"> </w:t>
      </w:r>
    </w:p>
    <w:p w:rsidR="002C41E5" w:rsidRDefault="002C41E5" w:rsidP="002C41E5">
      <w:pPr>
        <w:pStyle w:val="EndnoteText"/>
      </w:pPr>
      <w:r>
        <w:t xml:space="preserve">Azartspēļu nozare ir saistīta ar īpaši augstu sociālo risku, tādēļ valstij ir nepieciešams veikt regulējošo funkciju, kas daļēji tiek īstenota ar izložu un azartspēļu nodevas un nodokļu palīdzību. Vienlaikus azartspēļu nodevām un nodokļiem ir fiskālā funkcija, kuras uzdevums ir vismaz daļēji nodrošināt ieņēmumus azartspēļu iespējamo negatīvo seku mazināšanai. </w:t>
      </w:r>
    </w:p>
    <w:p w:rsidR="002C41E5" w:rsidRDefault="002C41E5" w:rsidP="002C41E5">
      <w:pPr>
        <w:pStyle w:val="EndnoteText"/>
      </w:pPr>
      <w:r>
        <w:t>Azartspēļu automātu un spēļu galdu neto ieņēmumu īpatsvars pret visu nozari sastāda vairāk nekā 85% no kopējiem nozares ieņēmumiem. Lai sabalansētu nodokļu un nodevu likmes ar vidējo algu pieaugumu valstī un azartspēļu finansiālās darbības apgrozījuma pieaugumu, kā arī palielinātu ieņēmumus valsts budžetā, ar priekšlikumiem piedāvāju palielināt azartspēļu nodokli par katru ruletes rotējošajai iekārtai pievienoto spēļu galdu, par katru kāršu un kauliņu spēles galdu un par katru videospēles un mehāniskā automāta spēles vietu.</w:t>
      </w:r>
    </w:p>
    <w:p w:rsidR="002C41E5" w:rsidRDefault="002C41E5" w:rsidP="002C41E5">
      <w:pPr>
        <w:pStyle w:val="EndnoteText"/>
      </w:pPr>
    </w:p>
    <w:p w:rsidR="002C41E5" w:rsidRDefault="002C41E5" w:rsidP="002C41E5">
      <w:pPr>
        <w:pStyle w:val="EndnoteText"/>
      </w:pPr>
      <w:r>
        <w:t>Četrus gadus, kopš 2012.gada 1.janvāra, azartspēļu nodevu un nodokļu likmes nav mainījušās, kad tās azartspēļu automātiem tika paaugstinātas faktiski tikai par 11,5% (atceļot marķēšanas nodevu). Pa šo laiku Latvijas ekonomiskā izaugsme pēc nominālā iekšzemes kopprodukta IKP ir bijusi ap 13,3% apmērā, iedzīvotāju pirktspēja ir būtiski pieaugusi.</w:t>
      </w:r>
    </w:p>
    <w:p w:rsidR="002C41E5" w:rsidRDefault="002C41E5" w:rsidP="002C41E5">
      <w:pPr>
        <w:pStyle w:val="EndnoteText"/>
      </w:pPr>
    </w:p>
    <w:p w:rsidR="002C41E5" w:rsidRDefault="002C41E5" w:rsidP="002C41E5">
      <w:pPr>
        <w:pStyle w:val="EndnoteText"/>
      </w:pPr>
      <w:r>
        <w:t>Ministru kabineta 2013.gada 27.augusta sēdē izskatītajā informatīvajā ziņojumā „Nodokļu ieņēmumus 2014.-2016.gadam ietekmējošie nodokļu politikas pasākumi” pievienotā protokollēmuma 2.1.2.apakšpunkts noteica - sagatavot grozījumus likumā „Par izložu un azartspēļu nodevu un nodokli”, paredzot par 10 procentiem paaugstināt azartspēļu nodokļa likmi ruletei, kāršu un kauliņu spēlēm (no 17 279,36 eiro uz 19 008 eiro), videospēlēm un mehāniskajiem automātiem (no 3 141,70 eiro uz 3456 eiro) ar 2014.gada 1.janvāri. Šāds likumprojekts ar atbilstošiem grozījumiem tika sagatavots un iesniegts Saeimā, tomēr ar Saeimas balsojumu tika izņemts no budžeta paketes un tālākvirzību 11.Saeimā tā arī vairs neieguva. Likumprojekts ar atbilstošiem grozījumiem ir sagatavots un iesniegts Saeimā kopā ar likumprojektu “Par valsts budžetu 2016.gadam”, un paredz palielināt azartspēļu nodevas un nodokļa likmju apmēru vidēji par 5 procentiem ar 2016.gada 1.janvrāri. Tomēr šāds palielinājums ir būtiski zemāks, nekā sākotnēji bija plānots, tāpēc tas nedos vēlamos budžeta ieņēmumus.</w:t>
      </w:r>
    </w:p>
    <w:p w:rsidR="002C41E5" w:rsidRDefault="002C41E5" w:rsidP="002C41E5">
      <w:pPr>
        <w:pStyle w:val="EndnoteText"/>
      </w:pPr>
    </w:p>
    <w:p w:rsidR="002C41E5" w:rsidRDefault="002C41E5" w:rsidP="002C41E5">
      <w:pPr>
        <w:pStyle w:val="EndnoteText"/>
      </w:pPr>
      <w:r>
        <w:t>Papildus jānorāda, ka azartspēļu iekārtu skaits regulāri aug – 2012.gada trešajā ceturksnī reģistrēti bija 8043 spēļu automāti, savukārt 2015.gada trešajā ceturksnī – jau 8641 spēļu automāti.</w:t>
      </w:r>
    </w:p>
    <w:p w:rsidR="002C41E5" w:rsidRDefault="002C41E5" w:rsidP="002C41E5">
      <w:pPr>
        <w:pStyle w:val="EndnoteText"/>
      </w:pPr>
    </w:p>
    <w:p w:rsidR="002C41E5" w:rsidRDefault="002C41E5" w:rsidP="002C41E5">
      <w:pPr>
        <w:pStyle w:val="EndnoteText"/>
      </w:pPr>
      <w:r>
        <w:t>Tāpat arī peļņas rādītāji azartspēļu nozarei ir pieauguši – no 28,86 miljoniem par 2013.gada deviņiem mēnešiem uz 31,03 miljoniem par 2014.gada deviņiem mēnešiem un 39,28 miljoniem par 2015.gada deviņiem mēnešiem. Tas nozīmē, ka salīdzinoši, par deviņu mēnešu periodu, pieaugums divu gadu laikā ir 65 procenti. Tāpat arī azartspēļu nodoklis pret neto apgrozījumu no azartspēlēm ir krities no 17,92 procentiem 2013.gadā uz 14,95 procentiem 2015.gadā.</w:t>
      </w:r>
    </w:p>
    <w:p w:rsidR="002C41E5" w:rsidRDefault="002C41E5" w:rsidP="002C41E5">
      <w:pPr>
        <w:pStyle w:val="EndnoteText"/>
      </w:pPr>
    </w:p>
    <w:p w:rsidR="002C41E5" w:rsidRDefault="002C41E5" w:rsidP="002C41E5">
      <w:pPr>
        <w:pStyle w:val="EndnoteText"/>
      </w:pPr>
      <w:r>
        <w:t>Priekšlikumi likumprojektam nodrošina valsts fiskālās politikas īstenošanu un valsts budžeta ieņēmumu palielinājumu atbilstoši reālajai sociāli ekonomiskajai situācijai valstī. Minētie grozījumi veicinās sabiedrībā pareizu izpratni par morālajām un tikumiskajām vērtībām, un nodokļu palielinājums radīs iespēju samazināt un novērst azartspēļu atkarīgo skaitu un azartspēļu radītās kaitīgās sekas. Šie grozījumi papildus valsts budžetam dos 1,6 miljonus eiro 2016.gadā un trīs gadu vidēja termiņa ietvara budžetā dos ap 13 miljoniem eiro. Šis papildus finansiālais ieguvums budžetā mērķtiecīgi novirzāms demogrāfiskās situācijas uzlabošanas pasākumiem – atbalstam ģimenēm ar bērniem un to veselības aprūpei.</w:t>
      </w:r>
    </w:p>
    <w:p w:rsidR="002C41E5" w:rsidRDefault="002C41E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037D8A"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41D">
      <w:rPr>
        <w:rStyle w:val="PageNumber"/>
        <w:noProof/>
      </w:rPr>
      <w:t>8</w:t>
    </w:r>
    <w:r>
      <w:rPr>
        <w:rStyle w:val="PageNumber"/>
      </w:rPr>
      <w:fldChar w:fldCharType="end"/>
    </w:r>
  </w:p>
  <w:p w:rsidR="00C71E28" w:rsidRDefault="00037D8A"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8A" w:rsidRDefault="00037D8A" w:rsidP="004942FE">
      <w:r>
        <w:separator/>
      </w:r>
    </w:p>
  </w:footnote>
  <w:footnote w:type="continuationSeparator" w:id="0">
    <w:p w:rsidR="00037D8A" w:rsidRDefault="00037D8A"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2"/>
    <w:rsid w:val="00005471"/>
    <w:rsid w:val="000136E5"/>
    <w:rsid w:val="00037D8A"/>
    <w:rsid w:val="0004543B"/>
    <w:rsid w:val="0008048C"/>
    <w:rsid w:val="000B60EF"/>
    <w:rsid w:val="001217D4"/>
    <w:rsid w:val="0017131B"/>
    <w:rsid w:val="00172AE2"/>
    <w:rsid w:val="001B6C49"/>
    <w:rsid w:val="00231F02"/>
    <w:rsid w:val="00265009"/>
    <w:rsid w:val="002776BC"/>
    <w:rsid w:val="00277AE6"/>
    <w:rsid w:val="002C41E5"/>
    <w:rsid w:val="002D3ECB"/>
    <w:rsid w:val="002E06BB"/>
    <w:rsid w:val="002E3DD8"/>
    <w:rsid w:val="0035641C"/>
    <w:rsid w:val="00362E41"/>
    <w:rsid w:val="003A6642"/>
    <w:rsid w:val="00405509"/>
    <w:rsid w:val="00410A5D"/>
    <w:rsid w:val="00413E31"/>
    <w:rsid w:val="004942FE"/>
    <w:rsid w:val="004D0E5D"/>
    <w:rsid w:val="004D7945"/>
    <w:rsid w:val="00517E3F"/>
    <w:rsid w:val="00546540"/>
    <w:rsid w:val="00581185"/>
    <w:rsid w:val="005B5A41"/>
    <w:rsid w:val="00601A14"/>
    <w:rsid w:val="0064741D"/>
    <w:rsid w:val="0065395D"/>
    <w:rsid w:val="006D4CE4"/>
    <w:rsid w:val="00735F88"/>
    <w:rsid w:val="007A4333"/>
    <w:rsid w:val="00832753"/>
    <w:rsid w:val="00833BE7"/>
    <w:rsid w:val="00860919"/>
    <w:rsid w:val="00874868"/>
    <w:rsid w:val="00901ABE"/>
    <w:rsid w:val="00904C37"/>
    <w:rsid w:val="009241A2"/>
    <w:rsid w:val="009667CE"/>
    <w:rsid w:val="009A2288"/>
    <w:rsid w:val="00A707D6"/>
    <w:rsid w:val="00A752CD"/>
    <w:rsid w:val="00AA55B8"/>
    <w:rsid w:val="00AA62B1"/>
    <w:rsid w:val="00AD563C"/>
    <w:rsid w:val="00AE0F1E"/>
    <w:rsid w:val="00AF04D3"/>
    <w:rsid w:val="00B35439"/>
    <w:rsid w:val="00B81C54"/>
    <w:rsid w:val="00B94ABC"/>
    <w:rsid w:val="00BD321A"/>
    <w:rsid w:val="00BE4A97"/>
    <w:rsid w:val="00C12EC0"/>
    <w:rsid w:val="00C25671"/>
    <w:rsid w:val="00C64B05"/>
    <w:rsid w:val="00CA2F3E"/>
    <w:rsid w:val="00CF5F17"/>
    <w:rsid w:val="00D23675"/>
    <w:rsid w:val="00D74F32"/>
    <w:rsid w:val="00DD04F5"/>
    <w:rsid w:val="00DE6058"/>
    <w:rsid w:val="00E127BE"/>
    <w:rsid w:val="00E1301B"/>
    <w:rsid w:val="00F42992"/>
    <w:rsid w:val="00FA1B01"/>
    <w:rsid w:val="00FE4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 w:type="paragraph" w:styleId="BalloonText">
    <w:name w:val="Balloon Text"/>
    <w:basedOn w:val="Normal"/>
    <w:link w:val="BalloonTextChar"/>
    <w:uiPriority w:val="99"/>
    <w:semiHidden/>
    <w:unhideWhenUsed/>
    <w:rsid w:val="00C12EC0"/>
    <w:rPr>
      <w:rFonts w:ascii="Tahoma" w:hAnsi="Tahoma" w:cs="Tahoma"/>
      <w:sz w:val="16"/>
      <w:szCs w:val="16"/>
    </w:rPr>
  </w:style>
  <w:style w:type="character" w:customStyle="1" w:styleId="BalloonTextChar">
    <w:name w:val="Balloon Text Char"/>
    <w:basedOn w:val="DefaultParagraphFont"/>
    <w:link w:val="BalloonText"/>
    <w:uiPriority w:val="99"/>
    <w:semiHidden/>
    <w:rsid w:val="00C12E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 w:type="paragraph" w:styleId="BalloonText">
    <w:name w:val="Balloon Text"/>
    <w:basedOn w:val="Normal"/>
    <w:link w:val="BalloonTextChar"/>
    <w:uiPriority w:val="99"/>
    <w:semiHidden/>
    <w:unhideWhenUsed/>
    <w:rsid w:val="00C12EC0"/>
    <w:rPr>
      <w:rFonts w:ascii="Tahoma" w:hAnsi="Tahoma" w:cs="Tahoma"/>
      <w:sz w:val="16"/>
      <w:szCs w:val="16"/>
    </w:rPr>
  </w:style>
  <w:style w:type="character" w:customStyle="1" w:styleId="BalloonTextChar">
    <w:name w:val="Balloon Text Char"/>
    <w:basedOn w:val="DefaultParagraphFont"/>
    <w:link w:val="BalloonText"/>
    <w:uiPriority w:val="99"/>
    <w:semiHidden/>
    <w:rsid w:val="00C12E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361">
      <w:bodyDiv w:val="1"/>
      <w:marLeft w:val="0"/>
      <w:marRight w:val="0"/>
      <w:marTop w:val="0"/>
      <w:marBottom w:val="0"/>
      <w:divBdr>
        <w:top w:val="none" w:sz="0" w:space="0" w:color="auto"/>
        <w:left w:val="none" w:sz="0" w:space="0" w:color="auto"/>
        <w:bottom w:val="none" w:sz="0" w:space="0" w:color="auto"/>
        <w:right w:val="none" w:sz="0" w:space="0" w:color="auto"/>
      </w:divBdr>
    </w:div>
    <w:div w:id="74321127">
      <w:bodyDiv w:val="1"/>
      <w:marLeft w:val="0"/>
      <w:marRight w:val="0"/>
      <w:marTop w:val="0"/>
      <w:marBottom w:val="0"/>
      <w:divBdr>
        <w:top w:val="none" w:sz="0" w:space="0" w:color="auto"/>
        <w:left w:val="none" w:sz="0" w:space="0" w:color="auto"/>
        <w:bottom w:val="none" w:sz="0" w:space="0" w:color="auto"/>
        <w:right w:val="none" w:sz="0" w:space="0" w:color="auto"/>
      </w:divBdr>
    </w:div>
    <w:div w:id="152962040">
      <w:bodyDiv w:val="1"/>
      <w:marLeft w:val="0"/>
      <w:marRight w:val="0"/>
      <w:marTop w:val="0"/>
      <w:marBottom w:val="0"/>
      <w:divBdr>
        <w:top w:val="none" w:sz="0" w:space="0" w:color="auto"/>
        <w:left w:val="none" w:sz="0" w:space="0" w:color="auto"/>
        <w:bottom w:val="none" w:sz="0" w:space="0" w:color="auto"/>
        <w:right w:val="none" w:sz="0" w:space="0" w:color="auto"/>
      </w:divBdr>
    </w:div>
    <w:div w:id="211164051">
      <w:bodyDiv w:val="1"/>
      <w:marLeft w:val="0"/>
      <w:marRight w:val="0"/>
      <w:marTop w:val="0"/>
      <w:marBottom w:val="0"/>
      <w:divBdr>
        <w:top w:val="none" w:sz="0" w:space="0" w:color="auto"/>
        <w:left w:val="none" w:sz="0" w:space="0" w:color="auto"/>
        <w:bottom w:val="none" w:sz="0" w:space="0" w:color="auto"/>
        <w:right w:val="none" w:sz="0" w:space="0" w:color="auto"/>
      </w:divBdr>
    </w:div>
    <w:div w:id="281377417">
      <w:bodyDiv w:val="1"/>
      <w:marLeft w:val="0"/>
      <w:marRight w:val="0"/>
      <w:marTop w:val="0"/>
      <w:marBottom w:val="0"/>
      <w:divBdr>
        <w:top w:val="none" w:sz="0" w:space="0" w:color="auto"/>
        <w:left w:val="none" w:sz="0" w:space="0" w:color="auto"/>
        <w:bottom w:val="none" w:sz="0" w:space="0" w:color="auto"/>
        <w:right w:val="none" w:sz="0" w:space="0" w:color="auto"/>
      </w:divBdr>
      <w:divsChild>
        <w:div w:id="665598574">
          <w:marLeft w:val="0"/>
          <w:marRight w:val="0"/>
          <w:marTop w:val="0"/>
          <w:marBottom w:val="0"/>
          <w:divBdr>
            <w:top w:val="none" w:sz="0" w:space="0" w:color="auto"/>
            <w:left w:val="none" w:sz="0" w:space="0" w:color="auto"/>
            <w:bottom w:val="none" w:sz="0" w:space="0" w:color="auto"/>
            <w:right w:val="none" w:sz="0" w:space="0" w:color="auto"/>
          </w:divBdr>
        </w:div>
        <w:div w:id="976103834">
          <w:marLeft w:val="0"/>
          <w:marRight w:val="0"/>
          <w:marTop w:val="0"/>
          <w:marBottom w:val="0"/>
          <w:divBdr>
            <w:top w:val="none" w:sz="0" w:space="0" w:color="auto"/>
            <w:left w:val="none" w:sz="0" w:space="0" w:color="auto"/>
            <w:bottom w:val="none" w:sz="0" w:space="0" w:color="auto"/>
            <w:right w:val="none" w:sz="0" w:space="0" w:color="auto"/>
          </w:divBdr>
        </w:div>
      </w:divsChild>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9138">
      <w:bodyDiv w:val="1"/>
      <w:marLeft w:val="0"/>
      <w:marRight w:val="0"/>
      <w:marTop w:val="0"/>
      <w:marBottom w:val="0"/>
      <w:divBdr>
        <w:top w:val="none" w:sz="0" w:space="0" w:color="auto"/>
        <w:left w:val="none" w:sz="0" w:space="0" w:color="auto"/>
        <w:bottom w:val="none" w:sz="0" w:space="0" w:color="auto"/>
        <w:right w:val="none" w:sz="0" w:space="0" w:color="auto"/>
      </w:divBdr>
    </w:div>
    <w:div w:id="489298387">
      <w:bodyDiv w:val="1"/>
      <w:marLeft w:val="0"/>
      <w:marRight w:val="0"/>
      <w:marTop w:val="0"/>
      <w:marBottom w:val="0"/>
      <w:divBdr>
        <w:top w:val="none" w:sz="0" w:space="0" w:color="auto"/>
        <w:left w:val="none" w:sz="0" w:space="0" w:color="auto"/>
        <w:bottom w:val="none" w:sz="0" w:space="0" w:color="auto"/>
        <w:right w:val="none" w:sz="0" w:space="0" w:color="auto"/>
      </w:divBdr>
    </w:div>
    <w:div w:id="521167325">
      <w:bodyDiv w:val="1"/>
      <w:marLeft w:val="0"/>
      <w:marRight w:val="0"/>
      <w:marTop w:val="0"/>
      <w:marBottom w:val="0"/>
      <w:divBdr>
        <w:top w:val="none" w:sz="0" w:space="0" w:color="auto"/>
        <w:left w:val="none" w:sz="0" w:space="0" w:color="auto"/>
        <w:bottom w:val="none" w:sz="0" w:space="0" w:color="auto"/>
        <w:right w:val="none" w:sz="0" w:space="0" w:color="auto"/>
      </w:divBdr>
    </w:div>
    <w:div w:id="638847324">
      <w:bodyDiv w:val="1"/>
      <w:marLeft w:val="0"/>
      <w:marRight w:val="0"/>
      <w:marTop w:val="0"/>
      <w:marBottom w:val="0"/>
      <w:divBdr>
        <w:top w:val="none" w:sz="0" w:space="0" w:color="auto"/>
        <w:left w:val="none" w:sz="0" w:space="0" w:color="auto"/>
        <w:bottom w:val="none" w:sz="0" w:space="0" w:color="auto"/>
        <w:right w:val="none" w:sz="0" w:space="0" w:color="auto"/>
      </w:divBdr>
    </w:div>
    <w:div w:id="663051514">
      <w:bodyDiv w:val="1"/>
      <w:marLeft w:val="0"/>
      <w:marRight w:val="0"/>
      <w:marTop w:val="0"/>
      <w:marBottom w:val="0"/>
      <w:divBdr>
        <w:top w:val="none" w:sz="0" w:space="0" w:color="auto"/>
        <w:left w:val="none" w:sz="0" w:space="0" w:color="auto"/>
        <w:bottom w:val="none" w:sz="0" w:space="0" w:color="auto"/>
        <w:right w:val="none" w:sz="0" w:space="0" w:color="auto"/>
      </w:divBdr>
    </w:div>
    <w:div w:id="710153716">
      <w:bodyDiv w:val="1"/>
      <w:marLeft w:val="0"/>
      <w:marRight w:val="0"/>
      <w:marTop w:val="0"/>
      <w:marBottom w:val="0"/>
      <w:divBdr>
        <w:top w:val="none" w:sz="0" w:space="0" w:color="auto"/>
        <w:left w:val="none" w:sz="0" w:space="0" w:color="auto"/>
        <w:bottom w:val="none" w:sz="0" w:space="0" w:color="auto"/>
        <w:right w:val="none" w:sz="0" w:space="0" w:color="auto"/>
      </w:divBdr>
    </w:div>
    <w:div w:id="881088320">
      <w:bodyDiv w:val="1"/>
      <w:marLeft w:val="0"/>
      <w:marRight w:val="0"/>
      <w:marTop w:val="0"/>
      <w:marBottom w:val="0"/>
      <w:divBdr>
        <w:top w:val="none" w:sz="0" w:space="0" w:color="auto"/>
        <w:left w:val="none" w:sz="0" w:space="0" w:color="auto"/>
        <w:bottom w:val="none" w:sz="0" w:space="0" w:color="auto"/>
        <w:right w:val="none" w:sz="0" w:space="0" w:color="auto"/>
      </w:divBdr>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780">
      <w:bodyDiv w:val="1"/>
      <w:marLeft w:val="0"/>
      <w:marRight w:val="0"/>
      <w:marTop w:val="0"/>
      <w:marBottom w:val="0"/>
      <w:divBdr>
        <w:top w:val="none" w:sz="0" w:space="0" w:color="auto"/>
        <w:left w:val="none" w:sz="0" w:space="0" w:color="auto"/>
        <w:bottom w:val="none" w:sz="0" w:space="0" w:color="auto"/>
        <w:right w:val="none" w:sz="0" w:space="0" w:color="auto"/>
      </w:divBdr>
    </w:div>
    <w:div w:id="1912537804">
      <w:bodyDiv w:val="1"/>
      <w:marLeft w:val="0"/>
      <w:marRight w:val="0"/>
      <w:marTop w:val="0"/>
      <w:marBottom w:val="0"/>
      <w:divBdr>
        <w:top w:val="none" w:sz="0" w:space="0" w:color="auto"/>
        <w:left w:val="none" w:sz="0" w:space="0" w:color="auto"/>
        <w:bottom w:val="none" w:sz="0" w:space="0" w:color="auto"/>
        <w:right w:val="none" w:sz="0" w:space="0" w:color="auto"/>
      </w:divBdr>
    </w:div>
    <w:div w:id="1987465265">
      <w:bodyDiv w:val="1"/>
      <w:marLeft w:val="0"/>
      <w:marRight w:val="0"/>
      <w:marTop w:val="0"/>
      <w:marBottom w:val="0"/>
      <w:divBdr>
        <w:top w:val="none" w:sz="0" w:space="0" w:color="auto"/>
        <w:left w:val="none" w:sz="0" w:space="0" w:color="auto"/>
        <w:bottom w:val="none" w:sz="0" w:space="0" w:color="auto"/>
        <w:right w:val="none" w:sz="0" w:space="0" w:color="auto"/>
      </w:divBdr>
    </w:div>
    <w:div w:id="2065250604">
      <w:bodyDiv w:val="1"/>
      <w:marLeft w:val="0"/>
      <w:marRight w:val="0"/>
      <w:marTop w:val="0"/>
      <w:marBottom w:val="0"/>
      <w:divBdr>
        <w:top w:val="none" w:sz="0" w:space="0" w:color="auto"/>
        <w:left w:val="none" w:sz="0" w:space="0" w:color="auto"/>
        <w:bottom w:val="none" w:sz="0" w:space="0" w:color="auto"/>
        <w:right w:val="none" w:sz="0" w:space="0" w:color="auto"/>
      </w:divBdr>
    </w:div>
    <w:div w:id="20911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7972-7AD7-44F8-AC68-A27C5BC0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7252</Words>
  <Characters>4134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B-782</dc:creator>
  <cp:lastModifiedBy>B-735</cp:lastModifiedBy>
  <cp:revision>17</cp:revision>
  <cp:lastPrinted>2015-11-09T14:24:00Z</cp:lastPrinted>
  <dcterms:created xsi:type="dcterms:W3CDTF">2015-11-06T17:49:00Z</dcterms:created>
  <dcterms:modified xsi:type="dcterms:W3CDTF">2015-11-10T08:20:00Z</dcterms:modified>
</cp:coreProperties>
</file>