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A3" w:rsidRDefault="00235F6C" w:rsidP="00E826C5">
      <w:pPr>
        <w:spacing w:after="12"/>
        <w:jc w:val="center"/>
        <w:rPr>
          <w:b/>
          <w:color w:val="000000"/>
        </w:rPr>
      </w:pPr>
      <w:bookmarkStart w:id="0" w:name="_GoBack"/>
      <w:bookmarkEnd w:id="0"/>
      <w:r>
        <w:rPr>
          <w:b/>
          <w:color w:val="000000"/>
        </w:rPr>
        <w:t>Mini</w:t>
      </w:r>
      <w:r w:rsidR="00CC3E12">
        <w:rPr>
          <w:b/>
          <w:color w:val="000000"/>
        </w:rPr>
        <w:t>stru kabineta notei</w:t>
      </w:r>
      <w:r>
        <w:rPr>
          <w:b/>
          <w:color w:val="000000"/>
        </w:rPr>
        <w:t xml:space="preserve">kumu </w:t>
      </w:r>
      <w:r w:rsidR="00E826C5" w:rsidRPr="0067061C">
        <w:rPr>
          <w:b/>
          <w:color w:val="000000"/>
        </w:rPr>
        <w:t xml:space="preserve">projekta </w:t>
      </w:r>
    </w:p>
    <w:p w:rsidR="00E826C5" w:rsidRPr="0067061C" w:rsidRDefault="00E826C5" w:rsidP="00E826C5">
      <w:pPr>
        <w:spacing w:after="12"/>
        <w:jc w:val="center"/>
        <w:rPr>
          <w:b/>
          <w:color w:val="000000"/>
        </w:rPr>
      </w:pPr>
      <w:r w:rsidRPr="00885B60">
        <w:rPr>
          <w:b/>
          <w:bCs/>
        </w:rPr>
        <w:t>„</w:t>
      </w:r>
      <w:r w:rsidR="00235F6C" w:rsidRPr="00235F6C">
        <w:rPr>
          <w:b/>
          <w:bCs/>
        </w:rPr>
        <w:t>Kārtība, kādā veicami atskaitījumi Privatizācijas aģentūrai par valsts īpašuma privatizāciju, valsts kapitāla daļu atsavināšanu un citām normatīvajos aktos noteiktajām darbībām, izveidojams un izlietojams rezerves fonds un veicami maksājumi valsts budžetā</w:t>
      </w:r>
      <w:r w:rsidRPr="0067061C">
        <w:rPr>
          <w:b/>
        </w:rPr>
        <w:t>”</w:t>
      </w:r>
      <w:r w:rsidRPr="0067061C">
        <w:rPr>
          <w:b/>
          <w:color w:val="000000"/>
        </w:rPr>
        <w:t xml:space="preserve"> sākotnējās ietekmes novērtējuma ziņojums (anotācija)</w:t>
      </w:r>
    </w:p>
    <w:p w:rsidR="00506F1D" w:rsidRPr="00883DA1" w:rsidRDefault="00506F1D" w:rsidP="00A25063">
      <w:pPr>
        <w:pStyle w:val="naislab"/>
        <w:spacing w:before="0" w:after="0"/>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2268"/>
        <w:gridCol w:w="7035"/>
      </w:tblGrid>
      <w:tr w:rsidR="009A0027" w:rsidRPr="00883DA1" w:rsidTr="00D36916">
        <w:tc>
          <w:tcPr>
            <w:tcW w:w="9786" w:type="dxa"/>
            <w:gridSpan w:val="3"/>
            <w:vAlign w:val="center"/>
          </w:tcPr>
          <w:p w:rsidR="00852042" w:rsidRPr="00883DA1" w:rsidRDefault="00852042" w:rsidP="00A25063">
            <w:pPr>
              <w:pStyle w:val="naisnod"/>
              <w:spacing w:before="0" w:after="0"/>
            </w:pPr>
            <w:r w:rsidRPr="00883DA1">
              <w:t>I</w:t>
            </w:r>
            <w:r w:rsidR="000941C5" w:rsidRPr="00883DA1">
              <w:t>.</w:t>
            </w:r>
            <w:r w:rsidRPr="00883DA1">
              <w:t xml:space="preserve"> Tiesību akta </w:t>
            </w:r>
            <w:r w:rsidR="002E3FF4" w:rsidRPr="00883DA1">
              <w:t xml:space="preserve">projekta </w:t>
            </w:r>
            <w:r w:rsidRPr="00883DA1">
              <w:t>izstrādes nepieciešamība</w:t>
            </w:r>
          </w:p>
        </w:tc>
      </w:tr>
      <w:tr w:rsidR="00883DA1" w:rsidRPr="00883DA1" w:rsidTr="00813AC1">
        <w:trPr>
          <w:trHeight w:val="267"/>
        </w:trPr>
        <w:tc>
          <w:tcPr>
            <w:tcW w:w="483" w:type="dxa"/>
          </w:tcPr>
          <w:p w:rsidR="00262E2B" w:rsidRPr="00883DA1" w:rsidRDefault="00262E2B" w:rsidP="00A25063">
            <w:pPr>
              <w:pStyle w:val="naiskr"/>
              <w:spacing w:before="0" w:after="0"/>
              <w:jc w:val="center"/>
            </w:pPr>
            <w:r w:rsidRPr="00883DA1">
              <w:t>1.</w:t>
            </w:r>
          </w:p>
        </w:tc>
        <w:tc>
          <w:tcPr>
            <w:tcW w:w="2268" w:type="dxa"/>
          </w:tcPr>
          <w:p w:rsidR="00262E2B" w:rsidRPr="00883DA1" w:rsidRDefault="002D7F54" w:rsidP="00A25063">
            <w:pPr>
              <w:pStyle w:val="naiskr"/>
              <w:spacing w:before="0" w:after="0"/>
            </w:pPr>
            <w:r w:rsidRPr="00883DA1">
              <w:t>Pamatojums</w:t>
            </w:r>
          </w:p>
        </w:tc>
        <w:tc>
          <w:tcPr>
            <w:tcW w:w="7035" w:type="dxa"/>
          </w:tcPr>
          <w:p w:rsidR="006B61F9" w:rsidRPr="00151100" w:rsidRDefault="00F71777" w:rsidP="00151100">
            <w:pPr>
              <w:ind w:left="-28"/>
              <w:jc w:val="both"/>
              <w:rPr>
                <w:bCs/>
              </w:rPr>
            </w:pPr>
            <w:r>
              <w:rPr>
                <w:bCs/>
              </w:rPr>
              <w:t xml:space="preserve">Likuma </w:t>
            </w:r>
            <w:r w:rsidR="00244435" w:rsidRPr="00244435">
              <w:rPr>
                <w:bCs/>
              </w:rPr>
              <w:t>„Par valsts un pašvaldību īpašuma obje</w:t>
            </w:r>
            <w:r w:rsidR="00012D87">
              <w:rPr>
                <w:bCs/>
              </w:rPr>
              <w:t>ktu privatizāciju„ 6.panta trešā daļa</w:t>
            </w:r>
            <w:r w:rsidR="00244435" w:rsidRPr="00244435">
              <w:rPr>
                <w:bCs/>
              </w:rPr>
              <w:t>, 11.panta p</w:t>
            </w:r>
            <w:r w:rsidR="00012D87">
              <w:rPr>
                <w:bCs/>
              </w:rPr>
              <w:t>irmā un trešā daļa</w:t>
            </w:r>
            <w:r w:rsidR="00244435" w:rsidRPr="00244435">
              <w:rPr>
                <w:bCs/>
              </w:rPr>
              <w:t xml:space="preserve"> un Publiskas personas kapitāla daļu un kapitālsabiedrību pārvaldības likuma 143.panta trešā daļa.</w:t>
            </w:r>
          </w:p>
        </w:tc>
      </w:tr>
      <w:tr w:rsidR="00E826C5" w:rsidRPr="00883DA1" w:rsidTr="00813AC1">
        <w:trPr>
          <w:trHeight w:val="472"/>
        </w:trPr>
        <w:tc>
          <w:tcPr>
            <w:tcW w:w="483" w:type="dxa"/>
          </w:tcPr>
          <w:p w:rsidR="00E826C5" w:rsidRPr="00883DA1" w:rsidRDefault="00E826C5" w:rsidP="005A6EF3">
            <w:pPr>
              <w:pStyle w:val="naiskr"/>
              <w:spacing w:before="0" w:after="0"/>
              <w:jc w:val="center"/>
            </w:pPr>
            <w:r w:rsidRPr="00883DA1">
              <w:t>2.</w:t>
            </w:r>
          </w:p>
        </w:tc>
        <w:tc>
          <w:tcPr>
            <w:tcW w:w="2268" w:type="dxa"/>
          </w:tcPr>
          <w:p w:rsidR="00E826C5" w:rsidRPr="00883DA1" w:rsidRDefault="00E826C5" w:rsidP="005A6EF3">
            <w:pPr>
              <w:pStyle w:val="naiskr"/>
              <w:spacing w:before="0" w:after="0"/>
            </w:pPr>
            <w:r w:rsidRPr="00883DA1">
              <w:t>Pašreizējā situācija un problēmas, kuru risināšanai tiesību akta projekts izstrādāts, tiesiskā regulējuma mērķis un būtība</w:t>
            </w:r>
          </w:p>
        </w:tc>
        <w:tc>
          <w:tcPr>
            <w:tcW w:w="7035" w:type="dxa"/>
          </w:tcPr>
          <w:p w:rsidR="00935AA8" w:rsidRDefault="009A6B0C" w:rsidP="00D271E8">
            <w:pPr>
              <w:pStyle w:val="NormalWeb"/>
              <w:spacing w:before="0" w:beforeAutospacing="0" w:after="0" w:afterAutospacing="0"/>
              <w:jc w:val="both"/>
              <w:rPr>
                <w:rFonts w:ascii="Times New Roman" w:hAnsi="Times New Roman"/>
                <w:lang w:val="lv-LV"/>
              </w:rPr>
            </w:pPr>
            <w:r w:rsidRPr="00E826C5">
              <w:rPr>
                <w:rFonts w:ascii="Times New Roman" w:hAnsi="Times New Roman"/>
                <w:lang w:val="lv-LV"/>
              </w:rPr>
              <w:t xml:space="preserve">2015.gada </w:t>
            </w:r>
            <w:r w:rsidR="00012D87">
              <w:rPr>
                <w:rFonts w:ascii="Times New Roman" w:hAnsi="Times New Roman"/>
                <w:lang w:val="lv-LV"/>
              </w:rPr>
              <w:t>1.janvārī  stājās</w:t>
            </w:r>
            <w:r w:rsidRPr="00E826C5">
              <w:rPr>
                <w:rFonts w:ascii="Times New Roman" w:hAnsi="Times New Roman"/>
                <w:lang w:val="lv-LV"/>
              </w:rPr>
              <w:t xml:space="preserve"> spēkā Publiskas personas kapitāla daļu un kapitālsabiedrību pārvaldības likums (turpmāk</w:t>
            </w:r>
            <w:r w:rsidR="0098364F">
              <w:rPr>
                <w:rFonts w:ascii="Times New Roman" w:hAnsi="Times New Roman"/>
                <w:lang w:val="lv-LV"/>
              </w:rPr>
              <w:t xml:space="preserve"> – </w:t>
            </w:r>
            <w:r w:rsidR="00CC3E12">
              <w:rPr>
                <w:rFonts w:ascii="Times New Roman" w:hAnsi="Times New Roman"/>
                <w:lang w:val="lv-LV"/>
              </w:rPr>
              <w:t xml:space="preserve">likums). Ar šā likuma spēkā stāšanos spēku zaudēja </w:t>
            </w:r>
            <w:r w:rsidRPr="00E826C5">
              <w:rPr>
                <w:rFonts w:ascii="Times New Roman" w:hAnsi="Times New Roman"/>
                <w:lang w:val="lv-LV"/>
              </w:rPr>
              <w:t xml:space="preserve"> </w:t>
            </w:r>
            <w:r w:rsidR="00CC22A2">
              <w:rPr>
                <w:rFonts w:ascii="Times New Roman" w:hAnsi="Times New Roman"/>
                <w:lang w:val="lv-LV"/>
              </w:rPr>
              <w:t>likums „Par valsts un pašvaldību kapitāla daļām un kapitālsabiedrībām”, kā arī uz tā pamata izdotie normatīvie akti vai to daļas.</w:t>
            </w:r>
          </w:p>
          <w:p w:rsidR="00935AA8" w:rsidRDefault="00CC22A2" w:rsidP="00D271E8">
            <w:pPr>
              <w:pStyle w:val="NormalWeb"/>
              <w:spacing w:before="0" w:beforeAutospacing="0" w:after="0" w:afterAutospacing="0"/>
              <w:jc w:val="both"/>
              <w:rPr>
                <w:rFonts w:ascii="Times New Roman" w:hAnsi="Times New Roman"/>
                <w:lang w:val="lv-LV"/>
              </w:rPr>
            </w:pPr>
            <w:r>
              <w:rPr>
                <w:rFonts w:ascii="Times New Roman" w:hAnsi="Times New Roman"/>
                <w:lang w:val="lv-LV"/>
              </w:rPr>
              <w:t>Attiecīgi spēku daļā</w:t>
            </w:r>
            <w:r w:rsidR="001A20BD">
              <w:rPr>
                <w:rFonts w:ascii="Times New Roman" w:hAnsi="Times New Roman"/>
                <w:lang w:val="lv-LV"/>
              </w:rPr>
              <w:t xml:space="preserve"> par atlīdzības</w:t>
            </w:r>
            <w:r w:rsidR="00012D87">
              <w:rPr>
                <w:rFonts w:ascii="Times New Roman" w:hAnsi="Times New Roman"/>
                <w:lang w:val="lv-LV"/>
              </w:rPr>
              <w:t xml:space="preserve"> (atskaitījumu)</w:t>
            </w:r>
            <w:r w:rsidR="001A20BD">
              <w:rPr>
                <w:rFonts w:ascii="Times New Roman" w:hAnsi="Times New Roman"/>
                <w:lang w:val="lv-LV"/>
              </w:rPr>
              <w:t xml:space="preserve"> apmēru un izmaksas kārtību valsts kapitāla daļu atsavināšanu veicošajai institūcijai,</w:t>
            </w:r>
            <w:r>
              <w:rPr>
                <w:rFonts w:ascii="Times New Roman" w:hAnsi="Times New Roman"/>
                <w:lang w:val="lv-LV"/>
              </w:rPr>
              <w:t xml:space="preserve">  zaudēja arī Ministru kabineta 2011.gada 20.decembra noteikumi Nr.976 „</w:t>
            </w:r>
            <w:r w:rsidRPr="00CC22A2">
              <w:rPr>
                <w:rFonts w:ascii="Times New Roman" w:hAnsi="Times New Roman"/>
                <w:lang w:val="lv-LV"/>
              </w:rPr>
              <w:t>Kārtība, kādā veicami atskaitījumi Privatizācijas aģentūrai par valsts īpašuma privatizāciju, valsts kapitāla daļu atsavināšanu un citām normatīvajos aktos noteiktajām darbībām, izveidojams un izlietojams rezerves fonds un veicami maksājumi valsts budžetā</w:t>
            </w:r>
            <w:r>
              <w:rPr>
                <w:rFonts w:ascii="Times New Roman" w:hAnsi="Times New Roman"/>
                <w:lang w:val="lv-LV"/>
              </w:rPr>
              <w:t>”</w:t>
            </w:r>
            <w:r w:rsidR="001A20BD">
              <w:rPr>
                <w:rFonts w:ascii="Times New Roman" w:hAnsi="Times New Roman"/>
                <w:lang w:val="lv-LV"/>
              </w:rPr>
              <w:t xml:space="preserve"> (turpmāk –</w:t>
            </w:r>
            <w:r w:rsidR="00EF2682">
              <w:rPr>
                <w:rFonts w:ascii="Times New Roman" w:hAnsi="Times New Roman"/>
                <w:lang w:val="lv-LV"/>
              </w:rPr>
              <w:t xml:space="preserve"> notei</w:t>
            </w:r>
            <w:r w:rsidR="001A20BD">
              <w:rPr>
                <w:rFonts w:ascii="Times New Roman" w:hAnsi="Times New Roman"/>
                <w:lang w:val="lv-LV"/>
              </w:rPr>
              <w:t>kumi Nr.976)</w:t>
            </w:r>
            <w:r>
              <w:rPr>
                <w:rFonts w:ascii="Times New Roman" w:hAnsi="Times New Roman"/>
                <w:lang w:val="lv-LV"/>
              </w:rPr>
              <w:t>.</w:t>
            </w:r>
            <w:r w:rsidR="00121851">
              <w:rPr>
                <w:rFonts w:ascii="Times New Roman" w:hAnsi="Times New Roman"/>
                <w:lang w:val="lv-LV"/>
              </w:rPr>
              <w:t xml:space="preserve"> Savukārt </w:t>
            </w:r>
            <w:r>
              <w:rPr>
                <w:rFonts w:ascii="Times New Roman" w:hAnsi="Times New Roman"/>
                <w:lang w:val="lv-LV"/>
              </w:rPr>
              <w:t xml:space="preserve">likuma </w:t>
            </w:r>
            <w:r w:rsidR="00121851">
              <w:rPr>
                <w:rFonts w:ascii="Times New Roman" w:hAnsi="Times New Roman"/>
                <w:lang w:val="lv-LV"/>
              </w:rPr>
              <w:t>143.panta trešajā daļā Ministru kabinetam</w:t>
            </w:r>
            <w:r w:rsidR="00685A9C">
              <w:rPr>
                <w:rFonts w:ascii="Times New Roman" w:hAnsi="Times New Roman"/>
                <w:lang w:val="lv-LV"/>
              </w:rPr>
              <w:t>, noteikt atskaitījumu apmēru, ko valsts kapitālsabiedrība saņem no valsts kapitāla daļu pārdošanā gūtajiem ieņēmumiem</w:t>
            </w:r>
            <w:r w:rsidR="00716F51">
              <w:rPr>
                <w:rFonts w:ascii="Times New Roman" w:hAnsi="Times New Roman"/>
                <w:lang w:val="lv-LV"/>
              </w:rPr>
              <w:t xml:space="preserve"> (turpmāk – atskaitījumi)</w:t>
            </w:r>
            <w:r w:rsidR="00685A9C">
              <w:rPr>
                <w:rFonts w:ascii="Times New Roman" w:hAnsi="Times New Roman"/>
                <w:lang w:val="lv-LV"/>
              </w:rPr>
              <w:t xml:space="preserve">, ja tā ir valsts kapitāla daļu atsavināšanu veicošā institūcija. Atbilstoši likuma </w:t>
            </w:r>
            <w:r w:rsidR="004B0732">
              <w:rPr>
                <w:rFonts w:ascii="Times New Roman" w:hAnsi="Times New Roman"/>
                <w:lang w:val="lv-LV"/>
              </w:rPr>
              <w:t>pārejas noteikumu 2.punkta g)</w:t>
            </w:r>
            <w:r w:rsidR="0098364F">
              <w:rPr>
                <w:rFonts w:ascii="Times New Roman" w:hAnsi="Times New Roman"/>
                <w:lang w:val="lv-LV"/>
              </w:rPr>
              <w:t> </w:t>
            </w:r>
            <w:r w:rsidR="004B0732">
              <w:rPr>
                <w:rFonts w:ascii="Times New Roman" w:hAnsi="Times New Roman"/>
                <w:lang w:val="lv-LV"/>
              </w:rPr>
              <w:t>apakšpunkt</w:t>
            </w:r>
            <w:r w:rsidR="00685A9C">
              <w:rPr>
                <w:rFonts w:ascii="Times New Roman" w:hAnsi="Times New Roman"/>
                <w:lang w:val="lv-LV"/>
              </w:rPr>
              <w:t xml:space="preserve">am, </w:t>
            </w:r>
            <w:r w:rsidR="00716F51">
              <w:rPr>
                <w:rFonts w:ascii="Times New Roman" w:hAnsi="Times New Roman"/>
                <w:lang w:val="lv-LV"/>
              </w:rPr>
              <w:t xml:space="preserve">atskaitījumu apmērs </w:t>
            </w:r>
            <w:r w:rsidR="004B0732">
              <w:rPr>
                <w:rFonts w:ascii="Times New Roman" w:hAnsi="Times New Roman"/>
                <w:lang w:val="lv-LV"/>
              </w:rPr>
              <w:t>Ministru kabinetam</w:t>
            </w:r>
            <w:r w:rsidR="00685A9C">
              <w:rPr>
                <w:rFonts w:ascii="Times New Roman" w:hAnsi="Times New Roman"/>
                <w:lang w:val="lv-LV"/>
              </w:rPr>
              <w:t xml:space="preserve"> jā</w:t>
            </w:r>
            <w:r w:rsidR="00716F51">
              <w:rPr>
                <w:rFonts w:ascii="Times New Roman" w:hAnsi="Times New Roman"/>
                <w:lang w:val="lv-LV"/>
              </w:rPr>
              <w:t>nosaka</w:t>
            </w:r>
            <w:r w:rsidR="004B0732">
              <w:rPr>
                <w:rFonts w:ascii="Times New Roman" w:hAnsi="Times New Roman"/>
                <w:lang w:val="lv-LV"/>
              </w:rPr>
              <w:t xml:space="preserve"> līdz </w:t>
            </w:r>
            <w:r w:rsidR="001A20BD">
              <w:rPr>
                <w:rFonts w:ascii="Times New Roman" w:hAnsi="Times New Roman"/>
                <w:lang w:val="lv-LV"/>
              </w:rPr>
              <w:t>2015.gada 1.oktobrim</w:t>
            </w:r>
            <w:r w:rsidR="00716F51">
              <w:rPr>
                <w:rFonts w:ascii="Times New Roman" w:hAnsi="Times New Roman"/>
                <w:lang w:val="lv-LV"/>
              </w:rPr>
              <w:t>.</w:t>
            </w:r>
            <w:r w:rsidR="00012D87">
              <w:rPr>
                <w:rFonts w:ascii="Times New Roman" w:hAnsi="Times New Roman"/>
                <w:lang w:val="lv-LV"/>
              </w:rPr>
              <w:t xml:space="preserve"> </w:t>
            </w:r>
          </w:p>
          <w:p w:rsidR="00E07B06" w:rsidRDefault="00125934" w:rsidP="00D271E8">
            <w:pPr>
              <w:pStyle w:val="NormalWeb"/>
              <w:spacing w:before="0" w:beforeAutospacing="0" w:after="0" w:afterAutospacing="0"/>
              <w:jc w:val="both"/>
              <w:rPr>
                <w:rFonts w:ascii="Times New Roman" w:hAnsi="Times New Roman"/>
                <w:lang w:val="lv-LV"/>
              </w:rPr>
            </w:pPr>
            <w:r>
              <w:rPr>
                <w:rFonts w:ascii="Times New Roman" w:hAnsi="Times New Roman"/>
                <w:lang w:val="lv-LV"/>
              </w:rPr>
              <w:t>Uzdevuma izpilde nozīmē jauna</w:t>
            </w:r>
            <w:r w:rsidR="00012D87">
              <w:rPr>
                <w:rFonts w:ascii="Times New Roman" w:hAnsi="Times New Roman"/>
                <w:lang w:val="lv-LV"/>
              </w:rPr>
              <w:t>ja</w:t>
            </w:r>
            <w:r>
              <w:rPr>
                <w:rFonts w:ascii="Times New Roman" w:hAnsi="Times New Roman"/>
                <w:lang w:val="lv-LV"/>
              </w:rPr>
              <w:t>m tiesiskaj</w:t>
            </w:r>
            <w:r w:rsidR="00FE26D4">
              <w:rPr>
                <w:rFonts w:ascii="Times New Roman" w:hAnsi="Times New Roman"/>
                <w:lang w:val="lv-LV"/>
              </w:rPr>
              <w:t>a</w:t>
            </w:r>
            <w:r>
              <w:rPr>
                <w:rFonts w:ascii="Times New Roman" w:hAnsi="Times New Roman"/>
                <w:lang w:val="lv-LV"/>
              </w:rPr>
              <w:t>m regulējuma</w:t>
            </w:r>
            <w:r w:rsidR="00012D87">
              <w:rPr>
                <w:rFonts w:ascii="Times New Roman" w:hAnsi="Times New Roman"/>
                <w:lang w:val="lv-LV"/>
              </w:rPr>
              <w:t xml:space="preserve">m </w:t>
            </w:r>
            <w:r>
              <w:rPr>
                <w:rFonts w:ascii="Times New Roman" w:hAnsi="Times New Roman"/>
                <w:lang w:val="lv-LV"/>
              </w:rPr>
              <w:t xml:space="preserve"> atbilstošu </w:t>
            </w:r>
            <w:r w:rsidR="006F16F8">
              <w:rPr>
                <w:rFonts w:ascii="Times New Roman" w:hAnsi="Times New Roman"/>
                <w:lang w:val="lv-LV"/>
              </w:rPr>
              <w:t>Ministru kabineta noteikumu</w:t>
            </w:r>
            <w:r w:rsidR="00734A0C">
              <w:rPr>
                <w:rFonts w:ascii="Times New Roman" w:hAnsi="Times New Roman"/>
                <w:lang w:val="lv-LV"/>
              </w:rPr>
              <w:t xml:space="preserve"> (turpmāk – noteikumu projekts)</w:t>
            </w:r>
            <w:r w:rsidR="006F16F8">
              <w:rPr>
                <w:rFonts w:ascii="Times New Roman" w:hAnsi="Times New Roman"/>
                <w:lang w:val="lv-LV"/>
              </w:rPr>
              <w:t xml:space="preserve"> izdošanu</w:t>
            </w:r>
            <w:r w:rsidR="00716F51">
              <w:rPr>
                <w:rFonts w:ascii="Times New Roman" w:hAnsi="Times New Roman"/>
                <w:lang w:val="lv-LV"/>
              </w:rPr>
              <w:t xml:space="preserve"> jautājumā, kuru</w:t>
            </w:r>
            <w:r>
              <w:rPr>
                <w:rFonts w:ascii="Times New Roman" w:hAnsi="Times New Roman"/>
                <w:lang w:val="lv-LV"/>
              </w:rPr>
              <w:t xml:space="preserve"> iepriekš </w:t>
            </w:r>
            <w:r w:rsidR="006F16F8">
              <w:rPr>
                <w:rFonts w:ascii="Times New Roman" w:hAnsi="Times New Roman"/>
                <w:lang w:val="lv-LV"/>
              </w:rPr>
              <w:t>attiecībā uz atskaitījumu apmēru   regulē</w:t>
            </w:r>
            <w:r>
              <w:rPr>
                <w:rFonts w:ascii="Times New Roman" w:hAnsi="Times New Roman"/>
                <w:lang w:val="lv-LV"/>
              </w:rPr>
              <w:t xml:space="preserve">ja noteikumi Nr.976. </w:t>
            </w:r>
            <w:r w:rsidR="00567B81">
              <w:rPr>
                <w:rFonts w:ascii="Times New Roman" w:hAnsi="Times New Roman"/>
                <w:lang w:val="lv-LV"/>
              </w:rPr>
              <w:t>Sa</w:t>
            </w:r>
            <w:r w:rsidR="001A20BD">
              <w:rPr>
                <w:rFonts w:ascii="Times New Roman" w:hAnsi="Times New Roman"/>
                <w:lang w:val="lv-LV"/>
              </w:rPr>
              <w:t>s</w:t>
            </w:r>
            <w:r w:rsidR="00567B81">
              <w:rPr>
                <w:rFonts w:ascii="Times New Roman" w:hAnsi="Times New Roman"/>
                <w:lang w:val="lv-LV"/>
              </w:rPr>
              <w:t xml:space="preserve">kaņā </w:t>
            </w:r>
            <w:r w:rsidR="0098364F">
              <w:rPr>
                <w:rFonts w:ascii="Times New Roman" w:hAnsi="Times New Roman"/>
                <w:lang w:val="lv-LV"/>
              </w:rPr>
              <w:t xml:space="preserve">ar </w:t>
            </w:r>
            <w:r w:rsidR="00567B81" w:rsidRPr="00567B81">
              <w:rPr>
                <w:rFonts w:ascii="Times New Roman" w:hAnsi="Times New Roman"/>
                <w:lang w:val="lv-LV"/>
              </w:rPr>
              <w:t>likuma</w:t>
            </w:r>
            <w:r w:rsidR="00567B81">
              <w:rPr>
                <w:rFonts w:ascii="Times New Roman" w:hAnsi="Times New Roman"/>
                <w:lang w:val="lv-LV"/>
              </w:rPr>
              <w:t xml:space="preserve"> pārējas noteikumu 12.punkt</w:t>
            </w:r>
            <w:r>
              <w:rPr>
                <w:rFonts w:ascii="Times New Roman" w:hAnsi="Times New Roman"/>
                <w:lang w:val="lv-LV"/>
              </w:rPr>
              <w:t>u</w:t>
            </w:r>
            <w:r w:rsidR="00567B81">
              <w:rPr>
                <w:rFonts w:ascii="Times New Roman" w:hAnsi="Times New Roman"/>
                <w:lang w:val="lv-LV"/>
              </w:rPr>
              <w:t xml:space="preserve"> valsts kapitāla daļu atsavināšanu veicošās institūcijas uzdevumu pilda valsts akciju sabiedrība „Privatizācijas aģentūra”</w:t>
            </w:r>
            <w:r w:rsidR="00E07B06">
              <w:rPr>
                <w:rFonts w:ascii="Times New Roman" w:hAnsi="Times New Roman"/>
                <w:lang w:val="lv-LV"/>
              </w:rPr>
              <w:t xml:space="preserve"> (turpmāk – </w:t>
            </w:r>
            <w:r w:rsidR="0098364F">
              <w:rPr>
                <w:rFonts w:ascii="Times New Roman" w:hAnsi="Times New Roman"/>
                <w:lang w:val="lv-LV"/>
              </w:rPr>
              <w:t>PA</w:t>
            </w:r>
            <w:r w:rsidR="00E07B06">
              <w:rPr>
                <w:rFonts w:ascii="Times New Roman" w:hAnsi="Times New Roman"/>
                <w:lang w:val="lv-LV"/>
              </w:rPr>
              <w:t>)</w:t>
            </w:r>
            <w:r w:rsidR="00567B81">
              <w:rPr>
                <w:rFonts w:ascii="Times New Roman" w:hAnsi="Times New Roman"/>
                <w:lang w:val="lv-LV"/>
              </w:rPr>
              <w:t xml:space="preserve">.  </w:t>
            </w:r>
            <w:r w:rsidR="00EF2682">
              <w:rPr>
                <w:rFonts w:ascii="Times New Roman" w:hAnsi="Times New Roman"/>
                <w:lang w:val="lv-LV"/>
              </w:rPr>
              <w:t xml:space="preserve">Līdz ar to pēc </w:t>
            </w:r>
            <w:r w:rsidR="00E07B06">
              <w:rPr>
                <w:rFonts w:ascii="Times New Roman" w:hAnsi="Times New Roman"/>
                <w:lang w:val="lv-LV"/>
              </w:rPr>
              <w:t xml:space="preserve">būtības jaunais tiesiskais regulējums nemaina </w:t>
            </w:r>
            <w:r w:rsidR="0098364F">
              <w:rPr>
                <w:rFonts w:ascii="Times New Roman" w:hAnsi="Times New Roman"/>
                <w:lang w:val="lv-LV"/>
              </w:rPr>
              <w:t xml:space="preserve">PA </w:t>
            </w:r>
            <w:r w:rsidR="00E07B06">
              <w:rPr>
                <w:rFonts w:ascii="Times New Roman" w:hAnsi="Times New Roman"/>
                <w:lang w:val="lv-LV"/>
              </w:rPr>
              <w:t>noteikumos Nr</w:t>
            </w:r>
            <w:r w:rsidR="00C1499B">
              <w:rPr>
                <w:rFonts w:ascii="Times New Roman" w:hAnsi="Times New Roman"/>
                <w:lang w:val="lv-LV"/>
              </w:rPr>
              <w:t>.976 noteiktās tiesības  un pien</w:t>
            </w:r>
            <w:r w:rsidR="00E07B06">
              <w:rPr>
                <w:rFonts w:ascii="Times New Roman" w:hAnsi="Times New Roman"/>
                <w:lang w:val="lv-LV"/>
              </w:rPr>
              <w:t>ākumus</w:t>
            </w:r>
            <w:r w:rsidR="00716F51">
              <w:rPr>
                <w:rFonts w:ascii="Times New Roman" w:hAnsi="Times New Roman"/>
                <w:lang w:val="lv-LV"/>
              </w:rPr>
              <w:t xml:space="preserve">. </w:t>
            </w:r>
            <w:r w:rsidR="0098364F">
              <w:rPr>
                <w:rFonts w:ascii="Times New Roman" w:hAnsi="Times New Roman"/>
                <w:lang w:val="lv-LV"/>
              </w:rPr>
              <w:t>Ņ</w:t>
            </w:r>
            <w:r w:rsidR="00716F51">
              <w:rPr>
                <w:rFonts w:ascii="Times New Roman" w:hAnsi="Times New Roman"/>
                <w:lang w:val="lv-LV"/>
              </w:rPr>
              <w:t>emot vērā, ka noteikumu Nr.976 spēka zaudēšanas iemesls nav tajos noteikto atskaitījumu apmēru aktualitātes zaudēšana</w:t>
            </w:r>
            <w:r w:rsidR="00E07B06">
              <w:rPr>
                <w:rFonts w:ascii="Times New Roman" w:hAnsi="Times New Roman"/>
                <w:lang w:val="lv-LV"/>
              </w:rPr>
              <w:t xml:space="preserve">, </w:t>
            </w:r>
            <w:r w:rsidR="00716F51">
              <w:rPr>
                <w:rFonts w:ascii="Times New Roman" w:hAnsi="Times New Roman"/>
                <w:lang w:val="lv-LV"/>
              </w:rPr>
              <w:t xml:space="preserve">bet </w:t>
            </w:r>
            <w:r w:rsidR="00734A0C">
              <w:rPr>
                <w:rFonts w:ascii="Times New Roman" w:hAnsi="Times New Roman"/>
                <w:lang w:val="lv-LV"/>
              </w:rPr>
              <w:t xml:space="preserve">gan </w:t>
            </w:r>
            <w:r w:rsidR="00716F51">
              <w:rPr>
                <w:rFonts w:ascii="Times New Roman" w:hAnsi="Times New Roman"/>
                <w:lang w:val="lv-LV"/>
              </w:rPr>
              <w:t xml:space="preserve">tiesību akta, uz kuru pamata tie izdoti, spēka zaudēšana, </w:t>
            </w:r>
            <w:r w:rsidR="0098364F">
              <w:rPr>
                <w:rFonts w:ascii="Times New Roman" w:hAnsi="Times New Roman"/>
                <w:lang w:val="lv-LV"/>
              </w:rPr>
              <w:t xml:space="preserve">tad </w:t>
            </w:r>
            <w:r w:rsidR="00734A0C">
              <w:rPr>
                <w:rFonts w:ascii="Times New Roman" w:hAnsi="Times New Roman"/>
                <w:lang w:val="lv-LV"/>
              </w:rPr>
              <w:t>noteikumu projektā saglabājam</w:t>
            </w:r>
            <w:r w:rsidR="0098364F">
              <w:rPr>
                <w:rFonts w:ascii="Times New Roman" w:hAnsi="Times New Roman"/>
                <w:lang w:val="lv-LV"/>
              </w:rPr>
              <w:t>s</w:t>
            </w:r>
            <w:r w:rsidR="00734A0C">
              <w:rPr>
                <w:rFonts w:ascii="Times New Roman" w:hAnsi="Times New Roman"/>
                <w:lang w:val="lv-LV"/>
              </w:rPr>
              <w:t xml:space="preserve"> </w:t>
            </w:r>
            <w:r w:rsidR="00716F51">
              <w:rPr>
                <w:rFonts w:ascii="Times New Roman" w:hAnsi="Times New Roman"/>
                <w:lang w:val="lv-LV"/>
              </w:rPr>
              <w:t>noteikumos Nr.976 not</w:t>
            </w:r>
            <w:r w:rsidR="00734A0C">
              <w:rPr>
                <w:rFonts w:ascii="Times New Roman" w:hAnsi="Times New Roman"/>
                <w:lang w:val="lv-LV"/>
              </w:rPr>
              <w:t>eikt</w:t>
            </w:r>
            <w:r w:rsidR="0098364F">
              <w:rPr>
                <w:rFonts w:ascii="Times New Roman" w:hAnsi="Times New Roman"/>
                <w:lang w:val="lv-LV"/>
              </w:rPr>
              <w:t>a</w:t>
            </w:r>
            <w:r w:rsidR="00734A0C">
              <w:rPr>
                <w:rFonts w:ascii="Times New Roman" w:hAnsi="Times New Roman"/>
                <w:lang w:val="lv-LV"/>
              </w:rPr>
              <w:t>i</w:t>
            </w:r>
            <w:r w:rsidR="0098364F">
              <w:rPr>
                <w:rFonts w:ascii="Times New Roman" w:hAnsi="Times New Roman"/>
                <w:lang w:val="lv-LV"/>
              </w:rPr>
              <w:t>s</w:t>
            </w:r>
            <w:r w:rsidR="00734A0C">
              <w:rPr>
                <w:rFonts w:ascii="Times New Roman" w:hAnsi="Times New Roman"/>
                <w:lang w:val="lv-LV"/>
              </w:rPr>
              <w:t>. Kā arī ņemot vērā</w:t>
            </w:r>
            <w:r w:rsidR="00CF5BB2">
              <w:rPr>
                <w:rFonts w:ascii="Times New Roman" w:hAnsi="Times New Roman"/>
                <w:lang w:val="lv-LV"/>
              </w:rPr>
              <w:t xml:space="preserve"> to</w:t>
            </w:r>
            <w:r w:rsidR="00734A0C">
              <w:rPr>
                <w:rFonts w:ascii="Times New Roman" w:hAnsi="Times New Roman"/>
                <w:lang w:val="lv-LV"/>
              </w:rPr>
              <w:t>, ka noteikumi Nr.976 ir spēkā daļā, kuras tiesiskais izdošanas pamats ir</w:t>
            </w:r>
            <w:r w:rsidR="00734A0C" w:rsidRPr="00132BA1">
              <w:rPr>
                <w:lang w:val="lv-LV"/>
              </w:rPr>
              <w:t xml:space="preserve"> </w:t>
            </w:r>
            <w:r w:rsidR="00734A0C" w:rsidRPr="00734A0C">
              <w:rPr>
                <w:rFonts w:ascii="Times New Roman" w:hAnsi="Times New Roman"/>
                <w:lang w:val="lv-LV"/>
              </w:rPr>
              <w:t>likuma „Par valsts un pašvaldību īpašuma objekt</w:t>
            </w:r>
            <w:r w:rsidR="00734A0C">
              <w:rPr>
                <w:rFonts w:ascii="Times New Roman" w:hAnsi="Times New Roman"/>
                <w:lang w:val="lv-LV"/>
              </w:rPr>
              <w:t>u privatizāciju</w:t>
            </w:r>
            <w:r w:rsidR="00ED08EB">
              <w:rPr>
                <w:rFonts w:ascii="Times New Roman" w:hAnsi="Times New Roman"/>
                <w:lang w:val="lv-LV"/>
              </w:rPr>
              <w:t>”</w:t>
            </w:r>
            <w:r w:rsidR="00734A0C">
              <w:rPr>
                <w:rFonts w:ascii="Times New Roman" w:hAnsi="Times New Roman"/>
                <w:lang w:val="lv-LV"/>
              </w:rPr>
              <w:t xml:space="preserve"> 6.panta trešaja daļa, 11.panta pirmā un trešā</w:t>
            </w:r>
            <w:r w:rsidR="00734A0C" w:rsidRPr="00734A0C">
              <w:rPr>
                <w:rFonts w:ascii="Times New Roman" w:hAnsi="Times New Roman"/>
                <w:lang w:val="lv-LV"/>
              </w:rPr>
              <w:t xml:space="preserve"> daļā, </w:t>
            </w:r>
            <w:r w:rsidR="00012D87">
              <w:rPr>
                <w:rFonts w:ascii="Times New Roman" w:hAnsi="Times New Roman"/>
                <w:lang w:val="lv-LV"/>
              </w:rPr>
              <w:t xml:space="preserve">un </w:t>
            </w:r>
            <w:r w:rsidR="00CF5BB2">
              <w:rPr>
                <w:rFonts w:ascii="Times New Roman" w:hAnsi="Times New Roman"/>
                <w:lang w:val="lv-LV"/>
              </w:rPr>
              <w:t>kurš nav grozīts, normatīvo aktu sadrumstalotības novēršanai, lietderīgāk noteikumu projektā iekļaut vēl spēkā esošo not</w:t>
            </w:r>
            <w:r w:rsidR="00132BA1">
              <w:rPr>
                <w:rFonts w:ascii="Times New Roman" w:hAnsi="Times New Roman"/>
                <w:lang w:val="lv-LV"/>
              </w:rPr>
              <w:t>ei</w:t>
            </w:r>
            <w:r w:rsidR="00CF5BB2">
              <w:rPr>
                <w:rFonts w:ascii="Times New Roman" w:hAnsi="Times New Roman"/>
                <w:lang w:val="lv-LV"/>
              </w:rPr>
              <w:t xml:space="preserve">kumu Nr.976 daļu, un vienlaikus </w:t>
            </w:r>
            <w:r w:rsidR="00012D87">
              <w:rPr>
                <w:rFonts w:ascii="Times New Roman" w:hAnsi="Times New Roman"/>
                <w:lang w:val="lv-LV"/>
              </w:rPr>
              <w:t>atzīt par spēku zaudējušiem not</w:t>
            </w:r>
            <w:r w:rsidR="00CF5BB2">
              <w:rPr>
                <w:rFonts w:ascii="Times New Roman" w:hAnsi="Times New Roman"/>
                <w:lang w:val="lv-LV"/>
              </w:rPr>
              <w:t>e</w:t>
            </w:r>
            <w:r w:rsidR="00012D87">
              <w:rPr>
                <w:rFonts w:ascii="Times New Roman" w:hAnsi="Times New Roman"/>
                <w:lang w:val="lv-LV"/>
              </w:rPr>
              <w:t>i</w:t>
            </w:r>
            <w:r w:rsidR="00CF5BB2">
              <w:rPr>
                <w:rFonts w:ascii="Times New Roman" w:hAnsi="Times New Roman"/>
                <w:lang w:val="lv-LV"/>
              </w:rPr>
              <w:t xml:space="preserve">kumus Nr.976 kopumā. </w:t>
            </w:r>
            <w:r w:rsidR="00012D87">
              <w:rPr>
                <w:rFonts w:ascii="Times New Roman" w:hAnsi="Times New Roman"/>
                <w:lang w:val="lv-LV"/>
              </w:rPr>
              <w:t>Rezultātā</w:t>
            </w:r>
            <w:r w:rsidR="00E07B06">
              <w:rPr>
                <w:rFonts w:ascii="Times New Roman" w:hAnsi="Times New Roman"/>
                <w:lang w:val="lv-LV"/>
              </w:rPr>
              <w:t xml:space="preserve">, </w:t>
            </w:r>
            <w:r>
              <w:rPr>
                <w:rFonts w:ascii="Times New Roman" w:hAnsi="Times New Roman"/>
                <w:lang w:val="lv-LV"/>
              </w:rPr>
              <w:t>noteikumu projekts saturiski neatšķirsie</w:t>
            </w:r>
            <w:r w:rsidR="00734A0C">
              <w:rPr>
                <w:rFonts w:ascii="Times New Roman" w:hAnsi="Times New Roman"/>
                <w:lang w:val="lv-LV"/>
              </w:rPr>
              <w:t>s</w:t>
            </w:r>
            <w:r w:rsidR="00012D87">
              <w:rPr>
                <w:rFonts w:ascii="Times New Roman" w:hAnsi="Times New Roman"/>
                <w:lang w:val="lv-LV"/>
              </w:rPr>
              <w:t xml:space="preserve"> no noteikumu Nr.976 satura, izņemot </w:t>
            </w:r>
            <w:r w:rsidR="00CF5BB2">
              <w:rPr>
                <w:rFonts w:ascii="Times New Roman" w:hAnsi="Times New Roman"/>
                <w:lang w:val="lv-LV"/>
              </w:rPr>
              <w:t>aktualizācijai nepiecieš</w:t>
            </w:r>
            <w:r w:rsidR="00012D87">
              <w:rPr>
                <w:rFonts w:ascii="Times New Roman" w:hAnsi="Times New Roman"/>
                <w:lang w:val="lv-LV"/>
              </w:rPr>
              <w:t>a</w:t>
            </w:r>
            <w:r w:rsidR="00CF5BB2">
              <w:rPr>
                <w:rFonts w:ascii="Times New Roman" w:hAnsi="Times New Roman"/>
                <w:lang w:val="lv-LV"/>
              </w:rPr>
              <w:t>mas izmaiņas</w:t>
            </w:r>
            <w:r w:rsidR="0098364F">
              <w:rPr>
                <w:rFonts w:ascii="Times New Roman" w:hAnsi="Times New Roman"/>
                <w:lang w:val="lv-LV"/>
              </w:rPr>
              <w:t>.</w:t>
            </w:r>
            <w:r w:rsidR="00012D87">
              <w:rPr>
                <w:rFonts w:ascii="Times New Roman" w:hAnsi="Times New Roman"/>
                <w:lang w:val="lv-LV"/>
              </w:rPr>
              <w:t xml:space="preserve"> Līdz ar </w:t>
            </w:r>
            <w:r w:rsidR="00CF5BB2">
              <w:rPr>
                <w:rFonts w:ascii="Times New Roman" w:hAnsi="Times New Roman"/>
                <w:lang w:val="lv-LV"/>
              </w:rPr>
              <w:t xml:space="preserve"> </w:t>
            </w:r>
            <w:r w:rsidR="00D50CD7">
              <w:rPr>
                <w:rFonts w:ascii="Times New Roman" w:hAnsi="Times New Roman"/>
                <w:lang w:val="lv-LV"/>
              </w:rPr>
              <w:t xml:space="preserve">to </w:t>
            </w:r>
            <w:r w:rsidR="00CF5BB2">
              <w:rPr>
                <w:rFonts w:ascii="Times New Roman" w:hAnsi="Times New Roman"/>
                <w:lang w:val="lv-LV"/>
              </w:rPr>
              <w:t>kopumā noteikumu projekts aizstās noteikum</w:t>
            </w:r>
            <w:r w:rsidR="000F1E6A">
              <w:rPr>
                <w:rFonts w:ascii="Times New Roman" w:hAnsi="Times New Roman"/>
                <w:lang w:val="lv-LV"/>
              </w:rPr>
              <w:t>us Nr.976</w:t>
            </w:r>
            <w:r w:rsidR="009D780F">
              <w:rPr>
                <w:rFonts w:ascii="Times New Roman" w:hAnsi="Times New Roman"/>
                <w:lang w:val="lv-LV"/>
              </w:rPr>
              <w:t>.</w:t>
            </w:r>
            <w:r w:rsidR="00A319F5">
              <w:rPr>
                <w:rFonts w:ascii="Times New Roman" w:hAnsi="Times New Roman"/>
                <w:lang w:val="lv-LV"/>
              </w:rPr>
              <w:t xml:space="preserve"> </w:t>
            </w:r>
            <w:r w:rsidR="00E07B06" w:rsidRPr="00727BB7">
              <w:rPr>
                <w:rFonts w:ascii="Times New Roman" w:hAnsi="Times New Roman"/>
                <w:lang w:val="lv-LV"/>
              </w:rPr>
              <w:t>Ņemot vērā iepriekš</w:t>
            </w:r>
            <w:r w:rsidR="008D481B" w:rsidRPr="00727BB7">
              <w:rPr>
                <w:rFonts w:ascii="Times New Roman" w:hAnsi="Times New Roman"/>
                <w:lang w:val="lv-LV"/>
              </w:rPr>
              <w:t xml:space="preserve"> </w:t>
            </w:r>
            <w:r w:rsidR="00E07B06" w:rsidRPr="00727BB7">
              <w:rPr>
                <w:rFonts w:ascii="Times New Roman" w:hAnsi="Times New Roman"/>
                <w:lang w:val="lv-LV"/>
              </w:rPr>
              <w:t>minēto</w:t>
            </w:r>
            <w:r w:rsidR="004702DA" w:rsidRPr="00727BB7">
              <w:rPr>
                <w:rFonts w:ascii="Times New Roman" w:hAnsi="Times New Roman"/>
                <w:lang w:val="lv-LV"/>
              </w:rPr>
              <w:t xml:space="preserve">, kā arī lai izpildītu </w:t>
            </w:r>
            <w:r w:rsidR="0098364F">
              <w:rPr>
                <w:rFonts w:ascii="Times New Roman" w:hAnsi="Times New Roman"/>
                <w:lang w:val="lv-LV"/>
              </w:rPr>
              <w:t xml:space="preserve">likumā noteikto uzdevumu </w:t>
            </w:r>
            <w:r w:rsidR="004702DA" w:rsidRPr="00727BB7">
              <w:rPr>
                <w:rFonts w:ascii="Times New Roman" w:hAnsi="Times New Roman"/>
                <w:lang w:val="lv-LV"/>
              </w:rPr>
              <w:t xml:space="preserve">Ministru </w:t>
            </w:r>
            <w:r w:rsidR="004702DA" w:rsidRPr="00727BB7">
              <w:rPr>
                <w:rFonts w:ascii="Times New Roman" w:hAnsi="Times New Roman"/>
                <w:lang w:val="lv-LV"/>
              </w:rPr>
              <w:lastRenderedPageBreak/>
              <w:t>kabinetam izdot not</w:t>
            </w:r>
            <w:r w:rsidR="0057365D">
              <w:rPr>
                <w:rFonts w:ascii="Times New Roman" w:hAnsi="Times New Roman"/>
                <w:lang w:val="lv-LV"/>
              </w:rPr>
              <w:t>e</w:t>
            </w:r>
            <w:r w:rsidR="004702DA" w:rsidRPr="00727BB7">
              <w:rPr>
                <w:rFonts w:ascii="Times New Roman" w:hAnsi="Times New Roman"/>
                <w:lang w:val="lv-LV"/>
              </w:rPr>
              <w:t>ikumus, kas aizstāj noteikumus Nr.976</w:t>
            </w:r>
            <w:r w:rsidR="0057365D" w:rsidRPr="00D56A44">
              <w:rPr>
                <w:rFonts w:ascii="Times New Roman" w:hAnsi="Times New Roman"/>
                <w:b/>
                <w:lang w:val="lv-LV"/>
              </w:rPr>
              <w:t xml:space="preserve">, </w:t>
            </w:r>
            <w:r w:rsidR="000B2CE0" w:rsidRPr="00202189">
              <w:rPr>
                <w:rFonts w:ascii="Times New Roman" w:hAnsi="Times New Roman"/>
                <w:lang w:val="lv-LV"/>
              </w:rPr>
              <w:t xml:space="preserve">tad </w:t>
            </w:r>
            <w:r w:rsidR="0057365D" w:rsidRPr="00202189">
              <w:rPr>
                <w:rFonts w:ascii="Times New Roman" w:hAnsi="Times New Roman"/>
                <w:lang w:val="lv-LV"/>
              </w:rPr>
              <w:t xml:space="preserve">noteikumu projektā ietvertās normas </w:t>
            </w:r>
            <w:r w:rsidR="000B2CE0" w:rsidRPr="00202189">
              <w:rPr>
                <w:rFonts w:ascii="Times New Roman" w:hAnsi="Times New Roman"/>
                <w:lang w:val="lv-LV"/>
              </w:rPr>
              <w:t xml:space="preserve">ir saskaņotas </w:t>
            </w:r>
            <w:r w:rsidR="0057365D" w:rsidRPr="00202189">
              <w:rPr>
                <w:rFonts w:ascii="Times New Roman" w:hAnsi="Times New Roman"/>
                <w:lang w:val="lv-LV"/>
              </w:rPr>
              <w:t>ar citos tiesību aktos noteikto.</w:t>
            </w:r>
          </w:p>
          <w:p w:rsidR="00026F61" w:rsidRPr="00026F61" w:rsidRDefault="00026F61" w:rsidP="00026F61">
            <w:pPr>
              <w:pStyle w:val="NormalWeb"/>
              <w:spacing w:before="0" w:beforeAutospacing="0" w:after="0" w:afterAutospacing="0"/>
              <w:jc w:val="both"/>
              <w:rPr>
                <w:rFonts w:ascii="Times New Roman" w:hAnsi="Times New Roman"/>
                <w:u w:val="single"/>
                <w:lang w:val="lv-LV"/>
              </w:rPr>
            </w:pPr>
          </w:p>
          <w:p w:rsidR="00026F61" w:rsidRPr="003C0EE5" w:rsidRDefault="00026F61" w:rsidP="00026F61">
            <w:pPr>
              <w:ind w:hanging="57"/>
              <w:jc w:val="both"/>
            </w:pPr>
            <w:r w:rsidRPr="003C0EE5">
              <w:t>Ņemot vērā, ka likumā „Par valsts un pašvaldību īpašuma objektu privatizāciju” un Valsts un pašvaldību īpašuma privatizācijas un privatizācijas sertifikātu izmantošanas pabeigšanas likumā termins „nekustamais īpašums” un „zemesgabals” lietoti kā atsevišķi jēdzieni, paredzot arī zemesgabalu  privatizācijas procesam atšķirīgus nosacījumus, līdz ar to noteikumu projektā termini lietoti  atbilstoši minētajos likumos noteiktajai terminoloģijai.</w:t>
            </w:r>
          </w:p>
          <w:p w:rsidR="00026F61" w:rsidRPr="00202189" w:rsidRDefault="00026F61" w:rsidP="00D271E8">
            <w:pPr>
              <w:pStyle w:val="NormalWeb"/>
              <w:spacing w:before="0" w:beforeAutospacing="0" w:after="0" w:afterAutospacing="0"/>
              <w:jc w:val="both"/>
              <w:rPr>
                <w:rFonts w:ascii="Times New Roman" w:hAnsi="Times New Roman"/>
                <w:lang w:val="lv-LV"/>
              </w:rPr>
            </w:pPr>
          </w:p>
          <w:p w:rsidR="00D31A4F" w:rsidRDefault="0057365D" w:rsidP="0057365D">
            <w:pPr>
              <w:pStyle w:val="NormalWeb"/>
              <w:spacing w:before="0" w:beforeAutospacing="0" w:after="0" w:afterAutospacing="0"/>
              <w:jc w:val="both"/>
              <w:rPr>
                <w:rFonts w:ascii="Times New Roman" w:hAnsi="Times New Roman"/>
                <w:lang w:val="lv-LV"/>
              </w:rPr>
            </w:pPr>
            <w:r w:rsidRPr="00202189">
              <w:rPr>
                <w:rFonts w:ascii="Times New Roman" w:hAnsi="Times New Roman"/>
                <w:lang w:val="lv-LV"/>
              </w:rPr>
              <w:t>N</w:t>
            </w:r>
            <w:r w:rsidR="004C177C" w:rsidRPr="00202189">
              <w:rPr>
                <w:rFonts w:ascii="Times New Roman" w:hAnsi="Times New Roman"/>
                <w:lang w:val="lv-LV"/>
              </w:rPr>
              <w:t>oteikumu projektā nav ietvertas tās noteikum</w:t>
            </w:r>
            <w:r w:rsidR="000B3E83" w:rsidRPr="00202189">
              <w:rPr>
                <w:rFonts w:ascii="Times New Roman" w:hAnsi="Times New Roman"/>
                <w:lang w:val="lv-LV"/>
              </w:rPr>
              <w:t>os</w:t>
            </w:r>
            <w:r w:rsidR="004C177C" w:rsidRPr="00202189">
              <w:rPr>
                <w:rFonts w:ascii="Times New Roman" w:hAnsi="Times New Roman"/>
                <w:lang w:val="lv-LV"/>
              </w:rPr>
              <w:t xml:space="preserve"> Nr.976 </w:t>
            </w:r>
            <w:r w:rsidR="00B12130" w:rsidRPr="00202189">
              <w:rPr>
                <w:rFonts w:ascii="Times New Roman" w:hAnsi="Times New Roman"/>
                <w:lang w:val="lv-LV"/>
              </w:rPr>
              <w:t xml:space="preserve">ietvertās </w:t>
            </w:r>
            <w:r w:rsidR="003F04A3" w:rsidRPr="00202189">
              <w:rPr>
                <w:rFonts w:ascii="Times New Roman" w:hAnsi="Times New Roman"/>
                <w:lang w:val="lv-LV"/>
              </w:rPr>
              <w:t xml:space="preserve">tiesību </w:t>
            </w:r>
            <w:r w:rsidR="004C177C" w:rsidRPr="00202189">
              <w:rPr>
                <w:rFonts w:ascii="Times New Roman" w:hAnsi="Times New Roman"/>
                <w:lang w:val="lv-LV"/>
              </w:rPr>
              <w:t xml:space="preserve">normas, kuras dublē likuma “Par valsts un pašvaldību īpašuma objektu privatizāciju” 11.panta pirmo daļu, </w:t>
            </w:r>
            <w:r w:rsidR="00A319F5" w:rsidRPr="00202189">
              <w:rPr>
                <w:rFonts w:ascii="Times New Roman" w:hAnsi="Times New Roman"/>
                <w:lang w:val="lv-LV"/>
              </w:rPr>
              <w:t xml:space="preserve">un </w:t>
            </w:r>
            <w:r w:rsidR="004C177C" w:rsidRPr="00202189">
              <w:rPr>
                <w:rFonts w:ascii="Times New Roman" w:hAnsi="Times New Roman"/>
                <w:lang w:val="lv-LV"/>
              </w:rPr>
              <w:t>likuma 143.pantā noteikto regulējumu</w:t>
            </w:r>
            <w:r w:rsidR="000B3E83" w:rsidRPr="00202189">
              <w:rPr>
                <w:rFonts w:ascii="Times New Roman" w:hAnsi="Times New Roman"/>
                <w:lang w:val="lv-LV"/>
              </w:rPr>
              <w:t xml:space="preserve">. </w:t>
            </w:r>
          </w:p>
          <w:p w:rsidR="00D31A4F" w:rsidRDefault="00D31A4F" w:rsidP="0057365D">
            <w:pPr>
              <w:pStyle w:val="NormalWeb"/>
              <w:spacing w:before="0" w:beforeAutospacing="0" w:after="0" w:afterAutospacing="0"/>
              <w:jc w:val="both"/>
              <w:rPr>
                <w:rFonts w:ascii="Times New Roman" w:hAnsi="Times New Roman"/>
                <w:lang w:val="lv-LV"/>
              </w:rPr>
            </w:pPr>
          </w:p>
          <w:p w:rsidR="00D31A4F" w:rsidRPr="003C0EE5" w:rsidRDefault="00D31A4F" w:rsidP="00D31A4F">
            <w:pPr>
              <w:pStyle w:val="ListParagraph"/>
              <w:ind w:left="84"/>
              <w:jc w:val="both"/>
              <w:rPr>
                <w:u w:val="single"/>
                <w:lang w:val="lv-LV"/>
              </w:rPr>
            </w:pPr>
            <w:r w:rsidRPr="003C0EE5">
              <w:rPr>
                <w:lang w:val="lv-LV"/>
              </w:rPr>
              <w:t>Salīdzinot ar noteikumiem Nr. 976, noteikumu projekt</w:t>
            </w:r>
            <w:r w:rsidR="000709B1" w:rsidRPr="003C0EE5">
              <w:rPr>
                <w:lang w:val="lv-LV"/>
              </w:rPr>
              <w:t>ā</w:t>
            </w:r>
            <w:r w:rsidRPr="003C0EE5">
              <w:rPr>
                <w:lang w:val="lv-LV"/>
              </w:rPr>
              <w:t xml:space="preserve">  </w:t>
            </w:r>
            <w:r w:rsidR="00EA0244" w:rsidRPr="003C0EE5">
              <w:rPr>
                <w:lang w:val="lv-LV"/>
              </w:rPr>
              <w:t xml:space="preserve">ir </w:t>
            </w:r>
            <w:r w:rsidRPr="003C0EE5">
              <w:rPr>
                <w:lang w:val="lv-LV"/>
              </w:rPr>
              <w:t>palielināts atskaitījuma apmēr</w:t>
            </w:r>
            <w:r w:rsidR="00EA0244" w:rsidRPr="003C0EE5">
              <w:rPr>
                <w:lang w:val="lv-LV"/>
              </w:rPr>
              <w:t>s</w:t>
            </w:r>
            <w:r w:rsidRPr="003C0EE5">
              <w:rPr>
                <w:lang w:val="lv-LV"/>
              </w:rPr>
              <w:t xml:space="preserve"> no 7 </w:t>
            </w:r>
            <w:r w:rsidR="003C0EE5">
              <w:rPr>
                <w:lang w:val="lv-LV"/>
              </w:rPr>
              <w:t xml:space="preserve">uz </w:t>
            </w:r>
            <w:r w:rsidRPr="003C0EE5">
              <w:rPr>
                <w:lang w:val="lv-LV"/>
              </w:rPr>
              <w:t>50 procentiem</w:t>
            </w:r>
            <w:r w:rsidR="00EA0244" w:rsidRPr="003C0EE5">
              <w:rPr>
                <w:lang w:val="lv-LV"/>
              </w:rPr>
              <w:t xml:space="preserve">. Atskaitījuma apmēra palielinājumam </w:t>
            </w:r>
            <w:r w:rsidRPr="003C0EE5">
              <w:rPr>
                <w:lang w:val="lv-LV"/>
              </w:rPr>
              <w:t xml:space="preserve">Ekonomikas ministrija </w:t>
            </w:r>
            <w:r w:rsidR="00EA0244" w:rsidRPr="003C0EE5">
              <w:rPr>
                <w:lang w:val="lv-LV"/>
              </w:rPr>
              <w:t xml:space="preserve">ir sniegusi šādu </w:t>
            </w:r>
            <w:r w:rsidRPr="003C0EE5">
              <w:rPr>
                <w:lang w:val="lv-LV"/>
              </w:rPr>
              <w:t xml:space="preserve">pamatojumu. </w:t>
            </w:r>
          </w:p>
          <w:p w:rsidR="00D31A4F" w:rsidRPr="003C0EE5" w:rsidRDefault="00D31A4F" w:rsidP="00D31A4F">
            <w:pPr>
              <w:ind w:left="84"/>
              <w:jc w:val="both"/>
            </w:pPr>
            <w:r w:rsidRPr="003C0EE5">
              <w:t xml:space="preserve">2015.gadā (dati uz 01.10.2015.) PA ir noslēgusi 38 zemesgabalu pirkuma līgumus un 6 valsts īpašuma objektu pirkuma līgumus par kopējo summu 799 477 </w:t>
            </w:r>
            <w:r w:rsidR="003C0EE5" w:rsidRPr="003C0EE5">
              <w:rPr>
                <w:i/>
              </w:rPr>
              <w:t>euro</w:t>
            </w:r>
            <w:r w:rsidRPr="003C0EE5">
              <w:t>. Uz 2015.gada 1.oktobri P</w:t>
            </w:r>
            <w:r w:rsidR="00EA0244" w:rsidRPr="003C0EE5">
              <w:t xml:space="preserve">A </w:t>
            </w:r>
            <w:r w:rsidRPr="003C0EE5">
              <w:t>valdījumā ir 668 zemesgabali vai to domājamās daļas un 45 valsts īpašuma objekti (atsevišķas ēkas un būves vai ēkas un būves kopā ar zemi). 2016.gada laikā no Valsts ieņēmumu dienesta un citām valsts institūcijām plānots pārņemt vēl 22 valsts īpašuma objektus.</w:t>
            </w:r>
          </w:p>
          <w:p w:rsidR="00D31A4F" w:rsidRPr="003C0EE5" w:rsidRDefault="00D31A4F" w:rsidP="00D31A4F">
            <w:pPr>
              <w:ind w:left="84"/>
              <w:jc w:val="both"/>
            </w:pPr>
            <w:r w:rsidRPr="003C0EE5">
              <w:t>No visiem P</w:t>
            </w:r>
            <w:r w:rsidR="00EA0244" w:rsidRPr="003C0EE5">
              <w:t xml:space="preserve">A </w:t>
            </w:r>
            <w:r w:rsidRPr="003C0EE5">
              <w:t>valdījumā esošiem zemesgabaliem 60% jeb 404 gab. ir zemes domājamās daļas, kas atrodas zem dzīvojamām mājām (pirmpirkuma tiesības dzīvokļu īpašniekiem) un garāžām. Par šiem zemesgabaliem tiek saņemti nomas maksājumi un paralēli turpināts to privatizācijas process. Lielākajai daļai šo subjektu vismaz vienu reizi ir bijis izstrādāts un nosūtīts privatizācijas paziņojums likumā noteiktajā kārtībā. Privatizācijas procesu kavē subjektu vājā interese par šo objektu privatizāciju, jo lielākajā daļā gadījumu saskaņā ar Ministru kabineta 2007.gada 30.oktobra noteikumiem Nr.735 “Noteikumi par publiskas personas zemes nomu”, apbūvēta zemesgabala vai tā daļas minimālā nomas maksa ir 28 euro gadā, kas nerada vēlmi slēgt pirkuma līgumus.</w:t>
            </w:r>
          </w:p>
          <w:p w:rsidR="00D31A4F" w:rsidRPr="003C0EE5" w:rsidRDefault="00D31A4F" w:rsidP="00D31A4F">
            <w:pPr>
              <w:ind w:left="84"/>
              <w:jc w:val="both"/>
            </w:pPr>
            <w:r w:rsidRPr="003C0EE5">
              <w:t>40 % no apbūvētiem zemesgabaliem jeb 264 gab. plānots privatizēt tuvāko gadu laikā, šobrīd P</w:t>
            </w:r>
            <w:r w:rsidR="00EA0244" w:rsidRPr="003C0EE5">
              <w:t>A Z</w:t>
            </w:r>
            <w:r w:rsidRPr="003C0EE5">
              <w:t>emes un nekustamā īpašuma dienests veic šo objektu sagatavošanu.</w:t>
            </w:r>
          </w:p>
          <w:p w:rsidR="00115564" w:rsidRDefault="00D31A4F" w:rsidP="00D31A4F">
            <w:pPr>
              <w:ind w:left="84"/>
              <w:jc w:val="both"/>
            </w:pPr>
            <w:r w:rsidRPr="003C0EE5">
              <w:t xml:space="preserve">Laika posmā no 2016.-2018.gadam plānots privatizēt 54 zemesgabalus un 26 nekustamos īpašumus par kopējo summu 10 098 903 </w:t>
            </w:r>
            <w:r w:rsidRPr="003C0EE5">
              <w:rPr>
                <w:i/>
              </w:rPr>
              <w:t>e</w:t>
            </w:r>
            <w:r w:rsidR="003C0EE5" w:rsidRPr="003C0EE5">
              <w:rPr>
                <w:i/>
              </w:rPr>
              <w:t>uro</w:t>
            </w:r>
            <w:r w:rsidRPr="003C0EE5">
              <w:t>. Kopējie P</w:t>
            </w:r>
            <w:r w:rsidR="00EA0244" w:rsidRPr="003C0EE5">
              <w:t xml:space="preserve">A </w:t>
            </w:r>
            <w:r w:rsidRPr="003C0EE5">
              <w:t xml:space="preserve">ieņēmumi no nekustamā īpašuma un zemesgabalu privatizācijas, dzīvokļu atsavināšanas un nomas 2016.gadā plānoti </w:t>
            </w:r>
          </w:p>
          <w:p w:rsidR="00E01478" w:rsidRDefault="00D31A4F" w:rsidP="00D31A4F">
            <w:pPr>
              <w:ind w:left="84"/>
              <w:jc w:val="both"/>
            </w:pPr>
            <w:r w:rsidRPr="003C0EE5">
              <w:t xml:space="preserve">5 451 270 </w:t>
            </w:r>
            <w:r w:rsidRPr="00115564">
              <w:rPr>
                <w:i/>
              </w:rPr>
              <w:t>e</w:t>
            </w:r>
            <w:r w:rsidR="00115564" w:rsidRPr="00115564">
              <w:rPr>
                <w:i/>
              </w:rPr>
              <w:t>uro</w:t>
            </w:r>
            <w:r w:rsidR="00115564">
              <w:t xml:space="preserve"> </w:t>
            </w:r>
            <w:r w:rsidRPr="003C0EE5">
              <w:t xml:space="preserve">apmērā. Pēc normatīvo atskaitījumu aprēķināšanas un rezerves fonda papildināšanas valsts budžetā plānots ieskaitīt </w:t>
            </w:r>
            <w:r w:rsidR="00115564">
              <w:t> </w:t>
            </w:r>
            <w:r w:rsidRPr="003C0EE5">
              <w:t>3</w:t>
            </w:r>
            <w:r w:rsidR="00115564">
              <w:t> </w:t>
            </w:r>
            <w:r w:rsidRPr="003C0EE5">
              <w:t>129</w:t>
            </w:r>
            <w:r w:rsidR="00115564">
              <w:t> </w:t>
            </w:r>
            <w:r w:rsidRPr="003C0EE5">
              <w:t xml:space="preserve">840 </w:t>
            </w:r>
            <w:r w:rsidRPr="00115564">
              <w:rPr>
                <w:i/>
              </w:rPr>
              <w:t>e</w:t>
            </w:r>
            <w:r w:rsidR="00115564" w:rsidRPr="00115564">
              <w:rPr>
                <w:i/>
              </w:rPr>
              <w:t>u</w:t>
            </w:r>
            <w:r w:rsidRPr="00115564">
              <w:rPr>
                <w:i/>
              </w:rPr>
              <w:t>ro</w:t>
            </w:r>
            <w:r w:rsidRPr="003C0EE5">
              <w:t xml:space="preserve">. </w:t>
            </w:r>
          </w:p>
          <w:p w:rsidR="00E01478" w:rsidRDefault="00E01478" w:rsidP="00D31A4F">
            <w:pPr>
              <w:ind w:left="84"/>
              <w:jc w:val="both"/>
            </w:pPr>
          </w:p>
          <w:p w:rsidR="00D31A4F" w:rsidRPr="003C0EE5" w:rsidRDefault="00D31A4F" w:rsidP="00D31A4F">
            <w:pPr>
              <w:ind w:left="84"/>
              <w:jc w:val="both"/>
            </w:pPr>
            <w:r w:rsidRPr="003C0EE5">
              <w:t xml:space="preserve">Kopā laika periodā no 2016.-2018.gadam valsts budžetā plānots </w:t>
            </w:r>
            <w:r w:rsidRPr="003C0EE5">
              <w:lastRenderedPageBreak/>
              <w:t xml:space="preserve">ieskaitīt </w:t>
            </w:r>
            <w:r w:rsidR="00184171" w:rsidRPr="00184171">
              <w:rPr>
                <w:b/>
              </w:rPr>
              <w:t xml:space="preserve">ne mazāk kā </w:t>
            </w:r>
            <w:r w:rsidRPr="00184171">
              <w:rPr>
                <w:b/>
              </w:rPr>
              <w:t xml:space="preserve">6 808 035 </w:t>
            </w:r>
            <w:r w:rsidRPr="00184171">
              <w:rPr>
                <w:b/>
                <w:i/>
              </w:rPr>
              <w:t>e</w:t>
            </w:r>
            <w:r w:rsidR="00115564" w:rsidRPr="00184171">
              <w:rPr>
                <w:b/>
                <w:i/>
              </w:rPr>
              <w:t>u</w:t>
            </w:r>
            <w:r w:rsidRPr="00184171">
              <w:rPr>
                <w:b/>
                <w:i/>
              </w:rPr>
              <w:t>ro</w:t>
            </w:r>
            <w:r w:rsidRPr="00184171">
              <w:rPr>
                <w:b/>
              </w:rPr>
              <w:t>.</w:t>
            </w:r>
          </w:p>
          <w:p w:rsidR="00D31A4F" w:rsidRPr="003C0EE5" w:rsidRDefault="00D31A4F" w:rsidP="00D31A4F">
            <w:pPr>
              <w:ind w:left="84"/>
              <w:jc w:val="both"/>
            </w:pPr>
            <w:r w:rsidRPr="003C0EE5">
              <w:t xml:space="preserve">Normatīvā atskaitījuma palielināšana no 7 </w:t>
            </w:r>
            <w:r w:rsidR="003C0EE5">
              <w:t xml:space="preserve">uz </w:t>
            </w:r>
            <w:r w:rsidRPr="003C0EE5">
              <w:t>50 procentiem nodrošinātu P</w:t>
            </w:r>
            <w:r w:rsidR="00EA0244" w:rsidRPr="003C0EE5">
              <w:t xml:space="preserve">A </w:t>
            </w:r>
            <w:r w:rsidRPr="003C0EE5">
              <w:t>izdevumu segšanu, kas saistīti ar valsts īpašuma privatizāciju saskaņā ar likumu “Par valsts un pašvaldību īpašuma objektu privatizāciju” un Valsts un pašvaldību īpašuma privatizācijas un privatizācijas sertifikātu izmantošanas pabeigšanas likumu</w:t>
            </w:r>
            <w:r w:rsidR="00115564">
              <w:t>.</w:t>
            </w:r>
          </w:p>
          <w:p w:rsidR="00EA0244" w:rsidRDefault="00EA0244" w:rsidP="00D31A4F">
            <w:pPr>
              <w:ind w:left="84"/>
              <w:jc w:val="both"/>
              <w:rPr>
                <w:b/>
              </w:rPr>
            </w:pPr>
          </w:p>
          <w:p w:rsidR="001D2356" w:rsidRPr="003C0EE5" w:rsidRDefault="001D2356" w:rsidP="001D2356">
            <w:pPr>
              <w:ind w:left="84"/>
              <w:jc w:val="both"/>
            </w:pPr>
            <w:r w:rsidRPr="003C0EE5">
              <w:t>Anotācijas p</w:t>
            </w:r>
            <w:r w:rsidR="00DB08BC" w:rsidRPr="003C0EE5">
              <w:t>ielikumā pievieno</w:t>
            </w:r>
            <w:r w:rsidRPr="003C0EE5">
              <w:t>ta</w:t>
            </w:r>
            <w:r w:rsidR="00DB08BC" w:rsidRPr="003C0EE5">
              <w:t xml:space="preserve"> tabul</w:t>
            </w:r>
            <w:r w:rsidRPr="003C0EE5">
              <w:t>a</w:t>
            </w:r>
            <w:r w:rsidR="00DB08BC" w:rsidRPr="003C0EE5">
              <w:t xml:space="preserve">, kurā </w:t>
            </w:r>
            <w:r w:rsidRPr="003C0EE5">
              <w:t xml:space="preserve">norādīta </w:t>
            </w:r>
            <w:r w:rsidR="00E01478">
              <w:t xml:space="preserve">PA </w:t>
            </w:r>
            <w:r w:rsidR="00DB08BC" w:rsidRPr="003C0EE5">
              <w:t>sniegt</w:t>
            </w:r>
            <w:r w:rsidRPr="003C0EE5">
              <w:t>ā</w:t>
            </w:r>
            <w:r w:rsidR="00DB08BC" w:rsidRPr="003C0EE5">
              <w:t xml:space="preserve"> informācija par prognozējamajiem ieņēmumiem salīdzinājumā pa gadiem. </w:t>
            </w:r>
          </w:p>
          <w:p w:rsidR="001D2356" w:rsidRPr="003C0EE5" w:rsidRDefault="001D2356" w:rsidP="001D2356">
            <w:pPr>
              <w:ind w:left="84"/>
              <w:jc w:val="both"/>
              <w:rPr>
                <w:bCs/>
              </w:rPr>
            </w:pPr>
            <w:r w:rsidRPr="003C0EE5">
              <w:t xml:space="preserve">PA </w:t>
            </w:r>
            <w:r w:rsidR="00DB08BC" w:rsidRPr="003C0EE5">
              <w:t xml:space="preserve">nodrošina </w:t>
            </w:r>
            <w:r w:rsidR="00DB08BC" w:rsidRPr="003C0EE5">
              <w:rPr>
                <w:bCs/>
              </w:rPr>
              <w:t>valsts pensiju speciālajam budžetam</w:t>
            </w:r>
            <w:r w:rsidR="00DB08BC" w:rsidRPr="003C0EE5">
              <w:t xml:space="preserve"> nodoto valsts kapitāla daļu atsavināšanu un paredzamie kopējie ieņēmumi no valsts kapitāla daļu pārdošanas laika periodā no 2016.-2018.gadam plānoti 8’793’113 </w:t>
            </w:r>
            <w:r w:rsidR="00DB08BC" w:rsidRPr="003C0EE5">
              <w:rPr>
                <w:i/>
                <w:iCs/>
              </w:rPr>
              <w:t>euro</w:t>
            </w:r>
            <w:r w:rsidR="00DB08BC" w:rsidRPr="003C0EE5">
              <w:t xml:space="preserve"> apmērā, pie nosacījuma, ka Ministru kabinets pieņems rīkojumu par AS “Valmieras stikla šķiedra”, AS “Grindex” un AS</w:t>
            </w:r>
            <w:r w:rsidR="00115564">
              <w:t> </w:t>
            </w:r>
            <w:r w:rsidR="00DB08BC" w:rsidRPr="003C0EE5">
              <w:t xml:space="preserve">“Latvijas kuģniecība” valsts kapitāla daļu pārdošanu. No kapitāla daļu pārdošanas 2016.gadā plānoti ieņēmumi 1’038’763 </w:t>
            </w:r>
            <w:r w:rsidR="00DB08BC" w:rsidRPr="003C0EE5">
              <w:rPr>
                <w:i/>
                <w:iCs/>
              </w:rPr>
              <w:t>euro</w:t>
            </w:r>
            <w:r w:rsidR="00DB08BC" w:rsidRPr="003C0EE5">
              <w:t xml:space="preserve"> apmērā, 2017.gadā 7’444’352 </w:t>
            </w:r>
            <w:r w:rsidR="00DB08BC" w:rsidRPr="003C0EE5">
              <w:rPr>
                <w:i/>
                <w:iCs/>
              </w:rPr>
              <w:t>euro</w:t>
            </w:r>
            <w:r w:rsidR="00DB08BC" w:rsidRPr="003C0EE5">
              <w:t xml:space="preserve"> apmērā un 2018.gadā 309’998 </w:t>
            </w:r>
            <w:r w:rsidR="00DB08BC" w:rsidRPr="003C0EE5">
              <w:rPr>
                <w:i/>
                <w:iCs/>
              </w:rPr>
              <w:t>euro</w:t>
            </w:r>
            <w:r w:rsidR="00DB08BC" w:rsidRPr="003C0EE5">
              <w:t xml:space="preserve"> apmērā. Attiecīgi minētie i</w:t>
            </w:r>
            <w:r w:rsidR="00DB08BC" w:rsidRPr="003C0EE5">
              <w:rPr>
                <w:bCs/>
              </w:rPr>
              <w:t>eņēmumi, atskaitot atskaitījumus, no pārdošanas saskaņā ar likuma 144.panta trešo daļu tiks ieskaitīti valsts pensiju speciālajā budžetā.</w:t>
            </w:r>
            <w:r w:rsidRPr="003C0EE5">
              <w:rPr>
                <w:bCs/>
              </w:rPr>
              <w:t xml:space="preserve"> </w:t>
            </w:r>
          </w:p>
          <w:p w:rsidR="001D2356" w:rsidRDefault="00DA2F0D" w:rsidP="001D2356">
            <w:pPr>
              <w:ind w:left="84"/>
              <w:jc w:val="both"/>
            </w:pPr>
            <w:r w:rsidRPr="00202189">
              <w:t xml:space="preserve">Ņemot vērā Ekonomikas ministrijas atzinumā norādīto, ka privatizējamo un atsavināmo valsts īpašumu novērtēšanas izdevumi </w:t>
            </w:r>
            <w:r w:rsidR="000B2CE0" w:rsidRPr="00202189">
              <w:t xml:space="preserve">PA </w:t>
            </w:r>
            <w:r w:rsidRPr="00202189">
              <w:t>ir sedzami pēc to faktiskā apmēra, tad noteikumu projekta 1</w:t>
            </w:r>
            <w:r w:rsidR="000709B1">
              <w:t>2</w:t>
            </w:r>
            <w:r w:rsidRPr="00202189">
              <w:t xml:space="preserve">.punkts ir izteikts Ekonomikas ministrijas piedāvātajā redakcijā. </w:t>
            </w:r>
          </w:p>
          <w:p w:rsidR="00E12156" w:rsidRPr="00202189" w:rsidRDefault="00D6235D" w:rsidP="001D2356">
            <w:pPr>
              <w:ind w:left="84"/>
              <w:jc w:val="both"/>
            </w:pPr>
            <w:r w:rsidRPr="00202189">
              <w:t>Noteikumu Nr.976 18.punkts noteic, ka privatizācijas, likvidācijas un kapitāla daļu atsavināšanas lietas vešanai un juridiskajiem pakalpojumiem, valsts īpašuma (izņemot nekustamos īpašumus un zemi) privatizācijas noteikumu, konkursa noteikumu, līguma un citu ar tiem saistīto dokumentu nosacījumu izpildes nodrošināšanai, pamatojoties uz valsts īpašumu lietas nodošanas un pieņemšanas aktu, noteikti šādi atskaitījumu normatīvi (ja valsts kapitāla daļa privātā kapitālsabiedrībā ir mazāka par 25 procentiem, minētos normatīvus reizina ar koeficientu 0,75). Tāpat noteikumu Nr.976  22. un 23.punktā noteikts gan 25 procentu apmērs, gan piemērojamais koeficients 0,75.</w:t>
            </w:r>
            <w:r w:rsidR="00DB609F" w:rsidRPr="00202189">
              <w:t xml:space="preserve"> </w:t>
            </w:r>
            <w:r w:rsidRPr="00202189">
              <w:t xml:space="preserve">Ņemot vērā </w:t>
            </w:r>
            <w:r w:rsidR="00E12156" w:rsidRPr="00202189">
              <w:t>Ekonomikas ministrijas atzinumā</w:t>
            </w:r>
            <w:r w:rsidRPr="00202189">
              <w:t xml:space="preserve"> norādīt</w:t>
            </w:r>
            <w:r w:rsidR="00DA2F0D" w:rsidRPr="00202189">
              <w:t>o</w:t>
            </w:r>
            <w:r w:rsidRPr="00202189">
              <w:t xml:space="preserve">, ka </w:t>
            </w:r>
            <w:r w:rsidR="00E12156" w:rsidRPr="00202189">
              <w:t>neatkarīgi no valsts līdzdalības apmēra privātā kapitālsabiedrībā P</w:t>
            </w:r>
            <w:r w:rsidR="000B2CE0" w:rsidRPr="00202189">
              <w:t xml:space="preserve">A </w:t>
            </w:r>
            <w:r w:rsidR="00E12156" w:rsidRPr="00202189">
              <w:t>veiktais darba apjoms nemainās un tas ir līdzvērtīgs abās salīdzināmās situācijās</w:t>
            </w:r>
            <w:r w:rsidRPr="00202189">
              <w:t>, tad noteikumu projekt</w:t>
            </w:r>
            <w:r w:rsidR="000709B1">
              <w:t xml:space="preserve">ā </w:t>
            </w:r>
            <w:r w:rsidR="00DB609F" w:rsidRPr="00202189">
              <w:t>nav saglabāts noteikumu Nr.976 18., 22. un 23.punktā noteiktais “ja valsts kapitāla daļa privātā kapitālsabiedrībā ir mazāka par 25</w:t>
            </w:r>
            <w:r w:rsidR="000B2CE0" w:rsidRPr="00202189">
              <w:t> </w:t>
            </w:r>
            <w:r w:rsidR="00DB609F" w:rsidRPr="00202189">
              <w:t>procentiem, minētos normatīvus reizina ar koeficientu 0,75</w:t>
            </w:r>
            <w:r w:rsidR="00115564">
              <w:t>”</w:t>
            </w:r>
            <w:r w:rsidR="00DB609F" w:rsidRPr="00202189">
              <w:t xml:space="preserve">.    </w:t>
            </w:r>
          </w:p>
          <w:p w:rsidR="00B23EF2" w:rsidRPr="00115564" w:rsidRDefault="00F53E6F" w:rsidP="00E85EC3">
            <w:pPr>
              <w:contextualSpacing/>
              <w:jc w:val="both"/>
              <w:rPr>
                <w:color w:val="000000"/>
              </w:rPr>
            </w:pPr>
            <w:r w:rsidRPr="00202189">
              <w:t xml:space="preserve">Salīdzinājumā ar noteikumu Nr.976 27.punktu, </w:t>
            </w:r>
            <w:r w:rsidRPr="00115564">
              <w:t>a</w:t>
            </w:r>
            <w:r w:rsidR="00E85EC3" w:rsidRPr="00115564">
              <w:t xml:space="preserve">tbilstoši </w:t>
            </w:r>
            <w:r w:rsidR="009C118F" w:rsidRPr="00115564">
              <w:t>Ekonomikas ministrija</w:t>
            </w:r>
            <w:r w:rsidR="00E85EC3" w:rsidRPr="00115564">
              <w:t>s</w:t>
            </w:r>
            <w:r w:rsidR="009C118F" w:rsidRPr="00115564">
              <w:t xml:space="preserve"> </w:t>
            </w:r>
            <w:r w:rsidR="00E85EC3" w:rsidRPr="00115564">
              <w:t xml:space="preserve">atzinumā norādītajam, </w:t>
            </w:r>
            <w:r w:rsidR="009C118F" w:rsidRPr="00115564">
              <w:t xml:space="preserve">noteikumu projekta </w:t>
            </w:r>
            <w:r w:rsidR="000709B1" w:rsidRPr="00115564">
              <w:t>18</w:t>
            </w:r>
            <w:r w:rsidR="009C118F" w:rsidRPr="00115564">
              <w:t xml:space="preserve">.punkts papildināts </w:t>
            </w:r>
            <w:r w:rsidRPr="00115564">
              <w:t xml:space="preserve">ar jaunu regulējumu, </w:t>
            </w:r>
            <w:r w:rsidR="000709B1" w:rsidRPr="00115564">
              <w:t>18</w:t>
            </w:r>
            <w:r w:rsidR="00B23EF2" w:rsidRPr="00115564">
              <w:t>.1</w:t>
            </w:r>
            <w:r w:rsidR="00202189" w:rsidRPr="00115564">
              <w:t>3</w:t>
            </w:r>
            <w:r w:rsidR="00B23EF2" w:rsidRPr="00115564">
              <w:t>.apakšpunktā nosakot</w:t>
            </w:r>
            <w:r w:rsidRPr="00115564">
              <w:t xml:space="preserve">, ka rezerves fonda līdzekļus izlieto </w:t>
            </w:r>
            <w:r w:rsidR="009C118F" w:rsidRPr="00115564">
              <w:rPr>
                <w:color w:val="000000"/>
              </w:rPr>
              <w:t>aģentūras valdījumā pārņemto privatizējamo valsts īpašumu nodokļu un nodevu maksājumu segšanai (atbilstoši minēto izdevumu faktiskajam apmēram), ja tos nav iespējams segt no valsts īpašuma nomnieka vai privatizācijas subjekta līdzekļiem.</w:t>
            </w:r>
          </w:p>
          <w:p w:rsidR="00E85EC3" w:rsidRPr="00202189" w:rsidRDefault="00E85EC3" w:rsidP="00E85EC3">
            <w:pPr>
              <w:contextualSpacing/>
              <w:jc w:val="both"/>
              <w:rPr>
                <w:color w:val="000000"/>
              </w:rPr>
            </w:pPr>
            <w:r w:rsidRPr="00202189">
              <w:rPr>
                <w:color w:val="000000"/>
              </w:rPr>
              <w:t>Tādējādi ir ņemt</w:t>
            </w:r>
            <w:r w:rsidR="00F53E6F" w:rsidRPr="00202189">
              <w:rPr>
                <w:color w:val="000000"/>
              </w:rPr>
              <w:t>a</w:t>
            </w:r>
            <w:r w:rsidRPr="00202189">
              <w:rPr>
                <w:color w:val="000000"/>
              </w:rPr>
              <w:t xml:space="preserve"> vērā noteikumu Nr.976 piemērošanā konstatētā nepieciešamība precizēt tiesisko regulējumu. </w:t>
            </w:r>
            <w:r w:rsidR="00F53E6F" w:rsidRPr="00202189">
              <w:rPr>
                <w:color w:val="000000"/>
              </w:rPr>
              <w:t>Kā norādīts Ekonomikas ministrijas atzinumā, tad P</w:t>
            </w:r>
            <w:r w:rsidR="000B2CE0" w:rsidRPr="00202189">
              <w:rPr>
                <w:color w:val="000000"/>
              </w:rPr>
              <w:t xml:space="preserve">A </w:t>
            </w:r>
            <w:r w:rsidRPr="00202189">
              <w:rPr>
                <w:color w:val="000000"/>
              </w:rPr>
              <w:t xml:space="preserve">maksā </w:t>
            </w:r>
            <w:r w:rsidR="00F53E6F" w:rsidRPr="00202189">
              <w:rPr>
                <w:color w:val="000000"/>
              </w:rPr>
              <w:t xml:space="preserve">nekustamā īpašuma nodokli (turpmāk – </w:t>
            </w:r>
            <w:r w:rsidRPr="00202189">
              <w:rPr>
                <w:color w:val="000000"/>
              </w:rPr>
              <w:t>NĪN</w:t>
            </w:r>
            <w:r w:rsidR="00F53E6F" w:rsidRPr="00202189">
              <w:rPr>
                <w:color w:val="000000"/>
              </w:rPr>
              <w:t xml:space="preserve">) </w:t>
            </w:r>
            <w:r w:rsidRPr="00202189">
              <w:rPr>
                <w:color w:val="000000"/>
              </w:rPr>
              <w:t xml:space="preserve"> atbilstoši pašvaldību izrakstītajiem NĪN maksāšanas paziņojumiem. Ja attiecīgajam nekustamajam īpašumam ir nomnieks, tad atbilstoši nomas līgumiem </w:t>
            </w:r>
            <w:r w:rsidR="000B2CE0" w:rsidRPr="00202189">
              <w:rPr>
                <w:color w:val="000000"/>
              </w:rPr>
              <w:t xml:space="preserve">PA </w:t>
            </w:r>
            <w:r w:rsidRPr="00202189">
              <w:rPr>
                <w:color w:val="000000"/>
              </w:rPr>
              <w:t xml:space="preserve">izraksta subjektiem rēķinus par tā nomu, kuros norāda par attiecīgo nekustamo īpašumu maksājamo NĪN. Ja nomas līgumu subjekti veic maksājumus atbilstoši izrakstītajiem rēķiniem, tad </w:t>
            </w:r>
            <w:r w:rsidR="00F53E6F" w:rsidRPr="00202189">
              <w:rPr>
                <w:color w:val="000000"/>
              </w:rPr>
              <w:t>P</w:t>
            </w:r>
            <w:r w:rsidR="000B2CE0" w:rsidRPr="00202189">
              <w:rPr>
                <w:color w:val="000000"/>
              </w:rPr>
              <w:t xml:space="preserve">A </w:t>
            </w:r>
            <w:r w:rsidRPr="00202189">
              <w:rPr>
                <w:color w:val="000000"/>
              </w:rPr>
              <w:t xml:space="preserve">atgūst rēķinos norādīto un pašvaldībām pārskaitīto NĪN summu. Taču, ja nomas līgumu subjekti nemaksā rēķinus, tad pašvaldībām pārskaitīto NĪN summu atgūšana pilnā apmērā ir apgrūtināta vai, atsevišķos gadījumos, pat neiespējama.  Papildus jānorāda, ka </w:t>
            </w:r>
            <w:r w:rsidR="000B2CE0" w:rsidRPr="00202189">
              <w:rPr>
                <w:color w:val="000000"/>
              </w:rPr>
              <w:t xml:space="preserve">PA </w:t>
            </w:r>
            <w:r w:rsidRPr="00202189">
              <w:rPr>
                <w:color w:val="000000"/>
              </w:rPr>
              <w:t xml:space="preserve">maksā NĪN arī par neiznomātiem valstij piederošiem un piekrītošiem nekustamajiem īpašumiem. Tāpat </w:t>
            </w:r>
            <w:r w:rsidR="000B2CE0" w:rsidRPr="00202189">
              <w:rPr>
                <w:color w:val="000000"/>
              </w:rPr>
              <w:t xml:space="preserve">PA </w:t>
            </w:r>
            <w:r w:rsidRPr="00202189">
              <w:rPr>
                <w:color w:val="000000"/>
              </w:rPr>
              <w:t xml:space="preserve">izraksta rēķinus nomas līgumu subjektiem par valstij piederošo un piekrītošo nekustamo īpašumu nomu ar PVN. Līdz nākamā mēneša 20.datumam </w:t>
            </w:r>
            <w:r w:rsidR="000B2CE0" w:rsidRPr="00202189">
              <w:rPr>
                <w:color w:val="000000"/>
              </w:rPr>
              <w:t xml:space="preserve">PA </w:t>
            </w:r>
            <w:r w:rsidRPr="00202189">
              <w:rPr>
                <w:color w:val="000000"/>
              </w:rPr>
              <w:t xml:space="preserve">pārskaita rēķinos norādīto PVN summu valsts budžetā no naudas līdzekļiem, kas pieejami tās bankas kontos. Ja nomas līgumu subjekti veic maksājumus atbilstoši izrakstītajiem rēķiniem, tad </w:t>
            </w:r>
            <w:r w:rsidR="000B2CE0" w:rsidRPr="00202189">
              <w:rPr>
                <w:color w:val="000000"/>
              </w:rPr>
              <w:t xml:space="preserve">PA </w:t>
            </w:r>
            <w:r w:rsidRPr="00202189">
              <w:rPr>
                <w:color w:val="000000"/>
              </w:rPr>
              <w:t>atgūst rēķinos norādīto un valsts budžetā pārskaitīto PVN summu. Taču, ja nomas līgumu subjekti savlaicīgi nemaksā rēķinus, tad valstij pārskaitīto PVN summu atgūšana pilnā apmērā ir apgrūtināta vai atsevišķos gadījumos pat neiespējama.</w:t>
            </w:r>
          </w:p>
          <w:p w:rsidR="000B2CE0" w:rsidRDefault="000B2CE0" w:rsidP="00E85EC3">
            <w:pPr>
              <w:contextualSpacing/>
              <w:jc w:val="both"/>
              <w:rPr>
                <w:b/>
                <w:color w:val="000000"/>
              </w:rPr>
            </w:pPr>
          </w:p>
          <w:p w:rsidR="0060421B" w:rsidRDefault="00B23EF2" w:rsidP="005C688A">
            <w:pPr>
              <w:contextualSpacing/>
              <w:jc w:val="both"/>
            </w:pPr>
            <w:r w:rsidRPr="00202189">
              <w:t>Noteikumu Nr.976 2</w:t>
            </w:r>
            <w:r w:rsidR="00202189" w:rsidRPr="00202189">
              <w:t>0</w:t>
            </w:r>
            <w:r w:rsidRPr="00202189">
              <w:t>.5.apakšpunktā noteikts, ka šajos noteikumos minētajiem aģentūrai paredzētajiem atskaitījumiem par katru valsts īpašumu tādā apmērā, kas nav nosedzams no attiecīgā īpašuma pārdošanas ieņēmumiem. Pēc attiecīgā valsts īpašuma pārdošanas vai papildu ieņēmumu saņemšanas līdzekļi, kas saņemti avansā no rezerves fonda, pārskaitāmi atpakaļ aģentūras rezerves fondā. Ņemot vērā Ekonomikas ministrijas atzinumā piedāvāto redakciju, tad noteikumu projekt</w:t>
            </w:r>
            <w:r w:rsidR="00E52D42">
              <w:t>s</w:t>
            </w:r>
            <w:r w:rsidRPr="00202189">
              <w:t xml:space="preserve"> ir redakcionāli precizēts.</w:t>
            </w:r>
          </w:p>
          <w:p w:rsidR="005C688A" w:rsidRPr="00E80835" w:rsidRDefault="005C688A" w:rsidP="005C688A">
            <w:pPr>
              <w:contextualSpacing/>
              <w:jc w:val="both"/>
            </w:pPr>
          </w:p>
        </w:tc>
      </w:tr>
      <w:tr w:rsidR="00E826C5" w:rsidRPr="00883DA1" w:rsidTr="004702DA">
        <w:trPr>
          <w:trHeight w:val="585"/>
        </w:trPr>
        <w:tc>
          <w:tcPr>
            <w:tcW w:w="483" w:type="dxa"/>
            <w:shd w:val="clear" w:color="auto" w:fill="auto"/>
          </w:tcPr>
          <w:p w:rsidR="00E826C5" w:rsidRPr="004702DA" w:rsidRDefault="00E826C5" w:rsidP="005A6EF3">
            <w:pPr>
              <w:pStyle w:val="naiskr"/>
              <w:spacing w:before="0" w:after="0"/>
              <w:jc w:val="center"/>
            </w:pPr>
            <w:r w:rsidRPr="004702DA">
              <w:lastRenderedPageBreak/>
              <w:t>3.</w:t>
            </w:r>
          </w:p>
        </w:tc>
        <w:tc>
          <w:tcPr>
            <w:tcW w:w="2268" w:type="dxa"/>
          </w:tcPr>
          <w:p w:rsidR="00E826C5" w:rsidRPr="004702DA" w:rsidRDefault="00E826C5" w:rsidP="005A6EF3">
            <w:pPr>
              <w:pStyle w:val="naiskr"/>
              <w:spacing w:before="0" w:after="0"/>
            </w:pPr>
            <w:r w:rsidRPr="004702DA">
              <w:t>Projekta izstrādē iesaistītās institūcijas</w:t>
            </w:r>
          </w:p>
        </w:tc>
        <w:tc>
          <w:tcPr>
            <w:tcW w:w="7035" w:type="dxa"/>
          </w:tcPr>
          <w:p w:rsidR="00E826C5" w:rsidRPr="00F75C5A" w:rsidRDefault="00EF2682" w:rsidP="005C688A">
            <w:pPr>
              <w:spacing w:after="120"/>
              <w:jc w:val="both"/>
            </w:pPr>
            <w:r>
              <w:t>Pārresoru koordinācijas centrs</w:t>
            </w:r>
            <w:r w:rsidR="005C688A">
              <w:t>,</w:t>
            </w:r>
            <w:r w:rsidR="00471571">
              <w:t xml:space="preserve"> </w:t>
            </w:r>
            <w:r w:rsidR="005C688A" w:rsidRPr="007E159B">
              <w:rPr>
                <w:b/>
              </w:rPr>
              <w:t>E</w:t>
            </w:r>
            <w:r w:rsidR="00471571" w:rsidRPr="007E159B">
              <w:rPr>
                <w:b/>
              </w:rPr>
              <w:t>konomikas ministrija</w:t>
            </w:r>
            <w:r w:rsidR="005C688A" w:rsidRPr="007E159B">
              <w:rPr>
                <w:b/>
              </w:rPr>
              <w:t xml:space="preserve"> (VAS „Privatizācijas aģentūra”) un Finanšu ministrija.</w:t>
            </w:r>
          </w:p>
        </w:tc>
      </w:tr>
      <w:tr w:rsidR="00E826C5" w:rsidRPr="00883DA1" w:rsidTr="0009223E">
        <w:tc>
          <w:tcPr>
            <w:tcW w:w="483" w:type="dxa"/>
          </w:tcPr>
          <w:p w:rsidR="00E826C5" w:rsidRPr="004702DA" w:rsidRDefault="00E826C5" w:rsidP="005A6EF3">
            <w:pPr>
              <w:pStyle w:val="naiskr"/>
              <w:spacing w:before="0" w:after="0"/>
              <w:jc w:val="center"/>
            </w:pPr>
            <w:r w:rsidRPr="004702DA">
              <w:t>4.</w:t>
            </w:r>
          </w:p>
        </w:tc>
        <w:tc>
          <w:tcPr>
            <w:tcW w:w="2268" w:type="dxa"/>
          </w:tcPr>
          <w:p w:rsidR="00E826C5" w:rsidRPr="004702DA" w:rsidRDefault="00E826C5" w:rsidP="005A6EF3">
            <w:pPr>
              <w:pStyle w:val="naiskr"/>
              <w:spacing w:before="0" w:after="0"/>
            </w:pPr>
            <w:r w:rsidRPr="004702DA">
              <w:t>Cita informācija</w:t>
            </w:r>
          </w:p>
        </w:tc>
        <w:tc>
          <w:tcPr>
            <w:tcW w:w="7035" w:type="dxa"/>
          </w:tcPr>
          <w:p w:rsidR="00E826C5" w:rsidRPr="0067061C" w:rsidRDefault="00FE26D4" w:rsidP="008C6A87">
            <w:pPr>
              <w:jc w:val="both"/>
              <w:rPr>
                <w:bCs/>
              </w:rPr>
            </w:pPr>
            <w:r>
              <w:rPr>
                <w:bCs/>
              </w:rPr>
              <w:t>Ar noteikumu projekta spēkā stāšanos spēku zaudēs noteikumi Nr.976</w:t>
            </w:r>
          </w:p>
        </w:tc>
      </w:tr>
    </w:tbl>
    <w:p w:rsidR="00852042" w:rsidRPr="00883DA1" w:rsidRDefault="00852042" w:rsidP="00A25063">
      <w:pPr>
        <w:pStyle w:val="naisf"/>
        <w:spacing w:before="0" w:after="0"/>
        <w:ind w:firstLine="0"/>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2268"/>
        <w:gridCol w:w="7053"/>
      </w:tblGrid>
      <w:tr w:rsidR="009A0027" w:rsidRPr="00883DA1" w:rsidTr="001932F6">
        <w:trPr>
          <w:jc w:val="center"/>
        </w:trPr>
        <w:tc>
          <w:tcPr>
            <w:tcW w:w="9856" w:type="dxa"/>
            <w:gridSpan w:val="3"/>
          </w:tcPr>
          <w:p w:rsidR="00FE4973" w:rsidRPr="00883DA1" w:rsidRDefault="00FE4973" w:rsidP="00A25063">
            <w:pPr>
              <w:pStyle w:val="naisnod"/>
              <w:spacing w:before="0" w:after="0"/>
            </w:pPr>
            <w:r w:rsidRPr="00883DA1">
              <w:t>II.</w:t>
            </w:r>
            <w:r w:rsidRPr="00883DA1">
              <w:rPr>
                <w:bCs w:val="0"/>
              </w:rPr>
              <w:t xml:space="preserve"> Tiesību akta projekta ietekme uz sabiedrību, tautsaimniecības attīstību un administratīvo slogu</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1.</w:t>
            </w:r>
          </w:p>
        </w:tc>
        <w:tc>
          <w:tcPr>
            <w:tcW w:w="2268" w:type="dxa"/>
          </w:tcPr>
          <w:p w:rsidR="00906989" w:rsidRPr="00883DA1" w:rsidRDefault="00906989" w:rsidP="00A25063">
            <w:pPr>
              <w:pStyle w:val="naiskr"/>
              <w:spacing w:before="0" w:after="0"/>
              <w:rPr>
                <w:iCs/>
              </w:rPr>
            </w:pPr>
            <w:r w:rsidRPr="00883DA1">
              <w:t>Sabiedrības mērķgrupas, kuras tiesiskais regulējums ietekmē vai varētu ietekmēt</w:t>
            </w:r>
          </w:p>
        </w:tc>
        <w:tc>
          <w:tcPr>
            <w:tcW w:w="7053" w:type="dxa"/>
          </w:tcPr>
          <w:p w:rsidR="002E3ABF" w:rsidRPr="007C79AF" w:rsidRDefault="006D134D" w:rsidP="007C79AF">
            <w:pPr>
              <w:jc w:val="both"/>
            </w:pPr>
            <w:r>
              <w:t>Tiesiskā regulējums skar tikai maksāju</w:t>
            </w:r>
            <w:r w:rsidR="00132D67">
              <w:t>mu apmērus valsts budžetā. Tieša</w:t>
            </w:r>
            <w:r>
              <w:t>s ietekmes uz kādām notiektām sabiedrības mērķgrupām nav.</w:t>
            </w:r>
          </w:p>
        </w:tc>
      </w:tr>
      <w:tr w:rsidR="000123E4"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2.</w:t>
            </w:r>
          </w:p>
        </w:tc>
        <w:tc>
          <w:tcPr>
            <w:tcW w:w="2268" w:type="dxa"/>
          </w:tcPr>
          <w:p w:rsidR="00906989" w:rsidRPr="00883DA1" w:rsidRDefault="00906989" w:rsidP="00A25063">
            <w:pPr>
              <w:pStyle w:val="naiskr"/>
              <w:spacing w:before="0" w:after="0"/>
            </w:pPr>
            <w:r w:rsidRPr="00883DA1">
              <w:t>Tiesiskā regulējuma ietekme uz tautsaimniecību un administratīvo slogu</w:t>
            </w:r>
          </w:p>
        </w:tc>
        <w:tc>
          <w:tcPr>
            <w:tcW w:w="7053" w:type="dxa"/>
          </w:tcPr>
          <w:p w:rsidR="000E435E" w:rsidRPr="00517DFF" w:rsidRDefault="00E80835" w:rsidP="006D2D4A">
            <w:pPr>
              <w:pStyle w:val="naiskr"/>
              <w:spacing w:before="0" w:after="120"/>
              <w:jc w:val="both"/>
            </w:pPr>
            <w:r>
              <w:t>Ņemot vērā, ka noteikumi</w:t>
            </w:r>
            <w:r w:rsidR="006D134D">
              <w:t xml:space="preserve"> būtībā aizstāj iepriekšējo regulējumu, kurš daļēji zaudējis spēku sakarā ar normatīvā akta, uz kura pamata tie izdoti spēka zaudēšanu, </w:t>
            </w:r>
            <w:r>
              <w:t>ar</w:t>
            </w:r>
            <w:r w:rsidR="007C79AF">
              <w:t xml:space="preserve"> </w:t>
            </w:r>
            <w:r>
              <w:t>noteikumiem</w:t>
            </w:r>
            <w:r w:rsidR="007C79AF">
              <w:t xml:space="preserve"> netiek radīts jauns administratīvais slogs, tiek nodrošināta </w:t>
            </w:r>
            <w:r w:rsidR="008938F6" w:rsidRPr="008C5F9F">
              <w:rPr>
                <w:bCs/>
              </w:rPr>
              <w:t>Publiskas personas kapitāla daļu un</w:t>
            </w:r>
            <w:r w:rsidR="008938F6">
              <w:rPr>
                <w:bCs/>
              </w:rPr>
              <w:t xml:space="preserve"> </w:t>
            </w:r>
            <w:r w:rsidR="008938F6" w:rsidRPr="008C5F9F">
              <w:rPr>
                <w:bCs/>
              </w:rPr>
              <w:t>kapi</w:t>
            </w:r>
            <w:r w:rsidR="008938F6">
              <w:rPr>
                <w:bCs/>
              </w:rPr>
              <w:t>tālsabiedrību pārvaldības likumā</w:t>
            </w:r>
            <w:r w:rsidR="007C79AF">
              <w:t xml:space="preserve"> noteikto uzdevumu izpilde.</w:t>
            </w:r>
            <w:r w:rsidR="007C79AF" w:rsidRPr="00CA7FB8">
              <w:t xml:space="preserve"> </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3.</w:t>
            </w:r>
          </w:p>
        </w:tc>
        <w:tc>
          <w:tcPr>
            <w:tcW w:w="2268" w:type="dxa"/>
          </w:tcPr>
          <w:p w:rsidR="00906989" w:rsidRPr="00883DA1" w:rsidRDefault="00906989" w:rsidP="00A25063">
            <w:pPr>
              <w:pStyle w:val="naiskr"/>
              <w:tabs>
                <w:tab w:val="left" w:pos="2628"/>
              </w:tabs>
              <w:spacing w:before="0" w:after="0"/>
              <w:rPr>
                <w:iCs/>
              </w:rPr>
            </w:pPr>
            <w:r w:rsidRPr="00883DA1">
              <w:t>Administratīvo izmaksu monetārs novērtējums</w:t>
            </w:r>
          </w:p>
        </w:tc>
        <w:tc>
          <w:tcPr>
            <w:tcW w:w="7053" w:type="dxa"/>
          </w:tcPr>
          <w:p w:rsidR="00906989" w:rsidRPr="00883DA1" w:rsidRDefault="00A73151" w:rsidP="007C79AF">
            <w:pPr>
              <w:jc w:val="both"/>
              <w:rPr>
                <w:iCs/>
              </w:rPr>
            </w:pPr>
            <w:bookmarkStart w:id="1" w:name="p25"/>
            <w:bookmarkStart w:id="2" w:name="p-468670"/>
            <w:bookmarkEnd w:id="1"/>
            <w:bookmarkEnd w:id="2"/>
            <w:r>
              <w:t>S</w:t>
            </w:r>
            <w:r w:rsidRPr="00A73151">
              <w:t>abiedrības grupām un institūcijām projekta tiesiskais regulējums nemaina tiesības un pienākumus, kā arī veicamās darbības</w:t>
            </w:r>
          </w:p>
        </w:tc>
      </w:tr>
      <w:tr w:rsidR="00906989" w:rsidRPr="00883DA1" w:rsidTr="00AA370A">
        <w:trPr>
          <w:jc w:val="center"/>
        </w:trPr>
        <w:tc>
          <w:tcPr>
            <w:tcW w:w="535" w:type="dxa"/>
          </w:tcPr>
          <w:p w:rsidR="00906989" w:rsidRPr="00883DA1" w:rsidRDefault="007E5E1E" w:rsidP="00A25063">
            <w:pPr>
              <w:pStyle w:val="naiskr"/>
              <w:tabs>
                <w:tab w:val="left" w:pos="2628"/>
              </w:tabs>
              <w:spacing w:before="0" w:after="0"/>
              <w:jc w:val="center"/>
              <w:rPr>
                <w:iCs/>
              </w:rPr>
            </w:pPr>
            <w:r>
              <w:rPr>
                <w:iCs/>
              </w:rPr>
              <w:t>4</w:t>
            </w:r>
            <w:r w:rsidR="00906989" w:rsidRPr="00883DA1">
              <w:rPr>
                <w:iCs/>
              </w:rPr>
              <w:t>.</w:t>
            </w:r>
          </w:p>
        </w:tc>
        <w:tc>
          <w:tcPr>
            <w:tcW w:w="2268" w:type="dxa"/>
          </w:tcPr>
          <w:p w:rsidR="00906989" w:rsidRPr="00883DA1" w:rsidRDefault="00906989" w:rsidP="00A25063">
            <w:pPr>
              <w:pStyle w:val="naiskr"/>
              <w:tabs>
                <w:tab w:val="left" w:pos="2628"/>
              </w:tabs>
              <w:spacing w:before="0" w:after="0"/>
            </w:pPr>
            <w:r w:rsidRPr="00883DA1">
              <w:t>Cita informācija</w:t>
            </w:r>
          </w:p>
        </w:tc>
        <w:tc>
          <w:tcPr>
            <w:tcW w:w="7053" w:type="dxa"/>
          </w:tcPr>
          <w:p w:rsidR="00906989" w:rsidRPr="005C688A" w:rsidRDefault="00113022" w:rsidP="00893947">
            <w:pPr>
              <w:pStyle w:val="naiskr"/>
              <w:tabs>
                <w:tab w:val="left" w:pos="2628"/>
              </w:tabs>
              <w:spacing w:before="0" w:after="0"/>
              <w:jc w:val="both"/>
            </w:pPr>
            <w:r w:rsidRPr="005C688A">
              <w:t xml:space="preserve">Noteikumu projekts </w:t>
            </w:r>
            <w:r w:rsidR="007E5E1E" w:rsidRPr="005C688A">
              <w:t xml:space="preserve">maina iepriekš </w:t>
            </w:r>
            <w:r w:rsidR="005C688A">
              <w:t xml:space="preserve">noteikumos Nr.976 </w:t>
            </w:r>
            <w:r w:rsidR="007E5E1E" w:rsidRPr="005C688A">
              <w:t>noteikt</w:t>
            </w:r>
            <w:r w:rsidRPr="005C688A">
              <w:t>ā</w:t>
            </w:r>
            <w:r w:rsidR="007E5E1E" w:rsidRPr="005C688A">
              <w:t xml:space="preserve"> atskaitījum</w:t>
            </w:r>
            <w:r w:rsidRPr="005C688A">
              <w:t>a</w:t>
            </w:r>
            <w:r w:rsidR="007E5E1E" w:rsidRPr="005C688A">
              <w:t xml:space="preserve"> normatīv</w:t>
            </w:r>
            <w:r w:rsidRPr="005C688A">
              <w:t>a apmēru no 7 uz 50 procentiem</w:t>
            </w:r>
            <w:r w:rsidR="007F0645" w:rsidRPr="005C688A">
              <w:t xml:space="preserve"> </w:t>
            </w:r>
            <w:r w:rsidR="007F0645" w:rsidRPr="005C688A">
              <w:rPr>
                <w:i/>
              </w:rPr>
              <w:t>(</w:t>
            </w:r>
            <w:r w:rsidR="00893947">
              <w:rPr>
                <w:i/>
              </w:rPr>
              <w:t xml:space="preserve">aprēķinus </w:t>
            </w:r>
            <w:r w:rsidR="007F0645" w:rsidRPr="005C688A">
              <w:rPr>
                <w:i/>
              </w:rPr>
              <w:t>skatīt anotācijas pielikum</w:t>
            </w:r>
            <w:r w:rsidR="00893947">
              <w:rPr>
                <w:i/>
              </w:rPr>
              <w:t>ā</w:t>
            </w:r>
            <w:r w:rsidR="007F0645" w:rsidRPr="005C688A">
              <w:rPr>
                <w:i/>
              </w:rPr>
              <w:t>)</w:t>
            </w:r>
            <w:r w:rsidR="00893947">
              <w:rPr>
                <w:i/>
              </w:rPr>
              <w:t>.</w:t>
            </w:r>
            <w:r w:rsidRPr="005C688A">
              <w:t xml:space="preserve">  </w:t>
            </w:r>
          </w:p>
        </w:tc>
      </w:tr>
    </w:tbl>
    <w:p w:rsidR="00777387" w:rsidRDefault="00777387" w:rsidP="00A25063">
      <w:pPr>
        <w:pStyle w:val="naisf"/>
        <w:spacing w:before="0" w:after="0"/>
        <w:ind w:firstLine="0"/>
      </w:pPr>
    </w:p>
    <w:tbl>
      <w:tblPr>
        <w:tblW w:w="9785"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59"/>
        <w:gridCol w:w="3108"/>
        <w:gridCol w:w="6118"/>
      </w:tblGrid>
      <w:tr w:rsidR="009A0027" w:rsidRPr="00883DA1" w:rsidTr="00FE26D4">
        <w:trPr>
          <w:jc w:val="center"/>
        </w:trPr>
        <w:tc>
          <w:tcPr>
            <w:tcW w:w="9785" w:type="dxa"/>
            <w:gridSpan w:val="3"/>
          </w:tcPr>
          <w:p w:rsidR="00FE4973" w:rsidRPr="00883DA1" w:rsidRDefault="00FE4973" w:rsidP="00E218E6">
            <w:pPr>
              <w:pStyle w:val="naisnod"/>
              <w:spacing w:before="0" w:after="0"/>
            </w:pPr>
            <w:r w:rsidRPr="00883DA1">
              <w:t>V</w:t>
            </w:r>
            <w:r w:rsidR="00EB14E3">
              <w:t>I</w:t>
            </w:r>
            <w:r w:rsidRPr="00883DA1">
              <w:t xml:space="preserve">. </w:t>
            </w:r>
            <w:r w:rsidRPr="00883DA1">
              <w:rPr>
                <w:bCs w:val="0"/>
              </w:rPr>
              <w:t>Sabiedrības līdzdalība un komunikācijas aktivitātes</w:t>
            </w:r>
          </w:p>
        </w:tc>
      </w:tr>
      <w:tr w:rsidR="00906989" w:rsidRPr="00883DA1" w:rsidTr="00FE26D4">
        <w:trPr>
          <w:jc w:val="center"/>
        </w:trPr>
        <w:tc>
          <w:tcPr>
            <w:tcW w:w="559" w:type="dxa"/>
          </w:tcPr>
          <w:p w:rsidR="00906989" w:rsidRPr="00BE115D" w:rsidRDefault="00906989" w:rsidP="00A25063">
            <w:pPr>
              <w:pStyle w:val="naiskr"/>
              <w:tabs>
                <w:tab w:val="left" w:pos="2628"/>
              </w:tabs>
              <w:spacing w:before="0" w:after="0"/>
              <w:jc w:val="center"/>
              <w:rPr>
                <w:iCs/>
              </w:rPr>
            </w:pPr>
            <w:r w:rsidRPr="00BE115D">
              <w:rPr>
                <w:iCs/>
              </w:rPr>
              <w:t>1.</w:t>
            </w:r>
          </w:p>
        </w:tc>
        <w:tc>
          <w:tcPr>
            <w:tcW w:w="3108" w:type="dxa"/>
          </w:tcPr>
          <w:p w:rsidR="00906989" w:rsidRPr="00BE115D" w:rsidRDefault="00906989" w:rsidP="00A25063">
            <w:pPr>
              <w:pStyle w:val="naiskr"/>
              <w:tabs>
                <w:tab w:val="left" w:pos="2628"/>
              </w:tabs>
              <w:spacing w:before="0" w:after="0"/>
              <w:rPr>
                <w:iCs/>
              </w:rPr>
            </w:pPr>
            <w:r w:rsidRPr="00BE115D">
              <w:t>Plānotās sabiedrības līdzdalības un komunikācijas aktivitātes saistībā ar projektu</w:t>
            </w:r>
          </w:p>
        </w:tc>
        <w:tc>
          <w:tcPr>
            <w:tcW w:w="6118" w:type="dxa"/>
          </w:tcPr>
          <w:p w:rsidR="003864FE" w:rsidRPr="00883DA1" w:rsidRDefault="00BE115D" w:rsidP="003864FE">
            <w:pPr>
              <w:pStyle w:val="naiskr"/>
              <w:tabs>
                <w:tab w:val="left" w:pos="2628"/>
              </w:tabs>
              <w:spacing w:before="0" w:after="0"/>
              <w:jc w:val="both"/>
              <w:rPr>
                <w:iCs/>
              </w:rPr>
            </w:pPr>
            <w:r w:rsidRPr="00BE115D">
              <w:rPr>
                <w:iCs/>
              </w:rPr>
              <w:t>Noteikumu projekts uz divām nedēļām tiks publicēts Pārresoru koordinācijas centra interneta vietnē, aicinot sabiedrību sniegt par to viedokli un priekšlikumus</w:t>
            </w:r>
          </w:p>
        </w:tc>
      </w:tr>
      <w:tr w:rsidR="00DA5C2E" w:rsidRPr="00883DA1" w:rsidTr="00FE26D4">
        <w:trPr>
          <w:jc w:val="center"/>
        </w:trPr>
        <w:tc>
          <w:tcPr>
            <w:tcW w:w="559" w:type="dxa"/>
          </w:tcPr>
          <w:p w:rsidR="00DA5C2E" w:rsidRPr="00BE115D" w:rsidRDefault="00DA5C2E" w:rsidP="00A25063">
            <w:pPr>
              <w:pStyle w:val="naiskr"/>
              <w:tabs>
                <w:tab w:val="left" w:pos="2628"/>
              </w:tabs>
              <w:spacing w:before="0" w:after="0"/>
              <w:jc w:val="center"/>
              <w:rPr>
                <w:iCs/>
              </w:rPr>
            </w:pPr>
            <w:r w:rsidRPr="00BE115D">
              <w:rPr>
                <w:iCs/>
              </w:rPr>
              <w:t>2.</w:t>
            </w:r>
          </w:p>
        </w:tc>
        <w:tc>
          <w:tcPr>
            <w:tcW w:w="3108" w:type="dxa"/>
          </w:tcPr>
          <w:p w:rsidR="00DA5C2E" w:rsidRPr="00BE115D" w:rsidRDefault="00DA5C2E" w:rsidP="00A25063">
            <w:pPr>
              <w:pStyle w:val="naiskr"/>
              <w:tabs>
                <w:tab w:val="left" w:pos="2628"/>
              </w:tabs>
              <w:spacing w:before="0" w:after="0"/>
            </w:pPr>
            <w:r w:rsidRPr="00BE115D">
              <w:t>Sabiedrības līdzdalība projekta izstrādē</w:t>
            </w:r>
          </w:p>
        </w:tc>
        <w:tc>
          <w:tcPr>
            <w:tcW w:w="6118" w:type="dxa"/>
          </w:tcPr>
          <w:p w:rsidR="00DA5C2E" w:rsidRDefault="00CD40FC" w:rsidP="00CD40FC">
            <w:r>
              <w:t xml:space="preserve">Priekšlikumi sabiedrības līdzdalības ietvaros netika saņemti </w:t>
            </w:r>
          </w:p>
        </w:tc>
      </w:tr>
      <w:tr w:rsidR="00DA5C2E" w:rsidRPr="00883DA1" w:rsidTr="00FE26D4">
        <w:trPr>
          <w:jc w:val="center"/>
        </w:trPr>
        <w:tc>
          <w:tcPr>
            <w:tcW w:w="559" w:type="dxa"/>
          </w:tcPr>
          <w:p w:rsidR="00DA5C2E" w:rsidRPr="00BE115D" w:rsidRDefault="00DA5C2E" w:rsidP="00A25063">
            <w:pPr>
              <w:pStyle w:val="naiskr"/>
              <w:tabs>
                <w:tab w:val="left" w:pos="2628"/>
              </w:tabs>
              <w:spacing w:before="0" w:after="0"/>
              <w:jc w:val="center"/>
              <w:rPr>
                <w:iCs/>
              </w:rPr>
            </w:pPr>
            <w:r w:rsidRPr="00BE115D">
              <w:rPr>
                <w:iCs/>
              </w:rPr>
              <w:t>3.</w:t>
            </w:r>
          </w:p>
        </w:tc>
        <w:tc>
          <w:tcPr>
            <w:tcW w:w="3108" w:type="dxa"/>
          </w:tcPr>
          <w:p w:rsidR="00DA5C2E" w:rsidRPr="00BE115D" w:rsidRDefault="00DA5C2E" w:rsidP="00A25063">
            <w:pPr>
              <w:pStyle w:val="naiskr"/>
              <w:tabs>
                <w:tab w:val="left" w:pos="2628"/>
              </w:tabs>
              <w:spacing w:before="0" w:after="0"/>
              <w:rPr>
                <w:iCs/>
              </w:rPr>
            </w:pPr>
            <w:r w:rsidRPr="00BE115D">
              <w:t>Sabiedrības līdzdalības rezultāti</w:t>
            </w:r>
          </w:p>
        </w:tc>
        <w:tc>
          <w:tcPr>
            <w:tcW w:w="6118" w:type="dxa"/>
          </w:tcPr>
          <w:p w:rsidR="00DA5C2E" w:rsidRDefault="00CD40FC">
            <w:r>
              <w:t>Nav</w:t>
            </w:r>
          </w:p>
        </w:tc>
      </w:tr>
      <w:tr w:rsidR="00DA5C2E" w:rsidRPr="00883DA1" w:rsidTr="00FE26D4">
        <w:trPr>
          <w:jc w:val="center"/>
        </w:trPr>
        <w:tc>
          <w:tcPr>
            <w:tcW w:w="559" w:type="dxa"/>
          </w:tcPr>
          <w:p w:rsidR="00DA5C2E" w:rsidRPr="00BE115D" w:rsidRDefault="00DA5C2E" w:rsidP="00A25063">
            <w:pPr>
              <w:pStyle w:val="naiskr"/>
              <w:tabs>
                <w:tab w:val="left" w:pos="2628"/>
              </w:tabs>
              <w:spacing w:before="0" w:after="0"/>
              <w:jc w:val="center"/>
              <w:rPr>
                <w:iCs/>
              </w:rPr>
            </w:pPr>
            <w:r w:rsidRPr="00BE115D">
              <w:rPr>
                <w:iCs/>
              </w:rPr>
              <w:t>4.</w:t>
            </w:r>
          </w:p>
        </w:tc>
        <w:tc>
          <w:tcPr>
            <w:tcW w:w="3108" w:type="dxa"/>
          </w:tcPr>
          <w:p w:rsidR="00DA5C2E" w:rsidRPr="00BE115D" w:rsidRDefault="00DA5C2E" w:rsidP="00A25063">
            <w:pPr>
              <w:pStyle w:val="naiskr"/>
              <w:tabs>
                <w:tab w:val="left" w:pos="2628"/>
              </w:tabs>
              <w:spacing w:before="0" w:after="0"/>
            </w:pPr>
            <w:r w:rsidRPr="00BE115D">
              <w:t>Cita informācija</w:t>
            </w:r>
          </w:p>
        </w:tc>
        <w:tc>
          <w:tcPr>
            <w:tcW w:w="6118" w:type="dxa"/>
          </w:tcPr>
          <w:p w:rsidR="00DA5C2E" w:rsidRDefault="00BE115D">
            <w:r>
              <w:t>Nav</w:t>
            </w:r>
          </w:p>
        </w:tc>
      </w:tr>
    </w:tbl>
    <w:p w:rsidR="004907B8" w:rsidRPr="00883DA1" w:rsidRDefault="004907B8" w:rsidP="004907B8">
      <w:pPr>
        <w:pStyle w:val="naisf"/>
        <w:spacing w:before="0" w:after="0"/>
        <w:ind w:firstLine="0"/>
      </w:pPr>
    </w:p>
    <w:tbl>
      <w:tblPr>
        <w:tblW w:w="9862"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4907B8" w:rsidRPr="00883DA1"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rsidR="004907B8" w:rsidRPr="00883DA1" w:rsidRDefault="004907B8" w:rsidP="00E218E6">
            <w:pPr>
              <w:pStyle w:val="naisnod"/>
              <w:spacing w:before="0" w:after="0"/>
            </w:pPr>
            <w:r w:rsidRPr="00883DA1">
              <w:t>V</w:t>
            </w:r>
            <w:r w:rsidR="001F46CC" w:rsidRPr="00883DA1">
              <w:t>I</w:t>
            </w:r>
            <w:r w:rsidR="00EB14E3">
              <w:t>I</w:t>
            </w:r>
            <w:r w:rsidRPr="00883DA1">
              <w:t>. Tiesību akta projekta izpildes nodrošināšana un tās ietekme uz institūcijām</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rPr>
                <w:b w:val="0"/>
              </w:rPr>
            </w:pPr>
            <w:r w:rsidRPr="00883DA1">
              <w:rPr>
                <w:b w:val="0"/>
              </w:rPr>
              <w:t>1.</w:t>
            </w:r>
          </w:p>
        </w:tc>
        <w:tc>
          <w:tcPr>
            <w:tcW w:w="3260"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jc w:val="left"/>
              <w:rPr>
                <w:b w:val="0"/>
              </w:rPr>
            </w:pPr>
            <w:r w:rsidRPr="00883DA1">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1144F0" w:rsidRDefault="001144F0" w:rsidP="0055791C">
            <w:pPr>
              <w:pStyle w:val="naisnod"/>
              <w:spacing w:before="0" w:after="0"/>
              <w:jc w:val="both"/>
              <w:rPr>
                <w:b w:val="0"/>
              </w:rPr>
            </w:pPr>
            <w:r w:rsidRPr="001144F0">
              <w:rPr>
                <w:b w:val="0"/>
              </w:rPr>
              <w:t>Ekonomikas ministrija</w:t>
            </w:r>
            <w:r w:rsidR="00196DEE">
              <w:rPr>
                <w:b w:val="0"/>
              </w:rPr>
              <w:t xml:space="preserve"> (VAS „Privatizācijas aģentūra”</w:t>
            </w:r>
            <w:r w:rsidR="00132D67">
              <w:rPr>
                <w:b w:val="0"/>
              </w:rPr>
              <w:t>)</w:t>
            </w:r>
            <w:r w:rsidRPr="001144F0">
              <w:rPr>
                <w:b w:val="0"/>
              </w:rPr>
              <w:t xml:space="preserve">, </w:t>
            </w:r>
            <w:r w:rsidR="0055791C">
              <w:rPr>
                <w:b w:val="0"/>
              </w:rPr>
              <w:t>Finanšu ministrija</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059E3" w:rsidRDefault="004907B8" w:rsidP="003F7D40">
            <w:pPr>
              <w:pStyle w:val="naisnod"/>
              <w:spacing w:before="0" w:after="0"/>
              <w:rPr>
                <w:b w:val="0"/>
              </w:rPr>
            </w:pPr>
            <w:r w:rsidRPr="008059E3">
              <w:rPr>
                <w:b w:val="0"/>
              </w:rPr>
              <w:t>2.</w:t>
            </w:r>
          </w:p>
        </w:tc>
        <w:tc>
          <w:tcPr>
            <w:tcW w:w="3260" w:type="dxa"/>
            <w:tcBorders>
              <w:top w:val="single" w:sz="4" w:space="0" w:color="auto"/>
              <w:left w:val="single" w:sz="4" w:space="0" w:color="auto"/>
              <w:bottom w:val="single" w:sz="4" w:space="0" w:color="auto"/>
              <w:right w:val="single" w:sz="4" w:space="0" w:color="auto"/>
            </w:tcBorders>
          </w:tcPr>
          <w:p w:rsidR="004907B8" w:rsidRPr="008059E3" w:rsidRDefault="004907B8" w:rsidP="003F7D40">
            <w:r w:rsidRPr="008059E3">
              <w:t>Projekta izpildes ietekme uz pārvaldes funkcijām un institucionālo struktūru.</w:t>
            </w:r>
          </w:p>
          <w:p w:rsidR="004907B8" w:rsidRPr="008059E3" w:rsidRDefault="004907B8" w:rsidP="003F7D40">
            <w:pPr>
              <w:pStyle w:val="naisnod"/>
              <w:spacing w:before="0" w:after="0"/>
              <w:jc w:val="left"/>
              <w:rPr>
                <w:b w:val="0"/>
              </w:rPr>
            </w:pPr>
            <w:r w:rsidRPr="008059E3">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4907B8" w:rsidRPr="008059E3" w:rsidRDefault="0055791C" w:rsidP="008059E3">
            <w:pPr>
              <w:pStyle w:val="naisnod"/>
              <w:spacing w:before="0" w:after="0"/>
              <w:jc w:val="both"/>
              <w:rPr>
                <w:b w:val="0"/>
                <w:color w:val="FF0000"/>
              </w:rPr>
            </w:pPr>
            <w:r w:rsidRPr="00B64BC1">
              <w:rPr>
                <w:b w:val="0"/>
                <w:color w:val="000000" w:themeColor="text1"/>
              </w:rPr>
              <w:t>Ar projektu jaunas pārvaldes funkcijas netiek pievienotas</w:t>
            </w:r>
            <w:r w:rsidR="008059E3" w:rsidRPr="00B64BC1">
              <w:rPr>
                <w:b w:val="0"/>
                <w:color w:val="000000" w:themeColor="text1"/>
              </w:rPr>
              <w:t>,</w:t>
            </w:r>
            <w:r w:rsidRPr="00B64BC1">
              <w:rPr>
                <w:b w:val="0"/>
                <w:color w:val="000000" w:themeColor="text1"/>
              </w:rPr>
              <w:t xml:space="preserve"> esošā institucionālā sistēma netiek main</w:t>
            </w:r>
            <w:r w:rsidR="00B64BC1" w:rsidRPr="00B64BC1">
              <w:rPr>
                <w:b w:val="0"/>
                <w:color w:val="000000" w:themeColor="text1"/>
              </w:rPr>
              <w:t xml:space="preserve">īta, kā </w:t>
            </w:r>
            <w:r w:rsidR="009974A1">
              <w:rPr>
                <w:b w:val="0"/>
                <w:color w:val="000000" w:themeColor="text1"/>
              </w:rPr>
              <w:t>arī</w:t>
            </w:r>
            <w:r w:rsidRPr="00B64BC1">
              <w:rPr>
                <w:b w:val="0"/>
                <w:color w:val="000000" w:themeColor="text1"/>
              </w:rPr>
              <w:t xml:space="preserve"> </w:t>
            </w:r>
            <w:r w:rsidR="00B64BC1" w:rsidRPr="00B64BC1">
              <w:rPr>
                <w:b w:val="0"/>
                <w:color w:val="000000" w:themeColor="text1"/>
              </w:rPr>
              <w:t>j</w:t>
            </w:r>
            <w:r w:rsidRPr="00B64BC1">
              <w:rPr>
                <w:b w:val="0"/>
                <w:color w:val="000000" w:themeColor="text1"/>
              </w:rPr>
              <w:t>aunu institūciju izveide vai esošo reorganiz</w:t>
            </w:r>
            <w:r w:rsidR="00B64BC1" w:rsidRPr="00B64BC1">
              <w:rPr>
                <w:b w:val="0"/>
                <w:color w:val="000000" w:themeColor="text1"/>
              </w:rPr>
              <w:t xml:space="preserve">ācija netiek veikta. Projekts </w:t>
            </w:r>
            <w:r w:rsidRPr="00B64BC1">
              <w:rPr>
                <w:b w:val="0"/>
                <w:color w:val="000000" w:themeColor="text1"/>
              </w:rPr>
              <w:t xml:space="preserve">neatstāj ietekmi uz institūciju cilvēkresursiem. </w:t>
            </w:r>
          </w:p>
        </w:tc>
      </w:tr>
      <w:tr w:rsidR="004907B8" w:rsidRPr="00883DA1"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rsidR="004907B8" w:rsidRPr="00883DA1" w:rsidRDefault="004907B8" w:rsidP="003F7D40">
            <w:pPr>
              <w:rPr>
                <w:bCs/>
              </w:rPr>
            </w:pPr>
            <w:r w:rsidRPr="00883DA1">
              <w:rPr>
                <w:bCs/>
              </w:rPr>
              <w:t>3.</w:t>
            </w:r>
          </w:p>
        </w:tc>
        <w:tc>
          <w:tcPr>
            <w:tcW w:w="3260" w:type="dxa"/>
            <w:tcBorders>
              <w:top w:val="outset" w:sz="6" w:space="0" w:color="auto"/>
              <w:left w:val="outset" w:sz="6" w:space="0" w:color="auto"/>
              <w:bottom w:val="outset" w:sz="6" w:space="0" w:color="auto"/>
              <w:right w:val="outset" w:sz="6" w:space="0" w:color="auto"/>
            </w:tcBorders>
          </w:tcPr>
          <w:p w:rsidR="004907B8" w:rsidRPr="00883DA1" w:rsidRDefault="004907B8" w:rsidP="003F7D40">
            <w:r w:rsidRPr="00883DA1">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883DA1" w:rsidRDefault="00113022" w:rsidP="003F7D40">
            <w:pPr>
              <w:rPr>
                <w:bCs/>
              </w:rPr>
            </w:pPr>
            <w:r>
              <w:rPr>
                <w:bCs/>
              </w:rPr>
              <w:t>Nav</w:t>
            </w:r>
          </w:p>
        </w:tc>
      </w:tr>
    </w:tbl>
    <w:p w:rsidR="00113022" w:rsidRDefault="00113022" w:rsidP="00ED08EB">
      <w:pPr>
        <w:pStyle w:val="naisf"/>
        <w:spacing w:before="0" w:after="0"/>
        <w:ind w:firstLine="0"/>
        <w:rPr>
          <w:szCs w:val="28"/>
        </w:rPr>
      </w:pPr>
    </w:p>
    <w:p w:rsidR="005C688A" w:rsidRDefault="005C688A" w:rsidP="00ED08EB">
      <w:pPr>
        <w:pStyle w:val="naisf"/>
        <w:spacing w:before="0" w:after="0"/>
        <w:ind w:firstLine="0"/>
        <w:rPr>
          <w:szCs w:val="28"/>
        </w:rPr>
      </w:pPr>
    </w:p>
    <w:p w:rsidR="00951629" w:rsidRDefault="00951629" w:rsidP="00951629">
      <w:pPr>
        <w:pStyle w:val="naisf"/>
        <w:spacing w:before="0" w:after="0"/>
        <w:ind w:firstLine="0"/>
      </w:pPr>
      <w:r w:rsidRPr="00BD66E9">
        <w:rPr>
          <w:szCs w:val="28"/>
        </w:rPr>
        <w:t xml:space="preserve">Anotācijas </w:t>
      </w:r>
      <w:r>
        <w:rPr>
          <w:szCs w:val="28"/>
        </w:rPr>
        <w:t xml:space="preserve">III, </w:t>
      </w:r>
      <w:r w:rsidRPr="00BD66E9">
        <w:rPr>
          <w:szCs w:val="28"/>
        </w:rPr>
        <w:t>IV</w:t>
      </w:r>
      <w:r>
        <w:rPr>
          <w:szCs w:val="28"/>
        </w:rPr>
        <w:t>, V</w:t>
      </w:r>
      <w:r w:rsidRPr="00BD66E9">
        <w:rPr>
          <w:szCs w:val="28"/>
        </w:rPr>
        <w:t> sadaļa – projekts šo jomu neskar.</w:t>
      </w:r>
    </w:p>
    <w:p w:rsidR="00951629" w:rsidRDefault="00951629" w:rsidP="00951629">
      <w:pPr>
        <w:tabs>
          <w:tab w:val="left" w:pos="6804"/>
        </w:tabs>
        <w:rPr>
          <w:rFonts w:eastAsia="Calibri"/>
        </w:rPr>
      </w:pPr>
    </w:p>
    <w:p w:rsidR="00951629" w:rsidRPr="00927911" w:rsidRDefault="00951629" w:rsidP="00951629">
      <w:pPr>
        <w:tabs>
          <w:tab w:val="left" w:pos="6663"/>
        </w:tabs>
        <w:jc w:val="both"/>
      </w:pPr>
      <w:r w:rsidRPr="00927911">
        <w:t>Ministru prezidente</w:t>
      </w:r>
      <w:r w:rsidRPr="00927911">
        <w:tab/>
      </w:r>
      <w:r w:rsidR="003A3397">
        <w:tab/>
      </w:r>
      <w:r w:rsidRPr="00927911">
        <w:t>Laimdota Straujuma</w:t>
      </w:r>
    </w:p>
    <w:p w:rsidR="00951629" w:rsidRPr="00927911" w:rsidRDefault="00951629" w:rsidP="00951629">
      <w:pPr>
        <w:tabs>
          <w:tab w:val="left" w:pos="6663"/>
        </w:tabs>
        <w:ind w:firstLine="709"/>
        <w:jc w:val="both"/>
      </w:pPr>
    </w:p>
    <w:p w:rsidR="00951629" w:rsidRPr="00927911" w:rsidRDefault="00951629" w:rsidP="00951629">
      <w:pPr>
        <w:tabs>
          <w:tab w:val="left" w:pos="6663"/>
        </w:tabs>
        <w:jc w:val="both"/>
      </w:pPr>
      <w:r w:rsidRPr="00927911">
        <w:t>Finanšu ministrs</w:t>
      </w:r>
      <w:r>
        <w:tab/>
      </w:r>
      <w:r w:rsidR="003A3397">
        <w:tab/>
      </w:r>
      <w:r w:rsidRPr="00927911">
        <w:t>Jānis Reirs</w:t>
      </w:r>
    </w:p>
    <w:p w:rsidR="00951629" w:rsidRPr="00927911" w:rsidRDefault="00951629" w:rsidP="00951629">
      <w:pPr>
        <w:ind w:right="-340"/>
        <w:jc w:val="both"/>
      </w:pPr>
    </w:p>
    <w:p w:rsidR="00951629" w:rsidRPr="00927911" w:rsidRDefault="00951629" w:rsidP="00951629">
      <w:pPr>
        <w:ind w:right="-340"/>
        <w:jc w:val="both"/>
      </w:pPr>
      <w:r w:rsidRPr="00927911">
        <w:t>Vīza:</w:t>
      </w:r>
    </w:p>
    <w:p w:rsidR="00951629" w:rsidRPr="00927911" w:rsidRDefault="00951629" w:rsidP="00951629">
      <w:pPr>
        <w:ind w:right="-340"/>
        <w:jc w:val="both"/>
      </w:pPr>
      <w:r w:rsidRPr="00927911">
        <w:t>Pārresoru koordinācijas centra vadītājs</w:t>
      </w:r>
      <w:r>
        <w:tab/>
      </w:r>
      <w:r>
        <w:tab/>
      </w:r>
      <w:r>
        <w:tab/>
      </w:r>
      <w:r>
        <w:tab/>
      </w:r>
      <w:r w:rsidR="003A3397">
        <w:tab/>
      </w:r>
      <w:r w:rsidRPr="00927911">
        <w:t>Pēteris Vilks</w:t>
      </w:r>
    </w:p>
    <w:p w:rsidR="00951629" w:rsidRDefault="00951629" w:rsidP="00951629">
      <w:pPr>
        <w:pStyle w:val="NormalWeb"/>
        <w:spacing w:before="0" w:beforeAutospacing="0" w:after="0" w:afterAutospacing="0"/>
        <w:jc w:val="both"/>
        <w:rPr>
          <w:rFonts w:ascii="Times New Roman" w:hAnsi="Times New Roman"/>
        </w:rPr>
      </w:pPr>
    </w:p>
    <w:p w:rsidR="00971DEF" w:rsidRDefault="00971DEF" w:rsidP="007F0645">
      <w:pPr>
        <w:pStyle w:val="naisf"/>
        <w:spacing w:before="0" w:after="0"/>
        <w:ind w:firstLine="0"/>
        <w:jc w:val="right"/>
        <w:rPr>
          <w:sz w:val="20"/>
          <w:szCs w:val="20"/>
        </w:rPr>
      </w:pPr>
    </w:p>
    <w:p w:rsidR="002B1117" w:rsidRDefault="002B1117" w:rsidP="007F0645">
      <w:pPr>
        <w:pStyle w:val="naisf"/>
        <w:spacing w:before="0" w:after="0"/>
        <w:ind w:firstLine="0"/>
        <w:jc w:val="right"/>
        <w:rPr>
          <w:sz w:val="20"/>
          <w:szCs w:val="20"/>
        </w:rPr>
      </w:pPr>
    </w:p>
    <w:p w:rsidR="0079309B" w:rsidRPr="00DC32CB" w:rsidRDefault="0079309B" w:rsidP="0079309B">
      <w:pPr>
        <w:widowControl w:val="0"/>
      </w:pPr>
    </w:p>
    <w:p w:rsidR="0079309B" w:rsidRPr="00890503" w:rsidRDefault="0079309B" w:rsidP="0079309B">
      <w:pPr>
        <w:jc w:val="both"/>
        <w:rPr>
          <w:sz w:val="20"/>
          <w:szCs w:val="20"/>
        </w:rPr>
      </w:pPr>
      <w:r w:rsidRPr="00890503">
        <w:rPr>
          <w:sz w:val="20"/>
          <w:szCs w:val="20"/>
        </w:rPr>
        <w:fldChar w:fldCharType="begin"/>
      </w:r>
      <w:r w:rsidRPr="00890503">
        <w:rPr>
          <w:sz w:val="20"/>
          <w:szCs w:val="20"/>
        </w:rPr>
        <w:instrText xml:space="preserve"> DATE  \@ "dd.MM.yyyy H:mm"  \* MERGEFORMAT </w:instrText>
      </w:r>
      <w:r w:rsidRPr="00890503">
        <w:rPr>
          <w:sz w:val="20"/>
          <w:szCs w:val="20"/>
        </w:rPr>
        <w:fldChar w:fldCharType="separate"/>
      </w:r>
      <w:r w:rsidR="00E600D2">
        <w:rPr>
          <w:noProof/>
          <w:sz w:val="20"/>
          <w:szCs w:val="20"/>
        </w:rPr>
        <w:t>16.11.2015 11:32</w:t>
      </w:r>
      <w:r w:rsidRPr="00890503">
        <w:rPr>
          <w:sz w:val="20"/>
          <w:szCs w:val="20"/>
        </w:rPr>
        <w:fldChar w:fldCharType="end"/>
      </w:r>
    </w:p>
    <w:p w:rsidR="0079309B" w:rsidRPr="00890503" w:rsidRDefault="0079309B" w:rsidP="0079309B">
      <w:pPr>
        <w:jc w:val="both"/>
        <w:rPr>
          <w:sz w:val="20"/>
          <w:szCs w:val="20"/>
        </w:rPr>
      </w:pPr>
      <w:r>
        <w:rPr>
          <w:sz w:val="20"/>
          <w:szCs w:val="20"/>
        </w:rPr>
        <w:t>2011</w:t>
      </w:r>
    </w:p>
    <w:p w:rsidR="0079309B" w:rsidRPr="00890503" w:rsidRDefault="0079309B" w:rsidP="0079309B">
      <w:pPr>
        <w:widowControl w:val="0"/>
        <w:jc w:val="both"/>
        <w:rPr>
          <w:sz w:val="20"/>
          <w:szCs w:val="20"/>
        </w:rPr>
      </w:pPr>
      <w:r w:rsidRPr="00890503">
        <w:rPr>
          <w:sz w:val="20"/>
          <w:szCs w:val="20"/>
        </w:rPr>
        <w:t>Vladislavs Vesperis</w:t>
      </w:r>
    </w:p>
    <w:p w:rsidR="0079309B" w:rsidRPr="00890503" w:rsidRDefault="0079309B" w:rsidP="0079309B">
      <w:pPr>
        <w:widowControl w:val="0"/>
        <w:jc w:val="both"/>
        <w:rPr>
          <w:sz w:val="20"/>
          <w:szCs w:val="20"/>
        </w:rPr>
      </w:pPr>
      <w:r w:rsidRPr="00890503">
        <w:rPr>
          <w:sz w:val="20"/>
          <w:szCs w:val="20"/>
        </w:rPr>
        <w:t xml:space="preserve"> 67082812, </w:t>
      </w:r>
      <w:hyperlink r:id="rId13" w:history="1">
        <w:r w:rsidRPr="00890503">
          <w:rPr>
            <w:rStyle w:val="Hyperlink"/>
            <w:sz w:val="20"/>
            <w:szCs w:val="20"/>
          </w:rPr>
          <w:t>vladislavs.vesperis@pkc.mk.gov.lv</w:t>
        </w:r>
      </w:hyperlink>
    </w:p>
    <w:p w:rsidR="0079309B" w:rsidRPr="00A74B04" w:rsidRDefault="0079309B" w:rsidP="0079309B">
      <w:pPr>
        <w:widowControl w:val="0"/>
        <w:jc w:val="both"/>
        <w:rPr>
          <w:sz w:val="16"/>
          <w:szCs w:val="16"/>
        </w:rPr>
      </w:pPr>
    </w:p>
    <w:p w:rsidR="0079309B" w:rsidRPr="00504506" w:rsidRDefault="0079309B" w:rsidP="0079309B">
      <w:pPr>
        <w:jc w:val="both"/>
        <w:rPr>
          <w:sz w:val="20"/>
          <w:szCs w:val="20"/>
        </w:rPr>
      </w:pPr>
    </w:p>
    <w:p w:rsidR="00971DEF" w:rsidRDefault="00971DEF" w:rsidP="007F0645">
      <w:pPr>
        <w:pStyle w:val="naisf"/>
        <w:spacing w:before="0" w:after="0"/>
        <w:ind w:firstLine="0"/>
        <w:jc w:val="right"/>
        <w:rPr>
          <w:sz w:val="20"/>
          <w:szCs w:val="20"/>
        </w:rPr>
      </w:pPr>
    </w:p>
    <w:p w:rsidR="00971DEF" w:rsidRDefault="00971DEF" w:rsidP="007F0645">
      <w:pPr>
        <w:pStyle w:val="naisf"/>
        <w:spacing w:before="0" w:after="0"/>
        <w:ind w:firstLine="0"/>
        <w:jc w:val="right"/>
        <w:rPr>
          <w:sz w:val="20"/>
          <w:szCs w:val="20"/>
        </w:rPr>
      </w:pPr>
    </w:p>
    <w:p w:rsidR="00971DEF" w:rsidRDefault="00971DEF" w:rsidP="007F0645">
      <w:pPr>
        <w:pStyle w:val="naisf"/>
        <w:spacing w:before="0" w:after="0"/>
        <w:ind w:firstLine="0"/>
        <w:jc w:val="right"/>
        <w:rPr>
          <w:sz w:val="20"/>
          <w:szCs w:val="20"/>
        </w:rPr>
      </w:pPr>
    </w:p>
    <w:p w:rsidR="00971DEF" w:rsidRDefault="00971DEF" w:rsidP="007F0645">
      <w:pPr>
        <w:pStyle w:val="naisf"/>
        <w:spacing w:before="0" w:after="0"/>
        <w:ind w:firstLine="0"/>
        <w:jc w:val="right"/>
        <w:rPr>
          <w:sz w:val="20"/>
          <w:szCs w:val="20"/>
        </w:rPr>
      </w:pPr>
    </w:p>
    <w:p w:rsidR="003A3397" w:rsidRDefault="003A3397" w:rsidP="007F0645">
      <w:pPr>
        <w:pStyle w:val="naisf"/>
        <w:spacing w:before="0" w:after="0"/>
        <w:ind w:firstLine="0"/>
        <w:jc w:val="right"/>
        <w:rPr>
          <w:sz w:val="20"/>
          <w:szCs w:val="20"/>
        </w:rPr>
      </w:pPr>
    </w:p>
    <w:p w:rsidR="003A3397" w:rsidRDefault="003A3397" w:rsidP="007F0645">
      <w:pPr>
        <w:pStyle w:val="naisf"/>
        <w:spacing w:before="0" w:after="0"/>
        <w:ind w:firstLine="0"/>
        <w:jc w:val="right"/>
        <w:rPr>
          <w:sz w:val="20"/>
          <w:szCs w:val="20"/>
        </w:rPr>
      </w:pPr>
    </w:p>
    <w:p w:rsidR="00971DEF" w:rsidRDefault="00971DEF" w:rsidP="007F0645">
      <w:pPr>
        <w:pStyle w:val="naisf"/>
        <w:spacing w:before="0" w:after="0"/>
        <w:ind w:firstLine="0"/>
        <w:jc w:val="right"/>
        <w:rPr>
          <w:sz w:val="20"/>
          <w:szCs w:val="20"/>
        </w:rPr>
      </w:pPr>
    </w:p>
    <w:p w:rsidR="007F0645" w:rsidRPr="007F0645" w:rsidRDefault="00951629" w:rsidP="007F0645">
      <w:pPr>
        <w:pStyle w:val="naisf"/>
        <w:spacing w:before="0" w:after="0"/>
        <w:ind w:firstLine="0"/>
        <w:jc w:val="right"/>
        <w:rPr>
          <w:sz w:val="20"/>
          <w:szCs w:val="20"/>
        </w:rPr>
      </w:pPr>
      <w:r>
        <w:rPr>
          <w:sz w:val="20"/>
          <w:szCs w:val="20"/>
        </w:rPr>
        <w:t>Anot</w:t>
      </w:r>
      <w:r w:rsidR="007F0645" w:rsidRPr="007F0645">
        <w:rPr>
          <w:sz w:val="20"/>
          <w:szCs w:val="20"/>
        </w:rPr>
        <w:t>ācijas pielikums</w:t>
      </w:r>
    </w:p>
    <w:p w:rsidR="00113022" w:rsidRDefault="00E01478" w:rsidP="007F0645">
      <w:pPr>
        <w:pStyle w:val="naisf"/>
        <w:spacing w:before="0" w:after="0"/>
        <w:ind w:firstLine="0"/>
        <w:rPr>
          <w:b/>
          <w:sz w:val="20"/>
          <w:szCs w:val="20"/>
        </w:rPr>
      </w:pPr>
      <w:r>
        <w:rPr>
          <w:b/>
          <w:sz w:val="20"/>
          <w:szCs w:val="20"/>
        </w:rPr>
        <w:t>VAS “</w:t>
      </w:r>
      <w:r w:rsidR="008E6DDA">
        <w:rPr>
          <w:b/>
          <w:sz w:val="20"/>
          <w:szCs w:val="20"/>
        </w:rPr>
        <w:t>Privatizācijas aģentūra</w:t>
      </w:r>
      <w:r>
        <w:rPr>
          <w:b/>
          <w:sz w:val="20"/>
          <w:szCs w:val="20"/>
        </w:rPr>
        <w:t>”</w:t>
      </w:r>
      <w:r w:rsidR="008E6DDA">
        <w:rPr>
          <w:b/>
          <w:sz w:val="20"/>
          <w:szCs w:val="20"/>
        </w:rPr>
        <w:t xml:space="preserve"> </w:t>
      </w:r>
      <w:r w:rsidR="00113022" w:rsidRPr="007F0645">
        <w:rPr>
          <w:b/>
          <w:sz w:val="20"/>
          <w:szCs w:val="20"/>
        </w:rPr>
        <w:t xml:space="preserve">aprēķini par nepieciešamību </w:t>
      </w:r>
      <w:r w:rsidR="00064116" w:rsidRPr="007F0645">
        <w:rPr>
          <w:b/>
          <w:sz w:val="20"/>
          <w:szCs w:val="20"/>
        </w:rPr>
        <w:t xml:space="preserve">noteikumu </w:t>
      </w:r>
      <w:r w:rsidR="00113022" w:rsidRPr="007F0645">
        <w:rPr>
          <w:b/>
          <w:sz w:val="20"/>
          <w:szCs w:val="20"/>
        </w:rPr>
        <w:t>projekta 1</w:t>
      </w:r>
      <w:r w:rsidR="008E6DDA">
        <w:rPr>
          <w:b/>
          <w:sz w:val="20"/>
          <w:szCs w:val="20"/>
        </w:rPr>
        <w:t>3</w:t>
      </w:r>
      <w:r w:rsidR="00113022" w:rsidRPr="007F0645">
        <w:rPr>
          <w:b/>
          <w:sz w:val="20"/>
          <w:szCs w:val="20"/>
        </w:rPr>
        <w:t xml:space="preserve">.punktā palielināt atskaitījumu apmēru no 7 </w:t>
      </w:r>
      <w:r w:rsidR="00064116" w:rsidRPr="007F0645">
        <w:rPr>
          <w:b/>
          <w:sz w:val="20"/>
          <w:szCs w:val="20"/>
        </w:rPr>
        <w:t xml:space="preserve">uz </w:t>
      </w:r>
      <w:r w:rsidR="00113022" w:rsidRPr="007F0645">
        <w:rPr>
          <w:b/>
          <w:sz w:val="20"/>
          <w:szCs w:val="20"/>
        </w:rPr>
        <w:t>50 procentiem</w:t>
      </w:r>
    </w:p>
    <w:p w:rsidR="009575AC" w:rsidRPr="007F0645" w:rsidRDefault="009575AC" w:rsidP="007F0645">
      <w:pPr>
        <w:pStyle w:val="naisf"/>
        <w:spacing w:before="0" w:after="0"/>
        <w:ind w:firstLine="0"/>
        <w:rPr>
          <w:sz w:val="20"/>
          <w:szCs w:val="20"/>
        </w:rPr>
      </w:pPr>
    </w:p>
    <w:tbl>
      <w:tblPr>
        <w:tblW w:w="11056" w:type="dxa"/>
        <w:tblInd w:w="-1026" w:type="dxa"/>
        <w:tblLook w:val="04A0" w:firstRow="1" w:lastRow="0" w:firstColumn="1" w:lastColumn="0" w:noHBand="0" w:noVBand="1"/>
      </w:tblPr>
      <w:tblGrid>
        <w:gridCol w:w="297"/>
        <w:gridCol w:w="2680"/>
        <w:gridCol w:w="1273"/>
        <w:gridCol w:w="1137"/>
        <w:gridCol w:w="1701"/>
        <w:gridCol w:w="1130"/>
        <w:gridCol w:w="1280"/>
        <w:gridCol w:w="1558"/>
      </w:tblGrid>
      <w:tr w:rsidR="007F0645" w:rsidRPr="008C5F3F" w:rsidTr="007E159B">
        <w:trPr>
          <w:trHeight w:val="525"/>
        </w:trPr>
        <w:tc>
          <w:tcPr>
            <w:tcW w:w="297" w:type="dxa"/>
            <w:tcBorders>
              <w:top w:val="nil"/>
              <w:left w:val="nil"/>
              <w:bottom w:val="nil"/>
              <w:right w:val="nil"/>
            </w:tcBorders>
            <w:shd w:val="clear" w:color="auto" w:fill="auto"/>
            <w:noWrap/>
            <w:vAlign w:val="bottom"/>
            <w:hideMark/>
          </w:tcPr>
          <w:p w:rsidR="007F0645" w:rsidRPr="008C5F3F" w:rsidRDefault="007F0645" w:rsidP="00841B78">
            <w:pPr>
              <w:jc w:val="center"/>
              <w:rPr>
                <w:b/>
                <w:bCs/>
                <w:color w:val="000000"/>
                <w:sz w:val="20"/>
                <w:szCs w:val="20"/>
              </w:rPr>
            </w:pPr>
          </w:p>
        </w:tc>
        <w:tc>
          <w:tcPr>
            <w:tcW w:w="2680" w:type="dxa"/>
            <w:tcBorders>
              <w:top w:val="single" w:sz="8" w:space="0" w:color="auto"/>
              <w:left w:val="single" w:sz="8" w:space="0" w:color="auto"/>
              <w:bottom w:val="single" w:sz="8" w:space="0" w:color="auto"/>
              <w:right w:val="single" w:sz="4" w:space="0" w:color="auto"/>
            </w:tcBorders>
            <w:shd w:val="clear" w:color="000000" w:fill="EBF1DE"/>
            <w:noWrap/>
            <w:vAlign w:val="bottom"/>
            <w:hideMark/>
          </w:tcPr>
          <w:p w:rsidR="007F0645" w:rsidRPr="008C5F3F" w:rsidRDefault="007F0645" w:rsidP="00841B78">
            <w:pPr>
              <w:jc w:val="center"/>
              <w:rPr>
                <w:b/>
                <w:bCs/>
                <w:color w:val="000000"/>
                <w:sz w:val="20"/>
                <w:szCs w:val="20"/>
              </w:rPr>
            </w:pPr>
            <w:r w:rsidRPr="008C5F3F">
              <w:rPr>
                <w:b/>
                <w:bCs/>
                <w:color w:val="000000"/>
                <w:sz w:val="20"/>
                <w:szCs w:val="20"/>
              </w:rPr>
              <w:t>Pozīcija</w:t>
            </w:r>
          </w:p>
        </w:tc>
        <w:tc>
          <w:tcPr>
            <w:tcW w:w="1273" w:type="dxa"/>
            <w:tcBorders>
              <w:top w:val="single" w:sz="8" w:space="0" w:color="auto"/>
              <w:left w:val="nil"/>
              <w:bottom w:val="single" w:sz="8" w:space="0" w:color="auto"/>
              <w:right w:val="dotDash" w:sz="8" w:space="0" w:color="auto"/>
            </w:tcBorders>
            <w:shd w:val="clear" w:color="000000" w:fill="EBF1DE"/>
            <w:vAlign w:val="bottom"/>
            <w:hideMark/>
          </w:tcPr>
          <w:p w:rsidR="007F0645" w:rsidRPr="008C5F3F" w:rsidRDefault="007F0645" w:rsidP="00841B78">
            <w:pPr>
              <w:jc w:val="center"/>
              <w:rPr>
                <w:b/>
                <w:bCs/>
                <w:color w:val="000000"/>
                <w:sz w:val="20"/>
                <w:szCs w:val="20"/>
              </w:rPr>
            </w:pPr>
            <w:r w:rsidRPr="008C5F3F">
              <w:rPr>
                <w:b/>
                <w:bCs/>
                <w:color w:val="000000"/>
                <w:sz w:val="20"/>
                <w:szCs w:val="20"/>
              </w:rPr>
              <w:t>2014.gads e</w:t>
            </w:r>
            <w:r>
              <w:rPr>
                <w:b/>
                <w:bCs/>
                <w:color w:val="000000"/>
                <w:sz w:val="20"/>
                <w:szCs w:val="20"/>
              </w:rPr>
              <w:t>u</w:t>
            </w:r>
            <w:r w:rsidRPr="008C5F3F">
              <w:rPr>
                <w:b/>
                <w:bCs/>
                <w:color w:val="000000"/>
                <w:sz w:val="20"/>
                <w:szCs w:val="20"/>
              </w:rPr>
              <w:t>ro</w:t>
            </w:r>
          </w:p>
        </w:tc>
        <w:tc>
          <w:tcPr>
            <w:tcW w:w="1137" w:type="dxa"/>
            <w:tcBorders>
              <w:top w:val="single" w:sz="8" w:space="0" w:color="auto"/>
              <w:left w:val="nil"/>
              <w:bottom w:val="single" w:sz="8" w:space="0" w:color="auto"/>
              <w:right w:val="nil"/>
            </w:tcBorders>
            <w:shd w:val="clear" w:color="000000" w:fill="EBF1DE"/>
            <w:vAlign w:val="bottom"/>
            <w:hideMark/>
          </w:tcPr>
          <w:p w:rsidR="007F0645" w:rsidRPr="008C5F3F" w:rsidRDefault="007F0645" w:rsidP="00841B78">
            <w:pPr>
              <w:jc w:val="center"/>
              <w:rPr>
                <w:b/>
                <w:bCs/>
                <w:color w:val="000000"/>
                <w:sz w:val="20"/>
                <w:szCs w:val="20"/>
              </w:rPr>
            </w:pPr>
            <w:r w:rsidRPr="008C5F3F">
              <w:rPr>
                <w:b/>
                <w:bCs/>
                <w:color w:val="000000"/>
                <w:sz w:val="20"/>
                <w:szCs w:val="20"/>
              </w:rPr>
              <w:t>2015. gads e</w:t>
            </w:r>
            <w:r>
              <w:rPr>
                <w:b/>
                <w:bCs/>
                <w:color w:val="000000"/>
                <w:sz w:val="20"/>
                <w:szCs w:val="20"/>
              </w:rPr>
              <w:t>u</w:t>
            </w:r>
            <w:r w:rsidRPr="008C5F3F">
              <w:rPr>
                <w:b/>
                <w:bCs/>
                <w:color w:val="000000"/>
                <w:sz w:val="20"/>
                <w:szCs w:val="20"/>
              </w:rPr>
              <w:t>ro</w:t>
            </w:r>
          </w:p>
        </w:tc>
        <w:tc>
          <w:tcPr>
            <w:tcW w:w="1701" w:type="dxa"/>
            <w:tcBorders>
              <w:top w:val="single" w:sz="8" w:space="0" w:color="auto"/>
              <w:left w:val="single" w:sz="8" w:space="0" w:color="auto"/>
              <w:bottom w:val="single" w:sz="8" w:space="0" w:color="auto"/>
              <w:right w:val="single" w:sz="4" w:space="0" w:color="auto"/>
            </w:tcBorders>
            <w:shd w:val="clear" w:color="000000" w:fill="EBF1DE"/>
            <w:vAlign w:val="bottom"/>
            <w:hideMark/>
          </w:tcPr>
          <w:p w:rsidR="007F0645" w:rsidRPr="008C5F3F" w:rsidRDefault="007F0645" w:rsidP="00841B78">
            <w:pPr>
              <w:jc w:val="center"/>
              <w:rPr>
                <w:b/>
                <w:bCs/>
                <w:color w:val="000000"/>
                <w:sz w:val="20"/>
                <w:szCs w:val="20"/>
              </w:rPr>
            </w:pPr>
            <w:r w:rsidRPr="008C5F3F">
              <w:rPr>
                <w:b/>
                <w:bCs/>
                <w:color w:val="000000"/>
                <w:sz w:val="20"/>
                <w:szCs w:val="20"/>
              </w:rPr>
              <w:t>2016. gads e</w:t>
            </w:r>
            <w:r>
              <w:rPr>
                <w:b/>
                <w:bCs/>
                <w:color w:val="000000"/>
                <w:sz w:val="20"/>
                <w:szCs w:val="20"/>
              </w:rPr>
              <w:t>u</w:t>
            </w:r>
            <w:r w:rsidRPr="008C5F3F">
              <w:rPr>
                <w:b/>
                <w:bCs/>
                <w:color w:val="000000"/>
                <w:sz w:val="20"/>
                <w:szCs w:val="20"/>
              </w:rPr>
              <w:t>ro</w:t>
            </w:r>
          </w:p>
        </w:tc>
        <w:tc>
          <w:tcPr>
            <w:tcW w:w="1130" w:type="dxa"/>
            <w:tcBorders>
              <w:top w:val="single" w:sz="8" w:space="0" w:color="auto"/>
              <w:left w:val="nil"/>
              <w:bottom w:val="single" w:sz="8" w:space="0" w:color="auto"/>
              <w:right w:val="single" w:sz="4" w:space="0" w:color="auto"/>
            </w:tcBorders>
            <w:shd w:val="clear" w:color="000000" w:fill="EBF1DE"/>
            <w:vAlign w:val="bottom"/>
            <w:hideMark/>
          </w:tcPr>
          <w:p w:rsidR="007F0645" w:rsidRPr="008C5F3F" w:rsidRDefault="007F0645" w:rsidP="00841B78">
            <w:pPr>
              <w:jc w:val="center"/>
              <w:rPr>
                <w:b/>
                <w:bCs/>
                <w:color w:val="000000"/>
                <w:sz w:val="20"/>
                <w:szCs w:val="20"/>
              </w:rPr>
            </w:pPr>
            <w:r w:rsidRPr="008C5F3F">
              <w:rPr>
                <w:b/>
                <w:bCs/>
                <w:color w:val="000000"/>
                <w:sz w:val="20"/>
                <w:szCs w:val="20"/>
              </w:rPr>
              <w:t>2017. gads e</w:t>
            </w:r>
            <w:r>
              <w:rPr>
                <w:b/>
                <w:bCs/>
                <w:color w:val="000000"/>
                <w:sz w:val="20"/>
                <w:szCs w:val="20"/>
              </w:rPr>
              <w:t>u</w:t>
            </w:r>
            <w:r w:rsidRPr="008C5F3F">
              <w:rPr>
                <w:b/>
                <w:bCs/>
                <w:color w:val="000000"/>
                <w:sz w:val="20"/>
                <w:szCs w:val="20"/>
              </w:rPr>
              <w:t>ro</w:t>
            </w:r>
          </w:p>
        </w:tc>
        <w:tc>
          <w:tcPr>
            <w:tcW w:w="1280" w:type="dxa"/>
            <w:tcBorders>
              <w:top w:val="single" w:sz="8" w:space="0" w:color="auto"/>
              <w:left w:val="nil"/>
              <w:bottom w:val="single" w:sz="8" w:space="0" w:color="auto"/>
              <w:right w:val="nil"/>
            </w:tcBorders>
            <w:shd w:val="clear" w:color="000000" w:fill="EBF1DE"/>
            <w:vAlign w:val="bottom"/>
            <w:hideMark/>
          </w:tcPr>
          <w:p w:rsidR="007F0645" w:rsidRPr="008C5F3F" w:rsidRDefault="007F0645" w:rsidP="00841B78">
            <w:pPr>
              <w:jc w:val="center"/>
              <w:rPr>
                <w:b/>
                <w:bCs/>
                <w:color w:val="000000"/>
                <w:sz w:val="20"/>
                <w:szCs w:val="20"/>
              </w:rPr>
            </w:pPr>
            <w:r w:rsidRPr="008C5F3F">
              <w:rPr>
                <w:b/>
                <w:bCs/>
                <w:color w:val="000000"/>
                <w:sz w:val="20"/>
                <w:szCs w:val="20"/>
              </w:rPr>
              <w:t>2018. gads e</w:t>
            </w:r>
            <w:r>
              <w:rPr>
                <w:b/>
                <w:bCs/>
                <w:color w:val="000000"/>
                <w:sz w:val="20"/>
                <w:szCs w:val="20"/>
              </w:rPr>
              <w:t>u</w:t>
            </w:r>
            <w:r w:rsidRPr="008C5F3F">
              <w:rPr>
                <w:b/>
                <w:bCs/>
                <w:color w:val="000000"/>
                <w:sz w:val="20"/>
                <w:szCs w:val="20"/>
              </w:rPr>
              <w:t>ro</w:t>
            </w:r>
          </w:p>
        </w:tc>
        <w:tc>
          <w:tcPr>
            <w:tcW w:w="1558" w:type="dxa"/>
            <w:tcBorders>
              <w:top w:val="single" w:sz="8" w:space="0" w:color="auto"/>
              <w:left w:val="single" w:sz="8" w:space="0" w:color="auto"/>
              <w:bottom w:val="single" w:sz="8" w:space="0" w:color="auto"/>
              <w:right w:val="single" w:sz="8" w:space="0" w:color="auto"/>
            </w:tcBorders>
            <w:shd w:val="clear" w:color="000000" w:fill="EBF1DE"/>
            <w:vAlign w:val="bottom"/>
            <w:hideMark/>
          </w:tcPr>
          <w:p w:rsidR="007F0645" w:rsidRPr="008C5F3F" w:rsidRDefault="007F0645" w:rsidP="00841B78">
            <w:pPr>
              <w:jc w:val="center"/>
              <w:rPr>
                <w:b/>
                <w:bCs/>
                <w:color w:val="000000"/>
                <w:sz w:val="20"/>
                <w:szCs w:val="20"/>
              </w:rPr>
            </w:pPr>
            <w:r w:rsidRPr="008C5F3F">
              <w:rPr>
                <w:b/>
                <w:bCs/>
                <w:color w:val="000000"/>
                <w:sz w:val="20"/>
                <w:szCs w:val="20"/>
              </w:rPr>
              <w:t>3.gadu kopējā prognoze e</w:t>
            </w:r>
            <w:r>
              <w:rPr>
                <w:b/>
                <w:bCs/>
                <w:color w:val="000000"/>
                <w:sz w:val="20"/>
                <w:szCs w:val="20"/>
              </w:rPr>
              <w:t>u</w:t>
            </w:r>
            <w:r w:rsidRPr="008C5F3F">
              <w:rPr>
                <w:b/>
                <w:bCs/>
                <w:color w:val="000000"/>
                <w:sz w:val="20"/>
                <w:szCs w:val="20"/>
              </w:rPr>
              <w:t>ro</w:t>
            </w:r>
          </w:p>
        </w:tc>
      </w:tr>
      <w:tr w:rsidR="007F0645" w:rsidRPr="008C5F3F" w:rsidTr="007E159B">
        <w:trPr>
          <w:trHeight w:val="255"/>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273" w:type="dxa"/>
            <w:tcBorders>
              <w:top w:val="nil"/>
              <w:left w:val="nil"/>
              <w:bottom w:val="single" w:sz="4" w:space="0" w:color="auto"/>
              <w:right w:val="dotDash"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7" w:type="dxa"/>
            <w:tcBorders>
              <w:top w:val="nil"/>
              <w:left w:val="nil"/>
              <w:bottom w:val="single" w:sz="4" w:space="0" w:color="auto"/>
              <w:right w:val="single" w:sz="8" w:space="0" w:color="auto"/>
            </w:tcBorders>
            <w:shd w:val="clear" w:color="auto" w:fill="auto"/>
            <w:noWrap/>
            <w:vAlign w:val="bottom"/>
            <w:hideMark/>
          </w:tcPr>
          <w:p w:rsidR="007F0645" w:rsidRPr="008C5F3F" w:rsidRDefault="007F0645" w:rsidP="00841B78">
            <w:pPr>
              <w:jc w:val="center"/>
              <w:rPr>
                <w:b/>
                <w:color w:val="000000"/>
                <w:sz w:val="20"/>
                <w:szCs w:val="20"/>
              </w:rPr>
            </w:pPr>
            <w:r w:rsidRPr="008C5F3F">
              <w:rPr>
                <w:b/>
                <w:color w:val="000000"/>
                <w:sz w:val="20"/>
                <w:szCs w:val="20"/>
              </w:rPr>
              <w:t>uz 01.10.2015</w:t>
            </w:r>
          </w:p>
        </w:tc>
        <w:tc>
          <w:tcPr>
            <w:tcW w:w="1701"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280" w:type="dxa"/>
            <w:tcBorders>
              <w:top w:val="nil"/>
              <w:left w:val="nil"/>
              <w:bottom w:val="single" w:sz="4" w:space="0" w:color="auto"/>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558" w:type="dxa"/>
            <w:tcBorders>
              <w:top w:val="nil"/>
              <w:left w:val="single" w:sz="8" w:space="0" w:color="auto"/>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r>
      <w:tr w:rsidR="007F0645" w:rsidRPr="008C5F3F" w:rsidTr="007E159B">
        <w:trPr>
          <w:trHeight w:val="255"/>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7F0645" w:rsidRPr="008C5F3F" w:rsidRDefault="007F0645" w:rsidP="00841B78">
            <w:pPr>
              <w:rPr>
                <w:b/>
                <w:color w:val="000000"/>
                <w:sz w:val="20"/>
                <w:szCs w:val="20"/>
              </w:rPr>
            </w:pPr>
            <w:r w:rsidRPr="008C5F3F">
              <w:rPr>
                <w:b/>
                <w:color w:val="000000"/>
                <w:sz w:val="20"/>
                <w:szCs w:val="20"/>
              </w:rPr>
              <w:t>Ieņēmumi no privatizācijas</w:t>
            </w:r>
          </w:p>
        </w:tc>
        <w:tc>
          <w:tcPr>
            <w:tcW w:w="1273" w:type="dxa"/>
            <w:tcBorders>
              <w:top w:val="nil"/>
              <w:left w:val="nil"/>
              <w:bottom w:val="single" w:sz="4" w:space="0" w:color="auto"/>
              <w:right w:val="dotDash"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4 619 851 </w:t>
            </w:r>
          </w:p>
        </w:tc>
        <w:tc>
          <w:tcPr>
            <w:tcW w:w="1137" w:type="dxa"/>
            <w:tcBorders>
              <w:top w:val="nil"/>
              <w:left w:val="nil"/>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799 477 </w:t>
            </w:r>
          </w:p>
        </w:tc>
        <w:tc>
          <w:tcPr>
            <w:tcW w:w="1701"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280" w:type="dxa"/>
            <w:tcBorders>
              <w:top w:val="nil"/>
              <w:left w:val="nil"/>
              <w:bottom w:val="single" w:sz="4" w:space="0" w:color="auto"/>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558" w:type="dxa"/>
            <w:tcBorders>
              <w:top w:val="nil"/>
              <w:left w:val="single" w:sz="8" w:space="0" w:color="auto"/>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r>
      <w:tr w:rsidR="007F0645" w:rsidRPr="008C5F3F" w:rsidTr="007E159B">
        <w:trPr>
          <w:trHeight w:val="255"/>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4" w:space="0" w:color="auto"/>
              <w:right w:val="single" w:sz="4" w:space="0" w:color="auto"/>
            </w:tcBorders>
            <w:shd w:val="clear" w:color="auto" w:fill="auto"/>
            <w:vAlign w:val="bottom"/>
            <w:hideMark/>
          </w:tcPr>
          <w:p w:rsidR="007F0645" w:rsidRPr="008C5F3F" w:rsidRDefault="007F0645" w:rsidP="00841B78">
            <w:pPr>
              <w:rPr>
                <w:color w:val="000000"/>
                <w:sz w:val="20"/>
                <w:szCs w:val="20"/>
              </w:rPr>
            </w:pPr>
            <w:r w:rsidRPr="008C5F3F">
              <w:rPr>
                <w:color w:val="000000"/>
                <w:sz w:val="20"/>
                <w:szCs w:val="20"/>
              </w:rPr>
              <w:t>Normatīvie atskaitījumi 7% (bet ne mazāk kā 1422.87)</w:t>
            </w:r>
          </w:p>
        </w:tc>
        <w:tc>
          <w:tcPr>
            <w:tcW w:w="1273" w:type="dxa"/>
            <w:tcBorders>
              <w:top w:val="nil"/>
              <w:left w:val="nil"/>
              <w:bottom w:val="single" w:sz="4" w:space="0" w:color="auto"/>
              <w:right w:val="dotDash"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399 747 </w:t>
            </w:r>
          </w:p>
        </w:tc>
        <w:tc>
          <w:tcPr>
            <w:tcW w:w="1137" w:type="dxa"/>
            <w:tcBorders>
              <w:top w:val="nil"/>
              <w:left w:val="nil"/>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99 268 </w:t>
            </w:r>
          </w:p>
        </w:tc>
        <w:tc>
          <w:tcPr>
            <w:tcW w:w="1701"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280" w:type="dxa"/>
            <w:tcBorders>
              <w:top w:val="nil"/>
              <w:left w:val="nil"/>
              <w:bottom w:val="single" w:sz="4" w:space="0" w:color="auto"/>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558" w:type="dxa"/>
            <w:tcBorders>
              <w:top w:val="nil"/>
              <w:left w:val="single" w:sz="8" w:space="0" w:color="auto"/>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r>
      <w:tr w:rsidR="007F0645" w:rsidRPr="008C5F3F" w:rsidTr="007E159B">
        <w:trPr>
          <w:trHeight w:val="510"/>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4" w:space="0" w:color="auto"/>
              <w:right w:val="single" w:sz="4" w:space="0" w:color="auto"/>
            </w:tcBorders>
            <w:shd w:val="clear" w:color="auto" w:fill="auto"/>
            <w:vAlign w:val="bottom"/>
            <w:hideMark/>
          </w:tcPr>
          <w:p w:rsidR="007F0645" w:rsidRPr="008C5F3F" w:rsidRDefault="007F0645" w:rsidP="00841B78">
            <w:pPr>
              <w:rPr>
                <w:color w:val="000000"/>
                <w:sz w:val="20"/>
                <w:szCs w:val="20"/>
              </w:rPr>
            </w:pPr>
            <w:r w:rsidRPr="008C5F3F">
              <w:rPr>
                <w:color w:val="000000"/>
                <w:sz w:val="20"/>
                <w:szCs w:val="20"/>
              </w:rPr>
              <w:t>Ieņēmumi no privatizācijas (atskaitot Izglītības un Zinātnes ministrijas objektu Islande Hotel)</w:t>
            </w:r>
          </w:p>
        </w:tc>
        <w:tc>
          <w:tcPr>
            <w:tcW w:w="1273" w:type="dxa"/>
            <w:tcBorders>
              <w:top w:val="nil"/>
              <w:left w:val="nil"/>
              <w:bottom w:val="single" w:sz="4" w:space="0" w:color="auto"/>
              <w:right w:val="dotDash"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2 876 013 </w:t>
            </w:r>
          </w:p>
        </w:tc>
        <w:tc>
          <w:tcPr>
            <w:tcW w:w="1137" w:type="dxa"/>
            <w:tcBorders>
              <w:top w:val="nil"/>
              <w:left w:val="nil"/>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280" w:type="dxa"/>
            <w:tcBorders>
              <w:top w:val="nil"/>
              <w:left w:val="nil"/>
              <w:bottom w:val="single" w:sz="4" w:space="0" w:color="auto"/>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558" w:type="dxa"/>
            <w:tcBorders>
              <w:top w:val="nil"/>
              <w:left w:val="single" w:sz="8" w:space="0" w:color="auto"/>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r>
      <w:tr w:rsidR="007F0645" w:rsidRPr="008C5F3F" w:rsidTr="007E159B">
        <w:trPr>
          <w:trHeight w:val="255"/>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4" w:space="0" w:color="auto"/>
              <w:right w:val="single" w:sz="4" w:space="0" w:color="auto"/>
            </w:tcBorders>
            <w:shd w:val="clear" w:color="auto" w:fill="auto"/>
            <w:vAlign w:val="bottom"/>
            <w:hideMark/>
          </w:tcPr>
          <w:p w:rsidR="007F0645" w:rsidRPr="008C5F3F" w:rsidRDefault="007F0645" w:rsidP="00841B78">
            <w:pPr>
              <w:rPr>
                <w:color w:val="000000"/>
                <w:sz w:val="20"/>
                <w:szCs w:val="20"/>
              </w:rPr>
            </w:pPr>
            <w:r w:rsidRPr="008C5F3F">
              <w:rPr>
                <w:color w:val="000000"/>
                <w:sz w:val="20"/>
                <w:szCs w:val="20"/>
              </w:rPr>
              <w:t>Normatīvie atskaitījumi 7% (bet ne mazāk kā 1422.87)</w:t>
            </w:r>
          </w:p>
        </w:tc>
        <w:tc>
          <w:tcPr>
            <w:tcW w:w="1273" w:type="dxa"/>
            <w:tcBorders>
              <w:top w:val="nil"/>
              <w:left w:val="nil"/>
              <w:bottom w:val="single" w:sz="4" w:space="0" w:color="auto"/>
              <w:right w:val="dotDash"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277 678 </w:t>
            </w:r>
          </w:p>
        </w:tc>
        <w:tc>
          <w:tcPr>
            <w:tcW w:w="1137" w:type="dxa"/>
            <w:tcBorders>
              <w:top w:val="nil"/>
              <w:left w:val="nil"/>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280" w:type="dxa"/>
            <w:tcBorders>
              <w:top w:val="nil"/>
              <w:left w:val="nil"/>
              <w:bottom w:val="single" w:sz="4" w:space="0" w:color="auto"/>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558" w:type="dxa"/>
            <w:tcBorders>
              <w:top w:val="nil"/>
              <w:left w:val="single" w:sz="8" w:space="0" w:color="auto"/>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r>
      <w:tr w:rsidR="007F0645" w:rsidRPr="008C5F3F" w:rsidTr="007E159B">
        <w:trPr>
          <w:trHeight w:val="510"/>
        </w:trPr>
        <w:tc>
          <w:tcPr>
            <w:tcW w:w="297" w:type="dxa"/>
            <w:tcBorders>
              <w:top w:val="nil"/>
              <w:left w:val="nil"/>
              <w:bottom w:val="nil"/>
              <w:right w:val="nil"/>
            </w:tcBorders>
            <w:shd w:val="clear" w:color="auto" w:fill="auto"/>
            <w:noWrap/>
            <w:vAlign w:val="bottom"/>
            <w:hideMark/>
          </w:tcPr>
          <w:p w:rsidR="007F0645" w:rsidRPr="008C5F3F" w:rsidRDefault="007F0645" w:rsidP="00841B78">
            <w:pPr>
              <w:rPr>
                <w:b/>
                <w:bCs/>
                <w:color w:val="000000"/>
                <w:sz w:val="20"/>
                <w:szCs w:val="20"/>
              </w:rPr>
            </w:pPr>
          </w:p>
        </w:tc>
        <w:tc>
          <w:tcPr>
            <w:tcW w:w="2680" w:type="dxa"/>
            <w:tcBorders>
              <w:top w:val="nil"/>
              <w:left w:val="single" w:sz="8" w:space="0" w:color="auto"/>
              <w:bottom w:val="single" w:sz="4" w:space="0" w:color="auto"/>
              <w:right w:val="single" w:sz="4" w:space="0" w:color="auto"/>
            </w:tcBorders>
            <w:shd w:val="clear" w:color="auto" w:fill="auto"/>
            <w:vAlign w:val="bottom"/>
            <w:hideMark/>
          </w:tcPr>
          <w:p w:rsidR="007F0645" w:rsidRPr="008C5F3F" w:rsidRDefault="007F0645" w:rsidP="00841B78">
            <w:pPr>
              <w:rPr>
                <w:color w:val="000000"/>
                <w:sz w:val="20"/>
                <w:szCs w:val="20"/>
              </w:rPr>
            </w:pPr>
            <w:r w:rsidRPr="008C5F3F">
              <w:rPr>
                <w:color w:val="000000"/>
                <w:sz w:val="20"/>
                <w:szCs w:val="20"/>
              </w:rPr>
              <w:t xml:space="preserve">Ieņēmumi no jaunu zemes un nekustamā īpašuma privatizācijas līgumu noslēgšanas </w:t>
            </w:r>
          </w:p>
        </w:tc>
        <w:tc>
          <w:tcPr>
            <w:tcW w:w="1273" w:type="dxa"/>
            <w:tcBorders>
              <w:top w:val="single" w:sz="4" w:space="0" w:color="auto"/>
              <w:left w:val="nil"/>
              <w:bottom w:val="nil"/>
              <w:right w:val="dotDash" w:sz="8" w:space="0" w:color="auto"/>
            </w:tcBorders>
            <w:shd w:val="clear" w:color="auto" w:fill="auto"/>
            <w:noWrap/>
            <w:vAlign w:val="bottom"/>
            <w:hideMark/>
          </w:tcPr>
          <w:p w:rsidR="007F0645" w:rsidRPr="008C5F3F" w:rsidRDefault="007F0645" w:rsidP="00841B78">
            <w:pPr>
              <w:jc w:val="center"/>
              <w:rPr>
                <w:b/>
                <w:bCs/>
                <w:color w:val="538DD5"/>
                <w:sz w:val="20"/>
                <w:szCs w:val="20"/>
              </w:rPr>
            </w:pPr>
            <w:r w:rsidRPr="008C5F3F">
              <w:rPr>
                <w:b/>
                <w:bCs/>
                <w:color w:val="538DD5"/>
                <w:sz w:val="20"/>
                <w:szCs w:val="20"/>
              </w:rPr>
              <w:t> </w:t>
            </w:r>
          </w:p>
        </w:tc>
        <w:tc>
          <w:tcPr>
            <w:tcW w:w="1137" w:type="dxa"/>
            <w:tcBorders>
              <w:top w:val="nil"/>
              <w:left w:val="nil"/>
              <w:bottom w:val="single" w:sz="4" w:space="0" w:color="auto"/>
              <w:right w:val="single" w:sz="8" w:space="0" w:color="auto"/>
            </w:tcBorders>
            <w:shd w:val="clear" w:color="auto" w:fill="auto"/>
            <w:noWrap/>
            <w:vAlign w:val="bottom"/>
            <w:hideMark/>
          </w:tcPr>
          <w:p w:rsidR="007F0645" w:rsidRPr="008C5F3F" w:rsidRDefault="007F0645" w:rsidP="00841B78">
            <w:pPr>
              <w:rPr>
                <w:b/>
                <w:bCs/>
                <w:color w:val="538DD5"/>
                <w:sz w:val="20"/>
                <w:szCs w:val="20"/>
              </w:rPr>
            </w:pPr>
            <w:r w:rsidRPr="008C5F3F">
              <w:rPr>
                <w:b/>
                <w:bCs/>
                <w:color w:val="538DD5"/>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jc w:val="right"/>
              <w:rPr>
                <w:sz w:val="20"/>
                <w:szCs w:val="20"/>
              </w:rPr>
            </w:pPr>
            <w:r w:rsidRPr="008C5F3F">
              <w:rPr>
                <w:sz w:val="20"/>
                <w:szCs w:val="20"/>
              </w:rPr>
              <w:t>3 165 685</w:t>
            </w:r>
          </w:p>
        </w:tc>
        <w:tc>
          <w:tcPr>
            <w:tcW w:w="113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jc w:val="right"/>
              <w:rPr>
                <w:sz w:val="20"/>
                <w:szCs w:val="20"/>
              </w:rPr>
            </w:pPr>
            <w:r w:rsidRPr="008C5F3F">
              <w:rPr>
                <w:sz w:val="20"/>
                <w:szCs w:val="20"/>
              </w:rPr>
              <w:t>1 665 400</w:t>
            </w:r>
          </w:p>
        </w:tc>
        <w:tc>
          <w:tcPr>
            <w:tcW w:w="1280" w:type="dxa"/>
            <w:tcBorders>
              <w:top w:val="nil"/>
              <w:left w:val="nil"/>
              <w:bottom w:val="single" w:sz="4" w:space="0" w:color="auto"/>
              <w:right w:val="nil"/>
            </w:tcBorders>
            <w:shd w:val="clear" w:color="auto" w:fill="auto"/>
            <w:noWrap/>
            <w:vAlign w:val="bottom"/>
            <w:hideMark/>
          </w:tcPr>
          <w:p w:rsidR="007F0645" w:rsidRPr="008C5F3F" w:rsidRDefault="007F0645" w:rsidP="00841B78">
            <w:pPr>
              <w:jc w:val="right"/>
              <w:rPr>
                <w:sz w:val="20"/>
                <w:szCs w:val="20"/>
              </w:rPr>
            </w:pPr>
            <w:r w:rsidRPr="008C5F3F">
              <w:rPr>
                <w:sz w:val="20"/>
                <w:szCs w:val="20"/>
              </w:rPr>
              <w:t>1 135 280</w:t>
            </w:r>
          </w:p>
        </w:tc>
        <w:tc>
          <w:tcPr>
            <w:tcW w:w="1558" w:type="dxa"/>
            <w:tcBorders>
              <w:top w:val="nil"/>
              <w:left w:val="single" w:sz="8" w:space="0" w:color="auto"/>
              <w:bottom w:val="single" w:sz="4" w:space="0" w:color="auto"/>
              <w:right w:val="single" w:sz="8" w:space="0" w:color="auto"/>
            </w:tcBorders>
            <w:shd w:val="clear" w:color="auto" w:fill="auto"/>
            <w:noWrap/>
            <w:vAlign w:val="bottom"/>
            <w:hideMark/>
          </w:tcPr>
          <w:p w:rsidR="007F0645" w:rsidRPr="008C5F3F" w:rsidRDefault="007F0645" w:rsidP="00841B78">
            <w:pPr>
              <w:jc w:val="right"/>
              <w:rPr>
                <w:b/>
                <w:bCs/>
                <w:sz w:val="20"/>
                <w:szCs w:val="20"/>
              </w:rPr>
            </w:pPr>
            <w:r w:rsidRPr="008C5F3F">
              <w:rPr>
                <w:b/>
                <w:bCs/>
                <w:sz w:val="20"/>
                <w:szCs w:val="20"/>
              </w:rPr>
              <w:t>5 966 365</w:t>
            </w:r>
          </w:p>
        </w:tc>
      </w:tr>
      <w:tr w:rsidR="007F0645" w:rsidRPr="008C5F3F" w:rsidTr="007E159B">
        <w:trPr>
          <w:trHeight w:val="510"/>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4" w:space="0" w:color="auto"/>
              <w:right w:val="single" w:sz="4" w:space="0" w:color="auto"/>
            </w:tcBorders>
            <w:shd w:val="clear" w:color="auto" w:fill="auto"/>
            <w:vAlign w:val="bottom"/>
            <w:hideMark/>
          </w:tcPr>
          <w:p w:rsidR="007F0645" w:rsidRPr="008C5F3F" w:rsidRDefault="007F0645" w:rsidP="00841B78">
            <w:pPr>
              <w:rPr>
                <w:color w:val="000000"/>
                <w:sz w:val="20"/>
                <w:szCs w:val="20"/>
              </w:rPr>
            </w:pPr>
            <w:r w:rsidRPr="008C5F3F">
              <w:rPr>
                <w:color w:val="000000"/>
                <w:sz w:val="20"/>
                <w:szCs w:val="20"/>
              </w:rPr>
              <w:t>Ieņēmumi no iepriekšējos periodos slēgtiem līgumiem (uz nomaksu)</w:t>
            </w:r>
          </w:p>
        </w:tc>
        <w:tc>
          <w:tcPr>
            <w:tcW w:w="1273" w:type="dxa"/>
            <w:tcBorders>
              <w:top w:val="single" w:sz="4" w:space="0" w:color="auto"/>
              <w:left w:val="nil"/>
              <w:bottom w:val="nil"/>
              <w:right w:val="dotDash" w:sz="8" w:space="0" w:color="auto"/>
            </w:tcBorders>
            <w:shd w:val="clear" w:color="auto" w:fill="auto"/>
            <w:noWrap/>
            <w:vAlign w:val="bottom"/>
            <w:hideMark/>
          </w:tcPr>
          <w:p w:rsidR="007F0645" w:rsidRPr="008C5F3F" w:rsidRDefault="007F0645" w:rsidP="00841B78">
            <w:pPr>
              <w:jc w:val="center"/>
              <w:rPr>
                <w:color w:val="000000"/>
                <w:sz w:val="20"/>
                <w:szCs w:val="20"/>
              </w:rPr>
            </w:pPr>
            <w:r w:rsidRPr="008C5F3F">
              <w:rPr>
                <w:color w:val="000000"/>
                <w:sz w:val="20"/>
                <w:szCs w:val="20"/>
              </w:rPr>
              <w:t> </w:t>
            </w:r>
          </w:p>
        </w:tc>
        <w:tc>
          <w:tcPr>
            <w:tcW w:w="1137" w:type="dxa"/>
            <w:tcBorders>
              <w:top w:val="nil"/>
              <w:left w:val="nil"/>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jc w:val="right"/>
              <w:rPr>
                <w:color w:val="000000"/>
                <w:sz w:val="20"/>
                <w:szCs w:val="20"/>
              </w:rPr>
            </w:pPr>
            <w:r w:rsidRPr="008C5F3F">
              <w:rPr>
                <w:color w:val="000000"/>
                <w:sz w:val="20"/>
                <w:szCs w:val="20"/>
              </w:rPr>
              <w:t>1 554 530</w:t>
            </w:r>
          </w:p>
        </w:tc>
        <w:tc>
          <w:tcPr>
            <w:tcW w:w="113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jc w:val="right"/>
              <w:rPr>
                <w:color w:val="000000"/>
                <w:sz w:val="20"/>
                <w:szCs w:val="20"/>
              </w:rPr>
            </w:pPr>
            <w:r w:rsidRPr="008C5F3F">
              <w:rPr>
                <w:color w:val="000000"/>
                <w:sz w:val="20"/>
                <w:szCs w:val="20"/>
              </w:rPr>
              <w:t>1 526 276</w:t>
            </w:r>
          </w:p>
        </w:tc>
        <w:tc>
          <w:tcPr>
            <w:tcW w:w="128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jc w:val="right"/>
              <w:rPr>
                <w:color w:val="000000"/>
                <w:sz w:val="20"/>
                <w:szCs w:val="20"/>
              </w:rPr>
            </w:pPr>
            <w:r w:rsidRPr="008C5F3F">
              <w:rPr>
                <w:color w:val="000000"/>
                <w:sz w:val="20"/>
                <w:szCs w:val="20"/>
              </w:rPr>
              <w:t>1 051 732</w:t>
            </w:r>
          </w:p>
        </w:tc>
        <w:tc>
          <w:tcPr>
            <w:tcW w:w="1558" w:type="dxa"/>
            <w:tcBorders>
              <w:top w:val="nil"/>
              <w:left w:val="single" w:sz="8" w:space="0" w:color="auto"/>
              <w:bottom w:val="single" w:sz="4" w:space="0" w:color="auto"/>
              <w:right w:val="single" w:sz="8" w:space="0" w:color="auto"/>
            </w:tcBorders>
            <w:shd w:val="clear" w:color="auto" w:fill="auto"/>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4 132 538</w:t>
            </w:r>
          </w:p>
        </w:tc>
      </w:tr>
      <w:tr w:rsidR="007F0645" w:rsidRPr="008C5F3F" w:rsidTr="007E159B">
        <w:trPr>
          <w:trHeight w:val="270"/>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8"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Kopā ieņēmumi no pirkuma līgumiem</w:t>
            </w:r>
          </w:p>
        </w:tc>
        <w:tc>
          <w:tcPr>
            <w:tcW w:w="1273" w:type="dxa"/>
            <w:tcBorders>
              <w:top w:val="single" w:sz="4" w:space="0" w:color="auto"/>
              <w:left w:val="nil"/>
              <w:bottom w:val="single" w:sz="8" w:space="0" w:color="auto"/>
              <w:right w:val="dotDash" w:sz="8" w:space="0" w:color="auto"/>
            </w:tcBorders>
            <w:shd w:val="clear" w:color="auto" w:fill="auto"/>
            <w:noWrap/>
            <w:vAlign w:val="bottom"/>
            <w:hideMark/>
          </w:tcPr>
          <w:p w:rsidR="007F0645" w:rsidRPr="008C5F3F" w:rsidRDefault="007F0645" w:rsidP="00841B78">
            <w:pPr>
              <w:jc w:val="center"/>
              <w:rPr>
                <w:color w:val="000000"/>
                <w:sz w:val="20"/>
                <w:szCs w:val="20"/>
              </w:rPr>
            </w:pPr>
            <w:r w:rsidRPr="008C5F3F">
              <w:rPr>
                <w:color w:val="000000"/>
                <w:sz w:val="20"/>
                <w:szCs w:val="20"/>
              </w:rPr>
              <w:t> </w:t>
            </w:r>
          </w:p>
        </w:tc>
        <w:tc>
          <w:tcPr>
            <w:tcW w:w="1137" w:type="dxa"/>
            <w:tcBorders>
              <w:top w:val="nil"/>
              <w:left w:val="nil"/>
              <w:bottom w:val="single" w:sz="8"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nil"/>
              <w:left w:val="nil"/>
              <w:bottom w:val="single" w:sz="8" w:space="0" w:color="auto"/>
              <w:right w:val="single" w:sz="4" w:space="0" w:color="auto"/>
            </w:tcBorders>
            <w:shd w:val="clear" w:color="auto" w:fill="auto"/>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4 720 215</w:t>
            </w:r>
          </w:p>
        </w:tc>
        <w:tc>
          <w:tcPr>
            <w:tcW w:w="1130" w:type="dxa"/>
            <w:tcBorders>
              <w:top w:val="nil"/>
              <w:left w:val="nil"/>
              <w:bottom w:val="single" w:sz="8" w:space="0" w:color="auto"/>
              <w:right w:val="single" w:sz="4" w:space="0" w:color="auto"/>
            </w:tcBorders>
            <w:shd w:val="clear" w:color="auto" w:fill="auto"/>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3 191 676</w:t>
            </w:r>
          </w:p>
        </w:tc>
        <w:tc>
          <w:tcPr>
            <w:tcW w:w="1280" w:type="dxa"/>
            <w:tcBorders>
              <w:top w:val="nil"/>
              <w:left w:val="nil"/>
              <w:bottom w:val="single" w:sz="8" w:space="0" w:color="auto"/>
              <w:right w:val="single" w:sz="4" w:space="0" w:color="auto"/>
            </w:tcBorders>
            <w:shd w:val="clear" w:color="auto" w:fill="auto"/>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2 187 012</w:t>
            </w:r>
          </w:p>
        </w:tc>
        <w:tc>
          <w:tcPr>
            <w:tcW w:w="1558" w:type="dxa"/>
            <w:tcBorders>
              <w:top w:val="nil"/>
              <w:left w:val="single" w:sz="8" w:space="0" w:color="auto"/>
              <w:bottom w:val="single" w:sz="8" w:space="0" w:color="auto"/>
              <w:right w:val="single" w:sz="8" w:space="0" w:color="auto"/>
            </w:tcBorders>
            <w:shd w:val="clear" w:color="auto" w:fill="auto"/>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10 098 903</w:t>
            </w:r>
          </w:p>
        </w:tc>
      </w:tr>
      <w:tr w:rsidR="007F0645" w:rsidRPr="008C5F3F" w:rsidTr="007E159B">
        <w:trPr>
          <w:trHeight w:val="255"/>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Nomas maksājumi</w:t>
            </w:r>
          </w:p>
        </w:tc>
        <w:tc>
          <w:tcPr>
            <w:tcW w:w="1273" w:type="dxa"/>
            <w:tcBorders>
              <w:top w:val="nil"/>
              <w:left w:val="nil"/>
              <w:bottom w:val="nil"/>
              <w:right w:val="dotDash" w:sz="8" w:space="0" w:color="auto"/>
            </w:tcBorders>
            <w:shd w:val="clear" w:color="auto" w:fill="auto"/>
            <w:noWrap/>
            <w:vAlign w:val="bottom"/>
            <w:hideMark/>
          </w:tcPr>
          <w:p w:rsidR="007F0645" w:rsidRPr="008C5F3F" w:rsidRDefault="007F0645" w:rsidP="00841B78">
            <w:pPr>
              <w:jc w:val="center"/>
              <w:rPr>
                <w:color w:val="000000"/>
                <w:sz w:val="20"/>
                <w:szCs w:val="20"/>
              </w:rPr>
            </w:pPr>
            <w:r w:rsidRPr="008C5F3F">
              <w:rPr>
                <w:color w:val="000000"/>
                <w:sz w:val="20"/>
                <w:szCs w:val="20"/>
              </w:rPr>
              <w:t> </w:t>
            </w:r>
          </w:p>
        </w:tc>
        <w:tc>
          <w:tcPr>
            <w:tcW w:w="1137" w:type="dxa"/>
            <w:tcBorders>
              <w:top w:val="nil"/>
              <w:left w:val="nil"/>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jc w:val="right"/>
              <w:rPr>
                <w:color w:val="000000"/>
                <w:sz w:val="20"/>
                <w:szCs w:val="20"/>
              </w:rPr>
            </w:pPr>
            <w:r w:rsidRPr="008C5F3F">
              <w:rPr>
                <w:color w:val="000000"/>
                <w:sz w:val="20"/>
                <w:szCs w:val="20"/>
              </w:rPr>
              <w:t>431 055</w:t>
            </w:r>
          </w:p>
        </w:tc>
        <w:tc>
          <w:tcPr>
            <w:tcW w:w="113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jc w:val="right"/>
              <w:rPr>
                <w:color w:val="000000"/>
                <w:sz w:val="20"/>
                <w:szCs w:val="20"/>
              </w:rPr>
            </w:pPr>
            <w:r w:rsidRPr="008C5F3F">
              <w:rPr>
                <w:color w:val="000000"/>
                <w:sz w:val="20"/>
                <w:szCs w:val="20"/>
              </w:rPr>
              <w:t>323 291</w:t>
            </w:r>
          </w:p>
        </w:tc>
        <w:tc>
          <w:tcPr>
            <w:tcW w:w="128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jc w:val="right"/>
              <w:rPr>
                <w:color w:val="000000"/>
                <w:sz w:val="20"/>
                <w:szCs w:val="20"/>
              </w:rPr>
            </w:pPr>
            <w:r w:rsidRPr="008C5F3F">
              <w:rPr>
                <w:color w:val="000000"/>
                <w:sz w:val="20"/>
                <w:szCs w:val="20"/>
              </w:rPr>
              <w:t>242 468</w:t>
            </w:r>
          </w:p>
        </w:tc>
        <w:tc>
          <w:tcPr>
            <w:tcW w:w="1558" w:type="dxa"/>
            <w:tcBorders>
              <w:top w:val="nil"/>
              <w:left w:val="single" w:sz="8" w:space="0" w:color="auto"/>
              <w:bottom w:val="single" w:sz="4" w:space="0" w:color="auto"/>
              <w:right w:val="single" w:sz="8" w:space="0" w:color="auto"/>
            </w:tcBorders>
            <w:shd w:val="clear" w:color="auto" w:fill="auto"/>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996 814</w:t>
            </w:r>
          </w:p>
        </w:tc>
      </w:tr>
      <w:tr w:rsidR="007F0645" w:rsidRPr="008C5F3F" w:rsidTr="007E159B">
        <w:trPr>
          <w:trHeight w:val="270"/>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8"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Dzīvokļu atsavināšana</w:t>
            </w:r>
          </w:p>
        </w:tc>
        <w:tc>
          <w:tcPr>
            <w:tcW w:w="1273" w:type="dxa"/>
            <w:tcBorders>
              <w:top w:val="single" w:sz="4" w:space="0" w:color="auto"/>
              <w:left w:val="nil"/>
              <w:bottom w:val="single" w:sz="8" w:space="0" w:color="auto"/>
              <w:right w:val="dotDash" w:sz="8" w:space="0" w:color="auto"/>
            </w:tcBorders>
            <w:shd w:val="clear" w:color="auto" w:fill="auto"/>
            <w:noWrap/>
            <w:vAlign w:val="bottom"/>
            <w:hideMark/>
          </w:tcPr>
          <w:p w:rsidR="007F0645" w:rsidRPr="008C5F3F" w:rsidRDefault="007F0645" w:rsidP="00841B78">
            <w:pPr>
              <w:jc w:val="center"/>
              <w:rPr>
                <w:color w:val="000000"/>
                <w:sz w:val="20"/>
                <w:szCs w:val="20"/>
              </w:rPr>
            </w:pPr>
            <w:r w:rsidRPr="008C5F3F">
              <w:rPr>
                <w:color w:val="000000"/>
                <w:sz w:val="20"/>
                <w:szCs w:val="20"/>
              </w:rPr>
              <w:t> </w:t>
            </w:r>
          </w:p>
        </w:tc>
        <w:tc>
          <w:tcPr>
            <w:tcW w:w="1137" w:type="dxa"/>
            <w:tcBorders>
              <w:top w:val="nil"/>
              <w:left w:val="nil"/>
              <w:bottom w:val="single" w:sz="8"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nil"/>
              <w:left w:val="nil"/>
              <w:bottom w:val="single" w:sz="8" w:space="0" w:color="auto"/>
              <w:right w:val="single" w:sz="4" w:space="0" w:color="auto"/>
            </w:tcBorders>
            <w:shd w:val="clear" w:color="auto" w:fill="auto"/>
            <w:noWrap/>
            <w:vAlign w:val="bottom"/>
            <w:hideMark/>
          </w:tcPr>
          <w:p w:rsidR="007F0645" w:rsidRPr="008C5F3F" w:rsidRDefault="007F0645" w:rsidP="00841B78">
            <w:pPr>
              <w:jc w:val="right"/>
              <w:rPr>
                <w:color w:val="000000"/>
                <w:sz w:val="20"/>
                <w:szCs w:val="20"/>
              </w:rPr>
            </w:pPr>
            <w:r w:rsidRPr="008C5F3F">
              <w:rPr>
                <w:color w:val="000000"/>
                <w:sz w:val="20"/>
                <w:szCs w:val="20"/>
              </w:rPr>
              <w:t>300 000</w:t>
            </w:r>
          </w:p>
        </w:tc>
        <w:tc>
          <w:tcPr>
            <w:tcW w:w="1130" w:type="dxa"/>
            <w:tcBorders>
              <w:top w:val="nil"/>
              <w:left w:val="nil"/>
              <w:bottom w:val="single" w:sz="8" w:space="0" w:color="auto"/>
              <w:right w:val="single" w:sz="4" w:space="0" w:color="auto"/>
            </w:tcBorders>
            <w:shd w:val="clear" w:color="auto" w:fill="auto"/>
            <w:noWrap/>
            <w:vAlign w:val="bottom"/>
            <w:hideMark/>
          </w:tcPr>
          <w:p w:rsidR="007F0645" w:rsidRPr="008C5F3F" w:rsidRDefault="007F0645" w:rsidP="00841B78">
            <w:pPr>
              <w:jc w:val="right"/>
              <w:rPr>
                <w:color w:val="000000"/>
                <w:sz w:val="20"/>
                <w:szCs w:val="20"/>
              </w:rPr>
            </w:pPr>
            <w:r w:rsidRPr="008C5F3F">
              <w:rPr>
                <w:color w:val="000000"/>
                <w:sz w:val="20"/>
                <w:szCs w:val="20"/>
              </w:rPr>
              <w:t>100 000</w:t>
            </w:r>
          </w:p>
        </w:tc>
        <w:tc>
          <w:tcPr>
            <w:tcW w:w="1280" w:type="dxa"/>
            <w:tcBorders>
              <w:top w:val="nil"/>
              <w:left w:val="nil"/>
              <w:bottom w:val="single" w:sz="8" w:space="0" w:color="auto"/>
              <w:right w:val="single" w:sz="4" w:space="0" w:color="auto"/>
            </w:tcBorders>
            <w:shd w:val="clear" w:color="auto" w:fill="auto"/>
            <w:noWrap/>
            <w:vAlign w:val="bottom"/>
            <w:hideMark/>
          </w:tcPr>
          <w:p w:rsidR="007F0645" w:rsidRPr="008C5F3F" w:rsidRDefault="007F0645" w:rsidP="00841B78">
            <w:pPr>
              <w:jc w:val="right"/>
              <w:rPr>
                <w:color w:val="000000"/>
                <w:sz w:val="20"/>
                <w:szCs w:val="20"/>
              </w:rPr>
            </w:pPr>
            <w:r w:rsidRPr="008C5F3F">
              <w:rPr>
                <w:color w:val="000000"/>
                <w:sz w:val="20"/>
                <w:szCs w:val="20"/>
              </w:rPr>
              <w:t>100 000</w:t>
            </w:r>
          </w:p>
        </w:tc>
        <w:tc>
          <w:tcPr>
            <w:tcW w:w="1558" w:type="dxa"/>
            <w:tcBorders>
              <w:top w:val="nil"/>
              <w:left w:val="single" w:sz="8" w:space="0" w:color="auto"/>
              <w:bottom w:val="single" w:sz="8" w:space="0" w:color="auto"/>
              <w:right w:val="single" w:sz="8" w:space="0" w:color="auto"/>
            </w:tcBorders>
            <w:shd w:val="clear" w:color="auto" w:fill="auto"/>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500 000</w:t>
            </w:r>
          </w:p>
        </w:tc>
      </w:tr>
      <w:tr w:rsidR="007F0645" w:rsidRPr="008C5F3F" w:rsidTr="007E159B">
        <w:trPr>
          <w:trHeight w:val="255"/>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7F0645" w:rsidRPr="008C5F3F" w:rsidRDefault="007F0645" w:rsidP="00841B78">
            <w:pPr>
              <w:rPr>
                <w:b/>
                <w:bCs/>
                <w:color w:val="000000"/>
                <w:sz w:val="20"/>
                <w:szCs w:val="20"/>
              </w:rPr>
            </w:pPr>
            <w:r w:rsidRPr="008C5F3F">
              <w:rPr>
                <w:b/>
                <w:bCs/>
                <w:color w:val="000000"/>
                <w:sz w:val="20"/>
                <w:szCs w:val="20"/>
              </w:rPr>
              <w:t>Kopā ieņēmumi pirms normatīvo atskaitījumu aprēķināšanas</w:t>
            </w:r>
          </w:p>
        </w:tc>
        <w:tc>
          <w:tcPr>
            <w:tcW w:w="1273" w:type="dxa"/>
            <w:tcBorders>
              <w:top w:val="nil"/>
              <w:left w:val="nil"/>
              <w:bottom w:val="single" w:sz="4" w:space="0" w:color="auto"/>
              <w:right w:val="dotDash" w:sz="8" w:space="0" w:color="auto"/>
            </w:tcBorders>
            <w:shd w:val="clear" w:color="auto" w:fill="auto"/>
            <w:noWrap/>
            <w:vAlign w:val="bottom"/>
            <w:hideMark/>
          </w:tcPr>
          <w:p w:rsidR="007F0645" w:rsidRPr="008C5F3F" w:rsidRDefault="007F0645" w:rsidP="00841B78">
            <w:pPr>
              <w:jc w:val="center"/>
              <w:rPr>
                <w:color w:val="000000"/>
                <w:sz w:val="20"/>
                <w:szCs w:val="20"/>
              </w:rPr>
            </w:pPr>
            <w:r w:rsidRPr="008C5F3F">
              <w:rPr>
                <w:color w:val="000000"/>
                <w:sz w:val="20"/>
                <w:szCs w:val="20"/>
              </w:rPr>
              <w:t> </w:t>
            </w:r>
          </w:p>
        </w:tc>
        <w:tc>
          <w:tcPr>
            <w:tcW w:w="1137" w:type="dxa"/>
            <w:tcBorders>
              <w:top w:val="nil"/>
              <w:left w:val="nil"/>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 xml:space="preserve"> 5 451 270 </w:t>
            </w:r>
          </w:p>
        </w:tc>
        <w:tc>
          <w:tcPr>
            <w:tcW w:w="113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 xml:space="preserve">3 614 967 </w:t>
            </w:r>
          </w:p>
        </w:tc>
        <w:tc>
          <w:tcPr>
            <w:tcW w:w="128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 xml:space="preserve">2 529 480 </w:t>
            </w:r>
          </w:p>
        </w:tc>
        <w:tc>
          <w:tcPr>
            <w:tcW w:w="1558" w:type="dxa"/>
            <w:tcBorders>
              <w:top w:val="nil"/>
              <w:left w:val="single" w:sz="8" w:space="0" w:color="auto"/>
              <w:bottom w:val="single" w:sz="4" w:space="0" w:color="auto"/>
              <w:right w:val="single" w:sz="8" w:space="0" w:color="auto"/>
            </w:tcBorders>
            <w:shd w:val="clear" w:color="auto" w:fill="auto"/>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11 595 717</w:t>
            </w:r>
          </w:p>
        </w:tc>
      </w:tr>
      <w:tr w:rsidR="007F0645" w:rsidRPr="008C5F3F" w:rsidTr="007E159B">
        <w:trPr>
          <w:trHeight w:val="270"/>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7F0645" w:rsidRPr="008C5F3F" w:rsidRDefault="007F0645" w:rsidP="00841B78">
            <w:pPr>
              <w:jc w:val="right"/>
              <w:rPr>
                <w:color w:val="000000"/>
                <w:sz w:val="20"/>
                <w:szCs w:val="20"/>
              </w:rPr>
            </w:pPr>
            <w:r w:rsidRPr="008C5F3F">
              <w:rPr>
                <w:color w:val="000000"/>
                <w:sz w:val="20"/>
                <w:szCs w:val="20"/>
              </w:rPr>
              <w:t>Zemes un nekustamā īpašuma dienesta izdevumi</w:t>
            </w:r>
          </w:p>
        </w:tc>
        <w:tc>
          <w:tcPr>
            <w:tcW w:w="1273" w:type="dxa"/>
            <w:tcBorders>
              <w:top w:val="single" w:sz="4" w:space="0" w:color="auto"/>
              <w:left w:val="nil"/>
              <w:bottom w:val="nil"/>
              <w:right w:val="dotDash"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7" w:type="dxa"/>
            <w:tcBorders>
              <w:top w:val="single" w:sz="4" w:space="0" w:color="auto"/>
              <w:left w:val="nil"/>
              <w:bottom w:val="single" w:sz="4" w:space="0" w:color="auto"/>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F0645" w:rsidRPr="008C5F3F" w:rsidRDefault="007F0645" w:rsidP="00841B78">
            <w:pPr>
              <w:jc w:val="right"/>
              <w:rPr>
                <w:color w:val="000000"/>
                <w:sz w:val="20"/>
                <w:szCs w:val="20"/>
              </w:rPr>
            </w:pPr>
            <w:r w:rsidRPr="008C5F3F">
              <w:rPr>
                <w:color w:val="000000"/>
                <w:sz w:val="20"/>
                <w:szCs w:val="20"/>
              </w:rPr>
              <w:t>984 057</w:t>
            </w:r>
          </w:p>
        </w:tc>
        <w:tc>
          <w:tcPr>
            <w:tcW w:w="1130" w:type="dxa"/>
            <w:tcBorders>
              <w:top w:val="nil"/>
              <w:left w:val="nil"/>
              <w:bottom w:val="single" w:sz="4" w:space="0" w:color="auto"/>
              <w:right w:val="single" w:sz="4" w:space="0" w:color="auto"/>
            </w:tcBorders>
            <w:shd w:val="clear" w:color="000000" w:fill="FFFFFF"/>
            <w:noWrap/>
            <w:vAlign w:val="bottom"/>
            <w:hideMark/>
          </w:tcPr>
          <w:p w:rsidR="007F0645" w:rsidRPr="008C5F3F" w:rsidRDefault="007F0645" w:rsidP="00841B78">
            <w:pPr>
              <w:jc w:val="right"/>
              <w:rPr>
                <w:color w:val="000000"/>
                <w:sz w:val="20"/>
                <w:szCs w:val="20"/>
              </w:rPr>
            </w:pPr>
            <w:r w:rsidRPr="008C5F3F">
              <w:rPr>
                <w:color w:val="000000"/>
                <w:sz w:val="20"/>
                <w:szCs w:val="20"/>
              </w:rPr>
              <w:t>984 057</w:t>
            </w:r>
          </w:p>
        </w:tc>
        <w:tc>
          <w:tcPr>
            <w:tcW w:w="1280" w:type="dxa"/>
            <w:tcBorders>
              <w:top w:val="single" w:sz="4" w:space="0" w:color="auto"/>
              <w:left w:val="nil"/>
              <w:bottom w:val="single" w:sz="4" w:space="0" w:color="auto"/>
              <w:right w:val="nil"/>
            </w:tcBorders>
            <w:shd w:val="clear" w:color="000000" w:fill="FFFFFF"/>
            <w:noWrap/>
            <w:vAlign w:val="bottom"/>
            <w:hideMark/>
          </w:tcPr>
          <w:p w:rsidR="007F0645" w:rsidRPr="008C5F3F" w:rsidRDefault="007F0645" w:rsidP="00841B78">
            <w:pPr>
              <w:jc w:val="right"/>
              <w:rPr>
                <w:color w:val="000000"/>
                <w:sz w:val="20"/>
                <w:szCs w:val="20"/>
              </w:rPr>
            </w:pPr>
            <w:r w:rsidRPr="008C5F3F">
              <w:rPr>
                <w:color w:val="000000"/>
                <w:sz w:val="20"/>
                <w:szCs w:val="20"/>
              </w:rPr>
              <w:t>984 057</w:t>
            </w:r>
          </w:p>
        </w:tc>
        <w:tc>
          <w:tcPr>
            <w:tcW w:w="1558"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2 952 171</w:t>
            </w:r>
          </w:p>
        </w:tc>
      </w:tr>
      <w:tr w:rsidR="007F0645" w:rsidRPr="008C5F3F" w:rsidTr="007E159B">
        <w:trPr>
          <w:trHeight w:val="270"/>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7F0645" w:rsidRPr="008C5F3F" w:rsidRDefault="007F0645" w:rsidP="00841B78">
            <w:pPr>
              <w:rPr>
                <w:b/>
                <w:bCs/>
                <w:color w:val="000000"/>
                <w:sz w:val="20"/>
                <w:szCs w:val="20"/>
              </w:rPr>
            </w:pPr>
            <w:r w:rsidRPr="008C5F3F">
              <w:rPr>
                <w:b/>
                <w:bCs/>
                <w:color w:val="000000"/>
                <w:sz w:val="20"/>
                <w:szCs w:val="20"/>
              </w:rPr>
              <w:t xml:space="preserve"> 50% normatīvā atskaitījuma</w:t>
            </w:r>
            <w:r>
              <w:rPr>
                <w:b/>
                <w:bCs/>
                <w:color w:val="000000"/>
                <w:sz w:val="20"/>
                <w:szCs w:val="20"/>
              </w:rPr>
              <w:t xml:space="preserve"> </w:t>
            </w:r>
            <w:r w:rsidRPr="008C5F3F">
              <w:rPr>
                <w:b/>
                <w:bCs/>
                <w:color w:val="000000"/>
                <w:sz w:val="20"/>
                <w:szCs w:val="20"/>
              </w:rPr>
              <w:t>(NA) piedāvājums</w:t>
            </w:r>
          </w:p>
        </w:tc>
        <w:tc>
          <w:tcPr>
            <w:tcW w:w="1273" w:type="dxa"/>
            <w:tcBorders>
              <w:top w:val="nil"/>
              <w:left w:val="nil"/>
              <w:bottom w:val="nil"/>
              <w:right w:val="dotDash"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7" w:type="dxa"/>
            <w:tcBorders>
              <w:top w:val="nil"/>
              <w:left w:val="nil"/>
              <w:bottom w:val="single" w:sz="4" w:space="0" w:color="auto"/>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0" w:type="dxa"/>
            <w:tcBorders>
              <w:top w:val="single" w:sz="8" w:space="0" w:color="auto"/>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280" w:type="dxa"/>
            <w:tcBorders>
              <w:top w:val="single" w:sz="8" w:space="0" w:color="auto"/>
              <w:left w:val="nil"/>
              <w:bottom w:val="single" w:sz="4" w:space="0" w:color="auto"/>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558" w:type="dxa"/>
            <w:tcBorders>
              <w:top w:val="nil"/>
              <w:left w:val="single" w:sz="8" w:space="0" w:color="auto"/>
              <w:bottom w:val="nil"/>
              <w:right w:val="single"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r>
      <w:tr w:rsidR="007F0645" w:rsidRPr="008C5F3F" w:rsidTr="007E159B">
        <w:trPr>
          <w:trHeight w:val="270"/>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single" w:sz="4" w:space="0" w:color="auto"/>
              <w:right w:val="single" w:sz="4" w:space="0" w:color="auto"/>
            </w:tcBorders>
            <w:shd w:val="clear" w:color="auto" w:fill="auto"/>
            <w:vAlign w:val="bottom"/>
            <w:hideMark/>
          </w:tcPr>
          <w:p w:rsidR="007F0645" w:rsidRPr="008C5F3F" w:rsidRDefault="007F0645" w:rsidP="00841B78">
            <w:pPr>
              <w:jc w:val="right"/>
              <w:rPr>
                <w:color w:val="000000"/>
                <w:sz w:val="20"/>
                <w:szCs w:val="20"/>
              </w:rPr>
            </w:pPr>
            <w:r w:rsidRPr="008C5F3F">
              <w:rPr>
                <w:color w:val="000000"/>
                <w:sz w:val="20"/>
                <w:szCs w:val="20"/>
              </w:rPr>
              <w:t>Normatīvie atskaitījumi 50%  (bet ne mazāk kā 1422.87)</w:t>
            </w:r>
          </w:p>
        </w:tc>
        <w:tc>
          <w:tcPr>
            <w:tcW w:w="1273" w:type="dxa"/>
            <w:tcBorders>
              <w:top w:val="single" w:sz="4" w:space="0" w:color="auto"/>
              <w:left w:val="nil"/>
              <w:bottom w:val="single" w:sz="4" w:space="0" w:color="auto"/>
              <w:right w:val="dotDash"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7" w:type="dxa"/>
            <w:tcBorders>
              <w:top w:val="nil"/>
              <w:left w:val="nil"/>
              <w:bottom w:val="single" w:sz="4" w:space="0" w:color="auto"/>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nil"/>
              <w:left w:val="single" w:sz="8" w:space="0" w:color="auto"/>
              <w:bottom w:val="single" w:sz="4" w:space="0" w:color="auto"/>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1 582 843 </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832 700 </w:t>
            </w:r>
          </w:p>
        </w:tc>
        <w:tc>
          <w:tcPr>
            <w:tcW w:w="128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567 640 </w:t>
            </w:r>
          </w:p>
        </w:tc>
        <w:tc>
          <w:tcPr>
            <w:tcW w:w="1558"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2 983 183</w:t>
            </w:r>
          </w:p>
        </w:tc>
      </w:tr>
      <w:tr w:rsidR="007F0645" w:rsidRPr="008C5F3F" w:rsidTr="007E159B">
        <w:trPr>
          <w:trHeight w:val="255"/>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nil"/>
              <w:right w:val="single" w:sz="4" w:space="0" w:color="auto"/>
            </w:tcBorders>
            <w:shd w:val="clear" w:color="auto" w:fill="auto"/>
            <w:vAlign w:val="bottom"/>
            <w:hideMark/>
          </w:tcPr>
          <w:p w:rsidR="007F0645" w:rsidRPr="008C5F3F" w:rsidRDefault="007F0645" w:rsidP="00841B78">
            <w:pPr>
              <w:jc w:val="right"/>
              <w:rPr>
                <w:color w:val="000000"/>
                <w:sz w:val="20"/>
                <w:szCs w:val="20"/>
              </w:rPr>
            </w:pPr>
            <w:r w:rsidRPr="008C5F3F">
              <w:rPr>
                <w:color w:val="000000"/>
                <w:sz w:val="20"/>
                <w:szCs w:val="20"/>
              </w:rPr>
              <w:t>Citi normatīvie atskaitījumi</w:t>
            </w:r>
          </w:p>
        </w:tc>
        <w:tc>
          <w:tcPr>
            <w:tcW w:w="1273" w:type="dxa"/>
            <w:tcBorders>
              <w:top w:val="nil"/>
              <w:left w:val="nil"/>
              <w:bottom w:val="nil"/>
              <w:right w:val="dotDash"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nil"/>
              <w:left w:val="single" w:sz="8" w:space="0" w:color="auto"/>
              <w:bottom w:val="single" w:sz="4" w:space="0" w:color="auto"/>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424 850 </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361 123 </w:t>
            </w:r>
          </w:p>
        </w:tc>
        <w:tc>
          <w:tcPr>
            <w:tcW w:w="1280" w:type="dxa"/>
            <w:tcBorders>
              <w:top w:val="nil"/>
              <w:left w:val="nil"/>
              <w:bottom w:val="single" w:sz="4"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306 954 </w:t>
            </w:r>
          </w:p>
        </w:tc>
        <w:tc>
          <w:tcPr>
            <w:tcW w:w="1558" w:type="dxa"/>
            <w:tcBorders>
              <w:top w:val="nil"/>
              <w:left w:val="single" w:sz="8" w:space="0" w:color="auto"/>
              <w:bottom w:val="single" w:sz="4" w:space="0" w:color="auto"/>
              <w:right w:val="single" w:sz="8" w:space="0" w:color="auto"/>
            </w:tcBorders>
            <w:shd w:val="clear" w:color="000000" w:fill="FFFFFF"/>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1 092 927</w:t>
            </w:r>
          </w:p>
        </w:tc>
      </w:tr>
      <w:tr w:rsidR="007F0645" w:rsidRPr="008C5F3F" w:rsidTr="007E159B">
        <w:trPr>
          <w:trHeight w:val="270"/>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single" w:sz="4" w:space="0" w:color="auto"/>
              <w:left w:val="single" w:sz="8" w:space="0" w:color="auto"/>
              <w:bottom w:val="nil"/>
              <w:right w:val="single" w:sz="4" w:space="0" w:color="auto"/>
            </w:tcBorders>
            <w:shd w:val="clear" w:color="auto" w:fill="auto"/>
            <w:vAlign w:val="bottom"/>
            <w:hideMark/>
          </w:tcPr>
          <w:p w:rsidR="007F0645" w:rsidRPr="008C5F3F" w:rsidRDefault="007F0645" w:rsidP="00841B78">
            <w:pPr>
              <w:jc w:val="right"/>
              <w:rPr>
                <w:color w:val="000000"/>
                <w:sz w:val="20"/>
                <w:szCs w:val="20"/>
              </w:rPr>
            </w:pPr>
            <w:r w:rsidRPr="008C5F3F">
              <w:rPr>
                <w:color w:val="000000"/>
                <w:sz w:val="20"/>
                <w:szCs w:val="20"/>
              </w:rPr>
              <w:t> </w:t>
            </w:r>
          </w:p>
        </w:tc>
        <w:tc>
          <w:tcPr>
            <w:tcW w:w="1273" w:type="dxa"/>
            <w:tcBorders>
              <w:top w:val="single" w:sz="4" w:space="0" w:color="auto"/>
              <w:left w:val="nil"/>
              <w:bottom w:val="nil"/>
              <w:right w:val="dotDash" w:sz="8"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7" w:type="dxa"/>
            <w:tcBorders>
              <w:top w:val="single" w:sz="4" w:space="0" w:color="auto"/>
              <w:left w:val="nil"/>
              <w:bottom w:val="nil"/>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nil"/>
              <w:left w:val="single" w:sz="8" w:space="0" w:color="auto"/>
              <w:bottom w:val="nil"/>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280"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558" w:type="dxa"/>
            <w:tcBorders>
              <w:top w:val="nil"/>
              <w:left w:val="single" w:sz="8" w:space="0" w:color="auto"/>
              <w:bottom w:val="nil"/>
              <w:right w:val="single" w:sz="8" w:space="0" w:color="auto"/>
            </w:tcBorders>
            <w:shd w:val="clear" w:color="000000" w:fill="FFFFFF"/>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0</w:t>
            </w:r>
          </w:p>
        </w:tc>
      </w:tr>
      <w:tr w:rsidR="007F0645" w:rsidRPr="008C5F3F" w:rsidTr="007E159B">
        <w:trPr>
          <w:trHeight w:val="270"/>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Atskaitījumi rezerves fonda papildināšanai</w:t>
            </w:r>
          </w:p>
        </w:tc>
        <w:tc>
          <w:tcPr>
            <w:tcW w:w="1273" w:type="dxa"/>
            <w:tcBorders>
              <w:top w:val="single" w:sz="4" w:space="0" w:color="auto"/>
              <w:left w:val="nil"/>
              <w:bottom w:val="single" w:sz="8"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7" w:type="dxa"/>
            <w:tcBorders>
              <w:top w:val="single" w:sz="4" w:space="0" w:color="auto"/>
              <w:left w:val="nil"/>
              <w:bottom w:val="single" w:sz="8" w:space="0" w:color="auto"/>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313 737 </w:t>
            </w:r>
          </w:p>
        </w:tc>
        <w:tc>
          <w:tcPr>
            <w:tcW w:w="1130" w:type="dxa"/>
            <w:tcBorders>
              <w:top w:val="single" w:sz="4" w:space="0" w:color="auto"/>
              <w:left w:val="nil"/>
              <w:bottom w:val="single" w:sz="8" w:space="0" w:color="auto"/>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235 898 </w:t>
            </w:r>
          </w:p>
        </w:tc>
        <w:tc>
          <w:tcPr>
            <w:tcW w:w="1280" w:type="dxa"/>
            <w:tcBorders>
              <w:top w:val="single" w:sz="4" w:space="0" w:color="auto"/>
              <w:left w:val="nil"/>
              <w:bottom w:val="single" w:sz="8" w:space="0" w:color="auto"/>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xml:space="preserve">161 937 </w:t>
            </w:r>
          </w:p>
        </w:tc>
        <w:tc>
          <w:tcPr>
            <w:tcW w:w="155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711 572</w:t>
            </w:r>
          </w:p>
        </w:tc>
      </w:tr>
      <w:tr w:rsidR="007F0645" w:rsidRPr="008C5F3F" w:rsidTr="007E159B">
        <w:trPr>
          <w:trHeight w:val="270"/>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nil"/>
              <w:left w:val="single" w:sz="8" w:space="0" w:color="auto"/>
              <w:bottom w:val="nil"/>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273" w:type="dxa"/>
            <w:tcBorders>
              <w:top w:val="nil"/>
              <w:left w:val="nil"/>
              <w:bottom w:val="nil"/>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nil"/>
              <w:left w:val="single" w:sz="8" w:space="0" w:color="auto"/>
              <w:bottom w:val="nil"/>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0" w:type="dxa"/>
            <w:tcBorders>
              <w:top w:val="nil"/>
              <w:left w:val="nil"/>
              <w:bottom w:val="nil"/>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280" w:type="dxa"/>
            <w:tcBorders>
              <w:top w:val="nil"/>
              <w:left w:val="nil"/>
              <w:bottom w:val="nil"/>
              <w:right w:val="single" w:sz="4" w:space="0" w:color="auto"/>
            </w:tcBorders>
            <w:shd w:val="clear" w:color="auto" w:fill="auto"/>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558" w:type="dxa"/>
            <w:tcBorders>
              <w:top w:val="nil"/>
              <w:left w:val="nil"/>
              <w:bottom w:val="nil"/>
              <w:right w:val="single" w:sz="8" w:space="0" w:color="auto"/>
            </w:tcBorders>
            <w:shd w:val="clear" w:color="000000" w:fill="FFFFFF"/>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0</w:t>
            </w:r>
          </w:p>
        </w:tc>
      </w:tr>
      <w:tr w:rsidR="007F0645" w:rsidRPr="008C5F3F" w:rsidTr="007E159B">
        <w:trPr>
          <w:trHeight w:val="270"/>
        </w:trPr>
        <w:tc>
          <w:tcPr>
            <w:tcW w:w="297" w:type="dxa"/>
            <w:tcBorders>
              <w:top w:val="nil"/>
              <w:left w:val="nil"/>
              <w:bottom w:val="nil"/>
              <w:right w:val="nil"/>
            </w:tcBorders>
            <w:shd w:val="clear" w:color="auto" w:fill="auto"/>
            <w:noWrap/>
            <w:vAlign w:val="bottom"/>
            <w:hideMark/>
          </w:tcPr>
          <w:p w:rsidR="007F0645" w:rsidRPr="008C5F3F" w:rsidRDefault="007F0645" w:rsidP="00841B78">
            <w:pPr>
              <w:rPr>
                <w:color w:val="000000"/>
                <w:sz w:val="20"/>
                <w:szCs w:val="20"/>
              </w:rPr>
            </w:pPr>
          </w:p>
        </w:tc>
        <w:tc>
          <w:tcPr>
            <w:tcW w:w="2680" w:type="dxa"/>
            <w:tcBorders>
              <w:top w:val="single" w:sz="8" w:space="0" w:color="auto"/>
              <w:left w:val="single" w:sz="8" w:space="0" w:color="auto"/>
              <w:bottom w:val="single" w:sz="8" w:space="0" w:color="auto"/>
              <w:right w:val="single" w:sz="4" w:space="0" w:color="auto"/>
            </w:tcBorders>
            <w:shd w:val="clear" w:color="000000" w:fill="D8E4BC"/>
            <w:noWrap/>
            <w:vAlign w:val="bottom"/>
            <w:hideMark/>
          </w:tcPr>
          <w:p w:rsidR="007F0645" w:rsidRPr="008C5F3F" w:rsidRDefault="007F0645" w:rsidP="00841B78">
            <w:pPr>
              <w:rPr>
                <w:b/>
                <w:bCs/>
                <w:color w:val="000000"/>
                <w:sz w:val="20"/>
                <w:szCs w:val="20"/>
              </w:rPr>
            </w:pPr>
            <w:r w:rsidRPr="008C5F3F">
              <w:rPr>
                <w:b/>
                <w:bCs/>
                <w:color w:val="000000"/>
                <w:sz w:val="20"/>
                <w:szCs w:val="20"/>
              </w:rPr>
              <w:t>Iemaksājams Valsts budžetā</w:t>
            </w:r>
          </w:p>
        </w:tc>
        <w:tc>
          <w:tcPr>
            <w:tcW w:w="1273" w:type="dxa"/>
            <w:tcBorders>
              <w:top w:val="single" w:sz="8" w:space="0" w:color="auto"/>
              <w:left w:val="nil"/>
              <w:bottom w:val="single" w:sz="8" w:space="0" w:color="auto"/>
              <w:right w:val="single" w:sz="4" w:space="0" w:color="auto"/>
            </w:tcBorders>
            <w:shd w:val="clear" w:color="000000" w:fill="D8E4BC"/>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137" w:type="dxa"/>
            <w:tcBorders>
              <w:top w:val="single" w:sz="8" w:space="0" w:color="auto"/>
              <w:left w:val="nil"/>
              <w:bottom w:val="single" w:sz="8" w:space="0" w:color="auto"/>
              <w:right w:val="nil"/>
            </w:tcBorders>
            <w:shd w:val="clear" w:color="000000" w:fill="D8E4BC"/>
            <w:noWrap/>
            <w:vAlign w:val="bottom"/>
            <w:hideMark/>
          </w:tcPr>
          <w:p w:rsidR="007F0645" w:rsidRPr="008C5F3F" w:rsidRDefault="007F0645" w:rsidP="00841B78">
            <w:pPr>
              <w:rPr>
                <w:color w:val="000000"/>
                <w:sz w:val="20"/>
                <w:szCs w:val="20"/>
              </w:rPr>
            </w:pPr>
            <w:r w:rsidRPr="008C5F3F">
              <w:rPr>
                <w:color w:val="000000"/>
                <w:sz w:val="20"/>
                <w:szCs w:val="20"/>
              </w:rPr>
              <w:t> </w:t>
            </w:r>
          </w:p>
        </w:tc>
        <w:tc>
          <w:tcPr>
            <w:tcW w:w="1701" w:type="dxa"/>
            <w:tcBorders>
              <w:top w:val="single" w:sz="8" w:space="0" w:color="auto"/>
              <w:left w:val="single" w:sz="4" w:space="0" w:color="auto"/>
              <w:bottom w:val="single" w:sz="8" w:space="0" w:color="auto"/>
              <w:right w:val="single" w:sz="4" w:space="0" w:color="auto"/>
            </w:tcBorders>
            <w:shd w:val="clear" w:color="000000" w:fill="D8E4BC"/>
            <w:noWrap/>
            <w:vAlign w:val="bottom"/>
            <w:hideMark/>
          </w:tcPr>
          <w:p w:rsidR="007F0645" w:rsidRPr="008C5F3F" w:rsidRDefault="007F0645" w:rsidP="00841B78">
            <w:pPr>
              <w:rPr>
                <w:b/>
                <w:bCs/>
                <w:color w:val="000000"/>
                <w:sz w:val="20"/>
                <w:szCs w:val="20"/>
              </w:rPr>
            </w:pPr>
            <w:r w:rsidRPr="008C5F3F">
              <w:rPr>
                <w:b/>
                <w:bCs/>
                <w:color w:val="000000"/>
                <w:sz w:val="20"/>
                <w:szCs w:val="20"/>
              </w:rPr>
              <w:t xml:space="preserve">3 129 840 </w:t>
            </w:r>
          </w:p>
        </w:tc>
        <w:tc>
          <w:tcPr>
            <w:tcW w:w="1130" w:type="dxa"/>
            <w:tcBorders>
              <w:top w:val="single" w:sz="8" w:space="0" w:color="auto"/>
              <w:left w:val="nil"/>
              <w:bottom w:val="single" w:sz="8" w:space="0" w:color="auto"/>
              <w:right w:val="single" w:sz="4" w:space="0" w:color="auto"/>
            </w:tcBorders>
            <w:shd w:val="clear" w:color="000000" w:fill="D8E4BC"/>
            <w:noWrap/>
            <w:vAlign w:val="bottom"/>
            <w:hideMark/>
          </w:tcPr>
          <w:p w:rsidR="007F0645" w:rsidRPr="008C5F3F" w:rsidRDefault="007F0645" w:rsidP="00841B78">
            <w:pPr>
              <w:rPr>
                <w:b/>
                <w:bCs/>
                <w:color w:val="000000"/>
                <w:sz w:val="20"/>
                <w:szCs w:val="20"/>
              </w:rPr>
            </w:pPr>
            <w:r w:rsidRPr="008C5F3F">
              <w:rPr>
                <w:b/>
                <w:bCs/>
                <w:color w:val="000000"/>
                <w:sz w:val="20"/>
                <w:szCs w:val="20"/>
              </w:rPr>
              <w:t xml:space="preserve">2 185 247 </w:t>
            </w:r>
          </w:p>
        </w:tc>
        <w:tc>
          <w:tcPr>
            <w:tcW w:w="1280" w:type="dxa"/>
            <w:tcBorders>
              <w:top w:val="single" w:sz="8" w:space="0" w:color="auto"/>
              <w:left w:val="nil"/>
              <w:bottom w:val="single" w:sz="8" w:space="0" w:color="auto"/>
              <w:right w:val="single" w:sz="4" w:space="0" w:color="auto"/>
            </w:tcBorders>
            <w:shd w:val="clear" w:color="000000" w:fill="D8E4BC"/>
            <w:noWrap/>
            <w:vAlign w:val="bottom"/>
            <w:hideMark/>
          </w:tcPr>
          <w:p w:rsidR="007F0645" w:rsidRPr="008C5F3F" w:rsidRDefault="007F0645" w:rsidP="00841B78">
            <w:pPr>
              <w:rPr>
                <w:b/>
                <w:bCs/>
                <w:color w:val="000000"/>
                <w:sz w:val="20"/>
                <w:szCs w:val="20"/>
              </w:rPr>
            </w:pPr>
            <w:r w:rsidRPr="008C5F3F">
              <w:rPr>
                <w:b/>
                <w:bCs/>
                <w:color w:val="000000"/>
                <w:sz w:val="20"/>
                <w:szCs w:val="20"/>
              </w:rPr>
              <w:t xml:space="preserve">1 492 948 </w:t>
            </w:r>
          </w:p>
        </w:tc>
        <w:tc>
          <w:tcPr>
            <w:tcW w:w="1558" w:type="dxa"/>
            <w:tcBorders>
              <w:top w:val="single" w:sz="8" w:space="0" w:color="auto"/>
              <w:left w:val="nil"/>
              <w:bottom w:val="single" w:sz="8" w:space="0" w:color="auto"/>
              <w:right w:val="single" w:sz="8" w:space="0" w:color="auto"/>
            </w:tcBorders>
            <w:shd w:val="clear" w:color="000000" w:fill="D8E4BC"/>
            <w:noWrap/>
            <w:vAlign w:val="bottom"/>
            <w:hideMark/>
          </w:tcPr>
          <w:p w:rsidR="007F0645" w:rsidRPr="008C5F3F" w:rsidRDefault="007F0645" w:rsidP="00841B78">
            <w:pPr>
              <w:jc w:val="right"/>
              <w:rPr>
                <w:b/>
                <w:bCs/>
                <w:color w:val="000000"/>
                <w:sz w:val="20"/>
                <w:szCs w:val="20"/>
              </w:rPr>
            </w:pPr>
            <w:r w:rsidRPr="008C5F3F">
              <w:rPr>
                <w:b/>
                <w:bCs/>
                <w:color w:val="000000"/>
                <w:sz w:val="20"/>
                <w:szCs w:val="20"/>
              </w:rPr>
              <w:t>6 808 035</w:t>
            </w:r>
          </w:p>
        </w:tc>
      </w:tr>
    </w:tbl>
    <w:p w:rsidR="00BF4B68" w:rsidRDefault="00BF4B68" w:rsidP="00951629">
      <w:pPr>
        <w:pStyle w:val="naisf"/>
        <w:spacing w:before="0" w:after="0"/>
        <w:ind w:firstLine="0"/>
        <w:rPr>
          <w:noProof/>
          <w:sz w:val="20"/>
          <w:szCs w:val="20"/>
        </w:rPr>
      </w:pPr>
    </w:p>
    <w:sectPr w:rsidR="00BF4B68" w:rsidSect="00951629">
      <w:headerReference w:type="even" r:id="rId14"/>
      <w:headerReference w:type="default" r:id="rId15"/>
      <w:footerReference w:type="default" r:id="rId16"/>
      <w:footerReference w:type="first" r:id="rId17"/>
      <w:pgSz w:w="11906" w:h="16838" w:code="9"/>
      <w:pgMar w:top="709" w:right="707" w:bottom="1134" w:left="1701" w:header="709" w:footer="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71" w:rsidRDefault="002F2871">
      <w:r>
        <w:separator/>
      </w:r>
    </w:p>
  </w:endnote>
  <w:endnote w:type="continuationSeparator" w:id="0">
    <w:p w:rsidR="002F2871" w:rsidRDefault="002F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EB" w:rsidRPr="00FE26D4" w:rsidRDefault="00ED08EB" w:rsidP="00ED08EB">
    <w:pPr>
      <w:jc w:val="both"/>
      <w:rPr>
        <w:sz w:val="16"/>
        <w:szCs w:val="16"/>
      </w:rPr>
    </w:pPr>
    <w:r w:rsidRPr="00FE26D4">
      <w:rPr>
        <w:color w:val="000000"/>
        <w:sz w:val="16"/>
        <w:szCs w:val="16"/>
      </w:rPr>
      <w:t>PKCAnot_</w:t>
    </w:r>
    <w:r w:rsidR="00184171">
      <w:rPr>
        <w:color w:val="000000"/>
        <w:sz w:val="16"/>
        <w:szCs w:val="16"/>
      </w:rPr>
      <w:t>1</w:t>
    </w:r>
    <w:r w:rsidR="003044BD">
      <w:rPr>
        <w:color w:val="000000"/>
        <w:sz w:val="16"/>
        <w:szCs w:val="16"/>
      </w:rPr>
      <w:t>01</w:t>
    </w:r>
    <w:r w:rsidR="00AB6760">
      <w:rPr>
        <w:color w:val="000000"/>
        <w:sz w:val="16"/>
        <w:szCs w:val="16"/>
      </w:rPr>
      <w:t>1</w:t>
    </w:r>
    <w:r w:rsidRPr="00FE26D4">
      <w:rPr>
        <w:color w:val="000000"/>
        <w:sz w:val="16"/>
        <w:szCs w:val="16"/>
      </w:rPr>
      <w:t>15_</w:t>
    </w:r>
    <w:r w:rsidR="00FE26D4" w:rsidRPr="00FE26D4">
      <w:rPr>
        <w:color w:val="000000"/>
        <w:sz w:val="16"/>
        <w:szCs w:val="16"/>
      </w:rPr>
      <w:t>PA</w:t>
    </w:r>
    <w:r w:rsidRPr="00FE26D4">
      <w:rPr>
        <w:color w:val="000000"/>
        <w:sz w:val="16"/>
        <w:szCs w:val="16"/>
      </w:rPr>
      <w:t xml:space="preserve">atskait_VSS-863; </w:t>
    </w:r>
    <w:r w:rsidRPr="00FE26D4">
      <w:rPr>
        <w:sz w:val="16"/>
        <w:szCs w:val="16"/>
      </w:rPr>
      <w:t xml:space="preserve">Ministru kabineta noteikumu projekts </w:t>
    </w:r>
    <w:r w:rsidRPr="00FE26D4">
      <w:rPr>
        <w:bCs/>
        <w:sz w:val="16"/>
        <w:szCs w:val="16"/>
      </w:rPr>
      <w:t xml:space="preserve">„Kārtība, kādā veicami atskaitījumi Privatizācijas aģentūrai par valsts īpašuma privatizāciju, valsts kapitāla daļu atsavināšanu un citām normatīvajos aktos noteiktajām darbībām, izveidojams un izlietojams rezerves fonds un veicami maksājumi valsts budžetā” </w:t>
    </w:r>
    <w:r w:rsidRPr="00FE26D4">
      <w:rPr>
        <w:color w:val="000000"/>
        <w:sz w:val="16"/>
        <w:szCs w:val="16"/>
      </w:rPr>
      <w:t>sākotnējās ietekmes novērtējuma ziņojums (anotācija)</w:t>
    </w:r>
  </w:p>
  <w:p w:rsidR="00ED08EB" w:rsidRPr="00EB3F3E" w:rsidRDefault="00ED08EB" w:rsidP="00ED08EB">
    <w:pPr>
      <w:widowControl w:val="0"/>
      <w:outlineLvl w:val="0"/>
      <w:rPr>
        <w:bCs/>
        <w:i/>
        <w:sz w:val="20"/>
        <w:szCs w:val="20"/>
      </w:rPr>
    </w:pPr>
  </w:p>
  <w:p w:rsidR="00CD6C0B" w:rsidRPr="00ED08EB" w:rsidRDefault="00CD6C0B" w:rsidP="00ED0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B3" w:rsidRPr="003A3397" w:rsidRDefault="00F50AB3" w:rsidP="00F50AB3">
    <w:pPr>
      <w:jc w:val="both"/>
      <w:rPr>
        <w:sz w:val="16"/>
        <w:szCs w:val="16"/>
      </w:rPr>
    </w:pPr>
    <w:r w:rsidRPr="003A3397">
      <w:rPr>
        <w:color w:val="000000"/>
        <w:sz w:val="16"/>
        <w:szCs w:val="16"/>
      </w:rPr>
      <w:t>PKCAnot_</w:t>
    </w:r>
    <w:r w:rsidR="00184171" w:rsidRPr="003A3397">
      <w:rPr>
        <w:color w:val="000000"/>
        <w:sz w:val="16"/>
        <w:szCs w:val="16"/>
      </w:rPr>
      <w:t>1</w:t>
    </w:r>
    <w:r w:rsidR="003044BD" w:rsidRPr="003A3397">
      <w:rPr>
        <w:color w:val="000000"/>
        <w:sz w:val="16"/>
        <w:szCs w:val="16"/>
      </w:rPr>
      <w:t>01</w:t>
    </w:r>
    <w:r w:rsidR="00AB6760" w:rsidRPr="003A3397">
      <w:rPr>
        <w:color w:val="000000"/>
        <w:sz w:val="16"/>
        <w:szCs w:val="16"/>
      </w:rPr>
      <w:t>1</w:t>
    </w:r>
    <w:r w:rsidR="00244435" w:rsidRPr="003A3397">
      <w:rPr>
        <w:color w:val="000000"/>
        <w:sz w:val="16"/>
        <w:szCs w:val="16"/>
      </w:rPr>
      <w:t>15_</w:t>
    </w:r>
    <w:r w:rsidR="00F25DA3" w:rsidRPr="003A3397">
      <w:rPr>
        <w:color w:val="000000"/>
        <w:sz w:val="16"/>
        <w:szCs w:val="16"/>
      </w:rPr>
      <w:t>PA</w:t>
    </w:r>
    <w:r w:rsidR="00ED08EB" w:rsidRPr="003A3397">
      <w:rPr>
        <w:color w:val="000000"/>
        <w:sz w:val="16"/>
        <w:szCs w:val="16"/>
      </w:rPr>
      <w:t>a</w:t>
    </w:r>
    <w:r w:rsidR="00244435" w:rsidRPr="003A3397">
      <w:rPr>
        <w:color w:val="000000"/>
        <w:sz w:val="16"/>
        <w:szCs w:val="16"/>
      </w:rPr>
      <w:t>tskait</w:t>
    </w:r>
    <w:r w:rsidR="00ED08EB" w:rsidRPr="003A3397">
      <w:rPr>
        <w:color w:val="000000"/>
        <w:sz w:val="16"/>
        <w:szCs w:val="16"/>
      </w:rPr>
      <w:t>_VSS-863</w:t>
    </w:r>
    <w:r w:rsidRPr="003A3397">
      <w:rPr>
        <w:color w:val="000000"/>
        <w:sz w:val="16"/>
        <w:szCs w:val="16"/>
      </w:rPr>
      <w:t xml:space="preserve">; </w:t>
    </w:r>
    <w:r w:rsidRPr="003A3397">
      <w:rPr>
        <w:sz w:val="16"/>
        <w:szCs w:val="16"/>
      </w:rPr>
      <w:t>Mini</w:t>
    </w:r>
    <w:r w:rsidR="00244435" w:rsidRPr="003A3397">
      <w:rPr>
        <w:sz w:val="16"/>
        <w:szCs w:val="16"/>
      </w:rPr>
      <w:t>stru kabineta noteikumu projekts</w:t>
    </w:r>
    <w:r w:rsidRPr="003A3397">
      <w:rPr>
        <w:sz w:val="16"/>
        <w:szCs w:val="16"/>
      </w:rPr>
      <w:t xml:space="preserve"> </w:t>
    </w:r>
    <w:r w:rsidRPr="003A3397">
      <w:rPr>
        <w:bCs/>
        <w:sz w:val="16"/>
        <w:szCs w:val="16"/>
      </w:rPr>
      <w:t>„</w:t>
    </w:r>
    <w:r w:rsidR="00244435" w:rsidRPr="003A3397">
      <w:rPr>
        <w:bCs/>
        <w:sz w:val="16"/>
        <w:szCs w:val="16"/>
      </w:rPr>
      <w:t>Kārtība, kādā veicami atskaitījumi Privatizācijas aģentūrai par valsts īpašuma privatizāciju, valsts kapitāla daļu atsavināšanu un citām normatīvajos aktos noteiktajām darbībām, izveidojams un izlietojams rezerves fonds un veicami maksājumi valsts budžetā”</w:t>
    </w:r>
    <w:r w:rsidR="00ED08EB" w:rsidRPr="003A3397">
      <w:rPr>
        <w:bCs/>
        <w:sz w:val="16"/>
        <w:szCs w:val="16"/>
      </w:rPr>
      <w:t xml:space="preserve"> </w:t>
    </w:r>
    <w:r w:rsidRPr="003A3397">
      <w:rPr>
        <w:color w:val="000000"/>
        <w:sz w:val="16"/>
        <w:szCs w:val="16"/>
      </w:rPr>
      <w:t>sākotnējās ietekmes novērtējuma ziņojums (anotācija)</w:t>
    </w:r>
  </w:p>
  <w:p w:rsidR="00CD6C0B" w:rsidRPr="003A3397" w:rsidRDefault="00CD6C0B" w:rsidP="00EF3CB9">
    <w:pPr>
      <w:widowControl w:val="0"/>
      <w:outlineLvl w:val="0"/>
      <w:rPr>
        <w:bCs/>
        <w:i/>
        <w:sz w:val="16"/>
        <w:szCs w:val="16"/>
      </w:rPr>
    </w:pPr>
  </w:p>
  <w:p w:rsidR="00CD6C0B" w:rsidRPr="00363EF3" w:rsidRDefault="00CD6C0B"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71" w:rsidRDefault="002F2871">
      <w:r>
        <w:separator/>
      </w:r>
    </w:p>
  </w:footnote>
  <w:footnote w:type="continuationSeparator" w:id="0">
    <w:p w:rsidR="002F2871" w:rsidRDefault="002F2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0B" w:rsidRDefault="00CD6C0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C0B" w:rsidRDefault="00CD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CD6C0B" w:rsidRDefault="00CD6C0B">
        <w:pPr>
          <w:pStyle w:val="Header"/>
          <w:jc w:val="center"/>
        </w:pPr>
        <w:r>
          <w:fldChar w:fldCharType="begin"/>
        </w:r>
        <w:r>
          <w:instrText xml:space="preserve"> PAGE   \* MERGEFORMAT </w:instrText>
        </w:r>
        <w:r>
          <w:fldChar w:fldCharType="separate"/>
        </w:r>
        <w:r w:rsidR="00E600D2">
          <w:rPr>
            <w:noProof/>
          </w:rPr>
          <w:t>2</w:t>
        </w:r>
        <w:r>
          <w:rPr>
            <w:noProof/>
          </w:rPr>
          <w:fldChar w:fldCharType="end"/>
        </w:r>
      </w:p>
    </w:sdtContent>
  </w:sdt>
  <w:p w:rsidR="00CD6C0B" w:rsidRDefault="00CD6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1">
    <w:nsid w:val="28935C9B"/>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8F6691"/>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30A43753"/>
    <w:multiLevelType w:val="hybridMultilevel"/>
    <w:tmpl w:val="48A2D9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20">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EF453D"/>
    <w:multiLevelType w:val="hybridMultilevel"/>
    <w:tmpl w:val="C5EA5A8C"/>
    <w:lvl w:ilvl="0" w:tplc="53E61B4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2">
    <w:nsid w:val="3E1A271F"/>
    <w:multiLevelType w:val="hybridMultilevel"/>
    <w:tmpl w:val="3C8A0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00E0E7B"/>
    <w:multiLevelType w:val="hybridMultilevel"/>
    <w:tmpl w:val="DBA292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3555"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27478FD"/>
    <w:multiLevelType w:val="hybridMultilevel"/>
    <w:tmpl w:val="CDC8F5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42F5E97"/>
    <w:multiLevelType w:val="hybridMultilevel"/>
    <w:tmpl w:val="ECC03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E0959CA"/>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5582010"/>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5A70775"/>
    <w:multiLevelType w:val="hybridMultilevel"/>
    <w:tmpl w:val="D59A0E2C"/>
    <w:lvl w:ilvl="0" w:tplc="1BE0C0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6E659FE"/>
    <w:multiLevelType w:val="multilevel"/>
    <w:tmpl w:val="3E2813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EE763D6"/>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2DC2D90"/>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63066A0"/>
    <w:multiLevelType w:val="hybridMultilevel"/>
    <w:tmpl w:val="2D30DC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8">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7"/>
  </w:num>
  <w:num w:numId="3">
    <w:abstractNumId w:val="9"/>
  </w:num>
  <w:num w:numId="4">
    <w:abstractNumId w:val="6"/>
  </w:num>
  <w:num w:numId="5">
    <w:abstractNumId w:val="2"/>
  </w:num>
  <w:num w:numId="6">
    <w:abstractNumId w:val="32"/>
  </w:num>
  <w:num w:numId="7">
    <w:abstractNumId w:val="39"/>
  </w:num>
  <w:num w:numId="8">
    <w:abstractNumId w:val="25"/>
  </w:num>
  <w:num w:numId="9">
    <w:abstractNumId w:val="8"/>
  </w:num>
  <w:num w:numId="10">
    <w:abstractNumId w:val="26"/>
  </w:num>
  <w:num w:numId="11">
    <w:abstractNumId w:val="27"/>
  </w:num>
  <w:num w:numId="12">
    <w:abstractNumId w:val="33"/>
  </w:num>
  <w:num w:numId="13">
    <w:abstractNumId w:val="36"/>
  </w:num>
  <w:num w:numId="14">
    <w:abstractNumId w:val="0"/>
  </w:num>
  <w:num w:numId="15">
    <w:abstractNumId w:val="14"/>
  </w:num>
  <w:num w:numId="16">
    <w:abstractNumId w:val="16"/>
  </w:num>
  <w:num w:numId="17">
    <w:abstractNumId w:val="34"/>
  </w:num>
  <w:num w:numId="18">
    <w:abstractNumId w:val="1"/>
  </w:num>
  <w:num w:numId="19">
    <w:abstractNumId w:val="28"/>
  </w:num>
  <w:num w:numId="20">
    <w:abstractNumId w:val="29"/>
  </w:num>
  <w:num w:numId="21">
    <w:abstractNumId w:val="19"/>
  </w:num>
  <w:num w:numId="22">
    <w:abstractNumId w:val="3"/>
  </w:num>
  <w:num w:numId="23">
    <w:abstractNumId w:val="47"/>
  </w:num>
  <w:num w:numId="24">
    <w:abstractNumId w:val="10"/>
  </w:num>
  <w:num w:numId="25">
    <w:abstractNumId w:val="43"/>
  </w:num>
  <w:num w:numId="26">
    <w:abstractNumId w:val="19"/>
  </w:num>
  <w:num w:numId="27">
    <w:abstractNumId w:val="5"/>
  </w:num>
  <w:num w:numId="28">
    <w:abstractNumId w:val="4"/>
  </w:num>
  <w:num w:numId="29">
    <w:abstractNumId w:val="20"/>
  </w:num>
  <w:num w:numId="30">
    <w:abstractNumId w:val="7"/>
  </w:num>
  <w:num w:numId="31">
    <w:abstractNumId w:val="48"/>
  </w:num>
  <w:num w:numId="32">
    <w:abstractNumId w:val="18"/>
  </w:num>
  <w:num w:numId="33">
    <w:abstractNumId w:val="17"/>
  </w:num>
  <w:num w:numId="34">
    <w:abstractNumId w:val="38"/>
  </w:num>
  <w:num w:numId="35">
    <w:abstractNumId w:val="30"/>
  </w:num>
  <w:num w:numId="36">
    <w:abstractNumId w:val="11"/>
  </w:num>
  <w:num w:numId="37">
    <w:abstractNumId w:val="45"/>
  </w:num>
  <w:num w:numId="38">
    <w:abstractNumId w:val="35"/>
  </w:num>
  <w:num w:numId="39">
    <w:abstractNumId w:val="41"/>
  </w:num>
  <w:num w:numId="40">
    <w:abstractNumId w:val="12"/>
  </w:num>
  <w:num w:numId="41">
    <w:abstractNumId w:val="40"/>
  </w:num>
  <w:num w:numId="42">
    <w:abstractNumId w:val="44"/>
  </w:num>
  <w:num w:numId="43">
    <w:abstractNumId w:val="21"/>
  </w:num>
  <w:num w:numId="44">
    <w:abstractNumId w:val="24"/>
  </w:num>
  <w:num w:numId="45">
    <w:abstractNumId w:val="31"/>
  </w:num>
  <w:num w:numId="46">
    <w:abstractNumId w:val="15"/>
  </w:num>
  <w:num w:numId="47">
    <w:abstractNumId w:val="46"/>
  </w:num>
  <w:num w:numId="48">
    <w:abstractNumId w:val="22"/>
  </w:num>
  <w:num w:numId="49">
    <w:abstractNumId w:val="4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11C00"/>
    <w:rsid w:val="00011D24"/>
    <w:rsid w:val="000123E4"/>
    <w:rsid w:val="00012D87"/>
    <w:rsid w:val="00013430"/>
    <w:rsid w:val="00013FF4"/>
    <w:rsid w:val="00015213"/>
    <w:rsid w:val="0001682D"/>
    <w:rsid w:val="00017BCC"/>
    <w:rsid w:val="00017EAF"/>
    <w:rsid w:val="00017F68"/>
    <w:rsid w:val="00020FE1"/>
    <w:rsid w:val="000214DF"/>
    <w:rsid w:val="000219F1"/>
    <w:rsid w:val="00022E13"/>
    <w:rsid w:val="0002627A"/>
    <w:rsid w:val="00026F61"/>
    <w:rsid w:val="00027394"/>
    <w:rsid w:val="00027866"/>
    <w:rsid w:val="00027E49"/>
    <w:rsid w:val="00032388"/>
    <w:rsid w:val="000347CE"/>
    <w:rsid w:val="00035CE2"/>
    <w:rsid w:val="00035DDF"/>
    <w:rsid w:val="00044FC0"/>
    <w:rsid w:val="00053EE5"/>
    <w:rsid w:val="00053F1A"/>
    <w:rsid w:val="0005553B"/>
    <w:rsid w:val="000604D2"/>
    <w:rsid w:val="00061587"/>
    <w:rsid w:val="00064116"/>
    <w:rsid w:val="00065241"/>
    <w:rsid w:val="000675A9"/>
    <w:rsid w:val="00067A2F"/>
    <w:rsid w:val="000709B1"/>
    <w:rsid w:val="00070D7A"/>
    <w:rsid w:val="00074B12"/>
    <w:rsid w:val="0007520A"/>
    <w:rsid w:val="000760DB"/>
    <w:rsid w:val="00080AD1"/>
    <w:rsid w:val="00083587"/>
    <w:rsid w:val="000868C1"/>
    <w:rsid w:val="0009005E"/>
    <w:rsid w:val="00090BFB"/>
    <w:rsid w:val="00090DFB"/>
    <w:rsid w:val="0009223E"/>
    <w:rsid w:val="000941C5"/>
    <w:rsid w:val="000971F9"/>
    <w:rsid w:val="00097549"/>
    <w:rsid w:val="000A37F0"/>
    <w:rsid w:val="000A6451"/>
    <w:rsid w:val="000A6E86"/>
    <w:rsid w:val="000A721A"/>
    <w:rsid w:val="000A75E5"/>
    <w:rsid w:val="000B064E"/>
    <w:rsid w:val="000B0C7C"/>
    <w:rsid w:val="000B2CE0"/>
    <w:rsid w:val="000B3E83"/>
    <w:rsid w:val="000B63CA"/>
    <w:rsid w:val="000B69CF"/>
    <w:rsid w:val="000B7357"/>
    <w:rsid w:val="000C1E30"/>
    <w:rsid w:val="000C299B"/>
    <w:rsid w:val="000C5F5A"/>
    <w:rsid w:val="000C6DD5"/>
    <w:rsid w:val="000C788D"/>
    <w:rsid w:val="000C790C"/>
    <w:rsid w:val="000D051B"/>
    <w:rsid w:val="000D3AED"/>
    <w:rsid w:val="000D452C"/>
    <w:rsid w:val="000D5A7F"/>
    <w:rsid w:val="000E0375"/>
    <w:rsid w:val="000E0F36"/>
    <w:rsid w:val="000E3068"/>
    <w:rsid w:val="000E435E"/>
    <w:rsid w:val="000E5FF6"/>
    <w:rsid w:val="000E7EE1"/>
    <w:rsid w:val="000F061D"/>
    <w:rsid w:val="000F1982"/>
    <w:rsid w:val="000F1E6A"/>
    <w:rsid w:val="000F4794"/>
    <w:rsid w:val="000F522F"/>
    <w:rsid w:val="00100EF9"/>
    <w:rsid w:val="001010FC"/>
    <w:rsid w:val="00102C2B"/>
    <w:rsid w:val="00102E86"/>
    <w:rsid w:val="00105059"/>
    <w:rsid w:val="0010687E"/>
    <w:rsid w:val="001071C2"/>
    <w:rsid w:val="00107336"/>
    <w:rsid w:val="00113022"/>
    <w:rsid w:val="001144F0"/>
    <w:rsid w:val="00115564"/>
    <w:rsid w:val="00115838"/>
    <w:rsid w:val="00117E30"/>
    <w:rsid w:val="00121851"/>
    <w:rsid w:val="00124F12"/>
    <w:rsid w:val="00125934"/>
    <w:rsid w:val="00126BAE"/>
    <w:rsid w:val="00126BC8"/>
    <w:rsid w:val="00127BA9"/>
    <w:rsid w:val="00132BA1"/>
    <w:rsid w:val="00132D67"/>
    <w:rsid w:val="001347F7"/>
    <w:rsid w:val="00135A81"/>
    <w:rsid w:val="00141024"/>
    <w:rsid w:val="001417B4"/>
    <w:rsid w:val="00141C09"/>
    <w:rsid w:val="0014222F"/>
    <w:rsid w:val="00142604"/>
    <w:rsid w:val="00144E3A"/>
    <w:rsid w:val="00146F25"/>
    <w:rsid w:val="0015060C"/>
    <w:rsid w:val="00151100"/>
    <w:rsid w:val="001536C7"/>
    <w:rsid w:val="00155DD2"/>
    <w:rsid w:val="00155E7E"/>
    <w:rsid w:val="0016018A"/>
    <w:rsid w:val="001602ED"/>
    <w:rsid w:val="00161F0E"/>
    <w:rsid w:val="00165B11"/>
    <w:rsid w:val="0016758D"/>
    <w:rsid w:val="001679AF"/>
    <w:rsid w:val="00170170"/>
    <w:rsid w:val="001701F9"/>
    <w:rsid w:val="00170C59"/>
    <w:rsid w:val="00170D65"/>
    <w:rsid w:val="00170E2A"/>
    <w:rsid w:val="001713F3"/>
    <w:rsid w:val="001717AD"/>
    <w:rsid w:val="00173B38"/>
    <w:rsid w:val="0017664C"/>
    <w:rsid w:val="0017676A"/>
    <w:rsid w:val="00177394"/>
    <w:rsid w:val="00180ABF"/>
    <w:rsid w:val="00182C18"/>
    <w:rsid w:val="00183CC2"/>
    <w:rsid w:val="00184171"/>
    <w:rsid w:val="001900E4"/>
    <w:rsid w:val="00190F88"/>
    <w:rsid w:val="001913E3"/>
    <w:rsid w:val="001917DF"/>
    <w:rsid w:val="001924EB"/>
    <w:rsid w:val="00192DDB"/>
    <w:rsid w:val="001932F6"/>
    <w:rsid w:val="00193868"/>
    <w:rsid w:val="00195F7A"/>
    <w:rsid w:val="0019670D"/>
    <w:rsid w:val="00196DEE"/>
    <w:rsid w:val="00197064"/>
    <w:rsid w:val="00197F8A"/>
    <w:rsid w:val="001A05C8"/>
    <w:rsid w:val="001A1369"/>
    <w:rsid w:val="001A20BD"/>
    <w:rsid w:val="001A2C8D"/>
    <w:rsid w:val="001A2E25"/>
    <w:rsid w:val="001A3E35"/>
    <w:rsid w:val="001A4066"/>
    <w:rsid w:val="001A5131"/>
    <w:rsid w:val="001A6AE4"/>
    <w:rsid w:val="001A7068"/>
    <w:rsid w:val="001A769D"/>
    <w:rsid w:val="001A7B4C"/>
    <w:rsid w:val="001B01FD"/>
    <w:rsid w:val="001B4A71"/>
    <w:rsid w:val="001B520B"/>
    <w:rsid w:val="001B595D"/>
    <w:rsid w:val="001C2E78"/>
    <w:rsid w:val="001C5B2B"/>
    <w:rsid w:val="001C612F"/>
    <w:rsid w:val="001D166B"/>
    <w:rsid w:val="001D1780"/>
    <w:rsid w:val="001D1BF6"/>
    <w:rsid w:val="001D2356"/>
    <w:rsid w:val="001D390F"/>
    <w:rsid w:val="001D5B54"/>
    <w:rsid w:val="001D79C3"/>
    <w:rsid w:val="001E1DBF"/>
    <w:rsid w:val="001E3070"/>
    <w:rsid w:val="001E4639"/>
    <w:rsid w:val="001E4A7D"/>
    <w:rsid w:val="001F1D58"/>
    <w:rsid w:val="001F353A"/>
    <w:rsid w:val="001F4209"/>
    <w:rsid w:val="001F43A8"/>
    <w:rsid w:val="001F46CC"/>
    <w:rsid w:val="001F5CD6"/>
    <w:rsid w:val="00200CC7"/>
    <w:rsid w:val="00202189"/>
    <w:rsid w:val="00202B5E"/>
    <w:rsid w:val="00202D9C"/>
    <w:rsid w:val="00204489"/>
    <w:rsid w:val="00206600"/>
    <w:rsid w:val="0020681D"/>
    <w:rsid w:val="00210D0B"/>
    <w:rsid w:val="002113D4"/>
    <w:rsid w:val="0021263D"/>
    <w:rsid w:val="00213F0C"/>
    <w:rsid w:val="00214094"/>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35F6C"/>
    <w:rsid w:val="0023700B"/>
    <w:rsid w:val="00241A6C"/>
    <w:rsid w:val="0024252D"/>
    <w:rsid w:val="00242D2B"/>
    <w:rsid w:val="00244294"/>
    <w:rsid w:val="00244435"/>
    <w:rsid w:val="00247D3C"/>
    <w:rsid w:val="00250B39"/>
    <w:rsid w:val="00251ADB"/>
    <w:rsid w:val="00252AAD"/>
    <w:rsid w:val="00256987"/>
    <w:rsid w:val="002569B3"/>
    <w:rsid w:val="00262E2B"/>
    <w:rsid w:val="002640EA"/>
    <w:rsid w:val="00270429"/>
    <w:rsid w:val="002716A4"/>
    <w:rsid w:val="002723E9"/>
    <w:rsid w:val="002736F6"/>
    <w:rsid w:val="00273FC0"/>
    <w:rsid w:val="002777CE"/>
    <w:rsid w:val="00277929"/>
    <w:rsid w:val="002818DF"/>
    <w:rsid w:val="002820A2"/>
    <w:rsid w:val="0028246C"/>
    <w:rsid w:val="002824DE"/>
    <w:rsid w:val="00283255"/>
    <w:rsid w:val="00283B82"/>
    <w:rsid w:val="002846E9"/>
    <w:rsid w:val="00284C34"/>
    <w:rsid w:val="00286096"/>
    <w:rsid w:val="002869A6"/>
    <w:rsid w:val="00287B63"/>
    <w:rsid w:val="0029066C"/>
    <w:rsid w:val="00294B19"/>
    <w:rsid w:val="00297969"/>
    <w:rsid w:val="002A1E1C"/>
    <w:rsid w:val="002A3E3E"/>
    <w:rsid w:val="002A50A8"/>
    <w:rsid w:val="002A60C9"/>
    <w:rsid w:val="002A7512"/>
    <w:rsid w:val="002B04AE"/>
    <w:rsid w:val="002B0982"/>
    <w:rsid w:val="002B10D4"/>
    <w:rsid w:val="002B1117"/>
    <w:rsid w:val="002B1263"/>
    <w:rsid w:val="002B50DB"/>
    <w:rsid w:val="002B55AC"/>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E559B"/>
    <w:rsid w:val="002F22AC"/>
    <w:rsid w:val="002F2871"/>
    <w:rsid w:val="002F5B9B"/>
    <w:rsid w:val="002F5FDC"/>
    <w:rsid w:val="002F7078"/>
    <w:rsid w:val="002F759C"/>
    <w:rsid w:val="002F78C8"/>
    <w:rsid w:val="003006CA"/>
    <w:rsid w:val="00301CF3"/>
    <w:rsid w:val="0030288C"/>
    <w:rsid w:val="003032C1"/>
    <w:rsid w:val="00303F8C"/>
    <w:rsid w:val="003040EA"/>
    <w:rsid w:val="003044BD"/>
    <w:rsid w:val="00304FC1"/>
    <w:rsid w:val="00305FF9"/>
    <w:rsid w:val="00306656"/>
    <w:rsid w:val="00312C59"/>
    <w:rsid w:val="00317C67"/>
    <w:rsid w:val="00321247"/>
    <w:rsid w:val="00326979"/>
    <w:rsid w:val="0032715C"/>
    <w:rsid w:val="003341C6"/>
    <w:rsid w:val="00334E28"/>
    <w:rsid w:val="00336268"/>
    <w:rsid w:val="003366D2"/>
    <w:rsid w:val="00336B3B"/>
    <w:rsid w:val="00337CA5"/>
    <w:rsid w:val="003418FC"/>
    <w:rsid w:val="0034270B"/>
    <w:rsid w:val="003444A5"/>
    <w:rsid w:val="00347E5D"/>
    <w:rsid w:val="00347F0C"/>
    <w:rsid w:val="00351F16"/>
    <w:rsid w:val="003520BC"/>
    <w:rsid w:val="0035496B"/>
    <w:rsid w:val="00354EEC"/>
    <w:rsid w:val="00356795"/>
    <w:rsid w:val="00360FBC"/>
    <w:rsid w:val="00360FFE"/>
    <w:rsid w:val="00362478"/>
    <w:rsid w:val="0036369F"/>
    <w:rsid w:val="00363EF3"/>
    <w:rsid w:val="00365460"/>
    <w:rsid w:val="003654F7"/>
    <w:rsid w:val="00366C5D"/>
    <w:rsid w:val="00370642"/>
    <w:rsid w:val="00375B25"/>
    <w:rsid w:val="003763D4"/>
    <w:rsid w:val="003807FF"/>
    <w:rsid w:val="0038132C"/>
    <w:rsid w:val="00384E2B"/>
    <w:rsid w:val="00386488"/>
    <w:rsid w:val="003864FE"/>
    <w:rsid w:val="00386DB2"/>
    <w:rsid w:val="003878A9"/>
    <w:rsid w:val="00390D8B"/>
    <w:rsid w:val="00391748"/>
    <w:rsid w:val="00392A09"/>
    <w:rsid w:val="00394313"/>
    <w:rsid w:val="00396542"/>
    <w:rsid w:val="0039685B"/>
    <w:rsid w:val="003968DF"/>
    <w:rsid w:val="003A0AA3"/>
    <w:rsid w:val="003A31A6"/>
    <w:rsid w:val="003A3397"/>
    <w:rsid w:val="003A3C61"/>
    <w:rsid w:val="003A6A3C"/>
    <w:rsid w:val="003A71CF"/>
    <w:rsid w:val="003A7942"/>
    <w:rsid w:val="003A7F0C"/>
    <w:rsid w:val="003A7F55"/>
    <w:rsid w:val="003A7F79"/>
    <w:rsid w:val="003B2A0F"/>
    <w:rsid w:val="003B2DDD"/>
    <w:rsid w:val="003B2EF5"/>
    <w:rsid w:val="003B426E"/>
    <w:rsid w:val="003B6404"/>
    <w:rsid w:val="003B67A2"/>
    <w:rsid w:val="003B67D0"/>
    <w:rsid w:val="003B787E"/>
    <w:rsid w:val="003C06BD"/>
    <w:rsid w:val="003C0EE5"/>
    <w:rsid w:val="003C35C6"/>
    <w:rsid w:val="003C449B"/>
    <w:rsid w:val="003C6409"/>
    <w:rsid w:val="003D1AA2"/>
    <w:rsid w:val="003D21FF"/>
    <w:rsid w:val="003D698A"/>
    <w:rsid w:val="003D770B"/>
    <w:rsid w:val="003D7FEA"/>
    <w:rsid w:val="003E493E"/>
    <w:rsid w:val="003F0112"/>
    <w:rsid w:val="003F04A3"/>
    <w:rsid w:val="003F071A"/>
    <w:rsid w:val="003F160B"/>
    <w:rsid w:val="003F1E50"/>
    <w:rsid w:val="003F4D77"/>
    <w:rsid w:val="003F7754"/>
    <w:rsid w:val="003F7D40"/>
    <w:rsid w:val="00400032"/>
    <w:rsid w:val="00400B5B"/>
    <w:rsid w:val="004056ED"/>
    <w:rsid w:val="00405A00"/>
    <w:rsid w:val="00410246"/>
    <w:rsid w:val="00412FA3"/>
    <w:rsid w:val="00413396"/>
    <w:rsid w:val="00416286"/>
    <w:rsid w:val="004179DE"/>
    <w:rsid w:val="004179F4"/>
    <w:rsid w:val="00420870"/>
    <w:rsid w:val="004268F6"/>
    <w:rsid w:val="00427C10"/>
    <w:rsid w:val="0043100E"/>
    <w:rsid w:val="0043130A"/>
    <w:rsid w:val="00432422"/>
    <w:rsid w:val="00432D0C"/>
    <w:rsid w:val="0043791B"/>
    <w:rsid w:val="00440FC7"/>
    <w:rsid w:val="00441187"/>
    <w:rsid w:val="00441483"/>
    <w:rsid w:val="00441BCB"/>
    <w:rsid w:val="0044429E"/>
    <w:rsid w:val="004501AE"/>
    <w:rsid w:val="0045176A"/>
    <w:rsid w:val="0045202F"/>
    <w:rsid w:val="00456332"/>
    <w:rsid w:val="00456663"/>
    <w:rsid w:val="00456A48"/>
    <w:rsid w:val="00461826"/>
    <w:rsid w:val="00462EF0"/>
    <w:rsid w:val="00464C59"/>
    <w:rsid w:val="00466561"/>
    <w:rsid w:val="00467DD9"/>
    <w:rsid w:val="004702DA"/>
    <w:rsid w:val="004703DE"/>
    <w:rsid w:val="004704CE"/>
    <w:rsid w:val="00471571"/>
    <w:rsid w:val="004728D4"/>
    <w:rsid w:val="0047358D"/>
    <w:rsid w:val="00475AF2"/>
    <w:rsid w:val="004800F9"/>
    <w:rsid w:val="00481327"/>
    <w:rsid w:val="00483475"/>
    <w:rsid w:val="00486B38"/>
    <w:rsid w:val="004904A1"/>
    <w:rsid w:val="004907B8"/>
    <w:rsid w:val="0049134A"/>
    <w:rsid w:val="00491694"/>
    <w:rsid w:val="004918A5"/>
    <w:rsid w:val="0049345F"/>
    <w:rsid w:val="00493584"/>
    <w:rsid w:val="004A58CB"/>
    <w:rsid w:val="004B0732"/>
    <w:rsid w:val="004B1795"/>
    <w:rsid w:val="004B4F59"/>
    <w:rsid w:val="004B56DD"/>
    <w:rsid w:val="004B5B0C"/>
    <w:rsid w:val="004C020F"/>
    <w:rsid w:val="004C177C"/>
    <w:rsid w:val="004C1AFD"/>
    <w:rsid w:val="004C49D2"/>
    <w:rsid w:val="004C558B"/>
    <w:rsid w:val="004C7A0E"/>
    <w:rsid w:val="004D0231"/>
    <w:rsid w:val="004D492F"/>
    <w:rsid w:val="004D526B"/>
    <w:rsid w:val="004D564C"/>
    <w:rsid w:val="004D5C7F"/>
    <w:rsid w:val="004E2E8D"/>
    <w:rsid w:val="004E59E1"/>
    <w:rsid w:val="004E6B86"/>
    <w:rsid w:val="004E70A7"/>
    <w:rsid w:val="004F098F"/>
    <w:rsid w:val="004F1F88"/>
    <w:rsid w:val="004F304C"/>
    <w:rsid w:val="004F585C"/>
    <w:rsid w:val="004F5F1B"/>
    <w:rsid w:val="004F67DF"/>
    <w:rsid w:val="005006EF"/>
    <w:rsid w:val="00502374"/>
    <w:rsid w:val="005026E7"/>
    <w:rsid w:val="005037C5"/>
    <w:rsid w:val="005046D4"/>
    <w:rsid w:val="005060A1"/>
    <w:rsid w:val="00506F1D"/>
    <w:rsid w:val="00507009"/>
    <w:rsid w:val="0051005B"/>
    <w:rsid w:val="00514A1C"/>
    <w:rsid w:val="005156F3"/>
    <w:rsid w:val="00515B9E"/>
    <w:rsid w:val="00516072"/>
    <w:rsid w:val="00517DFF"/>
    <w:rsid w:val="00527517"/>
    <w:rsid w:val="00530649"/>
    <w:rsid w:val="0053070D"/>
    <w:rsid w:val="00531404"/>
    <w:rsid w:val="00531FC8"/>
    <w:rsid w:val="005332EC"/>
    <w:rsid w:val="00534418"/>
    <w:rsid w:val="005353AB"/>
    <w:rsid w:val="00535E98"/>
    <w:rsid w:val="00540310"/>
    <w:rsid w:val="00542E6A"/>
    <w:rsid w:val="005450C6"/>
    <w:rsid w:val="00553AA3"/>
    <w:rsid w:val="005542A6"/>
    <w:rsid w:val="00554DE2"/>
    <w:rsid w:val="00554F08"/>
    <w:rsid w:val="00555391"/>
    <w:rsid w:val="005560BC"/>
    <w:rsid w:val="005573BE"/>
    <w:rsid w:val="0055791C"/>
    <w:rsid w:val="00562633"/>
    <w:rsid w:val="00567B81"/>
    <w:rsid w:val="00572700"/>
    <w:rsid w:val="0057365D"/>
    <w:rsid w:val="005739B0"/>
    <w:rsid w:val="00576D97"/>
    <w:rsid w:val="00580468"/>
    <w:rsid w:val="00582231"/>
    <w:rsid w:val="00583F9F"/>
    <w:rsid w:val="0058435B"/>
    <w:rsid w:val="0058603B"/>
    <w:rsid w:val="00587093"/>
    <w:rsid w:val="00587C30"/>
    <w:rsid w:val="0059431B"/>
    <w:rsid w:val="005A38C3"/>
    <w:rsid w:val="005A39CC"/>
    <w:rsid w:val="005A44ED"/>
    <w:rsid w:val="005A6055"/>
    <w:rsid w:val="005A6EF3"/>
    <w:rsid w:val="005B0D8F"/>
    <w:rsid w:val="005B4730"/>
    <w:rsid w:val="005B505C"/>
    <w:rsid w:val="005C0006"/>
    <w:rsid w:val="005C138A"/>
    <w:rsid w:val="005C4634"/>
    <w:rsid w:val="005C688A"/>
    <w:rsid w:val="005C711E"/>
    <w:rsid w:val="005D01D9"/>
    <w:rsid w:val="005D2C3C"/>
    <w:rsid w:val="005E05D7"/>
    <w:rsid w:val="005E12A5"/>
    <w:rsid w:val="005E3735"/>
    <w:rsid w:val="005E41E7"/>
    <w:rsid w:val="005E450F"/>
    <w:rsid w:val="005F0C0D"/>
    <w:rsid w:val="005F126D"/>
    <w:rsid w:val="005F2B04"/>
    <w:rsid w:val="005F3D9B"/>
    <w:rsid w:val="005F5FD1"/>
    <w:rsid w:val="00600063"/>
    <w:rsid w:val="0060421B"/>
    <w:rsid w:val="0060432A"/>
    <w:rsid w:val="00605497"/>
    <w:rsid w:val="0060730F"/>
    <w:rsid w:val="006135B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4C2A"/>
    <w:rsid w:val="00655110"/>
    <w:rsid w:val="0066093B"/>
    <w:rsid w:val="00661D25"/>
    <w:rsid w:val="006638F9"/>
    <w:rsid w:val="00664480"/>
    <w:rsid w:val="00665683"/>
    <w:rsid w:val="00665740"/>
    <w:rsid w:val="00666B7D"/>
    <w:rsid w:val="006711FB"/>
    <w:rsid w:val="00672D31"/>
    <w:rsid w:val="00674572"/>
    <w:rsid w:val="006766C8"/>
    <w:rsid w:val="006849F5"/>
    <w:rsid w:val="00685A9C"/>
    <w:rsid w:val="00687763"/>
    <w:rsid w:val="0069161F"/>
    <w:rsid w:val="00692B0D"/>
    <w:rsid w:val="00692E1D"/>
    <w:rsid w:val="00693C78"/>
    <w:rsid w:val="00693E0E"/>
    <w:rsid w:val="00693FB6"/>
    <w:rsid w:val="0069499C"/>
    <w:rsid w:val="00695BB7"/>
    <w:rsid w:val="00697088"/>
    <w:rsid w:val="006A1AE3"/>
    <w:rsid w:val="006A73C1"/>
    <w:rsid w:val="006B042F"/>
    <w:rsid w:val="006B4929"/>
    <w:rsid w:val="006B6062"/>
    <w:rsid w:val="006B61F9"/>
    <w:rsid w:val="006B653F"/>
    <w:rsid w:val="006B7823"/>
    <w:rsid w:val="006C0F3B"/>
    <w:rsid w:val="006C30E1"/>
    <w:rsid w:val="006C3DE1"/>
    <w:rsid w:val="006C4607"/>
    <w:rsid w:val="006C5440"/>
    <w:rsid w:val="006C5E36"/>
    <w:rsid w:val="006D0440"/>
    <w:rsid w:val="006D0922"/>
    <w:rsid w:val="006D134D"/>
    <w:rsid w:val="006D2766"/>
    <w:rsid w:val="006D2D4A"/>
    <w:rsid w:val="006D45B8"/>
    <w:rsid w:val="006D48F1"/>
    <w:rsid w:val="006D6CFB"/>
    <w:rsid w:val="006D7E24"/>
    <w:rsid w:val="006E0518"/>
    <w:rsid w:val="006E0CDD"/>
    <w:rsid w:val="006E1540"/>
    <w:rsid w:val="006E5458"/>
    <w:rsid w:val="006E5AF5"/>
    <w:rsid w:val="006E70BE"/>
    <w:rsid w:val="006F0F87"/>
    <w:rsid w:val="006F16F8"/>
    <w:rsid w:val="006F2B0F"/>
    <w:rsid w:val="006F3F60"/>
    <w:rsid w:val="006F45BE"/>
    <w:rsid w:val="007004FC"/>
    <w:rsid w:val="00701CA0"/>
    <w:rsid w:val="0070251A"/>
    <w:rsid w:val="00706670"/>
    <w:rsid w:val="00710D2A"/>
    <w:rsid w:val="00711F59"/>
    <w:rsid w:val="00716F51"/>
    <w:rsid w:val="0072417C"/>
    <w:rsid w:val="00724502"/>
    <w:rsid w:val="00724E19"/>
    <w:rsid w:val="00725E39"/>
    <w:rsid w:val="00727BB7"/>
    <w:rsid w:val="007319F1"/>
    <w:rsid w:val="00734450"/>
    <w:rsid w:val="00734A0C"/>
    <w:rsid w:val="00734E33"/>
    <w:rsid w:val="00737B70"/>
    <w:rsid w:val="00740341"/>
    <w:rsid w:val="00741006"/>
    <w:rsid w:val="00745F67"/>
    <w:rsid w:val="00745FEE"/>
    <w:rsid w:val="00747903"/>
    <w:rsid w:val="0075039E"/>
    <w:rsid w:val="00750B0F"/>
    <w:rsid w:val="00752D9D"/>
    <w:rsid w:val="00754784"/>
    <w:rsid w:val="00756245"/>
    <w:rsid w:val="007579A0"/>
    <w:rsid w:val="00757C6E"/>
    <w:rsid w:val="00762BDA"/>
    <w:rsid w:val="00764B44"/>
    <w:rsid w:val="00765346"/>
    <w:rsid w:val="007666F9"/>
    <w:rsid w:val="00770284"/>
    <w:rsid w:val="007736F1"/>
    <w:rsid w:val="00774AE2"/>
    <w:rsid w:val="00777387"/>
    <w:rsid w:val="00777543"/>
    <w:rsid w:val="007805FD"/>
    <w:rsid w:val="00783474"/>
    <w:rsid w:val="007839BC"/>
    <w:rsid w:val="00784422"/>
    <w:rsid w:val="00784CE4"/>
    <w:rsid w:val="0079000A"/>
    <w:rsid w:val="00791892"/>
    <w:rsid w:val="0079309B"/>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B2596"/>
    <w:rsid w:val="007B2CB6"/>
    <w:rsid w:val="007B3B54"/>
    <w:rsid w:val="007B3FA0"/>
    <w:rsid w:val="007B4BC6"/>
    <w:rsid w:val="007C01F1"/>
    <w:rsid w:val="007C0F2C"/>
    <w:rsid w:val="007C11AE"/>
    <w:rsid w:val="007C2BCC"/>
    <w:rsid w:val="007C35B2"/>
    <w:rsid w:val="007C4083"/>
    <w:rsid w:val="007C4EF0"/>
    <w:rsid w:val="007C79AF"/>
    <w:rsid w:val="007D099D"/>
    <w:rsid w:val="007D0D7E"/>
    <w:rsid w:val="007D1A39"/>
    <w:rsid w:val="007D39BA"/>
    <w:rsid w:val="007D7BA1"/>
    <w:rsid w:val="007E159B"/>
    <w:rsid w:val="007E2664"/>
    <w:rsid w:val="007E3ABF"/>
    <w:rsid w:val="007E44C5"/>
    <w:rsid w:val="007E5BFA"/>
    <w:rsid w:val="007E5E1E"/>
    <w:rsid w:val="007E6689"/>
    <w:rsid w:val="007E731C"/>
    <w:rsid w:val="007F0645"/>
    <w:rsid w:val="007F0A03"/>
    <w:rsid w:val="007F2F05"/>
    <w:rsid w:val="007F517A"/>
    <w:rsid w:val="007F63CB"/>
    <w:rsid w:val="007F7EAD"/>
    <w:rsid w:val="008042B2"/>
    <w:rsid w:val="0080511B"/>
    <w:rsid w:val="008059E3"/>
    <w:rsid w:val="00810040"/>
    <w:rsid w:val="00810A3A"/>
    <w:rsid w:val="00810B2F"/>
    <w:rsid w:val="0081257D"/>
    <w:rsid w:val="0081292B"/>
    <w:rsid w:val="00813AC1"/>
    <w:rsid w:val="008164C8"/>
    <w:rsid w:val="0082007B"/>
    <w:rsid w:val="008201D2"/>
    <w:rsid w:val="0082023A"/>
    <w:rsid w:val="008215B8"/>
    <w:rsid w:val="00821A7A"/>
    <w:rsid w:val="008237B0"/>
    <w:rsid w:val="00823882"/>
    <w:rsid w:val="008253F8"/>
    <w:rsid w:val="00826B74"/>
    <w:rsid w:val="00826C67"/>
    <w:rsid w:val="00826F98"/>
    <w:rsid w:val="008325E4"/>
    <w:rsid w:val="00832A2B"/>
    <w:rsid w:val="00834CA6"/>
    <w:rsid w:val="00834DA0"/>
    <w:rsid w:val="008373E6"/>
    <w:rsid w:val="0083777F"/>
    <w:rsid w:val="00842B02"/>
    <w:rsid w:val="008433E8"/>
    <w:rsid w:val="00843A2D"/>
    <w:rsid w:val="00845811"/>
    <w:rsid w:val="00846994"/>
    <w:rsid w:val="00846C48"/>
    <w:rsid w:val="00847023"/>
    <w:rsid w:val="0084741A"/>
    <w:rsid w:val="00850451"/>
    <w:rsid w:val="00852042"/>
    <w:rsid w:val="008534C9"/>
    <w:rsid w:val="008547A5"/>
    <w:rsid w:val="0085599D"/>
    <w:rsid w:val="00855FF4"/>
    <w:rsid w:val="0086161A"/>
    <w:rsid w:val="00861813"/>
    <w:rsid w:val="00863340"/>
    <w:rsid w:val="0086587D"/>
    <w:rsid w:val="00867FE6"/>
    <w:rsid w:val="00870547"/>
    <w:rsid w:val="00870D1A"/>
    <w:rsid w:val="0087510C"/>
    <w:rsid w:val="00877579"/>
    <w:rsid w:val="00880C36"/>
    <w:rsid w:val="00881B32"/>
    <w:rsid w:val="00883DA1"/>
    <w:rsid w:val="00890442"/>
    <w:rsid w:val="008938F6"/>
    <w:rsid w:val="00893947"/>
    <w:rsid w:val="00893E73"/>
    <w:rsid w:val="008968D2"/>
    <w:rsid w:val="0089738E"/>
    <w:rsid w:val="008A05B8"/>
    <w:rsid w:val="008A0753"/>
    <w:rsid w:val="008A7B89"/>
    <w:rsid w:val="008B137B"/>
    <w:rsid w:val="008B1EA0"/>
    <w:rsid w:val="008B4465"/>
    <w:rsid w:val="008B50FF"/>
    <w:rsid w:val="008B5FDB"/>
    <w:rsid w:val="008B6B16"/>
    <w:rsid w:val="008C2F07"/>
    <w:rsid w:val="008C3F78"/>
    <w:rsid w:val="008C50F4"/>
    <w:rsid w:val="008C5649"/>
    <w:rsid w:val="008D481B"/>
    <w:rsid w:val="008D632E"/>
    <w:rsid w:val="008E44A2"/>
    <w:rsid w:val="008E697D"/>
    <w:rsid w:val="008E6DDA"/>
    <w:rsid w:val="008F1A6E"/>
    <w:rsid w:val="008F6857"/>
    <w:rsid w:val="008F6991"/>
    <w:rsid w:val="0090267E"/>
    <w:rsid w:val="009030FB"/>
    <w:rsid w:val="00903263"/>
    <w:rsid w:val="009032AB"/>
    <w:rsid w:val="00906989"/>
    <w:rsid w:val="00906A21"/>
    <w:rsid w:val="009079C3"/>
    <w:rsid w:val="00910462"/>
    <w:rsid w:val="00915AB1"/>
    <w:rsid w:val="00917532"/>
    <w:rsid w:val="00917600"/>
    <w:rsid w:val="009202D1"/>
    <w:rsid w:val="00920E7B"/>
    <w:rsid w:val="009235BA"/>
    <w:rsid w:val="00924023"/>
    <w:rsid w:val="00924CE2"/>
    <w:rsid w:val="00925B9F"/>
    <w:rsid w:val="009275AC"/>
    <w:rsid w:val="009309EB"/>
    <w:rsid w:val="00931AED"/>
    <w:rsid w:val="00932431"/>
    <w:rsid w:val="00935AA8"/>
    <w:rsid w:val="00937644"/>
    <w:rsid w:val="009428E7"/>
    <w:rsid w:val="00943042"/>
    <w:rsid w:val="00945766"/>
    <w:rsid w:val="009476A3"/>
    <w:rsid w:val="00951629"/>
    <w:rsid w:val="0095334F"/>
    <w:rsid w:val="0095423D"/>
    <w:rsid w:val="00954D8F"/>
    <w:rsid w:val="009563FF"/>
    <w:rsid w:val="00956C8B"/>
    <w:rsid w:val="0095709C"/>
    <w:rsid w:val="009575AC"/>
    <w:rsid w:val="0096336F"/>
    <w:rsid w:val="00964673"/>
    <w:rsid w:val="009656DE"/>
    <w:rsid w:val="00965897"/>
    <w:rsid w:val="0096765C"/>
    <w:rsid w:val="00967848"/>
    <w:rsid w:val="009714D2"/>
    <w:rsid w:val="00971DEF"/>
    <w:rsid w:val="009727E4"/>
    <w:rsid w:val="00974399"/>
    <w:rsid w:val="00975402"/>
    <w:rsid w:val="00975C3A"/>
    <w:rsid w:val="009769B5"/>
    <w:rsid w:val="0097750A"/>
    <w:rsid w:val="00980BF4"/>
    <w:rsid w:val="0098364F"/>
    <w:rsid w:val="009864BB"/>
    <w:rsid w:val="0098773B"/>
    <w:rsid w:val="00987B16"/>
    <w:rsid w:val="00990AB2"/>
    <w:rsid w:val="00992E99"/>
    <w:rsid w:val="009934C5"/>
    <w:rsid w:val="009945B8"/>
    <w:rsid w:val="00994C0F"/>
    <w:rsid w:val="009974A1"/>
    <w:rsid w:val="009A0027"/>
    <w:rsid w:val="009A33ED"/>
    <w:rsid w:val="009A6B0C"/>
    <w:rsid w:val="009A7205"/>
    <w:rsid w:val="009B118C"/>
    <w:rsid w:val="009B22D7"/>
    <w:rsid w:val="009B2A92"/>
    <w:rsid w:val="009B4270"/>
    <w:rsid w:val="009B72ED"/>
    <w:rsid w:val="009C118F"/>
    <w:rsid w:val="009C30E0"/>
    <w:rsid w:val="009C5659"/>
    <w:rsid w:val="009C6DEB"/>
    <w:rsid w:val="009D022D"/>
    <w:rsid w:val="009D27A6"/>
    <w:rsid w:val="009D4EF6"/>
    <w:rsid w:val="009D6504"/>
    <w:rsid w:val="009D780F"/>
    <w:rsid w:val="009E1204"/>
    <w:rsid w:val="009E12D7"/>
    <w:rsid w:val="009E159A"/>
    <w:rsid w:val="009E242E"/>
    <w:rsid w:val="009E4BD1"/>
    <w:rsid w:val="009E661A"/>
    <w:rsid w:val="009E6A34"/>
    <w:rsid w:val="009E6C0C"/>
    <w:rsid w:val="009F0513"/>
    <w:rsid w:val="009F1276"/>
    <w:rsid w:val="009F15E6"/>
    <w:rsid w:val="009F551B"/>
    <w:rsid w:val="009F5710"/>
    <w:rsid w:val="009F7D7D"/>
    <w:rsid w:val="00A00B9B"/>
    <w:rsid w:val="00A01B80"/>
    <w:rsid w:val="00A0461C"/>
    <w:rsid w:val="00A05E77"/>
    <w:rsid w:val="00A06077"/>
    <w:rsid w:val="00A06781"/>
    <w:rsid w:val="00A074C3"/>
    <w:rsid w:val="00A100ED"/>
    <w:rsid w:val="00A102CE"/>
    <w:rsid w:val="00A1367E"/>
    <w:rsid w:val="00A1509C"/>
    <w:rsid w:val="00A16653"/>
    <w:rsid w:val="00A20999"/>
    <w:rsid w:val="00A228CD"/>
    <w:rsid w:val="00A238AE"/>
    <w:rsid w:val="00A249B9"/>
    <w:rsid w:val="00A25063"/>
    <w:rsid w:val="00A26187"/>
    <w:rsid w:val="00A27177"/>
    <w:rsid w:val="00A319F5"/>
    <w:rsid w:val="00A31A9E"/>
    <w:rsid w:val="00A31F77"/>
    <w:rsid w:val="00A34260"/>
    <w:rsid w:val="00A370C8"/>
    <w:rsid w:val="00A43390"/>
    <w:rsid w:val="00A4727A"/>
    <w:rsid w:val="00A513CA"/>
    <w:rsid w:val="00A5160D"/>
    <w:rsid w:val="00A523F9"/>
    <w:rsid w:val="00A53137"/>
    <w:rsid w:val="00A535A0"/>
    <w:rsid w:val="00A549E0"/>
    <w:rsid w:val="00A55B57"/>
    <w:rsid w:val="00A5727C"/>
    <w:rsid w:val="00A6048E"/>
    <w:rsid w:val="00A63203"/>
    <w:rsid w:val="00A648A4"/>
    <w:rsid w:val="00A65338"/>
    <w:rsid w:val="00A677C8"/>
    <w:rsid w:val="00A67B6A"/>
    <w:rsid w:val="00A70CFD"/>
    <w:rsid w:val="00A72A0B"/>
    <w:rsid w:val="00A72CAB"/>
    <w:rsid w:val="00A73151"/>
    <w:rsid w:val="00A77110"/>
    <w:rsid w:val="00A77DBB"/>
    <w:rsid w:val="00A77F80"/>
    <w:rsid w:val="00A81E42"/>
    <w:rsid w:val="00A82F8D"/>
    <w:rsid w:val="00A83620"/>
    <w:rsid w:val="00A840D5"/>
    <w:rsid w:val="00A8481B"/>
    <w:rsid w:val="00A864FE"/>
    <w:rsid w:val="00A86F41"/>
    <w:rsid w:val="00A8776B"/>
    <w:rsid w:val="00A87D04"/>
    <w:rsid w:val="00A950C5"/>
    <w:rsid w:val="00A955A3"/>
    <w:rsid w:val="00A95777"/>
    <w:rsid w:val="00A97749"/>
    <w:rsid w:val="00AA16DE"/>
    <w:rsid w:val="00AA1BF0"/>
    <w:rsid w:val="00AA1D25"/>
    <w:rsid w:val="00AA370A"/>
    <w:rsid w:val="00AA4189"/>
    <w:rsid w:val="00AA51C5"/>
    <w:rsid w:val="00AB2B1A"/>
    <w:rsid w:val="00AB397F"/>
    <w:rsid w:val="00AB54FD"/>
    <w:rsid w:val="00AB5832"/>
    <w:rsid w:val="00AB6760"/>
    <w:rsid w:val="00AB6A2C"/>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61B7"/>
    <w:rsid w:val="00AE6CBA"/>
    <w:rsid w:val="00AE79AD"/>
    <w:rsid w:val="00AF162A"/>
    <w:rsid w:val="00AF2549"/>
    <w:rsid w:val="00AF35E4"/>
    <w:rsid w:val="00AF5CDE"/>
    <w:rsid w:val="00AF6A09"/>
    <w:rsid w:val="00B02239"/>
    <w:rsid w:val="00B032F8"/>
    <w:rsid w:val="00B07B64"/>
    <w:rsid w:val="00B11A57"/>
    <w:rsid w:val="00B12130"/>
    <w:rsid w:val="00B13AD1"/>
    <w:rsid w:val="00B13C8A"/>
    <w:rsid w:val="00B142FF"/>
    <w:rsid w:val="00B14D9F"/>
    <w:rsid w:val="00B1533C"/>
    <w:rsid w:val="00B162F5"/>
    <w:rsid w:val="00B17E83"/>
    <w:rsid w:val="00B211C3"/>
    <w:rsid w:val="00B2262C"/>
    <w:rsid w:val="00B23EF2"/>
    <w:rsid w:val="00B248D6"/>
    <w:rsid w:val="00B25597"/>
    <w:rsid w:val="00B25658"/>
    <w:rsid w:val="00B267B9"/>
    <w:rsid w:val="00B329A0"/>
    <w:rsid w:val="00B32AAA"/>
    <w:rsid w:val="00B33E09"/>
    <w:rsid w:val="00B3594E"/>
    <w:rsid w:val="00B40930"/>
    <w:rsid w:val="00B40D37"/>
    <w:rsid w:val="00B41530"/>
    <w:rsid w:val="00B41A9A"/>
    <w:rsid w:val="00B4248B"/>
    <w:rsid w:val="00B4663A"/>
    <w:rsid w:val="00B50708"/>
    <w:rsid w:val="00B50C68"/>
    <w:rsid w:val="00B51293"/>
    <w:rsid w:val="00B52B1E"/>
    <w:rsid w:val="00B55481"/>
    <w:rsid w:val="00B56C32"/>
    <w:rsid w:val="00B56D61"/>
    <w:rsid w:val="00B57ACF"/>
    <w:rsid w:val="00B61E4D"/>
    <w:rsid w:val="00B62845"/>
    <w:rsid w:val="00B64BB1"/>
    <w:rsid w:val="00B64BC1"/>
    <w:rsid w:val="00B7276F"/>
    <w:rsid w:val="00B73166"/>
    <w:rsid w:val="00B73D56"/>
    <w:rsid w:val="00B74379"/>
    <w:rsid w:val="00B75648"/>
    <w:rsid w:val="00B83E5A"/>
    <w:rsid w:val="00B8426C"/>
    <w:rsid w:val="00B84642"/>
    <w:rsid w:val="00B85104"/>
    <w:rsid w:val="00B86462"/>
    <w:rsid w:val="00B866A4"/>
    <w:rsid w:val="00B9193F"/>
    <w:rsid w:val="00B91B8D"/>
    <w:rsid w:val="00B93597"/>
    <w:rsid w:val="00B94E90"/>
    <w:rsid w:val="00BA126B"/>
    <w:rsid w:val="00BA569A"/>
    <w:rsid w:val="00BA64D3"/>
    <w:rsid w:val="00BA7CAD"/>
    <w:rsid w:val="00BB0A82"/>
    <w:rsid w:val="00BB295C"/>
    <w:rsid w:val="00BB7C94"/>
    <w:rsid w:val="00BC0A9D"/>
    <w:rsid w:val="00BC33E2"/>
    <w:rsid w:val="00BC54D5"/>
    <w:rsid w:val="00BD02BB"/>
    <w:rsid w:val="00BD0F53"/>
    <w:rsid w:val="00BD3D8C"/>
    <w:rsid w:val="00BD494D"/>
    <w:rsid w:val="00BD4D26"/>
    <w:rsid w:val="00BD51AD"/>
    <w:rsid w:val="00BD5A4C"/>
    <w:rsid w:val="00BD7064"/>
    <w:rsid w:val="00BD7A1F"/>
    <w:rsid w:val="00BE115D"/>
    <w:rsid w:val="00BE1763"/>
    <w:rsid w:val="00BE17D8"/>
    <w:rsid w:val="00BE1959"/>
    <w:rsid w:val="00BE5530"/>
    <w:rsid w:val="00BF40ED"/>
    <w:rsid w:val="00BF43FE"/>
    <w:rsid w:val="00BF4B68"/>
    <w:rsid w:val="00BF5BC2"/>
    <w:rsid w:val="00BF75BE"/>
    <w:rsid w:val="00C03FB3"/>
    <w:rsid w:val="00C10939"/>
    <w:rsid w:val="00C109F4"/>
    <w:rsid w:val="00C10EA6"/>
    <w:rsid w:val="00C1133D"/>
    <w:rsid w:val="00C143E5"/>
    <w:rsid w:val="00C1499B"/>
    <w:rsid w:val="00C16414"/>
    <w:rsid w:val="00C255EE"/>
    <w:rsid w:val="00C27A08"/>
    <w:rsid w:val="00C31312"/>
    <w:rsid w:val="00C31E36"/>
    <w:rsid w:val="00C31EE7"/>
    <w:rsid w:val="00C326C6"/>
    <w:rsid w:val="00C33ACD"/>
    <w:rsid w:val="00C35295"/>
    <w:rsid w:val="00C368D6"/>
    <w:rsid w:val="00C36ADD"/>
    <w:rsid w:val="00C36E74"/>
    <w:rsid w:val="00C40595"/>
    <w:rsid w:val="00C41621"/>
    <w:rsid w:val="00C41B7C"/>
    <w:rsid w:val="00C4296B"/>
    <w:rsid w:val="00C42C22"/>
    <w:rsid w:val="00C43E88"/>
    <w:rsid w:val="00C4465F"/>
    <w:rsid w:val="00C449FA"/>
    <w:rsid w:val="00C501F6"/>
    <w:rsid w:val="00C516AD"/>
    <w:rsid w:val="00C53106"/>
    <w:rsid w:val="00C5384F"/>
    <w:rsid w:val="00C53D75"/>
    <w:rsid w:val="00C56964"/>
    <w:rsid w:val="00C656D5"/>
    <w:rsid w:val="00C67103"/>
    <w:rsid w:val="00C703F3"/>
    <w:rsid w:val="00C71BB9"/>
    <w:rsid w:val="00C736FB"/>
    <w:rsid w:val="00C74DEE"/>
    <w:rsid w:val="00C7762C"/>
    <w:rsid w:val="00C82A12"/>
    <w:rsid w:val="00C945FA"/>
    <w:rsid w:val="00C94C28"/>
    <w:rsid w:val="00C95F30"/>
    <w:rsid w:val="00CA15AA"/>
    <w:rsid w:val="00CA2B59"/>
    <w:rsid w:val="00CA569B"/>
    <w:rsid w:val="00CA71A3"/>
    <w:rsid w:val="00CB0247"/>
    <w:rsid w:val="00CB0985"/>
    <w:rsid w:val="00CB0A64"/>
    <w:rsid w:val="00CB3440"/>
    <w:rsid w:val="00CB3FC2"/>
    <w:rsid w:val="00CB4084"/>
    <w:rsid w:val="00CB5188"/>
    <w:rsid w:val="00CB616A"/>
    <w:rsid w:val="00CB66F6"/>
    <w:rsid w:val="00CB67C8"/>
    <w:rsid w:val="00CB7479"/>
    <w:rsid w:val="00CC1692"/>
    <w:rsid w:val="00CC22A2"/>
    <w:rsid w:val="00CC3E12"/>
    <w:rsid w:val="00CC7AC4"/>
    <w:rsid w:val="00CD138B"/>
    <w:rsid w:val="00CD223F"/>
    <w:rsid w:val="00CD3E31"/>
    <w:rsid w:val="00CD40FC"/>
    <w:rsid w:val="00CD44AE"/>
    <w:rsid w:val="00CD617D"/>
    <w:rsid w:val="00CD6C0B"/>
    <w:rsid w:val="00CD7117"/>
    <w:rsid w:val="00CD74A3"/>
    <w:rsid w:val="00CE0527"/>
    <w:rsid w:val="00CE1668"/>
    <w:rsid w:val="00CE1DEE"/>
    <w:rsid w:val="00CE2631"/>
    <w:rsid w:val="00CE27C5"/>
    <w:rsid w:val="00CE30D0"/>
    <w:rsid w:val="00CE50A6"/>
    <w:rsid w:val="00CE5B23"/>
    <w:rsid w:val="00CF1D94"/>
    <w:rsid w:val="00CF55A0"/>
    <w:rsid w:val="00CF573B"/>
    <w:rsid w:val="00CF5BB2"/>
    <w:rsid w:val="00CF65CE"/>
    <w:rsid w:val="00CF70AD"/>
    <w:rsid w:val="00CF7729"/>
    <w:rsid w:val="00CF7C93"/>
    <w:rsid w:val="00D00059"/>
    <w:rsid w:val="00D009CE"/>
    <w:rsid w:val="00D02F34"/>
    <w:rsid w:val="00D0487F"/>
    <w:rsid w:val="00D05BA6"/>
    <w:rsid w:val="00D07558"/>
    <w:rsid w:val="00D107FA"/>
    <w:rsid w:val="00D11555"/>
    <w:rsid w:val="00D115B5"/>
    <w:rsid w:val="00D12275"/>
    <w:rsid w:val="00D12766"/>
    <w:rsid w:val="00D12AB6"/>
    <w:rsid w:val="00D154E5"/>
    <w:rsid w:val="00D20E4E"/>
    <w:rsid w:val="00D20FF4"/>
    <w:rsid w:val="00D212D8"/>
    <w:rsid w:val="00D22B0E"/>
    <w:rsid w:val="00D22C26"/>
    <w:rsid w:val="00D24D2C"/>
    <w:rsid w:val="00D271E8"/>
    <w:rsid w:val="00D31A4F"/>
    <w:rsid w:val="00D34B3F"/>
    <w:rsid w:val="00D35881"/>
    <w:rsid w:val="00D36916"/>
    <w:rsid w:val="00D426A5"/>
    <w:rsid w:val="00D442BD"/>
    <w:rsid w:val="00D44A23"/>
    <w:rsid w:val="00D4659D"/>
    <w:rsid w:val="00D479AF"/>
    <w:rsid w:val="00D47F67"/>
    <w:rsid w:val="00D50CD7"/>
    <w:rsid w:val="00D512BD"/>
    <w:rsid w:val="00D55399"/>
    <w:rsid w:val="00D55859"/>
    <w:rsid w:val="00D564E9"/>
    <w:rsid w:val="00D56A44"/>
    <w:rsid w:val="00D606B2"/>
    <w:rsid w:val="00D60FCD"/>
    <w:rsid w:val="00D6235D"/>
    <w:rsid w:val="00D64A6B"/>
    <w:rsid w:val="00D71E21"/>
    <w:rsid w:val="00D72CD1"/>
    <w:rsid w:val="00D73491"/>
    <w:rsid w:val="00D736C3"/>
    <w:rsid w:val="00D73C93"/>
    <w:rsid w:val="00D76573"/>
    <w:rsid w:val="00D805F0"/>
    <w:rsid w:val="00D81427"/>
    <w:rsid w:val="00D83214"/>
    <w:rsid w:val="00D83E21"/>
    <w:rsid w:val="00D8737F"/>
    <w:rsid w:val="00D901A0"/>
    <w:rsid w:val="00D902ED"/>
    <w:rsid w:val="00D920E7"/>
    <w:rsid w:val="00D92E2F"/>
    <w:rsid w:val="00D93B58"/>
    <w:rsid w:val="00D9438B"/>
    <w:rsid w:val="00DA2241"/>
    <w:rsid w:val="00DA2CB3"/>
    <w:rsid w:val="00DA2F0D"/>
    <w:rsid w:val="00DA5C2E"/>
    <w:rsid w:val="00DA664C"/>
    <w:rsid w:val="00DA78A7"/>
    <w:rsid w:val="00DA7DA5"/>
    <w:rsid w:val="00DB0440"/>
    <w:rsid w:val="00DB0616"/>
    <w:rsid w:val="00DB073B"/>
    <w:rsid w:val="00DB08BC"/>
    <w:rsid w:val="00DB264F"/>
    <w:rsid w:val="00DB3A6E"/>
    <w:rsid w:val="00DB609F"/>
    <w:rsid w:val="00DB615F"/>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E0"/>
    <w:rsid w:val="00DD3231"/>
    <w:rsid w:val="00DD3C1C"/>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1478"/>
    <w:rsid w:val="00E02ABF"/>
    <w:rsid w:val="00E0557E"/>
    <w:rsid w:val="00E07B06"/>
    <w:rsid w:val="00E1023A"/>
    <w:rsid w:val="00E12156"/>
    <w:rsid w:val="00E14995"/>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7F98"/>
    <w:rsid w:val="00E409BA"/>
    <w:rsid w:val="00E41CDE"/>
    <w:rsid w:val="00E462E7"/>
    <w:rsid w:val="00E46559"/>
    <w:rsid w:val="00E46D30"/>
    <w:rsid w:val="00E5022C"/>
    <w:rsid w:val="00E52D42"/>
    <w:rsid w:val="00E600D2"/>
    <w:rsid w:val="00E62175"/>
    <w:rsid w:val="00E6670C"/>
    <w:rsid w:val="00E7437E"/>
    <w:rsid w:val="00E744B2"/>
    <w:rsid w:val="00E776E8"/>
    <w:rsid w:val="00E80835"/>
    <w:rsid w:val="00E826C5"/>
    <w:rsid w:val="00E83AD7"/>
    <w:rsid w:val="00E85EC3"/>
    <w:rsid w:val="00E86498"/>
    <w:rsid w:val="00E86AD5"/>
    <w:rsid w:val="00E92C1F"/>
    <w:rsid w:val="00E94DA1"/>
    <w:rsid w:val="00E95D4B"/>
    <w:rsid w:val="00E96E3C"/>
    <w:rsid w:val="00EA0244"/>
    <w:rsid w:val="00EA02AF"/>
    <w:rsid w:val="00EA20DE"/>
    <w:rsid w:val="00EA3187"/>
    <w:rsid w:val="00EA3C1F"/>
    <w:rsid w:val="00EA4241"/>
    <w:rsid w:val="00EA5176"/>
    <w:rsid w:val="00EA5325"/>
    <w:rsid w:val="00EA6728"/>
    <w:rsid w:val="00EA688A"/>
    <w:rsid w:val="00EA6D0E"/>
    <w:rsid w:val="00EA6E89"/>
    <w:rsid w:val="00EA76B8"/>
    <w:rsid w:val="00EB0D3C"/>
    <w:rsid w:val="00EB0FC5"/>
    <w:rsid w:val="00EB14E3"/>
    <w:rsid w:val="00EB199F"/>
    <w:rsid w:val="00EB4F0F"/>
    <w:rsid w:val="00EC23F7"/>
    <w:rsid w:val="00EC3D88"/>
    <w:rsid w:val="00EC4684"/>
    <w:rsid w:val="00EC4BD8"/>
    <w:rsid w:val="00EC63EB"/>
    <w:rsid w:val="00ED08EB"/>
    <w:rsid w:val="00ED23A9"/>
    <w:rsid w:val="00ED25EB"/>
    <w:rsid w:val="00ED3684"/>
    <w:rsid w:val="00ED412F"/>
    <w:rsid w:val="00ED5BD1"/>
    <w:rsid w:val="00EE20B3"/>
    <w:rsid w:val="00EE403C"/>
    <w:rsid w:val="00EE60CA"/>
    <w:rsid w:val="00EF0186"/>
    <w:rsid w:val="00EF0B43"/>
    <w:rsid w:val="00EF0E3C"/>
    <w:rsid w:val="00EF2682"/>
    <w:rsid w:val="00EF36B2"/>
    <w:rsid w:val="00EF3CB9"/>
    <w:rsid w:val="00EF5800"/>
    <w:rsid w:val="00EF5887"/>
    <w:rsid w:val="00EF77F9"/>
    <w:rsid w:val="00F068C5"/>
    <w:rsid w:val="00F1231C"/>
    <w:rsid w:val="00F1246B"/>
    <w:rsid w:val="00F143FE"/>
    <w:rsid w:val="00F16BDB"/>
    <w:rsid w:val="00F16CC4"/>
    <w:rsid w:val="00F17432"/>
    <w:rsid w:val="00F17B35"/>
    <w:rsid w:val="00F201EC"/>
    <w:rsid w:val="00F208A9"/>
    <w:rsid w:val="00F20AED"/>
    <w:rsid w:val="00F2102F"/>
    <w:rsid w:val="00F22360"/>
    <w:rsid w:val="00F22CAF"/>
    <w:rsid w:val="00F23DB4"/>
    <w:rsid w:val="00F25DA3"/>
    <w:rsid w:val="00F31A26"/>
    <w:rsid w:val="00F328FE"/>
    <w:rsid w:val="00F37796"/>
    <w:rsid w:val="00F41D75"/>
    <w:rsid w:val="00F4459C"/>
    <w:rsid w:val="00F44E34"/>
    <w:rsid w:val="00F508C7"/>
    <w:rsid w:val="00F50AB3"/>
    <w:rsid w:val="00F5139D"/>
    <w:rsid w:val="00F53E6F"/>
    <w:rsid w:val="00F5498A"/>
    <w:rsid w:val="00F55314"/>
    <w:rsid w:val="00F55977"/>
    <w:rsid w:val="00F62F43"/>
    <w:rsid w:val="00F63DAC"/>
    <w:rsid w:val="00F64A42"/>
    <w:rsid w:val="00F6677F"/>
    <w:rsid w:val="00F66DA3"/>
    <w:rsid w:val="00F71777"/>
    <w:rsid w:val="00F71B07"/>
    <w:rsid w:val="00F7454F"/>
    <w:rsid w:val="00F745ED"/>
    <w:rsid w:val="00F74C18"/>
    <w:rsid w:val="00F77511"/>
    <w:rsid w:val="00F77988"/>
    <w:rsid w:val="00F77F48"/>
    <w:rsid w:val="00F82FD3"/>
    <w:rsid w:val="00F83D68"/>
    <w:rsid w:val="00F846BB"/>
    <w:rsid w:val="00F86CC1"/>
    <w:rsid w:val="00F873D3"/>
    <w:rsid w:val="00F90FBD"/>
    <w:rsid w:val="00F92198"/>
    <w:rsid w:val="00F932CC"/>
    <w:rsid w:val="00F9397B"/>
    <w:rsid w:val="00F95719"/>
    <w:rsid w:val="00F96858"/>
    <w:rsid w:val="00FA0FD5"/>
    <w:rsid w:val="00FA6DD0"/>
    <w:rsid w:val="00FB2B33"/>
    <w:rsid w:val="00FB30F1"/>
    <w:rsid w:val="00FB331B"/>
    <w:rsid w:val="00FB3580"/>
    <w:rsid w:val="00FB37FF"/>
    <w:rsid w:val="00FB3AD8"/>
    <w:rsid w:val="00FB53E7"/>
    <w:rsid w:val="00FB5BAF"/>
    <w:rsid w:val="00FB62D6"/>
    <w:rsid w:val="00FB69DD"/>
    <w:rsid w:val="00FD2A8A"/>
    <w:rsid w:val="00FD4D57"/>
    <w:rsid w:val="00FD501C"/>
    <w:rsid w:val="00FD5301"/>
    <w:rsid w:val="00FE2265"/>
    <w:rsid w:val="00FE26D4"/>
    <w:rsid w:val="00FE4973"/>
    <w:rsid w:val="00FE4B5F"/>
    <w:rsid w:val="00FE5A2C"/>
    <w:rsid w:val="00FE6FA7"/>
    <w:rsid w:val="00FF1DA3"/>
    <w:rsid w:val="00FF577F"/>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paragraph" w:customStyle="1" w:styleId="tv2132">
    <w:name w:val="tv2132"/>
    <w:basedOn w:val="Normal"/>
    <w:rsid w:val="003A71CF"/>
    <w:pPr>
      <w:spacing w:line="360" w:lineRule="auto"/>
      <w:ind w:firstLine="300"/>
    </w:pPr>
    <w:rPr>
      <w:color w:val="414142"/>
      <w:sz w:val="20"/>
      <w:szCs w:val="20"/>
    </w:rPr>
  </w:style>
  <w:style w:type="character" w:customStyle="1" w:styleId="ListParagraphChar">
    <w:name w:val="List Paragraph Char"/>
    <w:link w:val="ListParagraph"/>
    <w:uiPriority w:val="34"/>
    <w:locked/>
    <w:rsid w:val="00113022"/>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paragraph" w:customStyle="1" w:styleId="tv2132">
    <w:name w:val="tv2132"/>
    <w:basedOn w:val="Normal"/>
    <w:rsid w:val="003A71CF"/>
    <w:pPr>
      <w:spacing w:line="360" w:lineRule="auto"/>
      <w:ind w:firstLine="300"/>
    </w:pPr>
    <w:rPr>
      <w:color w:val="414142"/>
      <w:sz w:val="20"/>
      <w:szCs w:val="20"/>
    </w:rPr>
  </w:style>
  <w:style w:type="character" w:customStyle="1" w:styleId="ListParagraphChar">
    <w:name w:val="List Paragraph Char"/>
    <w:link w:val="ListParagraph"/>
    <w:uiPriority w:val="34"/>
    <w:locked/>
    <w:rsid w:val="00113022"/>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19632276">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05885650">
      <w:bodyDiv w:val="1"/>
      <w:marLeft w:val="0"/>
      <w:marRight w:val="0"/>
      <w:marTop w:val="0"/>
      <w:marBottom w:val="0"/>
      <w:divBdr>
        <w:top w:val="none" w:sz="0" w:space="0" w:color="auto"/>
        <w:left w:val="none" w:sz="0" w:space="0" w:color="auto"/>
        <w:bottom w:val="none" w:sz="0" w:space="0" w:color="auto"/>
        <w:right w:val="none" w:sz="0" w:space="0" w:color="auto"/>
      </w:divBdr>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689843221">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885024483">
      <w:bodyDiv w:val="1"/>
      <w:marLeft w:val="0"/>
      <w:marRight w:val="0"/>
      <w:marTop w:val="0"/>
      <w:marBottom w:val="0"/>
      <w:divBdr>
        <w:top w:val="none" w:sz="0" w:space="0" w:color="auto"/>
        <w:left w:val="none" w:sz="0" w:space="0" w:color="auto"/>
        <w:bottom w:val="none" w:sz="0" w:space="0" w:color="auto"/>
        <w:right w:val="none" w:sz="0" w:space="0" w:color="auto"/>
      </w:divBdr>
      <w:divsChild>
        <w:div w:id="1378119756">
          <w:marLeft w:val="0"/>
          <w:marRight w:val="0"/>
          <w:marTop w:val="0"/>
          <w:marBottom w:val="0"/>
          <w:divBdr>
            <w:top w:val="none" w:sz="0" w:space="0" w:color="auto"/>
            <w:left w:val="none" w:sz="0" w:space="0" w:color="auto"/>
            <w:bottom w:val="none" w:sz="0" w:space="0" w:color="auto"/>
            <w:right w:val="none" w:sz="0" w:space="0" w:color="auto"/>
          </w:divBdr>
          <w:divsChild>
            <w:div w:id="719283142">
              <w:marLeft w:val="0"/>
              <w:marRight w:val="0"/>
              <w:marTop w:val="0"/>
              <w:marBottom w:val="0"/>
              <w:divBdr>
                <w:top w:val="none" w:sz="0" w:space="0" w:color="auto"/>
                <w:left w:val="none" w:sz="0" w:space="0" w:color="auto"/>
                <w:bottom w:val="none" w:sz="0" w:space="0" w:color="auto"/>
                <w:right w:val="none" w:sz="0" w:space="0" w:color="auto"/>
              </w:divBdr>
              <w:divsChild>
                <w:div w:id="1508518112">
                  <w:marLeft w:val="0"/>
                  <w:marRight w:val="0"/>
                  <w:marTop w:val="0"/>
                  <w:marBottom w:val="0"/>
                  <w:divBdr>
                    <w:top w:val="none" w:sz="0" w:space="0" w:color="auto"/>
                    <w:left w:val="none" w:sz="0" w:space="0" w:color="auto"/>
                    <w:bottom w:val="none" w:sz="0" w:space="0" w:color="auto"/>
                    <w:right w:val="none" w:sz="0" w:space="0" w:color="auto"/>
                  </w:divBdr>
                  <w:divsChild>
                    <w:div w:id="251160759">
                      <w:marLeft w:val="0"/>
                      <w:marRight w:val="0"/>
                      <w:marTop w:val="0"/>
                      <w:marBottom w:val="0"/>
                      <w:divBdr>
                        <w:top w:val="none" w:sz="0" w:space="0" w:color="auto"/>
                        <w:left w:val="none" w:sz="0" w:space="0" w:color="auto"/>
                        <w:bottom w:val="none" w:sz="0" w:space="0" w:color="auto"/>
                        <w:right w:val="none" w:sz="0" w:space="0" w:color="auto"/>
                      </w:divBdr>
                      <w:divsChild>
                        <w:div w:id="990985363">
                          <w:marLeft w:val="0"/>
                          <w:marRight w:val="0"/>
                          <w:marTop w:val="0"/>
                          <w:marBottom w:val="0"/>
                          <w:divBdr>
                            <w:top w:val="none" w:sz="0" w:space="0" w:color="auto"/>
                            <w:left w:val="none" w:sz="0" w:space="0" w:color="auto"/>
                            <w:bottom w:val="none" w:sz="0" w:space="0" w:color="auto"/>
                            <w:right w:val="none" w:sz="0" w:space="0" w:color="auto"/>
                          </w:divBdr>
                          <w:divsChild>
                            <w:div w:id="13143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37199638">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361588210">
      <w:bodyDiv w:val="1"/>
      <w:marLeft w:val="0"/>
      <w:marRight w:val="0"/>
      <w:marTop w:val="0"/>
      <w:marBottom w:val="0"/>
      <w:divBdr>
        <w:top w:val="none" w:sz="0" w:space="0" w:color="auto"/>
        <w:left w:val="none" w:sz="0" w:space="0" w:color="auto"/>
        <w:bottom w:val="none" w:sz="0" w:space="0" w:color="auto"/>
        <w:right w:val="none" w:sz="0" w:space="0" w:color="auto"/>
      </w:divBdr>
      <w:divsChild>
        <w:div w:id="1900557041">
          <w:marLeft w:val="0"/>
          <w:marRight w:val="0"/>
          <w:marTop w:val="0"/>
          <w:marBottom w:val="0"/>
          <w:divBdr>
            <w:top w:val="none" w:sz="0" w:space="0" w:color="auto"/>
            <w:left w:val="none" w:sz="0" w:space="0" w:color="auto"/>
            <w:bottom w:val="none" w:sz="0" w:space="0" w:color="auto"/>
            <w:right w:val="none" w:sz="0" w:space="0" w:color="auto"/>
          </w:divBdr>
          <w:divsChild>
            <w:div w:id="280309299">
              <w:marLeft w:val="0"/>
              <w:marRight w:val="0"/>
              <w:marTop w:val="0"/>
              <w:marBottom w:val="0"/>
              <w:divBdr>
                <w:top w:val="none" w:sz="0" w:space="0" w:color="auto"/>
                <w:left w:val="none" w:sz="0" w:space="0" w:color="auto"/>
                <w:bottom w:val="none" w:sz="0" w:space="0" w:color="auto"/>
                <w:right w:val="none" w:sz="0" w:space="0" w:color="auto"/>
              </w:divBdr>
              <w:divsChild>
                <w:div w:id="1956447786">
                  <w:marLeft w:val="0"/>
                  <w:marRight w:val="0"/>
                  <w:marTop w:val="0"/>
                  <w:marBottom w:val="0"/>
                  <w:divBdr>
                    <w:top w:val="none" w:sz="0" w:space="0" w:color="auto"/>
                    <w:left w:val="none" w:sz="0" w:space="0" w:color="auto"/>
                    <w:bottom w:val="none" w:sz="0" w:space="0" w:color="auto"/>
                    <w:right w:val="none" w:sz="0" w:space="0" w:color="auto"/>
                  </w:divBdr>
                  <w:divsChild>
                    <w:div w:id="337000305">
                      <w:marLeft w:val="0"/>
                      <w:marRight w:val="0"/>
                      <w:marTop w:val="0"/>
                      <w:marBottom w:val="0"/>
                      <w:divBdr>
                        <w:top w:val="none" w:sz="0" w:space="0" w:color="auto"/>
                        <w:left w:val="none" w:sz="0" w:space="0" w:color="auto"/>
                        <w:bottom w:val="none" w:sz="0" w:space="0" w:color="auto"/>
                        <w:right w:val="none" w:sz="0" w:space="0" w:color="auto"/>
                      </w:divBdr>
                      <w:divsChild>
                        <w:div w:id="1337882042">
                          <w:marLeft w:val="0"/>
                          <w:marRight w:val="0"/>
                          <w:marTop w:val="0"/>
                          <w:marBottom w:val="0"/>
                          <w:divBdr>
                            <w:top w:val="none" w:sz="0" w:space="0" w:color="auto"/>
                            <w:left w:val="none" w:sz="0" w:space="0" w:color="auto"/>
                            <w:bottom w:val="none" w:sz="0" w:space="0" w:color="auto"/>
                            <w:right w:val="none" w:sz="0" w:space="0" w:color="auto"/>
                          </w:divBdr>
                          <w:divsChild>
                            <w:div w:id="1493065629">
                              <w:marLeft w:val="0"/>
                              <w:marRight w:val="0"/>
                              <w:marTop w:val="0"/>
                              <w:marBottom w:val="0"/>
                              <w:divBdr>
                                <w:top w:val="none" w:sz="0" w:space="0" w:color="auto"/>
                                <w:left w:val="none" w:sz="0" w:space="0" w:color="auto"/>
                                <w:bottom w:val="none" w:sz="0" w:space="0" w:color="auto"/>
                                <w:right w:val="none" w:sz="0" w:space="0" w:color="auto"/>
                              </w:divBdr>
                              <w:divsChild>
                                <w:div w:id="418989156">
                                  <w:marLeft w:val="0"/>
                                  <w:marRight w:val="0"/>
                                  <w:marTop w:val="0"/>
                                  <w:marBottom w:val="0"/>
                                  <w:divBdr>
                                    <w:top w:val="none" w:sz="0" w:space="0" w:color="auto"/>
                                    <w:left w:val="none" w:sz="0" w:space="0" w:color="auto"/>
                                    <w:bottom w:val="none" w:sz="0" w:space="0" w:color="auto"/>
                                    <w:right w:val="none" w:sz="0" w:space="0" w:color="auto"/>
                                  </w:divBdr>
                                </w:div>
                              </w:divsChild>
                            </w:div>
                            <w:div w:id="9000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ladislavs.vesperis@pkc.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
    <DKP xmlns="2e5bb04e-596e-45bd-9003-43ca78b1ba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DDDCC67E-0AFD-4574-BB20-E1C86079BCCD}">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409F3BC6-4659-4037-962B-F2A9F16C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10033</Words>
  <Characters>5719</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veicami atskaitījumi Privatizācijas aģentūrai par valsts īpašuma privatizāciju, valsts kapitāla daļu atsavināšanu un citām normatīvajos aktos noteiktajām darbībām, izveidojams un izlietojams rezerves fon</vt:lpstr>
      <vt:lpstr>Likumprojekta „Grozījumi Gada pārskatu likumā"</vt:lpstr>
    </vt:vector>
  </TitlesOfParts>
  <Manager>Māra Čakste</Manager>
  <Company>Valsts kase</Company>
  <LinksUpToDate>false</LinksUpToDate>
  <CharactersWithSpaces>15721</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veicami atskaitījumi Privatizācijas aģentūrai par valsts īpašuma privatizāciju, valsts kapitāla daļu atsavināšanu un citām normatīvajos aktos noteiktajām darbībām, izveidojams un izlietojams rezerves fonds un veicami maksājumi valsts budžetā”</dc:title>
  <dc:subject>Anotācija</dc:subject>
  <dc:creator>Sarmīte Ozola</dc:creator>
  <cp:lastModifiedBy>Laimdota Adlere</cp:lastModifiedBy>
  <cp:revision>2</cp:revision>
  <cp:lastPrinted>2015-08-13T06:13:00Z</cp:lastPrinted>
  <dcterms:created xsi:type="dcterms:W3CDTF">2015-11-16T09:33:00Z</dcterms:created>
  <dcterms:modified xsi:type="dcterms:W3CDTF">2015-11-16T09:33:00Z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