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5E" w:rsidRDefault="0044465E" w:rsidP="0044465E">
      <w:bookmarkStart w:id="0" w:name="OLE_LINK3"/>
      <w:bookmarkStart w:id="1" w:name="OLE_LINK4"/>
      <w:bookmarkStart w:id="2" w:name="OLE_LINK1"/>
      <w:bookmarkStart w:id="3" w:name="_GoBack"/>
      <w:bookmarkEnd w:id="3"/>
    </w:p>
    <w:p w:rsidR="004F78DA" w:rsidRDefault="004F78DA" w:rsidP="0044465E"/>
    <w:p w:rsidR="0044465E" w:rsidRDefault="0044465E" w:rsidP="0044465E"/>
    <w:p w:rsidR="00474E0A" w:rsidRPr="0044465E" w:rsidRDefault="00B92EA3" w:rsidP="0044465E">
      <w:pPr>
        <w:jc w:val="center"/>
        <w:rPr>
          <w:b/>
        </w:rPr>
      </w:pPr>
      <w:r w:rsidRPr="0044465E">
        <w:rPr>
          <w:b/>
        </w:rPr>
        <w:t xml:space="preserve">Ministru kabineta </w:t>
      </w:r>
      <w:r w:rsidR="00546C48" w:rsidRPr="0044465E">
        <w:rPr>
          <w:b/>
        </w:rPr>
        <w:t>rīkojuma</w:t>
      </w:r>
      <w:r w:rsidRPr="0044465E">
        <w:rPr>
          <w:b/>
        </w:rPr>
        <w:t xml:space="preserve"> projekta</w:t>
      </w:r>
    </w:p>
    <w:p w:rsidR="00B92EA3" w:rsidRPr="0044465E" w:rsidRDefault="005C248E" w:rsidP="00E85E87">
      <w:pPr>
        <w:jc w:val="center"/>
        <w:rPr>
          <w:b/>
        </w:rPr>
      </w:pPr>
      <w:r w:rsidRPr="0044465E">
        <w:rPr>
          <w:b/>
        </w:rPr>
        <w:t>„</w:t>
      </w:r>
      <w:r w:rsidR="00474E0A" w:rsidRPr="0044465E">
        <w:rPr>
          <w:b/>
          <w:color w:val="000000"/>
        </w:rPr>
        <w:t xml:space="preserve">Par valsts kapitāla daļu un valsts kapitālsabiedrību pārvaldības koordinācijas institūcijas padomes personālsastāvu” </w:t>
      </w:r>
      <w:r w:rsidR="00D570CF" w:rsidRPr="0044465E">
        <w:rPr>
          <w:b/>
        </w:rPr>
        <w:t>sākotnējās ietekmes</w:t>
      </w:r>
      <w:r w:rsidR="00D570CF" w:rsidRPr="0044465E">
        <w:rPr>
          <w:b/>
          <w:color w:val="000000"/>
        </w:rPr>
        <w:t xml:space="preserve"> novērtējuma ziņojums (</w:t>
      </w:r>
      <w:r w:rsidR="00B92EA3" w:rsidRPr="0044465E">
        <w:rPr>
          <w:b/>
        </w:rPr>
        <w:t>anotācija</w:t>
      </w:r>
      <w:r w:rsidR="00D570CF" w:rsidRPr="0044465E">
        <w:rPr>
          <w:b/>
        </w:rPr>
        <w:t>)</w:t>
      </w:r>
    </w:p>
    <w:p w:rsidR="00F12091" w:rsidRPr="0044465E" w:rsidRDefault="00F12091" w:rsidP="0044465E"/>
    <w:tbl>
      <w:tblPr>
        <w:tblW w:w="5252"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51"/>
        <w:gridCol w:w="2209"/>
        <w:gridCol w:w="7090"/>
      </w:tblGrid>
      <w:tr w:rsidR="00F12091" w:rsidRPr="0044465E" w:rsidTr="00A01E9D">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A01E9D">
        <w:trPr>
          <w:trHeight w:val="896"/>
        </w:trPr>
        <w:tc>
          <w:tcPr>
            <w:tcW w:w="231"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13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636" w:type="pct"/>
            <w:tcBorders>
              <w:top w:val="outset" w:sz="6" w:space="0" w:color="auto"/>
              <w:left w:val="outset" w:sz="6" w:space="0" w:color="auto"/>
              <w:bottom w:val="outset" w:sz="6" w:space="0" w:color="auto"/>
              <w:right w:val="outset" w:sz="6" w:space="0" w:color="auto"/>
            </w:tcBorders>
          </w:tcPr>
          <w:p w:rsidR="00F12091" w:rsidRPr="0044465E" w:rsidRDefault="00474E0A" w:rsidP="00E85E87">
            <w:pPr>
              <w:jc w:val="both"/>
            </w:pPr>
            <w:r w:rsidRPr="0044465E">
              <w:t xml:space="preserve">Publiskas personas kapitāla daļu un kapitālsabiedrību pārvaldības likuma (turpmāk – likums) </w:t>
            </w:r>
            <w:proofErr w:type="gramStart"/>
            <w:r w:rsidRPr="0044465E">
              <w:t>24.panta</w:t>
            </w:r>
            <w:proofErr w:type="gramEnd"/>
            <w:r w:rsidRPr="0044465E">
              <w:t xml:space="preserve"> trešā daļa un Ministru kabineta 2015.gada 8.septembra noteikumu Nr.518 “Valsts kapitāla daļu un valsts kapitālsabiedrību pārvaldības koordinācijas institūcijas padomes nolikums” </w:t>
            </w:r>
            <w:r w:rsidR="0044465E" w:rsidRPr="0044465E">
              <w:t xml:space="preserve">(turpmāk – nolikums) </w:t>
            </w:r>
            <w:r w:rsidRPr="0044465E">
              <w:t>3. punkts.</w:t>
            </w:r>
          </w:p>
        </w:tc>
      </w:tr>
      <w:tr w:rsidR="00F12091" w:rsidRPr="0044465E" w:rsidTr="00A01E9D">
        <w:trPr>
          <w:trHeight w:val="896"/>
        </w:trPr>
        <w:tc>
          <w:tcPr>
            <w:tcW w:w="231"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13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 xml:space="preserve">Pašreizējā situācija un problēmas, kuru risināšanai tiesību akta projekts </w:t>
            </w:r>
            <w:proofErr w:type="spellStart"/>
            <w:r w:rsidRPr="0044465E">
              <w:t>iztrādāts</w:t>
            </w:r>
            <w:proofErr w:type="spellEnd"/>
            <w:r w:rsidRPr="0044465E">
              <w:t>, tiesiskā regulējuma mērķis un būtība</w:t>
            </w:r>
          </w:p>
        </w:tc>
        <w:tc>
          <w:tcPr>
            <w:tcW w:w="3636" w:type="pct"/>
            <w:tcBorders>
              <w:top w:val="outset" w:sz="6" w:space="0" w:color="auto"/>
              <w:left w:val="outset" w:sz="6" w:space="0" w:color="auto"/>
              <w:bottom w:val="outset" w:sz="6" w:space="0" w:color="auto"/>
              <w:right w:val="outset" w:sz="6" w:space="0" w:color="auto"/>
            </w:tcBorders>
          </w:tcPr>
          <w:p w:rsidR="00A01E9D" w:rsidRPr="0044465E" w:rsidRDefault="00A01E9D" w:rsidP="0044465E">
            <w:pPr>
              <w:jc w:val="both"/>
            </w:pPr>
            <w:r w:rsidRPr="0044465E">
              <w:rPr>
                <w:color w:val="000000" w:themeColor="text1"/>
              </w:rPr>
              <w:t xml:space="preserve">Likuma </w:t>
            </w:r>
            <w:proofErr w:type="gramStart"/>
            <w:r w:rsidRPr="0044465E">
              <w:rPr>
                <w:color w:val="000000" w:themeColor="text1"/>
              </w:rPr>
              <w:t>24.pantā</w:t>
            </w:r>
            <w:proofErr w:type="gramEnd"/>
            <w:r w:rsidRPr="0044465E">
              <w:rPr>
                <w:color w:val="000000" w:themeColor="text1"/>
              </w:rPr>
              <w:t xml:space="preserve"> noteikta padomes kompetence, nosakot, ka padome ir koleģiāla institūcija, kura:</w:t>
            </w:r>
          </w:p>
          <w:p w:rsidR="00A01E9D" w:rsidRPr="0044465E" w:rsidRDefault="00A01E9D" w:rsidP="0044465E">
            <w:pPr>
              <w:jc w:val="both"/>
              <w:rPr>
                <w:color w:val="000000" w:themeColor="text1"/>
              </w:rPr>
            </w:pPr>
            <w:r w:rsidRPr="0044465E">
              <w:rPr>
                <w:color w:val="000000" w:themeColor="text1"/>
              </w:rPr>
              <w:t>1) izskata un pirms apstiprināšanas saskaņo koordinācijas institūcijas izstrādātos vadlīniju projektus publiskas personas kapitāla daļu pārvaldības jomā;</w:t>
            </w:r>
          </w:p>
          <w:p w:rsidR="00A01E9D" w:rsidRPr="0044465E" w:rsidRDefault="00A01E9D" w:rsidP="0044465E">
            <w:pPr>
              <w:jc w:val="both"/>
              <w:rPr>
                <w:color w:val="000000" w:themeColor="text1"/>
              </w:rPr>
            </w:pPr>
            <w:r w:rsidRPr="0044465E">
              <w:rPr>
                <w:color w:val="000000" w:themeColor="text1"/>
              </w:rPr>
              <w:t xml:space="preserve">2) izvērtē koordinācijas institūcijas atzinumu par šā likuma </w:t>
            </w:r>
            <w:hyperlink r:id="rId9" w:anchor="p26" w:tgtFrame="_blank" w:history="1">
              <w:r w:rsidRPr="0044465E">
                <w:rPr>
                  <w:color w:val="000000" w:themeColor="text1"/>
                </w:rPr>
                <w:t>26.pantā</w:t>
              </w:r>
            </w:hyperlink>
            <w:r w:rsidRPr="0044465E">
              <w:rPr>
                <w:color w:val="000000" w:themeColor="text1"/>
              </w:rPr>
              <w:t xml:space="preserve"> minēto kapitālsabiedrības vidēja termiņa darbības stratēģijas projektu, ja valsts kapitāla daļu turētājs vai valsts kapitālsabiedrības padome (ja tāda ir izveidota) nepiekrīt koordinācijas institūcijas sagatavotajam atzinumam un valsts kapitāla daļu turētājs vai kapitālsabiedrības padome ir lūgusi šo jautājumu izskatīt koordinācijas institūcijas padomē;</w:t>
            </w:r>
          </w:p>
          <w:p w:rsidR="00A01E9D" w:rsidRPr="00E2754A" w:rsidRDefault="00A01E9D" w:rsidP="0044465E">
            <w:pPr>
              <w:jc w:val="both"/>
              <w:rPr>
                <w:color w:val="000000" w:themeColor="text1"/>
              </w:rPr>
            </w:pPr>
            <w:r w:rsidRPr="0044465E">
              <w:rPr>
                <w:color w:val="000000" w:themeColor="text1"/>
              </w:rPr>
              <w:t xml:space="preserve">3) izskata koordinācijas institūcijas atzinumu par šā likuma </w:t>
            </w:r>
            <w:hyperlink r:id="rId10" w:anchor="p26" w:tgtFrame="_blank" w:history="1">
              <w:r w:rsidRPr="0044465E">
                <w:rPr>
                  <w:color w:val="000000" w:themeColor="text1"/>
                </w:rPr>
                <w:t>26.panta</w:t>
              </w:r>
            </w:hyperlink>
            <w:r w:rsidRPr="0044465E">
              <w:rPr>
                <w:color w:val="000000" w:themeColor="text1"/>
              </w:rPr>
              <w:t xml:space="preserve"> sestajā daļā minēto kapitālsabiedrības darījumu, ja valsts kapitāla daļu turētājs vai valsts kapitālsabiedrības padome (ja tāda ir izveidota) nepiekrīt koordinācijas institūcijas sagatavotajam atzinumam un valsts kapitāla daļu turētājs vai valsts kapitālsabiedrības padome ir lūgusi šo jautājumu izskatīt </w:t>
            </w:r>
            <w:r w:rsidRPr="00E2754A">
              <w:rPr>
                <w:color w:val="000000" w:themeColor="text1"/>
              </w:rPr>
              <w:t>koordinācijas institūcijas padomē, un sniedz valsts kapitāla daļu turētājam vai valsts kapitālsabiedrības padomei vērtējumu par minēto atzinumu;</w:t>
            </w:r>
          </w:p>
          <w:p w:rsidR="00A01E9D" w:rsidRPr="00E2754A" w:rsidRDefault="00A01E9D" w:rsidP="0044465E">
            <w:pPr>
              <w:jc w:val="both"/>
              <w:rPr>
                <w:color w:val="000000" w:themeColor="text1"/>
              </w:rPr>
            </w:pPr>
            <w:r w:rsidRPr="00E2754A">
              <w:rPr>
                <w:color w:val="000000" w:themeColor="text1"/>
              </w:rPr>
              <w:t>4) sniedz priekšlikumus koordinācijas institūcijai par citiem ar publiskas personas kapitāla daļu pārvaldību saistītiem jautājumiem.</w:t>
            </w:r>
          </w:p>
          <w:p w:rsidR="00A01E9D" w:rsidRPr="00E2754A" w:rsidRDefault="00A01E9D" w:rsidP="0044465E">
            <w:pPr>
              <w:jc w:val="both"/>
              <w:rPr>
                <w:color w:val="000000" w:themeColor="text1"/>
              </w:rPr>
            </w:pPr>
          </w:p>
          <w:p w:rsidR="00F12091" w:rsidRPr="0044465E" w:rsidRDefault="00A01E9D" w:rsidP="00E2754A">
            <w:pPr>
              <w:jc w:val="both"/>
              <w:rPr>
                <w:color w:val="000000" w:themeColor="text1"/>
              </w:rPr>
            </w:pPr>
            <w:r w:rsidRPr="00E2754A">
              <w:rPr>
                <w:color w:val="000000" w:themeColor="text1"/>
              </w:rPr>
              <w:t xml:space="preserve">Nepieciešams apstiprināt padomes personālsastāvu, lai </w:t>
            </w:r>
            <w:r w:rsidR="0044465E" w:rsidRPr="00E2754A">
              <w:rPr>
                <w:color w:val="000000" w:themeColor="text1"/>
              </w:rPr>
              <w:t xml:space="preserve">padome </w:t>
            </w:r>
            <w:r w:rsidRPr="00E2754A">
              <w:rPr>
                <w:color w:val="000000" w:themeColor="text1"/>
              </w:rPr>
              <w:t xml:space="preserve">varētu sākt pildīt </w:t>
            </w:r>
            <w:r w:rsidR="0044465E" w:rsidRPr="00E2754A">
              <w:rPr>
                <w:color w:val="000000" w:themeColor="text1"/>
              </w:rPr>
              <w:t xml:space="preserve">tai </w:t>
            </w:r>
            <w:r w:rsidRPr="00E2754A">
              <w:rPr>
                <w:color w:val="000000" w:themeColor="text1"/>
              </w:rPr>
              <w:t>likumā uzticētos pienākumus.</w:t>
            </w:r>
            <w:r w:rsidRPr="0044465E">
              <w:rPr>
                <w:color w:val="000000" w:themeColor="text1"/>
              </w:rPr>
              <w:t xml:space="preserve"> </w:t>
            </w:r>
          </w:p>
        </w:tc>
      </w:tr>
      <w:tr w:rsidR="00F12091" w:rsidRPr="0044465E" w:rsidTr="00A01E9D">
        <w:trPr>
          <w:trHeight w:val="896"/>
        </w:trPr>
        <w:tc>
          <w:tcPr>
            <w:tcW w:w="231"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3.</w:t>
            </w:r>
          </w:p>
        </w:tc>
        <w:tc>
          <w:tcPr>
            <w:tcW w:w="113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636" w:type="pct"/>
            <w:tcBorders>
              <w:top w:val="outset" w:sz="6" w:space="0" w:color="auto"/>
              <w:left w:val="outset" w:sz="6" w:space="0" w:color="auto"/>
              <w:bottom w:val="outset" w:sz="6" w:space="0" w:color="auto"/>
              <w:right w:val="outset" w:sz="6" w:space="0" w:color="auto"/>
            </w:tcBorders>
          </w:tcPr>
          <w:p w:rsidR="00F12091" w:rsidRPr="0044465E" w:rsidRDefault="00474E0A" w:rsidP="0044465E">
            <w:proofErr w:type="spellStart"/>
            <w:r w:rsidRPr="0044465E">
              <w:t>Pārresoru</w:t>
            </w:r>
            <w:proofErr w:type="spellEnd"/>
            <w:r w:rsidRPr="0044465E">
              <w:t xml:space="preserve"> koordinācijas centrs</w:t>
            </w:r>
          </w:p>
        </w:tc>
      </w:tr>
      <w:tr w:rsidR="00F12091" w:rsidRPr="0044465E" w:rsidTr="00A01E9D">
        <w:tc>
          <w:tcPr>
            <w:tcW w:w="231"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13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636" w:type="pct"/>
            <w:tcBorders>
              <w:top w:val="outset" w:sz="6" w:space="0" w:color="auto"/>
              <w:left w:val="outset" w:sz="6" w:space="0" w:color="auto"/>
              <w:bottom w:val="outset" w:sz="6" w:space="0" w:color="auto"/>
              <w:right w:val="outset" w:sz="6" w:space="0" w:color="auto"/>
            </w:tcBorders>
          </w:tcPr>
          <w:p w:rsidR="00F12091" w:rsidRPr="0044465E" w:rsidRDefault="00373EBE" w:rsidP="0044465E">
            <w:r w:rsidRPr="0044465E">
              <w:t>Nav</w:t>
            </w:r>
          </w:p>
        </w:tc>
      </w:tr>
    </w:tbl>
    <w:p w:rsidR="004F78DA" w:rsidRDefault="004F78DA" w:rsidP="0044465E"/>
    <w:p w:rsidR="004F78DA" w:rsidRPr="0044465E" w:rsidRDefault="004F78DA" w:rsidP="0044465E"/>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42"/>
        <w:gridCol w:w="7371"/>
      </w:tblGrid>
      <w:tr w:rsidR="002C2B9A" w:rsidRPr="0044465E" w:rsidTr="00A01E9D">
        <w:tc>
          <w:tcPr>
            <w:tcW w:w="9747" w:type="dxa"/>
            <w:gridSpan w:val="3"/>
          </w:tcPr>
          <w:p w:rsidR="002C2B9A" w:rsidRPr="0044465E" w:rsidRDefault="002C2B9A" w:rsidP="0044465E">
            <w:pPr>
              <w:rPr>
                <w:b/>
              </w:rPr>
            </w:pPr>
            <w:r w:rsidRPr="0044465E">
              <w:rPr>
                <w:b/>
              </w:rPr>
              <w:t>VII. Tiesību akta projekta izpildes nodrošināšana un tās ietekme uz institūcijām</w:t>
            </w:r>
          </w:p>
        </w:tc>
      </w:tr>
      <w:tr w:rsidR="002C2B9A" w:rsidRPr="0044465E" w:rsidTr="00A01E9D">
        <w:tc>
          <w:tcPr>
            <w:tcW w:w="534" w:type="dxa"/>
          </w:tcPr>
          <w:p w:rsidR="002C2B9A" w:rsidRPr="0044465E" w:rsidRDefault="002C2B9A" w:rsidP="0044465E">
            <w:r w:rsidRPr="0044465E">
              <w:t>1.</w:t>
            </w:r>
          </w:p>
        </w:tc>
        <w:tc>
          <w:tcPr>
            <w:tcW w:w="1842" w:type="dxa"/>
          </w:tcPr>
          <w:p w:rsidR="002C2B9A" w:rsidRPr="0044465E" w:rsidRDefault="002C2B9A" w:rsidP="0044465E">
            <w:r w:rsidRPr="0044465E">
              <w:t xml:space="preserve">Projekta izpildē iesaistītās </w:t>
            </w:r>
            <w:r w:rsidRPr="0044465E">
              <w:lastRenderedPageBreak/>
              <w:t>institūcijas</w:t>
            </w:r>
          </w:p>
        </w:tc>
        <w:tc>
          <w:tcPr>
            <w:tcW w:w="7371" w:type="dxa"/>
          </w:tcPr>
          <w:p w:rsidR="002C2B9A" w:rsidRPr="0044465E" w:rsidRDefault="00A01E9D" w:rsidP="00E2754A">
            <w:pPr>
              <w:jc w:val="both"/>
            </w:pPr>
            <w:r w:rsidRPr="0044465E">
              <w:lastRenderedPageBreak/>
              <w:t xml:space="preserve">Saskaņā ar Padomes </w:t>
            </w:r>
            <w:r w:rsidR="0044465E" w:rsidRPr="0044465E">
              <w:t xml:space="preserve">nolikumu tās sastāvā ir deleģētie pārstāvji no </w:t>
            </w:r>
            <w:r w:rsidRPr="0044465E">
              <w:t>Finanšu ministrijas</w:t>
            </w:r>
            <w:r w:rsidR="0044465E" w:rsidRPr="0044465E">
              <w:t xml:space="preserve">, </w:t>
            </w:r>
            <w:r w:rsidRPr="0044465E">
              <w:t>Tieslietu ministrijas</w:t>
            </w:r>
            <w:r w:rsidR="0044465E" w:rsidRPr="0044465E">
              <w:t xml:space="preserve">, </w:t>
            </w:r>
            <w:r w:rsidRPr="0044465E">
              <w:t>Ekonomikas ministrijas</w:t>
            </w:r>
            <w:r w:rsidR="0044465E" w:rsidRPr="0044465E">
              <w:t xml:space="preserve">, </w:t>
            </w:r>
            <w:r w:rsidRPr="0044465E">
              <w:lastRenderedPageBreak/>
              <w:t>Satiksmes ministrijas</w:t>
            </w:r>
            <w:r w:rsidR="0044465E" w:rsidRPr="0044465E">
              <w:t xml:space="preserve">, </w:t>
            </w:r>
            <w:r w:rsidRPr="0044465E">
              <w:t>Zemkopības ministrijas</w:t>
            </w:r>
            <w:r w:rsidR="0044465E" w:rsidRPr="0044465E">
              <w:t xml:space="preserve">, </w:t>
            </w:r>
            <w:r w:rsidRPr="0044465E">
              <w:t>Veselības ministrijas</w:t>
            </w:r>
            <w:r w:rsidR="0044465E" w:rsidRPr="0044465E">
              <w:t>, Vides aizsardzības un reģionālās attīstības ministrijas,</w:t>
            </w:r>
            <w:proofErr w:type="gramStart"/>
            <w:r w:rsidR="0044465E" w:rsidRPr="0044465E">
              <w:t xml:space="preserve">  </w:t>
            </w:r>
            <w:proofErr w:type="gramEnd"/>
            <w:r w:rsidRPr="0044465E">
              <w:t>Kultūras ministrijas</w:t>
            </w:r>
            <w:r w:rsidR="0044465E" w:rsidRPr="0044465E">
              <w:t xml:space="preserve">, </w:t>
            </w:r>
            <w:r w:rsidRPr="0044465E">
              <w:t>Latvijas Brīvo arodbiedrību savienības</w:t>
            </w:r>
            <w:r w:rsidR="0044465E" w:rsidRPr="0044465E">
              <w:t xml:space="preserve">, </w:t>
            </w:r>
            <w:r w:rsidRPr="0044465E">
              <w:t>Latvijas Pašvaldību savienības</w:t>
            </w:r>
            <w:r w:rsidR="0044465E" w:rsidRPr="0044465E">
              <w:t xml:space="preserve">, </w:t>
            </w:r>
            <w:r w:rsidRPr="0044465E">
              <w:t>Latvijas Darba devēju konfederācijas</w:t>
            </w:r>
            <w:r w:rsidR="0044465E" w:rsidRPr="0044465E">
              <w:t>.</w:t>
            </w:r>
          </w:p>
        </w:tc>
      </w:tr>
      <w:tr w:rsidR="002C2B9A" w:rsidRPr="0044465E" w:rsidTr="00A01E9D">
        <w:tc>
          <w:tcPr>
            <w:tcW w:w="534" w:type="dxa"/>
          </w:tcPr>
          <w:p w:rsidR="002C2B9A" w:rsidRPr="0044465E" w:rsidRDefault="007F2E82" w:rsidP="0044465E">
            <w:r w:rsidRPr="0044465E">
              <w:lastRenderedPageBreak/>
              <w:t>2</w:t>
            </w:r>
            <w:r w:rsidR="002C2B9A" w:rsidRPr="0044465E">
              <w:t>.</w:t>
            </w:r>
          </w:p>
        </w:tc>
        <w:tc>
          <w:tcPr>
            <w:tcW w:w="1842" w:type="dxa"/>
          </w:tcPr>
          <w:p w:rsidR="002C2B9A" w:rsidRPr="0044465E" w:rsidRDefault="002C2B9A" w:rsidP="0044465E">
            <w:r w:rsidRPr="0044465E">
              <w:t>Projekta izpildes ietekme uz pārvaldes institucionālo struktūru.</w:t>
            </w:r>
          </w:p>
          <w:p w:rsidR="002C2B9A" w:rsidRPr="0044465E" w:rsidRDefault="002C2B9A" w:rsidP="0044465E">
            <w:r w:rsidRPr="0044465E">
              <w:t>Jaunu institūciju izveide</w:t>
            </w:r>
            <w:r w:rsidR="007F2E82" w:rsidRPr="0044465E">
              <w:t>, esošo institūciju likvidācija vai reorganizācija, to ietekme uz institūcijas cilvēkresursiem</w:t>
            </w:r>
          </w:p>
          <w:p w:rsidR="002C2B9A" w:rsidRPr="0044465E" w:rsidRDefault="002C2B9A" w:rsidP="0044465E"/>
        </w:tc>
        <w:tc>
          <w:tcPr>
            <w:tcW w:w="7371" w:type="dxa"/>
          </w:tcPr>
          <w:p w:rsidR="002C2B9A" w:rsidRPr="0044465E" w:rsidRDefault="002C2B9A" w:rsidP="0044465E">
            <w:r w:rsidRPr="0044465E">
              <w:t>Projekts šo jomu neskar</w:t>
            </w:r>
            <w:r w:rsidR="00913BF9" w:rsidRPr="0044465E">
              <w:t>.</w:t>
            </w:r>
          </w:p>
        </w:tc>
      </w:tr>
      <w:tr w:rsidR="002C2B9A" w:rsidRPr="0044465E" w:rsidTr="00A01E9D">
        <w:tc>
          <w:tcPr>
            <w:tcW w:w="534" w:type="dxa"/>
          </w:tcPr>
          <w:p w:rsidR="002C2B9A" w:rsidRPr="0044465E" w:rsidRDefault="007F2E82" w:rsidP="0044465E">
            <w:r w:rsidRPr="0044465E">
              <w:t>3</w:t>
            </w:r>
            <w:r w:rsidR="002C2B9A" w:rsidRPr="0044465E">
              <w:t>.</w:t>
            </w:r>
          </w:p>
        </w:tc>
        <w:tc>
          <w:tcPr>
            <w:tcW w:w="1842" w:type="dxa"/>
          </w:tcPr>
          <w:p w:rsidR="002C2B9A" w:rsidRPr="0044465E" w:rsidRDefault="002C2B9A" w:rsidP="0044465E">
            <w:r w:rsidRPr="0044465E">
              <w:t>Cita informācija</w:t>
            </w:r>
          </w:p>
        </w:tc>
        <w:tc>
          <w:tcPr>
            <w:tcW w:w="7371" w:type="dxa"/>
          </w:tcPr>
          <w:p w:rsidR="002C2B9A" w:rsidRPr="0044465E" w:rsidRDefault="002C2B9A" w:rsidP="0044465E">
            <w:r w:rsidRPr="0044465E">
              <w:t>Nav</w:t>
            </w:r>
          </w:p>
        </w:tc>
      </w:tr>
    </w:tbl>
    <w:p w:rsidR="00A01E9D" w:rsidRPr="0044465E" w:rsidRDefault="00A01E9D" w:rsidP="0044465E">
      <w:pPr>
        <w:rPr>
          <w:i/>
        </w:rPr>
      </w:pPr>
    </w:p>
    <w:p w:rsidR="007763E1" w:rsidRDefault="007763E1" w:rsidP="0044465E">
      <w:pPr>
        <w:rPr>
          <w:i/>
        </w:rPr>
      </w:pPr>
      <w:r w:rsidRPr="0044465E">
        <w:rPr>
          <w:i/>
        </w:rPr>
        <w:t xml:space="preserve">Anotācijas </w:t>
      </w:r>
      <w:r w:rsidR="004C154A" w:rsidRPr="0044465E">
        <w:rPr>
          <w:i/>
        </w:rPr>
        <w:t>II</w:t>
      </w:r>
      <w:r w:rsidR="00E85E87">
        <w:rPr>
          <w:i/>
        </w:rPr>
        <w:t xml:space="preserve"> </w:t>
      </w:r>
      <w:r w:rsidR="00A01E9D" w:rsidRPr="0044465E">
        <w:rPr>
          <w:i/>
        </w:rPr>
        <w:t>-</w:t>
      </w:r>
      <w:r w:rsidR="00E85E87">
        <w:rPr>
          <w:i/>
        </w:rPr>
        <w:t xml:space="preserve"> </w:t>
      </w:r>
      <w:r w:rsidRPr="0044465E">
        <w:rPr>
          <w:i/>
        </w:rPr>
        <w:t>V</w:t>
      </w:r>
      <w:r w:rsidR="00A01E9D" w:rsidRPr="0044465E">
        <w:rPr>
          <w:i/>
        </w:rPr>
        <w:t>I</w:t>
      </w:r>
      <w:r w:rsidRPr="0044465E">
        <w:rPr>
          <w:i/>
        </w:rPr>
        <w:t> sadaļa – projekts šīs jomas neskar.</w:t>
      </w:r>
    </w:p>
    <w:p w:rsidR="0044465E" w:rsidRPr="0044465E" w:rsidRDefault="0044465E" w:rsidP="0044465E">
      <w:pPr>
        <w:rPr>
          <w:i/>
        </w:rPr>
      </w:pPr>
    </w:p>
    <w:p w:rsidR="0044465E" w:rsidRPr="0044465E" w:rsidRDefault="0044465E" w:rsidP="0044465E">
      <w:pPr>
        <w:rPr>
          <w:i/>
        </w:rPr>
      </w:pP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Ministru prezidente</w:t>
      </w:r>
      <w:r w:rsidRPr="0044465E">
        <w:tab/>
      </w:r>
      <w:r w:rsidRPr="0044465E">
        <w:tab/>
        <w:t>L.Straujuma</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ministrs</w:t>
      </w:r>
      <w:r w:rsidRPr="0044465E">
        <w:tab/>
      </w:r>
      <w:r w:rsidRPr="0044465E">
        <w:tab/>
        <w:t>J.Reirs</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proofErr w:type="spellStart"/>
      <w:r w:rsidRPr="0044465E">
        <w:t>Pārresoru</w:t>
      </w:r>
      <w:proofErr w:type="spellEnd"/>
      <w:r w:rsidRPr="0044465E">
        <w:t xml:space="preserve"> koordinācijas centra vadītājs</w:t>
      </w:r>
      <w:r w:rsidRPr="0044465E">
        <w:tab/>
      </w:r>
      <w:r w:rsidRPr="0044465E">
        <w:tab/>
        <w:t>P.Vilks</w:t>
      </w:r>
    </w:p>
    <w:p w:rsidR="0044465E" w:rsidRPr="0044465E" w:rsidRDefault="0044465E" w:rsidP="0044465E">
      <w:pPr>
        <w:widowControl w:val="0"/>
      </w:pPr>
    </w:p>
    <w:p w:rsidR="0044465E" w:rsidRPr="0044465E" w:rsidRDefault="0044465E" w:rsidP="0044465E">
      <w:pPr>
        <w:widowControl w:val="0"/>
      </w:pPr>
    </w:p>
    <w:p w:rsidR="0044465E" w:rsidRPr="0044465E" w:rsidRDefault="004C43D6" w:rsidP="0044465E">
      <w:pPr>
        <w:widowControl w:val="0"/>
        <w:rPr>
          <w:sz w:val="20"/>
          <w:szCs w:val="20"/>
        </w:rPr>
      </w:pPr>
      <w:r>
        <w:rPr>
          <w:sz w:val="20"/>
          <w:szCs w:val="20"/>
        </w:rPr>
        <w:t>26</w:t>
      </w:r>
      <w:r w:rsidR="00DA7F9C">
        <w:rPr>
          <w:sz w:val="20"/>
          <w:szCs w:val="20"/>
        </w:rPr>
        <w:t>.11</w:t>
      </w:r>
      <w:r w:rsidR="0044465E" w:rsidRPr="0044465E">
        <w:rPr>
          <w:sz w:val="20"/>
          <w:szCs w:val="20"/>
        </w:rPr>
        <w:t>.2015.10:30.</w:t>
      </w:r>
    </w:p>
    <w:p w:rsidR="0044465E" w:rsidRDefault="0044465E" w:rsidP="0044465E">
      <w:pPr>
        <w:widowControl w:val="0"/>
        <w:jc w:val="both"/>
        <w:rPr>
          <w:sz w:val="20"/>
          <w:szCs w:val="20"/>
        </w:rPr>
      </w:pPr>
      <w:r>
        <w:rPr>
          <w:sz w:val="20"/>
          <w:szCs w:val="20"/>
        </w:rPr>
        <w:t>37</w:t>
      </w:r>
      <w:r w:rsidR="00E2754A">
        <w:rPr>
          <w:sz w:val="20"/>
          <w:szCs w:val="20"/>
        </w:rPr>
        <w:t>5</w:t>
      </w:r>
    </w:p>
    <w:p w:rsidR="0044465E" w:rsidRPr="0044465E" w:rsidRDefault="0044465E" w:rsidP="0044465E">
      <w:pPr>
        <w:widowControl w:val="0"/>
        <w:jc w:val="both"/>
        <w:rPr>
          <w:sz w:val="20"/>
          <w:szCs w:val="20"/>
        </w:rPr>
      </w:pPr>
      <w:r w:rsidRPr="0044465E">
        <w:rPr>
          <w:sz w:val="20"/>
          <w:szCs w:val="20"/>
        </w:rPr>
        <w:t xml:space="preserve">Vladislavs </w:t>
      </w:r>
      <w:proofErr w:type="spellStart"/>
      <w:r w:rsidRPr="0044465E">
        <w:rPr>
          <w:sz w:val="20"/>
          <w:szCs w:val="20"/>
        </w:rPr>
        <w:t>Vesperis</w:t>
      </w:r>
      <w:proofErr w:type="spellEnd"/>
    </w:p>
    <w:p w:rsidR="0044465E" w:rsidRPr="0044465E" w:rsidRDefault="0044465E" w:rsidP="0044465E">
      <w:pPr>
        <w:widowControl w:val="0"/>
        <w:jc w:val="both"/>
        <w:rPr>
          <w:sz w:val="20"/>
          <w:szCs w:val="20"/>
        </w:rPr>
      </w:pPr>
      <w:r w:rsidRPr="0044465E">
        <w:rPr>
          <w:sz w:val="20"/>
          <w:szCs w:val="20"/>
        </w:rPr>
        <w:t xml:space="preserve"> 67082812, </w:t>
      </w:r>
      <w:hyperlink r:id="rId11" w:history="1">
        <w:r w:rsidRPr="0044465E">
          <w:rPr>
            <w:rStyle w:val="Hyperlink"/>
            <w:sz w:val="20"/>
            <w:szCs w:val="20"/>
          </w:rPr>
          <w:t>vladislavs.vesperis@pkc.mk.gov.lv</w:t>
        </w:r>
      </w:hyperlink>
    </w:p>
    <w:p w:rsidR="0044465E" w:rsidRPr="0044465E" w:rsidRDefault="0044465E" w:rsidP="0044465E">
      <w:pPr>
        <w:widowControl w:val="0"/>
        <w:jc w:val="both"/>
        <w:rPr>
          <w:sz w:val="20"/>
          <w:szCs w:val="20"/>
        </w:rPr>
      </w:pPr>
    </w:p>
    <w:p w:rsidR="0044465E" w:rsidRPr="0044465E" w:rsidRDefault="0044465E" w:rsidP="0044465E">
      <w:pPr>
        <w:rPr>
          <w:i/>
          <w:sz w:val="20"/>
          <w:szCs w:val="20"/>
        </w:rPr>
      </w:pPr>
    </w:p>
    <w:sectPr w:rsidR="0044465E" w:rsidRPr="0044465E" w:rsidSect="00474E0A">
      <w:headerReference w:type="even" r:id="rId12"/>
      <w:headerReference w:type="default" r:id="rId13"/>
      <w:footerReference w:type="even" r:id="rId14"/>
      <w:footerReference w:type="default" r:id="rId15"/>
      <w:footerReference w:type="first" r:id="rId16"/>
      <w:pgSz w:w="11906" w:h="16838" w:code="9"/>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92" w:rsidRDefault="009B7392">
      <w:r>
        <w:separator/>
      </w:r>
    </w:p>
  </w:endnote>
  <w:endnote w:type="continuationSeparator" w:id="0">
    <w:p w:rsidR="009B7392" w:rsidRDefault="009B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DA" w:rsidRPr="004F78DA" w:rsidRDefault="004F78DA" w:rsidP="004F78DA">
    <w:pPr>
      <w:jc w:val="both"/>
      <w:rPr>
        <w:sz w:val="20"/>
        <w:szCs w:val="20"/>
      </w:rPr>
    </w:pPr>
    <w:r w:rsidRPr="004F78DA">
      <w:rPr>
        <w:sz w:val="20"/>
        <w:szCs w:val="20"/>
      </w:rPr>
      <w:t>PKCAnot_</w:t>
    </w:r>
    <w:r w:rsidR="004C43D6">
      <w:rPr>
        <w:sz w:val="20"/>
        <w:szCs w:val="20"/>
      </w:rPr>
      <w:t>26</w:t>
    </w:r>
    <w:r w:rsidR="00DA7F9C">
      <w:rPr>
        <w:sz w:val="20"/>
        <w:szCs w:val="20"/>
      </w:rPr>
      <w:t>11</w:t>
    </w:r>
    <w:r w:rsidRPr="004F78DA">
      <w:rPr>
        <w:sz w:val="20"/>
        <w:szCs w:val="20"/>
      </w:rPr>
      <w:t>15_KIP; Ministru kabineta rīkojuma projekta „</w:t>
    </w:r>
    <w:r w:rsidRPr="004F78DA">
      <w:rPr>
        <w:color w:val="000000"/>
        <w:sz w:val="20"/>
        <w:szCs w:val="20"/>
      </w:rPr>
      <w:t xml:space="preserve">Par valsts kapitāla daļu un valsts kapitālsabiedrību pārvaldības koordinācijas institūcijas padomes personālsastāvu” </w:t>
    </w:r>
    <w:r w:rsidRPr="004F78DA">
      <w:rPr>
        <w:sz w:val="20"/>
        <w:szCs w:val="20"/>
      </w:rPr>
      <w:t>sākotnējās ietekmes</w:t>
    </w:r>
    <w:r w:rsidRPr="004F78DA">
      <w:rPr>
        <w:color w:val="000000"/>
        <w:sz w:val="20"/>
        <w:szCs w:val="20"/>
      </w:rPr>
      <w:t xml:space="preserve"> novērtējuma ziņojums (</w:t>
    </w:r>
    <w:r w:rsidRPr="004F78DA">
      <w:rPr>
        <w:sz w:val="20"/>
        <w:szCs w:val="20"/>
      </w:rPr>
      <w:t>anotācija)</w:t>
    </w:r>
  </w:p>
  <w:p w:rsidR="0044465E" w:rsidRDefault="00444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DA" w:rsidRPr="004F78DA" w:rsidRDefault="0044465E" w:rsidP="004F78DA">
    <w:pPr>
      <w:jc w:val="both"/>
      <w:rPr>
        <w:sz w:val="20"/>
        <w:szCs w:val="20"/>
      </w:rPr>
    </w:pPr>
    <w:r w:rsidRPr="004F78DA">
      <w:rPr>
        <w:sz w:val="20"/>
        <w:szCs w:val="20"/>
      </w:rPr>
      <w:t>PKC</w:t>
    </w:r>
    <w:r w:rsidR="00134F51" w:rsidRPr="004F78DA">
      <w:rPr>
        <w:sz w:val="20"/>
        <w:szCs w:val="20"/>
      </w:rPr>
      <w:t>Anot_</w:t>
    </w:r>
    <w:r w:rsidR="004C43D6">
      <w:rPr>
        <w:sz w:val="20"/>
        <w:szCs w:val="20"/>
      </w:rPr>
      <w:t>26</w:t>
    </w:r>
    <w:r w:rsidR="00DA7F9C">
      <w:rPr>
        <w:sz w:val="20"/>
        <w:szCs w:val="20"/>
      </w:rPr>
      <w:t>11</w:t>
    </w:r>
    <w:r w:rsidRPr="004F78DA">
      <w:rPr>
        <w:sz w:val="20"/>
        <w:szCs w:val="20"/>
      </w:rPr>
      <w:t>15_KIP</w:t>
    </w:r>
    <w:r w:rsidR="00134F51" w:rsidRPr="004F78DA">
      <w:rPr>
        <w:sz w:val="20"/>
        <w:szCs w:val="20"/>
      </w:rPr>
      <w:t xml:space="preserve">; Ministru kabineta rīkojuma projekta </w:t>
    </w:r>
    <w:r w:rsidR="004F78DA" w:rsidRPr="004F78DA">
      <w:rPr>
        <w:sz w:val="20"/>
        <w:szCs w:val="20"/>
      </w:rPr>
      <w:t>„</w:t>
    </w:r>
    <w:r w:rsidR="004F78DA" w:rsidRPr="004F78DA">
      <w:rPr>
        <w:color w:val="000000"/>
        <w:sz w:val="20"/>
        <w:szCs w:val="20"/>
      </w:rPr>
      <w:t xml:space="preserve">Par valsts kapitāla daļu un valsts kapitālsabiedrību pārvaldības koordinācijas institūcijas padomes personālsastāvu” </w:t>
    </w:r>
    <w:r w:rsidR="004F78DA" w:rsidRPr="004F78DA">
      <w:rPr>
        <w:sz w:val="20"/>
        <w:szCs w:val="20"/>
      </w:rPr>
      <w:t>sākotnējās ietekmes</w:t>
    </w:r>
    <w:r w:rsidR="004F78DA" w:rsidRPr="004F78DA">
      <w:rPr>
        <w:color w:val="000000"/>
        <w:sz w:val="20"/>
        <w:szCs w:val="20"/>
      </w:rPr>
      <w:t xml:space="preserve"> novērtējuma ziņojums (</w:t>
    </w:r>
    <w:r w:rsidR="004F78DA" w:rsidRPr="004F78DA">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92" w:rsidRDefault="009B7392">
      <w:r>
        <w:separator/>
      </w:r>
    </w:p>
  </w:footnote>
  <w:footnote w:type="continuationSeparator" w:id="0">
    <w:p w:rsidR="009B7392" w:rsidRDefault="009B7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9E57CC">
      <w:rPr>
        <w:rStyle w:val="PageNumber"/>
        <w:noProof/>
      </w:rPr>
      <w:t>2</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6FD"/>
    <w:rsid w:val="0002478A"/>
    <w:rsid w:val="00024E57"/>
    <w:rsid w:val="000260BF"/>
    <w:rsid w:val="00030731"/>
    <w:rsid w:val="0003077C"/>
    <w:rsid w:val="0003085D"/>
    <w:rsid w:val="0003149C"/>
    <w:rsid w:val="00035572"/>
    <w:rsid w:val="0004019E"/>
    <w:rsid w:val="00040F31"/>
    <w:rsid w:val="0004378D"/>
    <w:rsid w:val="00047B9A"/>
    <w:rsid w:val="000509E4"/>
    <w:rsid w:val="0005292F"/>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178C"/>
    <w:rsid w:val="0010186F"/>
    <w:rsid w:val="00101C50"/>
    <w:rsid w:val="001033CF"/>
    <w:rsid w:val="001038AD"/>
    <w:rsid w:val="00103AFA"/>
    <w:rsid w:val="00106021"/>
    <w:rsid w:val="0011031E"/>
    <w:rsid w:val="00110C8D"/>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4F51"/>
    <w:rsid w:val="00136C1C"/>
    <w:rsid w:val="00137475"/>
    <w:rsid w:val="0014056E"/>
    <w:rsid w:val="001417CA"/>
    <w:rsid w:val="00141AB1"/>
    <w:rsid w:val="00141FC7"/>
    <w:rsid w:val="00142423"/>
    <w:rsid w:val="00146F88"/>
    <w:rsid w:val="00150FBE"/>
    <w:rsid w:val="00151ACF"/>
    <w:rsid w:val="00152353"/>
    <w:rsid w:val="0015493C"/>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33CD"/>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1E50"/>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B7962"/>
    <w:rsid w:val="002C02E9"/>
    <w:rsid w:val="002C0ACD"/>
    <w:rsid w:val="002C2B9A"/>
    <w:rsid w:val="002C3B1E"/>
    <w:rsid w:val="002C46D6"/>
    <w:rsid w:val="002C7FCC"/>
    <w:rsid w:val="002D1113"/>
    <w:rsid w:val="002D1624"/>
    <w:rsid w:val="002D1A2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10C3"/>
    <w:rsid w:val="003A3C86"/>
    <w:rsid w:val="003A4C87"/>
    <w:rsid w:val="003A557F"/>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925"/>
    <w:rsid w:val="003F5A35"/>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3880"/>
    <w:rsid w:val="00434146"/>
    <w:rsid w:val="0043454F"/>
    <w:rsid w:val="004365E3"/>
    <w:rsid w:val="00442419"/>
    <w:rsid w:val="0044337F"/>
    <w:rsid w:val="0044465E"/>
    <w:rsid w:val="00445183"/>
    <w:rsid w:val="004506E0"/>
    <w:rsid w:val="00450C6F"/>
    <w:rsid w:val="0045276B"/>
    <w:rsid w:val="00454935"/>
    <w:rsid w:val="0045761D"/>
    <w:rsid w:val="00460449"/>
    <w:rsid w:val="004624DD"/>
    <w:rsid w:val="00463637"/>
    <w:rsid w:val="0046438F"/>
    <w:rsid w:val="00465D62"/>
    <w:rsid w:val="00470F9B"/>
    <w:rsid w:val="00471BB2"/>
    <w:rsid w:val="004726D4"/>
    <w:rsid w:val="00473DB7"/>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3D6"/>
    <w:rsid w:val="004C4B39"/>
    <w:rsid w:val="004D10D2"/>
    <w:rsid w:val="004D2216"/>
    <w:rsid w:val="004D329B"/>
    <w:rsid w:val="004D3D57"/>
    <w:rsid w:val="004E0392"/>
    <w:rsid w:val="004E2178"/>
    <w:rsid w:val="004E35A5"/>
    <w:rsid w:val="004E6144"/>
    <w:rsid w:val="004E7EC5"/>
    <w:rsid w:val="004F61F6"/>
    <w:rsid w:val="004F6708"/>
    <w:rsid w:val="004F78DA"/>
    <w:rsid w:val="0050069D"/>
    <w:rsid w:val="0050270F"/>
    <w:rsid w:val="005040D2"/>
    <w:rsid w:val="005051AE"/>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6CD6"/>
    <w:rsid w:val="005A74BA"/>
    <w:rsid w:val="005B062C"/>
    <w:rsid w:val="005B4A12"/>
    <w:rsid w:val="005B50E2"/>
    <w:rsid w:val="005B6291"/>
    <w:rsid w:val="005C16FF"/>
    <w:rsid w:val="005C1EFE"/>
    <w:rsid w:val="005C2005"/>
    <w:rsid w:val="005C200E"/>
    <w:rsid w:val="005C248E"/>
    <w:rsid w:val="005C2883"/>
    <w:rsid w:val="005C4797"/>
    <w:rsid w:val="005C4824"/>
    <w:rsid w:val="005C622C"/>
    <w:rsid w:val="005D249E"/>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716B"/>
    <w:rsid w:val="006271B1"/>
    <w:rsid w:val="00630186"/>
    <w:rsid w:val="00631008"/>
    <w:rsid w:val="00631A9F"/>
    <w:rsid w:val="00631F1B"/>
    <w:rsid w:val="006344E5"/>
    <w:rsid w:val="00634C31"/>
    <w:rsid w:val="00637E7E"/>
    <w:rsid w:val="00640A74"/>
    <w:rsid w:val="006459AA"/>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819AB"/>
    <w:rsid w:val="00783A23"/>
    <w:rsid w:val="007845E9"/>
    <w:rsid w:val="0078585C"/>
    <w:rsid w:val="007868B1"/>
    <w:rsid w:val="007911E5"/>
    <w:rsid w:val="00794342"/>
    <w:rsid w:val="00796B3F"/>
    <w:rsid w:val="0079763D"/>
    <w:rsid w:val="007978A1"/>
    <w:rsid w:val="007A0E33"/>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2F46"/>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3C4"/>
    <w:rsid w:val="009719CB"/>
    <w:rsid w:val="009719E6"/>
    <w:rsid w:val="00973ED1"/>
    <w:rsid w:val="00975251"/>
    <w:rsid w:val="009753A6"/>
    <w:rsid w:val="0097667D"/>
    <w:rsid w:val="00977772"/>
    <w:rsid w:val="009817ED"/>
    <w:rsid w:val="00981DDE"/>
    <w:rsid w:val="00983AEF"/>
    <w:rsid w:val="0098542B"/>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392"/>
    <w:rsid w:val="009B77C2"/>
    <w:rsid w:val="009C12AA"/>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57CC"/>
    <w:rsid w:val="009E6DDB"/>
    <w:rsid w:val="009F05E1"/>
    <w:rsid w:val="009F5E3D"/>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F0E"/>
    <w:rsid w:val="00B71EB3"/>
    <w:rsid w:val="00B72FAA"/>
    <w:rsid w:val="00B73679"/>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5AA6"/>
    <w:rsid w:val="00CB03BB"/>
    <w:rsid w:val="00CB1237"/>
    <w:rsid w:val="00CB2857"/>
    <w:rsid w:val="00CB5651"/>
    <w:rsid w:val="00CB64BB"/>
    <w:rsid w:val="00CC1651"/>
    <w:rsid w:val="00CC1B90"/>
    <w:rsid w:val="00CC4264"/>
    <w:rsid w:val="00CC4C01"/>
    <w:rsid w:val="00CC6E1A"/>
    <w:rsid w:val="00CC722D"/>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C1F"/>
    <w:rsid w:val="00D32DDC"/>
    <w:rsid w:val="00D33E09"/>
    <w:rsid w:val="00D40F96"/>
    <w:rsid w:val="00D410B6"/>
    <w:rsid w:val="00D414E6"/>
    <w:rsid w:val="00D41531"/>
    <w:rsid w:val="00D426C3"/>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7870"/>
    <w:rsid w:val="00D77AB3"/>
    <w:rsid w:val="00D81743"/>
    <w:rsid w:val="00D833ED"/>
    <w:rsid w:val="00D87263"/>
    <w:rsid w:val="00D900C5"/>
    <w:rsid w:val="00D92345"/>
    <w:rsid w:val="00D93867"/>
    <w:rsid w:val="00D94F10"/>
    <w:rsid w:val="00DA0883"/>
    <w:rsid w:val="00DA15D8"/>
    <w:rsid w:val="00DA2EE8"/>
    <w:rsid w:val="00DA3C5C"/>
    <w:rsid w:val="00DA7F9C"/>
    <w:rsid w:val="00DB2233"/>
    <w:rsid w:val="00DB275A"/>
    <w:rsid w:val="00DB4F64"/>
    <w:rsid w:val="00DB5599"/>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E00E40"/>
    <w:rsid w:val="00E04A59"/>
    <w:rsid w:val="00E061E3"/>
    <w:rsid w:val="00E1131E"/>
    <w:rsid w:val="00E131AC"/>
    <w:rsid w:val="00E134A8"/>
    <w:rsid w:val="00E16955"/>
    <w:rsid w:val="00E2690A"/>
    <w:rsid w:val="00E27373"/>
    <w:rsid w:val="00E2754A"/>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85E87"/>
    <w:rsid w:val="00E908F7"/>
    <w:rsid w:val="00E93166"/>
    <w:rsid w:val="00E94F48"/>
    <w:rsid w:val="00E95C41"/>
    <w:rsid w:val="00EA634D"/>
    <w:rsid w:val="00EA67BC"/>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islavs.vesperis@pkc.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69907?&amp;search=on" TargetMode="External"/><Relationship Id="rId4" Type="http://schemas.microsoft.com/office/2007/relationships/stylesWithEffects" Target="stylesWithEffects.xml"/><Relationship Id="rId9" Type="http://schemas.openxmlformats.org/officeDocument/2006/relationships/hyperlink" Target="http://likumi.lv/ta/id/269907?&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D5B12-204B-4C0E-BC28-3E6727FA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2231</Words>
  <Characters>1273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rīkojuma projekta "Par Centrālās medicīnas ētikas komitejas personālsastāvu" sākotnējās ietekmes novērtējuma ziņojums (anotācija)</vt:lpstr>
    </vt:vector>
  </TitlesOfParts>
  <Company>Veselības ministrija</Company>
  <LinksUpToDate>false</LinksUpToDate>
  <CharactersWithSpaces>3498</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Centrālās medicīnas ētikas komitejas personālsastāvu" sākotnējās ietekmes novērtējuma ziņojums (anotācija)</dc:title>
  <dc:subject>Anotācija</dc:subject>
  <dc:creator>Guna Jermacāne</dc:creator>
  <dc:description>guna.jermacane@vm.gov.lv,
67876167</dc:description>
  <cp:lastModifiedBy>Laimdota Adlere</cp:lastModifiedBy>
  <cp:revision>2</cp:revision>
  <cp:lastPrinted>2014-10-17T11:11:00Z</cp:lastPrinted>
  <dcterms:created xsi:type="dcterms:W3CDTF">2015-11-27T12:20:00Z</dcterms:created>
  <dcterms:modified xsi:type="dcterms:W3CDTF">2015-11-27T12:20:00Z</dcterms:modified>
</cp:coreProperties>
</file>