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DA" w:rsidRPr="00B23C86" w:rsidRDefault="00B63240" w:rsidP="003330B4">
      <w:pPr>
        <w:jc w:val="center"/>
        <w:rPr>
          <w:b/>
        </w:rPr>
      </w:pPr>
      <w:r w:rsidRPr="00B23C86">
        <w:rPr>
          <w:b/>
        </w:rPr>
        <w:t>Ministru kabineta noteikumu projekta</w:t>
      </w:r>
      <w:r w:rsidR="00B23C86">
        <w:rPr>
          <w:b/>
        </w:rPr>
        <w:t xml:space="preserve"> </w:t>
      </w:r>
      <w:r w:rsidRPr="00B23C86">
        <w:rPr>
          <w:b/>
        </w:rPr>
        <w:t>„</w:t>
      </w:r>
      <w:bookmarkStart w:id="0" w:name="OLE_LINK5"/>
      <w:bookmarkStart w:id="1" w:name="OLE_LINK6"/>
      <w:r w:rsidRPr="00B23C86">
        <w:rPr>
          <w:b/>
          <w:bCs/>
        </w:rPr>
        <w:t>Grozījumi Ministru kabineta 2010.gada 28.decembra noteikumos Nr.1211 „Noteikumi par ritošā sastāva būvi, modernizāciju, atjaunošanas remontu, atbilstības novērtēšanu un pieņemšanu ekspluatācijā”</w:t>
      </w:r>
      <w:bookmarkEnd w:id="0"/>
      <w:bookmarkEnd w:id="1"/>
      <w:r w:rsidRPr="00B23C86">
        <w:rPr>
          <w:b/>
          <w:bCs/>
          <w:kern w:val="36"/>
        </w:rPr>
        <w:t>”</w:t>
      </w:r>
      <w:r w:rsidR="00B23C86">
        <w:rPr>
          <w:b/>
          <w:bCs/>
          <w:kern w:val="36"/>
        </w:rPr>
        <w:t xml:space="preserve"> </w:t>
      </w:r>
      <w:r w:rsidRPr="00B23C86">
        <w:rPr>
          <w:b/>
        </w:rPr>
        <w:t>sākotnējās ietekmes novērtējuma ziņojums (anotācija)</w:t>
      </w:r>
    </w:p>
    <w:p w:rsidR="00CF641D" w:rsidRDefault="00CF641D" w:rsidP="00B01462">
      <w:pPr>
        <w:pStyle w:val="naisf"/>
        <w:spacing w:before="0" w:beforeAutospacing="0" w:after="0" w:afterAutospacing="0"/>
        <w:rPr>
          <w:lang w:val="lv-LV"/>
        </w:rPr>
      </w:pPr>
    </w:p>
    <w:p w:rsidR="0060734C" w:rsidRDefault="0060734C" w:rsidP="00B01462">
      <w:pPr>
        <w:pStyle w:val="naisf"/>
        <w:spacing w:before="0" w:beforeAutospacing="0" w:after="0" w:afterAutospacing="0"/>
        <w:rPr>
          <w:lang w:val="lv-LV"/>
        </w:rPr>
      </w:pPr>
    </w:p>
    <w:p w:rsidR="0060734C" w:rsidRPr="00B23C86" w:rsidRDefault="0060734C" w:rsidP="00B01462">
      <w:pPr>
        <w:pStyle w:val="naisf"/>
        <w:spacing w:before="0" w:beforeAutospacing="0" w:after="0" w:afterAutospacing="0"/>
        <w:rPr>
          <w:lang w:val="lv-LV"/>
        </w:rPr>
      </w:pP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926"/>
        <w:gridCol w:w="5579"/>
      </w:tblGrid>
      <w:tr w:rsidR="00186618" w:rsidRPr="00186618" w:rsidTr="00C7248C">
        <w:trPr>
          <w:trHeight w:val="419"/>
        </w:trPr>
        <w:tc>
          <w:tcPr>
            <w:tcW w:w="5000" w:type="pct"/>
            <w:gridSpan w:val="3"/>
            <w:vAlign w:val="center"/>
          </w:tcPr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186618">
              <w:rPr>
                <w:b/>
              </w:rPr>
              <w:t>I. Tiesību akta projekta izstrādes nepieciešamība</w:t>
            </w:r>
          </w:p>
        </w:tc>
      </w:tr>
      <w:tr w:rsidR="00186618" w:rsidRPr="00186618" w:rsidTr="00C7248C">
        <w:trPr>
          <w:trHeight w:val="415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1.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Pamatojums</w:t>
            </w:r>
          </w:p>
        </w:tc>
        <w:tc>
          <w:tcPr>
            <w:tcW w:w="3073" w:type="pct"/>
          </w:tcPr>
          <w:p w:rsidR="00542019" w:rsidRPr="00E45816" w:rsidRDefault="00E45816" w:rsidP="00332F01">
            <w:pPr>
              <w:jc w:val="both"/>
              <w:rPr>
                <w:bCs/>
              </w:rPr>
            </w:pPr>
            <w:r w:rsidRPr="00C05C1E">
              <w:rPr>
                <w:bCs/>
              </w:rPr>
              <w:t>Ministru kabineta noteikumu projekts „</w:t>
            </w:r>
            <w:r w:rsidR="00C05C1E" w:rsidRPr="00C05C1E">
              <w:rPr>
                <w:bCs/>
              </w:rPr>
              <w:t>Gr</w:t>
            </w:r>
            <w:r w:rsidR="00C823AF">
              <w:rPr>
                <w:bCs/>
              </w:rPr>
              <w:t>ozījumi Ministru kabineta 2010.</w:t>
            </w:r>
            <w:r w:rsidR="00C05C1E" w:rsidRPr="00C05C1E">
              <w:rPr>
                <w:bCs/>
              </w:rPr>
              <w:t>gada 28.decembra noteikumos Nr.1211 „Noteikumi par ritošā sastāva būvi, modernizāciju, atjaunošanas remontu, atbilstības novērtēšanu un pieņemšanu ekspluatācijā”</w:t>
            </w:r>
            <w:r w:rsidRPr="00C05C1E">
              <w:rPr>
                <w:bCs/>
                <w:kern w:val="36"/>
              </w:rPr>
              <w:t>”</w:t>
            </w:r>
            <w:r w:rsidR="00C823AF">
              <w:rPr>
                <w:bCs/>
                <w:color w:val="000000"/>
              </w:rPr>
              <w:t xml:space="preserve"> (turpmāk – Projekts)</w:t>
            </w:r>
            <w:r w:rsidR="00C05C1E" w:rsidRPr="00936E65">
              <w:rPr>
                <w:bCs/>
                <w:color w:val="000000"/>
              </w:rPr>
              <w:t xml:space="preserve"> ir izstrādāts</w:t>
            </w:r>
            <w:r w:rsidR="002A5956">
              <w:t xml:space="preserve">, lai novērstu nepilnības </w:t>
            </w:r>
            <w:r w:rsidR="002A5956" w:rsidRPr="00577992">
              <w:t xml:space="preserve">Eiropas Parlamenta un Padomes </w:t>
            </w:r>
            <w:smartTag w:uri="urn:schemas-microsoft-com:office:smarttags" w:element="date">
              <w:smartTagPr>
                <w:attr w:name="Day" w:val="17"/>
                <w:attr w:name="Month" w:val="6"/>
                <w:attr w:name="Year" w:val="2008"/>
              </w:smartTagPr>
              <w:smartTag w:uri="schemas-tilde-lv/tildestengine" w:element="date">
                <w:smartTagPr>
                  <w:attr w:name="Day" w:val="17"/>
                  <w:attr w:name="Month" w:val="6"/>
                  <w:attr w:name="Year" w:val="2008"/>
                </w:smartTagPr>
                <w:r w:rsidR="002A5956" w:rsidRPr="00577992">
                  <w:t>2008.gada 17.jūnija</w:t>
                </w:r>
              </w:smartTag>
            </w:smartTag>
            <w:r w:rsidR="002A5956" w:rsidRPr="00577992">
              <w:t xml:space="preserve"> Direktīvas 2008/57/EK par dzelzceļa sistēmas savstarpēju izmantojamību Kopienā (turpmāk – Direktīva 2008/57/EK)</w:t>
            </w:r>
            <w:r w:rsidR="002A5956">
              <w:t xml:space="preserve"> prasību pārņemšanā</w:t>
            </w:r>
            <w:r w:rsidR="00C05C1E">
              <w:t>.</w:t>
            </w:r>
          </w:p>
        </w:tc>
      </w:tr>
      <w:tr w:rsidR="00186618" w:rsidRPr="00186618" w:rsidTr="007F03B5">
        <w:trPr>
          <w:trHeight w:val="841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2.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73" w:type="pct"/>
          </w:tcPr>
          <w:p w:rsidR="00805251" w:rsidRPr="003E47E7" w:rsidRDefault="008A4352" w:rsidP="003D1938">
            <w:pPr>
              <w:pStyle w:val="NormalWeb"/>
              <w:tabs>
                <w:tab w:val="left" w:pos="360"/>
              </w:tabs>
              <w:spacing w:before="0" w:after="0"/>
              <w:jc w:val="both"/>
            </w:pPr>
            <w:r>
              <w:t>M</w:t>
            </w:r>
            <w:r w:rsidR="00C05C1E" w:rsidRPr="00577992">
              <w:t>inistru kabinet</w:t>
            </w:r>
            <w:r w:rsidR="00C05C1E">
              <w:t>a</w:t>
            </w:r>
            <w:r w:rsidR="00C823AF">
              <w:t xml:space="preserve"> 2010.</w:t>
            </w:r>
            <w:r w:rsidR="00C05C1E" w:rsidRPr="00577992">
              <w:t>gada 28.decembr</w:t>
            </w:r>
            <w:r w:rsidR="00C05C1E">
              <w:t>a</w:t>
            </w:r>
            <w:r w:rsidR="00C05C1E" w:rsidRPr="00577992">
              <w:t xml:space="preserve"> noteikum</w:t>
            </w:r>
            <w:r w:rsidR="00930F42">
              <w:t>os</w:t>
            </w:r>
            <w:r w:rsidR="00C823AF">
              <w:t xml:space="preserve"> Nr.1211 </w:t>
            </w:r>
            <w:r w:rsidR="00C05C1E" w:rsidRPr="00577992">
              <w:t>„Noteikumi par ritošā sastāva būvi, modernizāciju, atjaunošanas remontu, atbilstības novērtēšanu un pieņemšanu ekspluatācijā”</w:t>
            </w:r>
            <w:r w:rsidR="00C05C1E" w:rsidRPr="00577992">
              <w:rPr>
                <w:kern w:val="36"/>
              </w:rPr>
              <w:t xml:space="preserve"> tika </w:t>
            </w:r>
            <w:r w:rsidR="00C05C1E" w:rsidRPr="00577992">
              <w:t xml:space="preserve">  </w:t>
            </w:r>
            <w:r w:rsidR="002A5956">
              <w:t>pārņemt</w:t>
            </w:r>
            <w:r w:rsidR="00976406">
              <w:t>as</w:t>
            </w:r>
            <w:r w:rsidR="002A5956">
              <w:t xml:space="preserve"> </w:t>
            </w:r>
            <w:r w:rsidR="00C05C1E" w:rsidRPr="00577992">
              <w:t>Direktīva</w:t>
            </w:r>
            <w:r w:rsidR="00D64F8A">
              <w:t>s</w:t>
            </w:r>
            <w:r w:rsidR="00C05C1E" w:rsidRPr="00577992">
              <w:t xml:space="preserve"> 2008/57/EK </w:t>
            </w:r>
            <w:r w:rsidR="002A5956">
              <w:t xml:space="preserve">prasības </w:t>
            </w:r>
            <w:r w:rsidR="00C05C1E" w:rsidRPr="00577992">
              <w:t xml:space="preserve">attiecībā uz ritošā sastāva būvi, modernizāciju, atjaunošanas remontu, atbilstības novērtēšanu un pieņemšanu ekspluatācijā. </w:t>
            </w:r>
            <w:r w:rsidR="00C05C1E" w:rsidRPr="00577992">
              <w:rPr>
                <w:bCs/>
              </w:rPr>
              <w:t xml:space="preserve"> </w:t>
            </w:r>
          </w:p>
          <w:p w:rsidR="00AD63BC" w:rsidRDefault="00AD63BC" w:rsidP="00805251">
            <w:pPr>
              <w:jc w:val="both"/>
            </w:pPr>
            <w:r>
              <w:t xml:space="preserve">Eiropas </w:t>
            </w:r>
            <w:r w:rsidRPr="00FB1942">
              <w:t>Komisija EU Pilot lietā Nr.6658/14/MOVE</w:t>
            </w:r>
            <w:r w:rsidR="00FB1942" w:rsidRPr="00FB1942">
              <w:t xml:space="preserve"> </w:t>
            </w:r>
            <w:r w:rsidRPr="00FB1942">
              <w:t>par konstatētajām problēmām saistībā ar Direktīvas 2008/57/EK noteikumu transponējumu Latvijas tiesību aktos</w:t>
            </w:r>
            <w:r w:rsidR="00FB1942">
              <w:t xml:space="preserve"> </w:t>
            </w:r>
            <w:r w:rsidR="00813D8F">
              <w:t xml:space="preserve">tika </w:t>
            </w:r>
            <w:r w:rsidR="00FB1942">
              <w:t>norādījusi</w:t>
            </w:r>
            <w:r w:rsidR="00813D8F">
              <w:t xml:space="preserve"> uz nepilnībām Direktīvas 2008/57/EK transponēšanā</w:t>
            </w:r>
            <w:r w:rsidR="007C2305">
              <w:t>.</w:t>
            </w:r>
            <w:r w:rsidR="009310D8">
              <w:t xml:space="preserve"> </w:t>
            </w:r>
            <w:r w:rsidR="007C2305">
              <w:t>D</w:t>
            </w:r>
            <w:r w:rsidR="009310D8">
              <w:t xml:space="preserve">rošības iestādes pieprasījums ir priekšnoteikums infrastruktūras pārvaldītāja rīcībai veikt </w:t>
            </w:r>
            <w:r w:rsidR="00D20C73">
              <w:t xml:space="preserve">attiecīgas </w:t>
            </w:r>
            <w:r w:rsidR="009310D8">
              <w:t>pārbaudes</w:t>
            </w:r>
            <w:r w:rsidR="00D20C73">
              <w:t xml:space="preserve"> ritošā sastāva pieņemšanas ekspluatācijā procesā, tomēr </w:t>
            </w:r>
            <w:r w:rsidR="00F30840">
              <w:t xml:space="preserve">Latvijas tiesību aktos </w:t>
            </w:r>
            <w:r w:rsidR="00D20C73">
              <w:t>iztrūkst</w:t>
            </w:r>
            <w:r w:rsidR="00F30840">
              <w:t xml:space="preserve"> saiknes  starp drošības iestādes pieprasījumu un infrastruktūras pārvaldītāja iesaisti. </w:t>
            </w:r>
            <w:r w:rsidR="00736F0A">
              <w:t xml:space="preserve">Izbeidzot </w:t>
            </w:r>
            <w:r w:rsidR="00736F0A" w:rsidRPr="00FB1942">
              <w:t>EU Pilot  Nr.6658/14/MOVE</w:t>
            </w:r>
            <w:r w:rsidR="00736F0A">
              <w:t xml:space="preserve"> lietu, Eiropas Komisija pieņēma zināšanai</w:t>
            </w:r>
            <w:r w:rsidR="005C6D07">
              <w:t xml:space="preserve"> tai sniegto skaidrojumu, ka ir </w:t>
            </w:r>
            <w:r w:rsidR="00BB7844">
              <w:t>nolūk</w:t>
            </w:r>
            <w:r w:rsidR="005C6D07">
              <w:t>s</w:t>
            </w:r>
            <w:r w:rsidR="00BB7844">
              <w:t xml:space="preserve"> pareizi piemērot procedūru, lai tā atbilstu </w:t>
            </w:r>
            <w:r w:rsidR="00BB7844" w:rsidRPr="00FB1942">
              <w:t>Direktīvas 2008/57/EK</w:t>
            </w:r>
            <w:r w:rsidR="00D64F8A">
              <w:t xml:space="preserve"> prasībām</w:t>
            </w:r>
            <w:r w:rsidR="00BB7844">
              <w:t xml:space="preserve">. Projekts izstrādāts, lai nodrošinātu, ka </w:t>
            </w:r>
            <w:r w:rsidR="004B6396">
              <w:t>infrastruktūras pārvaldītāj</w:t>
            </w:r>
            <w:r w:rsidR="004A5CE1">
              <w:t>s</w:t>
            </w:r>
            <w:r w:rsidR="004B6396">
              <w:t xml:space="preserve"> </w:t>
            </w:r>
            <w:r w:rsidR="00A776D1">
              <w:t xml:space="preserve">iesaistās un </w:t>
            </w:r>
            <w:r w:rsidR="004A5CE1">
              <w:t>veic attiecīg</w:t>
            </w:r>
            <w:r w:rsidR="007C2305">
              <w:t>ā</w:t>
            </w:r>
            <w:r w:rsidR="004A5CE1">
              <w:t xml:space="preserve">s </w:t>
            </w:r>
            <w:r w:rsidR="00E87868">
              <w:t>pārbaudes ritošā sastāva pieņemšanas ekspluatācijā procesā</w:t>
            </w:r>
            <w:r w:rsidR="004B6396">
              <w:t xml:space="preserve"> </w:t>
            </w:r>
            <w:r w:rsidR="004A5CE1">
              <w:t xml:space="preserve">tad, kad </w:t>
            </w:r>
            <w:r w:rsidR="00A776D1">
              <w:t>ir šāds Valsts dzelzceļa tehniskās inspekcijas pieprasījums.</w:t>
            </w:r>
            <w:r w:rsidR="001903FD">
              <w:t xml:space="preserve"> </w:t>
            </w:r>
            <w:r w:rsidR="003C45B8">
              <w:t xml:space="preserve">Ar Projekta pieņemšanu </w:t>
            </w:r>
            <w:r w:rsidR="00506CA0">
              <w:t xml:space="preserve">nepilnības </w:t>
            </w:r>
            <w:r w:rsidR="00506CA0" w:rsidRPr="00FB1942">
              <w:t>Direktīvas 2008/57/EK</w:t>
            </w:r>
            <w:r w:rsidR="00506CA0">
              <w:t xml:space="preserve"> prasību pārņemšanā </w:t>
            </w:r>
            <w:r w:rsidR="001903FD">
              <w:t>ti</w:t>
            </w:r>
            <w:r w:rsidR="00D64F8A">
              <w:t>ktu</w:t>
            </w:r>
            <w:r w:rsidR="001903FD">
              <w:t xml:space="preserve"> novērstas</w:t>
            </w:r>
            <w:r w:rsidR="00506CA0">
              <w:t>.</w:t>
            </w:r>
            <w:r w:rsidR="001903FD">
              <w:t xml:space="preserve"> </w:t>
            </w:r>
          </w:p>
          <w:p w:rsidR="00186618" w:rsidRPr="00371A30" w:rsidRDefault="007F03B5" w:rsidP="007B1DC6">
            <w:pPr>
              <w:jc w:val="both"/>
            </w:pPr>
            <w:r w:rsidRPr="00C23D72">
              <w:rPr>
                <w:color w:val="000000"/>
              </w:rPr>
              <w:t>Ar Projekt</w:t>
            </w:r>
            <w:r w:rsidR="00F73227">
              <w:rPr>
                <w:color w:val="000000"/>
              </w:rPr>
              <w:t>u</w:t>
            </w:r>
            <w:r w:rsidRPr="00C23D72">
              <w:rPr>
                <w:color w:val="000000"/>
              </w:rPr>
              <w:t xml:space="preserve"> paredzēts arī </w:t>
            </w:r>
            <w:r w:rsidR="008A4352">
              <w:rPr>
                <w:color w:val="000000"/>
              </w:rPr>
              <w:t>precizēt</w:t>
            </w:r>
            <w:r w:rsidRPr="00C23D72">
              <w:rPr>
                <w:color w:val="000000"/>
              </w:rPr>
              <w:t xml:space="preserve">, ka pieteikuma iesniedzēja iesniegtās </w:t>
            </w:r>
            <w:r w:rsidRPr="00C23D72">
              <w:rPr>
                <w:color w:val="000000"/>
                <w:shd w:val="clear" w:color="auto" w:fill="FFFFFF"/>
              </w:rPr>
              <w:t>atbilstības deklarācij</w:t>
            </w:r>
            <w:r w:rsidR="008A4352">
              <w:rPr>
                <w:color w:val="000000"/>
                <w:shd w:val="clear" w:color="auto" w:fill="FFFFFF"/>
              </w:rPr>
              <w:t>a</w:t>
            </w:r>
            <w:r w:rsidRPr="00C23D72">
              <w:rPr>
                <w:color w:val="000000"/>
                <w:shd w:val="clear" w:color="auto" w:fill="FFFFFF"/>
              </w:rPr>
              <w:t>s un apliecinājum</w:t>
            </w:r>
            <w:r w:rsidR="008A4352">
              <w:rPr>
                <w:color w:val="000000"/>
                <w:shd w:val="clear" w:color="auto" w:fill="FFFFFF"/>
              </w:rPr>
              <w:t>i</w:t>
            </w:r>
            <w:r w:rsidRPr="00C23D72">
              <w:rPr>
                <w:color w:val="000000"/>
                <w:shd w:val="clear" w:color="auto" w:fill="FFFFFF"/>
              </w:rPr>
              <w:t xml:space="preserve"> par tehniskajiem un ekspluatācijas raksturlielumiem, kas norāda uz ritošā sastāva atbilstību </w:t>
            </w:r>
            <w:r w:rsidRPr="00C23D72">
              <w:rPr>
                <w:color w:val="000000"/>
                <w:shd w:val="clear" w:color="auto" w:fill="FFFFFF"/>
              </w:rPr>
              <w:lastRenderedPageBreak/>
              <w:t xml:space="preserve">infrastruktūrai, </w:t>
            </w:r>
            <w:r w:rsidR="008A4352">
              <w:rPr>
                <w:color w:val="000000"/>
                <w:shd w:val="clear" w:color="auto" w:fill="FFFFFF"/>
              </w:rPr>
              <w:t>tiek noformēt</w:t>
            </w:r>
            <w:r w:rsidR="007B1DC6">
              <w:rPr>
                <w:color w:val="000000"/>
                <w:shd w:val="clear" w:color="auto" w:fill="FFFFFF"/>
              </w:rPr>
              <w:t>i</w:t>
            </w:r>
            <w:r w:rsidR="008A4352">
              <w:rPr>
                <w:color w:val="000000"/>
                <w:shd w:val="clear" w:color="auto" w:fill="FFFFFF"/>
              </w:rPr>
              <w:t xml:space="preserve">, norādot </w:t>
            </w:r>
            <w:r w:rsidR="00FC4E30">
              <w:t>M</w:t>
            </w:r>
            <w:r w:rsidR="00FC4E30" w:rsidRPr="00577992">
              <w:t>inistru kabinet</w:t>
            </w:r>
            <w:r w:rsidR="00FC4E30">
              <w:t>a 2010.</w:t>
            </w:r>
            <w:r w:rsidR="00FC4E30" w:rsidRPr="00577992">
              <w:t>gada 28.decembr</w:t>
            </w:r>
            <w:r w:rsidR="00FC4E30">
              <w:t>a</w:t>
            </w:r>
            <w:r w:rsidR="00FC4E30" w:rsidRPr="00577992">
              <w:t xml:space="preserve"> noteikum</w:t>
            </w:r>
            <w:r w:rsidR="00FC4E30">
              <w:t xml:space="preserve">u Nr.1211 </w:t>
            </w:r>
            <w:r w:rsidR="00FC4E30" w:rsidRPr="00577992">
              <w:t>„Noteikumi par ritošā sastāva būvi, modernizāciju, atjaunošanas remontu, atbilstības novērtēšanu un pieņemšanu ekspluatācijā”</w:t>
            </w:r>
            <w:r w:rsidRPr="007F03B5">
              <w:rPr>
                <w:color w:val="000000"/>
                <w:shd w:val="clear" w:color="auto" w:fill="FFFFFF"/>
                <w:lang w:eastAsia="en-US"/>
              </w:rPr>
              <w:t xml:space="preserve"> 2.pielikum</w:t>
            </w:r>
            <w:r w:rsidR="00717B4A">
              <w:rPr>
                <w:color w:val="000000"/>
                <w:shd w:val="clear" w:color="auto" w:fill="FFFFFF"/>
                <w:lang w:eastAsia="en-US"/>
              </w:rPr>
              <w:t>ā</w:t>
            </w:r>
            <w:r w:rsidRPr="007F03B5">
              <w:rPr>
                <w:color w:val="000000"/>
                <w:shd w:val="clear" w:color="auto" w:fill="FFFFFF"/>
                <w:lang w:eastAsia="en-US"/>
              </w:rPr>
              <w:t xml:space="preserve"> iekļautā akta </w:t>
            </w:r>
            <w:r w:rsidR="00717B4A">
              <w:rPr>
                <w:color w:val="000000"/>
                <w:shd w:val="clear" w:color="auto" w:fill="FFFFFF"/>
                <w:lang w:eastAsia="en-US"/>
              </w:rPr>
              <w:t>5</w:t>
            </w:r>
            <w:r w:rsidRPr="007F03B5">
              <w:rPr>
                <w:color w:val="000000"/>
                <w:shd w:val="clear" w:color="auto" w:fill="FFFFFF"/>
                <w:lang w:eastAsia="en-US"/>
              </w:rPr>
              <w:t>.</w:t>
            </w:r>
            <w:r w:rsidR="00717B4A" w:rsidRPr="00985BDF">
              <w:t xml:space="preserve"> un 6.daļā minētos ritošā sastāva tipu raksturojošos parametrus</w:t>
            </w:r>
            <w:r w:rsidR="00717B4A">
              <w:t xml:space="preserve">. </w:t>
            </w:r>
            <w:hyperlink r:id="rId9" w:tgtFrame="_blank" w:tooltip="DIREKTĪVA" w:history="1"/>
          </w:p>
        </w:tc>
      </w:tr>
      <w:tr w:rsidR="00186618" w:rsidRPr="00186618" w:rsidTr="00C7248C">
        <w:trPr>
          <w:trHeight w:val="476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lastRenderedPageBreak/>
              <w:t>3.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izstrādē iesaistītās institūcijas</w:t>
            </w:r>
          </w:p>
        </w:tc>
        <w:tc>
          <w:tcPr>
            <w:tcW w:w="3073" w:type="pct"/>
          </w:tcPr>
          <w:p w:rsidR="00542019" w:rsidRPr="0062173C" w:rsidRDefault="0062173C" w:rsidP="00F05FCB">
            <w:pPr>
              <w:ind w:left="57" w:right="57"/>
              <w:jc w:val="both"/>
            </w:pPr>
            <w:r w:rsidRPr="0062173C">
              <w:t>Satiksmes ministrija</w:t>
            </w:r>
            <w:r w:rsidR="00F91CEB">
              <w:t>,</w:t>
            </w:r>
            <w:r w:rsidR="00F91CEB" w:rsidRPr="0062173C">
              <w:t xml:space="preserve"> </w:t>
            </w:r>
            <w:r w:rsidRPr="0062173C">
              <w:t>Valsts dzelzceļa tehniskā inspekcija.</w:t>
            </w:r>
          </w:p>
        </w:tc>
      </w:tr>
      <w:tr w:rsidR="00186618" w:rsidRPr="00186618" w:rsidTr="00C7248C"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4.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3073" w:type="pct"/>
          </w:tcPr>
          <w:p w:rsidR="007D2DD8" w:rsidRPr="00334BFA" w:rsidRDefault="00DF204D" w:rsidP="001075DC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1C4660" w:rsidRPr="00DD49B6" w:rsidRDefault="001C4660" w:rsidP="001C4660"/>
    <w:tbl>
      <w:tblPr>
        <w:tblpPr w:leftFromText="180" w:rightFromText="180" w:vertAnchor="text" w:horzAnchor="margin" w:tblpXSpec="center" w:tblpY="119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35"/>
        <w:gridCol w:w="5529"/>
      </w:tblGrid>
      <w:tr w:rsidR="006437C1" w:rsidRPr="00DD49B6" w:rsidTr="006437C1">
        <w:trPr>
          <w:trHeight w:val="556"/>
        </w:trPr>
        <w:tc>
          <w:tcPr>
            <w:tcW w:w="8936" w:type="dxa"/>
            <w:gridSpan w:val="3"/>
            <w:vAlign w:val="center"/>
          </w:tcPr>
          <w:p w:rsidR="006437C1" w:rsidRPr="00DD49B6" w:rsidRDefault="006437C1" w:rsidP="005D474C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II. Tiesību akta projekta ietekme uz sabiedrību, tautsaimniecības attīstību</w:t>
            </w:r>
          </w:p>
          <w:p w:rsidR="006437C1" w:rsidRPr="00DD49B6" w:rsidRDefault="006437C1" w:rsidP="005D474C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un administratīvo slogu</w:t>
            </w:r>
          </w:p>
        </w:tc>
      </w:tr>
      <w:tr w:rsidR="006437C1" w:rsidRPr="00DD49B6" w:rsidTr="00BA5434">
        <w:trPr>
          <w:trHeight w:val="467"/>
        </w:trPr>
        <w:tc>
          <w:tcPr>
            <w:tcW w:w="572" w:type="dxa"/>
          </w:tcPr>
          <w:p w:rsidR="006437C1" w:rsidRPr="00DD49B6" w:rsidRDefault="006437C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2835" w:type="dxa"/>
          </w:tcPr>
          <w:p w:rsidR="006437C1" w:rsidRPr="00BA5434" w:rsidRDefault="006437C1" w:rsidP="005D474C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BA5434">
              <w:rPr>
                <w:lang w:val="lv-LV"/>
              </w:rPr>
              <w:t xml:space="preserve">Sabiedrības </w:t>
            </w:r>
            <w:proofErr w:type="spellStart"/>
            <w:r w:rsidRPr="00BA5434">
              <w:rPr>
                <w:lang w:val="lv-LV"/>
              </w:rPr>
              <w:t>mērķgrupas</w:t>
            </w:r>
            <w:proofErr w:type="spellEnd"/>
            <w:r w:rsidRPr="00BA5434">
              <w:rPr>
                <w:lang w:val="lv-LV"/>
              </w:rPr>
              <w:t>, kuras tiesiskais regulējums ietekmē vai varētu ietekmēt</w:t>
            </w:r>
          </w:p>
        </w:tc>
        <w:tc>
          <w:tcPr>
            <w:tcW w:w="5529" w:type="dxa"/>
          </w:tcPr>
          <w:p w:rsidR="006437C1" w:rsidRPr="005B1C69" w:rsidRDefault="00112E10" w:rsidP="008A271F">
            <w:pPr>
              <w:jc w:val="both"/>
            </w:pPr>
            <w:bookmarkStart w:id="2" w:name="p21"/>
            <w:bookmarkEnd w:id="2"/>
            <w:r>
              <w:t>Publiskās lietošanas dzelzceļa infrastruktūras pārvaldītājs (1), pārvadātāji (</w:t>
            </w:r>
            <w:r w:rsidR="008A271F">
              <w:t>7</w:t>
            </w:r>
            <w:r>
              <w:t>), ritošā sastāva īpašnieki un lietotāji, dzelzceļa tehnikas ražotāji un apkalpotāji.</w:t>
            </w:r>
          </w:p>
        </w:tc>
      </w:tr>
      <w:tr w:rsidR="006437C1" w:rsidRPr="00DD49B6" w:rsidTr="00BA5434">
        <w:trPr>
          <w:trHeight w:val="523"/>
        </w:trPr>
        <w:tc>
          <w:tcPr>
            <w:tcW w:w="572" w:type="dxa"/>
          </w:tcPr>
          <w:p w:rsidR="006437C1" w:rsidRPr="00DD49B6" w:rsidRDefault="006437C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2835" w:type="dxa"/>
          </w:tcPr>
          <w:p w:rsidR="006437C1" w:rsidRPr="00BA5434" w:rsidRDefault="006437C1" w:rsidP="005D474C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BA5434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5529" w:type="dxa"/>
          </w:tcPr>
          <w:p w:rsidR="006437C1" w:rsidRPr="004A5B92" w:rsidRDefault="00B94947" w:rsidP="00033697">
            <w:pPr>
              <w:shd w:val="clear" w:color="auto" w:fill="FFFFFF"/>
              <w:ind w:left="57" w:right="57"/>
              <w:jc w:val="both"/>
              <w:rPr>
                <w:highlight w:val="yellow"/>
              </w:rPr>
            </w:pPr>
            <w:r w:rsidRPr="00B94947">
              <w:t xml:space="preserve">Sabiedrības </w:t>
            </w:r>
            <w:proofErr w:type="spellStart"/>
            <w:r w:rsidR="006F37C6">
              <w:t>mērķgrupām</w:t>
            </w:r>
            <w:proofErr w:type="spellEnd"/>
            <w:r w:rsidRPr="00B94947">
              <w:t xml:space="preserve"> </w:t>
            </w:r>
            <w:r w:rsidR="00033697">
              <w:t>un institūcijām P</w:t>
            </w:r>
            <w:r w:rsidRPr="00B94947">
              <w:t xml:space="preserve">rojekta tiesiskais regulējums nemaina tiesības un pienākumus, kā arī veicamās darbības. </w:t>
            </w:r>
          </w:p>
        </w:tc>
      </w:tr>
      <w:tr w:rsidR="006437C1" w:rsidRPr="00DD49B6" w:rsidTr="00BA5434">
        <w:trPr>
          <w:trHeight w:val="523"/>
        </w:trPr>
        <w:tc>
          <w:tcPr>
            <w:tcW w:w="572" w:type="dxa"/>
          </w:tcPr>
          <w:p w:rsidR="006437C1" w:rsidRPr="00DD49B6" w:rsidRDefault="006437C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3.</w:t>
            </w:r>
          </w:p>
        </w:tc>
        <w:tc>
          <w:tcPr>
            <w:tcW w:w="2835" w:type="dxa"/>
          </w:tcPr>
          <w:p w:rsidR="006437C1" w:rsidRPr="00BA5434" w:rsidRDefault="006437C1" w:rsidP="005D474C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BA5434">
              <w:rPr>
                <w:lang w:val="lv-LV"/>
              </w:rPr>
              <w:t>Administratīvo izmaksu monetārs novērtējums</w:t>
            </w:r>
          </w:p>
        </w:tc>
        <w:tc>
          <w:tcPr>
            <w:tcW w:w="5529" w:type="dxa"/>
          </w:tcPr>
          <w:p w:rsidR="006437C1" w:rsidRPr="004A5B92" w:rsidRDefault="001F6CA4" w:rsidP="005D474C">
            <w:pPr>
              <w:shd w:val="clear" w:color="auto" w:fill="FFFFFF"/>
              <w:ind w:left="57" w:right="57"/>
              <w:rPr>
                <w:highlight w:val="yellow"/>
              </w:rPr>
            </w:pPr>
            <w:r>
              <w:t>Projekts šo jomu neskar</w:t>
            </w:r>
          </w:p>
        </w:tc>
      </w:tr>
      <w:tr w:rsidR="006437C1" w:rsidRPr="00DD49B6" w:rsidTr="00BA5434">
        <w:trPr>
          <w:trHeight w:val="357"/>
        </w:trPr>
        <w:tc>
          <w:tcPr>
            <w:tcW w:w="572" w:type="dxa"/>
          </w:tcPr>
          <w:p w:rsidR="006437C1" w:rsidRPr="00DD49B6" w:rsidRDefault="006437C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2835" w:type="dxa"/>
          </w:tcPr>
          <w:p w:rsidR="006437C1" w:rsidRPr="00BA5434" w:rsidRDefault="006437C1" w:rsidP="005D474C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BA5434">
              <w:rPr>
                <w:lang w:val="lv-LV"/>
              </w:rPr>
              <w:t>Cita informācija</w:t>
            </w:r>
          </w:p>
        </w:tc>
        <w:tc>
          <w:tcPr>
            <w:tcW w:w="5529" w:type="dxa"/>
          </w:tcPr>
          <w:p w:rsidR="006437C1" w:rsidRPr="004A5B92" w:rsidRDefault="006437C1" w:rsidP="001F6CA4">
            <w:pPr>
              <w:shd w:val="clear" w:color="auto" w:fill="FFFFFF"/>
              <w:ind w:left="57" w:right="57"/>
              <w:rPr>
                <w:highlight w:val="yellow"/>
              </w:rPr>
            </w:pPr>
            <w:r w:rsidRPr="001F6CA4">
              <w:t>Nav</w:t>
            </w:r>
          </w:p>
        </w:tc>
      </w:tr>
    </w:tbl>
    <w:p w:rsidR="007D6EDD" w:rsidRDefault="007D6EDD" w:rsidP="00186618"/>
    <w:tbl>
      <w:tblPr>
        <w:tblW w:w="89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418"/>
        <w:gridCol w:w="264"/>
        <w:gridCol w:w="1153"/>
        <w:gridCol w:w="630"/>
        <w:gridCol w:w="1234"/>
        <w:gridCol w:w="1330"/>
        <w:gridCol w:w="2366"/>
      </w:tblGrid>
      <w:tr w:rsidR="00036E0F" w:rsidRPr="00DD49B6" w:rsidTr="0023386F">
        <w:trPr>
          <w:jc w:val="center"/>
        </w:trPr>
        <w:tc>
          <w:tcPr>
            <w:tcW w:w="89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0F" w:rsidRPr="00DD49B6" w:rsidRDefault="00036E0F" w:rsidP="0023386F">
            <w:pPr>
              <w:jc w:val="center"/>
              <w:rPr>
                <w:b/>
              </w:rPr>
            </w:pPr>
            <w:r w:rsidRPr="00DD49B6">
              <w:rPr>
                <w:b/>
              </w:rPr>
              <w:t>V. Tiesību akta projekta atbilstība Latvijas Republikas starptautiskajām saistībām</w:t>
            </w:r>
          </w:p>
        </w:tc>
      </w:tr>
      <w:tr w:rsidR="00036E0F" w:rsidRPr="00DD49B6" w:rsidTr="0023386F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1.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</w:pPr>
            <w:r w:rsidRPr="00DD49B6">
              <w:t>Saistības pret Eiropas Savienību</w:t>
            </w:r>
          </w:p>
        </w:tc>
        <w:tc>
          <w:tcPr>
            <w:tcW w:w="5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A63" w:rsidRPr="003858FE" w:rsidRDefault="00036E0F" w:rsidP="003330B4">
            <w:pPr>
              <w:pStyle w:val="ListParagraph"/>
              <w:tabs>
                <w:tab w:val="left" w:pos="386"/>
              </w:tabs>
              <w:ind w:left="0"/>
              <w:jc w:val="both"/>
            </w:pPr>
            <w:r>
              <w:t>Eiropas Parlamenta un Padome</w:t>
            </w:r>
            <w:r w:rsidR="00B171B1">
              <w:t>s 2008.gada 17.jūnija Direktīva</w:t>
            </w:r>
            <w:r>
              <w:t xml:space="preserve"> </w:t>
            </w:r>
            <w:r w:rsidRPr="0055382B">
              <w:t>2008/57/EK</w:t>
            </w:r>
            <w:r>
              <w:t xml:space="preserve"> par dzelzceļa sistēmas savstarpēju izmantojamību Kopienā</w:t>
            </w:r>
            <w:r w:rsidR="002C499F">
              <w:t xml:space="preserve"> (publicēta „Eiropas Savienības Oficiālajā Vēstnesī” L191, 18.07.2008.). Direktīvas 2008/57/EK pārņemšanas termiņš bija 2010.gada 19.jūlijs</w:t>
            </w:r>
            <w:r w:rsidR="002E096E">
              <w:t>.</w:t>
            </w:r>
          </w:p>
        </w:tc>
      </w:tr>
      <w:tr w:rsidR="00036E0F" w:rsidRPr="00DD49B6" w:rsidTr="0023386F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2.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</w:pPr>
            <w:r w:rsidRPr="00DD49B6">
              <w:t>Citas starptautiskās saistības</w:t>
            </w:r>
          </w:p>
        </w:tc>
        <w:tc>
          <w:tcPr>
            <w:tcW w:w="5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jc w:val="both"/>
            </w:pPr>
            <w:r>
              <w:t>Projekts šo jomu neskar</w:t>
            </w:r>
          </w:p>
        </w:tc>
      </w:tr>
      <w:tr w:rsidR="00036E0F" w:rsidRPr="00DD49B6" w:rsidTr="0023386F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3.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</w:pPr>
            <w:r w:rsidRPr="00DD49B6">
              <w:t>Cita informācija</w:t>
            </w:r>
          </w:p>
        </w:tc>
        <w:tc>
          <w:tcPr>
            <w:tcW w:w="5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 w:right="57"/>
              <w:jc w:val="both"/>
            </w:pPr>
            <w:r>
              <w:t xml:space="preserve">Nav </w:t>
            </w:r>
          </w:p>
        </w:tc>
      </w:tr>
      <w:tr w:rsidR="00036E0F" w:rsidRPr="00DD49B6" w:rsidTr="0023386F">
        <w:trPr>
          <w:jc w:val="center"/>
        </w:trPr>
        <w:tc>
          <w:tcPr>
            <w:tcW w:w="89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0F" w:rsidRPr="00DD49B6" w:rsidRDefault="00036E0F" w:rsidP="0023386F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1.tabula</w:t>
            </w:r>
          </w:p>
          <w:p w:rsidR="00036E0F" w:rsidRPr="00DD49B6" w:rsidRDefault="00036E0F" w:rsidP="0023386F">
            <w:pPr>
              <w:ind w:left="57"/>
              <w:jc w:val="center"/>
            </w:pPr>
            <w:r w:rsidRPr="00DD49B6">
              <w:rPr>
                <w:b/>
              </w:rPr>
              <w:t>Tiesību akta projekta atbilstība ES tiesību aktiem</w:t>
            </w:r>
          </w:p>
        </w:tc>
      </w:tr>
      <w:tr w:rsidR="00036E0F" w:rsidRPr="00DD49B6" w:rsidTr="0023386F">
        <w:trPr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</w:pPr>
            <w:r w:rsidRPr="00DD49B6">
              <w:t>Attiecīgā ES tiesību akta datums, numurs un nosaukums</w:t>
            </w:r>
          </w:p>
        </w:tc>
        <w:tc>
          <w:tcPr>
            <w:tcW w:w="6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656FDB" w:rsidP="00605641">
            <w:pPr>
              <w:ind w:left="57" w:right="57"/>
              <w:jc w:val="both"/>
            </w:pPr>
            <w:r>
              <w:t xml:space="preserve">Eiropas Parlamenta un Padomes 2008.gada 17.jūnija Direktīva </w:t>
            </w:r>
            <w:r w:rsidRPr="0055382B">
              <w:t>2008/57/EK</w:t>
            </w:r>
            <w:r>
              <w:t xml:space="preserve"> par dzelzceļa sistēmas savstarpēju izmantojamību Kopienā</w:t>
            </w:r>
            <w:r w:rsidR="00605641">
              <w:t xml:space="preserve"> (publicēta „Eiropas Savienības Oficiālajā Vēstnesī” L191, 18.07.2008.)</w:t>
            </w:r>
            <w:r>
              <w:t>.</w:t>
            </w:r>
          </w:p>
        </w:tc>
      </w:tr>
      <w:tr w:rsidR="00036E0F" w:rsidRPr="00DD49B6" w:rsidTr="0023386F">
        <w:trPr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A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B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C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D</w:t>
            </w:r>
          </w:p>
        </w:tc>
      </w:tr>
      <w:tr w:rsidR="00036E0F" w:rsidRPr="00DD49B6" w:rsidTr="0023386F">
        <w:trPr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Projekta vienība, kas pārņem vai ievieš katru šīs tabulas A</w:t>
            </w:r>
            <w:r>
              <w:rPr>
                <w:spacing w:val="-3"/>
              </w:rPr>
              <w:t> </w:t>
            </w:r>
            <w:r w:rsidRPr="00DD49B6">
              <w:rPr>
                <w:spacing w:val="-3"/>
              </w:rPr>
              <w:t xml:space="preserve">ailē minēto ES tiesību akta vienību, vai tiesību akts, kur attiecīgā ES tiesību </w:t>
            </w:r>
            <w:r w:rsidRPr="00DD49B6">
              <w:rPr>
                <w:spacing w:val="-3"/>
              </w:rPr>
              <w:lastRenderedPageBreak/>
              <w:t>akta vienība pārņemta vai ieviesta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lastRenderedPageBreak/>
              <w:t>Informācija par to, vai šīs tabulas A ailē minētās ES tiesību akta vienības tiek pārņemtas vai ieviestas pilnībā vai daļēji.</w:t>
            </w:r>
          </w:p>
          <w:p w:rsidR="00036E0F" w:rsidRPr="00DD49B6" w:rsidRDefault="00036E0F" w:rsidP="0023386F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 xml:space="preserve">Ja attiecīgā ES tiesību akta vienība tiek </w:t>
            </w:r>
            <w:r w:rsidRPr="00DD49B6">
              <w:rPr>
                <w:spacing w:val="-3"/>
              </w:rPr>
              <w:lastRenderedPageBreak/>
              <w:t>pārņemta vai ieviesta daļēji, sniedz attiecīgu skaidrojumu, kā arī precīzi norāda, kad un kādā veidā ES tiesību akta vienība tiks pārņemta vai ieviesta pilnībā.</w:t>
            </w:r>
          </w:p>
          <w:p w:rsidR="00036E0F" w:rsidRPr="00DD49B6" w:rsidRDefault="00036E0F" w:rsidP="0023386F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Norāda institūciju, kas ir atbildīga par šo saistību izpildi pilnībā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</w:pPr>
            <w:r w:rsidRPr="00DD49B6">
              <w:rPr>
                <w:spacing w:val="-3"/>
              </w:rPr>
              <w:lastRenderedPageBreak/>
              <w:t xml:space="preserve">Informācija par to, vai šīs </w:t>
            </w:r>
            <w:r w:rsidRPr="00DD49B6">
              <w:t>tabulas B ailē minētās projekta vienības paredz stingrākas prasības nekā šīs tabulas A ailē minētās ES tiesību akta vienības.</w:t>
            </w:r>
          </w:p>
          <w:p w:rsidR="00036E0F" w:rsidRPr="00DD49B6" w:rsidRDefault="00036E0F" w:rsidP="0023386F">
            <w:pPr>
              <w:ind w:left="57"/>
            </w:pPr>
            <w:r w:rsidRPr="00DD49B6">
              <w:lastRenderedPageBreak/>
              <w:t>Ja projekts satur stingrā</w:t>
            </w:r>
            <w:r>
              <w:softHyphen/>
            </w:r>
            <w:r w:rsidRPr="00DD49B6">
              <w:t>kas prasības nekā attie</w:t>
            </w:r>
            <w:r>
              <w:softHyphen/>
            </w:r>
            <w:r w:rsidRPr="00DD49B6">
              <w:t>cīgais ES tiesību akts,</w:t>
            </w:r>
            <w:r>
              <w:t xml:space="preserve"> </w:t>
            </w:r>
            <w:r w:rsidRPr="00DD49B6">
              <w:t>norāda pamatojumu un samērīgumu.</w:t>
            </w:r>
          </w:p>
          <w:p w:rsidR="00036E0F" w:rsidRPr="00DD49B6" w:rsidRDefault="00036E0F" w:rsidP="0023386F">
            <w:pPr>
              <w:ind w:left="57"/>
              <w:rPr>
                <w:spacing w:val="-3"/>
              </w:rPr>
            </w:pPr>
            <w:r w:rsidRPr="00DD49B6">
              <w:t>Norāda iespējamās alternatīvas (t.sk. alternatīvas, kas neparedz tiesiskā regulējuma izstrādi) – kādos gadījumos būtu iespējams izvairīties no stingrāku prasību</w:t>
            </w:r>
            <w:r w:rsidRPr="00DD49B6">
              <w:rPr>
                <w:spacing w:val="-3"/>
              </w:rPr>
              <w:t xml:space="preserve"> noteikšanas, nekā paredzēts attiecīgajos ES tiesību aktos</w:t>
            </w:r>
          </w:p>
        </w:tc>
      </w:tr>
      <w:tr w:rsidR="00790E69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6CC8" w:rsidRDefault="00790E69" w:rsidP="00726CC8">
            <w:pPr>
              <w:ind w:left="57"/>
              <w:rPr>
                <w:bCs/>
              </w:rPr>
            </w:pPr>
            <w:r w:rsidRPr="003E47E7">
              <w:rPr>
                <w:bCs/>
              </w:rPr>
              <w:lastRenderedPageBreak/>
              <w:t xml:space="preserve">Direktīvas 2008/57/EK </w:t>
            </w:r>
          </w:p>
          <w:p w:rsidR="00790E69" w:rsidRPr="003E47E7" w:rsidRDefault="00790E69" w:rsidP="00A17D94">
            <w:pPr>
              <w:ind w:left="57"/>
              <w:rPr>
                <w:bCs/>
              </w:rPr>
            </w:pPr>
            <w:r w:rsidRPr="003E47E7">
              <w:rPr>
                <w:lang w:eastAsia="en-US"/>
              </w:rPr>
              <w:t>23.panta 6.punkts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26CC8" w:rsidP="00726CC8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Tiek pārņemts ar </w:t>
            </w:r>
            <w:r w:rsidR="00790E69" w:rsidRPr="003E47E7">
              <w:rPr>
                <w:spacing w:val="-2"/>
              </w:rPr>
              <w:t xml:space="preserve">Projekta </w:t>
            </w:r>
            <w:r w:rsidR="000A6574">
              <w:rPr>
                <w:spacing w:val="-2"/>
              </w:rPr>
              <w:t>2</w:t>
            </w:r>
            <w:r w:rsidR="002B4F11">
              <w:rPr>
                <w:spacing w:val="-2"/>
              </w:rPr>
              <w:t>.punkt</w:t>
            </w:r>
            <w:r>
              <w:rPr>
                <w:spacing w:val="-2"/>
              </w:rPr>
              <w:t>u</w:t>
            </w:r>
            <w:r w:rsidR="002B4F11">
              <w:rPr>
                <w:spacing w:val="-2"/>
              </w:rPr>
              <w:t xml:space="preserve"> 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lang w:eastAsia="en-US"/>
              </w:rPr>
            </w:pPr>
            <w:r w:rsidRPr="003E47E7">
              <w:rPr>
                <w:lang w:eastAsia="en-US"/>
              </w:rPr>
              <w:t xml:space="preserve"> </w:t>
            </w:r>
            <w:r w:rsidR="00726CC8">
              <w:rPr>
                <w:lang w:eastAsia="en-US"/>
              </w:rPr>
              <w:t>P</w:t>
            </w:r>
            <w:r w:rsidRPr="003E47E7">
              <w:rPr>
                <w:lang w:eastAsia="en-US"/>
              </w:rPr>
              <w:t>ārņemt</w:t>
            </w:r>
            <w:r w:rsidR="00726CC8">
              <w:rPr>
                <w:lang w:eastAsia="en-US"/>
              </w:rPr>
              <w:t>s</w:t>
            </w:r>
            <w:r w:rsidRPr="003E47E7">
              <w:rPr>
                <w:lang w:eastAsia="en-US"/>
              </w:rPr>
              <w:t xml:space="preserve"> pilnībā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Neparedz stingrākas prasības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</w:tr>
      <w:tr w:rsidR="00790E69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6CC8" w:rsidRDefault="00790E69" w:rsidP="002B4F11">
            <w:pPr>
              <w:ind w:left="57"/>
              <w:rPr>
                <w:bCs/>
              </w:rPr>
            </w:pPr>
            <w:r w:rsidRPr="003E47E7">
              <w:rPr>
                <w:bCs/>
              </w:rPr>
              <w:t xml:space="preserve">Direktīvas 2008/57/EK </w:t>
            </w:r>
          </w:p>
          <w:p w:rsidR="00790E69" w:rsidRPr="003E47E7" w:rsidRDefault="00790E69" w:rsidP="00A17D94">
            <w:pPr>
              <w:ind w:left="57"/>
            </w:pPr>
            <w:r w:rsidRPr="003E47E7">
              <w:rPr>
                <w:lang w:eastAsia="en-US"/>
              </w:rPr>
              <w:t>2</w:t>
            </w:r>
            <w:r w:rsidR="002B4F11">
              <w:rPr>
                <w:lang w:eastAsia="en-US"/>
              </w:rPr>
              <w:t>5</w:t>
            </w:r>
            <w:r w:rsidRPr="003E47E7">
              <w:rPr>
                <w:lang w:eastAsia="en-US"/>
              </w:rPr>
              <w:t xml:space="preserve">.panta </w:t>
            </w:r>
            <w:r w:rsidR="00307269">
              <w:rPr>
                <w:lang w:eastAsia="en-US"/>
              </w:rPr>
              <w:t>4</w:t>
            </w:r>
            <w:r w:rsidRPr="003E47E7">
              <w:rPr>
                <w:lang w:eastAsia="en-US"/>
              </w:rPr>
              <w:t>.</w:t>
            </w:r>
            <w:r w:rsidR="00307269">
              <w:rPr>
                <w:lang w:eastAsia="en-US"/>
              </w:rPr>
              <w:t>p</w:t>
            </w:r>
            <w:r w:rsidRPr="003E47E7">
              <w:rPr>
                <w:lang w:eastAsia="en-US"/>
              </w:rPr>
              <w:t>unkt</w:t>
            </w:r>
            <w:r w:rsidR="00307269">
              <w:rPr>
                <w:lang w:eastAsia="en-US"/>
              </w:rPr>
              <w:t>s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1F224D" w:rsidP="001F224D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Tiek pārņemts ar </w:t>
            </w:r>
            <w:r w:rsidR="00F87A9C" w:rsidRPr="00F87A9C">
              <w:rPr>
                <w:spacing w:val="-2"/>
              </w:rPr>
              <w:t xml:space="preserve">Projekta </w:t>
            </w:r>
            <w:r w:rsidR="000A6574">
              <w:rPr>
                <w:spacing w:val="-2"/>
              </w:rPr>
              <w:t>2</w:t>
            </w:r>
            <w:r w:rsidR="00F87A9C" w:rsidRPr="00F87A9C">
              <w:rPr>
                <w:spacing w:val="-2"/>
              </w:rPr>
              <w:t>.punkt</w:t>
            </w:r>
            <w:r>
              <w:rPr>
                <w:spacing w:val="-2"/>
              </w:rPr>
              <w:t>u</w:t>
            </w:r>
            <w:r w:rsidR="00F87A9C" w:rsidRPr="00F87A9C">
              <w:rPr>
                <w:spacing w:val="-2"/>
              </w:rPr>
              <w:t xml:space="preserve"> 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spacing w:val="-2"/>
              </w:rPr>
            </w:pPr>
            <w:r w:rsidRPr="003E47E7">
              <w:rPr>
                <w:lang w:eastAsia="en-US"/>
              </w:rPr>
              <w:t xml:space="preserve"> </w:t>
            </w:r>
            <w:r w:rsidR="00726CC8">
              <w:rPr>
                <w:lang w:eastAsia="en-US"/>
              </w:rPr>
              <w:t>P</w:t>
            </w:r>
            <w:r w:rsidRPr="003E47E7">
              <w:rPr>
                <w:lang w:eastAsia="en-US"/>
              </w:rPr>
              <w:t>ārņemt</w:t>
            </w:r>
            <w:r w:rsidR="00726CC8">
              <w:rPr>
                <w:lang w:eastAsia="en-US"/>
              </w:rPr>
              <w:t>s</w:t>
            </w:r>
            <w:r w:rsidRPr="003E47E7">
              <w:rPr>
                <w:lang w:eastAsia="en-US"/>
              </w:rPr>
              <w:t xml:space="preserve"> pilnībā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Neparedz stingrākas prasības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</w:tr>
      <w:tr w:rsidR="00B171B1" w:rsidRPr="00DD49B6" w:rsidTr="0023386F">
        <w:trPr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Kā ir izmantota ES tiesību aktā paredzētā rīcības brīvība dalīb</w:t>
            </w:r>
            <w:r>
              <w:rPr>
                <w:spacing w:val="-3"/>
              </w:rPr>
              <w:softHyphen/>
            </w:r>
            <w:r w:rsidRPr="00DD49B6">
              <w:rPr>
                <w:spacing w:val="-3"/>
              </w:rPr>
              <w:t>valstij pārņemt vai ieviest noteiktas ES tiesību akta normas?</w:t>
            </w:r>
          </w:p>
          <w:p w:rsidR="00B171B1" w:rsidRPr="00DD49B6" w:rsidRDefault="00B171B1" w:rsidP="00B171B1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Kādēļ?</w:t>
            </w:r>
          </w:p>
        </w:tc>
        <w:tc>
          <w:tcPr>
            <w:tcW w:w="6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>
              <w:t>Projekts šo jomu neskar</w:t>
            </w:r>
          </w:p>
        </w:tc>
      </w:tr>
      <w:tr w:rsidR="00B171B1" w:rsidRPr="00DD49B6" w:rsidTr="0023386F">
        <w:trPr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  <w:rPr>
                <w:spacing w:val="-3"/>
              </w:rPr>
            </w:pPr>
            <w:r w:rsidRPr="00DD49B6">
              <w:rPr>
                <w:spacing w:val="-4"/>
              </w:rPr>
              <w:t>Saistības sniegt paziņojumu ES</w:t>
            </w:r>
            <w:r>
              <w:rPr>
                <w:spacing w:val="-4"/>
              </w:rPr>
              <w:t xml:space="preserve"> </w:t>
            </w:r>
            <w:r w:rsidRPr="00DD49B6">
              <w:rPr>
                <w:spacing w:val="-4"/>
              </w:rPr>
              <w:t>insti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tūcijām un ES dalīb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valstīm atbilstoši normatīvajiem aktiem, kas regulē informā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cijas sniegšanu par tehnisko noteikumu, valsts atbalsta piešķir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šanas un finanšu noteikumu (attiecībā uz monetāro politiku) projektiem</w:t>
            </w:r>
          </w:p>
        </w:tc>
        <w:tc>
          <w:tcPr>
            <w:tcW w:w="6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>
              <w:t>Projekts šo jomu neskar</w:t>
            </w:r>
          </w:p>
        </w:tc>
      </w:tr>
      <w:tr w:rsidR="00B171B1" w:rsidRPr="00DD49B6" w:rsidTr="0023386F">
        <w:trPr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 w:rsidRPr="00DD49B6">
              <w:lastRenderedPageBreak/>
              <w:t>Cita informācija</w:t>
            </w:r>
          </w:p>
        </w:tc>
        <w:tc>
          <w:tcPr>
            <w:tcW w:w="6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922E8E" w:rsidP="00093613">
            <w:pPr>
              <w:ind w:left="57"/>
              <w:jc w:val="both"/>
            </w:pPr>
            <w:r w:rsidRPr="00DB789A">
              <w:t>Pārējās ties</w:t>
            </w:r>
            <w:r w:rsidRPr="000E12CF">
              <w:t xml:space="preserve">ību normas, kas izriet no Direktīvas 2008/57/EK, iekļautas </w:t>
            </w:r>
            <w:r w:rsidR="00BB204C">
              <w:t xml:space="preserve">Dzelzceļa likumā, </w:t>
            </w:r>
            <w:r w:rsidR="00DB789A" w:rsidRPr="00DB789A">
              <w:rPr>
                <w:bCs/>
              </w:rPr>
              <w:t xml:space="preserve">Ministru kabineta 2010.gada 28.decembra noteikumos Nr.1211 „Noteikumi par ritošā sastāva būvi, modernizāciju, atjaunošanas remontu, atbilstības novērtēšanu un pieņemšanu </w:t>
            </w:r>
            <w:r w:rsidR="00DB789A" w:rsidRPr="00093613">
              <w:rPr>
                <w:bCs/>
              </w:rPr>
              <w:t>ekspluatācijā”</w:t>
            </w:r>
            <w:r w:rsidR="00BB204C" w:rsidRPr="00093613">
              <w:rPr>
                <w:bCs/>
              </w:rPr>
              <w:t>,</w:t>
            </w:r>
            <w:r w:rsidR="00DB789A" w:rsidRPr="00093613">
              <w:rPr>
                <w:bCs/>
              </w:rPr>
              <w:t xml:space="preserve"> </w:t>
            </w:r>
            <w:r w:rsidR="000E12CF" w:rsidRPr="00093613">
              <w:rPr>
                <w:bCs/>
              </w:rPr>
              <w:t>Ministru kabineta 2010.gada 28.decembra noteikumos Nr.1210 „Noteikumi par Eiropas dzelzceļa sistēmu savstarpēju</w:t>
            </w:r>
            <w:r w:rsidR="000E12CF" w:rsidRPr="00093613">
              <w:rPr>
                <w:rFonts w:ascii="Arial" w:hAnsi="Arial" w:cs="Arial"/>
                <w:bCs/>
                <w:sz w:val="35"/>
                <w:szCs w:val="35"/>
              </w:rPr>
              <w:t xml:space="preserve"> </w:t>
            </w:r>
            <w:r w:rsidR="000E12CF" w:rsidRPr="00093613">
              <w:rPr>
                <w:bCs/>
              </w:rPr>
              <w:t>izmantojamību”</w:t>
            </w:r>
            <w:r w:rsidR="00BB204C" w:rsidRPr="00093613">
              <w:rPr>
                <w:bCs/>
              </w:rPr>
              <w:t xml:space="preserve"> un </w:t>
            </w:r>
            <w:r w:rsidR="00093613" w:rsidRPr="00093613">
              <w:rPr>
                <w:bCs/>
              </w:rPr>
              <w:t>Ministru kabineta 2012.gada 31.janvāra noteikumos Nr.92 „Dzelzceļa ritošā sastāva reģistrācijas kārtība”.</w:t>
            </w:r>
          </w:p>
        </w:tc>
      </w:tr>
      <w:tr w:rsidR="00B171B1" w:rsidRPr="00DD49B6" w:rsidTr="0023386F">
        <w:trPr>
          <w:jc w:val="center"/>
        </w:trPr>
        <w:tc>
          <w:tcPr>
            <w:tcW w:w="89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1B1" w:rsidRPr="00DD49B6" w:rsidRDefault="00B171B1" w:rsidP="00B171B1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2.tabula</w:t>
            </w:r>
          </w:p>
          <w:p w:rsidR="00B171B1" w:rsidRPr="00DD49B6" w:rsidRDefault="00B171B1" w:rsidP="00B171B1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B171B1" w:rsidRPr="00DD49B6" w:rsidRDefault="00B171B1" w:rsidP="00B171B1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Pasākumi šo saistību izpildei</w:t>
            </w:r>
          </w:p>
        </w:tc>
      </w:tr>
      <w:tr w:rsidR="00B171B1" w:rsidRPr="00DD49B6" w:rsidTr="0023386F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1B1" w:rsidRPr="00DD49B6" w:rsidRDefault="00B171B1" w:rsidP="00B171B1">
            <w:pPr>
              <w:ind w:left="57"/>
            </w:pPr>
            <w:r w:rsidRPr="00DD49B6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67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>
              <w:t>Projekts šo jomu neskar</w:t>
            </w:r>
          </w:p>
        </w:tc>
      </w:tr>
      <w:tr w:rsidR="00B171B1" w:rsidRPr="00DD49B6" w:rsidTr="0023386F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1B1" w:rsidRPr="00DD49B6" w:rsidRDefault="00B171B1" w:rsidP="00B171B1">
            <w:pPr>
              <w:ind w:left="57"/>
              <w:jc w:val="center"/>
            </w:pPr>
            <w:r w:rsidRPr="00DD49B6">
              <w:t>A</w:t>
            </w: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1B1" w:rsidRPr="00DD49B6" w:rsidRDefault="00B171B1" w:rsidP="00B171B1">
            <w:pPr>
              <w:ind w:left="57"/>
              <w:jc w:val="center"/>
            </w:pPr>
            <w:r w:rsidRPr="00DD49B6">
              <w:t>B</w:t>
            </w:r>
          </w:p>
        </w:tc>
        <w:tc>
          <w:tcPr>
            <w:tcW w:w="3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1B1" w:rsidRPr="00DD49B6" w:rsidRDefault="00B171B1" w:rsidP="00B171B1">
            <w:pPr>
              <w:ind w:left="57"/>
              <w:jc w:val="center"/>
            </w:pPr>
            <w:r w:rsidRPr="00DD49B6">
              <w:t>C</w:t>
            </w:r>
          </w:p>
        </w:tc>
      </w:tr>
      <w:tr w:rsidR="00B171B1" w:rsidRPr="00DD49B6" w:rsidTr="0023386F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 w:rsidRPr="00DD49B6">
              <w:t>Starptautiskās saistības (pēc būtības), kas izriet no norādītā starptautis</w:t>
            </w:r>
            <w:r>
              <w:softHyphen/>
            </w:r>
            <w:r w:rsidRPr="00DD49B6">
              <w:t>kā dokumenta.</w:t>
            </w:r>
          </w:p>
          <w:p w:rsidR="00B171B1" w:rsidRPr="00DD49B6" w:rsidRDefault="00B171B1" w:rsidP="00B171B1">
            <w:pPr>
              <w:ind w:left="57"/>
            </w:pPr>
            <w:r w:rsidRPr="00DD49B6">
              <w:t>Konkrēti veicamie pasākumi vai uzdevumi, kas nepieciešami šo starptautisko saistību izpildei</w:t>
            </w: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 w:rsidRPr="00DD49B6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3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 w:rsidRPr="00DD49B6">
              <w:t>Informācija par to, vai starptautiskās saistības, kas minētas šīs tabulas A ailē, tiek izpildītas pilnībā vai daļēji.</w:t>
            </w:r>
          </w:p>
          <w:p w:rsidR="00B171B1" w:rsidRPr="00DD49B6" w:rsidRDefault="00B171B1" w:rsidP="00B171B1">
            <w:pPr>
              <w:ind w:left="57"/>
            </w:pPr>
            <w:r w:rsidRPr="00DD49B6"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B171B1" w:rsidRPr="00DD49B6" w:rsidRDefault="00B171B1" w:rsidP="00B171B1">
            <w:pPr>
              <w:ind w:left="57" w:right="57"/>
            </w:pPr>
            <w:r w:rsidRPr="00DD49B6">
              <w:t>Norāda institūciju, kas ir atbildīga par šo saistību izpildi pilnībā</w:t>
            </w:r>
          </w:p>
        </w:tc>
      </w:tr>
      <w:tr w:rsidR="00B171B1" w:rsidRPr="00DD49B6" w:rsidTr="0023386F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>
              <w:t>Projekts šo jomu neskar</w:t>
            </w: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>
              <w:t>Projekts šo jomu neskar</w:t>
            </w:r>
          </w:p>
        </w:tc>
        <w:tc>
          <w:tcPr>
            <w:tcW w:w="3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>
              <w:t>Projekts šo jomu neskar</w:t>
            </w:r>
          </w:p>
        </w:tc>
      </w:tr>
      <w:tr w:rsidR="00B171B1" w:rsidRPr="00DD49B6" w:rsidTr="0023386F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Default="00B171B1" w:rsidP="00B171B1">
            <w:pPr>
              <w:ind w:left="57"/>
            </w:pPr>
            <w:r w:rsidRPr="00DD49B6">
              <w:t>Vai starptautiskajā dokumentā paredzētās saistības nav pretrunā ar jau esošajām Latvijas Republikas starptautis</w:t>
            </w:r>
            <w:r>
              <w:softHyphen/>
            </w:r>
            <w:r w:rsidRPr="00DD49B6">
              <w:t>kajām saistībām</w:t>
            </w:r>
          </w:p>
          <w:p w:rsidR="00CF641D" w:rsidRPr="00DD49B6" w:rsidRDefault="00CF641D" w:rsidP="00B171B1">
            <w:pPr>
              <w:ind w:left="57"/>
            </w:pPr>
          </w:p>
        </w:tc>
        <w:tc>
          <w:tcPr>
            <w:tcW w:w="67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  <w:jc w:val="both"/>
            </w:pPr>
            <w:r>
              <w:t>Projekts šo jomu neskar</w:t>
            </w:r>
          </w:p>
        </w:tc>
      </w:tr>
      <w:tr w:rsidR="00B171B1" w:rsidRPr="00DD49B6" w:rsidTr="0023386F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 w:rsidRPr="00DD49B6">
              <w:t>Cita informācija</w:t>
            </w:r>
          </w:p>
        </w:tc>
        <w:tc>
          <w:tcPr>
            <w:tcW w:w="67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  <w:jc w:val="both"/>
            </w:pPr>
            <w:r w:rsidRPr="00DD49B6">
              <w:t>Nav</w:t>
            </w:r>
          </w:p>
        </w:tc>
      </w:tr>
    </w:tbl>
    <w:p w:rsidR="003769DA" w:rsidRDefault="003769DA" w:rsidP="00186618"/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261"/>
        <w:gridCol w:w="5154"/>
      </w:tblGrid>
      <w:tr w:rsidR="00FB2FC6" w:rsidRPr="00DD49B6" w:rsidTr="00F51E83">
        <w:trPr>
          <w:trHeight w:val="421"/>
          <w:jc w:val="center"/>
        </w:trPr>
        <w:tc>
          <w:tcPr>
            <w:tcW w:w="9033" w:type="dxa"/>
            <w:gridSpan w:val="3"/>
            <w:vAlign w:val="center"/>
          </w:tcPr>
          <w:p w:rsidR="00FB2FC6" w:rsidRPr="00DD49B6" w:rsidRDefault="00FB2FC6" w:rsidP="00F51E83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lastRenderedPageBreak/>
              <w:t>VI. Sabiedrības līdzdalība un komunikācijas aktivitātes</w:t>
            </w:r>
          </w:p>
        </w:tc>
      </w:tr>
      <w:tr w:rsidR="00FB2FC6" w:rsidRPr="00DD49B6" w:rsidTr="00F51E83">
        <w:trPr>
          <w:trHeight w:val="553"/>
          <w:jc w:val="center"/>
        </w:trPr>
        <w:tc>
          <w:tcPr>
            <w:tcW w:w="618" w:type="dxa"/>
          </w:tcPr>
          <w:p w:rsidR="00FB2FC6" w:rsidRPr="00DD49B6" w:rsidRDefault="00FB2FC6" w:rsidP="00F51E83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1.</w:t>
            </w:r>
          </w:p>
        </w:tc>
        <w:tc>
          <w:tcPr>
            <w:tcW w:w="3261" w:type="dxa"/>
          </w:tcPr>
          <w:p w:rsidR="00FB2FC6" w:rsidRPr="00DD49B6" w:rsidRDefault="00FB2FC6" w:rsidP="00F51E83">
            <w:pPr>
              <w:tabs>
                <w:tab w:val="left" w:pos="170"/>
              </w:tabs>
              <w:ind w:left="57" w:right="57"/>
            </w:pPr>
            <w:r w:rsidRPr="00DD49B6">
              <w:t>Plānotās sabiedrības līdzdalības un komunikācijas aktivitātes saistībā ar projektu</w:t>
            </w:r>
          </w:p>
        </w:tc>
        <w:tc>
          <w:tcPr>
            <w:tcW w:w="5154" w:type="dxa"/>
          </w:tcPr>
          <w:p w:rsidR="00FB2FC6" w:rsidRPr="000A6574" w:rsidRDefault="00400506" w:rsidP="00E64CEF">
            <w:pPr>
              <w:tabs>
                <w:tab w:val="num" w:pos="0"/>
              </w:tabs>
              <w:spacing w:before="100" w:beforeAutospacing="1" w:after="100" w:afterAutospacing="1"/>
              <w:jc w:val="both"/>
            </w:pPr>
            <w:r w:rsidRPr="00B947AC">
              <w:t xml:space="preserve">Informācija saistībā ar Projektu tika ievietota </w:t>
            </w:r>
            <w:r>
              <w:t>Satiksmes ministrijas</w:t>
            </w:r>
            <w:r w:rsidRPr="00B947AC">
              <w:t xml:space="preserve"> tīmekļa vietnē, sākot ar 2015.gada </w:t>
            </w:r>
            <w:r w:rsidR="002D0F5D">
              <w:t>1</w:t>
            </w:r>
            <w:r w:rsidR="00E64CEF">
              <w:t>4</w:t>
            </w:r>
            <w:r w:rsidR="006334D7">
              <w:t>.</w:t>
            </w:r>
            <w:r>
              <w:t>septembri</w:t>
            </w:r>
            <w:r w:rsidRPr="00B947AC">
              <w:t xml:space="preserve">. </w:t>
            </w:r>
            <w:r w:rsidR="00FB2FC6" w:rsidRPr="000A6574">
              <w:rPr>
                <w:bCs/>
              </w:rPr>
              <w:t xml:space="preserve"> </w:t>
            </w:r>
          </w:p>
        </w:tc>
      </w:tr>
      <w:tr w:rsidR="00FB2FC6" w:rsidRPr="00DD49B6" w:rsidTr="00F51E83">
        <w:trPr>
          <w:trHeight w:val="339"/>
          <w:jc w:val="center"/>
        </w:trPr>
        <w:tc>
          <w:tcPr>
            <w:tcW w:w="618" w:type="dxa"/>
          </w:tcPr>
          <w:p w:rsidR="00FB2FC6" w:rsidRPr="00DD49B6" w:rsidRDefault="00FB2FC6" w:rsidP="00F51E83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2.</w:t>
            </w:r>
          </w:p>
        </w:tc>
        <w:tc>
          <w:tcPr>
            <w:tcW w:w="3261" w:type="dxa"/>
          </w:tcPr>
          <w:p w:rsidR="00FB2FC6" w:rsidRPr="00DD49B6" w:rsidRDefault="00FB2FC6" w:rsidP="00F51E83">
            <w:pPr>
              <w:ind w:left="57" w:right="57"/>
            </w:pPr>
            <w:r w:rsidRPr="00DD49B6">
              <w:t>Sabiedrības līdzdalība projekta izstrādē</w:t>
            </w:r>
          </w:p>
        </w:tc>
        <w:tc>
          <w:tcPr>
            <w:tcW w:w="5154" w:type="dxa"/>
          </w:tcPr>
          <w:p w:rsidR="00FB2FC6" w:rsidRPr="000A6574" w:rsidRDefault="00FB2FC6" w:rsidP="00EF375D">
            <w:pPr>
              <w:jc w:val="both"/>
            </w:pPr>
            <w:r w:rsidRPr="000A6574">
              <w:t xml:space="preserve">Projekta izstrādē notika konsultācijas ar publiskās lietošanas dzelzceļa infrastruktūras pārvaldītāju VAS „Latvijas dzelzceļš”. </w:t>
            </w:r>
          </w:p>
        </w:tc>
      </w:tr>
      <w:tr w:rsidR="00FB2FC6" w:rsidRPr="00DD49B6" w:rsidTr="00F51E83">
        <w:trPr>
          <w:trHeight w:val="476"/>
          <w:jc w:val="center"/>
        </w:trPr>
        <w:tc>
          <w:tcPr>
            <w:tcW w:w="618" w:type="dxa"/>
          </w:tcPr>
          <w:p w:rsidR="00FB2FC6" w:rsidRPr="00DD49B6" w:rsidRDefault="00FB2FC6" w:rsidP="00F51E83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3.</w:t>
            </w:r>
          </w:p>
        </w:tc>
        <w:tc>
          <w:tcPr>
            <w:tcW w:w="3261" w:type="dxa"/>
          </w:tcPr>
          <w:p w:rsidR="00FB2FC6" w:rsidRPr="00DD49B6" w:rsidRDefault="00FB2FC6" w:rsidP="00F51E83">
            <w:pPr>
              <w:ind w:left="57" w:right="57"/>
            </w:pPr>
            <w:r w:rsidRPr="00DD49B6">
              <w:t>Sabiedrības līdzdalības rezultāti</w:t>
            </w:r>
          </w:p>
        </w:tc>
        <w:tc>
          <w:tcPr>
            <w:tcW w:w="5154" w:type="dxa"/>
          </w:tcPr>
          <w:p w:rsidR="00FB2FC6" w:rsidRPr="000A6574" w:rsidRDefault="00FB2FC6" w:rsidP="00400506">
            <w:pPr>
              <w:jc w:val="both"/>
            </w:pPr>
            <w:r w:rsidRPr="000A6574">
              <w:rPr>
                <w:bCs/>
              </w:rPr>
              <w:t>Projektu atbalsta</w:t>
            </w:r>
            <w:r w:rsidR="00400506">
              <w:rPr>
                <w:bCs/>
              </w:rPr>
              <w:t>.</w:t>
            </w:r>
            <w:r w:rsidRPr="000A6574">
              <w:rPr>
                <w:bCs/>
              </w:rPr>
              <w:t xml:space="preserve"> </w:t>
            </w:r>
            <w:r w:rsidR="00F8312F">
              <w:rPr>
                <w:bCs/>
              </w:rPr>
              <w:t>Priekšlikumi Projekta izstrādes procesā netika izteikti.</w:t>
            </w:r>
          </w:p>
        </w:tc>
      </w:tr>
      <w:tr w:rsidR="00FB2FC6" w:rsidRPr="00DD49B6" w:rsidTr="00F51E83">
        <w:trPr>
          <w:trHeight w:val="476"/>
          <w:jc w:val="center"/>
        </w:trPr>
        <w:tc>
          <w:tcPr>
            <w:tcW w:w="618" w:type="dxa"/>
          </w:tcPr>
          <w:p w:rsidR="00FB2FC6" w:rsidRPr="00DD49B6" w:rsidRDefault="00FB2FC6" w:rsidP="00F51E83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4.</w:t>
            </w:r>
          </w:p>
        </w:tc>
        <w:tc>
          <w:tcPr>
            <w:tcW w:w="3261" w:type="dxa"/>
          </w:tcPr>
          <w:p w:rsidR="00FB2FC6" w:rsidRPr="00DD49B6" w:rsidRDefault="00FB2FC6" w:rsidP="00F51E83">
            <w:pPr>
              <w:ind w:left="57" w:right="57"/>
            </w:pPr>
            <w:r w:rsidRPr="00DD49B6">
              <w:t>Cita informācija</w:t>
            </w:r>
          </w:p>
        </w:tc>
        <w:tc>
          <w:tcPr>
            <w:tcW w:w="5154" w:type="dxa"/>
          </w:tcPr>
          <w:p w:rsidR="00FB2FC6" w:rsidRDefault="00FB2FC6" w:rsidP="00F51E83">
            <w:pPr>
              <w:tabs>
                <w:tab w:val="num" w:pos="0"/>
              </w:tabs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Nav </w:t>
            </w:r>
          </w:p>
        </w:tc>
      </w:tr>
    </w:tbl>
    <w:p w:rsidR="003769DA" w:rsidRPr="00186618" w:rsidRDefault="003769DA" w:rsidP="00186618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3271"/>
        <w:gridCol w:w="5093"/>
      </w:tblGrid>
      <w:tr w:rsidR="00186618" w:rsidRPr="00186618" w:rsidTr="00C7248C">
        <w:trPr>
          <w:trHeight w:val="381"/>
          <w:jc w:val="center"/>
        </w:trPr>
        <w:tc>
          <w:tcPr>
            <w:tcW w:w="9031" w:type="dxa"/>
            <w:gridSpan w:val="3"/>
            <w:vAlign w:val="center"/>
          </w:tcPr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rPr>
                <w:b/>
              </w:rPr>
              <w:t>VII. Tiesību akta projekta izpildes nodrošināšana un tās ietekme uz institūcijām</w:t>
            </w:r>
          </w:p>
        </w:tc>
      </w:tr>
      <w:tr w:rsidR="00186618" w:rsidRPr="00186618" w:rsidTr="00C7248C">
        <w:trPr>
          <w:trHeight w:val="427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1.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izpildē iesaistītās institūcijas</w:t>
            </w:r>
          </w:p>
        </w:tc>
        <w:tc>
          <w:tcPr>
            <w:tcW w:w="5093" w:type="dxa"/>
          </w:tcPr>
          <w:p w:rsidR="00186618" w:rsidRPr="00186618" w:rsidRDefault="006307FB" w:rsidP="001C4660">
            <w:pPr>
              <w:shd w:val="clear" w:color="auto" w:fill="FFFFFF"/>
              <w:ind w:left="57" w:right="57"/>
              <w:jc w:val="both"/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>
              <w:t xml:space="preserve">Valsts </w:t>
            </w:r>
            <w:r w:rsidR="00833436">
              <w:t xml:space="preserve">dzelzceļa </w:t>
            </w:r>
            <w:r>
              <w:t>tehniskā inspekcija</w:t>
            </w:r>
            <w:r w:rsidR="00833436">
              <w:t>.</w:t>
            </w:r>
          </w:p>
        </w:tc>
      </w:tr>
      <w:tr w:rsidR="00186618" w:rsidRPr="00186618" w:rsidTr="00C7248C">
        <w:trPr>
          <w:trHeight w:val="463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2.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izpildes ietekme uz pār</w:t>
            </w:r>
            <w:r w:rsidRPr="00186618">
              <w:rPr>
                <w:lang w:val="lv-LV"/>
              </w:rPr>
              <w:softHyphen/>
              <w:t>valdes funkcijām un institucionālo struktūru.</w:t>
            </w:r>
          </w:p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Jaunu institūciju izveide, esošu institūciju likvidācija vai reorga</w:t>
            </w:r>
            <w:r w:rsidRPr="00186618">
              <w:rPr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093" w:type="dxa"/>
          </w:tcPr>
          <w:p w:rsidR="00D90DD0" w:rsidRPr="00CF6472" w:rsidRDefault="00D90DD0" w:rsidP="00D90DD0">
            <w:pPr>
              <w:shd w:val="clear" w:color="auto" w:fill="FFFFFF"/>
              <w:ind w:left="57" w:right="57"/>
              <w:jc w:val="both"/>
            </w:pPr>
            <w:r>
              <w:t xml:space="preserve">Valsts dzelzceļa tehniskās inspekcijas </w:t>
            </w:r>
            <w:r w:rsidRPr="001B2BCD">
              <w:t>funkcijas</w:t>
            </w:r>
            <w:r>
              <w:t xml:space="preserve"> un </w:t>
            </w:r>
            <w:r w:rsidRPr="005440BF">
              <w:t xml:space="preserve">uzdevumi </w:t>
            </w:r>
            <w:r w:rsidRPr="00E350DA">
              <w:t>netiek paplašināt</w:t>
            </w:r>
            <w:r>
              <w:t>i</w:t>
            </w:r>
            <w:r w:rsidRPr="00E350DA">
              <w:t xml:space="preserve"> vai sašaurināt</w:t>
            </w:r>
            <w:r>
              <w:t>i</w:t>
            </w:r>
            <w:r w:rsidRPr="00E350DA">
              <w:t>.</w:t>
            </w:r>
            <w:r w:rsidRPr="001B2BCD">
              <w:t xml:space="preserve"> </w:t>
            </w:r>
          </w:p>
          <w:p w:rsidR="002F5727" w:rsidRPr="00186618" w:rsidRDefault="00D90DD0" w:rsidP="00D90DD0">
            <w:pPr>
              <w:shd w:val="clear" w:color="auto" w:fill="FFFFFF"/>
              <w:ind w:left="57" w:right="57"/>
              <w:jc w:val="both"/>
            </w:pPr>
            <w:r w:rsidRPr="0020275D">
              <w:t xml:space="preserve">Projekta izpilde </w:t>
            </w:r>
            <w:r>
              <w:t>Valsts dzelzceļa tehniskajai inspekcija</w:t>
            </w:r>
            <w:r w:rsidRPr="0020275D">
              <w:t>i pieejamos cilvēkresursus neietekmē.</w:t>
            </w:r>
            <w:r>
              <w:t xml:space="preserve"> </w:t>
            </w:r>
            <w:r w:rsidRPr="001B2BCD">
              <w:t>Saistībā ar projekta izpildi nav nepieciešams veidot jaunas institūcijas, likvidēt vai reorganizēt esošās.</w:t>
            </w:r>
          </w:p>
        </w:tc>
      </w:tr>
      <w:tr w:rsidR="00186618" w:rsidRPr="00186618" w:rsidTr="00C7248C">
        <w:trPr>
          <w:trHeight w:val="4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833436">
            <w:pPr>
              <w:ind w:left="57" w:right="57"/>
              <w:jc w:val="both"/>
            </w:pPr>
            <w:r w:rsidRPr="00186618">
              <w:t>Nav</w:t>
            </w:r>
          </w:p>
        </w:tc>
      </w:tr>
    </w:tbl>
    <w:p w:rsidR="00922494" w:rsidRDefault="00922494" w:rsidP="007D6EDD">
      <w:pPr>
        <w:rPr>
          <w:iCs/>
        </w:rPr>
      </w:pPr>
    </w:p>
    <w:p w:rsidR="00922494" w:rsidRDefault="00922494" w:rsidP="007D6EDD">
      <w:pPr>
        <w:rPr>
          <w:iCs/>
        </w:rPr>
      </w:pPr>
    </w:p>
    <w:p w:rsidR="00186618" w:rsidRPr="003A4CF4" w:rsidRDefault="00E2582C" w:rsidP="007D6EDD">
      <w:pPr>
        <w:rPr>
          <w:iCs/>
        </w:rPr>
      </w:pPr>
      <w:r w:rsidRPr="003A4CF4">
        <w:rPr>
          <w:iCs/>
        </w:rPr>
        <w:t>Anotācijas II</w:t>
      </w:r>
      <w:r w:rsidR="005A4AAC" w:rsidRPr="003A4CF4">
        <w:rPr>
          <w:iCs/>
        </w:rPr>
        <w:t>I</w:t>
      </w:r>
      <w:r w:rsidR="00A95635" w:rsidRPr="003A4CF4">
        <w:rPr>
          <w:iCs/>
        </w:rPr>
        <w:t xml:space="preserve"> un </w:t>
      </w:r>
      <w:r w:rsidR="005A4AAC" w:rsidRPr="003A4CF4">
        <w:rPr>
          <w:iCs/>
        </w:rPr>
        <w:t xml:space="preserve"> </w:t>
      </w:r>
      <w:r w:rsidR="00113CC5" w:rsidRPr="003A4CF4">
        <w:rPr>
          <w:iCs/>
        </w:rPr>
        <w:t>I</w:t>
      </w:r>
      <w:r w:rsidRPr="003A4CF4">
        <w:rPr>
          <w:iCs/>
        </w:rPr>
        <w:t>V</w:t>
      </w:r>
      <w:r w:rsidR="00A95635" w:rsidRPr="003A4CF4">
        <w:rPr>
          <w:iCs/>
        </w:rPr>
        <w:t xml:space="preserve"> </w:t>
      </w:r>
      <w:r w:rsidRPr="003A4CF4">
        <w:rPr>
          <w:iCs/>
        </w:rPr>
        <w:t>sadaļa – projekts šīs jomas neskar.</w:t>
      </w:r>
    </w:p>
    <w:p w:rsidR="00E231B3" w:rsidRPr="003A4CF4" w:rsidRDefault="00E231B3"/>
    <w:p w:rsidR="003A4CF4" w:rsidRDefault="003A4CF4" w:rsidP="00EA414E">
      <w:pPr>
        <w:jc w:val="both"/>
      </w:pPr>
    </w:p>
    <w:p w:rsidR="00B50954" w:rsidRPr="003A4CF4" w:rsidRDefault="00B50954" w:rsidP="00EA414E">
      <w:pPr>
        <w:jc w:val="both"/>
      </w:pPr>
      <w:r w:rsidRPr="003A4CF4">
        <w:t xml:space="preserve">Satiksmes ministrs           </w:t>
      </w:r>
      <w:r w:rsidR="003411CC" w:rsidRPr="003A4CF4">
        <w:t xml:space="preserve">          </w:t>
      </w:r>
      <w:r w:rsidR="003411CC" w:rsidRPr="003A4CF4">
        <w:tab/>
      </w:r>
      <w:r w:rsidR="003411CC" w:rsidRPr="003A4CF4">
        <w:tab/>
      </w:r>
      <w:r w:rsidR="003411CC" w:rsidRPr="003A4CF4">
        <w:tab/>
      </w:r>
      <w:r w:rsidR="003411CC" w:rsidRPr="003A4CF4">
        <w:tab/>
      </w:r>
      <w:r w:rsidR="003411CC" w:rsidRPr="003A4CF4">
        <w:tab/>
        <w:t xml:space="preserve">                </w:t>
      </w:r>
      <w:r w:rsidR="0026494C" w:rsidRPr="003A4CF4">
        <w:t>A</w:t>
      </w:r>
      <w:r w:rsidRPr="003A4CF4">
        <w:t>.</w:t>
      </w:r>
      <w:r w:rsidR="00E2582C" w:rsidRPr="003A4CF4">
        <w:t>Matīss</w:t>
      </w:r>
    </w:p>
    <w:p w:rsidR="004A2958" w:rsidRPr="003A4CF4" w:rsidRDefault="004A2958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4058E5" w:rsidRDefault="004058E5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F61614" w:rsidRDefault="00F61614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F61614" w:rsidRPr="003A4CF4" w:rsidRDefault="00F61614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F61614" w:rsidRDefault="00F61614" w:rsidP="00497DE1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B50954" w:rsidRPr="003A4CF4" w:rsidRDefault="00B50954" w:rsidP="00497DE1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  <w:r w:rsidRPr="003A4CF4">
        <w:rPr>
          <w:lang w:val="lv-LV"/>
        </w:rPr>
        <w:t xml:space="preserve">Vīza: </w:t>
      </w:r>
      <w:r w:rsidR="00E231B3" w:rsidRPr="003A4CF4">
        <w:rPr>
          <w:lang w:val="lv-LV"/>
        </w:rPr>
        <w:t>V</w:t>
      </w:r>
      <w:r w:rsidRPr="003A4CF4">
        <w:rPr>
          <w:lang w:val="lv-LV"/>
        </w:rPr>
        <w:t>alsts sekretār</w:t>
      </w:r>
      <w:r w:rsidR="003411CC" w:rsidRPr="003A4CF4">
        <w:rPr>
          <w:lang w:val="lv-LV"/>
        </w:rPr>
        <w:t xml:space="preserve">s                         </w:t>
      </w:r>
      <w:r w:rsidR="00497DE1" w:rsidRPr="003A4CF4">
        <w:rPr>
          <w:lang w:val="lv-LV"/>
        </w:rPr>
        <w:t xml:space="preserve">                                   </w:t>
      </w:r>
      <w:r w:rsidR="00343A37" w:rsidRPr="003A4CF4">
        <w:rPr>
          <w:lang w:val="lv-LV"/>
        </w:rPr>
        <w:t xml:space="preserve">             </w:t>
      </w:r>
      <w:r w:rsidR="00497DE1" w:rsidRPr="003A4CF4">
        <w:rPr>
          <w:lang w:val="lv-LV"/>
        </w:rPr>
        <w:t xml:space="preserve"> </w:t>
      </w:r>
      <w:r w:rsidR="003A4CF4">
        <w:rPr>
          <w:lang w:val="lv-LV"/>
        </w:rPr>
        <w:tab/>
      </w:r>
      <w:r w:rsidR="003A4CF4">
        <w:rPr>
          <w:lang w:val="lv-LV"/>
        </w:rPr>
        <w:tab/>
        <w:t xml:space="preserve">    </w:t>
      </w:r>
      <w:r w:rsidR="00497DE1" w:rsidRPr="003A4CF4">
        <w:rPr>
          <w:lang w:val="lv-LV"/>
        </w:rPr>
        <w:t>K.Ozoliņš</w:t>
      </w:r>
    </w:p>
    <w:p w:rsidR="008C5D69" w:rsidRDefault="008C5D69" w:rsidP="004A29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F824AF" w:rsidRDefault="00F824AF" w:rsidP="004A29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824AF" w:rsidRDefault="00F824AF" w:rsidP="004A29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824AF" w:rsidRDefault="00F824AF" w:rsidP="004A29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824AF" w:rsidRDefault="00F824AF" w:rsidP="004A29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824AF" w:rsidRDefault="00F824AF" w:rsidP="004A29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824AF" w:rsidRDefault="00F824AF" w:rsidP="004A29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52C09" w:rsidRDefault="00352C09" w:rsidP="004A29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52C09" w:rsidRDefault="00352C09" w:rsidP="004A29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824AF" w:rsidRDefault="00F824AF" w:rsidP="004A29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824AF" w:rsidRPr="0006245E" w:rsidRDefault="002B79D0" w:rsidP="00F824AF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D6163">
        <w:rPr>
          <w:rFonts w:ascii="Times New Roman" w:hAnsi="Times New Roman" w:cs="Times New Roman"/>
        </w:rPr>
        <w:t>0</w:t>
      </w:r>
      <w:r w:rsidR="00F824AF" w:rsidRPr="0006245E">
        <w:rPr>
          <w:rFonts w:ascii="Times New Roman" w:hAnsi="Times New Roman" w:cs="Times New Roman"/>
        </w:rPr>
        <w:t>.</w:t>
      </w:r>
      <w:r w:rsidR="003D6163">
        <w:rPr>
          <w:rFonts w:ascii="Times New Roman" w:hAnsi="Times New Roman" w:cs="Times New Roman"/>
        </w:rPr>
        <w:t>1</w:t>
      </w:r>
      <w:r w:rsidR="00F824AF" w:rsidRPr="0006245E">
        <w:rPr>
          <w:rFonts w:ascii="Times New Roman" w:hAnsi="Times New Roman" w:cs="Times New Roman"/>
        </w:rPr>
        <w:t>0.2015 1</w:t>
      </w:r>
      <w:r w:rsidR="003D6163">
        <w:rPr>
          <w:rFonts w:ascii="Times New Roman" w:hAnsi="Times New Roman" w:cs="Times New Roman"/>
        </w:rPr>
        <w:t>7</w:t>
      </w:r>
      <w:r w:rsidR="00F824AF" w:rsidRPr="0006245E">
        <w:rPr>
          <w:rFonts w:ascii="Times New Roman" w:hAnsi="Times New Roman" w:cs="Times New Roman"/>
        </w:rPr>
        <w:t>:</w:t>
      </w:r>
      <w:r w:rsidR="003D6163">
        <w:rPr>
          <w:rFonts w:ascii="Times New Roman" w:hAnsi="Times New Roman" w:cs="Times New Roman"/>
        </w:rPr>
        <w:t>49</w:t>
      </w:r>
    </w:p>
    <w:p w:rsidR="00F824AF" w:rsidRPr="00800B3D" w:rsidRDefault="00183753" w:rsidP="00F824AF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NUMWORDS 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1157</w:t>
      </w:r>
      <w:r>
        <w:rPr>
          <w:rFonts w:ascii="Times New Roman" w:hAnsi="Times New Roman" w:cs="Times New Roman"/>
        </w:rPr>
        <w:fldChar w:fldCharType="end"/>
      </w:r>
    </w:p>
    <w:p w:rsidR="00F824AF" w:rsidRPr="00800B3D" w:rsidRDefault="00F824AF" w:rsidP="00F824AF">
      <w:pPr>
        <w:pStyle w:val="PlainText"/>
        <w:jc w:val="both"/>
        <w:rPr>
          <w:rFonts w:ascii="Times New Roman" w:hAnsi="Times New Roman" w:cs="Times New Roman"/>
        </w:rPr>
      </w:pPr>
      <w:r w:rsidRPr="00800B3D">
        <w:rPr>
          <w:rFonts w:ascii="Times New Roman" w:hAnsi="Times New Roman" w:cs="Times New Roman"/>
        </w:rPr>
        <w:fldChar w:fldCharType="begin"/>
      </w:r>
      <w:r w:rsidRPr="00800B3D">
        <w:rPr>
          <w:rFonts w:ascii="Times New Roman" w:hAnsi="Times New Roman" w:cs="Times New Roman"/>
        </w:rPr>
        <w:instrText xml:space="preserve"> AUTHOR   \* MERGEFORMAT </w:instrText>
      </w:r>
      <w:r w:rsidRPr="00800B3D">
        <w:rPr>
          <w:rFonts w:ascii="Times New Roman" w:hAnsi="Times New Roman" w:cs="Times New Roman"/>
        </w:rPr>
        <w:fldChar w:fldCharType="separate"/>
      </w:r>
      <w:r w:rsidRPr="00800B3D">
        <w:rPr>
          <w:rFonts w:ascii="Times New Roman" w:hAnsi="Times New Roman" w:cs="Times New Roman"/>
          <w:noProof/>
        </w:rPr>
        <w:t>J.Zālītis</w:t>
      </w:r>
      <w:r w:rsidRPr="00800B3D">
        <w:rPr>
          <w:rFonts w:ascii="Times New Roman" w:hAnsi="Times New Roman" w:cs="Times New Roman"/>
        </w:rPr>
        <w:fldChar w:fldCharType="end"/>
      </w:r>
    </w:p>
    <w:p w:rsidR="00F824AF" w:rsidRPr="000B7174" w:rsidRDefault="00F824AF" w:rsidP="004A29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00B3D">
        <w:rPr>
          <w:rFonts w:ascii="Times New Roman" w:hAnsi="Times New Roman" w:cs="Times New Roman"/>
        </w:rPr>
        <w:fldChar w:fldCharType="begin"/>
      </w:r>
      <w:r w:rsidRPr="00800B3D">
        <w:rPr>
          <w:rFonts w:ascii="Times New Roman" w:hAnsi="Times New Roman" w:cs="Times New Roman"/>
        </w:rPr>
        <w:instrText xml:space="preserve"> COMMENTS   \* MERGEFORMAT </w:instrText>
      </w:r>
      <w:r w:rsidRPr="00800B3D">
        <w:rPr>
          <w:rFonts w:ascii="Times New Roman" w:hAnsi="Times New Roman" w:cs="Times New Roman"/>
        </w:rPr>
        <w:fldChar w:fldCharType="separate"/>
      </w:r>
      <w:r w:rsidRPr="00800B3D">
        <w:rPr>
          <w:rFonts w:ascii="Times New Roman" w:hAnsi="Times New Roman" w:cs="Times New Roman"/>
        </w:rPr>
        <w:t>67028373, juris.zalitis@sam.gov.lv</w:t>
      </w:r>
      <w:r w:rsidRPr="00800B3D">
        <w:rPr>
          <w:rFonts w:ascii="Times New Roman" w:hAnsi="Times New Roman" w:cs="Times New Roman"/>
        </w:rPr>
        <w:fldChar w:fldCharType="end"/>
      </w:r>
    </w:p>
    <w:sectPr w:rsidR="00F824AF" w:rsidRPr="000B7174" w:rsidSect="000F28E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E6" w:rsidRDefault="00C133E6">
      <w:r>
        <w:separator/>
      </w:r>
    </w:p>
  </w:endnote>
  <w:endnote w:type="continuationSeparator" w:id="0">
    <w:p w:rsidR="00C133E6" w:rsidRDefault="00C1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DA" w:rsidRDefault="007F5C12" w:rsidP="007F5C12">
    <w:pPr>
      <w:pStyle w:val="Footer"/>
      <w:jc w:val="both"/>
    </w:pPr>
    <w:r>
      <w:rPr>
        <w:sz w:val="20"/>
        <w:szCs w:val="20"/>
      </w:rPr>
      <w:t>S</w:t>
    </w:r>
    <w:r w:rsidR="00AA707B">
      <w:rPr>
        <w:sz w:val="20"/>
        <w:szCs w:val="20"/>
      </w:rPr>
      <w:t>AMAnot_</w:t>
    </w:r>
    <w:r w:rsidR="00A1055D">
      <w:rPr>
        <w:sz w:val="20"/>
        <w:szCs w:val="20"/>
      </w:rPr>
      <w:t>2</w:t>
    </w:r>
    <w:r w:rsidR="0060734C">
      <w:rPr>
        <w:sz w:val="20"/>
        <w:szCs w:val="20"/>
      </w:rPr>
      <w:t>010</w:t>
    </w:r>
    <w:r w:rsidR="00922494">
      <w:rPr>
        <w:sz w:val="20"/>
        <w:szCs w:val="20"/>
      </w:rPr>
      <w:t>15_</w:t>
    </w:r>
    <w:r w:rsidR="0010207B">
      <w:rPr>
        <w:sz w:val="20"/>
        <w:szCs w:val="20"/>
      </w:rPr>
      <w:t>g</w:t>
    </w:r>
    <w:r>
      <w:rPr>
        <w:sz w:val="20"/>
        <w:szCs w:val="20"/>
      </w:rPr>
      <w:t>roz</w:t>
    </w:r>
    <w:r w:rsidR="00922494">
      <w:rPr>
        <w:sz w:val="20"/>
        <w:szCs w:val="20"/>
      </w:rPr>
      <w:t>_MK_</w:t>
    </w:r>
    <w:r>
      <w:rPr>
        <w:sz w:val="20"/>
        <w:szCs w:val="20"/>
      </w:rPr>
      <w:t>1211</w:t>
    </w:r>
    <w:r w:rsidR="003769DA">
      <w:rPr>
        <w:sz w:val="20"/>
        <w:szCs w:val="20"/>
      </w:rPr>
      <w:t xml:space="preserve">; </w:t>
    </w:r>
    <w:r w:rsidR="003769DA">
      <w:rPr>
        <w:bCs/>
        <w:sz w:val="20"/>
        <w:szCs w:val="20"/>
      </w:rPr>
      <w:t>Grozījumi Ministru kabineta 2010. gada 28.decembra noteikumos Nr.1211 „Noteikumi par ritošā sastāva būvi, modernizāciju, atjaunošanas remontu, atbilstības novērtēšanu un pieņemšanu ekspluatācijā”</w:t>
    </w:r>
  </w:p>
  <w:p w:rsidR="009C4030" w:rsidRPr="00A978ED" w:rsidRDefault="009C4030" w:rsidP="00A97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DA" w:rsidRDefault="003769DA" w:rsidP="007F5C12">
    <w:pPr>
      <w:pStyle w:val="Footer"/>
      <w:jc w:val="both"/>
    </w:pPr>
    <w:r>
      <w:rPr>
        <w:sz w:val="20"/>
        <w:szCs w:val="20"/>
      </w:rPr>
      <w:t>S</w:t>
    </w:r>
    <w:r w:rsidR="00AA707B">
      <w:rPr>
        <w:sz w:val="20"/>
        <w:szCs w:val="20"/>
      </w:rPr>
      <w:t>AMAnot</w:t>
    </w:r>
    <w:r w:rsidR="005C3680">
      <w:rPr>
        <w:sz w:val="20"/>
        <w:szCs w:val="20"/>
      </w:rPr>
      <w:t>_</w:t>
    </w:r>
    <w:r w:rsidR="00A1055D">
      <w:rPr>
        <w:sz w:val="20"/>
        <w:szCs w:val="20"/>
      </w:rPr>
      <w:t>2</w:t>
    </w:r>
    <w:r w:rsidR="0060734C">
      <w:rPr>
        <w:sz w:val="20"/>
        <w:szCs w:val="20"/>
      </w:rPr>
      <w:t>01</w:t>
    </w:r>
    <w:r w:rsidR="005C3680">
      <w:rPr>
        <w:sz w:val="20"/>
        <w:szCs w:val="20"/>
      </w:rPr>
      <w:t>015_</w:t>
    </w:r>
    <w:r w:rsidR="00A53765">
      <w:rPr>
        <w:sz w:val="20"/>
        <w:szCs w:val="20"/>
      </w:rPr>
      <w:t>g</w:t>
    </w:r>
    <w:r w:rsidR="007F5C12">
      <w:rPr>
        <w:sz w:val="20"/>
        <w:szCs w:val="20"/>
      </w:rPr>
      <w:t>roz</w:t>
    </w:r>
    <w:r w:rsidR="005C3680">
      <w:rPr>
        <w:sz w:val="20"/>
        <w:szCs w:val="20"/>
      </w:rPr>
      <w:t>_MK_</w:t>
    </w:r>
    <w:r>
      <w:rPr>
        <w:sz w:val="20"/>
        <w:szCs w:val="20"/>
      </w:rPr>
      <w:t xml:space="preserve">1211; </w:t>
    </w:r>
    <w:r>
      <w:rPr>
        <w:bCs/>
        <w:sz w:val="20"/>
        <w:szCs w:val="20"/>
      </w:rPr>
      <w:t>Grozījumi Ministru kabineta 2010. gada 28.decembra noteikumos Nr.1211 „Noteikumi par ritošā sastāva būvi, modernizāciju, atjaunošanas remontu, atbilstības novērtēšanu un pieņemšanu ekspluatācijā</w:t>
    </w:r>
    <w:r>
      <w:rPr>
        <w:bCs/>
        <w:kern w:val="36"/>
        <w:sz w:val="20"/>
        <w:szCs w:val="20"/>
      </w:rPr>
      <w:t>”</w:t>
    </w:r>
  </w:p>
  <w:p w:rsidR="009C4030" w:rsidRPr="00A978ED" w:rsidRDefault="009C4030" w:rsidP="007F5C1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E6" w:rsidRDefault="00C133E6">
      <w:r>
        <w:separator/>
      </w:r>
    </w:p>
  </w:footnote>
  <w:footnote w:type="continuationSeparator" w:id="0">
    <w:p w:rsidR="00C133E6" w:rsidRDefault="00C1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30" w:rsidRDefault="009C4030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30" w:rsidRDefault="009C4030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614">
      <w:rPr>
        <w:rStyle w:val="PageNumber"/>
        <w:noProof/>
      </w:rPr>
      <w:t>5</w: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5D4"/>
    <w:multiLevelType w:val="hybridMultilevel"/>
    <w:tmpl w:val="828CA0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A6"/>
    <w:rsid w:val="000024B0"/>
    <w:rsid w:val="000073B1"/>
    <w:rsid w:val="00010277"/>
    <w:rsid w:val="00014117"/>
    <w:rsid w:val="00015844"/>
    <w:rsid w:val="00016601"/>
    <w:rsid w:val="000208E9"/>
    <w:rsid w:val="00023814"/>
    <w:rsid w:val="000249CB"/>
    <w:rsid w:val="00024B42"/>
    <w:rsid w:val="00024B74"/>
    <w:rsid w:val="00024D77"/>
    <w:rsid w:val="00025727"/>
    <w:rsid w:val="00031AD4"/>
    <w:rsid w:val="00031D6F"/>
    <w:rsid w:val="00032087"/>
    <w:rsid w:val="00033697"/>
    <w:rsid w:val="00035FEE"/>
    <w:rsid w:val="00036E0F"/>
    <w:rsid w:val="0004286D"/>
    <w:rsid w:val="0004311C"/>
    <w:rsid w:val="0004466E"/>
    <w:rsid w:val="0005312E"/>
    <w:rsid w:val="000551AE"/>
    <w:rsid w:val="00056EFB"/>
    <w:rsid w:val="00056FC6"/>
    <w:rsid w:val="00057BB7"/>
    <w:rsid w:val="00060EA4"/>
    <w:rsid w:val="00063B45"/>
    <w:rsid w:val="00063C9C"/>
    <w:rsid w:val="00064BA3"/>
    <w:rsid w:val="00065022"/>
    <w:rsid w:val="00066B28"/>
    <w:rsid w:val="00067894"/>
    <w:rsid w:val="00067D34"/>
    <w:rsid w:val="000718D8"/>
    <w:rsid w:val="00074553"/>
    <w:rsid w:val="00077EE3"/>
    <w:rsid w:val="000904F3"/>
    <w:rsid w:val="00090859"/>
    <w:rsid w:val="00093613"/>
    <w:rsid w:val="000958B4"/>
    <w:rsid w:val="00096633"/>
    <w:rsid w:val="000A1E3A"/>
    <w:rsid w:val="000A1F83"/>
    <w:rsid w:val="000A57C7"/>
    <w:rsid w:val="000A6574"/>
    <w:rsid w:val="000A78B5"/>
    <w:rsid w:val="000A7CAE"/>
    <w:rsid w:val="000A7CD2"/>
    <w:rsid w:val="000B00C1"/>
    <w:rsid w:val="000B33BB"/>
    <w:rsid w:val="000B387D"/>
    <w:rsid w:val="000B6237"/>
    <w:rsid w:val="000B7174"/>
    <w:rsid w:val="000D1B17"/>
    <w:rsid w:val="000E12CF"/>
    <w:rsid w:val="000E1DAE"/>
    <w:rsid w:val="000E2E67"/>
    <w:rsid w:val="000E4266"/>
    <w:rsid w:val="000E5876"/>
    <w:rsid w:val="000E59A2"/>
    <w:rsid w:val="000F28E8"/>
    <w:rsid w:val="0010207B"/>
    <w:rsid w:val="00102821"/>
    <w:rsid w:val="00102E3E"/>
    <w:rsid w:val="001037A3"/>
    <w:rsid w:val="00105E9A"/>
    <w:rsid w:val="001064A5"/>
    <w:rsid w:val="00106C7E"/>
    <w:rsid w:val="001075DC"/>
    <w:rsid w:val="00112E10"/>
    <w:rsid w:val="00113CC5"/>
    <w:rsid w:val="001164B2"/>
    <w:rsid w:val="00121040"/>
    <w:rsid w:val="001233DE"/>
    <w:rsid w:val="00123579"/>
    <w:rsid w:val="00124EBC"/>
    <w:rsid w:val="001329AD"/>
    <w:rsid w:val="00136E2A"/>
    <w:rsid w:val="001379DD"/>
    <w:rsid w:val="00143F9E"/>
    <w:rsid w:val="00144BBE"/>
    <w:rsid w:val="0014516D"/>
    <w:rsid w:val="00155C18"/>
    <w:rsid w:val="00160B75"/>
    <w:rsid w:val="0016253E"/>
    <w:rsid w:val="001626A1"/>
    <w:rsid w:val="00162E4F"/>
    <w:rsid w:val="001647A4"/>
    <w:rsid w:val="001667CE"/>
    <w:rsid w:val="001704AC"/>
    <w:rsid w:val="001752BE"/>
    <w:rsid w:val="001764B1"/>
    <w:rsid w:val="00180F5D"/>
    <w:rsid w:val="00183753"/>
    <w:rsid w:val="00185AA3"/>
    <w:rsid w:val="00186618"/>
    <w:rsid w:val="001903FD"/>
    <w:rsid w:val="00191DE1"/>
    <w:rsid w:val="00191E52"/>
    <w:rsid w:val="00192142"/>
    <w:rsid w:val="00192580"/>
    <w:rsid w:val="00192D36"/>
    <w:rsid w:val="001A18EE"/>
    <w:rsid w:val="001A2332"/>
    <w:rsid w:val="001A299D"/>
    <w:rsid w:val="001A3242"/>
    <w:rsid w:val="001B2BCD"/>
    <w:rsid w:val="001B2E1F"/>
    <w:rsid w:val="001B310C"/>
    <w:rsid w:val="001B56C3"/>
    <w:rsid w:val="001B6360"/>
    <w:rsid w:val="001B6F0E"/>
    <w:rsid w:val="001C4660"/>
    <w:rsid w:val="001C6282"/>
    <w:rsid w:val="001D255C"/>
    <w:rsid w:val="001D2B11"/>
    <w:rsid w:val="001D2EA3"/>
    <w:rsid w:val="001D3F33"/>
    <w:rsid w:val="001D45DC"/>
    <w:rsid w:val="001D5C58"/>
    <w:rsid w:val="001E047E"/>
    <w:rsid w:val="001E07E0"/>
    <w:rsid w:val="001E7C07"/>
    <w:rsid w:val="001F224D"/>
    <w:rsid w:val="001F289B"/>
    <w:rsid w:val="001F60E1"/>
    <w:rsid w:val="001F6CA4"/>
    <w:rsid w:val="0020275D"/>
    <w:rsid w:val="00205E6E"/>
    <w:rsid w:val="0020666C"/>
    <w:rsid w:val="002122D5"/>
    <w:rsid w:val="00214F2F"/>
    <w:rsid w:val="00215646"/>
    <w:rsid w:val="002213F7"/>
    <w:rsid w:val="002226E3"/>
    <w:rsid w:val="00226570"/>
    <w:rsid w:val="00226CF4"/>
    <w:rsid w:val="00227EE1"/>
    <w:rsid w:val="0023019E"/>
    <w:rsid w:val="00231CB2"/>
    <w:rsid w:val="00232FD9"/>
    <w:rsid w:val="00235969"/>
    <w:rsid w:val="00236F7E"/>
    <w:rsid w:val="0023720E"/>
    <w:rsid w:val="0023787E"/>
    <w:rsid w:val="00237924"/>
    <w:rsid w:val="00242566"/>
    <w:rsid w:val="00243618"/>
    <w:rsid w:val="00245A62"/>
    <w:rsid w:val="00251C23"/>
    <w:rsid w:val="00251DAA"/>
    <w:rsid w:val="002530BD"/>
    <w:rsid w:val="0025366B"/>
    <w:rsid w:val="00254641"/>
    <w:rsid w:val="00256250"/>
    <w:rsid w:val="002617AD"/>
    <w:rsid w:val="0026494C"/>
    <w:rsid w:val="0027114C"/>
    <w:rsid w:val="00274F3F"/>
    <w:rsid w:val="002814CE"/>
    <w:rsid w:val="002814EC"/>
    <w:rsid w:val="00283284"/>
    <w:rsid w:val="00283E3C"/>
    <w:rsid w:val="00286D3B"/>
    <w:rsid w:val="00287BCE"/>
    <w:rsid w:val="0029047E"/>
    <w:rsid w:val="00293F81"/>
    <w:rsid w:val="002974F0"/>
    <w:rsid w:val="002A27FA"/>
    <w:rsid w:val="002A32E5"/>
    <w:rsid w:val="002A5956"/>
    <w:rsid w:val="002A6E69"/>
    <w:rsid w:val="002B0F61"/>
    <w:rsid w:val="002B130A"/>
    <w:rsid w:val="002B3224"/>
    <w:rsid w:val="002B4F11"/>
    <w:rsid w:val="002B6627"/>
    <w:rsid w:val="002B79D0"/>
    <w:rsid w:val="002B7B94"/>
    <w:rsid w:val="002C1DD9"/>
    <w:rsid w:val="002C2157"/>
    <w:rsid w:val="002C2A58"/>
    <w:rsid w:val="002C3999"/>
    <w:rsid w:val="002C499F"/>
    <w:rsid w:val="002D07D4"/>
    <w:rsid w:val="002D0F5D"/>
    <w:rsid w:val="002D3084"/>
    <w:rsid w:val="002D3619"/>
    <w:rsid w:val="002D564D"/>
    <w:rsid w:val="002D62F0"/>
    <w:rsid w:val="002E096E"/>
    <w:rsid w:val="002E3835"/>
    <w:rsid w:val="002E7C2C"/>
    <w:rsid w:val="002E7D40"/>
    <w:rsid w:val="002F0691"/>
    <w:rsid w:val="002F0AA8"/>
    <w:rsid w:val="002F5727"/>
    <w:rsid w:val="0030123F"/>
    <w:rsid w:val="00304A06"/>
    <w:rsid w:val="00307269"/>
    <w:rsid w:val="00311662"/>
    <w:rsid w:val="00311A18"/>
    <w:rsid w:val="00312C20"/>
    <w:rsid w:val="00313111"/>
    <w:rsid w:val="00313F4A"/>
    <w:rsid w:val="003176B1"/>
    <w:rsid w:val="00320893"/>
    <w:rsid w:val="00323978"/>
    <w:rsid w:val="00326F95"/>
    <w:rsid w:val="00327859"/>
    <w:rsid w:val="003319B8"/>
    <w:rsid w:val="00331F5B"/>
    <w:rsid w:val="00332F01"/>
    <w:rsid w:val="003330B4"/>
    <w:rsid w:val="00334BFA"/>
    <w:rsid w:val="003411CC"/>
    <w:rsid w:val="00343A37"/>
    <w:rsid w:val="00345110"/>
    <w:rsid w:val="003455A9"/>
    <w:rsid w:val="003504BD"/>
    <w:rsid w:val="00352C09"/>
    <w:rsid w:val="00353144"/>
    <w:rsid w:val="003546EF"/>
    <w:rsid w:val="00354EFB"/>
    <w:rsid w:val="00360978"/>
    <w:rsid w:val="00361041"/>
    <w:rsid w:val="00361BAE"/>
    <w:rsid w:val="00363363"/>
    <w:rsid w:val="0036634D"/>
    <w:rsid w:val="00371243"/>
    <w:rsid w:val="0037163F"/>
    <w:rsid w:val="00371A30"/>
    <w:rsid w:val="00373A46"/>
    <w:rsid w:val="00375BFD"/>
    <w:rsid w:val="003769DA"/>
    <w:rsid w:val="0038139D"/>
    <w:rsid w:val="00384529"/>
    <w:rsid w:val="003858FE"/>
    <w:rsid w:val="003908C9"/>
    <w:rsid w:val="00391FA6"/>
    <w:rsid w:val="00392C97"/>
    <w:rsid w:val="003961E8"/>
    <w:rsid w:val="00396E06"/>
    <w:rsid w:val="003A2968"/>
    <w:rsid w:val="003A4CF4"/>
    <w:rsid w:val="003A54C6"/>
    <w:rsid w:val="003B00E3"/>
    <w:rsid w:val="003B02EC"/>
    <w:rsid w:val="003B1CC9"/>
    <w:rsid w:val="003B24B2"/>
    <w:rsid w:val="003B6FEF"/>
    <w:rsid w:val="003C0082"/>
    <w:rsid w:val="003C0EA8"/>
    <w:rsid w:val="003C3840"/>
    <w:rsid w:val="003C45B8"/>
    <w:rsid w:val="003C4B86"/>
    <w:rsid w:val="003C52ED"/>
    <w:rsid w:val="003D0E9D"/>
    <w:rsid w:val="003D1359"/>
    <w:rsid w:val="003D1581"/>
    <w:rsid w:val="003D1938"/>
    <w:rsid w:val="003D2171"/>
    <w:rsid w:val="003D28BE"/>
    <w:rsid w:val="003D3CDE"/>
    <w:rsid w:val="003D4BB0"/>
    <w:rsid w:val="003D54E8"/>
    <w:rsid w:val="003D6163"/>
    <w:rsid w:val="003E47E7"/>
    <w:rsid w:val="003E4F64"/>
    <w:rsid w:val="003F6068"/>
    <w:rsid w:val="003F7409"/>
    <w:rsid w:val="003F7898"/>
    <w:rsid w:val="00400506"/>
    <w:rsid w:val="00400EFB"/>
    <w:rsid w:val="00402B69"/>
    <w:rsid w:val="004058E5"/>
    <w:rsid w:val="00405E3B"/>
    <w:rsid w:val="00406D7F"/>
    <w:rsid w:val="00411EA8"/>
    <w:rsid w:val="00413542"/>
    <w:rsid w:val="00414F00"/>
    <w:rsid w:val="00414F96"/>
    <w:rsid w:val="00414FDA"/>
    <w:rsid w:val="004222C5"/>
    <w:rsid w:val="00431BAD"/>
    <w:rsid w:val="0043386D"/>
    <w:rsid w:val="00433AE5"/>
    <w:rsid w:val="00435A10"/>
    <w:rsid w:val="00435BA3"/>
    <w:rsid w:val="00437A63"/>
    <w:rsid w:val="0044101A"/>
    <w:rsid w:val="0044418C"/>
    <w:rsid w:val="00444313"/>
    <w:rsid w:val="00444893"/>
    <w:rsid w:val="00445170"/>
    <w:rsid w:val="00446277"/>
    <w:rsid w:val="00447F10"/>
    <w:rsid w:val="00452F35"/>
    <w:rsid w:val="004561FF"/>
    <w:rsid w:val="004572E4"/>
    <w:rsid w:val="00462BD7"/>
    <w:rsid w:val="004633FF"/>
    <w:rsid w:val="004647BF"/>
    <w:rsid w:val="00466572"/>
    <w:rsid w:val="0047056A"/>
    <w:rsid w:val="00473648"/>
    <w:rsid w:val="00474AC4"/>
    <w:rsid w:val="00474F11"/>
    <w:rsid w:val="004770C6"/>
    <w:rsid w:val="00481CCD"/>
    <w:rsid w:val="00486EFF"/>
    <w:rsid w:val="00493049"/>
    <w:rsid w:val="00494292"/>
    <w:rsid w:val="00494999"/>
    <w:rsid w:val="00495496"/>
    <w:rsid w:val="00497252"/>
    <w:rsid w:val="00497B3D"/>
    <w:rsid w:val="00497DE1"/>
    <w:rsid w:val="004A2958"/>
    <w:rsid w:val="004A5B92"/>
    <w:rsid w:val="004A5CE1"/>
    <w:rsid w:val="004B5D00"/>
    <w:rsid w:val="004B6396"/>
    <w:rsid w:val="004C2DBE"/>
    <w:rsid w:val="004D7FF8"/>
    <w:rsid w:val="004E28E4"/>
    <w:rsid w:val="004E2B28"/>
    <w:rsid w:val="004E5223"/>
    <w:rsid w:val="004F44F9"/>
    <w:rsid w:val="004F4D4D"/>
    <w:rsid w:val="004F6393"/>
    <w:rsid w:val="004F6A12"/>
    <w:rsid w:val="00501703"/>
    <w:rsid w:val="00506C66"/>
    <w:rsid w:val="00506CA0"/>
    <w:rsid w:val="00512C0C"/>
    <w:rsid w:val="00512FE6"/>
    <w:rsid w:val="00514677"/>
    <w:rsid w:val="00514B41"/>
    <w:rsid w:val="00516730"/>
    <w:rsid w:val="00520F40"/>
    <w:rsid w:val="005235AA"/>
    <w:rsid w:val="00530A0A"/>
    <w:rsid w:val="00530C1E"/>
    <w:rsid w:val="00531022"/>
    <w:rsid w:val="005325B1"/>
    <w:rsid w:val="00533EC8"/>
    <w:rsid w:val="00534DAE"/>
    <w:rsid w:val="00542019"/>
    <w:rsid w:val="005424AE"/>
    <w:rsid w:val="00542713"/>
    <w:rsid w:val="00543505"/>
    <w:rsid w:val="005440BF"/>
    <w:rsid w:val="0054446E"/>
    <w:rsid w:val="00545E68"/>
    <w:rsid w:val="00546480"/>
    <w:rsid w:val="00550355"/>
    <w:rsid w:val="0055135F"/>
    <w:rsid w:val="005525EA"/>
    <w:rsid w:val="0055382B"/>
    <w:rsid w:val="00554449"/>
    <w:rsid w:val="00555F71"/>
    <w:rsid w:val="00564DC2"/>
    <w:rsid w:val="00566BEB"/>
    <w:rsid w:val="005672EB"/>
    <w:rsid w:val="00570FA0"/>
    <w:rsid w:val="005714F7"/>
    <w:rsid w:val="0057220F"/>
    <w:rsid w:val="00575862"/>
    <w:rsid w:val="00577C7C"/>
    <w:rsid w:val="00595CD4"/>
    <w:rsid w:val="005A07EA"/>
    <w:rsid w:val="005A38B4"/>
    <w:rsid w:val="005A4535"/>
    <w:rsid w:val="005A4AAC"/>
    <w:rsid w:val="005A5422"/>
    <w:rsid w:val="005A5491"/>
    <w:rsid w:val="005B0AC6"/>
    <w:rsid w:val="005B0C09"/>
    <w:rsid w:val="005B1C69"/>
    <w:rsid w:val="005B6811"/>
    <w:rsid w:val="005C0F41"/>
    <w:rsid w:val="005C1996"/>
    <w:rsid w:val="005C24AA"/>
    <w:rsid w:val="005C3680"/>
    <w:rsid w:val="005C44C8"/>
    <w:rsid w:val="005C6D07"/>
    <w:rsid w:val="005C7B32"/>
    <w:rsid w:val="005D11A5"/>
    <w:rsid w:val="005D2B22"/>
    <w:rsid w:val="005D474C"/>
    <w:rsid w:val="005D74E6"/>
    <w:rsid w:val="005E06BF"/>
    <w:rsid w:val="005E471E"/>
    <w:rsid w:val="005E5C02"/>
    <w:rsid w:val="005E6F01"/>
    <w:rsid w:val="005E7573"/>
    <w:rsid w:val="005E7B96"/>
    <w:rsid w:val="005F0E89"/>
    <w:rsid w:val="005F192F"/>
    <w:rsid w:val="005F3E30"/>
    <w:rsid w:val="005F6526"/>
    <w:rsid w:val="005F7F47"/>
    <w:rsid w:val="006000AA"/>
    <w:rsid w:val="00603C7B"/>
    <w:rsid w:val="00605641"/>
    <w:rsid w:val="00606AA4"/>
    <w:rsid w:val="0060734C"/>
    <w:rsid w:val="00610CA5"/>
    <w:rsid w:val="0061196C"/>
    <w:rsid w:val="006122D8"/>
    <w:rsid w:val="00613D1C"/>
    <w:rsid w:val="00620B4B"/>
    <w:rsid w:val="0062173C"/>
    <w:rsid w:val="00622DFE"/>
    <w:rsid w:val="00623D6B"/>
    <w:rsid w:val="006242BA"/>
    <w:rsid w:val="00625361"/>
    <w:rsid w:val="006260B5"/>
    <w:rsid w:val="00627545"/>
    <w:rsid w:val="00627A11"/>
    <w:rsid w:val="00630558"/>
    <w:rsid w:val="006306B7"/>
    <w:rsid w:val="006307FB"/>
    <w:rsid w:val="00631004"/>
    <w:rsid w:val="006334D7"/>
    <w:rsid w:val="00633AAC"/>
    <w:rsid w:val="00634643"/>
    <w:rsid w:val="00635E83"/>
    <w:rsid w:val="00636F38"/>
    <w:rsid w:val="006373F2"/>
    <w:rsid w:val="006410B5"/>
    <w:rsid w:val="0064221D"/>
    <w:rsid w:val="006437C1"/>
    <w:rsid w:val="006453D5"/>
    <w:rsid w:val="00654FCF"/>
    <w:rsid w:val="00656FDB"/>
    <w:rsid w:val="00660ABB"/>
    <w:rsid w:val="006632C3"/>
    <w:rsid w:val="0066677F"/>
    <w:rsid w:val="006675CD"/>
    <w:rsid w:val="006739DA"/>
    <w:rsid w:val="00675BF1"/>
    <w:rsid w:val="00680462"/>
    <w:rsid w:val="00687295"/>
    <w:rsid w:val="00690AB0"/>
    <w:rsid w:val="00693404"/>
    <w:rsid w:val="0069501A"/>
    <w:rsid w:val="006B34E6"/>
    <w:rsid w:val="006B44B6"/>
    <w:rsid w:val="006B7730"/>
    <w:rsid w:val="006C617F"/>
    <w:rsid w:val="006C7092"/>
    <w:rsid w:val="006D20B9"/>
    <w:rsid w:val="006D4525"/>
    <w:rsid w:val="006D5C21"/>
    <w:rsid w:val="006E1F12"/>
    <w:rsid w:val="006E2665"/>
    <w:rsid w:val="006E4348"/>
    <w:rsid w:val="006F199B"/>
    <w:rsid w:val="006F37C6"/>
    <w:rsid w:val="006F5408"/>
    <w:rsid w:val="006F61A6"/>
    <w:rsid w:val="006F71D9"/>
    <w:rsid w:val="0070095D"/>
    <w:rsid w:val="00702CBF"/>
    <w:rsid w:val="00717B4A"/>
    <w:rsid w:val="00722680"/>
    <w:rsid w:val="00722E0B"/>
    <w:rsid w:val="00726CC8"/>
    <w:rsid w:val="00731A63"/>
    <w:rsid w:val="00733ABE"/>
    <w:rsid w:val="00735E2D"/>
    <w:rsid w:val="00736BDE"/>
    <w:rsid w:val="00736F0A"/>
    <w:rsid w:val="007402C4"/>
    <w:rsid w:val="007418BF"/>
    <w:rsid w:val="00746709"/>
    <w:rsid w:val="0075055A"/>
    <w:rsid w:val="00753259"/>
    <w:rsid w:val="00753A6C"/>
    <w:rsid w:val="007622A6"/>
    <w:rsid w:val="007622E1"/>
    <w:rsid w:val="007635E5"/>
    <w:rsid w:val="00763A3F"/>
    <w:rsid w:val="00763E50"/>
    <w:rsid w:val="00771448"/>
    <w:rsid w:val="007725BB"/>
    <w:rsid w:val="007726B4"/>
    <w:rsid w:val="007739B2"/>
    <w:rsid w:val="00776494"/>
    <w:rsid w:val="007814E6"/>
    <w:rsid w:val="00782854"/>
    <w:rsid w:val="00782D3B"/>
    <w:rsid w:val="00790E69"/>
    <w:rsid w:val="00791B9B"/>
    <w:rsid w:val="00792DF5"/>
    <w:rsid w:val="007967D5"/>
    <w:rsid w:val="007A0DF3"/>
    <w:rsid w:val="007A56D9"/>
    <w:rsid w:val="007B071F"/>
    <w:rsid w:val="007B1DC6"/>
    <w:rsid w:val="007B205A"/>
    <w:rsid w:val="007B33D1"/>
    <w:rsid w:val="007B4100"/>
    <w:rsid w:val="007B598C"/>
    <w:rsid w:val="007C2305"/>
    <w:rsid w:val="007C50A7"/>
    <w:rsid w:val="007D237E"/>
    <w:rsid w:val="007D2DD8"/>
    <w:rsid w:val="007D372D"/>
    <w:rsid w:val="007D4146"/>
    <w:rsid w:val="007D6EDD"/>
    <w:rsid w:val="007D70FE"/>
    <w:rsid w:val="007E0BF8"/>
    <w:rsid w:val="007E1495"/>
    <w:rsid w:val="007E15CC"/>
    <w:rsid w:val="007E2DA3"/>
    <w:rsid w:val="007E3F07"/>
    <w:rsid w:val="007E5DB3"/>
    <w:rsid w:val="007E73D6"/>
    <w:rsid w:val="007E74E6"/>
    <w:rsid w:val="007F03B5"/>
    <w:rsid w:val="007F1B04"/>
    <w:rsid w:val="007F26D1"/>
    <w:rsid w:val="007F2B59"/>
    <w:rsid w:val="007F2F56"/>
    <w:rsid w:val="007F5C12"/>
    <w:rsid w:val="007F6CF5"/>
    <w:rsid w:val="008004CC"/>
    <w:rsid w:val="008020A5"/>
    <w:rsid w:val="008033C1"/>
    <w:rsid w:val="008033C2"/>
    <w:rsid w:val="00805251"/>
    <w:rsid w:val="00811E8C"/>
    <w:rsid w:val="00813D8F"/>
    <w:rsid w:val="008143E8"/>
    <w:rsid w:val="00820069"/>
    <w:rsid w:val="00824CDD"/>
    <w:rsid w:val="008275F3"/>
    <w:rsid w:val="008277F2"/>
    <w:rsid w:val="00833436"/>
    <w:rsid w:val="008355FD"/>
    <w:rsid w:val="00836BB3"/>
    <w:rsid w:val="00836EEE"/>
    <w:rsid w:val="00843D25"/>
    <w:rsid w:val="00846475"/>
    <w:rsid w:val="00853986"/>
    <w:rsid w:val="00861460"/>
    <w:rsid w:val="00863F43"/>
    <w:rsid w:val="00864935"/>
    <w:rsid w:val="00864B76"/>
    <w:rsid w:val="00867E57"/>
    <w:rsid w:val="0087126E"/>
    <w:rsid w:val="00874F6D"/>
    <w:rsid w:val="00877173"/>
    <w:rsid w:val="00880367"/>
    <w:rsid w:val="00880D8F"/>
    <w:rsid w:val="00886A51"/>
    <w:rsid w:val="00891CA2"/>
    <w:rsid w:val="008966AF"/>
    <w:rsid w:val="008970D6"/>
    <w:rsid w:val="00897C58"/>
    <w:rsid w:val="008A271F"/>
    <w:rsid w:val="008A3BF5"/>
    <w:rsid w:val="008A4352"/>
    <w:rsid w:val="008A4705"/>
    <w:rsid w:val="008A6223"/>
    <w:rsid w:val="008A7FB8"/>
    <w:rsid w:val="008B44B5"/>
    <w:rsid w:val="008B4D46"/>
    <w:rsid w:val="008B5125"/>
    <w:rsid w:val="008B5DEA"/>
    <w:rsid w:val="008B62D5"/>
    <w:rsid w:val="008B6454"/>
    <w:rsid w:val="008C2057"/>
    <w:rsid w:val="008C2706"/>
    <w:rsid w:val="008C5D69"/>
    <w:rsid w:val="008C7729"/>
    <w:rsid w:val="008D5235"/>
    <w:rsid w:val="008E1525"/>
    <w:rsid w:val="008E3C00"/>
    <w:rsid w:val="008F001B"/>
    <w:rsid w:val="008F2846"/>
    <w:rsid w:val="008F341E"/>
    <w:rsid w:val="008F5691"/>
    <w:rsid w:val="008F6603"/>
    <w:rsid w:val="00900FF6"/>
    <w:rsid w:val="0090155B"/>
    <w:rsid w:val="0090312B"/>
    <w:rsid w:val="0090367D"/>
    <w:rsid w:val="00905CA7"/>
    <w:rsid w:val="009060C8"/>
    <w:rsid w:val="00913ED0"/>
    <w:rsid w:val="00914C55"/>
    <w:rsid w:val="009167EB"/>
    <w:rsid w:val="009217FD"/>
    <w:rsid w:val="00922358"/>
    <w:rsid w:val="00922494"/>
    <w:rsid w:val="00922E8E"/>
    <w:rsid w:val="009254E0"/>
    <w:rsid w:val="00926870"/>
    <w:rsid w:val="00927467"/>
    <w:rsid w:val="00930F42"/>
    <w:rsid w:val="009310D8"/>
    <w:rsid w:val="00931593"/>
    <w:rsid w:val="00932B4F"/>
    <w:rsid w:val="00934B8C"/>
    <w:rsid w:val="00940E66"/>
    <w:rsid w:val="009460B8"/>
    <w:rsid w:val="00955B71"/>
    <w:rsid w:val="00963BF3"/>
    <w:rsid w:val="009654A1"/>
    <w:rsid w:val="00967402"/>
    <w:rsid w:val="00967C71"/>
    <w:rsid w:val="00972FD8"/>
    <w:rsid w:val="009754A9"/>
    <w:rsid w:val="00976406"/>
    <w:rsid w:val="00977430"/>
    <w:rsid w:val="009809FF"/>
    <w:rsid w:val="009818D5"/>
    <w:rsid w:val="00983474"/>
    <w:rsid w:val="00984C9C"/>
    <w:rsid w:val="00994CF8"/>
    <w:rsid w:val="0099518D"/>
    <w:rsid w:val="00995F82"/>
    <w:rsid w:val="0099616F"/>
    <w:rsid w:val="00997780"/>
    <w:rsid w:val="009A1785"/>
    <w:rsid w:val="009A5D1C"/>
    <w:rsid w:val="009A768C"/>
    <w:rsid w:val="009B0131"/>
    <w:rsid w:val="009B2366"/>
    <w:rsid w:val="009B4BCF"/>
    <w:rsid w:val="009C0627"/>
    <w:rsid w:val="009C087C"/>
    <w:rsid w:val="009C2FBF"/>
    <w:rsid w:val="009C4030"/>
    <w:rsid w:val="009C42EE"/>
    <w:rsid w:val="009C6E95"/>
    <w:rsid w:val="009D050E"/>
    <w:rsid w:val="009D19A6"/>
    <w:rsid w:val="009D5530"/>
    <w:rsid w:val="009E1B9A"/>
    <w:rsid w:val="009E2FF0"/>
    <w:rsid w:val="009E408F"/>
    <w:rsid w:val="009E5725"/>
    <w:rsid w:val="009E6453"/>
    <w:rsid w:val="009E64DB"/>
    <w:rsid w:val="009E68D0"/>
    <w:rsid w:val="009F26AB"/>
    <w:rsid w:val="009F31B3"/>
    <w:rsid w:val="009F6752"/>
    <w:rsid w:val="009F7582"/>
    <w:rsid w:val="00A04875"/>
    <w:rsid w:val="00A103F9"/>
    <w:rsid w:val="00A1055D"/>
    <w:rsid w:val="00A1148A"/>
    <w:rsid w:val="00A12BA4"/>
    <w:rsid w:val="00A12E5C"/>
    <w:rsid w:val="00A142D2"/>
    <w:rsid w:val="00A16797"/>
    <w:rsid w:val="00A16A41"/>
    <w:rsid w:val="00A17D94"/>
    <w:rsid w:val="00A2315B"/>
    <w:rsid w:val="00A2594B"/>
    <w:rsid w:val="00A309D7"/>
    <w:rsid w:val="00A30A55"/>
    <w:rsid w:val="00A30F39"/>
    <w:rsid w:val="00A31587"/>
    <w:rsid w:val="00A31B82"/>
    <w:rsid w:val="00A352D2"/>
    <w:rsid w:val="00A36347"/>
    <w:rsid w:val="00A37296"/>
    <w:rsid w:val="00A37574"/>
    <w:rsid w:val="00A3763B"/>
    <w:rsid w:val="00A37DC4"/>
    <w:rsid w:val="00A4554D"/>
    <w:rsid w:val="00A46888"/>
    <w:rsid w:val="00A53765"/>
    <w:rsid w:val="00A60865"/>
    <w:rsid w:val="00A61240"/>
    <w:rsid w:val="00A617D2"/>
    <w:rsid w:val="00A63C1B"/>
    <w:rsid w:val="00A65EBF"/>
    <w:rsid w:val="00A663CB"/>
    <w:rsid w:val="00A71E11"/>
    <w:rsid w:val="00A745B3"/>
    <w:rsid w:val="00A776D1"/>
    <w:rsid w:val="00A77CA8"/>
    <w:rsid w:val="00A8237B"/>
    <w:rsid w:val="00A85408"/>
    <w:rsid w:val="00A85EA8"/>
    <w:rsid w:val="00A92A71"/>
    <w:rsid w:val="00A93F02"/>
    <w:rsid w:val="00A95635"/>
    <w:rsid w:val="00A95BB9"/>
    <w:rsid w:val="00A978ED"/>
    <w:rsid w:val="00AA51F5"/>
    <w:rsid w:val="00AA707B"/>
    <w:rsid w:val="00AB22ED"/>
    <w:rsid w:val="00AB4E0D"/>
    <w:rsid w:val="00AC1636"/>
    <w:rsid w:val="00AC5803"/>
    <w:rsid w:val="00AC795B"/>
    <w:rsid w:val="00AD46FD"/>
    <w:rsid w:val="00AD63BC"/>
    <w:rsid w:val="00AD71E8"/>
    <w:rsid w:val="00AE0F20"/>
    <w:rsid w:val="00AE0F31"/>
    <w:rsid w:val="00AE3652"/>
    <w:rsid w:val="00AF1C4D"/>
    <w:rsid w:val="00AF2C18"/>
    <w:rsid w:val="00AF6D41"/>
    <w:rsid w:val="00B01462"/>
    <w:rsid w:val="00B11034"/>
    <w:rsid w:val="00B12D38"/>
    <w:rsid w:val="00B16251"/>
    <w:rsid w:val="00B16632"/>
    <w:rsid w:val="00B171B1"/>
    <w:rsid w:val="00B20CDE"/>
    <w:rsid w:val="00B228FC"/>
    <w:rsid w:val="00B22DAE"/>
    <w:rsid w:val="00B233CF"/>
    <w:rsid w:val="00B23C86"/>
    <w:rsid w:val="00B23CBA"/>
    <w:rsid w:val="00B24207"/>
    <w:rsid w:val="00B242C2"/>
    <w:rsid w:val="00B25526"/>
    <w:rsid w:val="00B266C2"/>
    <w:rsid w:val="00B2742D"/>
    <w:rsid w:val="00B32519"/>
    <w:rsid w:val="00B32826"/>
    <w:rsid w:val="00B32C9A"/>
    <w:rsid w:val="00B35317"/>
    <w:rsid w:val="00B37D6E"/>
    <w:rsid w:val="00B455C3"/>
    <w:rsid w:val="00B45745"/>
    <w:rsid w:val="00B4663C"/>
    <w:rsid w:val="00B50954"/>
    <w:rsid w:val="00B542AB"/>
    <w:rsid w:val="00B63240"/>
    <w:rsid w:val="00B755E4"/>
    <w:rsid w:val="00B76B40"/>
    <w:rsid w:val="00B77C81"/>
    <w:rsid w:val="00B82CD8"/>
    <w:rsid w:val="00B83CC6"/>
    <w:rsid w:val="00B86F8B"/>
    <w:rsid w:val="00B90AF3"/>
    <w:rsid w:val="00B91C7F"/>
    <w:rsid w:val="00B939A9"/>
    <w:rsid w:val="00B9465C"/>
    <w:rsid w:val="00B94947"/>
    <w:rsid w:val="00B95F92"/>
    <w:rsid w:val="00BA1F9C"/>
    <w:rsid w:val="00BA5434"/>
    <w:rsid w:val="00BB204C"/>
    <w:rsid w:val="00BB46BD"/>
    <w:rsid w:val="00BB54F6"/>
    <w:rsid w:val="00BB630D"/>
    <w:rsid w:val="00BB6C00"/>
    <w:rsid w:val="00BB7844"/>
    <w:rsid w:val="00BC0213"/>
    <w:rsid w:val="00BC0746"/>
    <w:rsid w:val="00BC2E35"/>
    <w:rsid w:val="00BC4B32"/>
    <w:rsid w:val="00BC6220"/>
    <w:rsid w:val="00BD101A"/>
    <w:rsid w:val="00BD3364"/>
    <w:rsid w:val="00BD4812"/>
    <w:rsid w:val="00BD4BF2"/>
    <w:rsid w:val="00BD6343"/>
    <w:rsid w:val="00BD66EC"/>
    <w:rsid w:val="00BE04F4"/>
    <w:rsid w:val="00BE4853"/>
    <w:rsid w:val="00BE4FF5"/>
    <w:rsid w:val="00BF4184"/>
    <w:rsid w:val="00C0412E"/>
    <w:rsid w:val="00C04F76"/>
    <w:rsid w:val="00C05C1E"/>
    <w:rsid w:val="00C133E6"/>
    <w:rsid w:val="00C13B68"/>
    <w:rsid w:val="00C13E67"/>
    <w:rsid w:val="00C161D6"/>
    <w:rsid w:val="00C237C5"/>
    <w:rsid w:val="00C23D72"/>
    <w:rsid w:val="00C24181"/>
    <w:rsid w:val="00C31484"/>
    <w:rsid w:val="00C35C57"/>
    <w:rsid w:val="00C36123"/>
    <w:rsid w:val="00C40CE6"/>
    <w:rsid w:val="00C46A22"/>
    <w:rsid w:val="00C50AD9"/>
    <w:rsid w:val="00C525E7"/>
    <w:rsid w:val="00C55D4D"/>
    <w:rsid w:val="00C578B0"/>
    <w:rsid w:val="00C60F47"/>
    <w:rsid w:val="00C63AC6"/>
    <w:rsid w:val="00C6402B"/>
    <w:rsid w:val="00C64933"/>
    <w:rsid w:val="00C67B19"/>
    <w:rsid w:val="00C708CD"/>
    <w:rsid w:val="00C7248C"/>
    <w:rsid w:val="00C74337"/>
    <w:rsid w:val="00C76886"/>
    <w:rsid w:val="00C7792F"/>
    <w:rsid w:val="00C8108E"/>
    <w:rsid w:val="00C823AF"/>
    <w:rsid w:val="00C845F3"/>
    <w:rsid w:val="00C9059C"/>
    <w:rsid w:val="00C905F0"/>
    <w:rsid w:val="00C939FE"/>
    <w:rsid w:val="00C93FA8"/>
    <w:rsid w:val="00C94809"/>
    <w:rsid w:val="00C97171"/>
    <w:rsid w:val="00CA3FBD"/>
    <w:rsid w:val="00CA57A2"/>
    <w:rsid w:val="00CA6170"/>
    <w:rsid w:val="00CA75CD"/>
    <w:rsid w:val="00CB068C"/>
    <w:rsid w:val="00CB0945"/>
    <w:rsid w:val="00CB2A99"/>
    <w:rsid w:val="00CB30BB"/>
    <w:rsid w:val="00CB3363"/>
    <w:rsid w:val="00CB5CB0"/>
    <w:rsid w:val="00CB6753"/>
    <w:rsid w:val="00CC419E"/>
    <w:rsid w:val="00CC58FE"/>
    <w:rsid w:val="00CD216B"/>
    <w:rsid w:val="00CD5CF7"/>
    <w:rsid w:val="00CD7A2B"/>
    <w:rsid w:val="00CE05C1"/>
    <w:rsid w:val="00CE43D3"/>
    <w:rsid w:val="00CE591D"/>
    <w:rsid w:val="00CF006D"/>
    <w:rsid w:val="00CF01E0"/>
    <w:rsid w:val="00CF23B3"/>
    <w:rsid w:val="00CF3DB2"/>
    <w:rsid w:val="00CF4D01"/>
    <w:rsid w:val="00CF50ED"/>
    <w:rsid w:val="00CF5B83"/>
    <w:rsid w:val="00CF641D"/>
    <w:rsid w:val="00CF6472"/>
    <w:rsid w:val="00CF70CB"/>
    <w:rsid w:val="00D0220C"/>
    <w:rsid w:val="00D03C9A"/>
    <w:rsid w:val="00D05845"/>
    <w:rsid w:val="00D05BB2"/>
    <w:rsid w:val="00D13F62"/>
    <w:rsid w:val="00D14F30"/>
    <w:rsid w:val="00D20C73"/>
    <w:rsid w:val="00D253C7"/>
    <w:rsid w:val="00D26BE8"/>
    <w:rsid w:val="00D32DD2"/>
    <w:rsid w:val="00D3445A"/>
    <w:rsid w:val="00D35F7C"/>
    <w:rsid w:val="00D37386"/>
    <w:rsid w:val="00D37718"/>
    <w:rsid w:val="00D37EE7"/>
    <w:rsid w:val="00D42452"/>
    <w:rsid w:val="00D43DAB"/>
    <w:rsid w:val="00D43E4A"/>
    <w:rsid w:val="00D45667"/>
    <w:rsid w:val="00D53709"/>
    <w:rsid w:val="00D6387F"/>
    <w:rsid w:val="00D64699"/>
    <w:rsid w:val="00D64F8A"/>
    <w:rsid w:val="00D650CB"/>
    <w:rsid w:val="00D663EA"/>
    <w:rsid w:val="00D70E31"/>
    <w:rsid w:val="00D724B6"/>
    <w:rsid w:val="00D73C57"/>
    <w:rsid w:val="00D75DEF"/>
    <w:rsid w:val="00D766FE"/>
    <w:rsid w:val="00D862F1"/>
    <w:rsid w:val="00D870AA"/>
    <w:rsid w:val="00D87226"/>
    <w:rsid w:val="00D87AFB"/>
    <w:rsid w:val="00D90780"/>
    <w:rsid w:val="00D90DD0"/>
    <w:rsid w:val="00DA09D2"/>
    <w:rsid w:val="00DA1BF6"/>
    <w:rsid w:val="00DA1CF5"/>
    <w:rsid w:val="00DA30D1"/>
    <w:rsid w:val="00DA66A9"/>
    <w:rsid w:val="00DB044B"/>
    <w:rsid w:val="00DB5DCB"/>
    <w:rsid w:val="00DB789A"/>
    <w:rsid w:val="00DC3268"/>
    <w:rsid w:val="00DC71CA"/>
    <w:rsid w:val="00DD3B26"/>
    <w:rsid w:val="00DD52FD"/>
    <w:rsid w:val="00DD60F8"/>
    <w:rsid w:val="00DE051C"/>
    <w:rsid w:val="00DE0B58"/>
    <w:rsid w:val="00DE64B3"/>
    <w:rsid w:val="00DE7B36"/>
    <w:rsid w:val="00DF204D"/>
    <w:rsid w:val="00DF27D6"/>
    <w:rsid w:val="00E0180D"/>
    <w:rsid w:val="00E062AD"/>
    <w:rsid w:val="00E1193C"/>
    <w:rsid w:val="00E11CCF"/>
    <w:rsid w:val="00E12E9A"/>
    <w:rsid w:val="00E14E4A"/>
    <w:rsid w:val="00E15D5D"/>
    <w:rsid w:val="00E20D8F"/>
    <w:rsid w:val="00E231B3"/>
    <w:rsid w:val="00E2544E"/>
    <w:rsid w:val="00E2582C"/>
    <w:rsid w:val="00E27A08"/>
    <w:rsid w:val="00E344A1"/>
    <w:rsid w:val="00E350DA"/>
    <w:rsid w:val="00E45816"/>
    <w:rsid w:val="00E45AB9"/>
    <w:rsid w:val="00E55315"/>
    <w:rsid w:val="00E572B8"/>
    <w:rsid w:val="00E5761D"/>
    <w:rsid w:val="00E64416"/>
    <w:rsid w:val="00E64CEF"/>
    <w:rsid w:val="00E656BF"/>
    <w:rsid w:val="00E656E5"/>
    <w:rsid w:val="00E67016"/>
    <w:rsid w:val="00E72D92"/>
    <w:rsid w:val="00E737DF"/>
    <w:rsid w:val="00E75695"/>
    <w:rsid w:val="00E77908"/>
    <w:rsid w:val="00E8469F"/>
    <w:rsid w:val="00E84940"/>
    <w:rsid w:val="00E85D14"/>
    <w:rsid w:val="00E87868"/>
    <w:rsid w:val="00E87F96"/>
    <w:rsid w:val="00E9553C"/>
    <w:rsid w:val="00E971BB"/>
    <w:rsid w:val="00EA0078"/>
    <w:rsid w:val="00EA1848"/>
    <w:rsid w:val="00EA215B"/>
    <w:rsid w:val="00EA21B8"/>
    <w:rsid w:val="00EA400E"/>
    <w:rsid w:val="00EA414E"/>
    <w:rsid w:val="00EB08AA"/>
    <w:rsid w:val="00EB2FB4"/>
    <w:rsid w:val="00EB3ECD"/>
    <w:rsid w:val="00EB780B"/>
    <w:rsid w:val="00EC1DC9"/>
    <w:rsid w:val="00EC57D8"/>
    <w:rsid w:val="00EC6114"/>
    <w:rsid w:val="00EC66EE"/>
    <w:rsid w:val="00ED4037"/>
    <w:rsid w:val="00ED4D4D"/>
    <w:rsid w:val="00EE021F"/>
    <w:rsid w:val="00EE15E6"/>
    <w:rsid w:val="00EE2DD2"/>
    <w:rsid w:val="00EE2F2C"/>
    <w:rsid w:val="00EF0B31"/>
    <w:rsid w:val="00EF2989"/>
    <w:rsid w:val="00EF375D"/>
    <w:rsid w:val="00EF3DB0"/>
    <w:rsid w:val="00EF5B23"/>
    <w:rsid w:val="00EF6190"/>
    <w:rsid w:val="00F04AE6"/>
    <w:rsid w:val="00F05FCB"/>
    <w:rsid w:val="00F14712"/>
    <w:rsid w:val="00F14AB7"/>
    <w:rsid w:val="00F15CB2"/>
    <w:rsid w:val="00F24425"/>
    <w:rsid w:val="00F250C0"/>
    <w:rsid w:val="00F27761"/>
    <w:rsid w:val="00F30840"/>
    <w:rsid w:val="00F31411"/>
    <w:rsid w:val="00F32563"/>
    <w:rsid w:val="00F33BC1"/>
    <w:rsid w:val="00F35A54"/>
    <w:rsid w:val="00F36E41"/>
    <w:rsid w:val="00F40374"/>
    <w:rsid w:val="00F41121"/>
    <w:rsid w:val="00F4406B"/>
    <w:rsid w:val="00F45203"/>
    <w:rsid w:val="00F454F3"/>
    <w:rsid w:val="00F4730E"/>
    <w:rsid w:val="00F5149C"/>
    <w:rsid w:val="00F526E9"/>
    <w:rsid w:val="00F57EC9"/>
    <w:rsid w:val="00F60224"/>
    <w:rsid w:val="00F60AF3"/>
    <w:rsid w:val="00F61614"/>
    <w:rsid w:val="00F61C69"/>
    <w:rsid w:val="00F645A3"/>
    <w:rsid w:val="00F67A73"/>
    <w:rsid w:val="00F71C0A"/>
    <w:rsid w:val="00F73227"/>
    <w:rsid w:val="00F77102"/>
    <w:rsid w:val="00F77915"/>
    <w:rsid w:val="00F824AF"/>
    <w:rsid w:val="00F8312F"/>
    <w:rsid w:val="00F87A9C"/>
    <w:rsid w:val="00F91CEB"/>
    <w:rsid w:val="00F91D4B"/>
    <w:rsid w:val="00F938C5"/>
    <w:rsid w:val="00F93F87"/>
    <w:rsid w:val="00F9409E"/>
    <w:rsid w:val="00FA1FD0"/>
    <w:rsid w:val="00FA335C"/>
    <w:rsid w:val="00FA553F"/>
    <w:rsid w:val="00FA7175"/>
    <w:rsid w:val="00FB1942"/>
    <w:rsid w:val="00FB2FC6"/>
    <w:rsid w:val="00FB491D"/>
    <w:rsid w:val="00FB4E37"/>
    <w:rsid w:val="00FB6382"/>
    <w:rsid w:val="00FC00A0"/>
    <w:rsid w:val="00FC0FD9"/>
    <w:rsid w:val="00FC1FDA"/>
    <w:rsid w:val="00FC3F91"/>
    <w:rsid w:val="00FC4E30"/>
    <w:rsid w:val="00FC4F6D"/>
    <w:rsid w:val="00FC7FCB"/>
    <w:rsid w:val="00FD7373"/>
    <w:rsid w:val="00FE6343"/>
    <w:rsid w:val="00FE7870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schemas-tilde-lv/tildestengine" w:name="date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3769DA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F824A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3769DA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F824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428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771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539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43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esdoc.cfm?esid=32001L0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C8DD-035A-48F2-ADC7-029D5F95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1157</Words>
  <Characters>8905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“Grozījumi Ministru kabineta 2010.gada 28.decembra noteikumos Nr.1211 „Noteikumi par ritošā sastāva būvi, modernizāciju, atjaunošanas remontu, atbilstības novērtēšanu un pieņemšanu ekspluatācijā””</vt:lpstr>
      <vt:lpstr>“Grozījumi Ministru kabineta 2010.gada 28.decembra noteikumos Nr.1211 „Noteikumi par ritošā sastāva būvi, modernizāciju, atjaunošanas remontu, atbilstības novērtēšanu un pieņemšanu ekspluatācijā””</vt:lpstr>
    </vt:vector>
  </TitlesOfParts>
  <Company>Satiksmes Ministrija</Company>
  <LinksUpToDate>false</LinksUpToDate>
  <CharactersWithSpaces>10042</CharactersWithSpaces>
  <SharedDoc>false</SharedDoc>
  <HLinks>
    <vt:vector size="18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http://pro.nais.lv/naiser/esdoc.cfm?esid=32001L0014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2010.gada 28.decembra noteikumos Nr.1211 „Noteikumi par ritošā sastāva būvi, modernizāciju, atjaunošanas remontu, atbilstības novērtēšanu un pieņemšanu ekspluatācijā””</dc:title>
  <dc:subject>Projekta anotācija</dc:subject>
  <dc:creator>J.Zālītis</dc:creator>
  <cp:keywords>Anotācija</cp:keywords>
  <cp:lastModifiedBy>Juris Zālītis</cp:lastModifiedBy>
  <cp:revision>5</cp:revision>
  <cp:lastPrinted>2014-10-07T07:10:00Z</cp:lastPrinted>
  <dcterms:created xsi:type="dcterms:W3CDTF">2015-10-20T14:46:00Z</dcterms:created>
  <dcterms:modified xsi:type="dcterms:W3CDTF">2015-10-20T14:49:00Z</dcterms:modified>
</cp:coreProperties>
</file>