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3C6" w:rsidRPr="00155A00" w:rsidRDefault="001973C6" w:rsidP="00155A00">
      <w:pPr>
        <w:spacing w:before="120" w:after="120" w:line="240" w:lineRule="auto"/>
        <w:jc w:val="center"/>
        <w:rPr>
          <w:rFonts w:ascii="Times New Roman" w:hAnsi="Times New Roman"/>
          <w:sz w:val="24"/>
          <w:szCs w:val="24"/>
        </w:rPr>
      </w:pPr>
      <w:r w:rsidRPr="00155A00">
        <w:rPr>
          <w:rFonts w:ascii="Times New Roman" w:hAnsi="Times New Roman"/>
          <w:b/>
          <w:sz w:val="24"/>
          <w:szCs w:val="24"/>
        </w:rPr>
        <w:t>Ministru kabineta noteikumu „Metodika, kādā pašvaldība nosaka vienam izglītojamajam nepieciešamās vidējās izmaksas pirmsskolas izglītības programmā pašvaldības izglītības iestādēs, un kārtība, kādā pašvaldība atbilstoši tās noteiktajām vienam izglītojamam nepieciešamajām vidējām izmaksām attiecīgās pašvaldības izglītības iestādēs sedz izglītības programmas izmaksas privātajai izglītības iestādei” sākotnējās ietekmes novērtējuma ziņojums (anotācija)</w:t>
      </w:r>
    </w:p>
    <w:p w:rsidR="001973C6" w:rsidRPr="00A93860" w:rsidRDefault="001973C6" w:rsidP="00AA402D">
      <w:pPr>
        <w:spacing w:after="0" w:line="240" w:lineRule="auto"/>
        <w:jc w:val="center"/>
        <w:rPr>
          <w:rFonts w:ascii="Times New Roman" w:hAnsi="Times New Roman"/>
          <w:b/>
          <w:sz w:val="28"/>
          <w:szCs w:val="28"/>
        </w:rPr>
      </w:pPr>
    </w:p>
    <w:tbl>
      <w:tblPr>
        <w:tblW w:w="9356" w:type="dxa"/>
        <w:tblInd w:w="-289" w:type="dxa"/>
        <w:tblCellMar>
          <w:left w:w="10" w:type="dxa"/>
          <w:right w:w="10" w:type="dxa"/>
        </w:tblCellMar>
        <w:tblLook w:val="0000"/>
      </w:tblPr>
      <w:tblGrid>
        <w:gridCol w:w="550"/>
        <w:gridCol w:w="2484"/>
        <w:gridCol w:w="6322"/>
      </w:tblGrid>
      <w:tr w:rsidR="001973C6" w:rsidTr="003368B9">
        <w:trPr>
          <w:trHeight w:val="558"/>
        </w:trPr>
        <w:tc>
          <w:tcPr>
            <w:tcW w:w="9356"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973C6" w:rsidRDefault="001973C6" w:rsidP="006B7C52">
            <w:pPr>
              <w:pStyle w:val="naisnod"/>
              <w:spacing w:before="0" w:after="0"/>
            </w:pPr>
            <w:r>
              <w:t>I. Tiesību akta projekta izstrādes nepieciešamība</w:t>
            </w:r>
          </w:p>
        </w:tc>
      </w:tr>
      <w:tr w:rsidR="001973C6" w:rsidTr="003368B9">
        <w:trPr>
          <w:trHeight w:val="630"/>
        </w:trPr>
        <w:tc>
          <w:tcPr>
            <w:tcW w:w="5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3C6" w:rsidRDefault="001973C6" w:rsidP="006B7C52">
            <w:pPr>
              <w:pStyle w:val="naiskr"/>
              <w:spacing w:before="0" w:after="0"/>
              <w:jc w:val="center"/>
            </w:pPr>
            <w:r>
              <w:t>1.</w:t>
            </w:r>
          </w:p>
        </w:tc>
        <w:tc>
          <w:tcPr>
            <w:tcW w:w="248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3C6" w:rsidRDefault="001973C6" w:rsidP="006B7C52">
            <w:pPr>
              <w:pStyle w:val="naiskr"/>
              <w:spacing w:before="0" w:after="0"/>
              <w:ind w:hanging="10"/>
            </w:pPr>
            <w:r>
              <w:t>Pamatojums</w:t>
            </w:r>
          </w:p>
        </w:tc>
        <w:tc>
          <w:tcPr>
            <w:tcW w:w="632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3C6" w:rsidRPr="00D97ED0" w:rsidRDefault="001973C6" w:rsidP="00EC4EF5">
            <w:pPr>
              <w:suppressAutoHyphens/>
              <w:spacing w:after="120" w:line="240" w:lineRule="auto"/>
              <w:jc w:val="both"/>
              <w:rPr>
                <w:rFonts w:ascii="Times New Roman" w:hAnsi="Times New Roman"/>
                <w:sz w:val="24"/>
                <w:szCs w:val="24"/>
              </w:rPr>
            </w:pPr>
            <w:r w:rsidRPr="00EC4EF5">
              <w:rPr>
                <w:rFonts w:ascii="Times New Roman" w:hAnsi="Times New Roman"/>
                <w:sz w:val="24"/>
                <w:szCs w:val="24"/>
              </w:rPr>
              <w:t>Atbilstoši plānotajiem grozījumiem Izglītības likumā (grozījumi šobrīd tiek skatīti Saeimas Izglītības, kultūras un zinātnes komisijā)</w:t>
            </w:r>
            <w:r>
              <w:rPr>
                <w:rFonts w:ascii="Times New Roman" w:hAnsi="Times New Roman"/>
                <w:sz w:val="24"/>
                <w:szCs w:val="24"/>
              </w:rPr>
              <w:t xml:space="preserve"> 14.panta 36</w:t>
            </w:r>
            <w:r w:rsidRPr="00705052">
              <w:rPr>
                <w:rFonts w:ascii="Times New Roman" w:hAnsi="Times New Roman"/>
                <w:sz w:val="24"/>
                <w:szCs w:val="24"/>
              </w:rPr>
              <w:t>.punkts paredz, ka Ministru kabinets</w:t>
            </w:r>
            <w:r>
              <w:rPr>
                <w:rFonts w:ascii="Times New Roman" w:hAnsi="Times New Roman"/>
                <w:sz w:val="24"/>
                <w:szCs w:val="24"/>
              </w:rPr>
              <w:t xml:space="preserve"> </w:t>
            </w:r>
            <w:r w:rsidRPr="00510B85">
              <w:rPr>
                <w:rFonts w:ascii="Times New Roman" w:hAnsi="Times New Roman"/>
                <w:sz w:val="24"/>
                <w:szCs w:val="24"/>
              </w:rPr>
              <w:t>nosaka metodiku, kādā pašvaldība aprēķina vienam izglītojamajam nepieciešamās vidējās izmaksas pirmsskolas izglītības programmā (no pusotra gada vecuma līdz pamatizglītības ieguves uzsākšanai) attiecīgās pašvaldības izglītības iestādēs, un kārtību, kādā pašvaldība atbilstoši tās noteiktajām izmaksām sedz tās privātai izglītības iestādei</w:t>
            </w:r>
            <w:r>
              <w:rPr>
                <w:rFonts w:ascii="Times New Roman" w:hAnsi="Times New Roman"/>
                <w:sz w:val="24"/>
                <w:szCs w:val="24"/>
              </w:rPr>
              <w:t>.</w:t>
            </w:r>
          </w:p>
        </w:tc>
      </w:tr>
      <w:tr w:rsidR="001973C6" w:rsidTr="003368B9">
        <w:trPr>
          <w:trHeight w:val="472"/>
        </w:trPr>
        <w:tc>
          <w:tcPr>
            <w:tcW w:w="5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3C6" w:rsidRDefault="001973C6" w:rsidP="006B7C52">
            <w:pPr>
              <w:pStyle w:val="naiskr"/>
              <w:spacing w:before="0" w:after="0"/>
              <w:jc w:val="center"/>
            </w:pPr>
            <w:r>
              <w:t>2.</w:t>
            </w:r>
          </w:p>
        </w:tc>
        <w:tc>
          <w:tcPr>
            <w:tcW w:w="248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3C6" w:rsidRDefault="001973C6" w:rsidP="006B7C52">
            <w:pPr>
              <w:pStyle w:val="naiskr"/>
              <w:tabs>
                <w:tab w:val="left" w:pos="170"/>
              </w:tabs>
              <w:spacing w:before="0" w:after="0"/>
              <w:ind w:right="147"/>
            </w:pPr>
            <w:r>
              <w:t>Pašreizējā situācija un problēmas, kuru risināšanai tiesību akta projekts izstrādāts, tiesiskā regulējuma mērķis un būtība</w:t>
            </w:r>
          </w:p>
          <w:p w:rsidR="001973C6" w:rsidRPr="003806DD" w:rsidRDefault="001973C6" w:rsidP="006B7C52">
            <w:pPr>
              <w:jc w:val="right"/>
            </w:pPr>
          </w:p>
        </w:tc>
        <w:tc>
          <w:tcPr>
            <w:tcW w:w="632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3C6" w:rsidRPr="00E041F9" w:rsidRDefault="001973C6" w:rsidP="005E72FA">
            <w:pPr>
              <w:spacing w:after="120" w:line="240" w:lineRule="auto"/>
              <w:ind w:hanging="45"/>
              <w:jc w:val="both"/>
              <w:rPr>
                <w:rFonts w:ascii="Times New Roman" w:hAnsi="Times New Roman"/>
                <w:sz w:val="24"/>
                <w:szCs w:val="24"/>
              </w:rPr>
            </w:pPr>
            <w:r w:rsidRPr="00E041F9">
              <w:rPr>
                <w:rFonts w:ascii="Times New Roman" w:hAnsi="Times New Roman"/>
                <w:sz w:val="24"/>
                <w:szCs w:val="24"/>
              </w:rPr>
              <w:t>No 2013. gada līdz 2015. gadam tika nodrošināts valsts līdzfinansējums bērniem, kas saņem pirmskolas izglītības pakalpojumu. Valsts atbalsts tika sniegts 142 euro apmērā, bet nepārsniedzot kopā ar pašvaldības atbalstu 228 euro Rīgas reģion</w:t>
            </w:r>
            <w:r>
              <w:rPr>
                <w:rFonts w:ascii="Times New Roman" w:hAnsi="Times New Roman"/>
                <w:sz w:val="24"/>
                <w:szCs w:val="24"/>
              </w:rPr>
              <w:t xml:space="preserve">ā un 185 euro Pierīgas reģionā. Valsts līdzfinansējums nodrošināšana tika paredzēta līdz 2015.gada beigām. </w:t>
            </w:r>
            <w:r w:rsidRPr="00E041F9">
              <w:rPr>
                <w:rFonts w:ascii="Times New Roman" w:hAnsi="Times New Roman"/>
                <w:sz w:val="24"/>
                <w:szCs w:val="24"/>
              </w:rPr>
              <w:t>Līdz ar to, sākot ar 2016. gadu, atbilstoši Izglītības likuma 17. panta 2</w:t>
            </w:r>
            <w:r w:rsidRPr="00E041F9">
              <w:rPr>
                <w:rFonts w:ascii="Times New Roman" w:hAnsi="Times New Roman"/>
                <w:sz w:val="24"/>
                <w:szCs w:val="24"/>
                <w:vertAlign w:val="superscript"/>
              </w:rPr>
              <w:t>1</w:t>
            </w:r>
            <w:r w:rsidRPr="00E041F9">
              <w:rPr>
                <w:rFonts w:ascii="Times New Roman" w:hAnsi="Times New Roman"/>
                <w:sz w:val="24"/>
                <w:szCs w:val="24"/>
              </w:rPr>
              <w:t xml:space="preserve">. daļai līdzfinansējumu nodrošina tikai pašvaldības. </w:t>
            </w:r>
          </w:p>
          <w:p w:rsidR="001973C6" w:rsidRDefault="001973C6" w:rsidP="005F0FCC">
            <w:pPr>
              <w:pStyle w:val="ListParagraph"/>
              <w:spacing w:after="120"/>
              <w:ind w:left="0" w:hanging="45"/>
              <w:jc w:val="both"/>
            </w:pPr>
            <w:r>
              <w:t xml:space="preserve">Jau šobrīd Izglītības likuma </w:t>
            </w:r>
            <w:r w:rsidRPr="00E041F9">
              <w:t>17. panta 2</w:t>
            </w:r>
            <w:r w:rsidRPr="00E041F9">
              <w:rPr>
                <w:vertAlign w:val="superscript"/>
              </w:rPr>
              <w:t>1</w:t>
            </w:r>
            <w:r>
              <w:t>.daļa paredz, ka,</w:t>
            </w:r>
            <w:r w:rsidRPr="005F0FCC">
              <w:t xml:space="preserve"> </w:t>
            </w:r>
            <w:r w:rsidRPr="000D2BA9">
              <w:t>ja pašvaldība bērnam, kurš sasniedzis pusotra gada vecumu un kura dzīvesvieta deklarēta pašvaldības administratīvajā teritorijā, nenodrošina vietu pašvaldības izglītības iestādes īstenotā pirmsskolas izglītības programmā (no pusotra gada vecuma līdz pamatizglītības ieguves uzsākšanai) un bērns apgūst pirmsskolas izglītības programmu privātā izglītības iestādē, tad pašvaldība šim privātam pakalpojuma sniedzējam sedz izmaksas</w:t>
            </w:r>
            <w:r w:rsidRPr="005F0FCC">
              <w:t xml:space="preserve"> - </w:t>
            </w:r>
            <w:r w:rsidRPr="000D2BA9">
              <w:t>izmaksas sedz apmērā, kas atbilst vienam izglītojamajam pirmsskolas izglītības programmā nepieciešamajām vidējām izmaksām attiecīgās pašvaldības izglītības iestādēs.</w:t>
            </w:r>
            <w:r>
              <w:t xml:space="preserve"> </w:t>
            </w:r>
            <w:r w:rsidRPr="00E041F9">
              <w:t>Līdz ar to</w:t>
            </w:r>
            <w:r>
              <w:t xml:space="preserve"> jau šobrīd pašvaldībām ir pienākums nodrošināt līdzfinansējumu privāto pakalpojumu sniedzējiem. </w:t>
            </w:r>
          </w:p>
          <w:p w:rsidR="001973C6" w:rsidRPr="00E041F9" w:rsidRDefault="001973C6" w:rsidP="005F0FCC">
            <w:pPr>
              <w:pStyle w:val="ListParagraph"/>
              <w:spacing w:after="120"/>
              <w:ind w:left="0" w:hanging="45"/>
              <w:jc w:val="both"/>
            </w:pPr>
            <w:r>
              <w:t xml:space="preserve">Atbilstoši Izglītības likuma grozījumiem, tiek noteikts, ka Ministru kabinets nosaka metodiku, kā augstāk minētas izmaksas tiks noteiktas. Tādējādi tiks </w:t>
            </w:r>
            <w:r w:rsidRPr="00E041F9">
              <w:t>nodrošināt</w:t>
            </w:r>
            <w:r>
              <w:t>a</w:t>
            </w:r>
            <w:r w:rsidRPr="00E041F9">
              <w:t xml:space="preserve"> caurskatāmīb</w:t>
            </w:r>
            <w:r>
              <w:t>a</w:t>
            </w:r>
            <w:r w:rsidRPr="00E041F9">
              <w:t xml:space="preserve"> un līdzīg</w:t>
            </w:r>
            <w:r>
              <w:t>a</w:t>
            </w:r>
            <w:r w:rsidRPr="00E041F9">
              <w:t xml:space="preserve"> pieej</w:t>
            </w:r>
            <w:r>
              <w:t>a</w:t>
            </w:r>
            <w:r w:rsidRPr="00E041F9">
              <w:t xml:space="preserve"> pašvaldībās izmaksu noteikšanai viena bērna pirmsskolas izglītības programmas apguvei.</w:t>
            </w:r>
          </w:p>
          <w:p w:rsidR="001973C6" w:rsidRPr="00B10D61" w:rsidRDefault="001973C6" w:rsidP="00FB6DBE">
            <w:pPr>
              <w:spacing w:after="120" w:line="240" w:lineRule="auto"/>
              <w:ind w:hanging="45"/>
              <w:jc w:val="both"/>
              <w:rPr>
                <w:rFonts w:ascii="Times New Roman" w:hAnsi="Times New Roman"/>
                <w:sz w:val="24"/>
                <w:szCs w:val="24"/>
                <w:lang w:eastAsia="lv-LV"/>
              </w:rPr>
            </w:pPr>
            <w:r w:rsidRPr="00B10D61">
              <w:rPr>
                <w:rFonts w:ascii="Times New Roman" w:hAnsi="Times New Roman"/>
                <w:sz w:val="24"/>
                <w:szCs w:val="24"/>
                <w:lang w:eastAsia="lv-LV"/>
              </w:rPr>
              <w:t xml:space="preserve">Ministru kabineta </w:t>
            </w:r>
            <w:r>
              <w:rPr>
                <w:rFonts w:ascii="Times New Roman" w:hAnsi="Times New Roman"/>
                <w:sz w:val="24"/>
                <w:szCs w:val="24"/>
                <w:lang w:eastAsia="lv-LV"/>
              </w:rPr>
              <w:t>noteikumu projekts</w:t>
            </w:r>
            <w:r w:rsidRPr="00B10D61">
              <w:rPr>
                <w:rFonts w:ascii="Times New Roman" w:hAnsi="Times New Roman"/>
                <w:sz w:val="24"/>
                <w:szCs w:val="24"/>
                <w:lang w:eastAsia="lv-LV"/>
              </w:rPr>
              <w:t xml:space="preserve"> </w:t>
            </w:r>
            <w:r w:rsidRPr="00ED2776">
              <w:rPr>
                <w:rFonts w:ascii="Times New Roman" w:hAnsi="Times New Roman"/>
                <w:sz w:val="24"/>
                <w:szCs w:val="24"/>
                <w:lang w:eastAsia="lv-LV"/>
              </w:rPr>
              <w:t xml:space="preserve">nosaka </w:t>
            </w:r>
            <w:r w:rsidRPr="00FB6DBE">
              <w:rPr>
                <w:rFonts w:ascii="Times New Roman" w:hAnsi="Times New Roman"/>
                <w:sz w:val="24"/>
                <w:szCs w:val="24"/>
                <w:lang w:eastAsia="lv-LV"/>
              </w:rPr>
              <w:t>metodiku un kārtību, kādā pašvaldība atbilstoši tās noteiktajām vienam izglītojamam nepieciešamajām vidējām izmaksām attiecīgās pašvaldības izglītības iestādēs sedz izglītības programmas (no pusotra gada vecuma līdz pamatizglītības ieguves uzsākšanai) izmaksas privātajai izglītības iestādei</w:t>
            </w:r>
            <w:r>
              <w:rPr>
                <w:rFonts w:ascii="Times New Roman" w:hAnsi="Times New Roman"/>
                <w:sz w:val="24"/>
                <w:szCs w:val="24"/>
                <w:lang w:eastAsia="lv-LV"/>
              </w:rPr>
              <w:t xml:space="preserve"> </w:t>
            </w:r>
            <w:r w:rsidRPr="00B10D61">
              <w:rPr>
                <w:rFonts w:ascii="Times New Roman" w:hAnsi="Times New Roman"/>
                <w:sz w:val="24"/>
                <w:szCs w:val="24"/>
                <w:lang w:eastAsia="lv-LV"/>
              </w:rPr>
              <w:t>(turpmāk – pašvaldības atbalsts).</w:t>
            </w:r>
          </w:p>
          <w:p w:rsidR="001973C6" w:rsidRPr="00B10D61" w:rsidRDefault="001973C6" w:rsidP="00B10D61">
            <w:pPr>
              <w:spacing w:after="120" w:line="240" w:lineRule="auto"/>
              <w:ind w:hanging="45"/>
              <w:jc w:val="both"/>
              <w:rPr>
                <w:rFonts w:ascii="Times New Roman" w:hAnsi="Times New Roman"/>
                <w:sz w:val="24"/>
                <w:szCs w:val="24"/>
              </w:rPr>
            </w:pPr>
            <w:r w:rsidRPr="00B10D61">
              <w:rPr>
                <w:rFonts w:ascii="Times New Roman" w:hAnsi="Times New Roman"/>
                <w:sz w:val="24"/>
                <w:szCs w:val="24"/>
              </w:rPr>
              <w:t>Pašvaldības atbalsts par vienu bērnu tiek noteikts tādā apmērā, kas atbilst bērna deklarētās dzīvesvietas pašvaldībā noteiktajām vienam izglītojamam nepieciešamajām vidējām izmaksām pašvaldības pirmsskolas izglītības iestādē pirmsskolas izglītības programmas īstenošanai.</w:t>
            </w:r>
          </w:p>
          <w:p w:rsidR="001973C6" w:rsidRPr="00B10D61" w:rsidRDefault="001973C6" w:rsidP="00B10D61">
            <w:pPr>
              <w:spacing w:after="120" w:line="240" w:lineRule="auto"/>
              <w:ind w:hanging="45"/>
              <w:jc w:val="both"/>
              <w:rPr>
                <w:rFonts w:ascii="Times New Roman" w:hAnsi="Times New Roman"/>
                <w:sz w:val="24"/>
                <w:szCs w:val="24"/>
              </w:rPr>
            </w:pPr>
            <w:r w:rsidRPr="00B10D61">
              <w:rPr>
                <w:rFonts w:ascii="Times New Roman" w:hAnsi="Times New Roman"/>
                <w:sz w:val="24"/>
                <w:szCs w:val="24"/>
              </w:rPr>
              <w:t>Aprēķinot izmaksas budžeta gadā par vienu audzēkni konkrētā privātās pirmskolas izglītības iestādē, izmaksu aprēķinā atbilstoši ekonomiskās klasifikācijas kodiem iekļaujami šādi pašvaldības izglītības iestādes iepriekšējā gadā pēc naudas plūsmas uzskaitītie izdevumi un šajā punktā minētās aprēķinātas vērtības</w:t>
            </w:r>
            <w:r>
              <w:rPr>
                <w:rFonts w:ascii="Times New Roman" w:hAnsi="Times New Roman"/>
                <w:sz w:val="24"/>
                <w:szCs w:val="24"/>
              </w:rPr>
              <w:t>, kuras dalītas ar audzēkņu skaitu attiecīgajās pirmsskolas izglītības iestādēs</w:t>
            </w:r>
            <w:r w:rsidRPr="00B10D61">
              <w:rPr>
                <w:rFonts w:ascii="Times New Roman" w:hAnsi="Times New Roman"/>
                <w:sz w:val="24"/>
                <w:szCs w:val="24"/>
              </w:rPr>
              <w:t>:</w:t>
            </w:r>
          </w:p>
          <w:p w:rsidR="001973C6" w:rsidRDefault="001973C6" w:rsidP="00F16E0E">
            <w:pPr>
              <w:pStyle w:val="ListParagraph"/>
              <w:numPr>
                <w:ilvl w:val="0"/>
                <w:numId w:val="4"/>
              </w:numPr>
              <w:spacing w:after="120"/>
              <w:jc w:val="both"/>
              <w:rPr>
                <w:bCs/>
              </w:rPr>
            </w:pPr>
            <w:r w:rsidRPr="00F16E0E">
              <w:rPr>
                <w:bCs/>
              </w:rPr>
              <w:t>atalgojumi (EKK 1100) (izņemot pedagogu atalgojumu, kuru piešķir kā mērķdotāciju no valsts budžeta);</w:t>
            </w:r>
          </w:p>
          <w:p w:rsidR="001973C6" w:rsidRDefault="001973C6" w:rsidP="00F16E0E">
            <w:pPr>
              <w:pStyle w:val="ListParagraph"/>
              <w:numPr>
                <w:ilvl w:val="0"/>
                <w:numId w:val="4"/>
              </w:numPr>
              <w:spacing w:after="120"/>
              <w:jc w:val="both"/>
              <w:rPr>
                <w:bCs/>
              </w:rPr>
            </w:pPr>
            <w:r w:rsidRPr="00F16E0E">
              <w:rPr>
                <w:bCs/>
              </w:rPr>
              <w:t>darba devēja valsts sociālās apdrošināšanas obligātās iemaksas, pabalsti un kompensācijas (EKK 1200) (izņemot valsts sociālās apdrošināšanas obligātās iemaksas, kuras piešķir kā mērķdotāciju no valsts budžeta);</w:t>
            </w:r>
          </w:p>
          <w:p w:rsidR="001973C6" w:rsidRDefault="001973C6" w:rsidP="00F16E0E">
            <w:pPr>
              <w:pStyle w:val="ListParagraph"/>
              <w:numPr>
                <w:ilvl w:val="0"/>
                <w:numId w:val="4"/>
              </w:numPr>
              <w:spacing w:after="120"/>
              <w:jc w:val="both"/>
              <w:rPr>
                <w:bCs/>
              </w:rPr>
            </w:pPr>
            <w:r w:rsidRPr="00510B85">
              <w:rPr>
                <w:bCs/>
              </w:rPr>
              <w:t>mācību, darba un dienesta komandējumi, dienesta, darba braucieni (EKK 2100) (izņemot tos, kas finansēti no Eiropas Savienības fondiem);</w:t>
            </w:r>
            <w:r w:rsidRPr="00F16E0E">
              <w:rPr>
                <w:bCs/>
              </w:rPr>
              <w:t>;</w:t>
            </w:r>
          </w:p>
          <w:p w:rsidR="001973C6" w:rsidRDefault="001973C6" w:rsidP="00F16E0E">
            <w:pPr>
              <w:pStyle w:val="ListParagraph"/>
              <w:numPr>
                <w:ilvl w:val="0"/>
                <w:numId w:val="4"/>
              </w:numPr>
              <w:spacing w:after="120"/>
              <w:jc w:val="both"/>
              <w:rPr>
                <w:bCs/>
              </w:rPr>
            </w:pPr>
            <w:r w:rsidRPr="00F16E0E">
              <w:rPr>
                <w:bCs/>
              </w:rPr>
              <w:t>pasta, telefona un citi sakaru pakalpojumi (EKK 2210);</w:t>
            </w:r>
          </w:p>
          <w:p w:rsidR="001973C6" w:rsidRDefault="001973C6" w:rsidP="00F16E0E">
            <w:pPr>
              <w:pStyle w:val="ListParagraph"/>
              <w:numPr>
                <w:ilvl w:val="0"/>
                <w:numId w:val="4"/>
              </w:numPr>
              <w:spacing w:after="120"/>
              <w:jc w:val="both"/>
              <w:rPr>
                <w:bCs/>
              </w:rPr>
            </w:pPr>
            <w:r w:rsidRPr="00F16E0E">
              <w:rPr>
                <w:bCs/>
              </w:rPr>
              <w:t>izdevumi par komunālajiem pakalpojumiem (EKK 2220);</w:t>
            </w:r>
          </w:p>
          <w:p w:rsidR="001973C6" w:rsidRDefault="001973C6" w:rsidP="00F16E0E">
            <w:pPr>
              <w:pStyle w:val="ListParagraph"/>
              <w:numPr>
                <w:ilvl w:val="0"/>
                <w:numId w:val="4"/>
              </w:numPr>
              <w:spacing w:after="120"/>
              <w:jc w:val="both"/>
              <w:rPr>
                <w:bCs/>
              </w:rPr>
            </w:pPr>
            <w:r w:rsidRPr="00F16E0E">
              <w:rPr>
                <w:bCs/>
              </w:rPr>
              <w:t>iestādes administratīvie izdevumi un ar iestādes darbības nodrošināšanu saistītie izdevumi (EKK 2230);</w:t>
            </w:r>
          </w:p>
          <w:p w:rsidR="001973C6" w:rsidRDefault="001973C6" w:rsidP="00F16E0E">
            <w:pPr>
              <w:pStyle w:val="ListParagraph"/>
              <w:numPr>
                <w:ilvl w:val="0"/>
                <w:numId w:val="4"/>
              </w:numPr>
              <w:spacing w:after="120"/>
              <w:jc w:val="both"/>
              <w:rPr>
                <w:bCs/>
              </w:rPr>
            </w:pPr>
            <w:r w:rsidRPr="00F16E0E">
              <w:rPr>
                <w:bCs/>
              </w:rPr>
              <w:t>remontdarbi un iestāžu uzturēšanas pakalpojumi (izņemot ēku, būvju un ceļu kapitālo remontu) (EKK 2240);</w:t>
            </w:r>
          </w:p>
          <w:p w:rsidR="001973C6" w:rsidRDefault="001973C6" w:rsidP="00F16E0E">
            <w:pPr>
              <w:pStyle w:val="ListParagraph"/>
              <w:numPr>
                <w:ilvl w:val="0"/>
                <w:numId w:val="4"/>
              </w:numPr>
              <w:spacing w:after="120"/>
              <w:jc w:val="both"/>
              <w:rPr>
                <w:bCs/>
              </w:rPr>
            </w:pPr>
            <w:r w:rsidRPr="00F16E0E">
              <w:rPr>
                <w:bCs/>
              </w:rPr>
              <w:t>informācijas tehnoloģiju pakalpojumi (EKK 2250);</w:t>
            </w:r>
          </w:p>
          <w:p w:rsidR="001973C6" w:rsidRDefault="001973C6" w:rsidP="00F16E0E">
            <w:pPr>
              <w:pStyle w:val="ListParagraph"/>
              <w:numPr>
                <w:ilvl w:val="0"/>
                <w:numId w:val="4"/>
              </w:numPr>
              <w:spacing w:after="120"/>
              <w:jc w:val="both"/>
              <w:rPr>
                <w:bCs/>
              </w:rPr>
            </w:pPr>
            <w:r w:rsidRPr="00F16E0E">
              <w:rPr>
                <w:bCs/>
              </w:rPr>
              <w:t>īres un nomas maksa (EKK 2260);</w:t>
            </w:r>
          </w:p>
          <w:p w:rsidR="001973C6" w:rsidRDefault="001973C6" w:rsidP="00F16E0E">
            <w:pPr>
              <w:pStyle w:val="ListParagraph"/>
              <w:numPr>
                <w:ilvl w:val="0"/>
                <w:numId w:val="4"/>
              </w:numPr>
              <w:spacing w:after="120"/>
              <w:jc w:val="both"/>
              <w:rPr>
                <w:bCs/>
              </w:rPr>
            </w:pPr>
            <w:r w:rsidRPr="00530C80">
              <w:rPr>
                <w:bCs/>
              </w:rPr>
              <w:t>krājumi, materiāli, energoresursi, preces, biroja preces un inventārs, kurus neuzskaita pamatkapitāla veidošanā (EKK 2300)</w:t>
            </w:r>
          </w:p>
          <w:p w:rsidR="001973C6" w:rsidRDefault="001973C6" w:rsidP="00F16E0E">
            <w:pPr>
              <w:pStyle w:val="ListParagraph"/>
              <w:numPr>
                <w:ilvl w:val="0"/>
                <w:numId w:val="4"/>
              </w:numPr>
              <w:spacing w:after="120"/>
              <w:jc w:val="both"/>
              <w:rPr>
                <w:bCs/>
              </w:rPr>
            </w:pPr>
            <w:r w:rsidRPr="00530C80">
              <w:rPr>
                <w:bCs/>
              </w:rPr>
              <w:t>izdevumi par precēm iestādes darbības nodrošināšanai (EKK 2310)</w:t>
            </w:r>
            <w:r w:rsidRPr="00F16E0E">
              <w:rPr>
                <w:bCs/>
              </w:rPr>
              <w:t>;</w:t>
            </w:r>
          </w:p>
          <w:p w:rsidR="001973C6" w:rsidRDefault="001973C6" w:rsidP="00F16E0E">
            <w:pPr>
              <w:pStyle w:val="ListParagraph"/>
              <w:numPr>
                <w:ilvl w:val="0"/>
                <w:numId w:val="4"/>
              </w:numPr>
              <w:spacing w:after="120"/>
              <w:jc w:val="both"/>
              <w:rPr>
                <w:bCs/>
              </w:rPr>
            </w:pPr>
            <w:r w:rsidRPr="00F16E0E">
              <w:rPr>
                <w:bCs/>
              </w:rPr>
              <w:t>kurināmais un enerģētiskie materiāli (EKK 2320);</w:t>
            </w:r>
          </w:p>
          <w:p w:rsidR="001973C6" w:rsidRDefault="001973C6" w:rsidP="00F16E0E">
            <w:pPr>
              <w:pStyle w:val="ListParagraph"/>
              <w:numPr>
                <w:ilvl w:val="0"/>
                <w:numId w:val="4"/>
              </w:numPr>
              <w:spacing w:after="120"/>
              <w:jc w:val="both"/>
              <w:rPr>
                <w:bCs/>
              </w:rPr>
            </w:pPr>
            <w:r w:rsidRPr="00530C80">
              <w:rPr>
                <w:bCs/>
              </w:rPr>
              <w:t>zāles, ķimikālijas, laboratorijas preces, medicīniskās ierīces, medicīniskie instrumenti, laboratorijas dzīvnieki un to uzturēšana (EKK 2340)</w:t>
            </w:r>
            <w:r w:rsidRPr="00F16E0E">
              <w:rPr>
                <w:bCs/>
              </w:rPr>
              <w:t>;</w:t>
            </w:r>
          </w:p>
          <w:p w:rsidR="001973C6" w:rsidRDefault="001973C6" w:rsidP="00F16E0E">
            <w:pPr>
              <w:pStyle w:val="ListParagraph"/>
              <w:numPr>
                <w:ilvl w:val="0"/>
                <w:numId w:val="4"/>
              </w:numPr>
              <w:spacing w:after="120"/>
              <w:jc w:val="both"/>
              <w:rPr>
                <w:bCs/>
              </w:rPr>
            </w:pPr>
            <w:r w:rsidRPr="00F16E0E">
              <w:rPr>
                <w:bCs/>
              </w:rPr>
              <w:t>kārtējā remonta un iestāžu uzturēšanas materiāli (EKK 2350);</w:t>
            </w:r>
          </w:p>
          <w:p w:rsidR="001973C6" w:rsidRDefault="001973C6" w:rsidP="00F16E0E">
            <w:pPr>
              <w:pStyle w:val="ListParagraph"/>
              <w:numPr>
                <w:ilvl w:val="0"/>
                <w:numId w:val="4"/>
              </w:numPr>
              <w:spacing w:after="120"/>
              <w:jc w:val="both"/>
              <w:rPr>
                <w:bCs/>
              </w:rPr>
            </w:pPr>
            <w:r w:rsidRPr="00F16E0E">
              <w:rPr>
                <w:bCs/>
              </w:rPr>
              <w:t>valsts un pašvaldību aprūpē un apgādē esošo personu uzturēšanas izdevumi (EKK 2360) (izņemot ēdināšanas izdevumus (EKK 2363));</w:t>
            </w:r>
          </w:p>
          <w:p w:rsidR="001973C6" w:rsidRDefault="001973C6" w:rsidP="00F16E0E">
            <w:pPr>
              <w:pStyle w:val="ListParagraph"/>
              <w:numPr>
                <w:ilvl w:val="0"/>
                <w:numId w:val="4"/>
              </w:numPr>
              <w:spacing w:after="120"/>
              <w:jc w:val="both"/>
              <w:rPr>
                <w:bCs/>
              </w:rPr>
            </w:pPr>
            <w:r w:rsidRPr="00530C80">
              <w:rPr>
                <w:bCs/>
              </w:rPr>
              <w:t>mācību līdzekļi un materiāli (EKK 2370) (izņemot valsts budžeta dotācijas mācību līdzekļu iegādei)</w:t>
            </w:r>
            <w:r w:rsidRPr="00F16E0E">
              <w:rPr>
                <w:bCs/>
              </w:rPr>
              <w:t>;</w:t>
            </w:r>
          </w:p>
          <w:p w:rsidR="001973C6" w:rsidRPr="00623ACF" w:rsidRDefault="001973C6" w:rsidP="00530C80">
            <w:pPr>
              <w:pStyle w:val="ListParagraph"/>
              <w:numPr>
                <w:ilvl w:val="0"/>
                <w:numId w:val="4"/>
              </w:numPr>
              <w:spacing w:after="120"/>
              <w:jc w:val="both"/>
              <w:rPr>
                <w:bCs/>
              </w:rPr>
            </w:pPr>
            <w:r w:rsidRPr="00F16E0E">
              <w:rPr>
                <w:bCs/>
              </w:rPr>
              <w:t>izdevum</w:t>
            </w:r>
            <w:r>
              <w:rPr>
                <w:bCs/>
              </w:rPr>
              <w:t>i periodikas iegādei (EKK 2400).</w:t>
            </w:r>
          </w:p>
          <w:p w:rsidR="001973C6" w:rsidRPr="000F6AD8" w:rsidRDefault="001973C6" w:rsidP="000F6AD8">
            <w:pPr>
              <w:spacing w:after="120" w:line="240" w:lineRule="auto"/>
              <w:ind w:hanging="45"/>
              <w:jc w:val="both"/>
              <w:rPr>
                <w:rFonts w:ascii="Times New Roman" w:hAnsi="Times New Roman"/>
                <w:sz w:val="24"/>
                <w:szCs w:val="24"/>
              </w:rPr>
            </w:pPr>
            <w:r w:rsidRPr="000F6AD8">
              <w:rPr>
                <w:rFonts w:ascii="Times New Roman" w:hAnsi="Times New Roman"/>
                <w:sz w:val="24"/>
                <w:szCs w:val="24"/>
              </w:rPr>
              <w:t>Ministru kabineta noteikumu</w:t>
            </w:r>
            <w:r>
              <w:rPr>
                <w:rFonts w:ascii="Times New Roman" w:hAnsi="Times New Roman"/>
                <w:sz w:val="24"/>
                <w:szCs w:val="24"/>
              </w:rPr>
              <w:t xml:space="preserve"> projekta</w:t>
            </w:r>
            <w:r w:rsidRPr="000F6AD8">
              <w:rPr>
                <w:rFonts w:ascii="Times New Roman" w:hAnsi="Times New Roman"/>
                <w:sz w:val="24"/>
                <w:szCs w:val="24"/>
              </w:rPr>
              <w:t xml:space="preserve"> izstrādes gaitā Vides aizsardzības un reģionālās attīstības ministrija 2015.gada 25.septembrī</w:t>
            </w:r>
            <w:r>
              <w:rPr>
                <w:rFonts w:ascii="Times New Roman" w:hAnsi="Times New Roman"/>
                <w:sz w:val="24"/>
                <w:szCs w:val="24"/>
              </w:rPr>
              <w:t>, 17.novembrī un 25.novembrī organizēja darba grupas sanāksmes</w:t>
            </w:r>
            <w:r w:rsidRPr="000F6AD8">
              <w:rPr>
                <w:rFonts w:ascii="Times New Roman" w:hAnsi="Times New Roman"/>
                <w:sz w:val="24"/>
                <w:szCs w:val="24"/>
              </w:rPr>
              <w:t>, kurā</w:t>
            </w:r>
            <w:r>
              <w:rPr>
                <w:rFonts w:ascii="Times New Roman" w:hAnsi="Times New Roman"/>
                <w:sz w:val="24"/>
                <w:szCs w:val="24"/>
              </w:rPr>
              <w:t>s</w:t>
            </w:r>
            <w:r w:rsidRPr="000F6AD8">
              <w:rPr>
                <w:rFonts w:ascii="Times New Roman" w:hAnsi="Times New Roman"/>
                <w:sz w:val="24"/>
                <w:szCs w:val="24"/>
              </w:rPr>
              <w:t xml:space="preserve"> piedalījās nozaru ministriju, </w:t>
            </w:r>
            <w:r>
              <w:rPr>
                <w:rFonts w:ascii="Times New Roman" w:hAnsi="Times New Roman"/>
                <w:sz w:val="24"/>
                <w:szCs w:val="24"/>
              </w:rPr>
              <w:t>pašvaldību un v</w:t>
            </w:r>
            <w:r w:rsidRPr="002F0073">
              <w:rPr>
                <w:rFonts w:ascii="Times New Roman" w:hAnsi="Times New Roman"/>
                <w:sz w:val="24"/>
                <w:szCs w:val="24"/>
              </w:rPr>
              <w:t>ecāku intereses pārstāvošās organizācijas un privāto izglītības iestāžu pārstāvji</w:t>
            </w:r>
            <w:r w:rsidRPr="000F6AD8">
              <w:rPr>
                <w:rFonts w:ascii="Times New Roman" w:hAnsi="Times New Roman"/>
                <w:sz w:val="24"/>
                <w:szCs w:val="24"/>
              </w:rPr>
              <w:t>. Darba grupas ietvaros vislielākās diskusijas bija par to, kuras izdevumu pozīcijas būtu vai nebūtu iekļaujas Ministru kabineta noteikumu</w:t>
            </w:r>
            <w:r>
              <w:rPr>
                <w:rFonts w:ascii="Times New Roman" w:hAnsi="Times New Roman"/>
                <w:sz w:val="24"/>
                <w:szCs w:val="24"/>
              </w:rPr>
              <w:t xml:space="preserve"> projekta</w:t>
            </w:r>
            <w:r w:rsidRPr="000F6AD8">
              <w:rPr>
                <w:rFonts w:ascii="Times New Roman" w:hAnsi="Times New Roman"/>
                <w:sz w:val="24"/>
                <w:szCs w:val="24"/>
              </w:rPr>
              <w:t xml:space="preserve"> 6.punktā. </w:t>
            </w:r>
            <w:r>
              <w:rPr>
                <w:rFonts w:ascii="Times New Roman" w:hAnsi="Times New Roman"/>
                <w:sz w:val="24"/>
                <w:szCs w:val="24"/>
              </w:rPr>
              <w:t>V</w:t>
            </w:r>
            <w:r w:rsidRPr="003E2AC0">
              <w:rPr>
                <w:rFonts w:ascii="Times New Roman" w:hAnsi="Times New Roman"/>
                <w:sz w:val="24"/>
                <w:szCs w:val="24"/>
              </w:rPr>
              <w:t>ecāku intereses pārstāvošās organizācijas un privāto izglītības iestāžu pārstāvji</w:t>
            </w:r>
            <w:r w:rsidRPr="000F6AD8">
              <w:rPr>
                <w:rFonts w:ascii="Times New Roman" w:hAnsi="Times New Roman"/>
                <w:sz w:val="24"/>
                <w:szCs w:val="24"/>
              </w:rPr>
              <w:t xml:space="preserve"> ierosināja papildus iekļaut šādas izmaksu pozīcijas:</w:t>
            </w:r>
          </w:p>
          <w:p w:rsidR="001973C6" w:rsidRPr="000F6AD8" w:rsidRDefault="001973C6" w:rsidP="003D1F9A">
            <w:pPr>
              <w:numPr>
                <w:ilvl w:val="0"/>
                <w:numId w:val="3"/>
              </w:numPr>
              <w:spacing w:after="120" w:line="240" w:lineRule="auto"/>
              <w:jc w:val="both"/>
              <w:rPr>
                <w:rFonts w:ascii="Times New Roman" w:hAnsi="Times New Roman"/>
                <w:sz w:val="24"/>
                <w:szCs w:val="24"/>
              </w:rPr>
            </w:pPr>
            <w:r>
              <w:rPr>
                <w:rFonts w:ascii="Times New Roman" w:hAnsi="Times New Roman"/>
                <w:sz w:val="24"/>
                <w:szCs w:val="24"/>
              </w:rPr>
              <w:t>p</w:t>
            </w:r>
            <w:r w:rsidRPr="000F6AD8">
              <w:rPr>
                <w:rFonts w:ascii="Times New Roman" w:hAnsi="Times New Roman"/>
                <w:sz w:val="24"/>
                <w:szCs w:val="24"/>
              </w:rPr>
              <w:t>amatlīdzekļu nolietojums</w:t>
            </w:r>
          </w:p>
          <w:p w:rsidR="001973C6" w:rsidRPr="000F6AD8" w:rsidRDefault="001973C6" w:rsidP="003D1F9A">
            <w:pPr>
              <w:numPr>
                <w:ilvl w:val="0"/>
                <w:numId w:val="3"/>
              </w:numPr>
              <w:spacing w:after="120" w:line="240" w:lineRule="auto"/>
              <w:jc w:val="both"/>
              <w:rPr>
                <w:rFonts w:ascii="Times New Roman" w:hAnsi="Times New Roman"/>
                <w:sz w:val="24"/>
                <w:szCs w:val="24"/>
              </w:rPr>
            </w:pPr>
            <w:r>
              <w:rPr>
                <w:rFonts w:ascii="Times New Roman" w:hAnsi="Times New Roman"/>
                <w:sz w:val="24"/>
                <w:szCs w:val="24"/>
              </w:rPr>
              <w:t>ē</w:t>
            </w:r>
            <w:r w:rsidRPr="000F6AD8">
              <w:rPr>
                <w:rFonts w:ascii="Times New Roman" w:hAnsi="Times New Roman"/>
                <w:sz w:val="24"/>
                <w:szCs w:val="24"/>
              </w:rPr>
              <w:t>kas nolietojums</w:t>
            </w:r>
          </w:p>
          <w:p w:rsidR="001973C6" w:rsidRPr="000F6AD8" w:rsidRDefault="001973C6" w:rsidP="003D1F9A">
            <w:pPr>
              <w:numPr>
                <w:ilvl w:val="0"/>
                <w:numId w:val="3"/>
              </w:numPr>
              <w:spacing w:after="120" w:line="240" w:lineRule="auto"/>
              <w:jc w:val="both"/>
              <w:rPr>
                <w:rFonts w:ascii="Times New Roman" w:hAnsi="Times New Roman"/>
                <w:sz w:val="24"/>
                <w:szCs w:val="24"/>
              </w:rPr>
            </w:pPr>
            <w:r>
              <w:rPr>
                <w:rFonts w:ascii="Times New Roman" w:hAnsi="Times New Roman"/>
                <w:sz w:val="24"/>
                <w:szCs w:val="24"/>
              </w:rPr>
              <w:t>n</w:t>
            </w:r>
            <w:r w:rsidRPr="000F6AD8">
              <w:rPr>
                <w:rFonts w:ascii="Times New Roman" w:hAnsi="Times New Roman"/>
                <w:sz w:val="24"/>
                <w:szCs w:val="24"/>
              </w:rPr>
              <w:t>ekustamā īpašuma nodoklis</w:t>
            </w:r>
          </w:p>
          <w:p w:rsidR="001973C6" w:rsidRPr="000F6AD8" w:rsidRDefault="001973C6" w:rsidP="003D1F9A">
            <w:pPr>
              <w:numPr>
                <w:ilvl w:val="0"/>
                <w:numId w:val="3"/>
              </w:numPr>
              <w:spacing w:after="120" w:line="240" w:lineRule="auto"/>
              <w:jc w:val="both"/>
              <w:rPr>
                <w:rFonts w:ascii="Times New Roman" w:hAnsi="Times New Roman"/>
                <w:sz w:val="24"/>
                <w:szCs w:val="24"/>
              </w:rPr>
            </w:pPr>
            <w:r>
              <w:rPr>
                <w:rFonts w:ascii="Times New Roman" w:hAnsi="Times New Roman"/>
                <w:sz w:val="24"/>
                <w:szCs w:val="24"/>
              </w:rPr>
              <w:t>g</w:t>
            </w:r>
            <w:r w:rsidRPr="000F6AD8">
              <w:rPr>
                <w:rFonts w:ascii="Times New Roman" w:hAnsi="Times New Roman"/>
                <w:sz w:val="24"/>
                <w:szCs w:val="24"/>
              </w:rPr>
              <w:t>rāmatvedības pakalpojumi</w:t>
            </w:r>
          </w:p>
          <w:p w:rsidR="001973C6" w:rsidRPr="000F6AD8" w:rsidRDefault="001973C6" w:rsidP="003D1F9A">
            <w:pPr>
              <w:numPr>
                <w:ilvl w:val="0"/>
                <w:numId w:val="3"/>
              </w:numPr>
              <w:spacing w:after="120" w:line="240" w:lineRule="auto"/>
              <w:jc w:val="both"/>
              <w:rPr>
                <w:rFonts w:ascii="Times New Roman" w:hAnsi="Times New Roman"/>
                <w:sz w:val="24"/>
                <w:szCs w:val="24"/>
              </w:rPr>
            </w:pPr>
            <w:r>
              <w:rPr>
                <w:rFonts w:ascii="Times New Roman" w:hAnsi="Times New Roman"/>
                <w:sz w:val="24"/>
                <w:szCs w:val="24"/>
              </w:rPr>
              <w:t>j</w:t>
            </w:r>
            <w:r w:rsidRPr="000F6AD8">
              <w:rPr>
                <w:rFonts w:ascii="Times New Roman" w:hAnsi="Times New Roman"/>
                <w:sz w:val="24"/>
                <w:szCs w:val="24"/>
              </w:rPr>
              <w:t>uristu pakalpojumi</w:t>
            </w:r>
          </w:p>
          <w:p w:rsidR="001973C6" w:rsidRPr="00115FA0" w:rsidRDefault="001973C6" w:rsidP="00115FA0">
            <w:pPr>
              <w:pStyle w:val="tv2121"/>
              <w:spacing w:before="120" w:after="120" w:line="240" w:lineRule="auto"/>
              <w:ind w:firstLine="720"/>
              <w:jc w:val="both"/>
              <w:rPr>
                <w:rFonts w:ascii="Times New Roman" w:hAnsi="Times New Roman"/>
                <w:b w:val="0"/>
                <w:bCs w:val="0"/>
                <w:sz w:val="24"/>
                <w:szCs w:val="24"/>
                <w:lang w:eastAsia="en-US"/>
              </w:rPr>
            </w:pPr>
            <w:r w:rsidRPr="00BD154D">
              <w:rPr>
                <w:rFonts w:ascii="Times New Roman" w:hAnsi="Times New Roman"/>
                <w:b w:val="0"/>
                <w:bCs w:val="0"/>
                <w:sz w:val="24"/>
                <w:szCs w:val="24"/>
                <w:lang w:eastAsia="en-US"/>
              </w:rPr>
              <w:t>D</w:t>
            </w:r>
            <w:r>
              <w:rPr>
                <w:rFonts w:ascii="Times New Roman" w:hAnsi="Times New Roman"/>
                <w:b w:val="0"/>
                <w:bCs w:val="0"/>
                <w:sz w:val="24"/>
                <w:szCs w:val="24"/>
                <w:lang w:eastAsia="en-US"/>
              </w:rPr>
              <w:t>arba grupas sanāksmēs tika diskutēts</w:t>
            </w:r>
            <w:r w:rsidRPr="00BD154D">
              <w:rPr>
                <w:rFonts w:ascii="Times New Roman" w:hAnsi="Times New Roman"/>
                <w:b w:val="0"/>
                <w:bCs w:val="0"/>
                <w:sz w:val="24"/>
                <w:szCs w:val="24"/>
                <w:lang w:eastAsia="en-US"/>
              </w:rPr>
              <w:t xml:space="preserve"> par ēku nolietojuma izmaksām</w:t>
            </w:r>
            <w:r>
              <w:rPr>
                <w:rFonts w:ascii="Times New Roman" w:hAnsi="Times New Roman"/>
                <w:b w:val="0"/>
                <w:bCs w:val="0"/>
                <w:sz w:val="24"/>
                <w:szCs w:val="24"/>
                <w:lang w:eastAsia="en-US"/>
              </w:rPr>
              <w:t>, un rezultātā noteikumu projekts tika papildināts ar 7.punktu šādā redakcijā</w:t>
            </w:r>
            <w:r w:rsidRPr="00BD154D">
              <w:rPr>
                <w:rFonts w:ascii="Times New Roman" w:hAnsi="Times New Roman"/>
                <w:b w:val="0"/>
                <w:bCs w:val="0"/>
                <w:sz w:val="24"/>
                <w:szCs w:val="24"/>
                <w:lang w:eastAsia="en-US"/>
              </w:rPr>
              <w:t>: „</w:t>
            </w:r>
            <w:r w:rsidRPr="00115FA0">
              <w:rPr>
                <w:rFonts w:ascii="Times New Roman" w:hAnsi="Times New Roman"/>
                <w:b w:val="0"/>
                <w:bCs w:val="0"/>
                <w:sz w:val="24"/>
                <w:szCs w:val="24"/>
                <w:lang w:eastAsia="en-US"/>
              </w:rPr>
              <w:t>Papildus 6.punktā noteiktām izmaksām pašvaldība izmaksu sastāvā iekļauj pašvaldības izglītības iestāžu kopējo pamatlīdzekļu nolietojumu, kas pašvaldībā tiek aprēķināts, ievērojot pašvaldībām noteikto ilgtermiņa ieguldījumu uzskaites kārtību un kurš tiek dalīts ar audzēkņu skaitu attiecīgajās izglītības iestādēs.</w:t>
            </w:r>
            <w:r w:rsidRPr="00BD154D">
              <w:rPr>
                <w:rFonts w:ascii="Times New Roman" w:hAnsi="Times New Roman"/>
                <w:b w:val="0"/>
                <w:bCs w:val="0"/>
                <w:sz w:val="24"/>
                <w:szCs w:val="24"/>
                <w:lang w:eastAsia="en-US"/>
              </w:rPr>
              <w:t>”</w:t>
            </w:r>
            <w:r>
              <w:rPr>
                <w:rFonts w:ascii="Times New Roman" w:hAnsi="Times New Roman"/>
                <w:b w:val="0"/>
                <w:bCs w:val="0"/>
                <w:sz w:val="24"/>
                <w:szCs w:val="24"/>
                <w:lang w:eastAsia="en-US"/>
              </w:rPr>
              <w:t>. Pašvaldības izglītības iestāžu pamatlīdzekļu nolietojums tiek noteikts atbilstoši Ministru kabineta 2009.gada 15.decembra noteikumiem nr.1486 „</w:t>
            </w:r>
            <w:r w:rsidRPr="00115FA0">
              <w:rPr>
                <w:rFonts w:ascii="Times New Roman" w:hAnsi="Times New Roman"/>
                <w:b w:val="0"/>
                <w:bCs w:val="0"/>
                <w:sz w:val="24"/>
                <w:szCs w:val="24"/>
                <w:lang w:eastAsia="en-US"/>
              </w:rPr>
              <w:t>Kārtība, kādā budžeta iestādes kārto grāmatvedības uzskaiti”</w:t>
            </w:r>
            <w:r>
              <w:rPr>
                <w:rFonts w:ascii="Times New Roman" w:hAnsi="Times New Roman"/>
                <w:b w:val="0"/>
                <w:bCs w:val="0"/>
                <w:sz w:val="24"/>
                <w:szCs w:val="24"/>
                <w:lang w:eastAsia="en-US"/>
              </w:rPr>
              <w:t>. Vides aizsardzības un reģionālās attīstības ministrija, saskaņojot pašvaldību saistošos noteikumus par kārtību, kādā pašvaldība sedz pirmsskolas izglītības programmas izmaksas privātajai izglītības iestādei, nodrošinās vienotu pieeju pamatlīdzekļu nolietojuma uzskaitei.</w:t>
            </w:r>
          </w:p>
          <w:p w:rsidR="001973C6" w:rsidRPr="00D96152" w:rsidRDefault="001973C6" w:rsidP="00FB6DBE">
            <w:pPr>
              <w:pStyle w:val="CommentText"/>
              <w:spacing w:after="0" w:line="240" w:lineRule="auto"/>
              <w:jc w:val="both"/>
              <w:rPr>
                <w:rFonts w:ascii="Times New Roman" w:hAnsi="Times New Roman"/>
                <w:sz w:val="24"/>
                <w:szCs w:val="24"/>
                <w:lang w:val="lv-LV"/>
              </w:rPr>
            </w:pPr>
            <w:r w:rsidRPr="00FB6DBE">
              <w:rPr>
                <w:rFonts w:ascii="Times New Roman" w:hAnsi="Times New Roman"/>
                <w:sz w:val="24"/>
                <w:szCs w:val="24"/>
                <w:lang w:val="lv-LV"/>
              </w:rPr>
              <w:t xml:space="preserve">Darba grupā tika nolemts, ka 6.punktā netiek iekļauti izdevumi par nekustamā īpašuma nodokli, jo pašvaldību pirmskolas izglītības iestādēm nav jāmaksā nekustamā īpašuma nodoklis. </w:t>
            </w:r>
            <w:r w:rsidRPr="00A636D6">
              <w:rPr>
                <w:rFonts w:ascii="Times New Roman" w:hAnsi="Times New Roman"/>
                <w:sz w:val="24"/>
                <w:szCs w:val="24"/>
                <w:lang w:val="lv-LV"/>
              </w:rPr>
              <w:t>Konsultējoties ar Finanšu ministriju tika secināts</w:t>
            </w:r>
            <w:r w:rsidRPr="00D96152">
              <w:rPr>
                <w:rFonts w:ascii="Times New Roman" w:hAnsi="Times New Roman"/>
                <w:sz w:val="24"/>
                <w:szCs w:val="24"/>
                <w:lang w:val="lv-LV"/>
              </w:rPr>
              <w:t>, ka pašvaldība aprēķina vidējās izmaksas, ņemot vērā izmaksas savās pašvaldību izglītības iestādēs. Ja pašval</w:t>
            </w:r>
            <w:r>
              <w:rPr>
                <w:rFonts w:ascii="Times New Roman" w:hAnsi="Times New Roman"/>
                <w:sz w:val="24"/>
                <w:szCs w:val="24"/>
                <w:lang w:val="lv-LV"/>
              </w:rPr>
              <w:t>dību izglītības iestādēm nav nekustamā īpašuma nodokļa</w:t>
            </w:r>
            <w:r w:rsidRPr="00D96152">
              <w:rPr>
                <w:rFonts w:ascii="Times New Roman" w:hAnsi="Times New Roman"/>
                <w:sz w:val="24"/>
                <w:szCs w:val="24"/>
                <w:lang w:val="lv-LV"/>
              </w:rPr>
              <w:t xml:space="preserve"> maksājumi, tad nav izmaksas, ko iekļaut vidējo izmaksu aprēķinā. </w:t>
            </w:r>
          </w:p>
          <w:p w:rsidR="001973C6" w:rsidRDefault="001973C6" w:rsidP="00422E46">
            <w:pPr>
              <w:spacing w:after="120" w:line="240" w:lineRule="auto"/>
              <w:ind w:hanging="45"/>
              <w:jc w:val="both"/>
              <w:rPr>
                <w:rFonts w:ascii="Times New Roman" w:hAnsi="Times New Roman"/>
                <w:sz w:val="24"/>
                <w:szCs w:val="24"/>
              </w:rPr>
            </w:pPr>
            <w:r>
              <w:rPr>
                <w:rFonts w:ascii="Times New Roman" w:hAnsi="Times New Roman"/>
                <w:sz w:val="24"/>
                <w:szCs w:val="24"/>
              </w:rPr>
              <w:t xml:space="preserve"> Ņemot vērā, ka pašvaldību pirmskolas izglītības iestādēm nav pašam savu grāmatvežu un juristu (minētās funkcijas veic pašvaldības grāmatveži un juristi centralizēti), tad šie izdevumi ir mazi un to aprēķināšana ir resursu ietilpīga. Tādēļ tika nolemts Ministru kabineta noteikumu projekta 6.pantā neiekļauti izdevumi par grāmatvedības un juristu pakalpojumiem. V</w:t>
            </w:r>
            <w:r w:rsidRPr="003E2AC0">
              <w:rPr>
                <w:rFonts w:ascii="Times New Roman" w:hAnsi="Times New Roman"/>
                <w:sz w:val="24"/>
                <w:szCs w:val="24"/>
              </w:rPr>
              <w:t>ecāku intereses pārstāvošās organizācijas un privāto izglītības iestāžu pārstāvji</w:t>
            </w:r>
            <w:r>
              <w:rPr>
                <w:rFonts w:ascii="Times New Roman" w:hAnsi="Times New Roman"/>
                <w:sz w:val="24"/>
                <w:szCs w:val="24"/>
              </w:rPr>
              <w:t xml:space="preserve"> minēto lēmumu nesaskaņo, jo uzskata, ka izdevumi par grāmatvedības un juristu pakalpojumiem būtu iekļaujami 6.punktā.</w:t>
            </w:r>
          </w:p>
          <w:p w:rsidR="001973C6" w:rsidRPr="002F0073" w:rsidRDefault="001973C6" w:rsidP="00FB6DBE">
            <w:pPr>
              <w:spacing w:after="120" w:line="240" w:lineRule="auto"/>
              <w:jc w:val="both"/>
              <w:rPr>
                <w:rFonts w:ascii="Times New Roman" w:hAnsi="Times New Roman"/>
                <w:sz w:val="24"/>
                <w:szCs w:val="24"/>
              </w:rPr>
            </w:pPr>
            <w:r w:rsidRPr="00422E46">
              <w:rPr>
                <w:rFonts w:ascii="Times New Roman" w:hAnsi="Times New Roman"/>
                <w:sz w:val="24"/>
                <w:szCs w:val="24"/>
              </w:rPr>
              <w:t>Vecāku intereses pārstāvošās organizācijas un privāto izglītības iestāžu pārstāvji nesaskaņo noteikumu projekta 3.punktā noteikto normu, ka privātā izglītības iestāde, slēdzot līgumu ar pašvaldību un bērna likumīgo pārstāvi, pievieno izmaksu tāmi, kas tiek sagatavota atbilstoši normatīvajiem aktiem par izmaksu ekonomisko klasifikāciju. Vecāku intereses pārstāvošās organizācijas un privāto izglītības iestāžu pārstāvji norāda,</w:t>
            </w:r>
            <w:r>
              <w:rPr>
                <w:rFonts w:ascii="Times New Roman" w:hAnsi="Times New Roman"/>
                <w:sz w:val="24"/>
                <w:szCs w:val="24"/>
              </w:rPr>
              <w:t xml:space="preserve"> ka likumdevēja Ministru kabinetam</w:t>
            </w:r>
            <w:r w:rsidRPr="002F0073">
              <w:rPr>
                <w:rFonts w:ascii="Times New Roman" w:hAnsi="Times New Roman"/>
                <w:sz w:val="24"/>
                <w:szCs w:val="24"/>
              </w:rPr>
              <w:t xml:space="preserve"> dotā deleģējumā izdot noteikumus neietilpst tiesības uzlikt privātām izglītības iestādēm papildus birokrātisku slogu pašvaldības atbalsta izmaksai. Izmaksu dalījumu pēc ekonomiskās klasifikācijas kategorijām šobrīd noteic Ministru kabineta2005.gada 27.decembra noteikumi Nr.1031</w:t>
            </w:r>
            <w:r>
              <w:rPr>
                <w:rFonts w:ascii="Times New Roman" w:hAnsi="Times New Roman"/>
                <w:sz w:val="24"/>
                <w:szCs w:val="24"/>
              </w:rPr>
              <w:t> </w:t>
            </w:r>
            <w:r w:rsidRPr="002F0073">
              <w:rPr>
                <w:rFonts w:ascii="Times New Roman" w:hAnsi="Times New Roman"/>
                <w:sz w:val="24"/>
                <w:szCs w:val="24"/>
              </w:rPr>
              <w:t xml:space="preserve"> “Noteikumi par budžetu izdevumu klasifikāciju atbilstoši ekonomiskajām kategorijām”, kas ir piemērojami </w:t>
            </w:r>
            <w:r w:rsidRPr="00AA70D2">
              <w:rPr>
                <w:rFonts w:ascii="Times New Roman" w:hAnsi="Times New Roman"/>
                <w:sz w:val="24"/>
                <w:szCs w:val="24"/>
              </w:rPr>
              <w:t>tikai</w:t>
            </w:r>
            <w:r w:rsidRPr="002F0073">
              <w:rPr>
                <w:rFonts w:ascii="Times New Roman" w:hAnsi="Times New Roman"/>
                <w:sz w:val="24"/>
                <w:szCs w:val="24"/>
              </w:rPr>
              <w:t xml:space="preserve"> budžeta iestādēm, nevis privātajām izglītības iestādēm. Privātās izglītības iestādes jau šobrīd savu grāmatvedību kārto saskaņā ar normatīvo aktu prasībām, proti, saskaņā ar Ministru kabineta noteikumu 2003.gada 21.oktobra Nr.585 “Noteikumi par grāmatvedības kārtoš</w:t>
            </w:r>
            <w:r>
              <w:rPr>
                <w:rFonts w:ascii="Times New Roman" w:hAnsi="Times New Roman"/>
                <w:sz w:val="24"/>
                <w:szCs w:val="24"/>
              </w:rPr>
              <w:t xml:space="preserve">anu un organizāciju” prasībām. </w:t>
            </w:r>
            <w:r w:rsidRPr="002F0073">
              <w:rPr>
                <w:rFonts w:ascii="Times New Roman" w:hAnsi="Times New Roman"/>
                <w:sz w:val="24"/>
                <w:szCs w:val="24"/>
              </w:rPr>
              <w:t>Lai arī pienākuma uzlikšana iesn</w:t>
            </w:r>
            <w:r>
              <w:rPr>
                <w:rFonts w:ascii="Times New Roman" w:hAnsi="Times New Roman"/>
                <w:sz w:val="24"/>
                <w:szCs w:val="24"/>
              </w:rPr>
              <w:t>iegt tāmi neietilpst konkrētā Ministru kabineta</w:t>
            </w:r>
            <w:r w:rsidRPr="002F0073">
              <w:rPr>
                <w:rFonts w:ascii="Times New Roman" w:hAnsi="Times New Roman"/>
                <w:sz w:val="24"/>
                <w:szCs w:val="24"/>
              </w:rPr>
              <w:t xml:space="preserve"> do</w:t>
            </w:r>
            <w:r>
              <w:rPr>
                <w:rFonts w:ascii="Times New Roman" w:hAnsi="Times New Roman"/>
                <w:sz w:val="24"/>
                <w:szCs w:val="24"/>
              </w:rPr>
              <w:t>tā deleģējuma ietvaros, privātās izglītības iestādes</w:t>
            </w:r>
            <w:r w:rsidRPr="002F0073">
              <w:rPr>
                <w:rFonts w:ascii="Times New Roman" w:hAnsi="Times New Roman"/>
                <w:sz w:val="24"/>
                <w:szCs w:val="24"/>
              </w:rPr>
              <w:t xml:space="preserve"> konceptuāli neiebilst pret tā</w:t>
            </w:r>
            <w:r>
              <w:rPr>
                <w:rFonts w:ascii="Times New Roman" w:hAnsi="Times New Roman"/>
                <w:sz w:val="24"/>
                <w:szCs w:val="24"/>
              </w:rPr>
              <w:t>mes iesniegšanu, taču ietverot n</w:t>
            </w:r>
            <w:r w:rsidRPr="002F0073">
              <w:rPr>
                <w:rFonts w:ascii="Times New Roman" w:hAnsi="Times New Roman"/>
                <w:sz w:val="24"/>
                <w:szCs w:val="24"/>
              </w:rPr>
              <w:t>oteikumu</w:t>
            </w:r>
            <w:r>
              <w:rPr>
                <w:rFonts w:ascii="Times New Roman" w:hAnsi="Times New Roman"/>
                <w:sz w:val="24"/>
                <w:szCs w:val="24"/>
              </w:rPr>
              <w:t xml:space="preserve"> projekta</w:t>
            </w:r>
            <w:r w:rsidRPr="002F0073">
              <w:rPr>
                <w:rFonts w:ascii="Times New Roman" w:hAnsi="Times New Roman"/>
                <w:sz w:val="24"/>
                <w:szCs w:val="24"/>
              </w:rPr>
              <w:t xml:space="preserve"> 3. punktā prasību piemērot tāmes sagatavošanai normatīvos aktus par izmaksu ekonomisko klasifikāciju tiek uzlikts papildus un nepamatots slogs</w:t>
            </w:r>
            <w:r>
              <w:rPr>
                <w:rFonts w:ascii="Times New Roman" w:hAnsi="Times New Roman"/>
                <w:sz w:val="24"/>
                <w:szCs w:val="24"/>
              </w:rPr>
              <w:t>.</w:t>
            </w:r>
            <w:r w:rsidRPr="002F0073">
              <w:rPr>
                <w:rFonts w:ascii="Times New Roman" w:hAnsi="Times New Roman"/>
                <w:sz w:val="24"/>
                <w:szCs w:val="24"/>
              </w:rPr>
              <w:t xml:space="preserve"> </w:t>
            </w:r>
          </w:p>
          <w:p w:rsidR="001973C6" w:rsidRDefault="001973C6" w:rsidP="00231EDD">
            <w:pPr>
              <w:spacing w:after="120" w:line="240" w:lineRule="auto"/>
              <w:ind w:hanging="45"/>
              <w:jc w:val="both"/>
              <w:rPr>
                <w:rFonts w:ascii="Times New Roman" w:hAnsi="Times New Roman"/>
                <w:sz w:val="24"/>
                <w:szCs w:val="24"/>
              </w:rPr>
            </w:pPr>
            <w:r>
              <w:rPr>
                <w:rFonts w:ascii="Times New Roman" w:hAnsi="Times New Roman"/>
                <w:sz w:val="24"/>
                <w:szCs w:val="24"/>
              </w:rPr>
              <w:t xml:space="preserve">Ņemot vērā, ka pašvaldības atbalsts ir publiskie resursi, tad to izlietojumam ir jāatbilst </w:t>
            </w:r>
            <w:r w:rsidRPr="005D5F18">
              <w:rPr>
                <w:rFonts w:ascii="Times New Roman" w:hAnsi="Times New Roman"/>
                <w:sz w:val="24"/>
                <w:szCs w:val="24"/>
              </w:rPr>
              <w:t>Publiskas personas finanšu līdzekļu un mantas izšķērdēšanas novēršanas likumam</w:t>
            </w:r>
            <w:r>
              <w:rPr>
                <w:rFonts w:ascii="Times New Roman" w:hAnsi="Times New Roman"/>
                <w:sz w:val="24"/>
                <w:szCs w:val="24"/>
              </w:rPr>
              <w:t xml:space="preserve">. Attiecīgi, lai pašvaldības spētu pārliecināties par konkrēto izdevumu pozīciju pamatotību un caurskatāmību, privātajām izglītības iestādēm līguma pielikumā būs jāpievieno izmaksu tāme </w:t>
            </w:r>
            <w:r w:rsidRPr="00231EDD">
              <w:rPr>
                <w:rFonts w:ascii="Times New Roman" w:hAnsi="Times New Roman"/>
                <w:sz w:val="24"/>
                <w:szCs w:val="24"/>
              </w:rPr>
              <w:t>atbilstoši normatīvajiem aktiem par izmaksu ekonomisko klasifikāciju</w:t>
            </w:r>
            <w:r>
              <w:rPr>
                <w:rFonts w:ascii="Times New Roman" w:hAnsi="Times New Roman"/>
                <w:sz w:val="24"/>
                <w:szCs w:val="24"/>
              </w:rPr>
              <w:t>.</w:t>
            </w:r>
          </w:p>
          <w:p w:rsidR="001973C6" w:rsidRDefault="001973C6" w:rsidP="00B90491">
            <w:pPr>
              <w:spacing w:after="120" w:line="240" w:lineRule="auto"/>
              <w:ind w:left="-45"/>
              <w:jc w:val="both"/>
              <w:rPr>
                <w:rFonts w:ascii="Times New Roman" w:hAnsi="Times New Roman"/>
                <w:sz w:val="24"/>
                <w:szCs w:val="24"/>
              </w:rPr>
            </w:pPr>
            <w:r>
              <w:rPr>
                <w:rFonts w:ascii="Times New Roman" w:hAnsi="Times New Roman"/>
                <w:sz w:val="24"/>
                <w:szCs w:val="24"/>
              </w:rPr>
              <w:t xml:space="preserve">Noteikumu projekta izstrādes gaitā tika konstatēts, ka </w:t>
            </w:r>
            <w:r w:rsidRPr="00B90491">
              <w:rPr>
                <w:rFonts w:ascii="Times New Roman" w:hAnsi="Times New Roman"/>
                <w:sz w:val="24"/>
                <w:szCs w:val="24"/>
              </w:rPr>
              <w:t>pašvaldības piemēro dažādus nosacījumus piešķirot pašvaldības atbalstu bērniem, kas apmeklē privātās pirmskolas izglītības iestādes. Pašvaldībās ir atšķirīgas prasības attiecībā uz to, vai vecākiem vajag vai nevajag savu dzīves vietu deklarēt pašvaldības administratīvajā teritorijā, kā arī atšķiras termiņi, cik ilgi vecākiem un bērnam ir jābūt deklarētām pašvaldībā. Lai nodrošinātu vienotu pieeju</w:t>
            </w:r>
            <w:r>
              <w:rPr>
                <w:rFonts w:ascii="Times New Roman" w:hAnsi="Times New Roman"/>
                <w:sz w:val="24"/>
                <w:szCs w:val="24"/>
              </w:rPr>
              <w:t>,</w:t>
            </w:r>
            <w:r w:rsidRPr="00B90491">
              <w:rPr>
                <w:rFonts w:ascii="Times New Roman" w:hAnsi="Times New Roman"/>
                <w:sz w:val="24"/>
                <w:szCs w:val="24"/>
              </w:rPr>
              <w:t xml:space="preserve"> noteikumu projekta 5.punktā ir iekļauta norma, kas paredz, ka pašvaldība piešķir atbalstu gadījumā, ja bērna un viena vecāka vai bērna likumiskā pārstāvja dzīvesvieta ir deklarēta pašvaldības administratīvajā teritorijā.</w:t>
            </w:r>
          </w:p>
          <w:p w:rsidR="001973C6" w:rsidRDefault="001973C6" w:rsidP="008B197D">
            <w:pPr>
              <w:spacing w:after="120" w:line="240" w:lineRule="auto"/>
              <w:ind w:left="-45"/>
              <w:jc w:val="both"/>
              <w:rPr>
                <w:rFonts w:ascii="Times New Roman" w:hAnsi="Times New Roman"/>
                <w:sz w:val="24"/>
                <w:szCs w:val="24"/>
              </w:rPr>
            </w:pPr>
            <w:r>
              <w:rPr>
                <w:rFonts w:ascii="Times New Roman" w:hAnsi="Times New Roman"/>
                <w:sz w:val="24"/>
                <w:szCs w:val="24"/>
              </w:rPr>
              <w:t>Darba grupas ietvaros privāto izglītības iestāžu pārstāvji rosināja noteikumu projektā iekļaut papildus punktu šādā redakcija: „</w:t>
            </w:r>
            <w:r w:rsidRPr="008B197D">
              <w:rPr>
                <w:rFonts w:ascii="Times New Roman" w:hAnsi="Times New Roman"/>
                <w:sz w:val="24"/>
                <w:szCs w:val="24"/>
              </w:rPr>
              <w:t>Pašvaldības šo noteikumu 5.punktā noteikto izmaksu aprēķinu veic atsevišķi bērniem no pusotra gada vecuma līdz četriem un bērniem no piecu gadu vecuma līdz sešiem.”. Darba grupā tika nolemts noraidīt minēto priekšlikumu, jo pašvaldībām ir apgrūtinoši precīzi aprēķināt izmaksas atsevišķi bērniem no pusotra gada vecuma līdz četriem un bērniem no piecu gadu vecuma līdz sešiem.</w:t>
            </w:r>
            <w:r>
              <w:rPr>
                <w:rFonts w:ascii="Times New Roman" w:hAnsi="Times New Roman"/>
                <w:sz w:val="24"/>
                <w:szCs w:val="24"/>
              </w:rPr>
              <w:t xml:space="preserve"> Vienlaikus šī priekšlikuma īstenošanas iespējas varētu izskatīt turpmāk.</w:t>
            </w:r>
          </w:p>
          <w:p w:rsidR="001973C6" w:rsidRPr="00115FA0" w:rsidRDefault="001973C6" w:rsidP="00D10CD6">
            <w:pPr>
              <w:spacing w:after="120" w:line="240" w:lineRule="auto"/>
              <w:ind w:left="-45"/>
              <w:jc w:val="both"/>
              <w:rPr>
                <w:rFonts w:ascii="Times New Roman" w:hAnsi="Times New Roman"/>
                <w:b/>
                <w:sz w:val="28"/>
                <w:szCs w:val="28"/>
              </w:rPr>
            </w:pPr>
            <w:r>
              <w:rPr>
                <w:rFonts w:ascii="Times New Roman" w:hAnsi="Times New Roman"/>
                <w:sz w:val="24"/>
                <w:szCs w:val="24"/>
              </w:rPr>
              <w:t xml:space="preserve">Darba grupas ietvaros diskusijas bija arī par noteikumu projektā ietvaros normu, kas nosaka, ka </w:t>
            </w:r>
            <w:r w:rsidRPr="008B197D">
              <w:rPr>
                <w:rFonts w:ascii="Times New Roman" w:hAnsi="Times New Roman"/>
                <w:sz w:val="24"/>
                <w:szCs w:val="24"/>
              </w:rPr>
              <w:t>pašvaldības atbalsta saņēmējs nevar būt nodokļu parādnieks. Ņemot vērā, ka Publisko iepirkumu likums pieļauj neliela nodokļu parāda (līdz 150 eiro) esamību. Tādēļ noteikumu projektā tika iekļauts 1</w:t>
            </w:r>
            <w:r>
              <w:rPr>
                <w:rFonts w:ascii="Times New Roman" w:hAnsi="Times New Roman"/>
                <w:sz w:val="24"/>
                <w:szCs w:val="24"/>
              </w:rPr>
              <w:t>4</w:t>
            </w:r>
            <w:r w:rsidRPr="008B197D">
              <w:rPr>
                <w:rFonts w:ascii="Times New Roman" w:hAnsi="Times New Roman"/>
                <w:sz w:val="24"/>
                <w:szCs w:val="24"/>
              </w:rPr>
              <w:t xml:space="preserve">.punkts šādā redakcija: „Pašvaldības atbalsta saņēmējs nevar būt nodokļu parādnieks Publisko iepirkumu likuma izpratnē uz līguma slēgšanas brīdi, </w:t>
            </w:r>
            <w:r>
              <w:rPr>
                <w:rFonts w:ascii="Times New Roman" w:hAnsi="Times New Roman"/>
                <w:sz w:val="24"/>
                <w:szCs w:val="24"/>
              </w:rPr>
              <w:t xml:space="preserve">arī gadījumos, </w:t>
            </w:r>
            <w:r w:rsidRPr="008B197D">
              <w:rPr>
                <w:rFonts w:ascii="Times New Roman" w:hAnsi="Times New Roman"/>
                <w:sz w:val="24"/>
                <w:szCs w:val="24"/>
              </w:rPr>
              <w:t>ja netiek veikts iepirkums”.</w:t>
            </w:r>
            <w:r>
              <w:rPr>
                <w:rFonts w:ascii="Times New Roman" w:hAnsi="Times New Roman"/>
                <w:b/>
                <w:sz w:val="28"/>
                <w:szCs w:val="28"/>
              </w:rPr>
              <w:t xml:space="preserve"> </w:t>
            </w:r>
          </w:p>
        </w:tc>
      </w:tr>
      <w:tr w:rsidR="001973C6" w:rsidTr="003368B9">
        <w:trPr>
          <w:trHeight w:val="476"/>
        </w:trPr>
        <w:tc>
          <w:tcPr>
            <w:tcW w:w="5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3C6" w:rsidRDefault="001973C6" w:rsidP="006B7C52">
            <w:pPr>
              <w:pStyle w:val="naiskr"/>
              <w:spacing w:before="0" w:after="0"/>
              <w:jc w:val="center"/>
            </w:pPr>
            <w:r>
              <w:t>3.</w:t>
            </w:r>
          </w:p>
        </w:tc>
        <w:tc>
          <w:tcPr>
            <w:tcW w:w="248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3C6" w:rsidRDefault="001973C6" w:rsidP="006B7C52">
            <w:pPr>
              <w:pStyle w:val="naiskr"/>
              <w:spacing w:before="0" w:after="0"/>
            </w:pPr>
            <w:r>
              <w:t>Projekta izstrādē iesaistītās institūcijas</w:t>
            </w:r>
          </w:p>
        </w:tc>
        <w:tc>
          <w:tcPr>
            <w:tcW w:w="632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3C6" w:rsidRPr="00352254" w:rsidRDefault="001973C6" w:rsidP="006B7C52">
            <w:pPr>
              <w:pStyle w:val="naiskr"/>
              <w:jc w:val="both"/>
            </w:pPr>
            <w:r w:rsidRPr="00352254">
              <w:t>Nav.</w:t>
            </w:r>
          </w:p>
        </w:tc>
      </w:tr>
      <w:tr w:rsidR="001973C6" w:rsidTr="003368B9">
        <w:trPr>
          <w:trHeight w:val="616"/>
        </w:trPr>
        <w:tc>
          <w:tcPr>
            <w:tcW w:w="5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3C6" w:rsidRDefault="001973C6" w:rsidP="006B7C52">
            <w:pPr>
              <w:pStyle w:val="naiskr"/>
              <w:spacing w:before="0" w:after="0"/>
              <w:jc w:val="center"/>
            </w:pPr>
            <w:r>
              <w:t>4.</w:t>
            </w:r>
          </w:p>
        </w:tc>
        <w:tc>
          <w:tcPr>
            <w:tcW w:w="248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3C6" w:rsidRDefault="001973C6" w:rsidP="006B7C52">
            <w:pPr>
              <w:pStyle w:val="naiskr"/>
              <w:spacing w:before="0" w:after="0"/>
            </w:pPr>
            <w:r>
              <w:t>Cita informācija</w:t>
            </w:r>
          </w:p>
          <w:p w:rsidR="001973C6" w:rsidRPr="00491007" w:rsidRDefault="001973C6" w:rsidP="006B7C52"/>
        </w:tc>
        <w:tc>
          <w:tcPr>
            <w:tcW w:w="632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3C6" w:rsidRPr="00352254" w:rsidRDefault="001973C6" w:rsidP="006B7C52">
            <w:pPr>
              <w:jc w:val="both"/>
              <w:rPr>
                <w:rFonts w:ascii="Times New Roman" w:hAnsi="Times New Roman"/>
                <w:sz w:val="24"/>
                <w:szCs w:val="24"/>
              </w:rPr>
            </w:pPr>
            <w:r w:rsidRPr="00352254">
              <w:rPr>
                <w:rFonts w:ascii="Times New Roman" w:hAnsi="Times New Roman"/>
                <w:sz w:val="24"/>
                <w:szCs w:val="24"/>
              </w:rPr>
              <w:t>Nav.</w:t>
            </w:r>
          </w:p>
        </w:tc>
      </w:tr>
    </w:tbl>
    <w:p w:rsidR="001973C6" w:rsidRDefault="001973C6"/>
    <w:tbl>
      <w:tblPr>
        <w:tblW w:w="9356" w:type="dxa"/>
        <w:tblInd w:w="-289" w:type="dxa"/>
        <w:tblCellMar>
          <w:left w:w="10" w:type="dxa"/>
          <w:right w:w="10" w:type="dxa"/>
        </w:tblCellMar>
        <w:tblLook w:val="0000"/>
      </w:tblPr>
      <w:tblGrid>
        <w:gridCol w:w="550"/>
        <w:gridCol w:w="2484"/>
        <w:gridCol w:w="6322"/>
      </w:tblGrid>
      <w:tr w:rsidR="001973C6" w:rsidTr="003368B9">
        <w:trPr>
          <w:trHeight w:val="616"/>
        </w:trPr>
        <w:tc>
          <w:tcPr>
            <w:tcW w:w="9356"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3C6" w:rsidRDefault="001973C6" w:rsidP="006B7C52">
            <w:pPr>
              <w:pStyle w:val="naiskr"/>
              <w:spacing w:before="0" w:after="0"/>
              <w:ind w:firstLine="420"/>
              <w:jc w:val="center"/>
              <w:rPr>
                <w:b/>
              </w:rPr>
            </w:pPr>
            <w:r>
              <w:rPr>
                <w:b/>
              </w:rPr>
              <w:t>II. Tiesību akta projekta ietekme uz sabiedrību, tautsaimniecības attīstību un administratīvo slogu</w:t>
            </w:r>
          </w:p>
        </w:tc>
      </w:tr>
      <w:tr w:rsidR="001973C6" w:rsidTr="00AB2122">
        <w:trPr>
          <w:trHeight w:val="476"/>
        </w:trPr>
        <w:tc>
          <w:tcPr>
            <w:tcW w:w="5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3C6" w:rsidRDefault="001973C6" w:rsidP="006B7C52">
            <w:pPr>
              <w:pStyle w:val="naiskr"/>
              <w:spacing w:before="0" w:after="0"/>
              <w:jc w:val="center"/>
            </w:pPr>
            <w:r>
              <w:t>1.</w:t>
            </w:r>
          </w:p>
        </w:tc>
        <w:tc>
          <w:tcPr>
            <w:tcW w:w="248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3C6" w:rsidRDefault="001973C6" w:rsidP="006B7C52">
            <w:pPr>
              <w:pStyle w:val="naiskr"/>
              <w:spacing w:before="0" w:after="0"/>
            </w:pPr>
            <w:r>
              <w:t>Sabiedrības mērķgrupas, kuras tiesiskais regulējums ietekmē vai varētu ietekmēt</w:t>
            </w:r>
          </w:p>
        </w:tc>
        <w:tc>
          <w:tcPr>
            <w:tcW w:w="632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3C6" w:rsidRPr="00DC3614" w:rsidRDefault="001973C6" w:rsidP="00E10192">
            <w:pPr>
              <w:spacing w:after="120" w:line="240" w:lineRule="auto"/>
              <w:ind w:hanging="45"/>
              <w:jc w:val="both"/>
              <w:rPr>
                <w:rFonts w:ascii="Times New Roman" w:hAnsi="Times New Roman"/>
                <w:sz w:val="24"/>
                <w:szCs w:val="24"/>
              </w:rPr>
            </w:pPr>
            <w:r w:rsidRPr="00DC3614">
              <w:rPr>
                <w:rFonts w:ascii="Times New Roman" w:hAnsi="Times New Roman"/>
                <w:sz w:val="24"/>
                <w:szCs w:val="24"/>
              </w:rPr>
              <w:t>Ministru kabineta noteikumu projekts attiecas uz pašvaldībām - tiek plānots, ka turpmāk pašvaldībām būtu jānosaka izmaksu apjoms viena bērna pirmsskolas izglītības programmas apguvei atbilstoši piedāvātajai metodikai</w:t>
            </w:r>
            <w:r>
              <w:rPr>
                <w:rFonts w:ascii="Times New Roman" w:hAnsi="Times New Roman"/>
                <w:sz w:val="24"/>
                <w:szCs w:val="24"/>
              </w:rPr>
              <w:t xml:space="preserve"> un kārtībai,</w:t>
            </w:r>
            <w:r w:rsidRPr="00DC3614">
              <w:rPr>
                <w:rFonts w:ascii="Times New Roman" w:hAnsi="Times New Roman"/>
                <w:sz w:val="24"/>
                <w:szCs w:val="24"/>
              </w:rPr>
              <w:t xml:space="preserve"> un saskaņā ar Izglītības likuma 17. panta 2</w:t>
            </w:r>
            <w:r w:rsidRPr="000D2BA9">
              <w:rPr>
                <w:rFonts w:ascii="Times New Roman" w:hAnsi="Times New Roman"/>
                <w:sz w:val="24"/>
                <w:szCs w:val="24"/>
                <w:vertAlign w:val="superscript"/>
              </w:rPr>
              <w:t>2</w:t>
            </w:r>
            <w:r w:rsidRPr="00DC3614">
              <w:rPr>
                <w:rFonts w:ascii="Times New Roman" w:hAnsi="Times New Roman"/>
                <w:sz w:val="24"/>
                <w:szCs w:val="24"/>
              </w:rPr>
              <w:t xml:space="preserve">. daļu jāpublicē šī informācija savā interneta mājaslapā. </w:t>
            </w:r>
          </w:p>
        </w:tc>
      </w:tr>
      <w:tr w:rsidR="001973C6" w:rsidTr="00AB2122">
        <w:trPr>
          <w:trHeight w:val="476"/>
        </w:trPr>
        <w:tc>
          <w:tcPr>
            <w:tcW w:w="5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3C6" w:rsidRDefault="001973C6" w:rsidP="006B7C52">
            <w:pPr>
              <w:spacing w:after="0"/>
              <w:jc w:val="center"/>
            </w:pPr>
            <w:r w:rsidRPr="00AB2122">
              <w:rPr>
                <w:rFonts w:ascii="Times New Roman" w:hAnsi="Times New Roman"/>
                <w:sz w:val="24"/>
                <w:szCs w:val="24"/>
                <w:lang w:eastAsia="lv-LV"/>
              </w:rPr>
              <w:t>2</w:t>
            </w:r>
            <w:r>
              <w:t>.</w:t>
            </w:r>
          </w:p>
        </w:tc>
        <w:tc>
          <w:tcPr>
            <w:tcW w:w="248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3C6" w:rsidRPr="00DC3614" w:rsidRDefault="001973C6" w:rsidP="006B7C52">
            <w:pPr>
              <w:spacing w:after="0"/>
              <w:rPr>
                <w:rFonts w:ascii="Times New Roman" w:hAnsi="Times New Roman"/>
                <w:sz w:val="24"/>
                <w:szCs w:val="24"/>
                <w:lang w:eastAsia="lv-LV"/>
              </w:rPr>
            </w:pPr>
            <w:r w:rsidRPr="00DC3614">
              <w:rPr>
                <w:rFonts w:ascii="Times New Roman" w:hAnsi="Times New Roman"/>
                <w:sz w:val="24"/>
                <w:szCs w:val="24"/>
                <w:lang w:eastAsia="lv-LV"/>
              </w:rPr>
              <w:t>Tiesiskā regulējuma ietekme uz tautsaimniecību un administratīvo slogu</w:t>
            </w:r>
          </w:p>
        </w:tc>
        <w:tc>
          <w:tcPr>
            <w:tcW w:w="632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3C6" w:rsidRPr="00DC3614" w:rsidRDefault="001973C6" w:rsidP="00DC3614">
            <w:pPr>
              <w:spacing w:after="120" w:line="240" w:lineRule="auto"/>
              <w:ind w:hanging="45"/>
              <w:jc w:val="both"/>
              <w:rPr>
                <w:rFonts w:ascii="Times New Roman" w:hAnsi="Times New Roman"/>
                <w:sz w:val="24"/>
                <w:szCs w:val="24"/>
              </w:rPr>
            </w:pPr>
            <w:r w:rsidRPr="00DC3614">
              <w:rPr>
                <w:rFonts w:ascii="Times New Roman" w:hAnsi="Times New Roman"/>
                <w:sz w:val="24"/>
                <w:szCs w:val="24"/>
              </w:rPr>
              <w:t>Tiesiskajam regulējumam nav tiešas ietekmes uz tautsaimniecību, un tas nerada papildus administratīvo slogu.</w:t>
            </w:r>
          </w:p>
          <w:p w:rsidR="001973C6" w:rsidRPr="00DC3614" w:rsidRDefault="001973C6" w:rsidP="00DC3614">
            <w:pPr>
              <w:spacing w:after="120" w:line="240" w:lineRule="auto"/>
              <w:ind w:hanging="45"/>
              <w:jc w:val="both"/>
              <w:rPr>
                <w:rFonts w:ascii="Times New Roman" w:hAnsi="Times New Roman"/>
                <w:sz w:val="24"/>
                <w:szCs w:val="24"/>
              </w:rPr>
            </w:pPr>
          </w:p>
        </w:tc>
      </w:tr>
      <w:tr w:rsidR="001973C6" w:rsidTr="00AB2122">
        <w:trPr>
          <w:trHeight w:val="476"/>
        </w:trPr>
        <w:tc>
          <w:tcPr>
            <w:tcW w:w="5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3C6" w:rsidRDefault="001973C6" w:rsidP="006B7C52">
            <w:pPr>
              <w:pStyle w:val="naiskr"/>
              <w:spacing w:before="0" w:after="0"/>
              <w:jc w:val="center"/>
            </w:pPr>
            <w:r>
              <w:t>3.</w:t>
            </w:r>
          </w:p>
        </w:tc>
        <w:tc>
          <w:tcPr>
            <w:tcW w:w="248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3C6" w:rsidRDefault="001973C6" w:rsidP="006B7C52">
            <w:pPr>
              <w:pStyle w:val="naiskr"/>
              <w:spacing w:before="0" w:after="0"/>
            </w:pPr>
            <w:r>
              <w:t>Administratīvo izmaksu monetārs novērtējums</w:t>
            </w:r>
          </w:p>
        </w:tc>
        <w:tc>
          <w:tcPr>
            <w:tcW w:w="632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3C6" w:rsidRPr="00DC3614" w:rsidRDefault="001973C6" w:rsidP="00DC3614">
            <w:pPr>
              <w:spacing w:after="120" w:line="240" w:lineRule="auto"/>
              <w:ind w:hanging="45"/>
              <w:jc w:val="both"/>
              <w:rPr>
                <w:rFonts w:ascii="Times New Roman" w:hAnsi="Times New Roman"/>
                <w:sz w:val="24"/>
                <w:szCs w:val="24"/>
              </w:rPr>
            </w:pPr>
            <w:r w:rsidRPr="00DC3614">
              <w:rPr>
                <w:rFonts w:ascii="Times New Roman" w:hAnsi="Times New Roman"/>
                <w:sz w:val="24"/>
                <w:szCs w:val="24"/>
              </w:rPr>
              <w:t>Nav.</w:t>
            </w:r>
          </w:p>
        </w:tc>
      </w:tr>
      <w:tr w:rsidR="001973C6" w:rsidTr="00AB2122">
        <w:trPr>
          <w:trHeight w:val="476"/>
        </w:trPr>
        <w:tc>
          <w:tcPr>
            <w:tcW w:w="5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3C6" w:rsidRDefault="001973C6" w:rsidP="006B7C52">
            <w:pPr>
              <w:pStyle w:val="naiskr"/>
              <w:spacing w:before="0" w:after="0"/>
              <w:jc w:val="center"/>
            </w:pPr>
            <w:r>
              <w:t>4.</w:t>
            </w:r>
          </w:p>
        </w:tc>
        <w:tc>
          <w:tcPr>
            <w:tcW w:w="248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3C6" w:rsidRDefault="001973C6" w:rsidP="006B7C52">
            <w:pPr>
              <w:pStyle w:val="naiskr"/>
              <w:spacing w:before="0" w:after="0"/>
            </w:pPr>
            <w:r>
              <w:t>Cita informācija</w:t>
            </w:r>
          </w:p>
        </w:tc>
        <w:tc>
          <w:tcPr>
            <w:tcW w:w="632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3C6" w:rsidRPr="00DC3614" w:rsidRDefault="001973C6" w:rsidP="00DC3614">
            <w:pPr>
              <w:spacing w:after="120" w:line="240" w:lineRule="auto"/>
              <w:ind w:hanging="45"/>
              <w:jc w:val="both"/>
              <w:rPr>
                <w:rFonts w:ascii="Times New Roman" w:hAnsi="Times New Roman"/>
                <w:sz w:val="24"/>
                <w:szCs w:val="24"/>
              </w:rPr>
            </w:pPr>
            <w:r w:rsidRPr="00DC3614">
              <w:rPr>
                <w:rFonts w:ascii="Times New Roman" w:hAnsi="Times New Roman"/>
                <w:sz w:val="24"/>
                <w:szCs w:val="24"/>
              </w:rPr>
              <w:t>Nav.</w:t>
            </w:r>
          </w:p>
        </w:tc>
      </w:tr>
    </w:tbl>
    <w:p w:rsidR="001973C6" w:rsidRDefault="001973C6" w:rsidP="00B73077">
      <w:pPr>
        <w:ind w:left="-360"/>
      </w:pPr>
    </w:p>
    <w:tbl>
      <w:tblPr>
        <w:tblW w:w="9641" w:type="dxa"/>
        <w:jc w:val="center"/>
        <w:tblCellMar>
          <w:left w:w="10" w:type="dxa"/>
          <w:right w:w="10" w:type="dxa"/>
        </w:tblCellMar>
        <w:tblLook w:val="0000"/>
      </w:tblPr>
      <w:tblGrid>
        <w:gridCol w:w="6"/>
        <w:gridCol w:w="2974"/>
        <w:gridCol w:w="1323"/>
        <w:gridCol w:w="1323"/>
        <w:gridCol w:w="1338"/>
        <w:gridCol w:w="1338"/>
        <w:gridCol w:w="1339"/>
      </w:tblGrid>
      <w:tr w:rsidR="001973C6" w:rsidTr="00A76D15">
        <w:trPr>
          <w:trHeight w:val="556"/>
          <w:jc w:val="center"/>
        </w:trPr>
        <w:tc>
          <w:tcPr>
            <w:tcW w:w="964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3C6" w:rsidRDefault="001973C6" w:rsidP="006B7C52">
            <w:pPr>
              <w:pStyle w:val="naisnod"/>
              <w:spacing w:before="0" w:after="0"/>
            </w:pPr>
            <w:r>
              <w:t>III. Tiesību akta projekta ietekme uz valsts budžetu un pašvaldību budžetiem</w:t>
            </w:r>
          </w:p>
        </w:tc>
      </w:tr>
      <w:tr w:rsidR="001973C6" w:rsidTr="00A76D15">
        <w:trPr>
          <w:jc w:val="center"/>
        </w:trPr>
        <w:tc>
          <w:tcPr>
            <w:tcW w:w="3039"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3C6" w:rsidRDefault="001973C6" w:rsidP="006B7C52">
            <w:pPr>
              <w:pStyle w:val="naisf"/>
              <w:spacing w:before="0" w:after="0"/>
              <w:ind w:firstLine="0"/>
              <w:jc w:val="center"/>
              <w:rPr>
                <w:b/>
              </w:rPr>
            </w:pPr>
            <w:r>
              <w:rPr>
                <w:b/>
              </w:rPr>
              <w:t>Rādītāji</w:t>
            </w:r>
          </w:p>
        </w:tc>
        <w:tc>
          <w:tcPr>
            <w:tcW w:w="258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3C6" w:rsidRDefault="001973C6" w:rsidP="006B7C52">
            <w:pPr>
              <w:pStyle w:val="naisf"/>
              <w:spacing w:before="0" w:after="0"/>
              <w:ind w:firstLine="0"/>
              <w:jc w:val="center"/>
              <w:rPr>
                <w:b/>
              </w:rPr>
            </w:pPr>
            <w:r>
              <w:rPr>
                <w:b/>
              </w:rPr>
              <w:t>2015. gads</w:t>
            </w:r>
          </w:p>
        </w:tc>
        <w:tc>
          <w:tcPr>
            <w:tcW w:w="40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3C6" w:rsidRDefault="001973C6" w:rsidP="006B7C52">
            <w:pPr>
              <w:pStyle w:val="naisf"/>
              <w:spacing w:before="0" w:after="0"/>
              <w:ind w:firstLine="0"/>
              <w:jc w:val="center"/>
            </w:pPr>
            <w:r>
              <w:t>Turpmākie trīs gadi (</w:t>
            </w:r>
            <w:r w:rsidRPr="00ED2C7A">
              <w:t>tūkst.</w:t>
            </w:r>
            <w:r>
              <w:t xml:space="preserve"> euro)</w:t>
            </w:r>
          </w:p>
        </w:tc>
      </w:tr>
      <w:tr w:rsidR="001973C6" w:rsidTr="00A76D15">
        <w:trPr>
          <w:jc w:val="center"/>
        </w:trPr>
        <w:tc>
          <w:tcPr>
            <w:tcW w:w="303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3C6" w:rsidRDefault="001973C6" w:rsidP="006B7C52">
            <w:pPr>
              <w:pStyle w:val="naisf"/>
              <w:spacing w:before="0" w:after="0"/>
              <w:ind w:firstLine="0"/>
              <w:jc w:val="center"/>
              <w:rPr>
                <w:b/>
                <w:i/>
              </w:rPr>
            </w:pPr>
          </w:p>
        </w:tc>
        <w:tc>
          <w:tcPr>
            <w:tcW w:w="25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3C6" w:rsidRDefault="001973C6" w:rsidP="006B7C52">
            <w:pPr>
              <w:pStyle w:val="naisf"/>
              <w:spacing w:before="0" w:after="0"/>
              <w:ind w:firstLine="0"/>
              <w:jc w:val="center"/>
              <w:rPr>
                <w:b/>
                <w:i/>
              </w:rPr>
            </w:pP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3C6" w:rsidRDefault="001973C6" w:rsidP="006B7C52">
            <w:pPr>
              <w:pStyle w:val="naisf"/>
              <w:spacing w:before="0" w:after="0"/>
              <w:ind w:firstLine="0"/>
              <w:jc w:val="center"/>
            </w:pPr>
            <w:r>
              <w:rPr>
                <w:b/>
                <w:bCs/>
              </w:rPr>
              <w:t>2016</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3C6" w:rsidRDefault="001973C6" w:rsidP="006B7C52">
            <w:pPr>
              <w:pStyle w:val="naisf"/>
              <w:spacing w:before="0" w:after="0"/>
              <w:ind w:firstLine="0"/>
              <w:jc w:val="center"/>
            </w:pPr>
            <w:r>
              <w:rPr>
                <w:b/>
                <w:bCs/>
              </w:rPr>
              <w:t>2017</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3C6" w:rsidRDefault="001973C6" w:rsidP="006B7C52">
            <w:pPr>
              <w:pStyle w:val="naisf"/>
              <w:spacing w:before="0" w:after="0"/>
              <w:ind w:firstLine="0"/>
              <w:jc w:val="center"/>
            </w:pPr>
            <w:r>
              <w:rPr>
                <w:b/>
                <w:bCs/>
              </w:rPr>
              <w:t>2018</w:t>
            </w:r>
          </w:p>
        </w:tc>
      </w:tr>
      <w:tr w:rsidR="001973C6" w:rsidRPr="00A76D15" w:rsidTr="00A76D15">
        <w:trPr>
          <w:jc w:val="center"/>
        </w:trPr>
        <w:tc>
          <w:tcPr>
            <w:tcW w:w="303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3C6" w:rsidRPr="00A76D15" w:rsidRDefault="001973C6" w:rsidP="006B7C52">
            <w:pPr>
              <w:pStyle w:val="naisf"/>
              <w:spacing w:before="0" w:after="0"/>
              <w:ind w:firstLine="0"/>
              <w:jc w:val="center"/>
              <w:rPr>
                <w:b/>
                <w:i/>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3C6" w:rsidRPr="00A76D15" w:rsidRDefault="001973C6" w:rsidP="006B7C52">
            <w:pPr>
              <w:pStyle w:val="naisf"/>
              <w:spacing w:before="0" w:after="0"/>
              <w:ind w:firstLine="0"/>
              <w:jc w:val="center"/>
            </w:pPr>
            <w:r w:rsidRPr="00A76D15">
              <w:t>Saskaņā ar valsts budžetu kārtējam gadam</w:t>
            </w: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3C6" w:rsidRPr="00A76D15" w:rsidRDefault="001973C6" w:rsidP="006B7C52">
            <w:pPr>
              <w:pStyle w:val="naisf"/>
              <w:spacing w:before="0" w:after="0"/>
              <w:ind w:firstLine="0"/>
              <w:jc w:val="center"/>
            </w:pPr>
            <w:r w:rsidRPr="00A76D15">
              <w:t>Izmaiņas kārtējā gadā, salīdzinot ar budžetu kārtējam gadam</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3C6" w:rsidRPr="00A76D15" w:rsidRDefault="001973C6" w:rsidP="006B7C52">
            <w:pPr>
              <w:pStyle w:val="naisf"/>
              <w:spacing w:before="0" w:after="0"/>
              <w:ind w:firstLine="0"/>
              <w:jc w:val="center"/>
            </w:pPr>
            <w:r w:rsidRPr="00A76D15">
              <w:t>Izmaiņas, salīdzinot ar kārtējo 2015.gadu</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3C6" w:rsidRPr="00A76D15" w:rsidRDefault="001973C6" w:rsidP="006B7C52">
            <w:pPr>
              <w:pStyle w:val="naisf"/>
              <w:spacing w:before="0" w:after="0"/>
              <w:ind w:firstLine="0"/>
              <w:jc w:val="center"/>
            </w:pPr>
            <w:r w:rsidRPr="00A76D15">
              <w:t>Izmaiņas, salīdzinot ar kārtējo 2015.gadu</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3C6" w:rsidRPr="00A76D15" w:rsidRDefault="001973C6" w:rsidP="006B7C52">
            <w:pPr>
              <w:pStyle w:val="naisf"/>
              <w:spacing w:before="0" w:after="0"/>
              <w:ind w:firstLine="0"/>
              <w:jc w:val="center"/>
            </w:pPr>
            <w:r w:rsidRPr="00A76D15">
              <w:t>Izmaiņas, salīdzinot ar kārtējo 2015.gadu</w:t>
            </w:r>
          </w:p>
        </w:tc>
      </w:tr>
      <w:tr w:rsidR="001973C6" w:rsidRPr="00A76D15" w:rsidTr="00A76D15">
        <w:trPr>
          <w:jc w:val="center"/>
        </w:trPr>
        <w:tc>
          <w:tcPr>
            <w:tcW w:w="3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3C6" w:rsidRPr="00A76D15" w:rsidRDefault="001973C6" w:rsidP="006B7C52">
            <w:pPr>
              <w:pStyle w:val="naisf"/>
              <w:spacing w:before="0" w:after="0"/>
              <w:ind w:firstLine="0"/>
              <w:jc w:val="center"/>
              <w:rPr>
                <w:bCs/>
              </w:rPr>
            </w:pPr>
            <w:r w:rsidRPr="00A76D15">
              <w:rPr>
                <w:bCs/>
              </w:rPr>
              <w:t>1</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3C6" w:rsidRPr="00A76D15" w:rsidRDefault="001973C6" w:rsidP="006B7C52">
            <w:pPr>
              <w:pStyle w:val="naisf"/>
              <w:spacing w:before="0" w:after="0"/>
              <w:ind w:firstLine="0"/>
              <w:jc w:val="center"/>
              <w:rPr>
                <w:bCs/>
              </w:rPr>
            </w:pPr>
            <w:r w:rsidRPr="00A76D15">
              <w:rPr>
                <w:bCs/>
              </w:rPr>
              <w:t>2</w:t>
            </w: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3C6" w:rsidRPr="00A76D15" w:rsidRDefault="001973C6" w:rsidP="006B7C52">
            <w:pPr>
              <w:pStyle w:val="naisf"/>
              <w:spacing w:before="0" w:after="0"/>
              <w:ind w:firstLine="0"/>
              <w:jc w:val="center"/>
              <w:rPr>
                <w:bCs/>
              </w:rPr>
            </w:pPr>
            <w:r w:rsidRPr="00A76D15">
              <w:rPr>
                <w:bCs/>
              </w:rPr>
              <w:t>3</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3C6" w:rsidRPr="00A76D15" w:rsidRDefault="001973C6" w:rsidP="006B7C52">
            <w:pPr>
              <w:pStyle w:val="naisf"/>
              <w:spacing w:before="0" w:after="0"/>
              <w:ind w:firstLine="0"/>
              <w:jc w:val="center"/>
              <w:rPr>
                <w:bCs/>
              </w:rPr>
            </w:pPr>
            <w:r w:rsidRPr="00A76D15">
              <w:rPr>
                <w:bCs/>
              </w:rPr>
              <w:t>4</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3C6" w:rsidRPr="00A76D15" w:rsidRDefault="001973C6" w:rsidP="006B7C52">
            <w:pPr>
              <w:pStyle w:val="naisf"/>
              <w:spacing w:before="0" w:after="0"/>
              <w:ind w:firstLine="0"/>
              <w:jc w:val="center"/>
              <w:rPr>
                <w:bCs/>
              </w:rPr>
            </w:pPr>
            <w:r w:rsidRPr="00A76D15">
              <w:rPr>
                <w:bCs/>
              </w:rPr>
              <w:t>5</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3C6" w:rsidRPr="00A76D15" w:rsidRDefault="001973C6" w:rsidP="006B7C52">
            <w:pPr>
              <w:pStyle w:val="naisf"/>
              <w:spacing w:before="0" w:after="0"/>
              <w:ind w:firstLine="0"/>
              <w:jc w:val="center"/>
              <w:rPr>
                <w:bCs/>
              </w:rPr>
            </w:pPr>
            <w:r w:rsidRPr="00A76D15">
              <w:rPr>
                <w:bCs/>
              </w:rPr>
              <w:t>6</w:t>
            </w:r>
          </w:p>
        </w:tc>
      </w:tr>
      <w:tr w:rsidR="001973C6" w:rsidRPr="00A76D15" w:rsidTr="00A76D15">
        <w:trPr>
          <w:jc w:val="center"/>
        </w:trPr>
        <w:tc>
          <w:tcPr>
            <w:tcW w:w="3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r w:rsidRPr="00A76D15">
              <w:t>1. Budžeta ieņēmumi:</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r>
              <w:t>Nav precīzi aprēķināms</w:t>
            </w: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r>
              <w:t>Nav precīzi aprēķināms</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r>
              <w:t>Nav precīzi aprēķināms</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r>
              <w:t>Nav precīzi aprēķināms</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r>
              <w:t>Nav precīzi aprēķināms</w:t>
            </w:r>
          </w:p>
        </w:tc>
      </w:tr>
      <w:tr w:rsidR="001973C6" w:rsidRPr="00A76D15" w:rsidTr="00A76D15">
        <w:trPr>
          <w:jc w:val="center"/>
        </w:trPr>
        <w:tc>
          <w:tcPr>
            <w:tcW w:w="3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r w:rsidRPr="00A76D15">
              <w:t>1.1. valsts pamatbudžets, tai skaitā ieņēmumi no maksas pakalpojumiem un citi pašu ieņēmumi</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r>
      <w:tr w:rsidR="001973C6" w:rsidRPr="00A76D15" w:rsidTr="00A76D15">
        <w:trPr>
          <w:jc w:val="center"/>
        </w:trPr>
        <w:tc>
          <w:tcPr>
            <w:tcW w:w="3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r w:rsidRPr="00A76D15">
              <w:t>1.2. valsts speciālais budžets</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r>
      <w:tr w:rsidR="001973C6" w:rsidRPr="00A76D15" w:rsidTr="00A76D15">
        <w:trPr>
          <w:jc w:val="center"/>
        </w:trPr>
        <w:tc>
          <w:tcPr>
            <w:tcW w:w="3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r w:rsidRPr="00A76D15">
              <w:t>1.3. pašvaldību budžets</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r>
      <w:tr w:rsidR="001973C6" w:rsidRPr="00A76D15" w:rsidTr="00A76D15">
        <w:trPr>
          <w:jc w:val="center"/>
        </w:trPr>
        <w:tc>
          <w:tcPr>
            <w:tcW w:w="3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jc w:val="both"/>
              <w:rPr>
                <w:rFonts w:ascii="Times New Roman" w:hAnsi="Times New Roman"/>
                <w:sz w:val="24"/>
                <w:szCs w:val="24"/>
              </w:rPr>
            </w:pPr>
            <w:r w:rsidRPr="00A76D15">
              <w:rPr>
                <w:rFonts w:ascii="Times New Roman" w:hAnsi="Times New Roman"/>
                <w:sz w:val="24"/>
                <w:szCs w:val="24"/>
              </w:rPr>
              <w:t>2. Budžeta izdevumi:</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r>
              <w:t>Nav precīzi aprēķināms</w:t>
            </w: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r>
              <w:t>Nav precīzi aprēķināms</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r>
              <w:t>Nav precīzi aprēķināms</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r>
              <w:t>Nav precīzi aprēķināms</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r>
              <w:t>Nav precīzi aprēķināms</w:t>
            </w:r>
          </w:p>
        </w:tc>
      </w:tr>
      <w:tr w:rsidR="001973C6" w:rsidRPr="00A76D15" w:rsidTr="00A76D15">
        <w:trPr>
          <w:trHeight w:val="645"/>
          <w:jc w:val="center"/>
        </w:trPr>
        <w:tc>
          <w:tcPr>
            <w:tcW w:w="3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jc w:val="both"/>
              <w:rPr>
                <w:rFonts w:ascii="Times New Roman" w:hAnsi="Times New Roman"/>
                <w:sz w:val="24"/>
                <w:szCs w:val="24"/>
              </w:rPr>
            </w:pPr>
            <w:r w:rsidRPr="00A76D15">
              <w:rPr>
                <w:rFonts w:ascii="Times New Roman" w:hAnsi="Times New Roman"/>
                <w:sz w:val="24"/>
                <w:szCs w:val="24"/>
              </w:rPr>
              <w:t>2.1. valsts pamatbudžets</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r>
      <w:tr w:rsidR="001973C6" w:rsidRPr="00A76D15" w:rsidTr="00A76D15">
        <w:trPr>
          <w:jc w:val="center"/>
        </w:trPr>
        <w:tc>
          <w:tcPr>
            <w:tcW w:w="3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jc w:val="both"/>
              <w:rPr>
                <w:rFonts w:ascii="Times New Roman" w:hAnsi="Times New Roman"/>
                <w:sz w:val="24"/>
                <w:szCs w:val="24"/>
              </w:rPr>
            </w:pPr>
            <w:r w:rsidRPr="00A76D15">
              <w:rPr>
                <w:rFonts w:ascii="Times New Roman" w:hAnsi="Times New Roman"/>
                <w:sz w:val="24"/>
                <w:szCs w:val="24"/>
              </w:rPr>
              <w:t>2.2. valsts speciālais budžets</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r>
      <w:tr w:rsidR="001973C6" w:rsidRPr="00A76D15" w:rsidTr="00A76D15">
        <w:trPr>
          <w:jc w:val="center"/>
        </w:trPr>
        <w:tc>
          <w:tcPr>
            <w:tcW w:w="3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jc w:val="both"/>
              <w:rPr>
                <w:rFonts w:ascii="Times New Roman" w:hAnsi="Times New Roman"/>
                <w:sz w:val="24"/>
                <w:szCs w:val="24"/>
              </w:rPr>
            </w:pPr>
            <w:r w:rsidRPr="00A76D15">
              <w:rPr>
                <w:rFonts w:ascii="Times New Roman" w:hAnsi="Times New Roman"/>
                <w:sz w:val="24"/>
                <w:szCs w:val="24"/>
              </w:rPr>
              <w:t xml:space="preserve">2.3. pašvaldību budžets </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r>
      <w:tr w:rsidR="001973C6" w:rsidRPr="00A76D15" w:rsidTr="00A76D15">
        <w:trPr>
          <w:jc w:val="center"/>
        </w:trPr>
        <w:tc>
          <w:tcPr>
            <w:tcW w:w="3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jc w:val="both"/>
              <w:rPr>
                <w:rFonts w:ascii="Times New Roman" w:hAnsi="Times New Roman"/>
                <w:sz w:val="24"/>
                <w:szCs w:val="24"/>
              </w:rPr>
            </w:pPr>
            <w:r w:rsidRPr="00A76D15">
              <w:rPr>
                <w:rFonts w:ascii="Times New Roman" w:hAnsi="Times New Roman"/>
                <w:sz w:val="24"/>
                <w:szCs w:val="24"/>
              </w:rPr>
              <w:t>3. Finansiālā ietekme:</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3C6" w:rsidRPr="00A76D15" w:rsidRDefault="001973C6" w:rsidP="006B7C52">
            <w:pPr>
              <w:pStyle w:val="naisf"/>
              <w:spacing w:before="0" w:after="0"/>
              <w:ind w:firstLine="0"/>
              <w:jc w:val="left"/>
            </w:pPr>
            <w:r>
              <w:t>Nav precīzi aprēķināms</w:t>
            </w: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r>
              <w:t>Nav precīzi aprēķināms</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r>
              <w:t>Nav precīzi aprēķināms</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r>
              <w:t>Nav precīzi aprēķināms</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r>
              <w:t>Nav precīzi aprēķināms</w:t>
            </w:r>
          </w:p>
        </w:tc>
      </w:tr>
      <w:tr w:rsidR="001973C6" w:rsidRPr="00A76D15" w:rsidTr="00A76D15">
        <w:trPr>
          <w:jc w:val="center"/>
        </w:trPr>
        <w:tc>
          <w:tcPr>
            <w:tcW w:w="3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jc w:val="both"/>
              <w:rPr>
                <w:rFonts w:ascii="Times New Roman" w:hAnsi="Times New Roman"/>
                <w:sz w:val="24"/>
                <w:szCs w:val="24"/>
              </w:rPr>
            </w:pPr>
            <w:r w:rsidRPr="00A76D15">
              <w:rPr>
                <w:rFonts w:ascii="Times New Roman" w:hAnsi="Times New Roman"/>
                <w:sz w:val="24"/>
                <w:szCs w:val="24"/>
              </w:rPr>
              <w:t>3.1. valsts pamatbudžets</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r>
      <w:tr w:rsidR="001973C6" w:rsidRPr="00A76D15" w:rsidTr="00A76D15">
        <w:trPr>
          <w:jc w:val="center"/>
        </w:trPr>
        <w:tc>
          <w:tcPr>
            <w:tcW w:w="3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jc w:val="both"/>
              <w:rPr>
                <w:rFonts w:ascii="Times New Roman" w:hAnsi="Times New Roman"/>
                <w:sz w:val="24"/>
                <w:szCs w:val="24"/>
              </w:rPr>
            </w:pPr>
            <w:r w:rsidRPr="00A76D15">
              <w:rPr>
                <w:rFonts w:ascii="Times New Roman" w:hAnsi="Times New Roman"/>
                <w:sz w:val="24"/>
                <w:szCs w:val="24"/>
              </w:rPr>
              <w:t>3.2. speciālais budžets</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r>
      <w:tr w:rsidR="001973C6" w:rsidRPr="00A76D15" w:rsidTr="00A76D15">
        <w:trPr>
          <w:jc w:val="center"/>
        </w:trPr>
        <w:tc>
          <w:tcPr>
            <w:tcW w:w="3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jc w:val="both"/>
              <w:rPr>
                <w:rFonts w:ascii="Times New Roman" w:hAnsi="Times New Roman"/>
                <w:sz w:val="24"/>
                <w:szCs w:val="24"/>
              </w:rPr>
            </w:pPr>
            <w:r w:rsidRPr="00A76D15">
              <w:rPr>
                <w:rFonts w:ascii="Times New Roman" w:hAnsi="Times New Roman"/>
                <w:sz w:val="24"/>
                <w:szCs w:val="24"/>
              </w:rPr>
              <w:t xml:space="preserve">3.3. pašvaldību budžets </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r>
      <w:tr w:rsidR="001973C6" w:rsidRPr="00A76D15" w:rsidTr="00A76D15">
        <w:trPr>
          <w:jc w:val="center"/>
        </w:trPr>
        <w:tc>
          <w:tcPr>
            <w:tcW w:w="3039"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jc w:val="both"/>
              <w:rPr>
                <w:rFonts w:ascii="Times New Roman" w:hAnsi="Times New Roman"/>
                <w:sz w:val="24"/>
                <w:szCs w:val="24"/>
              </w:rPr>
            </w:pPr>
            <w:r w:rsidRPr="00A76D15">
              <w:rPr>
                <w:rFonts w:ascii="Times New Roman" w:hAnsi="Times New Roman"/>
                <w:sz w:val="24"/>
                <w:szCs w:val="24"/>
              </w:rPr>
              <w:t>4. Finanšu līdzekļi papildu izde</w:t>
            </w:r>
            <w:r w:rsidRPr="00A76D15">
              <w:rPr>
                <w:rFonts w:ascii="Times New Roman" w:hAnsi="Times New Roman"/>
                <w:sz w:val="24"/>
                <w:szCs w:val="24"/>
              </w:rPr>
              <w:softHyphen/>
              <w:t>vumu finansēšanai (kompensējošu izdevumu samazinājumu norāda ar "+" zīmi)</w:t>
            </w:r>
          </w:p>
        </w:tc>
        <w:tc>
          <w:tcPr>
            <w:tcW w:w="12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jc w:val="center"/>
            </w:pPr>
            <w:r>
              <w:t>Nav precīzi aprēķināms</w:t>
            </w: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r>
              <w:t>Nav precīzi aprēķināms</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r>
              <w:t>Nav precīzi aprēķināms</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r>
              <w:t>Nav precīzi aprēķināms</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r>
              <w:t>Nav precīzi aprēķināms</w:t>
            </w:r>
          </w:p>
        </w:tc>
      </w:tr>
      <w:tr w:rsidR="001973C6" w:rsidRPr="00A76D15" w:rsidTr="00A76D15">
        <w:trPr>
          <w:jc w:val="center"/>
        </w:trPr>
        <w:tc>
          <w:tcPr>
            <w:tcW w:w="303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jc w:val="both"/>
              <w:rPr>
                <w:rFonts w:ascii="Times New Roman" w:hAnsi="Times New Roman"/>
                <w:sz w:val="24"/>
                <w:szCs w:val="24"/>
              </w:rPr>
            </w:pPr>
          </w:p>
        </w:tc>
        <w:tc>
          <w:tcPr>
            <w:tcW w:w="12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jc w:val="center"/>
              <w:rPr>
                <w:i/>
              </w:rPr>
            </w:pP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r>
      <w:tr w:rsidR="001973C6" w:rsidRPr="00A76D15" w:rsidTr="00A76D15">
        <w:trPr>
          <w:jc w:val="center"/>
        </w:trPr>
        <w:tc>
          <w:tcPr>
            <w:tcW w:w="303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jc w:val="both"/>
              <w:rPr>
                <w:rFonts w:ascii="Times New Roman" w:hAnsi="Times New Roman"/>
                <w:sz w:val="24"/>
                <w:szCs w:val="24"/>
              </w:rPr>
            </w:pPr>
          </w:p>
        </w:tc>
        <w:tc>
          <w:tcPr>
            <w:tcW w:w="12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jc w:val="center"/>
              <w:rPr>
                <w:i/>
              </w:rPr>
            </w:pP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r>
      <w:tr w:rsidR="001973C6" w:rsidRPr="00A76D15" w:rsidTr="00A76D15">
        <w:trPr>
          <w:jc w:val="center"/>
        </w:trPr>
        <w:tc>
          <w:tcPr>
            <w:tcW w:w="3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jc w:val="both"/>
              <w:rPr>
                <w:rFonts w:ascii="Times New Roman" w:hAnsi="Times New Roman"/>
                <w:sz w:val="24"/>
                <w:szCs w:val="24"/>
              </w:rPr>
            </w:pPr>
            <w:r w:rsidRPr="00A76D15">
              <w:rPr>
                <w:rFonts w:ascii="Times New Roman" w:hAnsi="Times New Roman"/>
                <w:sz w:val="24"/>
                <w:szCs w:val="24"/>
              </w:rPr>
              <w:t>5. Precizēta finansiālā ietekme:</w:t>
            </w:r>
          </w:p>
        </w:tc>
        <w:tc>
          <w:tcPr>
            <w:tcW w:w="12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jc w:val="center"/>
            </w:pPr>
            <w:r>
              <w:t>Nav precīzi aprēķināms</w:t>
            </w: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r>
              <w:t>Nav precīzi aprēķināms</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r>
              <w:t>Nav precīzi aprēķināms</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r>
              <w:t>Nav precīzi aprēķināms</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r>
              <w:t>Nav precīzi aprēķināms</w:t>
            </w:r>
          </w:p>
        </w:tc>
      </w:tr>
      <w:tr w:rsidR="001973C6" w:rsidRPr="00A76D15" w:rsidTr="00A76D15">
        <w:trPr>
          <w:jc w:val="center"/>
        </w:trPr>
        <w:tc>
          <w:tcPr>
            <w:tcW w:w="3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jc w:val="both"/>
              <w:rPr>
                <w:rFonts w:ascii="Times New Roman" w:hAnsi="Times New Roman"/>
                <w:sz w:val="24"/>
                <w:szCs w:val="24"/>
              </w:rPr>
            </w:pPr>
            <w:r w:rsidRPr="00A76D15">
              <w:rPr>
                <w:rFonts w:ascii="Times New Roman" w:hAnsi="Times New Roman"/>
                <w:sz w:val="24"/>
                <w:szCs w:val="24"/>
              </w:rPr>
              <w:t>5.1. valsts pamatbudžets</w:t>
            </w:r>
          </w:p>
        </w:tc>
        <w:tc>
          <w:tcPr>
            <w:tcW w:w="12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jc w:val="center"/>
              <w:rPr>
                <w:i/>
              </w:rPr>
            </w:pP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r>
      <w:tr w:rsidR="001973C6" w:rsidRPr="00A76D15" w:rsidTr="00A76D15">
        <w:trPr>
          <w:jc w:val="center"/>
        </w:trPr>
        <w:tc>
          <w:tcPr>
            <w:tcW w:w="3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jc w:val="both"/>
              <w:rPr>
                <w:rFonts w:ascii="Times New Roman" w:hAnsi="Times New Roman"/>
                <w:sz w:val="24"/>
                <w:szCs w:val="24"/>
              </w:rPr>
            </w:pPr>
            <w:r w:rsidRPr="00A76D15">
              <w:rPr>
                <w:rFonts w:ascii="Times New Roman" w:hAnsi="Times New Roman"/>
                <w:sz w:val="24"/>
                <w:szCs w:val="24"/>
              </w:rPr>
              <w:t>5.2. speciālais budžets</w:t>
            </w:r>
          </w:p>
        </w:tc>
        <w:tc>
          <w:tcPr>
            <w:tcW w:w="12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jc w:val="center"/>
              <w:rPr>
                <w:i/>
              </w:rPr>
            </w:pP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r>
      <w:tr w:rsidR="001973C6" w:rsidRPr="00A76D15" w:rsidTr="00A76D15">
        <w:trPr>
          <w:jc w:val="center"/>
        </w:trPr>
        <w:tc>
          <w:tcPr>
            <w:tcW w:w="3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jc w:val="both"/>
              <w:rPr>
                <w:rFonts w:ascii="Times New Roman" w:hAnsi="Times New Roman"/>
                <w:sz w:val="24"/>
                <w:szCs w:val="24"/>
              </w:rPr>
            </w:pPr>
            <w:r w:rsidRPr="00A76D15">
              <w:rPr>
                <w:rFonts w:ascii="Times New Roman" w:hAnsi="Times New Roman"/>
                <w:sz w:val="24"/>
                <w:szCs w:val="24"/>
              </w:rPr>
              <w:t xml:space="preserve">5.3. pašvaldību budžets </w:t>
            </w:r>
          </w:p>
        </w:tc>
        <w:tc>
          <w:tcPr>
            <w:tcW w:w="12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jc w:val="center"/>
              <w:rPr>
                <w:i/>
              </w:rPr>
            </w:pP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rPr>
                <w:b/>
                <w:i/>
              </w:rPr>
            </w:pP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pPr>
          </w:p>
        </w:tc>
      </w:tr>
      <w:tr w:rsidR="001973C6" w:rsidRPr="00A76D15" w:rsidTr="00A76D15">
        <w:trPr>
          <w:jc w:val="center"/>
        </w:trPr>
        <w:tc>
          <w:tcPr>
            <w:tcW w:w="3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jc w:val="both"/>
              <w:rPr>
                <w:rFonts w:ascii="Times New Roman" w:hAnsi="Times New Roman"/>
                <w:sz w:val="24"/>
                <w:szCs w:val="24"/>
              </w:rPr>
            </w:pPr>
            <w:r w:rsidRPr="00A76D15">
              <w:rPr>
                <w:rFonts w:ascii="Times New Roman" w:hAnsi="Times New Roman"/>
                <w:sz w:val="24"/>
                <w:szCs w:val="24"/>
              </w:rPr>
              <w:t>6. Detalizēts ieņēmumu un izdevu</w:t>
            </w:r>
            <w:r w:rsidRPr="00A76D15">
              <w:rPr>
                <w:rFonts w:ascii="Times New Roman" w:hAnsi="Times New Roman"/>
                <w:sz w:val="24"/>
                <w:szCs w:val="24"/>
              </w:rPr>
              <w:softHyphen/>
              <w:t>mu aprēķins (ja nepieciešams, detalizētu ieņēmumu un izdevumu aprēķinu var pievienot anotācijas pielikumā):</w:t>
            </w:r>
          </w:p>
        </w:tc>
        <w:tc>
          <w:tcPr>
            <w:tcW w:w="6602" w:type="dxa"/>
            <w:gridSpan w:val="5"/>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0"/>
              <w:jc w:val="left"/>
            </w:pPr>
            <w:r>
              <w:t>Nav precīzi aprēķināms</w:t>
            </w:r>
          </w:p>
        </w:tc>
      </w:tr>
      <w:tr w:rsidR="001973C6" w:rsidRPr="00A76D15" w:rsidTr="00A76D15">
        <w:trPr>
          <w:jc w:val="center"/>
        </w:trPr>
        <w:tc>
          <w:tcPr>
            <w:tcW w:w="3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jc w:val="both"/>
              <w:rPr>
                <w:rFonts w:ascii="Times New Roman" w:hAnsi="Times New Roman"/>
                <w:sz w:val="24"/>
                <w:szCs w:val="24"/>
              </w:rPr>
            </w:pPr>
            <w:r w:rsidRPr="00A76D15">
              <w:rPr>
                <w:rFonts w:ascii="Times New Roman" w:hAnsi="Times New Roman"/>
                <w:sz w:val="24"/>
                <w:szCs w:val="24"/>
              </w:rPr>
              <w:t>6.1. detalizēts ieņēmumu aprēķins</w:t>
            </w:r>
          </w:p>
        </w:tc>
        <w:tc>
          <w:tcPr>
            <w:tcW w:w="6602" w:type="dxa"/>
            <w:gridSpan w:val="5"/>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399"/>
              <w:rPr>
                <w:b/>
                <w:i/>
              </w:rPr>
            </w:pPr>
          </w:p>
        </w:tc>
      </w:tr>
      <w:tr w:rsidR="001973C6" w:rsidRPr="00A76D15" w:rsidTr="00A76D15">
        <w:trPr>
          <w:jc w:val="center"/>
        </w:trPr>
        <w:tc>
          <w:tcPr>
            <w:tcW w:w="3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jc w:val="both"/>
              <w:rPr>
                <w:rFonts w:ascii="Times New Roman" w:hAnsi="Times New Roman"/>
                <w:sz w:val="24"/>
                <w:szCs w:val="24"/>
              </w:rPr>
            </w:pPr>
            <w:r w:rsidRPr="00A76D15">
              <w:rPr>
                <w:rFonts w:ascii="Times New Roman" w:hAnsi="Times New Roman"/>
                <w:sz w:val="24"/>
                <w:szCs w:val="24"/>
              </w:rPr>
              <w:t>6.2. detalizēts izdevumu aprēķins</w:t>
            </w:r>
          </w:p>
        </w:tc>
        <w:tc>
          <w:tcPr>
            <w:tcW w:w="6602" w:type="dxa"/>
            <w:gridSpan w:val="5"/>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pStyle w:val="naisf"/>
              <w:spacing w:before="0" w:after="0"/>
              <w:ind w:firstLine="356"/>
            </w:pPr>
          </w:p>
        </w:tc>
      </w:tr>
      <w:tr w:rsidR="001973C6" w:rsidRPr="00A76D15" w:rsidTr="00A76D15">
        <w:trPr>
          <w:gridBefore w:val="1"/>
          <w:trHeight w:val="490"/>
          <w:jc w:val="center"/>
        </w:trPr>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3C6" w:rsidRPr="00A76D15" w:rsidRDefault="001973C6" w:rsidP="006B7C52">
            <w:pPr>
              <w:jc w:val="both"/>
              <w:rPr>
                <w:rFonts w:ascii="Times New Roman" w:hAnsi="Times New Roman"/>
                <w:sz w:val="24"/>
                <w:szCs w:val="24"/>
              </w:rPr>
            </w:pPr>
            <w:r w:rsidRPr="00A76D15">
              <w:rPr>
                <w:rFonts w:ascii="Times New Roman" w:hAnsi="Times New Roman"/>
                <w:sz w:val="24"/>
                <w:szCs w:val="24"/>
              </w:rPr>
              <w:t>7. Cita informācija</w:t>
            </w:r>
          </w:p>
        </w:tc>
        <w:tc>
          <w:tcPr>
            <w:tcW w:w="660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3C6" w:rsidRDefault="001973C6" w:rsidP="0024304A">
            <w:pPr>
              <w:pStyle w:val="ListParagraph"/>
              <w:ind w:left="0"/>
              <w:jc w:val="both"/>
              <w:rPr>
                <w:color w:val="000000"/>
              </w:rPr>
            </w:pPr>
            <w:r>
              <w:rPr>
                <w:color w:val="000000"/>
              </w:rPr>
              <w:t>P</w:t>
            </w:r>
            <w:r w:rsidRPr="00AD7060">
              <w:rPr>
                <w:color w:val="000000"/>
              </w:rPr>
              <w:t xml:space="preserve">ēc </w:t>
            </w:r>
            <w:r>
              <w:rPr>
                <w:color w:val="000000"/>
              </w:rPr>
              <w:t>Ministru kabineta noteikumu</w:t>
            </w:r>
            <w:r w:rsidRPr="00AD7060">
              <w:rPr>
                <w:color w:val="000000"/>
              </w:rPr>
              <w:t xml:space="preserve"> pieņemšanas visām pašvaldībām būs jāveic aprēķini pēc vienas metodikas</w:t>
            </w:r>
            <w:r>
              <w:rPr>
                <w:color w:val="000000"/>
              </w:rPr>
              <w:t>,</w:t>
            </w:r>
            <w:r w:rsidRPr="00AD7060">
              <w:rPr>
                <w:color w:val="000000"/>
              </w:rPr>
              <w:t xml:space="preserve"> un tas var radīt pašvaldībām papildus izmaksas</w:t>
            </w:r>
            <w:r>
              <w:rPr>
                <w:color w:val="000000"/>
              </w:rPr>
              <w:t>.</w:t>
            </w:r>
            <w:r w:rsidRPr="00AD7060">
              <w:rPr>
                <w:color w:val="000000"/>
              </w:rPr>
              <w:t xml:space="preserve"> </w:t>
            </w:r>
          </w:p>
          <w:p w:rsidR="001973C6" w:rsidRDefault="001973C6" w:rsidP="0024304A">
            <w:pPr>
              <w:pStyle w:val="ListParagraph"/>
              <w:ind w:left="0"/>
              <w:jc w:val="both"/>
              <w:rPr>
                <w:color w:val="000000"/>
              </w:rPr>
            </w:pPr>
            <w:r>
              <w:rPr>
                <w:color w:val="000000"/>
              </w:rPr>
              <w:t>Ņemot vērā, ka atbilstoši noteikumu projektam izmaksas katrā pašvaldībā būs atšķirīgas, uz doto brīdi nav iespējams precīzi noteikt finansiālo ietekmi uz pašvaldību budžetiem.</w:t>
            </w:r>
          </w:p>
          <w:p w:rsidR="001973C6" w:rsidRPr="00A76D15" w:rsidRDefault="001973C6" w:rsidP="00D10CD6">
            <w:pPr>
              <w:pStyle w:val="ListParagraph"/>
              <w:ind w:left="0"/>
              <w:jc w:val="both"/>
              <w:rPr>
                <w:bCs/>
              </w:rPr>
            </w:pPr>
          </w:p>
        </w:tc>
      </w:tr>
    </w:tbl>
    <w:p w:rsidR="001973C6" w:rsidRDefault="001973C6" w:rsidP="00B73077">
      <w:pPr>
        <w:ind w:left="-360"/>
      </w:pPr>
    </w:p>
    <w:tbl>
      <w:tblPr>
        <w:tblW w:w="9498" w:type="dxa"/>
        <w:tblInd w:w="-289" w:type="dxa"/>
        <w:tblCellMar>
          <w:left w:w="10" w:type="dxa"/>
          <w:right w:w="10" w:type="dxa"/>
        </w:tblCellMar>
        <w:tblLook w:val="0000"/>
      </w:tblPr>
      <w:tblGrid>
        <w:gridCol w:w="568"/>
        <w:gridCol w:w="2410"/>
        <w:gridCol w:w="6520"/>
      </w:tblGrid>
      <w:tr w:rsidR="001973C6" w:rsidTr="003368B9">
        <w:trPr>
          <w:trHeight w:val="616"/>
        </w:trPr>
        <w:tc>
          <w:tcPr>
            <w:tcW w:w="9498"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3C6" w:rsidRDefault="001973C6" w:rsidP="006B7C52">
            <w:pPr>
              <w:pStyle w:val="naiskr"/>
              <w:spacing w:before="0" w:after="0"/>
              <w:ind w:firstLine="420"/>
              <w:jc w:val="center"/>
              <w:rPr>
                <w:b/>
              </w:rPr>
            </w:pPr>
          </w:p>
          <w:p w:rsidR="001973C6" w:rsidRDefault="001973C6" w:rsidP="006B7C52">
            <w:pPr>
              <w:pStyle w:val="naiskr"/>
              <w:spacing w:before="0" w:after="0"/>
              <w:ind w:firstLine="420"/>
              <w:jc w:val="center"/>
              <w:rPr>
                <w:b/>
              </w:rPr>
            </w:pPr>
            <w:r>
              <w:rPr>
                <w:b/>
              </w:rPr>
              <w:t>IV. Tiesību akta projekta ietekme uz spēkā esošo tiesību normu sistēmu</w:t>
            </w:r>
          </w:p>
        </w:tc>
      </w:tr>
      <w:tr w:rsidR="001973C6" w:rsidTr="003368B9">
        <w:trPr>
          <w:trHeight w:val="616"/>
        </w:trPr>
        <w:tc>
          <w:tcPr>
            <w:tcW w:w="5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3C6" w:rsidRDefault="001973C6" w:rsidP="006B7C52">
            <w:pPr>
              <w:pStyle w:val="naiskr"/>
              <w:spacing w:before="0" w:after="0"/>
              <w:jc w:val="center"/>
              <w:rPr>
                <w:color w:val="000000"/>
              </w:rPr>
            </w:pPr>
            <w:r>
              <w:rPr>
                <w:color w:val="000000"/>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3C6" w:rsidRDefault="001973C6" w:rsidP="006B7C52">
            <w:pPr>
              <w:pStyle w:val="naiskr"/>
              <w:spacing w:before="0" w:after="0"/>
              <w:rPr>
                <w:color w:val="000000"/>
              </w:rPr>
            </w:pPr>
            <w:r>
              <w:rPr>
                <w:color w:val="000000"/>
              </w:rPr>
              <w:t>Nepieciešamie saistītie tiesību aktu projekti</w:t>
            </w:r>
          </w:p>
        </w:tc>
        <w:tc>
          <w:tcPr>
            <w:tcW w:w="65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1973C6" w:rsidRPr="003E19DC" w:rsidRDefault="001973C6" w:rsidP="006B7C52">
            <w:pPr>
              <w:pStyle w:val="NormalWeb"/>
              <w:spacing w:before="0" w:beforeAutospacing="0" w:after="0" w:afterAutospacing="0"/>
              <w:ind w:left="58"/>
              <w:jc w:val="both"/>
              <w:rPr>
                <w:szCs w:val="24"/>
              </w:rPr>
            </w:pPr>
            <w:r>
              <w:rPr>
                <w:szCs w:val="24"/>
              </w:rPr>
              <w:t>Nav.</w:t>
            </w:r>
          </w:p>
        </w:tc>
      </w:tr>
      <w:tr w:rsidR="001973C6" w:rsidTr="003368B9">
        <w:trPr>
          <w:trHeight w:val="616"/>
        </w:trPr>
        <w:tc>
          <w:tcPr>
            <w:tcW w:w="5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3C6" w:rsidRDefault="001973C6" w:rsidP="006B7C52">
            <w:pPr>
              <w:pStyle w:val="naiskr"/>
              <w:spacing w:before="0" w:after="0"/>
              <w:jc w:val="center"/>
              <w:rPr>
                <w:color w:val="000000"/>
              </w:rPr>
            </w:pPr>
            <w:r>
              <w:rPr>
                <w:color w:val="000000"/>
              </w:rPr>
              <w:t>2.</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3C6" w:rsidRDefault="001973C6" w:rsidP="006B7C52">
            <w:pPr>
              <w:pStyle w:val="naiskr"/>
              <w:spacing w:before="0" w:after="0"/>
              <w:rPr>
                <w:color w:val="000000"/>
              </w:rPr>
            </w:pPr>
            <w:r>
              <w:rPr>
                <w:color w:val="000000"/>
              </w:rPr>
              <w:t>Atbildīgā institūcija</w:t>
            </w:r>
          </w:p>
        </w:tc>
        <w:tc>
          <w:tcPr>
            <w:tcW w:w="65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1973C6" w:rsidRPr="0024304A" w:rsidRDefault="001973C6" w:rsidP="0024304A">
            <w:pPr>
              <w:pStyle w:val="NormalWeb"/>
              <w:spacing w:before="0" w:beforeAutospacing="0" w:after="0" w:afterAutospacing="0"/>
              <w:ind w:left="58"/>
              <w:jc w:val="both"/>
              <w:rPr>
                <w:szCs w:val="24"/>
              </w:rPr>
            </w:pPr>
            <w:r w:rsidRPr="0024304A">
              <w:rPr>
                <w:szCs w:val="24"/>
              </w:rPr>
              <w:t>Vides aizsardzības un reģionālās attīstības ministrija</w:t>
            </w:r>
          </w:p>
        </w:tc>
      </w:tr>
      <w:tr w:rsidR="001973C6" w:rsidTr="003368B9">
        <w:trPr>
          <w:trHeight w:val="616"/>
        </w:trPr>
        <w:tc>
          <w:tcPr>
            <w:tcW w:w="5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3C6" w:rsidRDefault="001973C6" w:rsidP="006B7C52">
            <w:pPr>
              <w:pStyle w:val="naiskr"/>
              <w:spacing w:before="0" w:after="0"/>
              <w:jc w:val="center"/>
              <w:rPr>
                <w:color w:val="000000"/>
              </w:rPr>
            </w:pPr>
            <w:r>
              <w:rPr>
                <w:color w:val="000000"/>
              </w:rPr>
              <w:t>3.</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3C6" w:rsidRDefault="001973C6" w:rsidP="006B7C52">
            <w:pPr>
              <w:pStyle w:val="naiskr"/>
              <w:spacing w:before="0" w:after="0"/>
              <w:rPr>
                <w:color w:val="000000"/>
              </w:rPr>
            </w:pPr>
            <w:r>
              <w:rPr>
                <w:color w:val="000000"/>
              </w:rPr>
              <w:t>Cita informācija</w:t>
            </w:r>
          </w:p>
        </w:tc>
        <w:tc>
          <w:tcPr>
            <w:tcW w:w="65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1973C6" w:rsidRPr="0024304A" w:rsidRDefault="001973C6" w:rsidP="0024304A">
            <w:pPr>
              <w:pStyle w:val="NormalWeb"/>
              <w:spacing w:before="0" w:beforeAutospacing="0" w:after="0" w:afterAutospacing="0"/>
              <w:ind w:left="58"/>
              <w:jc w:val="both"/>
              <w:rPr>
                <w:szCs w:val="24"/>
              </w:rPr>
            </w:pPr>
            <w:r w:rsidRPr="0024304A">
              <w:rPr>
                <w:szCs w:val="24"/>
              </w:rPr>
              <w:t>Nav.</w:t>
            </w:r>
          </w:p>
        </w:tc>
      </w:tr>
    </w:tbl>
    <w:p w:rsidR="001973C6" w:rsidRDefault="001973C6" w:rsidP="00A76D15">
      <w:pPr>
        <w:ind w:left="-720"/>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6"/>
        <w:gridCol w:w="9611"/>
      </w:tblGrid>
      <w:tr w:rsidR="001973C6" w:rsidRPr="00A76D15" w:rsidTr="006B7C52">
        <w:tc>
          <w:tcPr>
            <w:tcW w:w="5000" w:type="pct"/>
            <w:gridSpan w:val="2"/>
            <w:tcBorders>
              <w:top w:val="outset" w:sz="6" w:space="0" w:color="414142"/>
              <w:bottom w:val="outset" w:sz="6" w:space="0" w:color="414142"/>
            </w:tcBorders>
            <w:shd w:val="clear" w:color="auto" w:fill="FFFFFF"/>
          </w:tcPr>
          <w:p w:rsidR="001973C6" w:rsidRPr="00A76D15" w:rsidRDefault="001973C6" w:rsidP="006B7C52">
            <w:pPr>
              <w:spacing w:after="120"/>
              <w:jc w:val="center"/>
              <w:rPr>
                <w:rFonts w:ascii="Times New Roman" w:hAnsi="Times New Roman"/>
                <w:sz w:val="24"/>
                <w:szCs w:val="24"/>
              </w:rPr>
            </w:pPr>
            <w:r w:rsidRPr="00A76D15">
              <w:rPr>
                <w:rFonts w:ascii="Times New Roman" w:hAnsi="Times New Roman"/>
                <w:b/>
                <w:bCs/>
                <w:sz w:val="24"/>
                <w:szCs w:val="24"/>
                <w:bdr w:val="none" w:sz="0" w:space="0" w:color="auto" w:frame="1"/>
              </w:rPr>
              <w:t>V. Tiesību akta projekta atbilstība Latvijas Republikas starptautiskajām saistībām</w:t>
            </w:r>
          </w:p>
        </w:tc>
      </w:tr>
      <w:tr w:rsidR="001973C6" w:rsidRPr="00A76D15" w:rsidTr="006B7C52">
        <w:trPr>
          <w:gridBefore w:val="1"/>
        </w:trPr>
        <w:tc>
          <w:tcPr>
            <w:tcW w:w="5000" w:type="pct"/>
            <w:tcBorders>
              <w:top w:val="outset" w:sz="6" w:space="0" w:color="414142"/>
              <w:bottom w:val="outset" w:sz="6" w:space="0" w:color="414142"/>
            </w:tcBorders>
            <w:shd w:val="clear" w:color="auto" w:fill="FFFFFF"/>
          </w:tcPr>
          <w:p w:rsidR="001973C6" w:rsidRPr="00A76D15" w:rsidRDefault="001973C6" w:rsidP="006B7C52">
            <w:pPr>
              <w:spacing w:after="120"/>
              <w:jc w:val="center"/>
              <w:rPr>
                <w:rFonts w:ascii="Times New Roman" w:hAnsi="Times New Roman"/>
                <w:sz w:val="24"/>
                <w:szCs w:val="24"/>
              </w:rPr>
            </w:pPr>
            <w:r w:rsidRPr="00A76D15">
              <w:rPr>
                <w:rFonts w:ascii="Times New Roman" w:hAnsi="Times New Roman"/>
                <w:i/>
                <w:iCs/>
                <w:sz w:val="24"/>
                <w:szCs w:val="24"/>
              </w:rPr>
              <w:t>Projekts šo jomu neskar</w:t>
            </w:r>
          </w:p>
        </w:tc>
      </w:tr>
    </w:tbl>
    <w:p w:rsidR="001973C6" w:rsidRDefault="001973C6" w:rsidP="00A76D15">
      <w:pPr>
        <w:ind w:left="-720"/>
      </w:pPr>
    </w:p>
    <w:tbl>
      <w:tblPr>
        <w:tblW w:w="9634" w:type="dxa"/>
        <w:jc w:val="center"/>
        <w:tblCellMar>
          <w:left w:w="10" w:type="dxa"/>
          <w:right w:w="10" w:type="dxa"/>
        </w:tblCellMar>
        <w:tblLook w:val="0000"/>
      </w:tblPr>
      <w:tblGrid>
        <w:gridCol w:w="5"/>
        <w:gridCol w:w="498"/>
        <w:gridCol w:w="2473"/>
        <w:gridCol w:w="6658"/>
      </w:tblGrid>
      <w:tr w:rsidR="001973C6" w:rsidTr="003368B9">
        <w:trPr>
          <w:trHeight w:val="556"/>
          <w:jc w:val="center"/>
        </w:trPr>
        <w:tc>
          <w:tcPr>
            <w:tcW w:w="9634"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973C6" w:rsidRDefault="001973C6" w:rsidP="006B7C52">
            <w:pPr>
              <w:pStyle w:val="naisnod"/>
              <w:spacing w:before="0" w:after="0"/>
              <w:ind w:left="57" w:right="57"/>
            </w:pPr>
            <w:r w:rsidRPr="00631569">
              <w:t>VI</w:t>
            </w:r>
            <w:r>
              <w:t>.</w:t>
            </w:r>
            <w:r w:rsidRPr="00631569">
              <w:t xml:space="preserve"> </w:t>
            </w:r>
            <w:r w:rsidRPr="00F0172E">
              <w:rPr>
                <w:bCs w:val="0"/>
                <w:shd w:val="clear" w:color="auto" w:fill="FFFFFF"/>
              </w:rPr>
              <w:t>Sabiedrības līdzdalība un komunikācijas aktivitātes</w:t>
            </w:r>
          </w:p>
        </w:tc>
      </w:tr>
      <w:tr w:rsidR="001973C6" w:rsidTr="003368B9">
        <w:trPr>
          <w:gridBefore w:val="1"/>
          <w:trHeight w:val="427"/>
          <w:jc w:val="center"/>
        </w:trPr>
        <w:tc>
          <w:tcPr>
            <w:tcW w:w="4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973C6" w:rsidRDefault="001973C6" w:rsidP="006B7C52">
            <w:pPr>
              <w:pStyle w:val="naisnod"/>
              <w:spacing w:before="0" w:after="0"/>
              <w:ind w:left="57" w:right="57"/>
              <w:jc w:val="left"/>
              <w:rPr>
                <w:b w:val="0"/>
              </w:rPr>
            </w:pPr>
            <w:r>
              <w:rPr>
                <w:b w:val="0"/>
              </w:rPr>
              <w:t>1.</w:t>
            </w:r>
          </w:p>
        </w:tc>
        <w:tc>
          <w:tcPr>
            <w:tcW w:w="247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973C6" w:rsidRDefault="001973C6" w:rsidP="006B7C52">
            <w:pPr>
              <w:pStyle w:val="naisf"/>
              <w:spacing w:before="0" w:after="0"/>
              <w:ind w:left="57" w:right="57" w:firstLine="0"/>
              <w:jc w:val="left"/>
            </w:pPr>
            <w:r w:rsidRPr="00FA3933">
              <w:t>Plānotās sabiedrības līdzdalības un komunikācijas aktivitātes saistībā ar projektu</w:t>
            </w:r>
          </w:p>
        </w:tc>
        <w:tc>
          <w:tcPr>
            <w:tcW w:w="66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973C6" w:rsidRDefault="001973C6" w:rsidP="006B7C52">
            <w:pPr>
              <w:pStyle w:val="default"/>
              <w:jc w:val="both"/>
              <w:rPr>
                <w:bCs/>
                <w:color w:val="auto"/>
              </w:rPr>
            </w:pPr>
            <w:r>
              <w:rPr>
                <w:bCs/>
                <w:color w:val="auto"/>
              </w:rPr>
              <w:t xml:space="preserve">Atsaucoties uz 2015.gada </w:t>
            </w:r>
            <w:r w:rsidRPr="00437AD7">
              <w:rPr>
                <w:bCs/>
                <w:color w:val="auto"/>
              </w:rPr>
              <w:t>28.augusta Nevalstisko organizāciju un Ministru kabineta sadarbības memoranda īstenošanas padomes sēdē</w:t>
            </w:r>
            <w:r>
              <w:rPr>
                <w:bCs/>
                <w:color w:val="auto"/>
              </w:rPr>
              <w:t xml:space="preserve"> nolemto un ņemot vērā, ka 2015.gada </w:t>
            </w:r>
            <w:r w:rsidRPr="00437AD7">
              <w:rPr>
                <w:bCs/>
                <w:color w:val="auto"/>
              </w:rPr>
              <w:t>8.septembrī Ministru kabinetā tika izskatīts informatīvas ziņojums „Priekšlikumi bērnudārzu pieejamības problēmas risināšanai</w:t>
            </w:r>
            <w:r>
              <w:rPr>
                <w:bCs/>
                <w:color w:val="auto"/>
              </w:rPr>
              <w:t>”, Vides aizsardzības un reģionālās ministrijai</w:t>
            </w:r>
            <w:r w:rsidRPr="00437AD7">
              <w:rPr>
                <w:bCs/>
                <w:color w:val="auto"/>
              </w:rPr>
              <w:t xml:space="preserve"> 2 mēnešu laikā jāorganizē darba grupa, iesaistot Latvijas Pašvaldību savienību un nevalstiskās organizācijas, kas ir publisko pakalpojumu sniedzēji vai pārstāv bērnu vecākus, lai diskutētu par metodikas projektu izmaksu apjoma noteikšanai viena bērna pirmsskolas izglītības programmas apguvei un metodikas piemērošanas kārtību un to nepieciešamajiem pilnveidojumiem</w:t>
            </w:r>
            <w:r>
              <w:rPr>
                <w:bCs/>
                <w:color w:val="auto"/>
              </w:rPr>
              <w:t>. Darba grupas sanāksme tika organizētas 2015.gada 25.septembrī,</w:t>
            </w:r>
            <w:r>
              <w:t xml:space="preserve"> 17.novembrī un 25.novembrī</w:t>
            </w:r>
            <w:r>
              <w:rPr>
                <w:bCs/>
                <w:color w:val="auto"/>
              </w:rPr>
              <w:t>.</w:t>
            </w:r>
          </w:p>
          <w:p w:rsidR="001973C6" w:rsidRDefault="001973C6" w:rsidP="007B73F3">
            <w:pPr>
              <w:spacing w:before="120" w:after="120" w:line="240" w:lineRule="auto"/>
              <w:jc w:val="both"/>
              <w:rPr>
                <w:rFonts w:ascii="Times New Roman" w:hAnsi="Times New Roman"/>
                <w:sz w:val="24"/>
                <w:szCs w:val="24"/>
              </w:rPr>
            </w:pPr>
            <w:r>
              <w:rPr>
                <w:rFonts w:ascii="Times New Roman" w:hAnsi="Times New Roman"/>
                <w:sz w:val="24"/>
                <w:szCs w:val="24"/>
              </w:rPr>
              <w:t>Ņemot vērā Ministru prezidentes 2015.gada</w:t>
            </w:r>
            <w:r w:rsidRPr="00543DDF">
              <w:rPr>
                <w:rFonts w:ascii="Times New Roman" w:hAnsi="Times New Roman"/>
                <w:sz w:val="24"/>
                <w:szCs w:val="24"/>
              </w:rPr>
              <w:t xml:space="preserve"> 30.septembra rezolūcijā Nr.1.1.1/85 Vides aizsardzības un reģionālās attīstības ministrijai doto uzdevumu organizēt tikšanos ar pašvaldībām (Ādažu novads, Carnikavas novads, Ikšķiles novads, Jelgava, Liepāja, Ķekavas novads, Baldones novads, Mārupes novads, Ozolnieku novads, Rīga, Ropažu novads, Salaspils novads, Siguldas novads, Stopiņu novads, Tukuma novads), kurās ir rindas uz pirmsskolas izglītības iestādēm</w:t>
            </w:r>
            <w:r>
              <w:rPr>
                <w:rFonts w:ascii="Times New Roman" w:hAnsi="Times New Roman"/>
                <w:sz w:val="24"/>
                <w:szCs w:val="24"/>
              </w:rPr>
              <w:t xml:space="preserve">, pieaicinot </w:t>
            </w:r>
            <w:r w:rsidRPr="00543DDF">
              <w:rPr>
                <w:rFonts w:ascii="Times New Roman" w:hAnsi="Times New Roman"/>
                <w:sz w:val="24"/>
                <w:szCs w:val="24"/>
              </w:rPr>
              <w:t>arī pārstāvjus no vecāku organizācijām</w:t>
            </w:r>
            <w:r>
              <w:rPr>
                <w:rFonts w:ascii="Times New Roman" w:hAnsi="Times New Roman"/>
                <w:sz w:val="24"/>
                <w:szCs w:val="24"/>
              </w:rPr>
              <w:t>, tika organizētas šādas sanāksmes.</w:t>
            </w:r>
          </w:p>
          <w:p w:rsidR="001973C6" w:rsidRDefault="001973C6" w:rsidP="00E10192">
            <w:pPr>
              <w:spacing w:before="120" w:after="120" w:line="240" w:lineRule="auto"/>
              <w:jc w:val="both"/>
              <w:rPr>
                <w:rFonts w:ascii="Times New Roman" w:hAnsi="Times New Roman"/>
                <w:sz w:val="24"/>
                <w:szCs w:val="24"/>
              </w:rPr>
            </w:pPr>
            <w:r>
              <w:rPr>
                <w:rFonts w:ascii="Times New Roman" w:hAnsi="Times New Roman"/>
                <w:sz w:val="24"/>
                <w:szCs w:val="24"/>
              </w:rPr>
              <w:t xml:space="preserve">2015.gada 14.-16.oktobrī tika organizētas sanāksmes ar pārējām rezolūcijā minētajām pašvaldībām, papildus pieaicinot Ogres novada pašvaldību, un Latvijas Privāto pirmskolu biedrību, skaidrojot valsts un pašvaldību pienākumu apjomu </w:t>
            </w:r>
            <w:r w:rsidRPr="007D6F79">
              <w:rPr>
                <w:rFonts w:ascii="Times New Roman" w:hAnsi="Times New Roman"/>
                <w:sz w:val="24"/>
                <w:szCs w:val="24"/>
              </w:rPr>
              <w:t>attiecībā uz pašvaldības pienākumu bērnam, kas sasniedzis pusotra gada vecumu, nodrošināt vietu pašvaldības izglītības iestādē</w:t>
            </w:r>
            <w:r>
              <w:rPr>
                <w:rFonts w:ascii="Times New Roman" w:hAnsi="Times New Roman"/>
                <w:sz w:val="24"/>
                <w:szCs w:val="24"/>
              </w:rPr>
              <w:t>. 2015.gada 28.oktobrī tika organizēta sanāksme ar vecāku organizāciju pārstāvjiem. Papildus 2015.gada 12.novembrī tika organizēta sanāksme ar Rīgas Domi, Rīgas privāto izglītības iestāžu un vecāku organizāciju pārstāvjiem.</w:t>
            </w:r>
          </w:p>
          <w:p w:rsidR="001973C6" w:rsidRPr="000D2BA9" w:rsidRDefault="001973C6" w:rsidP="000D2BA9">
            <w:pPr>
              <w:spacing w:before="120" w:after="120" w:line="240" w:lineRule="auto"/>
              <w:jc w:val="both"/>
              <w:rPr>
                <w:rFonts w:ascii="Times New Roman" w:hAnsi="Times New Roman"/>
                <w:sz w:val="24"/>
                <w:szCs w:val="24"/>
              </w:rPr>
            </w:pPr>
            <w:r>
              <w:rPr>
                <w:rFonts w:ascii="Times New Roman" w:hAnsi="Times New Roman"/>
                <w:sz w:val="24"/>
                <w:szCs w:val="24"/>
              </w:rPr>
              <w:t>Sanāksmes laikā pašvaldību pārstāvji tika iepazīstināti ar plānotajiem grozījumiem Izglītības likumā, kā arī Ministru kabineta noteikumu projektu, uzklausot pašvaldību viedokļus, kas tika ņemti vērā Ministru kabineta noteikumu</w:t>
            </w:r>
            <w:r w:rsidRPr="007D6F79">
              <w:rPr>
                <w:rFonts w:ascii="Times New Roman" w:hAnsi="Times New Roman"/>
                <w:sz w:val="24"/>
                <w:szCs w:val="24"/>
              </w:rPr>
              <w:t xml:space="preserve"> </w:t>
            </w:r>
            <w:r>
              <w:rPr>
                <w:rFonts w:ascii="Times New Roman" w:hAnsi="Times New Roman"/>
                <w:sz w:val="24"/>
                <w:szCs w:val="24"/>
              </w:rPr>
              <w:t>projekta pilnveidošanai.</w:t>
            </w:r>
          </w:p>
        </w:tc>
      </w:tr>
      <w:tr w:rsidR="001973C6" w:rsidTr="003368B9">
        <w:trPr>
          <w:gridBefore w:val="1"/>
          <w:trHeight w:val="463"/>
          <w:jc w:val="center"/>
        </w:trPr>
        <w:tc>
          <w:tcPr>
            <w:tcW w:w="4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973C6" w:rsidRPr="00EC4EF5" w:rsidRDefault="001973C6" w:rsidP="006B7C52">
            <w:pPr>
              <w:spacing w:after="0"/>
              <w:ind w:left="57" w:right="57"/>
              <w:rPr>
                <w:rFonts w:ascii="Times New Roman" w:hAnsi="Times New Roman"/>
                <w:sz w:val="24"/>
                <w:szCs w:val="24"/>
              </w:rPr>
            </w:pPr>
            <w:r w:rsidRPr="00EC4EF5">
              <w:rPr>
                <w:rFonts w:ascii="Times New Roman" w:hAnsi="Times New Roman"/>
                <w:sz w:val="24"/>
                <w:szCs w:val="24"/>
              </w:rPr>
              <w:t>2.</w:t>
            </w:r>
          </w:p>
        </w:tc>
        <w:tc>
          <w:tcPr>
            <w:tcW w:w="247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973C6" w:rsidRPr="009B2CFD" w:rsidRDefault="001973C6" w:rsidP="006B7C52">
            <w:pPr>
              <w:spacing w:after="0"/>
              <w:ind w:left="36" w:right="57"/>
              <w:rPr>
                <w:rFonts w:ascii="Times New Roman" w:hAnsi="Times New Roman"/>
                <w:sz w:val="24"/>
                <w:szCs w:val="24"/>
              </w:rPr>
            </w:pPr>
            <w:r w:rsidRPr="009B2CFD">
              <w:rPr>
                <w:rFonts w:ascii="Times New Roman" w:hAnsi="Times New Roman"/>
                <w:sz w:val="24"/>
                <w:szCs w:val="24"/>
              </w:rPr>
              <w:t>Sabiedrības līdzdalība projekta izstrādē</w:t>
            </w:r>
          </w:p>
        </w:tc>
        <w:tc>
          <w:tcPr>
            <w:tcW w:w="66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973C6" w:rsidRPr="002C544F" w:rsidRDefault="001973C6" w:rsidP="002C544F">
            <w:pPr>
              <w:spacing w:after="0" w:line="240" w:lineRule="auto"/>
              <w:jc w:val="both"/>
              <w:rPr>
                <w:rFonts w:ascii="Times New Roman" w:hAnsi="Times New Roman"/>
                <w:sz w:val="24"/>
                <w:szCs w:val="24"/>
              </w:rPr>
            </w:pPr>
            <w:r>
              <w:rPr>
                <w:rFonts w:ascii="Times New Roman" w:hAnsi="Times New Roman"/>
                <w:sz w:val="24"/>
                <w:szCs w:val="24"/>
              </w:rPr>
              <w:t>Skatīt iepriekšējo punktu.</w:t>
            </w:r>
          </w:p>
        </w:tc>
      </w:tr>
      <w:tr w:rsidR="001973C6" w:rsidTr="003368B9">
        <w:trPr>
          <w:gridBefore w:val="1"/>
          <w:trHeight w:val="476"/>
          <w:jc w:val="center"/>
        </w:trPr>
        <w:tc>
          <w:tcPr>
            <w:tcW w:w="4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973C6" w:rsidRDefault="001973C6" w:rsidP="006B7C52">
            <w:pPr>
              <w:pStyle w:val="naiskr"/>
              <w:spacing w:before="0" w:after="0"/>
              <w:ind w:left="57" w:right="57"/>
            </w:pPr>
            <w:r>
              <w:t>3.</w:t>
            </w:r>
          </w:p>
        </w:tc>
        <w:tc>
          <w:tcPr>
            <w:tcW w:w="247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973C6" w:rsidRDefault="001973C6" w:rsidP="006B7C52">
            <w:pPr>
              <w:pStyle w:val="naiskr"/>
              <w:spacing w:before="0" w:after="0"/>
              <w:ind w:left="57" w:right="57"/>
            </w:pPr>
            <w:r w:rsidRPr="00FA3933">
              <w:t>Sabiedrības līdzdalības rezultāti</w:t>
            </w:r>
          </w:p>
        </w:tc>
        <w:tc>
          <w:tcPr>
            <w:tcW w:w="66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973C6" w:rsidRDefault="001973C6" w:rsidP="006B7C52">
            <w:pPr>
              <w:pStyle w:val="naiskr"/>
              <w:spacing w:before="0" w:after="0"/>
              <w:ind w:right="57"/>
            </w:pPr>
            <w:r>
              <w:t>Nav.</w:t>
            </w:r>
          </w:p>
        </w:tc>
      </w:tr>
      <w:tr w:rsidR="001973C6" w:rsidTr="003368B9">
        <w:trPr>
          <w:gridBefore w:val="1"/>
          <w:trHeight w:val="476"/>
          <w:jc w:val="center"/>
        </w:trPr>
        <w:tc>
          <w:tcPr>
            <w:tcW w:w="4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973C6" w:rsidRDefault="001973C6" w:rsidP="006B7C52">
            <w:pPr>
              <w:pStyle w:val="naiskr"/>
              <w:spacing w:before="0" w:after="0"/>
              <w:ind w:left="57" w:right="57"/>
            </w:pPr>
            <w:r>
              <w:t>4.</w:t>
            </w:r>
          </w:p>
        </w:tc>
        <w:tc>
          <w:tcPr>
            <w:tcW w:w="247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973C6" w:rsidRPr="00FA3933" w:rsidRDefault="001973C6" w:rsidP="006B7C52">
            <w:pPr>
              <w:pStyle w:val="naiskr"/>
              <w:spacing w:before="0" w:after="0"/>
              <w:ind w:left="57" w:right="57"/>
            </w:pPr>
            <w:r w:rsidRPr="00631569">
              <w:t>Cita informācija</w:t>
            </w:r>
          </w:p>
        </w:tc>
        <w:tc>
          <w:tcPr>
            <w:tcW w:w="66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973C6" w:rsidRDefault="001973C6" w:rsidP="006B7C52">
            <w:pPr>
              <w:pStyle w:val="naiskr"/>
              <w:spacing w:before="0" w:after="0"/>
              <w:ind w:right="57"/>
            </w:pPr>
            <w:r>
              <w:t>Nav.</w:t>
            </w:r>
          </w:p>
        </w:tc>
      </w:tr>
    </w:tbl>
    <w:p w:rsidR="001973C6" w:rsidRDefault="001973C6" w:rsidP="00B73077">
      <w:pPr>
        <w:ind w:left="-360"/>
      </w:pPr>
    </w:p>
    <w:tbl>
      <w:tblPr>
        <w:tblW w:w="9634" w:type="dxa"/>
        <w:jc w:val="center"/>
        <w:tblCellMar>
          <w:left w:w="10" w:type="dxa"/>
          <w:right w:w="10" w:type="dxa"/>
        </w:tblCellMar>
        <w:tblLook w:val="0000"/>
      </w:tblPr>
      <w:tblGrid>
        <w:gridCol w:w="498"/>
        <w:gridCol w:w="2474"/>
        <w:gridCol w:w="6662"/>
      </w:tblGrid>
      <w:tr w:rsidR="001973C6" w:rsidTr="003368B9">
        <w:trPr>
          <w:trHeight w:val="556"/>
          <w:jc w:val="center"/>
        </w:trPr>
        <w:tc>
          <w:tcPr>
            <w:tcW w:w="9634"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973C6" w:rsidRDefault="001973C6" w:rsidP="006B7C52">
            <w:pPr>
              <w:pStyle w:val="naisnod"/>
              <w:spacing w:before="0" w:after="0"/>
              <w:ind w:left="57" w:right="57"/>
            </w:pPr>
            <w:r>
              <w:t>VII. Tiesību akta projekta izpildes nodrošināšana un tās ietekme uz institūcijām</w:t>
            </w:r>
          </w:p>
        </w:tc>
      </w:tr>
      <w:tr w:rsidR="001973C6" w:rsidTr="003368B9">
        <w:trPr>
          <w:trHeight w:val="427"/>
          <w:jc w:val="center"/>
        </w:trPr>
        <w:tc>
          <w:tcPr>
            <w:tcW w:w="4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973C6" w:rsidRDefault="001973C6" w:rsidP="006B7C52">
            <w:pPr>
              <w:pStyle w:val="naisnod"/>
              <w:spacing w:before="0" w:after="0"/>
              <w:ind w:left="57" w:right="57"/>
              <w:jc w:val="left"/>
              <w:rPr>
                <w:b w:val="0"/>
              </w:rPr>
            </w:pPr>
            <w:r>
              <w:rPr>
                <w:b w:val="0"/>
              </w:rPr>
              <w:t>1.</w:t>
            </w:r>
          </w:p>
        </w:tc>
        <w:tc>
          <w:tcPr>
            <w:tcW w:w="247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973C6" w:rsidRDefault="001973C6" w:rsidP="006B7C52">
            <w:pPr>
              <w:pStyle w:val="naisf"/>
              <w:spacing w:before="0" w:after="0"/>
              <w:ind w:left="57" w:right="57" w:firstLine="0"/>
              <w:jc w:val="left"/>
            </w:pPr>
            <w:r>
              <w:t xml:space="preserve">Projekta izpildē iesaistītās institūcijas </w:t>
            </w:r>
          </w:p>
        </w:tc>
        <w:tc>
          <w:tcPr>
            <w:tcW w:w="66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973C6" w:rsidRPr="0022015D" w:rsidRDefault="001973C6" w:rsidP="006B7C52">
            <w:pPr>
              <w:pStyle w:val="naisnod"/>
              <w:spacing w:before="0" w:after="0"/>
              <w:ind w:right="57"/>
              <w:jc w:val="both"/>
              <w:rPr>
                <w:b w:val="0"/>
              </w:rPr>
            </w:pPr>
            <w:r w:rsidRPr="0022015D">
              <w:rPr>
                <w:b w:val="0"/>
              </w:rPr>
              <w:t>Vides aizsardzības un reģionālās attīstības ministrija</w:t>
            </w:r>
          </w:p>
        </w:tc>
      </w:tr>
      <w:tr w:rsidR="001973C6" w:rsidTr="003368B9">
        <w:trPr>
          <w:trHeight w:val="463"/>
          <w:jc w:val="center"/>
        </w:trPr>
        <w:tc>
          <w:tcPr>
            <w:tcW w:w="4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973C6" w:rsidRPr="0024304A" w:rsidRDefault="001973C6" w:rsidP="0024304A">
            <w:pPr>
              <w:pStyle w:val="naisnod"/>
              <w:spacing w:before="0" w:after="0"/>
              <w:ind w:left="57" w:right="57"/>
              <w:jc w:val="left"/>
            </w:pPr>
            <w:r w:rsidRPr="0024304A">
              <w:rPr>
                <w:b w:val="0"/>
              </w:rPr>
              <w:t>2.</w:t>
            </w:r>
          </w:p>
        </w:tc>
        <w:tc>
          <w:tcPr>
            <w:tcW w:w="247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973C6" w:rsidRDefault="001973C6" w:rsidP="0024304A">
            <w:pPr>
              <w:pStyle w:val="naisf"/>
              <w:spacing w:before="0" w:after="0"/>
              <w:ind w:left="57" w:right="57" w:firstLine="0"/>
              <w:jc w:val="left"/>
            </w:pPr>
            <w:r>
              <w:t>Projekta izpildes ietekme uz pārvaldes funkcijām un institucionālo struktūru</w:t>
            </w:r>
          </w:p>
          <w:p w:rsidR="001973C6" w:rsidRDefault="001973C6" w:rsidP="0024304A">
            <w:pPr>
              <w:pStyle w:val="naisf"/>
              <w:spacing w:before="0" w:after="0"/>
              <w:ind w:left="57" w:right="57" w:firstLine="0"/>
              <w:jc w:val="left"/>
            </w:pPr>
          </w:p>
          <w:p w:rsidR="001973C6" w:rsidRDefault="001973C6" w:rsidP="0024304A">
            <w:pPr>
              <w:pStyle w:val="naisf"/>
              <w:spacing w:before="0" w:after="0"/>
              <w:ind w:left="57" w:right="57" w:firstLine="0"/>
              <w:jc w:val="left"/>
            </w:pPr>
            <w:r>
              <w:t>Jaunu institūciju izveide, esošu institūciju likvidācija vai reorganizācija, to ietekme uz institūcijas cilvēkresursiem</w:t>
            </w:r>
          </w:p>
        </w:tc>
        <w:tc>
          <w:tcPr>
            <w:tcW w:w="66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973C6" w:rsidRPr="007254F2" w:rsidRDefault="001973C6" w:rsidP="003368B9">
            <w:pPr>
              <w:pStyle w:val="naisf"/>
              <w:spacing w:before="0" w:after="0"/>
              <w:ind w:left="57" w:right="57" w:firstLine="0"/>
            </w:pPr>
            <w:r>
              <w:t>Ministru kabineta noteikumu</w:t>
            </w:r>
            <w:r w:rsidRPr="0024304A">
              <w:t xml:space="preserve"> izpilde tiks nodrošināta ar esošo institūciju palīdzību. </w:t>
            </w:r>
            <w:r w:rsidRPr="007254F2">
              <w:t>Jaunu institūciju izveide, esošu institūciju likvidācija vai reorganizācija nav paredzēta.</w:t>
            </w:r>
          </w:p>
          <w:p w:rsidR="001973C6" w:rsidRPr="0024304A" w:rsidRDefault="001973C6" w:rsidP="003368B9">
            <w:pPr>
              <w:pStyle w:val="naisf"/>
              <w:spacing w:before="0" w:after="0"/>
              <w:ind w:left="57" w:right="57" w:firstLine="0"/>
            </w:pPr>
          </w:p>
        </w:tc>
      </w:tr>
      <w:tr w:rsidR="001973C6" w:rsidTr="003368B9">
        <w:trPr>
          <w:trHeight w:val="476"/>
          <w:jc w:val="center"/>
        </w:trPr>
        <w:tc>
          <w:tcPr>
            <w:tcW w:w="4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973C6" w:rsidRDefault="001973C6" w:rsidP="006B7C52">
            <w:pPr>
              <w:pStyle w:val="naiskr"/>
              <w:spacing w:before="0" w:after="0"/>
              <w:ind w:left="57" w:right="57"/>
            </w:pPr>
            <w:r>
              <w:t>3.</w:t>
            </w:r>
          </w:p>
        </w:tc>
        <w:tc>
          <w:tcPr>
            <w:tcW w:w="247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973C6" w:rsidRDefault="001973C6" w:rsidP="006B7C52">
            <w:pPr>
              <w:pStyle w:val="naiskr"/>
              <w:spacing w:before="0" w:after="0"/>
              <w:ind w:left="57" w:right="57"/>
            </w:pPr>
            <w:r>
              <w:t>Cita informācija</w:t>
            </w:r>
          </w:p>
        </w:tc>
        <w:tc>
          <w:tcPr>
            <w:tcW w:w="66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973C6" w:rsidRDefault="001973C6" w:rsidP="006B7C52">
            <w:pPr>
              <w:pStyle w:val="naiskr"/>
              <w:spacing w:before="0" w:after="0"/>
              <w:ind w:right="57"/>
            </w:pPr>
            <w:r>
              <w:t>Nav.</w:t>
            </w:r>
          </w:p>
        </w:tc>
      </w:tr>
    </w:tbl>
    <w:p w:rsidR="001973C6" w:rsidRDefault="001973C6" w:rsidP="00A76D15">
      <w:pPr>
        <w:rPr>
          <w:rFonts w:ascii="Times New Roman" w:hAnsi="Times New Roman"/>
          <w:sz w:val="24"/>
          <w:szCs w:val="24"/>
        </w:rPr>
      </w:pPr>
    </w:p>
    <w:p w:rsidR="001973C6" w:rsidRPr="00B10D61" w:rsidRDefault="001973C6" w:rsidP="00A76D15">
      <w:pPr>
        <w:rPr>
          <w:rFonts w:ascii="Times New Roman" w:hAnsi="Times New Roman"/>
          <w:sz w:val="24"/>
          <w:szCs w:val="24"/>
        </w:rPr>
      </w:pPr>
      <w:r w:rsidRPr="00B10D61">
        <w:rPr>
          <w:rFonts w:ascii="Times New Roman" w:hAnsi="Times New Roman"/>
          <w:sz w:val="24"/>
          <w:szCs w:val="24"/>
        </w:rPr>
        <w:t>Vides aizsardzības un reģi</w:t>
      </w:r>
      <w:r>
        <w:rPr>
          <w:rFonts w:ascii="Times New Roman" w:hAnsi="Times New Roman"/>
          <w:sz w:val="24"/>
          <w:szCs w:val="24"/>
        </w:rPr>
        <w:t xml:space="preserve">onālās attīstības ministrs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10D61">
        <w:rPr>
          <w:rFonts w:ascii="Times New Roman" w:hAnsi="Times New Roman"/>
          <w:sz w:val="24"/>
          <w:szCs w:val="24"/>
        </w:rPr>
        <w:t>K.Gerhards</w:t>
      </w:r>
    </w:p>
    <w:p w:rsidR="001973C6" w:rsidRDefault="001973C6" w:rsidP="006D4131">
      <w:pPr>
        <w:tabs>
          <w:tab w:val="right" w:pos="9214"/>
        </w:tabs>
        <w:spacing w:after="0" w:line="240" w:lineRule="auto"/>
        <w:rPr>
          <w:rFonts w:ascii="Times New Roman" w:hAnsi="Times New Roman"/>
          <w:sz w:val="24"/>
          <w:szCs w:val="24"/>
        </w:rPr>
      </w:pPr>
    </w:p>
    <w:p w:rsidR="001973C6" w:rsidRDefault="001973C6" w:rsidP="006D4131">
      <w:pPr>
        <w:tabs>
          <w:tab w:val="right" w:pos="9214"/>
        </w:tabs>
        <w:spacing w:after="0" w:line="240" w:lineRule="auto"/>
        <w:rPr>
          <w:rFonts w:ascii="Times New Roman" w:hAnsi="Times New Roman"/>
          <w:sz w:val="24"/>
          <w:szCs w:val="24"/>
        </w:rPr>
      </w:pPr>
      <w:r w:rsidRPr="00B10D61">
        <w:rPr>
          <w:rFonts w:ascii="Times New Roman" w:hAnsi="Times New Roman"/>
          <w:sz w:val="24"/>
          <w:szCs w:val="24"/>
        </w:rPr>
        <w:t xml:space="preserve">Vīza: vides aizsardzības un reģionālās attīstības </w:t>
      </w:r>
    </w:p>
    <w:p w:rsidR="001973C6" w:rsidRPr="00B10D61" w:rsidRDefault="001973C6" w:rsidP="006D4131">
      <w:pPr>
        <w:tabs>
          <w:tab w:val="right" w:pos="9214"/>
        </w:tabs>
        <w:spacing w:after="0" w:line="240" w:lineRule="auto"/>
        <w:rPr>
          <w:rFonts w:ascii="Times New Roman" w:hAnsi="Times New Roman"/>
          <w:sz w:val="24"/>
          <w:szCs w:val="24"/>
        </w:rPr>
      </w:pPr>
      <w:r w:rsidRPr="00B10D61">
        <w:rPr>
          <w:rFonts w:ascii="Times New Roman" w:hAnsi="Times New Roman"/>
          <w:sz w:val="24"/>
          <w:szCs w:val="24"/>
        </w:rPr>
        <w:t>mini</w:t>
      </w:r>
      <w:r>
        <w:rPr>
          <w:rFonts w:ascii="Times New Roman" w:hAnsi="Times New Roman"/>
          <w:sz w:val="24"/>
          <w:szCs w:val="24"/>
        </w:rPr>
        <w:t xml:space="preserve">strijas valsts sekretārs                                                                             </w:t>
      </w:r>
      <w:r w:rsidRPr="00B10D61">
        <w:rPr>
          <w:rFonts w:ascii="Times New Roman" w:hAnsi="Times New Roman"/>
          <w:sz w:val="24"/>
          <w:szCs w:val="24"/>
        </w:rPr>
        <w:t>G.Puķītis</w:t>
      </w:r>
    </w:p>
    <w:p w:rsidR="001973C6" w:rsidRDefault="001973C6" w:rsidP="00A76D15">
      <w:pPr>
        <w:pStyle w:val="NormalWeb"/>
        <w:spacing w:before="0" w:beforeAutospacing="0" w:after="0" w:afterAutospacing="0"/>
        <w:jc w:val="both"/>
        <w:rPr>
          <w:sz w:val="16"/>
          <w:szCs w:val="16"/>
        </w:rPr>
      </w:pPr>
    </w:p>
    <w:p w:rsidR="001973C6" w:rsidRDefault="001973C6" w:rsidP="00A76D15">
      <w:pPr>
        <w:pStyle w:val="NormalWeb"/>
        <w:spacing w:before="0" w:beforeAutospacing="0" w:after="0" w:afterAutospacing="0"/>
        <w:jc w:val="both"/>
        <w:rPr>
          <w:sz w:val="16"/>
          <w:szCs w:val="16"/>
        </w:rPr>
      </w:pPr>
    </w:p>
    <w:p w:rsidR="001973C6" w:rsidRPr="00EA0A3A" w:rsidRDefault="001973C6" w:rsidP="00A76D15">
      <w:pPr>
        <w:pStyle w:val="NormalWeb"/>
        <w:spacing w:before="0" w:beforeAutospacing="0" w:after="0" w:afterAutospacing="0"/>
        <w:jc w:val="both"/>
        <w:rPr>
          <w:sz w:val="16"/>
          <w:szCs w:val="16"/>
        </w:rPr>
      </w:pPr>
      <w:r w:rsidRPr="00EA0A3A">
        <w:rPr>
          <w:sz w:val="16"/>
          <w:szCs w:val="16"/>
        </w:rPr>
        <w:fldChar w:fldCharType="begin"/>
      </w:r>
      <w:r w:rsidRPr="00EA0A3A">
        <w:rPr>
          <w:sz w:val="16"/>
          <w:szCs w:val="16"/>
        </w:rPr>
        <w:instrText xml:space="preserve"> DATE  \@ "yyyy.MM.dd."  \* MERGEFORMAT </w:instrText>
      </w:r>
      <w:r w:rsidRPr="00EA0A3A">
        <w:rPr>
          <w:sz w:val="16"/>
          <w:szCs w:val="16"/>
        </w:rPr>
        <w:fldChar w:fldCharType="separate"/>
      </w:r>
      <w:r>
        <w:rPr>
          <w:noProof/>
          <w:sz w:val="16"/>
          <w:szCs w:val="16"/>
        </w:rPr>
        <w:t>2015.12.02.</w:t>
      </w:r>
      <w:r w:rsidRPr="00EA0A3A">
        <w:rPr>
          <w:sz w:val="16"/>
          <w:szCs w:val="16"/>
        </w:rPr>
        <w:fldChar w:fldCharType="end"/>
      </w:r>
    </w:p>
    <w:p w:rsidR="001973C6" w:rsidRPr="00EC4EF5" w:rsidRDefault="001973C6" w:rsidP="00A76D15">
      <w:pPr>
        <w:pStyle w:val="NormalWeb"/>
        <w:spacing w:before="0" w:beforeAutospacing="0" w:after="0" w:afterAutospacing="0"/>
        <w:jc w:val="both"/>
        <w:rPr>
          <w:sz w:val="16"/>
          <w:szCs w:val="16"/>
        </w:rPr>
      </w:pPr>
      <w:r>
        <w:rPr>
          <w:sz w:val="16"/>
          <w:szCs w:val="16"/>
        </w:rPr>
        <w:t>2 215</w:t>
      </w:r>
      <w:bookmarkStart w:id="0" w:name="_GoBack"/>
      <w:bookmarkEnd w:id="0"/>
    </w:p>
    <w:p w:rsidR="001973C6" w:rsidRPr="00EC4EF5" w:rsidRDefault="001973C6" w:rsidP="00EC4EF5">
      <w:pPr>
        <w:spacing w:after="0" w:line="240" w:lineRule="auto"/>
        <w:rPr>
          <w:rFonts w:ascii="Times New Roman" w:hAnsi="Times New Roman"/>
          <w:sz w:val="16"/>
          <w:szCs w:val="16"/>
        </w:rPr>
      </w:pPr>
      <w:r w:rsidRPr="00EC4EF5">
        <w:rPr>
          <w:rFonts w:ascii="Times New Roman" w:hAnsi="Times New Roman"/>
          <w:sz w:val="16"/>
          <w:szCs w:val="16"/>
        </w:rPr>
        <w:t>Jānis Ilgavižs, 60166721</w:t>
      </w:r>
    </w:p>
    <w:p w:rsidR="001973C6" w:rsidRDefault="001973C6" w:rsidP="006D4131">
      <w:pPr>
        <w:pStyle w:val="NormalWeb"/>
        <w:spacing w:before="0" w:beforeAutospacing="0" w:after="0" w:afterAutospacing="0"/>
        <w:jc w:val="both"/>
      </w:pPr>
      <w:hyperlink r:id="rId7" w:history="1">
        <w:r w:rsidRPr="00EA0A3A">
          <w:rPr>
            <w:rStyle w:val="Hyperlink"/>
            <w:sz w:val="16"/>
            <w:szCs w:val="16"/>
          </w:rPr>
          <w:t>Janis.ilgavizs@varam.gov.lv</w:t>
        </w:r>
      </w:hyperlink>
    </w:p>
    <w:sectPr w:rsidR="001973C6" w:rsidSect="00F56808">
      <w:headerReference w:type="even" r:id="rId8"/>
      <w:headerReference w:type="default" r:id="rId9"/>
      <w:footerReference w:type="even" r:id="rId10"/>
      <w:footerReference w:type="default" r:id="rId11"/>
      <w:footerReference w:type="first" r:id="rId12"/>
      <w:pgSz w:w="11906" w:h="16838"/>
      <w:pgMar w:top="1440" w:right="1133"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3C6" w:rsidRDefault="001973C6">
      <w:r>
        <w:separator/>
      </w:r>
    </w:p>
  </w:endnote>
  <w:endnote w:type="continuationSeparator" w:id="0">
    <w:p w:rsidR="001973C6" w:rsidRDefault="001973C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nsolas">
    <w:panose1 w:val="020B0609020204030204"/>
    <w:charset w:val="BA"/>
    <w:family w:val="modern"/>
    <w:pitch w:val="fixed"/>
    <w:sig w:usb0="A00002EF" w:usb1="4000204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C6" w:rsidRDefault="001973C6" w:rsidP="000D2BA9">
    <w:pPr>
      <w:pStyle w:val="Foote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C6" w:rsidRPr="00155A00" w:rsidRDefault="001973C6" w:rsidP="00155A00">
    <w:pPr>
      <w:spacing w:before="120" w:after="120" w:line="240" w:lineRule="auto"/>
      <w:jc w:val="both"/>
      <w:rPr>
        <w:rFonts w:ascii="Times New Roman" w:hAnsi="Times New Roman"/>
        <w:sz w:val="16"/>
        <w:szCs w:val="16"/>
      </w:rPr>
    </w:pPr>
    <w:r w:rsidRPr="00155A00">
      <w:rPr>
        <w:rFonts w:ascii="Times New Roman" w:hAnsi="Times New Roman"/>
        <w:sz w:val="16"/>
        <w:szCs w:val="16"/>
      </w:rPr>
      <w:t>VARAMAnot_Metodika_</w:t>
    </w:r>
    <w:r>
      <w:rPr>
        <w:rFonts w:ascii="Times New Roman" w:hAnsi="Times New Roman"/>
        <w:sz w:val="16"/>
        <w:szCs w:val="16"/>
      </w:rPr>
      <w:t>0212</w:t>
    </w:r>
    <w:r w:rsidRPr="00155A00">
      <w:rPr>
        <w:rFonts w:ascii="Times New Roman" w:hAnsi="Times New Roman"/>
        <w:sz w:val="16"/>
        <w:szCs w:val="16"/>
      </w:rPr>
      <w:t>15; Ministru kabineta noteikumu „Metodika, kādā pašvaldība nosaka vienam izglītojamajam nepieciešamās vidējās izmaksas pirmsskolas izglītības programmā pašvaldības izglītības iestādēs, un kārtība, kādā pašvaldība atbilstoši tās noteiktajām vienam izglītojamam nepieciešamajām vidējām izmaksām attiecīgās pašvaldības izglītības iestādēs sedz izglītības programmas izmaksas privātajai izglītības iestādei”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C6" w:rsidRPr="00155A00" w:rsidRDefault="001973C6" w:rsidP="00155A00">
    <w:pPr>
      <w:spacing w:before="120" w:after="120" w:line="240" w:lineRule="auto"/>
      <w:jc w:val="both"/>
      <w:rPr>
        <w:rFonts w:ascii="Times New Roman" w:hAnsi="Times New Roman"/>
        <w:sz w:val="16"/>
        <w:szCs w:val="16"/>
      </w:rPr>
    </w:pPr>
    <w:r w:rsidRPr="00155A00">
      <w:rPr>
        <w:rFonts w:ascii="Times New Roman" w:hAnsi="Times New Roman"/>
        <w:sz w:val="16"/>
        <w:szCs w:val="16"/>
      </w:rPr>
      <w:t>VARAM</w:t>
    </w:r>
    <w:r>
      <w:rPr>
        <w:rFonts w:ascii="Times New Roman" w:hAnsi="Times New Roman"/>
        <w:sz w:val="16"/>
        <w:szCs w:val="16"/>
      </w:rPr>
      <w:t>Anot_Metodika_0212</w:t>
    </w:r>
    <w:r w:rsidRPr="00155A00">
      <w:rPr>
        <w:rFonts w:ascii="Times New Roman" w:hAnsi="Times New Roman"/>
        <w:sz w:val="16"/>
        <w:szCs w:val="16"/>
      </w:rPr>
      <w:t>15; Ministru kabineta noteikumu „Metodika, kādā pašvaldība nosaka vienam izglītojamajam nepieciešamās vidējās izmaksas pirmsskolas izglītības programmā pašvaldības izglītības iestādēs, un kārtība, kādā pašvaldība atbilstoši tās noteiktajām vienam izglītojamam nepieciešamajām vidējām izmaksām attiecīgās pašvaldības izglītības iestādēs sedz izglītības programmas izmaksas privātajai izglītības iestādei” sākotnējās ietekmes novērtējuma ziņojums (anotācija)</w:t>
    </w:r>
  </w:p>
  <w:p w:rsidR="001973C6" w:rsidRDefault="001973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3C6" w:rsidRDefault="001973C6">
      <w:r>
        <w:separator/>
      </w:r>
    </w:p>
  </w:footnote>
  <w:footnote w:type="continuationSeparator" w:id="0">
    <w:p w:rsidR="001973C6" w:rsidRDefault="00197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C6" w:rsidRDefault="001973C6" w:rsidP="001D03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73C6" w:rsidRDefault="001973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C6" w:rsidRDefault="001973C6" w:rsidP="001D03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1973C6" w:rsidRDefault="001973C6" w:rsidP="000D2BA9">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D0332"/>
    <w:multiLevelType w:val="hybridMultilevel"/>
    <w:tmpl w:val="83CE1EDA"/>
    <w:lvl w:ilvl="0" w:tplc="F5041DF8">
      <w:start w:val="1"/>
      <w:numFmt w:val="bullet"/>
      <w:lvlText w:val="•"/>
      <w:lvlJc w:val="left"/>
      <w:pPr>
        <w:tabs>
          <w:tab w:val="num" w:pos="720"/>
        </w:tabs>
        <w:ind w:left="720" w:hanging="360"/>
      </w:pPr>
      <w:rPr>
        <w:rFonts w:ascii="Arial" w:hAnsi="Arial" w:hint="default"/>
      </w:rPr>
    </w:lvl>
    <w:lvl w:ilvl="1" w:tplc="16FAD6AC" w:tentative="1">
      <w:start w:val="1"/>
      <w:numFmt w:val="bullet"/>
      <w:lvlText w:val="•"/>
      <w:lvlJc w:val="left"/>
      <w:pPr>
        <w:tabs>
          <w:tab w:val="num" w:pos="1440"/>
        </w:tabs>
        <w:ind w:left="1440" w:hanging="360"/>
      </w:pPr>
      <w:rPr>
        <w:rFonts w:ascii="Arial" w:hAnsi="Arial" w:hint="default"/>
      </w:rPr>
    </w:lvl>
    <w:lvl w:ilvl="2" w:tplc="1E04D656" w:tentative="1">
      <w:start w:val="1"/>
      <w:numFmt w:val="bullet"/>
      <w:lvlText w:val="•"/>
      <w:lvlJc w:val="left"/>
      <w:pPr>
        <w:tabs>
          <w:tab w:val="num" w:pos="2160"/>
        </w:tabs>
        <w:ind w:left="2160" w:hanging="360"/>
      </w:pPr>
      <w:rPr>
        <w:rFonts w:ascii="Arial" w:hAnsi="Arial" w:hint="default"/>
      </w:rPr>
    </w:lvl>
    <w:lvl w:ilvl="3" w:tplc="1B1A3C08" w:tentative="1">
      <w:start w:val="1"/>
      <w:numFmt w:val="bullet"/>
      <w:lvlText w:val="•"/>
      <w:lvlJc w:val="left"/>
      <w:pPr>
        <w:tabs>
          <w:tab w:val="num" w:pos="2880"/>
        </w:tabs>
        <w:ind w:left="2880" w:hanging="360"/>
      </w:pPr>
      <w:rPr>
        <w:rFonts w:ascii="Arial" w:hAnsi="Arial" w:hint="default"/>
      </w:rPr>
    </w:lvl>
    <w:lvl w:ilvl="4" w:tplc="8932A65C" w:tentative="1">
      <w:start w:val="1"/>
      <w:numFmt w:val="bullet"/>
      <w:lvlText w:val="•"/>
      <w:lvlJc w:val="left"/>
      <w:pPr>
        <w:tabs>
          <w:tab w:val="num" w:pos="3600"/>
        </w:tabs>
        <w:ind w:left="3600" w:hanging="360"/>
      </w:pPr>
      <w:rPr>
        <w:rFonts w:ascii="Arial" w:hAnsi="Arial" w:hint="default"/>
      </w:rPr>
    </w:lvl>
    <w:lvl w:ilvl="5" w:tplc="9266F222" w:tentative="1">
      <w:start w:val="1"/>
      <w:numFmt w:val="bullet"/>
      <w:lvlText w:val="•"/>
      <w:lvlJc w:val="left"/>
      <w:pPr>
        <w:tabs>
          <w:tab w:val="num" w:pos="4320"/>
        </w:tabs>
        <w:ind w:left="4320" w:hanging="360"/>
      </w:pPr>
      <w:rPr>
        <w:rFonts w:ascii="Arial" w:hAnsi="Arial" w:hint="default"/>
      </w:rPr>
    </w:lvl>
    <w:lvl w:ilvl="6" w:tplc="9878A386" w:tentative="1">
      <w:start w:val="1"/>
      <w:numFmt w:val="bullet"/>
      <w:lvlText w:val="•"/>
      <w:lvlJc w:val="left"/>
      <w:pPr>
        <w:tabs>
          <w:tab w:val="num" w:pos="5040"/>
        </w:tabs>
        <w:ind w:left="5040" w:hanging="360"/>
      </w:pPr>
      <w:rPr>
        <w:rFonts w:ascii="Arial" w:hAnsi="Arial" w:hint="default"/>
      </w:rPr>
    </w:lvl>
    <w:lvl w:ilvl="7" w:tplc="CB0C197A" w:tentative="1">
      <w:start w:val="1"/>
      <w:numFmt w:val="bullet"/>
      <w:lvlText w:val="•"/>
      <w:lvlJc w:val="left"/>
      <w:pPr>
        <w:tabs>
          <w:tab w:val="num" w:pos="5760"/>
        </w:tabs>
        <w:ind w:left="5760" w:hanging="360"/>
      </w:pPr>
      <w:rPr>
        <w:rFonts w:ascii="Arial" w:hAnsi="Arial" w:hint="default"/>
      </w:rPr>
    </w:lvl>
    <w:lvl w:ilvl="8" w:tplc="D67292FA" w:tentative="1">
      <w:start w:val="1"/>
      <w:numFmt w:val="bullet"/>
      <w:lvlText w:val="•"/>
      <w:lvlJc w:val="left"/>
      <w:pPr>
        <w:tabs>
          <w:tab w:val="num" w:pos="6480"/>
        </w:tabs>
        <w:ind w:left="6480" w:hanging="360"/>
      </w:pPr>
      <w:rPr>
        <w:rFonts w:ascii="Arial" w:hAnsi="Arial" w:hint="default"/>
      </w:rPr>
    </w:lvl>
  </w:abstractNum>
  <w:abstractNum w:abstractNumId="1">
    <w:nsid w:val="631F5768"/>
    <w:multiLevelType w:val="hybridMultilevel"/>
    <w:tmpl w:val="3C8AF5A6"/>
    <w:lvl w:ilvl="0" w:tplc="33688FB8">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nsid w:val="6BD51E32"/>
    <w:multiLevelType w:val="hybridMultilevel"/>
    <w:tmpl w:val="293AF64A"/>
    <w:lvl w:ilvl="0" w:tplc="2814CA0C">
      <w:start w:val="1"/>
      <w:numFmt w:val="decimal"/>
      <w:lvlText w:val="%1)"/>
      <w:lvlJc w:val="left"/>
      <w:pPr>
        <w:tabs>
          <w:tab w:val="num" w:pos="675"/>
        </w:tabs>
        <w:ind w:left="675" w:hanging="360"/>
      </w:pPr>
      <w:rPr>
        <w:rFonts w:cs="Times New Roman" w:hint="default"/>
      </w:rPr>
    </w:lvl>
    <w:lvl w:ilvl="1" w:tplc="04260019" w:tentative="1">
      <w:start w:val="1"/>
      <w:numFmt w:val="lowerLetter"/>
      <w:lvlText w:val="%2."/>
      <w:lvlJc w:val="left"/>
      <w:pPr>
        <w:tabs>
          <w:tab w:val="num" w:pos="1395"/>
        </w:tabs>
        <w:ind w:left="1395" w:hanging="360"/>
      </w:pPr>
      <w:rPr>
        <w:rFonts w:cs="Times New Roman"/>
      </w:rPr>
    </w:lvl>
    <w:lvl w:ilvl="2" w:tplc="0426001B" w:tentative="1">
      <w:start w:val="1"/>
      <w:numFmt w:val="lowerRoman"/>
      <w:lvlText w:val="%3."/>
      <w:lvlJc w:val="right"/>
      <w:pPr>
        <w:tabs>
          <w:tab w:val="num" w:pos="2115"/>
        </w:tabs>
        <w:ind w:left="2115" w:hanging="180"/>
      </w:pPr>
      <w:rPr>
        <w:rFonts w:cs="Times New Roman"/>
      </w:rPr>
    </w:lvl>
    <w:lvl w:ilvl="3" w:tplc="0426000F" w:tentative="1">
      <w:start w:val="1"/>
      <w:numFmt w:val="decimal"/>
      <w:lvlText w:val="%4."/>
      <w:lvlJc w:val="left"/>
      <w:pPr>
        <w:tabs>
          <w:tab w:val="num" w:pos="2835"/>
        </w:tabs>
        <w:ind w:left="2835" w:hanging="360"/>
      </w:pPr>
      <w:rPr>
        <w:rFonts w:cs="Times New Roman"/>
      </w:rPr>
    </w:lvl>
    <w:lvl w:ilvl="4" w:tplc="04260019" w:tentative="1">
      <w:start w:val="1"/>
      <w:numFmt w:val="lowerLetter"/>
      <w:lvlText w:val="%5."/>
      <w:lvlJc w:val="left"/>
      <w:pPr>
        <w:tabs>
          <w:tab w:val="num" w:pos="3555"/>
        </w:tabs>
        <w:ind w:left="3555" w:hanging="360"/>
      </w:pPr>
      <w:rPr>
        <w:rFonts w:cs="Times New Roman"/>
      </w:rPr>
    </w:lvl>
    <w:lvl w:ilvl="5" w:tplc="0426001B" w:tentative="1">
      <w:start w:val="1"/>
      <w:numFmt w:val="lowerRoman"/>
      <w:lvlText w:val="%6."/>
      <w:lvlJc w:val="right"/>
      <w:pPr>
        <w:tabs>
          <w:tab w:val="num" w:pos="4275"/>
        </w:tabs>
        <w:ind w:left="4275" w:hanging="180"/>
      </w:pPr>
      <w:rPr>
        <w:rFonts w:cs="Times New Roman"/>
      </w:rPr>
    </w:lvl>
    <w:lvl w:ilvl="6" w:tplc="0426000F" w:tentative="1">
      <w:start w:val="1"/>
      <w:numFmt w:val="decimal"/>
      <w:lvlText w:val="%7."/>
      <w:lvlJc w:val="left"/>
      <w:pPr>
        <w:tabs>
          <w:tab w:val="num" w:pos="4995"/>
        </w:tabs>
        <w:ind w:left="4995" w:hanging="360"/>
      </w:pPr>
      <w:rPr>
        <w:rFonts w:cs="Times New Roman"/>
      </w:rPr>
    </w:lvl>
    <w:lvl w:ilvl="7" w:tplc="04260019" w:tentative="1">
      <w:start w:val="1"/>
      <w:numFmt w:val="lowerLetter"/>
      <w:lvlText w:val="%8."/>
      <w:lvlJc w:val="left"/>
      <w:pPr>
        <w:tabs>
          <w:tab w:val="num" w:pos="5715"/>
        </w:tabs>
        <w:ind w:left="5715" w:hanging="360"/>
      </w:pPr>
      <w:rPr>
        <w:rFonts w:cs="Times New Roman"/>
      </w:rPr>
    </w:lvl>
    <w:lvl w:ilvl="8" w:tplc="0426001B" w:tentative="1">
      <w:start w:val="1"/>
      <w:numFmt w:val="lowerRoman"/>
      <w:lvlText w:val="%9."/>
      <w:lvlJc w:val="right"/>
      <w:pPr>
        <w:tabs>
          <w:tab w:val="num" w:pos="6435"/>
        </w:tabs>
        <w:ind w:left="6435" w:hanging="180"/>
      </w:pPr>
      <w:rPr>
        <w:rFonts w:cs="Times New Roman"/>
      </w:rPr>
    </w:lvl>
  </w:abstractNum>
  <w:abstractNum w:abstractNumId="3">
    <w:nsid w:val="6C0E36D5"/>
    <w:multiLevelType w:val="hybridMultilevel"/>
    <w:tmpl w:val="73B6A022"/>
    <w:lvl w:ilvl="0" w:tplc="04260001">
      <w:start w:val="1"/>
      <w:numFmt w:val="decimal"/>
      <w:lvlText w:val="%1."/>
      <w:lvlJc w:val="left"/>
      <w:pPr>
        <w:ind w:left="1035" w:hanging="360"/>
      </w:pPr>
      <w:rPr>
        <w:rFonts w:cs="Times New Roman" w:hint="default"/>
      </w:rPr>
    </w:lvl>
    <w:lvl w:ilvl="1" w:tplc="04260019" w:tentative="1">
      <w:start w:val="1"/>
      <w:numFmt w:val="lowerLetter"/>
      <w:lvlText w:val="%2."/>
      <w:lvlJc w:val="left"/>
      <w:pPr>
        <w:ind w:left="1395" w:hanging="360"/>
      </w:pPr>
      <w:rPr>
        <w:rFonts w:cs="Times New Roman"/>
      </w:rPr>
    </w:lvl>
    <w:lvl w:ilvl="2" w:tplc="0426001B" w:tentative="1">
      <w:start w:val="1"/>
      <w:numFmt w:val="lowerRoman"/>
      <w:lvlText w:val="%3."/>
      <w:lvlJc w:val="right"/>
      <w:pPr>
        <w:ind w:left="2115" w:hanging="180"/>
      </w:pPr>
      <w:rPr>
        <w:rFonts w:cs="Times New Roman"/>
      </w:rPr>
    </w:lvl>
    <w:lvl w:ilvl="3" w:tplc="0426000F" w:tentative="1">
      <w:start w:val="1"/>
      <w:numFmt w:val="decimal"/>
      <w:lvlText w:val="%4."/>
      <w:lvlJc w:val="left"/>
      <w:pPr>
        <w:ind w:left="2835" w:hanging="360"/>
      </w:pPr>
      <w:rPr>
        <w:rFonts w:cs="Times New Roman"/>
      </w:rPr>
    </w:lvl>
    <w:lvl w:ilvl="4" w:tplc="04260019" w:tentative="1">
      <w:start w:val="1"/>
      <w:numFmt w:val="lowerLetter"/>
      <w:lvlText w:val="%5."/>
      <w:lvlJc w:val="left"/>
      <w:pPr>
        <w:ind w:left="3555" w:hanging="360"/>
      </w:pPr>
      <w:rPr>
        <w:rFonts w:cs="Times New Roman"/>
      </w:rPr>
    </w:lvl>
    <w:lvl w:ilvl="5" w:tplc="0426001B" w:tentative="1">
      <w:start w:val="1"/>
      <w:numFmt w:val="lowerRoman"/>
      <w:lvlText w:val="%6."/>
      <w:lvlJc w:val="right"/>
      <w:pPr>
        <w:ind w:left="4275" w:hanging="180"/>
      </w:pPr>
      <w:rPr>
        <w:rFonts w:cs="Times New Roman"/>
      </w:rPr>
    </w:lvl>
    <w:lvl w:ilvl="6" w:tplc="0426000F" w:tentative="1">
      <w:start w:val="1"/>
      <w:numFmt w:val="decimal"/>
      <w:lvlText w:val="%7."/>
      <w:lvlJc w:val="left"/>
      <w:pPr>
        <w:ind w:left="4995" w:hanging="360"/>
      </w:pPr>
      <w:rPr>
        <w:rFonts w:cs="Times New Roman"/>
      </w:rPr>
    </w:lvl>
    <w:lvl w:ilvl="7" w:tplc="04260019" w:tentative="1">
      <w:start w:val="1"/>
      <w:numFmt w:val="lowerLetter"/>
      <w:lvlText w:val="%8."/>
      <w:lvlJc w:val="left"/>
      <w:pPr>
        <w:ind w:left="5715" w:hanging="360"/>
      </w:pPr>
      <w:rPr>
        <w:rFonts w:cs="Times New Roman"/>
      </w:rPr>
    </w:lvl>
    <w:lvl w:ilvl="8" w:tplc="0426001B" w:tentative="1">
      <w:start w:val="1"/>
      <w:numFmt w:val="lowerRoman"/>
      <w:lvlText w:val="%9."/>
      <w:lvlJc w:val="right"/>
      <w:pPr>
        <w:ind w:left="6435"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stylePaneFormatFilter w:val="3F01"/>
  <w:defaultTabStop w:val="720"/>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02D"/>
    <w:rsid w:val="00004F1B"/>
    <w:rsid w:val="0001648F"/>
    <w:rsid w:val="00056A17"/>
    <w:rsid w:val="000731B3"/>
    <w:rsid w:val="00077DF8"/>
    <w:rsid w:val="000D2BA9"/>
    <w:rsid w:val="000F6AD8"/>
    <w:rsid w:val="0010609A"/>
    <w:rsid w:val="00106D37"/>
    <w:rsid w:val="00115FA0"/>
    <w:rsid w:val="00135C33"/>
    <w:rsid w:val="00155A00"/>
    <w:rsid w:val="00157832"/>
    <w:rsid w:val="00160883"/>
    <w:rsid w:val="0016316C"/>
    <w:rsid w:val="001726E2"/>
    <w:rsid w:val="0019104B"/>
    <w:rsid w:val="001973C6"/>
    <w:rsid w:val="001B17FA"/>
    <w:rsid w:val="001D0356"/>
    <w:rsid w:val="001E3ADE"/>
    <w:rsid w:val="001F663E"/>
    <w:rsid w:val="00200349"/>
    <w:rsid w:val="0022015D"/>
    <w:rsid w:val="00220ED7"/>
    <w:rsid w:val="00230C29"/>
    <w:rsid w:val="00231EDD"/>
    <w:rsid w:val="00232333"/>
    <w:rsid w:val="0023606A"/>
    <w:rsid w:val="0024304A"/>
    <w:rsid w:val="00266657"/>
    <w:rsid w:val="002755C8"/>
    <w:rsid w:val="00293411"/>
    <w:rsid w:val="002C544F"/>
    <w:rsid w:val="002C6C3C"/>
    <w:rsid w:val="002D4BA6"/>
    <w:rsid w:val="002D5C6B"/>
    <w:rsid w:val="002E3883"/>
    <w:rsid w:val="002F0073"/>
    <w:rsid w:val="002F5EDA"/>
    <w:rsid w:val="003042E0"/>
    <w:rsid w:val="003368B9"/>
    <w:rsid w:val="003434BC"/>
    <w:rsid w:val="00352254"/>
    <w:rsid w:val="0035334D"/>
    <w:rsid w:val="00375F2C"/>
    <w:rsid w:val="00377696"/>
    <w:rsid w:val="003806DD"/>
    <w:rsid w:val="00390216"/>
    <w:rsid w:val="003A6BBB"/>
    <w:rsid w:val="003D1F9A"/>
    <w:rsid w:val="003E19DC"/>
    <w:rsid w:val="003E2AC0"/>
    <w:rsid w:val="003E3DCB"/>
    <w:rsid w:val="00406107"/>
    <w:rsid w:val="00422E46"/>
    <w:rsid w:val="00431604"/>
    <w:rsid w:val="00437AD7"/>
    <w:rsid w:val="00466082"/>
    <w:rsid w:val="0046713D"/>
    <w:rsid w:val="00477AF1"/>
    <w:rsid w:val="00491007"/>
    <w:rsid w:val="004A2F85"/>
    <w:rsid w:val="004B3B2D"/>
    <w:rsid w:val="00510B85"/>
    <w:rsid w:val="00530C80"/>
    <w:rsid w:val="00543DDF"/>
    <w:rsid w:val="00552544"/>
    <w:rsid w:val="00564DEE"/>
    <w:rsid w:val="0058405C"/>
    <w:rsid w:val="005971C2"/>
    <w:rsid w:val="005C047D"/>
    <w:rsid w:val="005D5F18"/>
    <w:rsid w:val="005E1963"/>
    <w:rsid w:val="005E72FA"/>
    <w:rsid w:val="005F0FCC"/>
    <w:rsid w:val="00623ACF"/>
    <w:rsid w:val="00625DFC"/>
    <w:rsid w:val="00631569"/>
    <w:rsid w:val="00645FE9"/>
    <w:rsid w:val="00665A40"/>
    <w:rsid w:val="006737D0"/>
    <w:rsid w:val="0068074E"/>
    <w:rsid w:val="00691368"/>
    <w:rsid w:val="006B7C52"/>
    <w:rsid w:val="006C194C"/>
    <w:rsid w:val="006D4131"/>
    <w:rsid w:val="00705052"/>
    <w:rsid w:val="007254F2"/>
    <w:rsid w:val="00726804"/>
    <w:rsid w:val="00735D28"/>
    <w:rsid w:val="00741E11"/>
    <w:rsid w:val="00742BF6"/>
    <w:rsid w:val="007619DC"/>
    <w:rsid w:val="00793126"/>
    <w:rsid w:val="007A04A9"/>
    <w:rsid w:val="007A1C21"/>
    <w:rsid w:val="007B6F7B"/>
    <w:rsid w:val="007B73F3"/>
    <w:rsid w:val="007D6F79"/>
    <w:rsid w:val="007E79BF"/>
    <w:rsid w:val="007E7DD2"/>
    <w:rsid w:val="00817FFD"/>
    <w:rsid w:val="00847284"/>
    <w:rsid w:val="00853319"/>
    <w:rsid w:val="00867752"/>
    <w:rsid w:val="008A71B3"/>
    <w:rsid w:val="008B197D"/>
    <w:rsid w:val="008B3A48"/>
    <w:rsid w:val="008B57D7"/>
    <w:rsid w:val="008D054C"/>
    <w:rsid w:val="008D232F"/>
    <w:rsid w:val="00915730"/>
    <w:rsid w:val="00926613"/>
    <w:rsid w:val="00964FC2"/>
    <w:rsid w:val="009841FF"/>
    <w:rsid w:val="00984908"/>
    <w:rsid w:val="009A4AEE"/>
    <w:rsid w:val="009A6283"/>
    <w:rsid w:val="009B2CFD"/>
    <w:rsid w:val="009C51EC"/>
    <w:rsid w:val="009C6F3E"/>
    <w:rsid w:val="009D419B"/>
    <w:rsid w:val="009E5974"/>
    <w:rsid w:val="00A03429"/>
    <w:rsid w:val="00A07B03"/>
    <w:rsid w:val="00A3424B"/>
    <w:rsid w:val="00A636D6"/>
    <w:rsid w:val="00A76D15"/>
    <w:rsid w:val="00A93860"/>
    <w:rsid w:val="00A94F99"/>
    <w:rsid w:val="00AA402D"/>
    <w:rsid w:val="00AA70D2"/>
    <w:rsid w:val="00AB2122"/>
    <w:rsid w:val="00AD010D"/>
    <w:rsid w:val="00AD5E4B"/>
    <w:rsid w:val="00AD7060"/>
    <w:rsid w:val="00AE3868"/>
    <w:rsid w:val="00B10D61"/>
    <w:rsid w:val="00B260D6"/>
    <w:rsid w:val="00B355A0"/>
    <w:rsid w:val="00B50B70"/>
    <w:rsid w:val="00B7047F"/>
    <w:rsid w:val="00B73077"/>
    <w:rsid w:val="00B90491"/>
    <w:rsid w:val="00BA50C4"/>
    <w:rsid w:val="00BB596B"/>
    <w:rsid w:val="00BC2B27"/>
    <w:rsid w:val="00BD154D"/>
    <w:rsid w:val="00C1550C"/>
    <w:rsid w:val="00C32537"/>
    <w:rsid w:val="00C5053A"/>
    <w:rsid w:val="00C538F0"/>
    <w:rsid w:val="00C72E46"/>
    <w:rsid w:val="00C96E98"/>
    <w:rsid w:val="00D10CD6"/>
    <w:rsid w:val="00D21AD4"/>
    <w:rsid w:val="00D44BA4"/>
    <w:rsid w:val="00D65E38"/>
    <w:rsid w:val="00D96152"/>
    <w:rsid w:val="00D97ED0"/>
    <w:rsid w:val="00DA408C"/>
    <w:rsid w:val="00DA777D"/>
    <w:rsid w:val="00DC3614"/>
    <w:rsid w:val="00DF21CA"/>
    <w:rsid w:val="00E03DCC"/>
    <w:rsid w:val="00E041F9"/>
    <w:rsid w:val="00E10192"/>
    <w:rsid w:val="00E16C34"/>
    <w:rsid w:val="00E4739B"/>
    <w:rsid w:val="00E84EED"/>
    <w:rsid w:val="00EA0A3A"/>
    <w:rsid w:val="00EA1851"/>
    <w:rsid w:val="00EA7BB1"/>
    <w:rsid w:val="00EC4EF5"/>
    <w:rsid w:val="00ED2776"/>
    <w:rsid w:val="00ED2C7A"/>
    <w:rsid w:val="00ED2CB4"/>
    <w:rsid w:val="00EE5846"/>
    <w:rsid w:val="00F0172E"/>
    <w:rsid w:val="00F16E0E"/>
    <w:rsid w:val="00F36947"/>
    <w:rsid w:val="00F56808"/>
    <w:rsid w:val="00F951CF"/>
    <w:rsid w:val="00FA3933"/>
    <w:rsid w:val="00FB6DBE"/>
    <w:rsid w:val="00FE561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2D"/>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402D"/>
    <w:pPr>
      <w:tabs>
        <w:tab w:val="center" w:pos="4153"/>
        <w:tab w:val="right" w:pos="8306"/>
      </w:tabs>
    </w:pPr>
  </w:style>
  <w:style w:type="character" w:customStyle="1" w:styleId="HeaderChar">
    <w:name w:val="Header Char"/>
    <w:basedOn w:val="DefaultParagraphFont"/>
    <w:link w:val="Header"/>
    <w:uiPriority w:val="99"/>
    <w:locked/>
    <w:rsid w:val="0024304A"/>
    <w:rPr>
      <w:rFonts w:ascii="Calibri" w:hAnsi="Calibri" w:cs="Times New Roman"/>
      <w:sz w:val="22"/>
      <w:szCs w:val="22"/>
      <w:lang w:val="lv-LV" w:eastAsia="en-US" w:bidi="ar-SA"/>
    </w:rPr>
  </w:style>
  <w:style w:type="paragraph" w:styleId="Footer">
    <w:name w:val="footer"/>
    <w:basedOn w:val="Normal"/>
    <w:link w:val="FooterChar"/>
    <w:uiPriority w:val="99"/>
    <w:rsid w:val="00AA402D"/>
    <w:pPr>
      <w:tabs>
        <w:tab w:val="center" w:pos="4153"/>
        <w:tab w:val="right" w:pos="8306"/>
      </w:tabs>
    </w:pPr>
  </w:style>
  <w:style w:type="character" w:customStyle="1" w:styleId="FooterChar">
    <w:name w:val="Footer Char"/>
    <w:basedOn w:val="DefaultParagraphFont"/>
    <w:link w:val="Footer"/>
    <w:uiPriority w:val="99"/>
    <w:semiHidden/>
    <w:locked/>
    <w:rsid w:val="00C538F0"/>
    <w:rPr>
      <w:rFonts w:ascii="Calibri" w:hAnsi="Calibri" w:cs="Times New Roman"/>
      <w:lang w:eastAsia="en-US"/>
    </w:rPr>
  </w:style>
  <w:style w:type="paragraph" w:customStyle="1" w:styleId="naisnod">
    <w:name w:val="naisnod"/>
    <w:basedOn w:val="Normal"/>
    <w:uiPriority w:val="99"/>
    <w:rsid w:val="00AA402D"/>
    <w:pPr>
      <w:suppressAutoHyphens/>
      <w:autoSpaceDN w:val="0"/>
      <w:spacing w:before="150" w:after="150" w:line="240" w:lineRule="auto"/>
      <w:jc w:val="center"/>
      <w:textAlignment w:val="baseline"/>
    </w:pPr>
    <w:rPr>
      <w:rFonts w:ascii="Times New Roman" w:hAnsi="Times New Roman"/>
      <w:b/>
      <w:bCs/>
      <w:sz w:val="24"/>
      <w:szCs w:val="24"/>
      <w:lang w:eastAsia="lv-LV"/>
    </w:rPr>
  </w:style>
  <w:style w:type="paragraph" w:customStyle="1" w:styleId="naiskr">
    <w:name w:val="naiskr"/>
    <w:basedOn w:val="Normal"/>
    <w:uiPriority w:val="99"/>
    <w:rsid w:val="00AA402D"/>
    <w:pPr>
      <w:suppressAutoHyphens/>
      <w:autoSpaceDN w:val="0"/>
      <w:spacing w:before="75" w:after="75" w:line="240" w:lineRule="auto"/>
      <w:textAlignment w:val="baseline"/>
    </w:pPr>
    <w:rPr>
      <w:rFonts w:ascii="Times New Roman" w:hAnsi="Times New Roman"/>
      <w:sz w:val="24"/>
      <w:szCs w:val="24"/>
      <w:lang w:eastAsia="lv-LV"/>
    </w:rPr>
  </w:style>
  <w:style w:type="paragraph" w:styleId="ListParagraph">
    <w:name w:val="List Paragraph"/>
    <w:basedOn w:val="Normal"/>
    <w:uiPriority w:val="99"/>
    <w:qFormat/>
    <w:rsid w:val="00AA402D"/>
    <w:pPr>
      <w:suppressAutoHyphens/>
      <w:autoSpaceDN w:val="0"/>
      <w:spacing w:after="0" w:line="240" w:lineRule="auto"/>
      <w:ind w:left="720"/>
      <w:contextualSpacing/>
      <w:textAlignment w:val="baseline"/>
    </w:pPr>
    <w:rPr>
      <w:rFonts w:ascii="Times New Roman" w:hAnsi="Times New Roman"/>
      <w:sz w:val="24"/>
      <w:szCs w:val="24"/>
      <w:lang w:eastAsia="lv-LV"/>
    </w:rPr>
  </w:style>
  <w:style w:type="paragraph" w:styleId="NormalWeb">
    <w:name w:val="Normal (Web)"/>
    <w:basedOn w:val="Normal"/>
    <w:link w:val="NormalWebChar"/>
    <w:uiPriority w:val="99"/>
    <w:rsid w:val="00AA402D"/>
    <w:pPr>
      <w:spacing w:before="100" w:beforeAutospacing="1" w:after="100" w:afterAutospacing="1" w:line="240" w:lineRule="auto"/>
    </w:pPr>
    <w:rPr>
      <w:rFonts w:ascii="Times New Roman" w:hAnsi="Times New Roman"/>
      <w:sz w:val="24"/>
      <w:szCs w:val="20"/>
      <w:lang w:eastAsia="lv-LV"/>
    </w:rPr>
  </w:style>
  <w:style w:type="character" w:customStyle="1" w:styleId="NormalWebChar">
    <w:name w:val="Normal (Web) Char"/>
    <w:link w:val="NormalWeb"/>
    <w:uiPriority w:val="99"/>
    <w:locked/>
    <w:rsid w:val="00AA402D"/>
    <w:rPr>
      <w:sz w:val="24"/>
      <w:lang w:val="lv-LV" w:eastAsia="lv-LV"/>
    </w:rPr>
  </w:style>
  <w:style w:type="paragraph" w:styleId="PlainText">
    <w:name w:val="Plain Text"/>
    <w:basedOn w:val="Normal"/>
    <w:link w:val="PlainTextChar"/>
    <w:uiPriority w:val="99"/>
    <w:semiHidden/>
    <w:rsid w:val="00AA402D"/>
    <w:pPr>
      <w:spacing w:after="0" w:line="240" w:lineRule="auto"/>
    </w:pPr>
    <w:rPr>
      <w:rFonts w:cs="Consolas"/>
      <w:szCs w:val="21"/>
    </w:rPr>
  </w:style>
  <w:style w:type="character" w:customStyle="1" w:styleId="PlainTextChar">
    <w:name w:val="Plain Text Char"/>
    <w:basedOn w:val="DefaultParagraphFont"/>
    <w:link w:val="PlainText"/>
    <w:uiPriority w:val="99"/>
    <w:semiHidden/>
    <w:locked/>
    <w:rsid w:val="00AA402D"/>
    <w:rPr>
      <w:rFonts w:ascii="Calibri" w:hAnsi="Calibri" w:cs="Consolas"/>
      <w:sz w:val="21"/>
      <w:szCs w:val="21"/>
      <w:lang w:val="lv-LV" w:eastAsia="en-US" w:bidi="ar-SA"/>
    </w:rPr>
  </w:style>
  <w:style w:type="paragraph" w:customStyle="1" w:styleId="naisf">
    <w:name w:val="naisf"/>
    <w:basedOn w:val="Normal"/>
    <w:uiPriority w:val="99"/>
    <w:rsid w:val="00AA402D"/>
    <w:pPr>
      <w:suppressAutoHyphens/>
      <w:autoSpaceDN w:val="0"/>
      <w:spacing w:before="75" w:after="75" w:line="240" w:lineRule="auto"/>
      <w:ind w:firstLine="375"/>
      <w:jc w:val="both"/>
      <w:textAlignment w:val="baseline"/>
    </w:pPr>
    <w:rPr>
      <w:rFonts w:ascii="Times New Roman" w:hAnsi="Times New Roman"/>
      <w:sz w:val="24"/>
      <w:szCs w:val="24"/>
      <w:lang w:eastAsia="lv-LV"/>
    </w:rPr>
  </w:style>
  <w:style w:type="paragraph" w:customStyle="1" w:styleId="default">
    <w:name w:val="default"/>
    <w:basedOn w:val="Normal"/>
    <w:uiPriority w:val="99"/>
    <w:rsid w:val="00A76D15"/>
    <w:pPr>
      <w:autoSpaceDE w:val="0"/>
      <w:autoSpaceDN w:val="0"/>
      <w:spacing w:after="0" w:line="240" w:lineRule="auto"/>
    </w:pPr>
    <w:rPr>
      <w:rFonts w:ascii="Times New Roman" w:hAnsi="Times New Roman"/>
      <w:color w:val="000000"/>
      <w:sz w:val="24"/>
      <w:szCs w:val="24"/>
      <w:lang w:eastAsia="lv-LV"/>
    </w:rPr>
  </w:style>
  <w:style w:type="character" w:styleId="Hyperlink">
    <w:name w:val="Hyperlink"/>
    <w:basedOn w:val="DefaultParagraphFont"/>
    <w:uiPriority w:val="99"/>
    <w:rsid w:val="00A76D15"/>
    <w:rPr>
      <w:rFonts w:cs="Times New Roman"/>
      <w:color w:val="0000FF"/>
      <w:u w:val="single"/>
    </w:rPr>
  </w:style>
  <w:style w:type="paragraph" w:customStyle="1" w:styleId="tv2121">
    <w:name w:val="tv2121"/>
    <w:basedOn w:val="Normal"/>
    <w:uiPriority w:val="99"/>
    <w:rsid w:val="00B10D61"/>
    <w:pPr>
      <w:spacing w:before="400" w:after="0" w:line="360" w:lineRule="auto"/>
      <w:jc w:val="center"/>
    </w:pPr>
    <w:rPr>
      <w:rFonts w:ascii="Verdana" w:hAnsi="Verdana"/>
      <w:b/>
      <w:bCs/>
      <w:sz w:val="20"/>
      <w:szCs w:val="20"/>
      <w:lang w:eastAsia="lv-LV"/>
    </w:rPr>
  </w:style>
  <w:style w:type="character" w:styleId="PageNumber">
    <w:name w:val="page number"/>
    <w:basedOn w:val="DefaultParagraphFont"/>
    <w:uiPriority w:val="99"/>
    <w:rsid w:val="00352254"/>
    <w:rPr>
      <w:rFonts w:cs="Times New Roman"/>
    </w:rPr>
  </w:style>
  <w:style w:type="paragraph" w:styleId="BalloonText">
    <w:name w:val="Balloon Text"/>
    <w:basedOn w:val="Normal"/>
    <w:link w:val="BalloonTextChar"/>
    <w:uiPriority w:val="99"/>
    <w:semiHidden/>
    <w:rsid w:val="003E2A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408C"/>
    <w:rPr>
      <w:rFonts w:cs="Times New Roman"/>
      <w:sz w:val="2"/>
      <w:lang w:eastAsia="en-US"/>
    </w:rPr>
  </w:style>
  <w:style w:type="paragraph" w:styleId="CommentText">
    <w:name w:val="annotation text"/>
    <w:basedOn w:val="Normal"/>
    <w:link w:val="CommentTextChar1"/>
    <w:uiPriority w:val="99"/>
    <w:semiHidden/>
    <w:rsid w:val="00FB6DBE"/>
    <w:pPr>
      <w:widowControl w:val="0"/>
    </w:pPr>
    <w:rPr>
      <w:sz w:val="20"/>
      <w:szCs w:val="20"/>
      <w:lang w:val="en-US"/>
    </w:rPr>
  </w:style>
  <w:style w:type="character" w:customStyle="1" w:styleId="CommentTextChar">
    <w:name w:val="Comment Text Char"/>
    <w:basedOn w:val="DefaultParagraphFont"/>
    <w:link w:val="CommentText"/>
    <w:uiPriority w:val="99"/>
    <w:semiHidden/>
    <w:locked/>
    <w:rsid w:val="00DF21CA"/>
    <w:rPr>
      <w:rFonts w:ascii="Calibri" w:hAnsi="Calibri" w:cs="Times New Roman"/>
      <w:sz w:val="20"/>
      <w:szCs w:val="20"/>
      <w:lang w:eastAsia="en-US"/>
    </w:rPr>
  </w:style>
  <w:style w:type="character" w:customStyle="1" w:styleId="CommentTextChar1">
    <w:name w:val="Comment Text Char1"/>
    <w:link w:val="CommentText"/>
    <w:uiPriority w:val="99"/>
    <w:semiHidden/>
    <w:locked/>
    <w:rsid w:val="00FB6DBE"/>
    <w:rPr>
      <w:rFonts w:ascii="Calibri" w:hAnsi="Calibri"/>
      <w:lang w:val="en-US" w:eastAsia="en-US"/>
    </w:rPr>
  </w:style>
</w:styles>
</file>

<file path=word/webSettings.xml><?xml version="1.0" encoding="utf-8"?>
<w:webSettings xmlns:r="http://schemas.openxmlformats.org/officeDocument/2006/relationships" xmlns:w="http://schemas.openxmlformats.org/wordprocessingml/2006/main">
  <w:divs>
    <w:div w:id="1418399712">
      <w:marLeft w:val="0"/>
      <w:marRight w:val="0"/>
      <w:marTop w:val="0"/>
      <w:marBottom w:val="0"/>
      <w:divBdr>
        <w:top w:val="none" w:sz="0" w:space="0" w:color="auto"/>
        <w:left w:val="none" w:sz="0" w:space="0" w:color="auto"/>
        <w:bottom w:val="none" w:sz="0" w:space="0" w:color="auto"/>
        <w:right w:val="none" w:sz="0" w:space="0" w:color="auto"/>
      </w:divBdr>
      <w:divsChild>
        <w:div w:id="1418399714">
          <w:marLeft w:val="0"/>
          <w:marRight w:val="0"/>
          <w:marTop w:val="0"/>
          <w:marBottom w:val="0"/>
          <w:divBdr>
            <w:top w:val="none" w:sz="0" w:space="0" w:color="auto"/>
            <w:left w:val="none" w:sz="0" w:space="0" w:color="auto"/>
            <w:bottom w:val="none" w:sz="0" w:space="0" w:color="auto"/>
            <w:right w:val="none" w:sz="0" w:space="0" w:color="auto"/>
          </w:divBdr>
          <w:divsChild>
            <w:div w:id="1418399711">
              <w:marLeft w:val="0"/>
              <w:marRight w:val="0"/>
              <w:marTop w:val="0"/>
              <w:marBottom w:val="0"/>
              <w:divBdr>
                <w:top w:val="none" w:sz="0" w:space="0" w:color="auto"/>
                <w:left w:val="none" w:sz="0" w:space="0" w:color="auto"/>
                <w:bottom w:val="none" w:sz="0" w:space="0" w:color="auto"/>
                <w:right w:val="none" w:sz="0" w:space="0" w:color="auto"/>
              </w:divBdr>
            </w:div>
            <w:div w:id="1418399713">
              <w:marLeft w:val="0"/>
              <w:marRight w:val="0"/>
              <w:marTop w:val="0"/>
              <w:marBottom w:val="0"/>
              <w:divBdr>
                <w:top w:val="none" w:sz="0" w:space="0" w:color="auto"/>
                <w:left w:val="none" w:sz="0" w:space="0" w:color="auto"/>
                <w:bottom w:val="none" w:sz="0" w:space="0" w:color="auto"/>
                <w:right w:val="none" w:sz="0" w:space="0" w:color="auto"/>
              </w:divBdr>
            </w:div>
            <w:div w:id="1418399715">
              <w:marLeft w:val="0"/>
              <w:marRight w:val="0"/>
              <w:marTop w:val="0"/>
              <w:marBottom w:val="0"/>
              <w:divBdr>
                <w:top w:val="none" w:sz="0" w:space="0" w:color="auto"/>
                <w:left w:val="none" w:sz="0" w:space="0" w:color="auto"/>
                <w:bottom w:val="none" w:sz="0" w:space="0" w:color="auto"/>
                <w:right w:val="none" w:sz="0" w:space="0" w:color="auto"/>
              </w:divBdr>
            </w:div>
            <w:div w:id="14183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is.ilgavizs@varam.gov.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9</Pages>
  <Words>2207</Words>
  <Characters>16337</Characters>
  <Application>Microsoft Office Outlook</Application>
  <DocSecurity>0</DocSecurity>
  <Lines>0</Lines>
  <Paragraphs>0</Paragraphs>
  <ScaleCrop>false</ScaleCrop>
  <Company>vidm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„Metodika un kārtība, kādā pašvaldība sedz pirmsskolas izglītības programmas izmaksas privātajai izglītības iestādei” sākotnējās ietekmes novērtējuma ziņojums (anotācija)</dc:title>
  <dc:subject/>
  <dc:creator>janisi</dc:creator>
  <cp:keywords/>
  <dc:description/>
  <cp:lastModifiedBy>janisi</cp:lastModifiedBy>
  <cp:revision>7</cp:revision>
  <cp:lastPrinted>2015-12-02T12:28:00Z</cp:lastPrinted>
  <dcterms:created xsi:type="dcterms:W3CDTF">2015-12-02T11:23:00Z</dcterms:created>
  <dcterms:modified xsi:type="dcterms:W3CDTF">2015-12-02T12:31:00Z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