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09" w:rsidRPr="00155E21" w:rsidRDefault="008D6A45" w:rsidP="00034209">
      <w:pPr>
        <w:ind w:firstLine="720"/>
        <w:jc w:val="right"/>
      </w:pPr>
      <w:r w:rsidRPr="00034209">
        <w:t>6</w:t>
      </w:r>
      <w:r w:rsidR="00D66EFD" w:rsidRPr="00034209">
        <w:t>.p</w:t>
      </w:r>
      <w:r w:rsidR="00A52629" w:rsidRPr="00034209">
        <w:t>ielikums</w:t>
      </w:r>
    </w:p>
    <w:p w:rsidR="00034209" w:rsidRPr="0030636F" w:rsidRDefault="00034209" w:rsidP="00034209">
      <w:pPr>
        <w:ind w:firstLine="720"/>
        <w:jc w:val="right"/>
      </w:pPr>
      <w:r w:rsidRPr="0030636F">
        <w:t>Ministru kabineta</w:t>
      </w:r>
    </w:p>
    <w:p w:rsidR="00034209" w:rsidRPr="0030636F" w:rsidRDefault="00034209" w:rsidP="00034209">
      <w:pPr>
        <w:ind w:firstLine="720"/>
        <w:jc w:val="right"/>
      </w:pPr>
      <w:r w:rsidRPr="0030636F">
        <w:t>2015. gada</w:t>
      </w:r>
      <w:r w:rsidRPr="0030636F">
        <w:tab/>
        <w:t>.novembra</w:t>
      </w:r>
    </w:p>
    <w:p w:rsidR="00034209" w:rsidRDefault="00034209" w:rsidP="00034209">
      <w:pPr>
        <w:jc w:val="right"/>
      </w:pPr>
      <w:r w:rsidRPr="0030636F">
        <w:t>noteikumiem Nr</w:t>
      </w:r>
      <w:r>
        <w:t>.</w:t>
      </w:r>
      <w:r>
        <w:tab/>
      </w:r>
    </w:p>
    <w:p w:rsidR="0041630F" w:rsidRPr="00034209" w:rsidRDefault="0041630F" w:rsidP="00E15EB9">
      <w:pPr>
        <w:jc w:val="center"/>
      </w:pPr>
    </w:p>
    <w:p w:rsidR="00ED3C90" w:rsidRPr="00034209" w:rsidRDefault="00ED3C90" w:rsidP="00ED3C90">
      <w:pPr>
        <w:jc w:val="center"/>
        <w:rPr>
          <w:b/>
        </w:rPr>
      </w:pPr>
      <w:r w:rsidRPr="00034209">
        <w:rPr>
          <w:b/>
        </w:rPr>
        <w:t xml:space="preserve">Reducējošo cukuru noteikšana, izsakot to saturu kā </w:t>
      </w:r>
      <w:proofErr w:type="spellStart"/>
      <w:r w:rsidRPr="00034209">
        <w:rPr>
          <w:b/>
        </w:rPr>
        <w:t>invertcukuru</w:t>
      </w:r>
      <w:proofErr w:type="spellEnd"/>
      <w:r w:rsidRPr="00034209">
        <w:rPr>
          <w:b/>
        </w:rPr>
        <w:t xml:space="preserve"> vai</w:t>
      </w:r>
    </w:p>
    <w:p w:rsidR="008D6A45" w:rsidRPr="00034209" w:rsidRDefault="00ED3C90" w:rsidP="00ED3C90">
      <w:pPr>
        <w:jc w:val="center"/>
        <w:rPr>
          <w:b/>
        </w:rPr>
      </w:pPr>
      <w:r w:rsidRPr="00034209">
        <w:rPr>
          <w:b/>
        </w:rPr>
        <w:t xml:space="preserve">dekstrozes ekvivalentu </w:t>
      </w:r>
    </w:p>
    <w:p w:rsidR="00ED3C90" w:rsidRPr="00034209" w:rsidRDefault="00ED3C90" w:rsidP="00ED3C90">
      <w:pPr>
        <w:jc w:val="center"/>
        <w:rPr>
          <w:b/>
        </w:rPr>
      </w:pPr>
      <w:r w:rsidRPr="00034209">
        <w:rPr>
          <w:b/>
        </w:rPr>
        <w:t>(</w:t>
      </w:r>
      <w:proofErr w:type="spellStart"/>
      <w:r w:rsidRPr="00034209">
        <w:rPr>
          <w:b/>
          <w:i/>
        </w:rPr>
        <w:t>Luff-Schoorl</w:t>
      </w:r>
      <w:proofErr w:type="spellEnd"/>
      <w:r w:rsidRPr="00034209">
        <w:rPr>
          <w:b/>
        </w:rPr>
        <w:t xml:space="preserve"> metode)</w:t>
      </w:r>
    </w:p>
    <w:p w:rsidR="008D6A45" w:rsidRPr="00034209" w:rsidRDefault="008D6A45" w:rsidP="00ED3C90">
      <w:pPr>
        <w:jc w:val="center"/>
        <w:rPr>
          <w:b/>
        </w:rPr>
      </w:pPr>
    </w:p>
    <w:p w:rsidR="00ED3C90" w:rsidRPr="00034209" w:rsidRDefault="00034209" w:rsidP="00034209">
      <w:pPr>
        <w:ind w:firstLine="720"/>
        <w:jc w:val="both"/>
      </w:pPr>
      <w:r>
        <w:t xml:space="preserve">1. </w:t>
      </w:r>
      <w:r w:rsidR="00ED3C90" w:rsidRPr="00034209">
        <w:t>Izmantojot šo metodi, nosaka:</w:t>
      </w:r>
    </w:p>
    <w:p w:rsidR="00ED3C90" w:rsidRPr="00034209" w:rsidRDefault="00034209" w:rsidP="00034209">
      <w:pPr>
        <w:ind w:firstLine="720"/>
        <w:jc w:val="both"/>
      </w:pPr>
      <w:r>
        <w:t xml:space="preserve">1.1. </w:t>
      </w:r>
      <w:r w:rsidR="00ED3C90" w:rsidRPr="00034209">
        <w:t xml:space="preserve">reducējošo cukuru saturu, kas izteikts kā </w:t>
      </w:r>
      <w:proofErr w:type="spellStart"/>
      <w:r w:rsidR="00ED3C90" w:rsidRPr="00034209">
        <w:t>invertcukurs</w:t>
      </w:r>
      <w:proofErr w:type="spellEnd"/>
      <w:r w:rsidR="00ED3C90" w:rsidRPr="00034209">
        <w:t xml:space="preserve">, </w:t>
      </w:r>
      <w:r w:rsidR="001D71FD" w:rsidRPr="00034209">
        <w:t>–</w:t>
      </w:r>
      <w:r w:rsidR="00ED3C90" w:rsidRPr="00034209">
        <w:t xml:space="preserve"> cukura šķīdumam, baltajam cukura šķīdumam, </w:t>
      </w:r>
      <w:proofErr w:type="spellStart"/>
      <w:r w:rsidR="00ED3C90" w:rsidRPr="00034209">
        <w:t>invertcukura</w:t>
      </w:r>
      <w:proofErr w:type="spellEnd"/>
      <w:r w:rsidR="00ED3C90" w:rsidRPr="00034209">
        <w:t xml:space="preserve"> šķīdumam, baltajam </w:t>
      </w:r>
      <w:proofErr w:type="spellStart"/>
      <w:r w:rsidR="00ED3C90" w:rsidRPr="00034209">
        <w:t>invertcukura</w:t>
      </w:r>
      <w:proofErr w:type="spellEnd"/>
      <w:r w:rsidR="00ED3C90" w:rsidRPr="00034209">
        <w:t xml:space="preserve"> šķīdumam, </w:t>
      </w:r>
      <w:proofErr w:type="spellStart"/>
      <w:r w:rsidR="00ED3C90" w:rsidRPr="00034209">
        <w:t>invertcukura</w:t>
      </w:r>
      <w:proofErr w:type="spellEnd"/>
      <w:r w:rsidR="00ED3C90" w:rsidRPr="00034209">
        <w:t xml:space="preserve"> sīrupam un baltajam </w:t>
      </w:r>
      <w:proofErr w:type="spellStart"/>
      <w:r w:rsidR="00ED3C90" w:rsidRPr="00034209">
        <w:t>invertcukura</w:t>
      </w:r>
      <w:proofErr w:type="spellEnd"/>
      <w:r w:rsidR="00ED3C90" w:rsidRPr="00034209">
        <w:t xml:space="preserve"> sīrupam;</w:t>
      </w:r>
    </w:p>
    <w:p w:rsidR="00ED3C90" w:rsidRPr="00034209" w:rsidRDefault="00034209" w:rsidP="00034209">
      <w:pPr>
        <w:ind w:firstLine="720"/>
        <w:jc w:val="both"/>
      </w:pPr>
      <w:r>
        <w:t xml:space="preserve">1.2. </w:t>
      </w:r>
      <w:r w:rsidR="00ED3C90" w:rsidRPr="00034209">
        <w:t xml:space="preserve">reducējošo cukuru saturu, kas izteikts un aprēķināts (no sausnas) kā dekstrozes ekvivalents, </w:t>
      </w:r>
      <w:r w:rsidR="001D71FD" w:rsidRPr="00034209">
        <w:t>–</w:t>
      </w:r>
      <w:r w:rsidR="00ED3C90" w:rsidRPr="00034209">
        <w:t xml:space="preserve"> glikozes sīrupam un sausajam glikozes sīrupam;</w:t>
      </w:r>
    </w:p>
    <w:p w:rsidR="00ED3C90" w:rsidRPr="00034209" w:rsidRDefault="00034209" w:rsidP="00034209">
      <w:pPr>
        <w:ind w:firstLine="720"/>
        <w:jc w:val="both"/>
      </w:pPr>
      <w:r>
        <w:t xml:space="preserve">1.3. </w:t>
      </w:r>
      <w:r w:rsidR="00ED3C90" w:rsidRPr="00034209">
        <w:t>reducējošo cukuru saturu, kas izteikts kā D</w:t>
      </w:r>
      <w:r w:rsidR="003A3309" w:rsidRPr="00034209">
        <w:t>-</w:t>
      </w:r>
      <w:r w:rsidR="00ED3C90" w:rsidRPr="00034209">
        <w:t xml:space="preserve">glikoze, </w:t>
      </w:r>
      <w:r w:rsidR="001D71FD" w:rsidRPr="00034209">
        <w:t xml:space="preserve">– </w:t>
      </w:r>
      <w:r w:rsidR="00ED3C90" w:rsidRPr="00034209">
        <w:t>dekstrozes monohidrātam un bezūdens dekstrozei.</w:t>
      </w:r>
    </w:p>
    <w:p w:rsidR="008D6A45" w:rsidRPr="00034209" w:rsidRDefault="008D6A45" w:rsidP="00034209">
      <w:pPr>
        <w:ind w:firstLine="720"/>
        <w:jc w:val="both"/>
      </w:pPr>
    </w:p>
    <w:p w:rsidR="00ED3C90" w:rsidRPr="00034209" w:rsidRDefault="00034209" w:rsidP="00034209">
      <w:pPr>
        <w:ind w:firstLine="720"/>
        <w:jc w:val="both"/>
      </w:pPr>
      <w:r>
        <w:t xml:space="preserve">2. </w:t>
      </w:r>
      <w:r w:rsidR="00ED3C90" w:rsidRPr="00034209">
        <w:t xml:space="preserve">Reducējošie cukuri, kas izteikti kā </w:t>
      </w:r>
      <w:proofErr w:type="spellStart"/>
      <w:r w:rsidR="00ED3C90" w:rsidRPr="00034209">
        <w:t>invertcukurs</w:t>
      </w:r>
      <w:proofErr w:type="spellEnd"/>
      <w:r w:rsidR="00ED3C90" w:rsidRPr="00034209">
        <w:t>, D</w:t>
      </w:r>
      <w:r w:rsidR="003A3309" w:rsidRPr="00034209">
        <w:t>-</w:t>
      </w:r>
      <w:r w:rsidR="00ED3C90" w:rsidRPr="00034209">
        <w:t xml:space="preserve">glikoze vai dekstrozes ekvivalents, ir reducējošo cukuru saturs, kas izteikts vai aprēķināts kā </w:t>
      </w:r>
      <w:proofErr w:type="spellStart"/>
      <w:r w:rsidR="00ED3C90" w:rsidRPr="00034209">
        <w:t>invertcukurs</w:t>
      </w:r>
      <w:proofErr w:type="spellEnd"/>
      <w:r w:rsidR="00ED3C90" w:rsidRPr="00034209">
        <w:t>, D</w:t>
      </w:r>
      <w:r w:rsidR="003A3309" w:rsidRPr="00034209">
        <w:t>-</w:t>
      </w:r>
      <w:r w:rsidR="00ED3C90" w:rsidRPr="00034209">
        <w:t>glikoze vai dekstrozes ekvivalents un kas noteikts ar šo konkrēto metodi.</w:t>
      </w:r>
    </w:p>
    <w:p w:rsidR="008D6A45" w:rsidRPr="00034209" w:rsidRDefault="008D6A45" w:rsidP="00034209">
      <w:pPr>
        <w:ind w:firstLine="720"/>
        <w:jc w:val="both"/>
      </w:pPr>
    </w:p>
    <w:p w:rsidR="00ED3C90" w:rsidRPr="00034209" w:rsidRDefault="00034209" w:rsidP="00034209">
      <w:pPr>
        <w:ind w:firstLine="720"/>
        <w:jc w:val="both"/>
      </w:pPr>
      <w:r>
        <w:t xml:space="preserve">3. </w:t>
      </w:r>
      <w:r w:rsidR="00ED3C90" w:rsidRPr="00034209">
        <w:t xml:space="preserve">Reducējošos cukurus paraugā (ja nepieciešams </w:t>
      </w:r>
      <w:r w:rsidR="001D71FD" w:rsidRPr="00034209">
        <w:t>–</w:t>
      </w:r>
      <w:r w:rsidR="00ED3C90" w:rsidRPr="00034209">
        <w:t xml:space="preserve"> dzidrinātā) karsē līdz viršanas punktam noteiktos apstākļos ar vara (II) šķīdumu, kas daļēji ir reducēts līdz varam (I). Vara (II) pārpalikumu vēlāk nosaka jodometriski.</w:t>
      </w:r>
    </w:p>
    <w:p w:rsidR="008D6A45" w:rsidRPr="00034209" w:rsidRDefault="008D6A45" w:rsidP="00034209">
      <w:pPr>
        <w:ind w:firstLine="720"/>
        <w:jc w:val="both"/>
      </w:pPr>
    </w:p>
    <w:p w:rsidR="00ED3C90" w:rsidRPr="00034209" w:rsidRDefault="008D6A45" w:rsidP="00034209">
      <w:pPr>
        <w:ind w:firstLine="720"/>
        <w:jc w:val="both"/>
      </w:pPr>
      <w:r w:rsidRPr="00034209">
        <w:t>4</w:t>
      </w:r>
      <w:r w:rsidR="00034209">
        <w:t xml:space="preserve">. </w:t>
      </w:r>
      <w:r w:rsidR="00ED3C90" w:rsidRPr="00034209">
        <w:t>Reaģenti:</w:t>
      </w:r>
    </w:p>
    <w:p w:rsidR="00ED3C90" w:rsidRPr="00034209" w:rsidRDefault="00034209" w:rsidP="00034209">
      <w:pPr>
        <w:ind w:firstLine="720"/>
        <w:jc w:val="both"/>
      </w:pPr>
      <w:r>
        <w:t xml:space="preserve">4.1. </w:t>
      </w:r>
      <w:proofErr w:type="spellStart"/>
      <w:r w:rsidR="00ED3C90" w:rsidRPr="00034209">
        <w:t>Karrēza</w:t>
      </w:r>
      <w:proofErr w:type="spellEnd"/>
      <w:r w:rsidR="00ED3C90" w:rsidRPr="00034209">
        <w:t xml:space="preserve"> šķīdums I: ūdenī izšķīdina 21,95 g cinka acetāta dihidrāta [Zn(CH</w:t>
      </w:r>
      <w:r w:rsidR="00ED3C90" w:rsidRPr="00034209">
        <w:rPr>
          <w:vertAlign w:val="subscript"/>
        </w:rPr>
        <w:t>3</w:t>
      </w:r>
      <w:r w:rsidR="00ED3C90" w:rsidRPr="00034209">
        <w:t>COO)2 x 2H</w:t>
      </w:r>
      <w:r w:rsidR="00ED3C90" w:rsidRPr="00034209">
        <w:rPr>
          <w:vertAlign w:val="subscript"/>
        </w:rPr>
        <w:t>2</w:t>
      </w:r>
      <w:r w:rsidR="00ED3C90" w:rsidRPr="00034209">
        <w:t>O] vai 24 g cinka acetāta trihidrāta [Zn(CH</w:t>
      </w:r>
      <w:r w:rsidR="00ED3C90" w:rsidRPr="00034209">
        <w:rPr>
          <w:vertAlign w:val="subscript"/>
        </w:rPr>
        <w:t>2</w:t>
      </w:r>
      <w:r w:rsidR="00ED3C90" w:rsidRPr="00034209">
        <w:t>COO)2 x 3H</w:t>
      </w:r>
      <w:r w:rsidR="00ED3C90" w:rsidRPr="00034209">
        <w:rPr>
          <w:vertAlign w:val="subscript"/>
        </w:rPr>
        <w:t>2</w:t>
      </w:r>
      <w:r w:rsidR="00ED3C90" w:rsidRPr="00034209">
        <w:t>O] un 3 ml ledus etiķskābes un atšķaida līdz 100 ml ar ūdeni;</w:t>
      </w:r>
    </w:p>
    <w:p w:rsidR="00ED3C90" w:rsidRPr="00034209" w:rsidRDefault="00034209" w:rsidP="00034209">
      <w:pPr>
        <w:ind w:firstLine="720"/>
        <w:jc w:val="both"/>
      </w:pPr>
      <w:r>
        <w:t xml:space="preserve">4.2. </w:t>
      </w:r>
      <w:proofErr w:type="spellStart"/>
      <w:r w:rsidR="00ED3C90" w:rsidRPr="00034209">
        <w:t>Karrēza</w:t>
      </w:r>
      <w:proofErr w:type="spellEnd"/>
      <w:r w:rsidR="00ED3C90" w:rsidRPr="00034209">
        <w:t xml:space="preserve"> šķīdums II: ūdenī izšķīdina 10,6 g kālija </w:t>
      </w:r>
      <w:proofErr w:type="spellStart"/>
      <w:r w:rsidR="00ED3C90" w:rsidRPr="00034209">
        <w:t>heksacianoferrāta</w:t>
      </w:r>
      <w:proofErr w:type="spellEnd"/>
      <w:r w:rsidR="00ED3C90" w:rsidRPr="00034209">
        <w:t xml:space="preserve"> (II) trihidrātu [K</w:t>
      </w:r>
      <w:r w:rsidR="008D6A45" w:rsidRPr="00034209">
        <w:rPr>
          <w:vertAlign w:val="subscript"/>
        </w:rPr>
        <w:t>4</w:t>
      </w:r>
      <w:r w:rsidR="00ED3C90" w:rsidRPr="00034209">
        <w:t>[Fe(CN)</w:t>
      </w:r>
      <w:r w:rsidR="00ED3C90" w:rsidRPr="00034209">
        <w:rPr>
          <w:vertAlign w:val="subscript"/>
        </w:rPr>
        <w:t>6</w:t>
      </w:r>
      <w:r w:rsidR="00ED3C90" w:rsidRPr="00034209">
        <w:t>] x 3H</w:t>
      </w:r>
      <w:r w:rsidR="00ED3C90" w:rsidRPr="00034209">
        <w:rPr>
          <w:vertAlign w:val="subscript"/>
        </w:rPr>
        <w:t>2</w:t>
      </w:r>
      <w:r w:rsidR="00ED3C90" w:rsidRPr="00034209">
        <w:t>O] un atšķaida līdz 100 ml ar ūdeni;</w:t>
      </w:r>
    </w:p>
    <w:p w:rsidR="00ED3C90" w:rsidRPr="00034209" w:rsidRDefault="00034209" w:rsidP="00034209">
      <w:pPr>
        <w:ind w:firstLine="720"/>
        <w:jc w:val="both"/>
      </w:pPr>
      <w:r>
        <w:t xml:space="preserve">4.3. </w:t>
      </w:r>
      <w:proofErr w:type="spellStart"/>
      <w:r w:rsidR="00ED3C90" w:rsidRPr="00034209">
        <w:rPr>
          <w:i/>
        </w:rPr>
        <w:t>Luff-Schoorl</w:t>
      </w:r>
      <w:proofErr w:type="spellEnd"/>
      <w:r w:rsidR="00ED3C90" w:rsidRPr="00034209">
        <w:t xml:space="preserve"> reaģents. Sagatavo šādus šķīdumus:</w:t>
      </w:r>
    </w:p>
    <w:p w:rsidR="00ED3C90" w:rsidRPr="00034209" w:rsidRDefault="00034209" w:rsidP="00034209">
      <w:pPr>
        <w:ind w:firstLine="720"/>
        <w:jc w:val="both"/>
      </w:pPr>
      <w:r>
        <w:t xml:space="preserve">4.3.1. </w:t>
      </w:r>
      <w:r w:rsidR="00ED3C90" w:rsidRPr="00034209">
        <w:t>vara (II) sulfāta šķīdums: 100 ml ūdens izšķīdina 25 g vara (II) sulfāta pentahidrātu (CuSO</w:t>
      </w:r>
      <w:r w:rsidR="00ED3C90" w:rsidRPr="00034209">
        <w:rPr>
          <w:vertAlign w:val="subscript"/>
        </w:rPr>
        <w:t>4</w:t>
      </w:r>
      <w:r w:rsidR="00ED3C90" w:rsidRPr="00034209">
        <w:t xml:space="preserve"> x 5H</w:t>
      </w:r>
      <w:r w:rsidR="00ED3C90" w:rsidRPr="00034209">
        <w:rPr>
          <w:vertAlign w:val="subscript"/>
        </w:rPr>
        <w:t>2</w:t>
      </w:r>
      <w:r w:rsidR="00ED3C90" w:rsidRPr="00034209">
        <w:t>O), kas nesatur dzelzi;</w:t>
      </w:r>
    </w:p>
    <w:p w:rsidR="00ED3C90" w:rsidRPr="00034209" w:rsidRDefault="00034209" w:rsidP="00034209">
      <w:pPr>
        <w:ind w:firstLine="720"/>
        <w:jc w:val="both"/>
      </w:pPr>
      <w:r>
        <w:t xml:space="preserve">4.3.2. </w:t>
      </w:r>
      <w:r w:rsidR="00ED3C90" w:rsidRPr="00034209">
        <w:t>citronskābes šķīdums: 50 ml ūdens izšķīdina 50 g citronskābes monohidrāta (C</w:t>
      </w:r>
      <w:r w:rsidR="00ED3C90" w:rsidRPr="00034209">
        <w:rPr>
          <w:vertAlign w:val="subscript"/>
        </w:rPr>
        <w:t>6</w:t>
      </w:r>
      <w:r w:rsidR="00ED3C90" w:rsidRPr="00034209">
        <w:t>H</w:t>
      </w:r>
      <w:r w:rsidR="00ED3C90" w:rsidRPr="00034209">
        <w:rPr>
          <w:vertAlign w:val="subscript"/>
        </w:rPr>
        <w:t>8</w:t>
      </w:r>
      <w:r w:rsidR="00ED3C90" w:rsidRPr="00034209">
        <w:t>O</w:t>
      </w:r>
      <w:r w:rsidR="00ED3C90" w:rsidRPr="00034209">
        <w:rPr>
          <w:vertAlign w:val="subscript"/>
        </w:rPr>
        <w:t>7</w:t>
      </w:r>
      <w:r w:rsidR="00ED3C90" w:rsidRPr="00034209">
        <w:t xml:space="preserve"> x H</w:t>
      </w:r>
      <w:r w:rsidR="00ED3C90" w:rsidRPr="00034209">
        <w:rPr>
          <w:vertAlign w:val="subscript"/>
        </w:rPr>
        <w:t>2</w:t>
      </w:r>
      <w:r w:rsidR="00ED3C90" w:rsidRPr="00034209">
        <w:t>O);</w:t>
      </w:r>
    </w:p>
    <w:p w:rsidR="00ED3C90" w:rsidRPr="00034209" w:rsidRDefault="00034209" w:rsidP="00034209">
      <w:pPr>
        <w:ind w:firstLine="720"/>
        <w:jc w:val="both"/>
      </w:pPr>
      <w:r>
        <w:t xml:space="preserve">4.3.3. </w:t>
      </w:r>
      <w:r w:rsidR="00ED3C90" w:rsidRPr="00034209">
        <w:t>nātrija karbonāta šķīdums: apmēram 300 ml silta ūdens izšķīdina 143,8 g bezūdens nātrija karbonāta un atdzesē;</w:t>
      </w:r>
    </w:p>
    <w:p w:rsidR="00ED3C90" w:rsidRPr="00034209" w:rsidRDefault="00034209" w:rsidP="00034209">
      <w:pPr>
        <w:ind w:firstLine="720"/>
        <w:jc w:val="both"/>
      </w:pPr>
      <w:r>
        <w:t xml:space="preserve">4.3.4. </w:t>
      </w:r>
      <w:r w:rsidR="00ED3C90" w:rsidRPr="00034209">
        <w:t xml:space="preserve">viena litra mērkolbā uzmanīgi ielej nātrija karbonāta šķīdumu un, to maisot, pievieno citronskābes šķīdumu. Maisa, līdz beidz izdalīties gāze, pēc tam pievieno vara (II) sulfāta šķīdumu un atšķaida līdz vienam litram ar ūdeni. Šķīdumu nostādina līdz nākamajai dienai, pēc tam, ja nepieciešams, nofiltrē. Nosaka reaģenta </w:t>
      </w:r>
      <w:proofErr w:type="spellStart"/>
      <w:r w:rsidR="00ED3C90" w:rsidRPr="00034209">
        <w:t>molaritāti</w:t>
      </w:r>
      <w:proofErr w:type="spellEnd"/>
      <w:r w:rsidR="00ED3C90" w:rsidRPr="00034209">
        <w:t>, kā aprakstīts šī pielikuma 6.1.</w:t>
      </w:r>
      <w:r w:rsidR="00FD527B" w:rsidRPr="00034209">
        <w:t> </w:t>
      </w:r>
      <w:r w:rsidR="00ED3C90" w:rsidRPr="00034209">
        <w:t>apakšpunktā</w:t>
      </w:r>
      <w:r w:rsidR="00FD527B" w:rsidRPr="00034209">
        <w:t xml:space="preserve"> </w:t>
      </w:r>
      <w:r w:rsidR="00ED3C90" w:rsidRPr="00034209">
        <w:t>(Cu 0,1</w:t>
      </w:r>
      <w:r w:rsidR="00FD527B" w:rsidRPr="00034209">
        <w:t> </w:t>
      </w:r>
      <w:r w:rsidR="00ED3C90" w:rsidRPr="00034209">
        <w:t>mol/l; Na</w:t>
      </w:r>
      <w:r w:rsidR="00ED3C90" w:rsidRPr="00034209">
        <w:rPr>
          <w:vertAlign w:val="subscript"/>
        </w:rPr>
        <w:t>2</w:t>
      </w:r>
      <w:r w:rsidR="00ED3C90" w:rsidRPr="00034209">
        <w:t>CO</w:t>
      </w:r>
      <w:r w:rsidR="00ED3C90" w:rsidRPr="00034209">
        <w:rPr>
          <w:vertAlign w:val="subscript"/>
        </w:rPr>
        <w:t>3</w:t>
      </w:r>
      <w:r w:rsidR="00ED3C90" w:rsidRPr="00034209">
        <w:t xml:space="preserve"> 1 mol/l);</w:t>
      </w:r>
    </w:p>
    <w:p w:rsidR="00ED3C90" w:rsidRPr="00034209" w:rsidRDefault="00034209" w:rsidP="00034209">
      <w:pPr>
        <w:ind w:firstLine="720"/>
        <w:jc w:val="both"/>
      </w:pPr>
      <w:r>
        <w:t xml:space="preserve">4.4. </w:t>
      </w:r>
      <w:r w:rsidR="00ED3C90" w:rsidRPr="00034209">
        <w:t xml:space="preserve">nātrija </w:t>
      </w:r>
      <w:proofErr w:type="spellStart"/>
      <w:r w:rsidR="00ED3C90" w:rsidRPr="00034209">
        <w:t>tiosulfāta</w:t>
      </w:r>
      <w:proofErr w:type="spellEnd"/>
      <w:r w:rsidR="00ED3C90" w:rsidRPr="00034209">
        <w:t xml:space="preserve"> šķīdums 0,1 mol/l;</w:t>
      </w:r>
    </w:p>
    <w:p w:rsidR="00ED3C90" w:rsidRPr="00034209" w:rsidRDefault="00034209" w:rsidP="00034209">
      <w:pPr>
        <w:ind w:firstLine="720"/>
        <w:jc w:val="both"/>
      </w:pPr>
      <w:r>
        <w:t xml:space="preserve">4.5. </w:t>
      </w:r>
      <w:r w:rsidR="00ED3C90" w:rsidRPr="00034209">
        <w:t>cietes šķīdums: vienam litram vāroša ūdens pievieno maisījumu, ko gatavo, izšķīdinot 5</w:t>
      </w:r>
      <w:r w:rsidR="00FD527B" w:rsidRPr="00034209">
        <w:t> </w:t>
      </w:r>
      <w:r w:rsidR="00ED3C90" w:rsidRPr="00034209">
        <w:t xml:space="preserve">g šķīstošās cietes 30 ml ūdens. Vāra trīs minūtes, atdzesē, ja nepieciešams, pievieno konservantu </w:t>
      </w:r>
      <w:r w:rsidR="001D71FD" w:rsidRPr="00034209">
        <w:t>–</w:t>
      </w:r>
      <w:r w:rsidR="00ED3C90" w:rsidRPr="00034209">
        <w:t xml:space="preserve"> 10 mg dzīvsudraba (II) jodīda;</w:t>
      </w:r>
    </w:p>
    <w:p w:rsidR="00ED3C90" w:rsidRPr="00034209" w:rsidRDefault="00034209" w:rsidP="00034209">
      <w:pPr>
        <w:ind w:firstLine="720"/>
        <w:jc w:val="both"/>
      </w:pPr>
      <w:r>
        <w:t xml:space="preserve">4.6. </w:t>
      </w:r>
      <w:r w:rsidR="00ED3C90" w:rsidRPr="00034209">
        <w:t>sērskābe</w:t>
      </w:r>
      <w:r w:rsidR="00A75987" w:rsidRPr="00034209">
        <w:t>s šķīdums</w:t>
      </w:r>
      <w:r w:rsidR="00ED3C90" w:rsidRPr="00034209">
        <w:t xml:space="preserve"> 3 mol/l;</w:t>
      </w:r>
    </w:p>
    <w:p w:rsidR="00ED3C90" w:rsidRPr="00034209" w:rsidRDefault="00034209" w:rsidP="00034209">
      <w:pPr>
        <w:ind w:firstLine="720"/>
        <w:jc w:val="both"/>
      </w:pPr>
      <w:r>
        <w:t xml:space="preserve">4.7. </w:t>
      </w:r>
      <w:r w:rsidR="00ED3C90" w:rsidRPr="00034209">
        <w:t>kālija jodīda 30 % šķīdums (m/v);</w:t>
      </w:r>
    </w:p>
    <w:p w:rsidR="00ED3C90" w:rsidRPr="00034209" w:rsidRDefault="00034209" w:rsidP="00034209">
      <w:pPr>
        <w:ind w:firstLine="720"/>
        <w:jc w:val="both"/>
      </w:pPr>
      <w:r>
        <w:lastRenderedPageBreak/>
        <w:t xml:space="preserve">4.8. </w:t>
      </w:r>
      <w:r w:rsidR="00ED3C90" w:rsidRPr="00034209">
        <w:t>pumeka (</w:t>
      </w:r>
      <w:proofErr w:type="spellStart"/>
      <w:r w:rsidR="00ED3C90" w:rsidRPr="00034209">
        <w:t>pemzas</w:t>
      </w:r>
      <w:proofErr w:type="spellEnd"/>
      <w:r w:rsidR="00ED3C90" w:rsidRPr="00034209">
        <w:t xml:space="preserve">) skaidiņas </w:t>
      </w:r>
      <w:r w:rsidR="001D71FD" w:rsidRPr="00034209">
        <w:t>–</w:t>
      </w:r>
      <w:r w:rsidR="00ED3C90" w:rsidRPr="00034209">
        <w:t xml:space="preserve"> novāra sālsskābē, skābes atliekas </w:t>
      </w:r>
      <w:r w:rsidR="00FD527B" w:rsidRPr="00034209">
        <w:t xml:space="preserve">nomazgā </w:t>
      </w:r>
      <w:r w:rsidR="00ED3C90" w:rsidRPr="00034209">
        <w:t>ar ūdeni un izžāvē;</w:t>
      </w:r>
    </w:p>
    <w:p w:rsidR="00ED3C90" w:rsidRPr="00034209" w:rsidRDefault="00034209" w:rsidP="00034209">
      <w:pPr>
        <w:ind w:firstLine="720"/>
        <w:jc w:val="both"/>
      </w:pPr>
      <w:r>
        <w:t xml:space="preserve">4.9. </w:t>
      </w:r>
      <w:proofErr w:type="spellStart"/>
      <w:r w:rsidR="00ED3C90" w:rsidRPr="00034209">
        <w:t>izopentanols</w:t>
      </w:r>
      <w:proofErr w:type="spellEnd"/>
      <w:r w:rsidR="00ED3C90" w:rsidRPr="00034209">
        <w:t>;</w:t>
      </w:r>
    </w:p>
    <w:p w:rsidR="00ED3C90" w:rsidRPr="00034209" w:rsidRDefault="00034209" w:rsidP="00034209">
      <w:pPr>
        <w:ind w:firstLine="720"/>
        <w:jc w:val="both"/>
      </w:pPr>
      <w:r>
        <w:t xml:space="preserve">4.10. </w:t>
      </w:r>
      <w:r w:rsidR="00ED3C90" w:rsidRPr="00034209">
        <w:t>nātrija hidroksīds 0,1 mol/l;</w:t>
      </w:r>
    </w:p>
    <w:p w:rsidR="00ED3C90" w:rsidRPr="00034209" w:rsidRDefault="00034209" w:rsidP="00034209">
      <w:pPr>
        <w:ind w:firstLine="720"/>
        <w:jc w:val="both"/>
      </w:pPr>
      <w:r>
        <w:t xml:space="preserve">4.11. </w:t>
      </w:r>
      <w:r w:rsidR="00ED3C90" w:rsidRPr="00034209">
        <w:t>s</w:t>
      </w:r>
      <w:r w:rsidR="00A75987" w:rsidRPr="00034209">
        <w:t xml:space="preserve">ērskābes </w:t>
      </w:r>
      <w:r w:rsidR="00ED3C90" w:rsidRPr="00034209">
        <w:t>šķīdums 0,1 mol/l;</w:t>
      </w:r>
    </w:p>
    <w:p w:rsidR="00ED3C90" w:rsidRPr="00034209" w:rsidRDefault="00034209" w:rsidP="00034209">
      <w:pPr>
        <w:ind w:firstLine="720"/>
        <w:jc w:val="both"/>
      </w:pPr>
      <w:r>
        <w:t xml:space="preserve">4.12. </w:t>
      </w:r>
      <w:proofErr w:type="spellStart"/>
      <w:r w:rsidR="00ED3C90" w:rsidRPr="00034209">
        <w:t>fenolftaleīna</w:t>
      </w:r>
      <w:proofErr w:type="spellEnd"/>
      <w:r w:rsidR="00ED3C90" w:rsidRPr="00034209">
        <w:t xml:space="preserve"> 1 % (m/v) šķīdums spirtā.</w:t>
      </w:r>
    </w:p>
    <w:p w:rsidR="00A75987" w:rsidRPr="00034209" w:rsidRDefault="00A75987" w:rsidP="00034209">
      <w:pPr>
        <w:ind w:firstLine="720"/>
        <w:jc w:val="both"/>
      </w:pPr>
    </w:p>
    <w:p w:rsidR="00ED3C90" w:rsidRPr="00034209" w:rsidRDefault="00034209" w:rsidP="00034209">
      <w:pPr>
        <w:ind w:firstLine="720"/>
        <w:jc w:val="both"/>
      </w:pPr>
      <w:r>
        <w:t xml:space="preserve">5. </w:t>
      </w:r>
      <w:r w:rsidR="00ED3C90" w:rsidRPr="00034209">
        <w:t>Iekārtas:</w:t>
      </w:r>
    </w:p>
    <w:p w:rsidR="00ED3C90" w:rsidRPr="00034209" w:rsidRDefault="00034209" w:rsidP="00034209">
      <w:pPr>
        <w:ind w:firstLine="720"/>
        <w:jc w:val="both"/>
      </w:pPr>
      <w:r>
        <w:t xml:space="preserve">5.1. </w:t>
      </w:r>
      <w:r w:rsidR="00ED3C90" w:rsidRPr="00034209">
        <w:t>300 ml koniska kolba ar atteces dzesinātāju;</w:t>
      </w:r>
    </w:p>
    <w:p w:rsidR="00ED3C90" w:rsidRPr="00034209" w:rsidRDefault="00034209" w:rsidP="00034209">
      <w:pPr>
        <w:ind w:firstLine="720"/>
        <w:jc w:val="both"/>
      </w:pPr>
      <w:r>
        <w:t xml:space="preserve">5.2. </w:t>
      </w:r>
      <w:r w:rsidR="00ED3C90" w:rsidRPr="00034209">
        <w:t>hronometrs.</w:t>
      </w:r>
    </w:p>
    <w:p w:rsidR="00A75987" w:rsidRPr="00034209" w:rsidRDefault="00A75987" w:rsidP="00034209">
      <w:pPr>
        <w:ind w:firstLine="720"/>
        <w:jc w:val="both"/>
      </w:pPr>
    </w:p>
    <w:p w:rsidR="00ED3C90" w:rsidRPr="00034209" w:rsidRDefault="00034209" w:rsidP="00034209">
      <w:pPr>
        <w:ind w:firstLine="720"/>
        <w:jc w:val="both"/>
      </w:pPr>
      <w:r>
        <w:t xml:space="preserve">6. </w:t>
      </w:r>
      <w:r w:rsidR="00ED3C90" w:rsidRPr="00034209">
        <w:t>Procedūra:</w:t>
      </w:r>
    </w:p>
    <w:p w:rsidR="00ED3C90" w:rsidRPr="00034209" w:rsidRDefault="00ED3C90" w:rsidP="00034209">
      <w:pPr>
        <w:ind w:firstLine="720"/>
        <w:jc w:val="both"/>
      </w:pPr>
      <w:r w:rsidRPr="00034209">
        <w:t>6.1.</w:t>
      </w:r>
      <w:r w:rsidR="00034209">
        <w:t xml:space="preserve"> </w:t>
      </w:r>
      <w:proofErr w:type="spellStart"/>
      <w:r w:rsidRPr="00034209">
        <w:rPr>
          <w:i/>
        </w:rPr>
        <w:t>Luff</w:t>
      </w:r>
      <w:r w:rsidR="00FD527B" w:rsidRPr="00034209">
        <w:rPr>
          <w:i/>
        </w:rPr>
        <w:t>-</w:t>
      </w:r>
      <w:r w:rsidRPr="00034209">
        <w:rPr>
          <w:i/>
        </w:rPr>
        <w:t>Schoorl</w:t>
      </w:r>
      <w:proofErr w:type="spellEnd"/>
      <w:r w:rsidRPr="00034209">
        <w:t xml:space="preserve"> reaģenta standartizēšana:</w:t>
      </w:r>
    </w:p>
    <w:p w:rsidR="00ED3C90" w:rsidRPr="00034209" w:rsidRDefault="00034209" w:rsidP="00034209">
      <w:pPr>
        <w:ind w:firstLine="720"/>
        <w:jc w:val="both"/>
      </w:pPr>
      <w:r>
        <w:t xml:space="preserve">6.1.1. </w:t>
      </w:r>
      <w:r w:rsidR="00ED3C90" w:rsidRPr="00034209">
        <w:t xml:space="preserve">25 ml </w:t>
      </w:r>
      <w:proofErr w:type="spellStart"/>
      <w:r w:rsidR="00ED3C90" w:rsidRPr="00034209">
        <w:rPr>
          <w:i/>
        </w:rPr>
        <w:t>Luff</w:t>
      </w:r>
      <w:r w:rsidR="00FD527B" w:rsidRPr="00034209">
        <w:rPr>
          <w:i/>
        </w:rPr>
        <w:t>-</w:t>
      </w:r>
      <w:r w:rsidR="00ED3C90" w:rsidRPr="00034209">
        <w:rPr>
          <w:i/>
        </w:rPr>
        <w:t>Schoorl</w:t>
      </w:r>
      <w:proofErr w:type="spellEnd"/>
      <w:r w:rsidR="00ED3C90" w:rsidRPr="00034209">
        <w:t xml:space="preserve"> reaģenta pievieno 3</w:t>
      </w:r>
      <w:r w:rsidR="00FD527B" w:rsidRPr="00034209">
        <w:t> </w:t>
      </w:r>
      <w:r w:rsidR="00ED3C90" w:rsidRPr="00034209">
        <w:t>g kālija jodīda un 25</w:t>
      </w:r>
      <w:r w:rsidR="00FD527B" w:rsidRPr="00034209">
        <w:t> </w:t>
      </w:r>
      <w:r w:rsidR="00ED3C90" w:rsidRPr="00034209">
        <w:t>ml 3</w:t>
      </w:r>
      <w:r w:rsidR="00FD527B" w:rsidRPr="00034209">
        <w:t> </w:t>
      </w:r>
      <w:r w:rsidR="00ED3C90" w:rsidRPr="00034209">
        <w:t xml:space="preserve">mol/l sērskābes. Titrē ar 0,1 mol/l nātrija </w:t>
      </w:r>
      <w:proofErr w:type="spellStart"/>
      <w:r w:rsidR="00ED3C90" w:rsidRPr="00034209">
        <w:t>tiosulfāta</w:t>
      </w:r>
      <w:proofErr w:type="spellEnd"/>
      <w:r w:rsidR="00ED3C90" w:rsidRPr="00034209">
        <w:t xml:space="preserve"> šķīdumu, titrēšanas beigās par indikatoru pievieno cieti. Ja </w:t>
      </w:r>
      <w:proofErr w:type="spellStart"/>
      <w:r w:rsidR="00ED3C90" w:rsidRPr="00034209">
        <w:t>titranta</w:t>
      </w:r>
      <w:proofErr w:type="spellEnd"/>
      <w:r w:rsidR="00ED3C90" w:rsidRPr="00034209">
        <w:t xml:space="preserve"> patēriņš ir mazāks par 25 ml, gatavo svaigu reaģentu;</w:t>
      </w:r>
    </w:p>
    <w:p w:rsidR="00ED3C90" w:rsidRPr="00034209" w:rsidRDefault="00ED3C90" w:rsidP="00034209">
      <w:pPr>
        <w:ind w:firstLine="720"/>
        <w:jc w:val="both"/>
      </w:pPr>
      <w:r w:rsidRPr="00034209">
        <w:t>6.1.2.</w:t>
      </w:r>
      <w:r w:rsidRPr="00034209">
        <w:tab/>
        <w:t xml:space="preserve">100 ml mērkolbā ar pipeti pārnes 10 ml reaģenta un atšķaida ar ūdeni līdz zīmei. Koniskā kolbā ar pipeti pārnes 25 ml 0,1 mol/l sālsskābes šķīduma, tam pievieno 10 ml atšķaidītā reaģenta, samaisa un vienu stundu silda verdoša ūdens vannā. Atdzesē, pievieno svaigi novārītu ūdeni līdz sākuma tilpumam un titrē ar 0,1 mol/l nātrija hidroksīda šķīduma, par indikatoru izmantojot </w:t>
      </w:r>
      <w:proofErr w:type="spellStart"/>
      <w:r w:rsidRPr="00034209">
        <w:t>fenolftaleīnu</w:t>
      </w:r>
      <w:proofErr w:type="spellEnd"/>
      <w:r w:rsidRPr="00034209">
        <w:t xml:space="preserve">. </w:t>
      </w:r>
      <w:proofErr w:type="spellStart"/>
      <w:r w:rsidRPr="00034209">
        <w:t>Titranta</w:t>
      </w:r>
      <w:proofErr w:type="spellEnd"/>
      <w:r w:rsidRPr="00034209">
        <w:t xml:space="preserve"> patēriņam jābūt starp 5,5 un 6,5 ml;</w:t>
      </w:r>
    </w:p>
    <w:p w:rsidR="00ED3C90" w:rsidRPr="00034209" w:rsidRDefault="00034209" w:rsidP="00034209">
      <w:pPr>
        <w:ind w:firstLine="720"/>
        <w:jc w:val="both"/>
      </w:pPr>
      <w:r>
        <w:t xml:space="preserve">6.1.3. </w:t>
      </w:r>
      <w:r w:rsidR="00ED3C90" w:rsidRPr="00034209">
        <w:t xml:space="preserve">10 ml atšķaidītā reaģenta titrē ar 0,1 mol/l sālsskābes, par indikatoru izmantojot </w:t>
      </w:r>
      <w:proofErr w:type="spellStart"/>
      <w:r w:rsidR="00ED3C90" w:rsidRPr="00034209">
        <w:t>fenolftaleīnu</w:t>
      </w:r>
      <w:proofErr w:type="spellEnd"/>
      <w:r w:rsidR="00ED3C90" w:rsidRPr="00034209">
        <w:t>. Beigu punktu raksturo violetās krāsas izzušana. Izmantotās 0,1 mol/l sālsskābes tilpumam jābūt starp 6,0 un 7,5 ml;</w:t>
      </w:r>
    </w:p>
    <w:p w:rsidR="00ED3C90" w:rsidRPr="00034209" w:rsidRDefault="00034209" w:rsidP="00034209">
      <w:pPr>
        <w:ind w:firstLine="720"/>
        <w:jc w:val="both"/>
      </w:pPr>
      <w:r>
        <w:t xml:space="preserve">6.1.4. </w:t>
      </w:r>
      <w:proofErr w:type="spellStart"/>
      <w:r w:rsidR="00ED3C90" w:rsidRPr="00034209">
        <w:rPr>
          <w:i/>
        </w:rPr>
        <w:t>Luff-Schoorl</w:t>
      </w:r>
      <w:proofErr w:type="spellEnd"/>
      <w:r w:rsidR="00ED3C90" w:rsidRPr="00034209">
        <w:t xml:space="preserve"> reaģenta </w:t>
      </w:r>
      <w:proofErr w:type="spellStart"/>
      <w:r w:rsidR="00ED3C90" w:rsidRPr="00034209">
        <w:t>pH</w:t>
      </w:r>
      <w:proofErr w:type="spellEnd"/>
      <w:r w:rsidR="00ED3C90" w:rsidRPr="00034209">
        <w:t xml:space="preserve"> līmenim 20</w:t>
      </w:r>
      <w:r w:rsidR="00FD527B" w:rsidRPr="00034209">
        <w:t> </w:t>
      </w:r>
      <w:r w:rsidR="00ED3C90" w:rsidRPr="00034209">
        <w:t>°C temperatūrā jābūt starp 9,3 un 9,4;</w:t>
      </w:r>
    </w:p>
    <w:p w:rsidR="00ED3C90" w:rsidRPr="00034209" w:rsidRDefault="00034209" w:rsidP="00034209">
      <w:pPr>
        <w:ind w:firstLine="720"/>
        <w:jc w:val="both"/>
      </w:pPr>
      <w:r>
        <w:t xml:space="preserve">6.2. </w:t>
      </w:r>
      <w:r w:rsidR="00ED3C90" w:rsidRPr="00034209">
        <w:t>šķīduma gatavošana:</w:t>
      </w:r>
    </w:p>
    <w:p w:rsidR="00ED3C90" w:rsidRPr="00034209" w:rsidRDefault="00034209" w:rsidP="00034209">
      <w:pPr>
        <w:ind w:firstLine="720"/>
        <w:jc w:val="both"/>
      </w:pPr>
      <w:r>
        <w:t xml:space="preserve">6.2.1. </w:t>
      </w:r>
      <w:r w:rsidR="00ED3C90" w:rsidRPr="00034209">
        <w:t>precīzi iesver 5</w:t>
      </w:r>
      <w:r w:rsidR="00FD527B" w:rsidRPr="00034209">
        <w:t> </w:t>
      </w:r>
      <w:r w:rsidR="00ED3C90" w:rsidRPr="00034209">
        <w:t>g parauga (ar precizitāti līdz 1</w:t>
      </w:r>
      <w:r w:rsidR="00FD527B" w:rsidRPr="00034209">
        <w:t> </w:t>
      </w:r>
      <w:r w:rsidR="00ED3C90" w:rsidRPr="00034209">
        <w:t>mg) un kvantitatīvi, izmantojot 200 ml ūdens, pārnes 250 ml mērkolbā. Ja nepieciešams, dzidrina, pievienojot 5</w:t>
      </w:r>
      <w:r w:rsidR="00FD527B" w:rsidRPr="00034209">
        <w:t> </w:t>
      </w:r>
      <w:r w:rsidR="00ED3C90" w:rsidRPr="00034209">
        <w:t xml:space="preserve">ml </w:t>
      </w:r>
      <w:proofErr w:type="spellStart"/>
      <w:r w:rsidR="00ED3C90" w:rsidRPr="00034209">
        <w:t>Karrēza</w:t>
      </w:r>
      <w:proofErr w:type="spellEnd"/>
      <w:r w:rsidR="00ED3C90" w:rsidRPr="00034209">
        <w:t xml:space="preserve"> šķīduma I un pēc tam 5</w:t>
      </w:r>
      <w:r w:rsidR="00FD527B" w:rsidRPr="00034209">
        <w:t> </w:t>
      </w:r>
      <w:r w:rsidR="00ED3C90" w:rsidRPr="00034209">
        <w:t xml:space="preserve">ml </w:t>
      </w:r>
      <w:proofErr w:type="spellStart"/>
      <w:r w:rsidR="00ED3C90" w:rsidRPr="00034209">
        <w:t>Karrēza</w:t>
      </w:r>
      <w:proofErr w:type="spellEnd"/>
      <w:r w:rsidR="00ED3C90" w:rsidRPr="00034209">
        <w:t xml:space="preserve"> šķīduma II. Pēc katras reaģenta pievienošanas šķīdumu samaisa. Atšķaida ar ūdeni līdz 250 ml un labi samaisa. Ja nepieciešams, nofiltrē;</w:t>
      </w:r>
    </w:p>
    <w:p w:rsidR="00ED3C90" w:rsidRPr="00034209" w:rsidRDefault="00034209" w:rsidP="00034209">
      <w:pPr>
        <w:ind w:firstLine="720"/>
        <w:jc w:val="both"/>
      </w:pPr>
      <w:r>
        <w:t xml:space="preserve">6.2.2. </w:t>
      </w:r>
      <w:r w:rsidR="00ED3C90" w:rsidRPr="00034209">
        <w:t>atšķaida šķīdumu tā, lai 25 ml šķīduma saturētu ne mazāk par 15</w:t>
      </w:r>
      <w:r w:rsidR="00FD527B" w:rsidRPr="00034209">
        <w:t> </w:t>
      </w:r>
      <w:r w:rsidR="00ED3C90" w:rsidRPr="00034209">
        <w:t>mg un ne vairāk par 60 mg reducējoša cukura, kas izteikts kā glikoze;</w:t>
      </w:r>
    </w:p>
    <w:p w:rsidR="00ED3C90" w:rsidRPr="00034209" w:rsidRDefault="00034209" w:rsidP="00034209">
      <w:pPr>
        <w:ind w:firstLine="720"/>
        <w:jc w:val="both"/>
      </w:pPr>
      <w:r>
        <w:t xml:space="preserve">6.3. </w:t>
      </w:r>
      <w:r w:rsidR="00ED3C90" w:rsidRPr="00034209">
        <w:t xml:space="preserve">titrēšana pēc </w:t>
      </w:r>
      <w:proofErr w:type="spellStart"/>
      <w:r w:rsidR="00ED3C90" w:rsidRPr="00034209">
        <w:rPr>
          <w:i/>
        </w:rPr>
        <w:t>Luff</w:t>
      </w:r>
      <w:r w:rsidR="00FD527B" w:rsidRPr="00034209">
        <w:rPr>
          <w:i/>
        </w:rPr>
        <w:t>-</w:t>
      </w:r>
      <w:r w:rsidR="00ED3C90" w:rsidRPr="00034209">
        <w:rPr>
          <w:i/>
        </w:rPr>
        <w:t>Schoorl</w:t>
      </w:r>
      <w:proofErr w:type="spellEnd"/>
      <w:r w:rsidR="00ED3C90" w:rsidRPr="00034209">
        <w:t xml:space="preserve"> metodes: 300 ml koniskajā kolbā ar pipeti pārnes 25 ml </w:t>
      </w:r>
      <w:proofErr w:type="spellStart"/>
      <w:r w:rsidR="00ED3C90" w:rsidRPr="00034209">
        <w:rPr>
          <w:i/>
        </w:rPr>
        <w:t>Luff</w:t>
      </w:r>
      <w:r w:rsidR="00FD527B" w:rsidRPr="00034209">
        <w:rPr>
          <w:i/>
        </w:rPr>
        <w:t>-</w:t>
      </w:r>
      <w:r w:rsidR="00ED3C90" w:rsidRPr="00034209">
        <w:rPr>
          <w:i/>
        </w:rPr>
        <w:t>Schoorl</w:t>
      </w:r>
      <w:proofErr w:type="spellEnd"/>
      <w:r w:rsidR="00ED3C90" w:rsidRPr="00034209">
        <w:t xml:space="preserve"> reaģenta. Tam pievieno 25 ml cukura šķīduma un pievieno divas pumeka skaidiņas. Koniskajai kolbai uzliek atteces dzesinātāju un</w:t>
      </w:r>
      <w:proofErr w:type="gramStart"/>
      <w:r w:rsidR="00ED3C90" w:rsidRPr="00034209">
        <w:t xml:space="preserve"> iekārtu nekavējoties</w:t>
      </w:r>
      <w:proofErr w:type="gramEnd"/>
      <w:r w:rsidR="00ED3C90" w:rsidRPr="00034209">
        <w:t xml:space="preserve"> novieto uz speciāla sieta virs karsēšanas ierīces, piemēram, </w:t>
      </w:r>
      <w:proofErr w:type="spellStart"/>
      <w:r w:rsidR="00ED3C90" w:rsidRPr="00034209">
        <w:t>Bunzena</w:t>
      </w:r>
      <w:proofErr w:type="spellEnd"/>
      <w:r w:rsidR="00ED3C90" w:rsidRPr="00034209">
        <w:t xml:space="preserve"> (</w:t>
      </w:r>
      <w:proofErr w:type="spellStart"/>
      <w:r w:rsidR="00ED3C90" w:rsidRPr="00034209">
        <w:rPr>
          <w:i/>
        </w:rPr>
        <w:t>Bunsen</w:t>
      </w:r>
      <w:proofErr w:type="spellEnd"/>
      <w:r w:rsidR="00ED3C90" w:rsidRPr="00034209">
        <w:t>) degļa liesmas. Sietā jāizgriež tik liels caurums, cik liela ir kolbas pamatne. Šķidrumu apmēram 2</w:t>
      </w:r>
      <w:r w:rsidR="00FD527B" w:rsidRPr="00034209">
        <w:t> </w:t>
      </w:r>
      <w:r w:rsidR="00ED3C90" w:rsidRPr="00034209">
        <w:t xml:space="preserve">minūšu laikā uzkarsē līdz viršanas temperatūrai un vāra uz lēnas uguns 10 minūtes. Šķidrumu strauji atdzesē aukstā ūdenī un pēc </w:t>
      </w:r>
      <w:r w:rsidR="00FD527B" w:rsidRPr="00034209">
        <w:t>5 </w:t>
      </w:r>
      <w:r w:rsidR="00ED3C90" w:rsidRPr="00034209">
        <w:t>minūtēm titrē šādi: pievieno 10 ml kālija jodīda šķīduma, tad nekavējoties uzmanīgi pievieno (izdalās CO</w:t>
      </w:r>
      <w:r w:rsidR="00ED3C90" w:rsidRPr="00034209">
        <w:rPr>
          <w:vertAlign w:val="subscript"/>
        </w:rPr>
        <w:t>2</w:t>
      </w:r>
      <w:r w:rsidR="00ED3C90" w:rsidRPr="00034209">
        <w:t>) 25 ml 3</w:t>
      </w:r>
      <w:r w:rsidR="00FD527B" w:rsidRPr="00034209">
        <w:t> </w:t>
      </w:r>
      <w:r w:rsidR="00ED3C90" w:rsidRPr="00034209">
        <w:t xml:space="preserve">mol/l sērskābes. Titrē ar 0,1 mol/l nātrija </w:t>
      </w:r>
      <w:proofErr w:type="spellStart"/>
      <w:r w:rsidR="00ED3C90" w:rsidRPr="00034209">
        <w:t>tiosulfāta</w:t>
      </w:r>
      <w:proofErr w:type="spellEnd"/>
      <w:r w:rsidR="00ED3C90" w:rsidRPr="00034209">
        <w:t xml:space="preserve"> šķīduma, līdz šķīdums ir gandrīz bezkrāsains, tad pievieno indikatoru </w:t>
      </w:r>
      <w:r w:rsidR="001D71FD" w:rsidRPr="00034209">
        <w:t>–</w:t>
      </w:r>
      <w:r w:rsidR="00ED3C90" w:rsidRPr="00034209">
        <w:t xml:space="preserve"> pāris mililitru cietes šķīduma </w:t>
      </w:r>
      <w:r w:rsidR="001D71FD" w:rsidRPr="00034209">
        <w:t>–</w:t>
      </w:r>
      <w:r w:rsidR="00ED3C90" w:rsidRPr="00034209">
        <w:t xml:space="preserve"> un turpina titrēšanu, līdz zilā krāsa izzūd (</w:t>
      </w:r>
      <w:proofErr w:type="spellStart"/>
      <w:r w:rsidR="00ED3C90" w:rsidRPr="00034209">
        <w:t>Va</w:t>
      </w:r>
      <w:proofErr w:type="spellEnd"/>
      <w:r w:rsidR="00ED3C90" w:rsidRPr="00034209">
        <w:t>). Veic kontroles titrējumu, cukura šķīduma vietā izmantojot 25 ml ūdens (</w:t>
      </w:r>
      <w:proofErr w:type="spellStart"/>
      <w:r w:rsidR="00ED3C90" w:rsidRPr="00034209">
        <w:t>Vk</w:t>
      </w:r>
      <w:proofErr w:type="spellEnd"/>
      <w:r w:rsidR="00ED3C90" w:rsidRPr="00034209">
        <w:t>).</w:t>
      </w:r>
    </w:p>
    <w:p w:rsidR="00E74257" w:rsidRPr="00034209" w:rsidRDefault="00E74257" w:rsidP="00034209">
      <w:pPr>
        <w:ind w:firstLine="720"/>
        <w:jc w:val="both"/>
      </w:pPr>
    </w:p>
    <w:p w:rsidR="00ED3C90" w:rsidRPr="00034209" w:rsidRDefault="00034209" w:rsidP="00034209">
      <w:pPr>
        <w:ind w:firstLine="720"/>
        <w:jc w:val="both"/>
      </w:pPr>
      <w:r>
        <w:t xml:space="preserve">7. </w:t>
      </w:r>
      <w:r w:rsidR="00ED3C90" w:rsidRPr="00034209">
        <w:t>Rezultātu izteikšana:</w:t>
      </w:r>
    </w:p>
    <w:p w:rsidR="00ED3C90" w:rsidRPr="00034209" w:rsidRDefault="00034209" w:rsidP="00034209">
      <w:pPr>
        <w:ind w:firstLine="720"/>
        <w:jc w:val="both"/>
      </w:pPr>
      <w:r>
        <w:t xml:space="preserve">7.1. </w:t>
      </w:r>
      <w:r w:rsidR="00ED3C90" w:rsidRPr="00034209">
        <w:t xml:space="preserve">izmantojot šī pielikuma tabulu, nosaka (ja nepieciešams, interpolējot) glikozes vai </w:t>
      </w:r>
      <w:proofErr w:type="spellStart"/>
      <w:r w:rsidR="00ED3C90" w:rsidRPr="00034209">
        <w:t>invertcukura</w:t>
      </w:r>
      <w:proofErr w:type="spellEnd"/>
      <w:r w:rsidR="00ED3C90" w:rsidRPr="00034209">
        <w:t xml:space="preserve"> masu (mg), k</w:t>
      </w:r>
      <w:r w:rsidR="00FD527B" w:rsidRPr="00034209">
        <w:t>ura</w:t>
      </w:r>
      <w:r w:rsidR="00ED3C90" w:rsidRPr="00034209">
        <w:t xml:space="preserve"> atbilst starpībai starp diviem titrēšanas nolasījumiem, ko izsaka kā 0,1 mol/l nātrija </w:t>
      </w:r>
      <w:proofErr w:type="spellStart"/>
      <w:r w:rsidR="00ED3C90" w:rsidRPr="00034209">
        <w:t>tiosulfāta</w:t>
      </w:r>
      <w:proofErr w:type="spellEnd"/>
      <w:r w:rsidR="00ED3C90" w:rsidRPr="00034209">
        <w:t xml:space="preserve"> (ml). Rezultātu izsaka kā </w:t>
      </w:r>
      <w:proofErr w:type="spellStart"/>
      <w:r w:rsidR="00ED3C90" w:rsidRPr="00034209">
        <w:t>invertcukuru</w:t>
      </w:r>
      <w:proofErr w:type="spellEnd"/>
      <w:r w:rsidR="00ED3C90" w:rsidRPr="00034209">
        <w:t xml:space="preserve"> vai D-glikozi procentos no sausnas (m/m);</w:t>
      </w:r>
    </w:p>
    <w:p w:rsidR="00ED3C90" w:rsidRPr="00034209" w:rsidRDefault="00034209" w:rsidP="00034209">
      <w:pPr>
        <w:ind w:firstLine="720"/>
        <w:jc w:val="both"/>
      </w:pPr>
      <w:r>
        <w:lastRenderedPageBreak/>
        <w:t xml:space="preserve">7.2. </w:t>
      </w:r>
      <w:r w:rsidR="00ED3C90" w:rsidRPr="00034209">
        <w:t>atkārtojamība: atšķirība starp diviem vienādos apstākļos viena analītiķa iegūtiem rezultātiem, kas noteikti paralēli vai secīgi vienam un tam pašam paraugam, nedrīkst pārsniegt 0,2 ml.</w:t>
      </w:r>
    </w:p>
    <w:p w:rsidR="00E74257" w:rsidRPr="00034209" w:rsidRDefault="00E74257" w:rsidP="00034209">
      <w:pPr>
        <w:ind w:firstLine="720"/>
        <w:jc w:val="both"/>
      </w:pPr>
    </w:p>
    <w:p w:rsidR="00A1669A" w:rsidRPr="00034209" w:rsidRDefault="00034209" w:rsidP="00034209">
      <w:pPr>
        <w:ind w:firstLine="720"/>
        <w:jc w:val="both"/>
      </w:pPr>
      <w:r>
        <w:t xml:space="preserve">8. </w:t>
      </w:r>
      <w:r w:rsidR="00ED3C90" w:rsidRPr="00034209">
        <w:t xml:space="preserve">Lai samazinātu putošanu, pirms skābināšanas ar sērskābi var pievienot nelielu daudzumu </w:t>
      </w:r>
      <w:proofErr w:type="spellStart"/>
      <w:r w:rsidR="00ED3C90" w:rsidRPr="00034209">
        <w:t>izopentanola</w:t>
      </w:r>
      <w:proofErr w:type="spellEnd"/>
      <w:r w:rsidR="00ED3C90" w:rsidRPr="00034209">
        <w:t>.</w:t>
      </w:r>
    </w:p>
    <w:p w:rsidR="00A92C26" w:rsidRPr="00034209" w:rsidRDefault="00A92C26" w:rsidP="00034209">
      <w:pPr>
        <w:ind w:firstLine="720"/>
        <w:jc w:val="both"/>
      </w:pPr>
    </w:p>
    <w:p w:rsidR="00ED3C90" w:rsidRPr="00034209" w:rsidRDefault="00ED3C90" w:rsidP="00034209">
      <w:pPr>
        <w:ind w:firstLine="720"/>
        <w:jc w:val="both"/>
      </w:pPr>
      <w:r w:rsidRPr="00034209">
        <w:t>Tabula</w:t>
      </w:r>
    </w:p>
    <w:p w:rsidR="00ED3C90" w:rsidRDefault="00ED3C90" w:rsidP="00ED3C90">
      <w:pPr>
        <w:jc w:val="center"/>
        <w:rPr>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2477"/>
        <w:gridCol w:w="2294"/>
      </w:tblGrid>
      <w:tr w:rsidR="00ED3C90" w:rsidRPr="00ED3C90" w:rsidTr="00C80BC8">
        <w:trPr>
          <w:trHeight w:hRule="exact" w:val="288"/>
        </w:trPr>
        <w:tc>
          <w:tcPr>
            <w:tcW w:w="1958" w:type="dxa"/>
            <w:tcBorders>
              <w:top w:val="single" w:sz="4" w:space="0" w:color="auto"/>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0,1 mol/l Na</w:t>
            </w:r>
            <w:r w:rsidRPr="00ED3C90">
              <w:rPr>
                <w:rFonts w:ascii="Arial" w:eastAsia="Arial" w:hAnsi="Arial" w:cs="Arial"/>
                <w:color w:val="000000"/>
                <w:spacing w:val="10"/>
                <w:sz w:val="13"/>
                <w:szCs w:val="13"/>
                <w:lang w:bidi="lv-LV"/>
              </w:rPr>
              <w:t>2</w:t>
            </w:r>
            <w:r w:rsidRPr="00ED3C90">
              <w:rPr>
                <w:rFonts w:ascii="Arial" w:eastAsia="Arial" w:hAnsi="Arial" w:cs="Arial"/>
                <w:color w:val="000000"/>
                <w:sz w:val="17"/>
                <w:szCs w:val="17"/>
                <w:lang w:bidi="lv-LV"/>
              </w:rPr>
              <w:t>S</w:t>
            </w:r>
            <w:r w:rsidRPr="00ED3C90">
              <w:rPr>
                <w:rFonts w:ascii="Arial" w:eastAsia="Arial" w:hAnsi="Arial" w:cs="Arial"/>
                <w:color w:val="000000"/>
                <w:spacing w:val="10"/>
                <w:sz w:val="13"/>
                <w:szCs w:val="13"/>
                <w:lang w:bidi="lv-LV"/>
              </w:rPr>
              <w:t>2</w:t>
            </w:r>
            <w:r w:rsidRPr="00ED3C90">
              <w:rPr>
                <w:rFonts w:ascii="Arial" w:eastAsia="Arial" w:hAnsi="Arial" w:cs="Arial"/>
                <w:color w:val="000000"/>
                <w:sz w:val="17"/>
                <w:szCs w:val="17"/>
                <w:lang w:bidi="lv-LV"/>
              </w:rPr>
              <w:t>O</w:t>
            </w:r>
            <w:r w:rsidRPr="00ED3C90">
              <w:rPr>
                <w:rFonts w:ascii="Arial" w:eastAsia="Arial" w:hAnsi="Arial" w:cs="Arial"/>
                <w:color w:val="000000"/>
                <w:spacing w:val="10"/>
                <w:sz w:val="13"/>
                <w:szCs w:val="13"/>
                <w:lang w:bidi="lv-LV"/>
              </w:rPr>
              <w:t>3</w:t>
            </w:r>
          </w:p>
        </w:tc>
        <w:tc>
          <w:tcPr>
            <w:tcW w:w="4771" w:type="dxa"/>
            <w:gridSpan w:val="2"/>
            <w:tcBorders>
              <w:top w:val="single" w:sz="4" w:space="0" w:color="auto"/>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 xml:space="preserve">Glikoze, fruktoze, </w:t>
            </w:r>
            <w:proofErr w:type="spellStart"/>
            <w:r w:rsidRPr="00ED3C90">
              <w:rPr>
                <w:rFonts w:ascii="Arial" w:eastAsia="Arial" w:hAnsi="Arial" w:cs="Arial"/>
                <w:color w:val="000000"/>
                <w:sz w:val="17"/>
                <w:szCs w:val="17"/>
                <w:lang w:bidi="lv-LV"/>
              </w:rPr>
              <w:t>invertcukurs</w:t>
            </w:r>
            <w:proofErr w:type="spellEnd"/>
            <w:r w:rsidRPr="00ED3C90">
              <w:rPr>
                <w:rFonts w:ascii="Arial" w:eastAsia="Arial" w:hAnsi="Arial" w:cs="Arial"/>
                <w:color w:val="000000"/>
                <w:sz w:val="17"/>
                <w:szCs w:val="17"/>
                <w:lang w:bidi="lv-LV"/>
              </w:rPr>
              <w:t xml:space="preserve"> C</w:t>
            </w:r>
            <w:r w:rsidRPr="00ED3C90">
              <w:rPr>
                <w:rFonts w:ascii="Arial" w:eastAsia="Arial" w:hAnsi="Arial" w:cs="Arial"/>
                <w:color w:val="000000"/>
                <w:spacing w:val="10"/>
                <w:sz w:val="13"/>
                <w:szCs w:val="13"/>
                <w:lang w:bidi="lv-LV"/>
              </w:rPr>
              <w:t>6</w:t>
            </w:r>
            <w:r w:rsidRPr="00ED3C90">
              <w:rPr>
                <w:rFonts w:ascii="Arial" w:eastAsia="Arial" w:hAnsi="Arial" w:cs="Arial"/>
                <w:color w:val="000000"/>
                <w:sz w:val="17"/>
                <w:szCs w:val="17"/>
                <w:lang w:bidi="lv-LV"/>
              </w:rPr>
              <w:t>H</w:t>
            </w:r>
            <w:r w:rsidRPr="00ED3C90">
              <w:rPr>
                <w:rFonts w:ascii="Arial" w:eastAsia="Arial" w:hAnsi="Arial" w:cs="Arial"/>
                <w:color w:val="000000"/>
                <w:spacing w:val="10"/>
                <w:sz w:val="13"/>
                <w:szCs w:val="13"/>
                <w:lang w:bidi="lv-LV"/>
              </w:rPr>
              <w:t>12</w:t>
            </w:r>
            <w:r w:rsidRPr="00ED3C90">
              <w:rPr>
                <w:rFonts w:ascii="Arial" w:eastAsia="Arial" w:hAnsi="Arial" w:cs="Arial"/>
                <w:color w:val="000000"/>
                <w:sz w:val="17"/>
                <w:szCs w:val="17"/>
                <w:lang w:bidi="lv-LV"/>
              </w:rPr>
              <w:t>O</w:t>
            </w:r>
            <w:r w:rsidRPr="00ED3C90">
              <w:rPr>
                <w:rFonts w:ascii="Arial" w:eastAsia="Arial" w:hAnsi="Arial" w:cs="Arial"/>
                <w:color w:val="000000"/>
                <w:spacing w:val="10"/>
                <w:sz w:val="13"/>
                <w:szCs w:val="13"/>
                <w:lang w:bidi="lv-LV"/>
              </w:rPr>
              <w:t>6</w:t>
            </w:r>
          </w:p>
        </w:tc>
      </w:tr>
      <w:tr w:rsidR="00ED3C90" w:rsidRPr="00ED3C90" w:rsidTr="00C80BC8">
        <w:trPr>
          <w:trHeight w:hRule="exact" w:val="240"/>
        </w:trPr>
        <w:tc>
          <w:tcPr>
            <w:tcW w:w="1958" w:type="dxa"/>
            <w:tcBorders>
              <w:top w:val="single" w:sz="4" w:space="0" w:color="auto"/>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ml</w:t>
            </w:r>
          </w:p>
        </w:tc>
        <w:tc>
          <w:tcPr>
            <w:tcW w:w="2477" w:type="dxa"/>
            <w:tcBorders>
              <w:top w:val="single" w:sz="4" w:space="0" w:color="auto"/>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mg</w:t>
            </w:r>
          </w:p>
        </w:tc>
        <w:tc>
          <w:tcPr>
            <w:tcW w:w="2294" w:type="dxa"/>
            <w:tcBorders>
              <w:top w:val="single" w:sz="4" w:space="0" w:color="auto"/>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starp</w:t>
            </w:r>
            <w:r w:rsidR="00FD527B">
              <w:rPr>
                <w:rFonts w:ascii="Arial" w:eastAsia="Arial" w:hAnsi="Arial" w:cs="Arial"/>
                <w:color w:val="000000"/>
                <w:sz w:val="17"/>
                <w:szCs w:val="17"/>
                <w:lang w:bidi="lv-LV"/>
              </w:rPr>
              <w:t>ī</w:t>
            </w:r>
            <w:r w:rsidRPr="00ED3C90">
              <w:rPr>
                <w:rFonts w:ascii="Arial" w:eastAsia="Arial" w:hAnsi="Arial" w:cs="Arial"/>
                <w:color w:val="000000"/>
                <w:sz w:val="17"/>
                <w:szCs w:val="17"/>
                <w:lang w:bidi="lv-LV"/>
              </w:rPr>
              <w:t>ba</w:t>
            </w:r>
          </w:p>
        </w:tc>
      </w:tr>
      <w:tr w:rsidR="00ED3C90" w:rsidRPr="00ED3C90" w:rsidTr="00C80BC8">
        <w:trPr>
          <w:trHeight w:hRule="exact" w:val="226"/>
        </w:trPr>
        <w:tc>
          <w:tcPr>
            <w:tcW w:w="1958" w:type="dxa"/>
            <w:tcBorders>
              <w:top w:val="single" w:sz="4" w:space="0" w:color="auto"/>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w:t>
            </w:r>
          </w:p>
        </w:tc>
        <w:tc>
          <w:tcPr>
            <w:tcW w:w="2477" w:type="dxa"/>
            <w:tcBorders>
              <w:top w:val="single" w:sz="4" w:space="0" w:color="auto"/>
              <w:lef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2,4</w:t>
            </w:r>
          </w:p>
        </w:tc>
        <w:tc>
          <w:tcPr>
            <w:tcW w:w="2294" w:type="dxa"/>
            <w:tcBorders>
              <w:top w:val="single" w:sz="4" w:space="0" w:color="auto"/>
              <w:left w:val="single" w:sz="4" w:space="0" w:color="auto"/>
              <w:righ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w:t>
            </w:r>
          </w:p>
        </w:tc>
      </w:tr>
      <w:tr w:rsidR="00ED3C90" w:rsidRPr="00ED3C90" w:rsidTr="00C80BC8">
        <w:trPr>
          <w:trHeight w:hRule="exact" w:val="264"/>
        </w:trPr>
        <w:tc>
          <w:tcPr>
            <w:tcW w:w="1958" w:type="dxa"/>
            <w:tcBorders>
              <w:lef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w:t>
            </w:r>
          </w:p>
        </w:tc>
        <w:tc>
          <w:tcPr>
            <w:tcW w:w="2477" w:type="dxa"/>
            <w:tcBorders>
              <w:left w:val="single" w:sz="4" w:space="0" w:color="auto"/>
            </w:tcBorders>
            <w:shd w:val="clear" w:color="auto" w:fill="FFFFFF"/>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4,8</w:t>
            </w:r>
          </w:p>
        </w:tc>
        <w:tc>
          <w:tcPr>
            <w:tcW w:w="2294" w:type="dxa"/>
            <w:tcBorders>
              <w:left w:val="single" w:sz="4" w:space="0" w:color="auto"/>
              <w:right w:val="single" w:sz="4" w:space="0" w:color="auto"/>
            </w:tcBorders>
            <w:shd w:val="clear" w:color="auto" w:fill="FFFFFF"/>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2,4</w:t>
            </w:r>
          </w:p>
        </w:tc>
      </w:tr>
    </w:tbl>
    <w:p w:rsidR="00ED3C90" w:rsidRPr="00ED3C90" w:rsidRDefault="00ED3C90" w:rsidP="00ED3C90">
      <w:pPr>
        <w:framePr w:w="6730" w:wrap="notBeside" w:vAnchor="text" w:hAnchor="text" w:y="1"/>
        <w:widowControl w:val="0"/>
        <w:rPr>
          <w:rFonts w:ascii="Arial Unicode MS" w:eastAsia="Arial Unicode MS" w:hAnsi="Arial Unicode MS" w:cs="Arial Unicode MS"/>
          <w:color w:val="000000"/>
          <w:sz w:val="2"/>
          <w:szCs w:val="2"/>
          <w:lang w:bidi="lv-LV"/>
        </w:rPr>
      </w:pPr>
    </w:p>
    <w:p w:rsidR="00ED3C90" w:rsidRPr="00ED3C90" w:rsidRDefault="00ED3C90" w:rsidP="00ED3C90">
      <w:pPr>
        <w:widowControl w:val="0"/>
        <w:rPr>
          <w:rFonts w:ascii="Arial Unicode MS" w:eastAsia="Arial Unicode MS" w:hAnsi="Arial Unicode MS" w:cs="Arial Unicode MS"/>
          <w:color w:val="000000"/>
          <w:sz w:val="2"/>
          <w:szCs w:val="2"/>
          <w:lang w:bidi="lv-LV"/>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2477"/>
        <w:gridCol w:w="2294"/>
      </w:tblGrid>
      <w:tr w:rsidR="00ED3C90" w:rsidRPr="00ED3C90" w:rsidTr="00C80BC8">
        <w:trPr>
          <w:trHeight w:hRule="exact" w:val="22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7,2</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2,4</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4</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9,7</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2,5</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5</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12,2</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2,5</w:t>
            </w:r>
          </w:p>
        </w:tc>
      </w:tr>
      <w:tr w:rsidR="00ED3C90" w:rsidRPr="00ED3C90" w:rsidTr="00C80BC8">
        <w:trPr>
          <w:trHeight w:hRule="exact" w:val="216"/>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6</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14,7</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2,5</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7</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17,2</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2,5</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8</w:t>
            </w:r>
          </w:p>
        </w:tc>
        <w:tc>
          <w:tcPr>
            <w:tcW w:w="2477" w:type="dxa"/>
            <w:tcBorders>
              <w:lef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19,8</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2,6</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9</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22,4</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2,6</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10</w:t>
            </w:r>
          </w:p>
        </w:tc>
        <w:tc>
          <w:tcPr>
            <w:tcW w:w="2477" w:type="dxa"/>
            <w:tcBorders>
              <w:lef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25,0</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2,6</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11</w:t>
            </w:r>
          </w:p>
        </w:tc>
        <w:tc>
          <w:tcPr>
            <w:tcW w:w="2477" w:type="dxa"/>
            <w:tcBorders>
              <w:lef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27,6</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2,6</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12</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30,3</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2,7</w:t>
            </w:r>
          </w:p>
        </w:tc>
      </w:tr>
      <w:tr w:rsidR="00ED3C90" w:rsidRPr="00ED3C90" w:rsidTr="00C80BC8">
        <w:trPr>
          <w:trHeight w:hRule="exact" w:val="216"/>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13</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33,0</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2,7</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14</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35,7</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2,7</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15</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38,5</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2,8</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16</w:t>
            </w:r>
          </w:p>
        </w:tc>
        <w:tc>
          <w:tcPr>
            <w:tcW w:w="2477" w:type="dxa"/>
            <w:tcBorders>
              <w:left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41,3</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2,8</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17</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44,2</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2,9</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18</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47,1</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2,9</w:t>
            </w:r>
          </w:p>
        </w:tc>
      </w:tr>
      <w:tr w:rsidR="00ED3C90" w:rsidRPr="00ED3C90" w:rsidTr="00C80BC8">
        <w:trPr>
          <w:trHeight w:hRule="exact" w:val="216"/>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19</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50,0</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2,9</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20</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53,0</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3,0</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21</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56,0</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3,0</w:t>
            </w:r>
          </w:p>
        </w:tc>
      </w:tr>
      <w:tr w:rsidR="00ED3C90" w:rsidRPr="00ED3C90" w:rsidTr="00C80BC8">
        <w:trPr>
          <w:trHeight w:hRule="exact" w:val="211"/>
        </w:trPr>
        <w:tc>
          <w:tcPr>
            <w:tcW w:w="1958"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22</w:t>
            </w:r>
          </w:p>
        </w:tc>
        <w:tc>
          <w:tcPr>
            <w:tcW w:w="2477" w:type="dxa"/>
            <w:tcBorders>
              <w:lef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59,1</w:t>
            </w:r>
          </w:p>
        </w:tc>
        <w:tc>
          <w:tcPr>
            <w:tcW w:w="2294" w:type="dxa"/>
            <w:tcBorders>
              <w:left w:val="single" w:sz="4" w:space="0" w:color="auto"/>
              <w:right w:val="single" w:sz="4" w:space="0" w:color="auto"/>
            </w:tcBorders>
            <w:shd w:val="clear" w:color="auto" w:fill="FFFFFF"/>
            <w:vAlign w:val="bottom"/>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3,1</w:t>
            </w:r>
          </w:p>
        </w:tc>
      </w:tr>
      <w:tr w:rsidR="00ED3C90" w:rsidRPr="00ED3C90" w:rsidTr="00C80BC8">
        <w:trPr>
          <w:trHeight w:hRule="exact" w:val="245"/>
        </w:trPr>
        <w:tc>
          <w:tcPr>
            <w:tcW w:w="1958" w:type="dxa"/>
            <w:tcBorders>
              <w:left w:val="single" w:sz="4" w:space="0" w:color="auto"/>
              <w:bottom w:val="single" w:sz="4" w:space="0" w:color="auto"/>
            </w:tcBorders>
            <w:shd w:val="clear" w:color="auto" w:fill="FFFFFF"/>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23</w:t>
            </w:r>
          </w:p>
        </w:tc>
        <w:tc>
          <w:tcPr>
            <w:tcW w:w="2477" w:type="dxa"/>
            <w:tcBorders>
              <w:left w:val="single" w:sz="4" w:space="0" w:color="auto"/>
              <w:bottom w:val="single" w:sz="4" w:space="0" w:color="auto"/>
            </w:tcBorders>
            <w:shd w:val="clear" w:color="auto" w:fill="FFFFFF"/>
            <w:vAlign w:val="center"/>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62,2</w:t>
            </w:r>
          </w:p>
        </w:tc>
        <w:tc>
          <w:tcPr>
            <w:tcW w:w="2294" w:type="dxa"/>
            <w:tcBorders>
              <w:left w:val="single" w:sz="4" w:space="0" w:color="auto"/>
              <w:bottom w:val="single" w:sz="4" w:space="0" w:color="auto"/>
              <w:right w:val="single" w:sz="4" w:space="0" w:color="auto"/>
            </w:tcBorders>
            <w:shd w:val="clear" w:color="auto" w:fill="FFFFFF"/>
          </w:tcPr>
          <w:p w:rsidR="00ED3C90" w:rsidRPr="00ED3C90" w:rsidRDefault="00ED3C90" w:rsidP="00ED3C90">
            <w:pPr>
              <w:framePr w:w="6730" w:wrap="notBeside" w:vAnchor="text" w:hAnchor="text" w:y="1"/>
              <w:widowControl w:val="0"/>
              <w:spacing w:line="170" w:lineRule="exact"/>
              <w:jc w:val="center"/>
              <w:rPr>
                <w:rFonts w:ascii="Arial" w:eastAsia="Arial" w:hAnsi="Arial" w:cs="Arial"/>
                <w:color w:val="000000"/>
                <w:sz w:val="17"/>
                <w:szCs w:val="17"/>
                <w:lang w:bidi="lv-LV"/>
              </w:rPr>
            </w:pPr>
            <w:r w:rsidRPr="00ED3C90">
              <w:rPr>
                <w:rFonts w:ascii="Arial" w:eastAsia="Arial" w:hAnsi="Arial" w:cs="Arial"/>
                <w:color w:val="000000"/>
                <w:sz w:val="17"/>
                <w:szCs w:val="17"/>
                <w:lang w:bidi="lv-LV"/>
              </w:rPr>
              <w:t>3,1</w:t>
            </w:r>
          </w:p>
        </w:tc>
      </w:tr>
    </w:tbl>
    <w:p w:rsidR="00ED3C90" w:rsidRPr="00ED3C90" w:rsidRDefault="00ED3C90" w:rsidP="00ED3C90">
      <w:pPr>
        <w:framePr w:w="6730" w:wrap="notBeside" w:vAnchor="text" w:hAnchor="text" w:y="1"/>
        <w:widowControl w:val="0"/>
        <w:rPr>
          <w:rFonts w:ascii="Arial Unicode MS" w:eastAsia="Arial Unicode MS" w:hAnsi="Arial Unicode MS" w:cs="Arial Unicode MS"/>
          <w:color w:val="000000"/>
          <w:sz w:val="2"/>
          <w:szCs w:val="2"/>
          <w:lang w:bidi="lv-LV"/>
        </w:rPr>
      </w:pPr>
    </w:p>
    <w:p w:rsidR="00ED3C90" w:rsidRDefault="00ED3C90" w:rsidP="00ED3C90">
      <w:pPr>
        <w:widowControl w:val="0"/>
        <w:rPr>
          <w:rFonts w:ascii="Arial Unicode MS" w:eastAsia="Arial Unicode MS" w:hAnsi="Arial Unicode MS" w:cs="Arial Unicode MS"/>
          <w:color w:val="000000"/>
          <w:sz w:val="2"/>
          <w:szCs w:val="2"/>
          <w:lang w:bidi="lv-LV"/>
        </w:rPr>
      </w:pPr>
    </w:p>
    <w:p w:rsidR="00D47226" w:rsidRDefault="00D47226" w:rsidP="00ED3C90">
      <w:pPr>
        <w:widowControl w:val="0"/>
        <w:rPr>
          <w:rFonts w:ascii="Arial Unicode MS" w:eastAsia="Arial Unicode MS" w:hAnsi="Arial Unicode MS" w:cs="Arial Unicode MS"/>
          <w:color w:val="000000"/>
          <w:sz w:val="2"/>
          <w:szCs w:val="2"/>
          <w:lang w:bidi="lv-LV"/>
        </w:rPr>
      </w:pPr>
    </w:p>
    <w:p w:rsidR="00D47226" w:rsidRDefault="00D47226" w:rsidP="00ED3C90">
      <w:pPr>
        <w:widowControl w:val="0"/>
        <w:rPr>
          <w:rFonts w:ascii="Arial Unicode MS" w:eastAsia="Arial Unicode MS" w:hAnsi="Arial Unicode MS" w:cs="Arial Unicode MS"/>
          <w:color w:val="000000"/>
          <w:sz w:val="2"/>
          <w:szCs w:val="2"/>
          <w:lang w:bidi="lv-LV"/>
        </w:rPr>
      </w:pPr>
    </w:p>
    <w:p w:rsidR="00D47226" w:rsidRDefault="00D47226" w:rsidP="00D47226">
      <w:pPr>
        <w:rPr>
          <w:sz w:val="28"/>
        </w:rPr>
      </w:pPr>
    </w:p>
    <w:p w:rsidR="00D47226" w:rsidRPr="00034209" w:rsidRDefault="00D47226" w:rsidP="00D47226">
      <w:r w:rsidRPr="00034209">
        <w:t xml:space="preserve">Zemkopības ministrs </w:t>
      </w:r>
      <w:r w:rsidRPr="00034209">
        <w:tab/>
      </w:r>
      <w:r w:rsidRPr="00034209">
        <w:tab/>
      </w:r>
      <w:r w:rsidR="00034209">
        <w:tab/>
      </w:r>
      <w:r w:rsidR="00034209">
        <w:tab/>
      </w:r>
      <w:r w:rsidR="00034209">
        <w:tab/>
      </w:r>
      <w:r w:rsidR="00034209">
        <w:tab/>
      </w:r>
      <w:r w:rsidR="00034209">
        <w:tab/>
      </w:r>
      <w:r w:rsidRPr="00034209">
        <w:tab/>
      </w:r>
      <w:r w:rsidRPr="00034209">
        <w:tab/>
      </w:r>
      <w:proofErr w:type="spellStart"/>
      <w:r w:rsidRPr="00034209">
        <w:t>J.Dūklavs</w:t>
      </w:r>
      <w:proofErr w:type="spellEnd"/>
    </w:p>
    <w:p w:rsidR="00D47226" w:rsidRPr="00034209" w:rsidRDefault="00D47226" w:rsidP="00D47226"/>
    <w:p w:rsidR="00D47226" w:rsidRDefault="00D47226" w:rsidP="00D47226">
      <w:pPr>
        <w:rPr>
          <w:sz w:val="28"/>
        </w:rPr>
      </w:pPr>
    </w:p>
    <w:p w:rsidR="00D47226" w:rsidRDefault="00D47226" w:rsidP="00D47226">
      <w:pPr>
        <w:rPr>
          <w:sz w:val="28"/>
        </w:rPr>
      </w:pPr>
    </w:p>
    <w:p w:rsidR="00D47226" w:rsidRDefault="00D47226" w:rsidP="00D47226">
      <w:pPr>
        <w:rPr>
          <w:sz w:val="28"/>
        </w:rPr>
      </w:pPr>
    </w:p>
    <w:p w:rsidR="00D47226" w:rsidRDefault="00D47226" w:rsidP="00D47226">
      <w:pPr>
        <w:rPr>
          <w:sz w:val="28"/>
        </w:rPr>
      </w:pPr>
    </w:p>
    <w:p w:rsidR="00D47226" w:rsidRDefault="00D47226" w:rsidP="00D47226">
      <w:pPr>
        <w:rPr>
          <w:sz w:val="28"/>
        </w:rPr>
      </w:pPr>
    </w:p>
    <w:p w:rsidR="00034209" w:rsidRDefault="00034209" w:rsidP="00D47226">
      <w:pPr>
        <w:rPr>
          <w:sz w:val="28"/>
        </w:rPr>
      </w:pPr>
    </w:p>
    <w:p w:rsidR="00034209" w:rsidRDefault="00034209" w:rsidP="00D47226">
      <w:pPr>
        <w:rPr>
          <w:sz w:val="28"/>
        </w:rPr>
      </w:pPr>
    </w:p>
    <w:p w:rsidR="00034209" w:rsidRDefault="00034209" w:rsidP="00D47226">
      <w:pPr>
        <w:rPr>
          <w:sz w:val="28"/>
        </w:rPr>
      </w:pPr>
    </w:p>
    <w:p w:rsidR="00034209" w:rsidRDefault="00034209" w:rsidP="00D47226">
      <w:pPr>
        <w:rPr>
          <w:sz w:val="28"/>
        </w:rPr>
      </w:pPr>
    </w:p>
    <w:p w:rsidR="00034209" w:rsidRDefault="00034209" w:rsidP="00D47226">
      <w:pPr>
        <w:rPr>
          <w:sz w:val="28"/>
        </w:rPr>
      </w:pPr>
    </w:p>
    <w:p w:rsidR="00034209" w:rsidRDefault="00034209" w:rsidP="00D47226">
      <w:pPr>
        <w:rPr>
          <w:sz w:val="28"/>
        </w:rPr>
      </w:pPr>
    </w:p>
    <w:p w:rsidR="00D47226" w:rsidRDefault="00D47226" w:rsidP="00D47226">
      <w:pPr>
        <w:rPr>
          <w:sz w:val="28"/>
        </w:rPr>
      </w:pPr>
    </w:p>
    <w:p w:rsidR="00034209" w:rsidRPr="00F93E97" w:rsidRDefault="00034209" w:rsidP="00D47226">
      <w:pPr>
        <w:rPr>
          <w:sz w:val="28"/>
        </w:rPr>
      </w:pPr>
    </w:p>
    <w:p w:rsidR="00034209" w:rsidRDefault="00034209" w:rsidP="00D47226">
      <w:pPr>
        <w:pStyle w:val="Pamattekstsaratkpi"/>
        <w:ind w:firstLine="0"/>
        <w:rPr>
          <w:sz w:val="20"/>
        </w:rPr>
      </w:pPr>
      <w:r>
        <w:rPr>
          <w:sz w:val="20"/>
        </w:rPr>
        <w:t>12.11.2015. 11:06</w:t>
      </w:r>
    </w:p>
    <w:p w:rsidR="00F715F2" w:rsidRDefault="00F715F2" w:rsidP="00D47226">
      <w:pPr>
        <w:pStyle w:val="Pamattekstsaratkpi"/>
        <w:ind w:firstLine="0"/>
        <w:rPr>
          <w:sz w:val="20"/>
        </w:rPr>
      </w:pPr>
      <w:r>
        <w:rPr>
          <w:sz w:val="20"/>
        </w:rPr>
        <w:fldChar w:fldCharType="begin"/>
      </w:r>
      <w:r>
        <w:rPr>
          <w:sz w:val="20"/>
        </w:rPr>
        <w:instrText xml:space="preserve"> NUMWORDS   \* MERGEFORMAT </w:instrText>
      </w:r>
      <w:r>
        <w:rPr>
          <w:sz w:val="20"/>
        </w:rPr>
        <w:fldChar w:fldCharType="separate"/>
      </w:r>
      <w:r>
        <w:rPr>
          <w:noProof/>
          <w:sz w:val="20"/>
        </w:rPr>
        <w:t>965</w:t>
      </w:r>
      <w:r>
        <w:rPr>
          <w:sz w:val="20"/>
        </w:rPr>
        <w:fldChar w:fldCharType="end"/>
      </w:r>
    </w:p>
    <w:p w:rsidR="00D47226" w:rsidRPr="00034209" w:rsidRDefault="00D47226" w:rsidP="00D47226">
      <w:pPr>
        <w:pStyle w:val="Pamattekstsaratkpi"/>
        <w:ind w:firstLine="0"/>
        <w:rPr>
          <w:sz w:val="20"/>
        </w:rPr>
      </w:pPr>
      <w:bookmarkStart w:id="0" w:name="_GoBack"/>
      <w:bookmarkEnd w:id="0"/>
      <w:r w:rsidRPr="00034209">
        <w:rPr>
          <w:sz w:val="20"/>
        </w:rPr>
        <w:t>G.Evardsone</w:t>
      </w:r>
    </w:p>
    <w:p w:rsidR="00D47226" w:rsidRPr="00034209" w:rsidRDefault="00D47226" w:rsidP="00034209">
      <w:pPr>
        <w:pStyle w:val="Pamattekstsaratkpi"/>
        <w:ind w:firstLine="0"/>
        <w:outlineLvl w:val="0"/>
        <w:rPr>
          <w:sz w:val="20"/>
        </w:rPr>
      </w:pPr>
      <w:r w:rsidRPr="00034209">
        <w:rPr>
          <w:sz w:val="20"/>
        </w:rPr>
        <w:t>67027629, Gunta.Evardsone@zm.gov.lv</w:t>
      </w:r>
    </w:p>
    <w:p w:rsidR="00D47226" w:rsidRPr="00ED3C90" w:rsidRDefault="00D47226" w:rsidP="00ED3C90">
      <w:pPr>
        <w:widowControl w:val="0"/>
        <w:rPr>
          <w:rFonts w:ascii="Arial Unicode MS" w:eastAsia="Arial Unicode MS" w:hAnsi="Arial Unicode MS" w:cs="Arial Unicode MS"/>
          <w:color w:val="000000"/>
          <w:sz w:val="2"/>
          <w:szCs w:val="2"/>
          <w:lang w:bidi="lv-LV"/>
        </w:rPr>
      </w:pPr>
    </w:p>
    <w:sectPr w:rsidR="00D47226" w:rsidRPr="00ED3C90" w:rsidSect="00034209">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0B" w:rsidRDefault="001C350B">
      <w:r>
        <w:separator/>
      </w:r>
    </w:p>
  </w:endnote>
  <w:endnote w:type="continuationSeparator" w:id="0">
    <w:p w:rsidR="001C350B" w:rsidRDefault="001C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Pr="00D66EFD" w:rsidRDefault="00D66EFD" w:rsidP="00D66EFD">
    <w:pPr>
      <w:pStyle w:val="Kjene"/>
    </w:pPr>
    <w:r w:rsidRPr="00D66EFD">
      <w:rPr>
        <w:sz w:val="20"/>
      </w:rPr>
      <w:t>ZMnot</w:t>
    </w:r>
    <w:r w:rsidR="00B42EB2">
      <w:rPr>
        <w:sz w:val="20"/>
      </w:rPr>
      <w:t>p</w:t>
    </w:r>
    <w:r w:rsidR="00034209">
      <w:rPr>
        <w:sz w:val="20"/>
      </w:rPr>
      <w:t>6_1111</w:t>
    </w:r>
    <w:r w:rsidRPr="00D66EFD">
      <w:rPr>
        <w:sz w:val="20"/>
      </w:rPr>
      <w:t>15_cukurs; Ministru kabineta noteikumu projekts „</w:t>
    </w:r>
    <w:r w:rsidR="00DE71C1">
      <w:rPr>
        <w:sz w:val="20"/>
        <w:szCs w:val="20"/>
      </w:rPr>
      <w:t>Dažādu veidu cukura kvalitātes, klasifikācijas un papildu marķējuma prasības</w:t>
    </w:r>
    <w:r w:rsidRPr="00D66EFD">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97" w:rsidRPr="00A27D39" w:rsidRDefault="00F93E97" w:rsidP="00F93E97">
    <w:pPr>
      <w:pStyle w:val="Kjene"/>
      <w:rPr>
        <w:sz w:val="20"/>
        <w:szCs w:val="20"/>
      </w:rPr>
    </w:pPr>
    <w:r w:rsidRPr="00A27D39">
      <w:rPr>
        <w:sz w:val="20"/>
        <w:szCs w:val="20"/>
      </w:rPr>
      <w:t>Z</w:t>
    </w:r>
    <w:r w:rsidR="00D66EFD">
      <w:rPr>
        <w:sz w:val="20"/>
        <w:szCs w:val="20"/>
      </w:rPr>
      <w:t>Mnot</w:t>
    </w:r>
    <w:r w:rsidR="00B42EB2">
      <w:rPr>
        <w:sz w:val="20"/>
        <w:szCs w:val="20"/>
      </w:rPr>
      <w:t>p</w:t>
    </w:r>
    <w:r w:rsidR="00034209">
      <w:rPr>
        <w:sz w:val="20"/>
        <w:szCs w:val="20"/>
      </w:rPr>
      <w:t>6_1111</w:t>
    </w:r>
    <w:r w:rsidR="00D66EFD">
      <w:rPr>
        <w:sz w:val="20"/>
        <w:szCs w:val="20"/>
      </w:rPr>
      <w:t>15</w:t>
    </w:r>
    <w:r w:rsidRPr="00A27D39">
      <w:rPr>
        <w:sz w:val="20"/>
        <w:szCs w:val="20"/>
      </w:rPr>
      <w:t>_</w:t>
    </w:r>
    <w:r w:rsidR="00D66EFD">
      <w:rPr>
        <w:sz w:val="20"/>
        <w:szCs w:val="20"/>
      </w:rPr>
      <w:t>cukurs</w:t>
    </w:r>
    <w:r w:rsidRPr="00A27D39">
      <w:rPr>
        <w:sz w:val="20"/>
        <w:szCs w:val="20"/>
      </w:rPr>
      <w:t>; Ministru kabineta noteikumu projekts „</w:t>
    </w:r>
    <w:r w:rsidR="00DE71C1">
      <w:rPr>
        <w:sz w:val="20"/>
        <w:szCs w:val="20"/>
      </w:rPr>
      <w:t>Dažādu veidu cukura kvalitātes, klasifikācijas un papildu marķējuma prasības</w:t>
    </w:r>
    <w:r w:rsidRPr="00A27D3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0B" w:rsidRDefault="001C350B">
      <w:r>
        <w:separator/>
      </w:r>
    </w:p>
  </w:footnote>
  <w:footnote w:type="continuationSeparator" w:id="0">
    <w:p w:rsidR="001C350B" w:rsidRDefault="001C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15F2">
      <w:rPr>
        <w:rStyle w:val="Lappusesnumurs"/>
        <w:noProof/>
      </w:rPr>
      <w:t>2</w:t>
    </w:r>
    <w:r>
      <w:rPr>
        <w:rStyle w:val="Lappusesnumurs"/>
      </w:rPr>
      <w:fldChar w:fldCharType="end"/>
    </w:r>
  </w:p>
  <w:p w:rsidR="002B3039" w:rsidRDefault="002B30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04EE"/>
    <w:multiLevelType w:val="hybridMultilevel"/>
    <w:tmpl w:val="BAE0BEC0"/>
    <w:lvl w:ilvl="0" w:tplc="AA00486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6"/>
    <w:rsid w:val="00003417"/>
    <w:rsid w:val="00006330"/>
    <w:rsid w:val="000066D2"/>
    <w:rsid w:val="00026D19"/>
    <w:rsid w:val="00031312"/>
    <w:rsid w:val="00034209"/>
    <w:rsid w:val="00034301"/>
    <w:rsid w:val="00034BF7"/>
    <w:rsid w:val="00040614"/>
    <w:rsid w:val="00045958"/>
    <w:rsid w:val="00053FF7"/>
    <w:rsid w:val="00054AA3"/>
    <w:rsid w:val="000748EF"/>
    <w:rsid w:val="00092ACF"/>
    <w:rsid w:val="000A62F5"/>
    <w:rsid w:val="000A7DB2"/>
    <w:rsid w:val="000B3CDA"/>
    <w:rsid w:val="000C1F9E"/>
    <w:rsid w:val="000E31D8"/>
    <w:rsid w:val="000E42E3"/>
    <w:rsid w:val="000F37EF"/>
    <w:rsid w:val="001106C0"/>
    <w:rsid w:val="001111E2"/>
    <w:rsid w:val="00125CFC"/>
    <w:rsid w:val="001323AB"/>
    <w:rsid w:val="00137B21"/>
    <w:rsid w:val="00137E1D"/>
    <w:rsid w:val="00141AE3"/>
    <w:rsid w:val="00150A73"/>
    <w:rsid w:val="00167EDB"/>
    <w:rsid w:val="00176C6D"/>
    <w:rsid w:val="001A75D8"/>
    <w:rsid w:val="001C1866"/>
    <w:rsid w:val="001C350B"/>
    <w:rsid w:val="001C6AF2"/>
    <w:rsid w:val="001D0841"/>
    <w:rsid w:val="001D6720"/>
    <w:rsid w:val="001D71FD"/>
    <w:rsid w:val="001D7D94"/>
    <w:rsid w:val="00224B68"/>
    <w:rsid w:val="00243428"/>
    <w:rsid w:val="00253A80"/>
    <w:rsid w:val="00265BEA"/>
    <w:rsid w:val="0027442C"/>
    <w:rsid w:val="0027548D"/>
    <w:rsid w:val="0027690B"/>
    <w:rsid w:val="0028332F"/>
    <w:rsid w:val="00285BD2"/>
    <w:rsid w:val="002A3F0E"/>
    <w:rsid w:val="002B0C4C"/>
    <w:rsid w:val="002B3039"/>
    <w:rsid w:val="002D3C24"/>
    <w:rsid w:val="002E43E0"/>
    <w:rsid w:val="002F1E40"/>
    <w:rsid w:val="003058FF"/>
    <w:rsid w:val="003078B9"/>
    <w:rsid w:val="0031059E"/>
    <w:rsid w:val="00316C50"/>
    <w:rsid w:val="003361B2"/>
    <w:rsid w:val="00361CFF"/>
    <w:rsid w:val="00363AFE"/>
    <w:rsid w:val="00363CE2"/>
    <w:rsid w:val="00372AFF"/>
    <w:rsid w:val="003732CB"/>
    <w:rsid w:val="00376A7A"/>
    <w:rsid w:val="003777F5"/>
    <w:rsid w:val="003834BA"/>
    <w:rsid w:val="003930DB"/>
    <w:rsid w:val="003A3309"/>
    <w:rsid w:val="003C00AD"/>
    <w:rsid w:val="003C2220"/>
    <w:rsid w:val="003C4D76"/>
    <w:rsid w:val="003D048D"/>
    <w:rsid w:val="003D2566"/>
    <w:rsid w:val="003E5869"/>
    <w:rsid w:val="003F7BBC"/>
    <w:rsid w:val="00400999"/>
    <w:rsid w:val="00410B55"/>
    <w:rsid w:val="0041630F"/>
    <w:rsid w:val="00422283"/>
    <w:rsid w:val="0043388C"/>
    <w:rsid w:val="004414F6"/>
    <w:rsid w:val="00442775"/>
    <w:rsid w:val="00453535"/>
    <w:rsid w:val="00481680"/>
    <w:rsid w:val="0048565D"/>
    <w:rsid w:val="0049421A"/>
    <w:rsid w:val="004A168B"/>
    <w:rsid w:val="004B1529"/>
    <w:rsid w:val="004C1FFF"/>
    <w:rsid w:val="004C77AF"/>
    <w:rsid w:val="004D488B"/>
    <w:rsid w:val="004D4B35"/>
    <w:rsid w:val="004E5E10"/>
    <w:rsid w:val="00501E0B"/>
    <w:rsid w:val="005073DE"/>
    <w:rsid w:val="00514992"/>
    <w:rsid w:val="005165F0"/>
    <w:rsid w:val="00541FD4"/>
    <w:rsid w:val="00542496"/>
    <w:rsid w:val="00543526"/>
    <w:rsid w:val="00544B54"/>
    <w:rsid w:val="0055070F"/>
    <w:rsid w:val="005773DF"/>
    <w:rsid w:val="00577FC8"/>
    <w:rsid w:val="00580DF9"/>
    <w:rsid w:val="0058377F"/>
    <w:rsid w:val="005C1DCB"/>
    <w:rsid w:val="005C4D72"/>
    <w:rsid w:val="005D0D97"/>
    <w:rsid w:val="005D41E6"/>
    <w:rsid w:val="005E76AC"/>
    <w:rsid w:val="005E7CBA"/>
    <w:rsid w:val="0060140D"/>
    <w:rsid w:val="00606609"/>
    <w:rsid w:val="00612732"/>
    <w:rsid w:val="006127BC"/>
    <w:rsid w:val="0061794F"/>
    <w:rsid w:val="00626149"/>
    <w:rsid w:val="0063016F"/>
    <w:rsid w:val="00634258"/>
    <w:rsid w:val="00646722"/>
    <w:rsid w:val="00650029"/>
    <w:rsid w:val="0067106F"/>
    <w:rsid w:val="006716ED"/>
    <w:rsid w:val="0067694F"/>
    <w:rsid w:val="00676AEB"/>
    <w:rsid w:val="006917C6"/>
    <w:rsid w:val="006934A5"/>
    <w:rsid w:val="00694156"/>
    <w:rsid w:val="006A2517"/>
    <w:rsid w:val="006B1E21"/>
    <w:rsid w:val="006B26D9"/>
    <w:rsid w:val="006B7357"/>
    <w:rsid w:val="006D4072"/>
    <w:rsid w:val="006D56E2"/>
    <w:rsid w:val="006E3001"/>
    <w:rsid w:val="006E3DBD"/>
    <w:rsid w:val="006E7365"/>
    <w:rsid w:val="006F3558"/>
    <w:rsid w:val="006F5D5B"/>
    <w:rsid w:val="00712A73"/>
    <w:rsid w:val="0071408D"/>
    <w:rsid w:val="00714EA0"/>
    <w:rsid w:val="0073432E"/>
    <w:rsid w:val="00762641"/>
    <w:rsid w:val="00775907"/>
    <w:rsid w:val="00777F5E"/>
    <w:rsid w:val="007873C2"/>
    <w:rsid w:val="007901DF"/>
    <w:rsid w:val="007905C4"/>
    <w:rsid w:val="007A57C2"/>
    <w:rsid w:val="007A5B52"/>
    <w:rsid w:val="007B11AB"/>
    <w:rsid w:val="007B6917"/>
    <w:rsid w:val="007D5A2C"/>
    <w:rsid w:val="007E01A6"/>
    <w:rsid w:val="007E7044"/>
    <w:rsid w:val="007E7CE5"/>
    <w:rsid w:val="0080653D"/>
    <w:rsid w:val="008255B9"/>
    <w:rsid w:val="00835A53"/>
    <w:rsid w:val="00835AF5"/>
    <w:rsid w:val="00844745"/>
    <w:rsid w:val="00847B0E"/>
    <w:rsid w:val="00852D80"/>
    <w:rsid w:val="008563F2"/>
    <w:rsid w:val="0086217D"/>
    <w:rsid w:val="0087153D"/>
    <w:rsid w:val="0088160F"/>
    <w:rsid w:val="008963DF"/>
    <w:rsid w:val="008A20DE"/>
    <w:rsid w:val="008A5F5E"/>
    <w:rsid w:val="008C4BA8"/>
    <w:rsid w:val="008D17C6"/>
    <w:rsid w:val="008D6A45"/>
    <w:rsid w:val="008F4958"/>
    <w:rsid w:val="0090308F"/>
    <w:rsid w:val="009208E9"/>
    <w:rsid w:val="009238CA"/>
    <w:rsid w:val="009254CA"/>
    <w:rsid w:val="0093322B"/>
    <w:rsid w:val="00953A32"/>
    <w:rsid w:val="00967A87"/>
    <w:rsid w:val="00972DC8"/>
    <w:rsid w:val="00976B0A"/>
    <w:rsid w:val="00981A85"/>
    <w:rsid w:val="009858E0"/>
    <w:rsid w:val="009966CD"/>
    <w:rsid w:val="009A411F"/>
    <w:rsid w:val="009B1238"/>
    <w:rsid w:val="009B6C52"/>
    <w:rsid w:val="009C04A5"/>
    <w:rsid w:val="009D3A47"/>
    <w:rsid w:val="009E035F"/>
    <w:rsid w:val="009E09BA"/>
    <w:rsid w:val="009E3FB8"/>
    <w:rsid w:val="009F6783"/>
    <w:rsid w:val="009F7742"/>
    <w:rsid w:val="00A1669A"/>
    <w:rsid w:val="00A25679"/>
    <w:rsid w:val="00A27D39"/>
    <w:rsid w:val="00A30230"/>
    <w:rsid w:val="00A3192E"/>
    <w:rsid w:val="00A52629"/>
    <w:rsid w:val="00A5529F"/>
    <w:rsid w:val="00A62577"/>
    <w:rsid w:val="00A6308A"/>
    <w:rsid w:val="00A75987"/>
    <w:rsid w:val="00A804E1"/>
    <w:rsid w:val="00A92C26"/>
    <w:rsid w:val="00AA128A"/>
    <w:rsid w:val="00AA47E3"/>
    <w:rsid w:val="00AC7A11"/>
    <w:rsid w:val="00AD1FEA"/>
    <w:rsid w:val="00AD5A02"/>
    <w:rsid w:val="00AE0342"/>
    <w:rsid w:val="00AE677C"/>
    <w:rsid w:val="00AF7A34"/>
    <w:rsid w:val="00B077D6"/>
    <w:rsid w:val="00B07EBD"/>
    <w:rsid w:val="00B16BD0"/>
    <w:rsid w:val="00B278FA"/>
    <w:rsid w:val="00B32743"/>
    <w:rsid w:val="00B42EB2"/>
    <w:rsid w:val="00B50569"/>
    <w:rsid w:val="00B542DE"/>
    <w:rsid w:val="00B5436B"/>
    <w:rsid w:val="00B565F8"/>
    <w:rsid w:val="00B66ECE"/>
    <w:rsid w:val="00B707BA"/>
    <w:rsid w:val="00B738C3"/>
    <w:rsid w:val="00B821E0"/>
    <w:rsid w:val="00B95CBA"/>
    <w:rsid w:val="00BB3993"/>
    <w:rsid w:val="00BD0E1D"/>
    <w:rsid w:val="00BD1541"/>
    <w:rsid w:val="00BF06F5"/>
    <w:rsid w:val="00C05975"/>
    <w:rsid w:val="00C11050"/>
    <w:rsid w:val="00C11382"/>
    <w:rsid w:val="00C17C10"/>
    <w:rsid w:val="00C27B3F"/>
    <w:rsid w:val="00C31D15"/>
    <w:rsid w:val="00C31DC4"/>
    <w:rsid w:val="00C40369"/>
    <w:rsid w:val="00C42DE3"/>
    <w:rsid w:val="00C43BA9"/>
    <w:rsid w:val="00C4402E"/>
    <w:rsid w:val="00C52A0B"/>
    <w:rsid w:val="00C53551"/>
    <w:rsid w:val="00C56723"/>
    <w:rsid w:val="00C60015"/>
    <w:rsid w:val="00C62BFC"/>
    <w:rsid w:val="00C6617D"/>
    <w:rsid w:val="00C6691D"/>
    <w:rsid w:val="00C730BA"/>
    <w:rsid w:val="00C81C97"/>
    <w:rsid w:val="00C84E83"/>
    <w:rsid w:val="00C919D3"/>
    <w:rsid w:val="00C923EA"/>
    <w:rsid w:val="00CA0417"/>
    <w:rsid w:val="00CA7507"/>
    <w:rsid w:val="00CB0315"/>
    <w:rsid w:val="00CC24CF"/>
    <w:rsid w:val="00CC55FA"/>
    <w:rsid w:val="00CD059B"/>
    <w:rsid w:val="00CE3DDD"/>
    <w:rsid w:val="00CE67BE"/>
    <w:rsid w:val="00D03269"/>
    <w:rsid w:val="00D05AEB"/>
    <w:rsid w:val="00D1090B"/>
    <w:rsid w:val="00D34B0E"/>
    <w:rsid w:val="00D37013"/>
    <w:rsid w:val="00D45576"/>
    <w:rsid w:val="00D47226"/>
    <w:rsid w:val="00D535D2"/>
    <w:rsid w:val="00D56DD2"/>
    <w:rsid w:val="00D66EFD"/>
    <w:rsid w:val="00D71BEB"/>
    <w:rsid w:val="00D76A6E"/>
    <w:rsid w:val="00D87F76"/>
    <w:rsid w:val="00D90035"/>
    <w:rsid w:val="00D90CEF"/>
    <w:rsid w:val="00DB4A14"/>
    <w:rsid w:val="00DC5993"/>
    <w:rsid w:val="00DD2864"/>
    <w:rsid w:val="00DE1C73"/>
    <w:rsid w:val="00DE71C1"/>
    <w:rsid w:val="00DF689E"/>
    <w:rsid w:val="00E027D3"/>
    <w:rsid w:val="00E15EB9"/>
    <w:rsid w:val="00E2309B"/>
    <w:rsid w:val="00E2405A"/>
    <w:rsid w:val="00E31D6C"/>
    <w:rsid w:val="00E34606"/>
    <w:rsid w:val="00E40A2F"/>
    <w:rsid w:val="00E51DE6"/>
    <w:rsid w:val="00E5455D"/>
    <w:rsid w:val="00E55173"/>
    <w:rsid w:val="00E554CB"/>
    <w:rsid w:val="00E56FD3"/>
    <w:rsid w:val="00E6620B"/>
    <w:rsid w:val="00E6751E"/>
    <w:rsid w:val="00E678F8"/>
    <w:rsid w:val="00E73D1B"/>
    <w:rsid w:val="00E74257"/>
    <w:rsid w:val="00E75135"/>
    <w:rsid w:val="00E75D55"/>
    <w:rsid w:val="00E811BA"/>
    <w:rsid w:val="00E905AF"/>
    <w:rsid w:val="00E91C98"/>
    <w:rsid w:val="00EA5893"/>
    <w:rsid w:val="00EB7834"/>
    <w:rsid w:val="00EC01E6"/>
    <w:rsid w:val="00EC23AF"/>
    <w:rsid w:val="00ED3C90"/>
    <w:rsid w:val="00EE0797"/>
    <w:rsid w:val="00EF4433"/>
    <w:rsid w:val="00F11679"/>
    <w:rsid w:val="00F1226F"/>
    <w:rsid w:val="00F1246F"/>
    <w:rsid w:val="00F4045F"/>
    <w:rsid w:val="00F4520B"/>
    <w:rsid w:val="00F4545A"/>
    <w:rsid w:val="00F61238"/>
    <w:rsid w:val="00F61D8E"/>
    <w:rsid w:val="00F620A6"/>
    <w:rsid w:val="00F64A0B"/>
    <w:rsid w:val="00F715F2"/>
    <w:rsid w:val="00F76897"/>
    <w:rsid w:val="00F858F0"/>
    <w:rsid w:val="00F93E97"/>
    <w:rsid w:val="00FA30D4"/>
    <w:rsid w:val="00FB069A"/>
    <w:rsid w:val="00FB1849"/>
    <w:rsid w:val="00FD44EC"/>
    <w:rsid w:val="00FD486A"/>
    <w:rsid w:val="00FD527B"/>
    <w:rsid w:val="00FD586F"/>
    <w:rsid w:val="00FE02B4"/>
    <w:rsid w:val="00FE1733"/>
    <w:rsid w:val="00FF23B8"/>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127492D-48C5-4B21-9644-037B8680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customStyle="1" w:styleId="hps">
    <w:name w:val="hps"/>
    <w:rsid w:val="00D05AEB"/>
  </w:style>
  <w:style w:type="character" w:styleId="Lappusesnumurs">
    <w:name w:val="page number"/>
    <w:basedOn w:val="Noklusjumarindkopasfonts"/>
  </w:style>
  <w:style w:type="paragraph" w:customStyle="1" w:styleId="naislab">
    <w:name w:val="naislab"/>
    <w:basedOn w:val="Parasts"/>
    <w:pPr>
      <w:spacing w:before="79" w:after="79"/>
      <w:jc w:val="right"/>
    </w:pPr>
  </w:style>
  <w:style w:type="paragraph" w:customStyle="1" w:styleId="naisnod">
    <w:name w:val="naisnod"/>
    <w:basedOn w:val="Parasts"/>
    <w:pPr>
      <w:spacing w:before="100" w:beforeAutospacing="1" w:after="100" w:afterAutospacing="1"/>
    </w:pPr>
  </w:style>
  <w:style w:type="paragraph" w:customStyle="1" w:styleId="naisc">
    <w:name w:val="naisc"/>
    <w:basedOn w:val="Parasts"/>
    <w:pPr>
      <w:spacing w:before="100" w:beforeAutospacing="1" w:after="100" w:afterAutospacing="1"/>
    </w:pPr>
  </w:style>
  <w:style w:type="paragraph" w:customStyle="1" w:styleId="naiskr">
    <w:name w:val="naiskr"/>
    <w:basedOn w:val="Parasts"/>
    <w:pPr>
      <w:spacing w:before="100" w:beforeAutospacing="1" w:after="100" w:afterAutospacing="1"/>
    </w:pPr>
  </w:style>
  <w:style w:type="paragraph" w:styleId="Balonteksts">
    <w:name w:val="Balloon Text"/>
    <w:basedOn w:val="Parasts"/>
    <w:link w:val="BalontekstsRakstz"/>
    <w:rsid w:val="00B66ECE"/>
    <w:rPr>
      <w:rFonts w:ascii="Segoe UI" w:hAnsi="Segoe UI" w:cs="Segoe UI"/>
      <w:sz w:val="18"/>
      <w:szCs w:val="18"/>
    </w:rPr>
  </w:style>
  <w:style w:type="character" w:customStyle="1" w:styleId="BalontekstsRakstz">
    <w:name w:val="Balonteksts Rakstz."/>
    <w:link w:val="Balonteksts"/>
    <w:rsid w:val="00B66ECE"/>
    <w:rPr>
      <w:rFonts w:ascii="Segoe UI" w:hAnsi="Segoe UI" w:cs="Segoe UI"/>
      <w:sz w:val="18"/>
      <w:szCs w:val="18"/>
    </w:rPr>
  </w:style>
  <w:style w:type="character" w:styleId="Hipersaite">
    <w:name w:val="Hyperlink"/>
    <w:rsid w:val="00C43BA9"/>
    <w:rPr>
      <w:color w:val="0563C1"/>
      <w:u w:val="single"/>
    </w:rPr>
  </w:style>
  <w:style w:type="character" w:styleId="Komentraatsauce">
    <w:name w:val="annotation reference"/>
    <w:rsid w:val="001106C0"/>
    <w:rPr>
      <w:sz w:val="16"/>
      <w:szCs w:val="16"/>
    </w:rPr>
  </w:style>
  <w:style w:type="paragraph" w:styleId="Komentrateksts">
    <w:name w:val="annotation text"/>
    <w:basedOn w:val="Parasts"/>
    <w:link w:val="KomentratekstsRakstz"/>
    <w:rsid w:val="001106C0"/>
    <w:rPr>
      <w:sz w:val="20"/>
      <w:szCs w:val="20"/>
    </w:rPr>
  </w:style>
  <w:style w:type="character" w:customStyle="1" w:styleId="KomentratekstsRakstz">
    <w:name w:val="Komentāra teksts Rakstz."/>
    <w:basedOn w:val="Noklusjumarindkopasfonts"/>
    <w:link w:val="Komentrateksts"/>
    <w:rsid w:val="001106C0"/>
  </w:style>
  <w:style w:type="paragraph" w:styleId="Komentratma">
    <w:name w:val="annotation subject"/>
    <w:basedOn w:val="Komentrateksts"/>
    <w:next w:val="Komentrateksts"/>
    <w:link w:val="KomentratmaRakstz"/>
    <w:rsid w:val="001106C0"/>
    <w:rPr>
      <w:b/>
      <w:bCs/>
    </w:rPr>
  </w:style>
  <w:style w:type="character" w:customStyle="1" w:styleId="KomentratmaRakstz">
    <w:name w:val="Komentāra tēma Rakstz."/>
    <w:link w:val="Komentratma"/>
    <w:rsid w:val="001106C0"/>
    <w:rPr>
      <w:b/>
      <w:bCs/>
    </w:rPr>
  </w:style>
  <w:style w:type="table" w:styleId="Reatabula">
    <w:name w:val="Table Grid"/>
    <w:basedOn w:val="Parastatabula"/>
    <w:rsid w:val="00A5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821E0"/>
    <w:rPr>
      <w:color w:val="808080"/>
    </w:rPr>
  </w:style>
  <w:style w:type="paragraph" w:styleId="Sarakstarindkopa">
    <w:name w:val="List Paragraph"/>
    <w:basedOn w:val="Parasts"/>
    <w:uiPriority w:val="34"/>
    <w:qFormat/>
    <w:rsid w:val="009B1238"/>
    <w:pPr>
      <w:ind w:left="720"/>
      <w:contextualSpacing/>
    </w:pPr>
  </w:style>
  <w:style w:type="character" w:customStyle="1" w:styleId="Tablecaption">
    <w:name w:val="Table caption_"/>
    <w:basedOn w:val="Noklusjumarindkopasfonts"/>
    <w:link w:val="Tablecaption0"/>
    <w:rsid w:val="00E55173"/>
    <w:rPr>
      <w:rFonts w:ascii="Arial" w:eastAsia="Arial" w:hAnsi="Arial" w:cs="Arial"/>
      <w:b/>
      <w:bCs/>
      <w:sz w:val="18"/>
      <w:szCs w:val="18"/>
      <w:shd w:val="clear" w:color="auto" w:fill="FFFFFF"/>
    </w:rPr>
  </w:style>
  <w:style w:type="character" w:customStyle="1" w:styleId="Bodytext2">
    <w:name w:val="Body text (2)"/>
    <w:basedOn w:val="Noklusjumarindkopasfonts"/>
    <w:rsid w:val="00E55173"/>
    <w:rPr>
      <w:rFonts w:ascii="Arial" w:eastAsia="Arial" w:hAnsi="Arial" w:cs="Arial"/>
      <w:b w:val="0"/>
      <w:bCs w:val="0"/>
      <w:i w:val="0"/>
      <w:iCs w:val="0"/>
      <w:smallCaps w:val="0"/>
      <w:strike w:val="0"/>
      <w:color w:val="000000"/>
      <w:spacing w:val="0"/>
      <w:w w:val="100"/>
      <w:position w:val="0"/>
      <w:sz w:val="17"/>
      <w:szCs w:val="17"/>
      <w:u w:val="none"/>
      <w:lang w:val="lv-LV" w:eastAsia="lv-LV" w:bidi="lv-LV"/>
    </w:rPr>
  </w:style>
  <w:style w:type="paragraph" w:customStyle="1" w:styleId="Tablecaption0">
    <w:name w:val="Table caption"/>
    <w:basedOn w:val="Parasts"/>
    <w:link w:val="Tablecaption"/>
    <w:rsid w:val="00E55173"/>
    <w:pPr>
      <w:widowControl w:val="0"/>
      <w:shd w:val="clear" w:color="auto" w:fill="FFFFFF"/>
      <w:spacing w:line="0" w:lineRule="atLeast"/>
    </w:pPr>
    <w:rPr>
      <w:rFonts w:ascii="Arial" w:eastAsia="Arial" w:hAnsi="Arial" w:cs="Arial"/>
      <w:b/>
      <w:bCs/>
      <w:sz w:val="18"/>
      <w:szCs w:val="18"/>
      <w:lang w:val="en-US" w:eastAsia="en-US"/>
    </w:rPr>
  </w:style>
  <w:style w:type="paragraph" w:styleId="Pamattekstsaratkpi">
    <w:name w:val="Body Text Indent"/>
    <w:basedOn w:val="Parasts"/>
    <w:link w:val="PamattekstsaratkpiRakstz"/>
    <w:rsid w:val="00D47226"/>
    <w:pPr>
      <w:ind w:firstLine="720"/>
      <w:jc w:val="both"/>
    </w:pPr>
    <w:rPr>
      <w:sz w:val="28"/>
      <w:szCs w:val="20"/>
      <w:lang w:eastAsia="en-US"/>
    </w:rPr>
  </w:style>
  <w:style w:type="character" w:customStyle="1" w:styleId="PamattekstsaratkpiRakstz">
    <w:name w:val="Pamatteksts ar atkāpi Rakstz."/>
    <w:basedOn w:val="Noklusjumarindkopasfonts"/>
    <w:link w:val="Pamattekstsaratkpi"/>
    <w:rsid w:val="00D47226"/>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7635">
      <w:bodyDiv w:val="1"/>
      <w:marLeft w:val="0"/>
      <w:marRight w:val="0"/>
      <w:marTop w:val="0"/>
      <w:marBottom w:val="0"/>
      <w:divBdr>
        <w:top w:val="none" w:sz="0" w:space="0" w:color="auto"/>
        <w:left w:val="none" w:sz="0" w:space="0" w:color="auto"/>
        <w:bottom w:val="none" w:sz="0" w:space="0" w:color="auto"/>
        <w:right w:val="none" w:sz="0" w:space="0" w:color="auto"/>
      </w:divBdr>
      <w:divsChild>
        <w:div w:id="867530407">
          <w:marLeft w:val="0"/>
          <w:marRight w:val="0"/>
          <w:marTop w:val="0"/>
          <w:marBottom w:val="0"/>
          <w:divBdr>
            <w:top w:val="none" w:sz="0" w:space="0" w:color="auto"/>
            <w:left w:val="none" w:sz="0" w:space="0" w:color="auto"/>
            <w:bottom w:val="none" w:sz="0" w:space="0" w:color="auto"/>
            <w:right w:val="none" w:sz="0" w:space="0" w:color="auto"/>
          </w:divBdr>
          <w:divsChild>
            <w:div w:id="1981304081">
              <w:marLeft w:val="585"/>
              <w:marRight w:val="0"/>
              <w:marTop w:val="75"/>
              <w:marBottom w:val="0"/>
              <w:divBdr>
                <w:top w:val="none" w:sz="0" w:space="0" w:color="auto"/>
                <w:left w:val="none" w:sz="0" w:space="0" w:color="auto"/>
                <w:bottom w:val="none" w:sz="0" w:space="0" w:color="auto"/>
                <w:right w:val="none" w:sz="0" w:space="0" w:color="auto"/>
              </w:divBdr>
              <w:divsChild>
                <w:div w:id="359673425">
                  <w:marLeft w:val="0"/>
                  <w:marRight w:val="1050"/>
                  <w:marTop w:val="0"/>
                  <w:marBottom w:val="0"/>
                  <w:divBdr>
                    <w:top w:val="none" w:sz="0" w:space="0" w:color="auto"/>
                    <w:left w:val="none" w:sz="0" w:space="0" w:color="auto"/>
                    <w:bottom w:val="none" w:sz="0" w:space="0" w:color="auto"/>
                    <w:right w:val="none" w:sz="0" w:space="0" w:color="auto"/>
                  </w:divBdr>
                  <w:divsChild>
                    <w:div w:id="368189223">
                      <w:marLeft w:val="0"/>
                      <w:marRight w:val="0"/>
                      <w:marTop w:val="0"/>
                      <w:marBottom w:val="150"/>
                      <w:divBdr>
                        <w:top w:val="none" w:sz="0" w:space="0" w:color="auto"/>
                        <w:left w:val="none" w:sz="0" w:space="0" w:color="auto"/>
                        <w:bottom w:val="none" w:sz="0" w:space="0" w:color="auto"/>
                        <w:right w:val="none" w:sz="0" w:space="0" w:color="auto"/>
                      </w:divBdr>
                    </w:div>
                    <w:div w:id="894312247">
                      <w:marLeft w:val="0"/>
                      <w:marRight w:val="0"/>
                      <w:marTop w:val="0"/>
                      <w:marBottom w:val="150"/>
                      <w:divBdr>
                        <w:top w:val="none" w:sz="0" w:space="0" w:color="auto"/>
                        <w:left w:val="none" w:sz="0" w:space="0" w:color="auto"/>
                        <w:bottom w:val="none" w:sz="0" w:space="0" w:color="auto"/>
                        <w:right w:val="none" w:sz="0" w:space="0" w:color="auto"/>
                      </w:divBdr>
                      <w:divsChild>
                        <w:div w:id="656306896">
                          <w:marLeft w:val="0"/>
                          <w:marRight w:val="0"/>
                          <w:marTop w:val="0"/>
                          <w:marBottom w:val="0"/>
                          <w:divBdr>
                            <w:top w:val="none" w:sz="0" w:space="0" w:color="auto"/>
                            <w:left w:val="none" w:sz="0" w:space="0" w:color="auto"/>
                            <w:bottom w:val="none" w:sz="0" w:space="0" w:color="auto"/>
                            <w:right w:val="none" w:sz="0" w:space="0" w:color="auto"/>
                          </w:divBdr>
                        </w:div>
                      </w:divsChild>
                    </w:div>
                    <w:div w:id="1546747520">
                      <w:marLeft w:val="0"/>
                      <w:marRight w:val="0"/>
                      <w:marTop w:val="0"/>
                      <w:marBottom w:val="150"/>
                      <w:divBdr>
                        <w:top w:val="none" w:sz="0" w:space="0" w:color="auto"/>
                        <w:left w:val="none" w:sz="0" w:space="0" w:color="auto"/>
                        <w:bottom w:val="none" w:sz="0" w:space="0" w:color="auto"/>
                        <w:right w:val="none" w:sz="0" w:space="0" w:color="auto"/>
                      </w:divBdr>
                    </w:div>
                    <w:div w:id="1723485345">
                      <w:marLeft w:val="0"/>
                      <w:marRight w:val="0"/>
                      <w:marTop w:val="0"/>
                      <w:marBottom w:val="150"/>
                      <w:divBdr>
                        <w:top w:val="none" w:sz="0" w:space="0" w:color="auto"/>
                        <w:left w:val="none" w:sz="0" w:space="0" w:color="auto"/>
                        <w:bottom w:val="none" w:sz="0" w:space="0" w:color="auto"/>
                        <w:right w:val="none" w:sz="0" w:space="0" w:color="auto"/>
                      </w:divBdr>
                      <w:divsChild>
                        <w:div w:id="129832103">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E075-6939-44AE-AC15-837B3991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5688</Characters>
  <Application>Microsoft Office Word</Application>
  <DocSecurity>0</DocSecurity>
  <Lines>218</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23.novembra noteikumos Nr.964 "Pārtikas preču marķēšanas noteikumi"</vt:lpstr>
      <vt:lpstr>Grozījumi Ministru kabineta 2004.gada 23.novembra noteikumos Nr.964 "Pārtikas preču marķēšanas noteikumi"</vt:lpstr>
    </vt:vector>
  </TitlesOfParts>
  <Company>ZM</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23.novembra noteikumos Nr.964 "Pārtikas preču marķēšanas noteikumi"</dc:title>
  <dc:subject>noteikumu projekts</dc:subject>
  <dc:creator>Daina Krastiņa</dc:creator>
  <cp:keywords/>
  <dc:description>Daina.Krastina@zm.gov.lv, 67027305</dc:description>
  <cp:lastModifiedBy>Antra Dāldere</cp:lastModifiedBy>
  <cp:revision>4</cp:revision>
  <cp:lastPrinted>2014-12-04T07:45:00Z</cp:lastPrinted>
  <dcterms:created xsi:type="dcterms:W3CDTF">2015-11-12T06:43:00Z</dcterms:created>
  <dcterms:modified xsi:type="dcterms:W3CDTF">2015-11-12T09:07:00Z</dcterms:modified>
</cp:coreProperties>
</file>