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3F1218" w:rsidRDefault="00EA6CD3" w:rsidP="003F1218">
      <w:pPr>
        <w:jc w:val="center"/>
        <w:rPr>
          <w:rFonts w:eastAsia="Times New Roman"/>
          <w:b/>
          <w:sz w:val="27"/>
          <w:szCs w:val="27"/>
          <w:lang w:val="lv-LV" w:eastAsia="ja-JP"/>
        </w:rPr>
      </w:pPr>
      <w:bookmarkStart w:id="0" w:name="OLE_LINK3"/>
      <w:bookmarkStart w:id="1" w:name="OLE_LINK1"/>
      <w:bookmarkStart w:id="2" w:name="OLE_LINK2"/>
      <w:r w:rsidRPr="003F1218">
        <w:rPr>
          <w:b/>
          <w:sz w:val="27"/>
          <w:szCs w:val="27"/>
          <w:lang w:val="lv-LV"/>
        </w:rPr>
        <w:t xml:space="preserve">Ministru kabineta noteikumu projekta </w:t>
      </w:r>
      <w:bookmarkStart w:id="3" w:name="OLE_LINK8"/>
      <w:bookmarkStart w:id="4" w:name="OLE_LINK4"/>
      <w:bookmarkStart w:id="5" w:name="OLE_LINK5"/>
      <w:r w:rsidR="003F1218" w:rsidRPr="003F1218">
        <w:rPr>
          <w:b/>
          <w:sz w:val="27"/>
          <w:szCs w:val="27"/>
          <w:lang w:val="lv-LV"/>
        </w:rPr>
        <w:t>“</w:t>
      </w:r>
      <w:r w:rsidR="003F1218" w:rsidRPr="003F1218">
        <w:rPr>
          <w:rFonts w:eastAsia="Times New Roman"/>
          <w:b/>
          <w:sz w:val="27"/>
          <w:szCs w:val="27"/>
          <w:lang w:val="lv-LV" w:eastAsia="ja-JP"/>
        </w:rPr>
        <w:t xml:space="preserve">Grozījumi Ministru kabineta 2010.gada 26.oktobra noteikumos Nr.997 </w:t>
      </w:r>
      <w:bookmarkStart w:id="6" w:name="OLE_LINK11"/>
      <w:bookmarkStart w:id="7" w:name="OLE_LINK12"/>
      <w:r w:rsidR="004F593F">
        <w:rPr>
          <w:rFonts w:eastAsia="Times New Roman"/>
          <w:b/>
          <w:sz w:val="27"/>
          <w:szCs w:val="27"/>
          <w:lang w:val="lv-LV" w:eastAsia="ja-JP"/>
        </w:rPr>
        <w:t>“</w:t>
      </w:r>
      <w:r w:rsidR="003F1218" w:rsidRPr="003F1218">
        <w:rPr>
          <w:rFonts w:eastAsia="Times New Roman"/>
          <w:b/>
          <w:sz w:val="27"/>
          <w:szCs w:val="27"/>
          <w:lang w:val="lv-LV" w:eastAsia="ja-JP"/>
        </w:rPr>
        <w:t>Noteikumi par garantijām komersantu un atbilstošu lauksaimniecības pakalpojumu kooperatīvo sabiedrību konkurētspējas uzlabošanai”</w:t>
      </w:r>
      <w:bookmarkEnd w:id="3"/>
      <w:bookmarkEnd w:id="4"/>
      <w:bookmarkEnd w:id="5"/>
      <w:bookmarkEnd w:id="6"/>
      <w:bookmarkEnd w:id="7"/>
      <w:r w:rsidR="004F593F">
        <w:rPr>
          <w:rFonts w:eastAsia="Times New Roman"/>
          <w:b/>
          <w:sz w:val="27"/>
          <w:szCs w:val="27"/>
          <w:lang w:val="lv-LV" w:eastAsia="ja-JP"/>
        </w:rPr>
        <w:t>”</w:t>
      </w:r>
    </w:p>
    <w:p w:rsidR="00EA6CD3" w:rsidRPr="003F1218" w:rsidRDefault="00EA6CD3" w:rsidP="003F1218">
      <w:pPr>
        <w:pStyle w:val="BodyText"/>
        <w:jc w:val="center"/>
        <w:rPr>
          <w:b/>
          <w:sz w:val="27"/>
          <w:szCs w:val="27"/>
        </w:rPr>
      </w:pPr>
      <w:r w:rsidRPr="003F1218">
        <w:rPr>
          <w:b/>
          <w:sz w:val="27"/>
          <w:szCs w:val="27"/>
        </w:rPr>
        <w:t>sākotnējās ietekmes novērtējuma ziņojums (anotācija)</w:t>
      </w:r>
    </w:p>
    <w:p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CE35E1" w:rsidRDefault="00EA6CD3" w:rsidP="00CB6AC4">
            <w:pPr>
              <w:ind w:firstLine="720"/>
              <w:jc w:val="center"/>
              <w:rPr>
                <w:b/>
                <w:sz w:val="26"/>
                <w:szCs w:val="26"/>
                <w:lang w:val="lv-LV"/>
              </w:rPr>
            </w:pPr>
            <w:r w:rsidRPr="00CE35E1">
              <w:rPr>
                <w:b/>
                <w:sz w:val="26"/>
                <w:szCs w:val="26"/>
                <w:lang w:val="lv-LV"/>
              </w:rPr>
              <w:t>I.Tiesību akta projekta izstrādes nepieciešamība</w:t>
            </w:r>
          </w:p>
        </w:tc>
      </w:tr>
      <w:tr w:rsidR="00EA6CD3" w:rsidRPr="003E5A6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CA0BCB" w:rsidP="00942B90">
            <w:pPr>
              <w:spacing w:after="240"/>
              <w:ind w:firstLine="709"/>
              <w:jc w:val="both"/>
              <w:rPr>
                <w:sz w:val="26"/>
                <w:szCs w:val="26"/>
                <w:lang w:val="lv-LV"/>
              </w:rPr>
            </w:pPr>
            <w:r w:rsidRPr="00CE35E1">
              <w:rPr>
                <w:sz w:val="26"/>
                <w:szCs w:val="26"/>
                <w:lang w:val="lv-LV"/>
              </w:rPr>
              <w:t>Noteikumu projekts sagatavots, pamatojoties uz Ministru kabineta iekārtas likuma 31.panta pirmās daļas 3.punktu</w:t>
            </w:r>
            <w:r w:rsidR="00837390">
              <w:rPr>
                <w:sz w:val="26"/>
                <w:szCs w:val="26"/>
                <w:lang w:val="lv-LV"/>
              </w:rPr>
              <w:t xml:space="preserve"> un Attīstības finanšu institūcijas likuma 12</w:t>
            </w:r>
            <w:r w:rsidR="00546938">
              <w:rPr>
                <w:sz w:val="26"/>
                <w:szCs w:val="26"/>
                <w:lang w:val="lv-LV"/>
              </w:rPr>
              <w:t>.</w:t>
            </w:r>
            <w:r w:rsidR="00837390">
              <w:rPr>
                <w:sz w:val="26"/>
                <w:szCs w:val="26"/>
                <w:lang w:val="lv-LV"/>
              </w:rPr>
              <w:t>panta ceturto daļu.</w:t>
            </w:r>
          </w:p>
        </w:tc>
      </w:tr>
      <w:tr w:rsidR="00EA6CD3" w:rsidRPr="003E5A6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973C0" w:rsidRDefault="00A229AC" w:rsidP="00942B90">
            <w:pPr>
              <w:spacing w:after="120"/>
              <w:ind w:firstLine="709"/>
              <w:jc w:val="both"/>
              <w:rPr>
                <w:b/>
                <w:sz w:val="26"/>
                <w:szCs w:val="26"/>
                <w:lang w:val="lv-LV"/>
              </w:rPr>
            </w:pPr>
            <w:r w:rsidRPr="004F593F">
              <w:rPr>
                <w:sz w:val="26"/>
                <w:szCs w:val="26"/>
                <w:lang w:val="lv-LV"/>
              </w:rPr>
              <w:t xml:space="preserve">Ministru kabineta </w:t>
            </w:r>
            <w:r w:rsidR="004F593F" w:rsidRPr="004F593F">
              <w:rPr>
                <w:rFonts w:eastAsia="Times New Roman"/>
                <w:sz w:val="26"/>
                <w:szCs w:val="26"/>
                <w:lang w:val="lv-LV" w:eastAsia="ja-JP"/>
              </w:rPr>
              <w:t>2010.gada 26.oktobra noteikumi Nr.997 “Noteikumi par garantijām komersantu un atbilstošu lauksaimniecības pakalpojumu kooperatīvo sabiedrību konkurētspējas uzlabošanai”</w:t>
            </w:r>
            <w:r w:rsidR="004F593F" w:rsidRPr="004F593F">
              <w:rPr>
                <w:sz w:val="26"/>
                <w:szCs w:val="26"/>
                <w:lang w:val="lv-LV"/>
              </w:rPr>
              <w:t xml:space="preserve"> </w:t>
            </w:r>
            <w:r w:rsidRPr="004F593F">
              <w:rPr>
                <w:sz w:val="26"/>
                <w:szCs w:val="26"/>
                <w:lang w:val="lv-LV"/>
              </w:rPr>
              <w:t>(turpmāk - MK noteikumi Nr.</w:t>
            </w:r>
            <w:r w:rsidR="004F593F">
              <w:rPr>
                <w:sz w:val="26"/>
                <w:szCs w:val="26"/>
                <w:lang w:val="lv-LV"/>
              </w:rPr>
              <w:t>997</w:t>
            </w:r>
            <w:r w:rsidRPr="004F593F">
              <w:rPr>
                <w:sz w:val="26"/>
                <w:szCs w:val="26"/>
                <w:lang w:val="lv-LV"/>
              </w:rPr>
              <w:t>)</w:t>
            </w:r>
            <w:r w:rsidRPr="00CE35E1">
              <w:rPr>
                <w:sz w:val="26"/>
                <w:szCs w:val="26"/>
                <w:lang w:val="lv-LV"/>
              </w:rPr>
              <w:t xml:space="preserve"> </w:t>
            </w:r>
            <w:r w:rsidRPr="0079247D">
              <w:rPr>
                <w:b/>
                <w:sz w:val="26"/>
                <w:szCs w:val="26"/>
                <w:lang w:val="lv-LV"/>
              </w:rPr>
              <w:t xml:space="preserve">nosaka </w:t>
            </w:r>
            <w:r w:rsidR="00F25051">
              <w:rPr>
                <w:b/>
                <w:sz w:val="26"/>
                <w:szCs w:val="26"/>
                <w:lang w:val="lv-LV"/>
              </w:rPr>
              <w:t>aizdevumu garantiju</w:t>
            </w:r>
            <w:r w:rsidRPr="0079247D">
              <w:rPr>
                <w:b/>
                <w:sz w:val="26"/>
                <w:szCs w:val="26"/>
                <w:lang w:val="lv-LV"/>
              </w:rPr>
              <w:t xml:space="preserve"> piešķiršanas</w:t>
            </w:r>
            <w:r w:rsidR="00CA0BCB" w:rsidRPr="0079247D">
              <w:rPr>
                <w:b/>
                <w:sz w:val="26"/>
                <w:szCs w:val="26"/>
                <w:lang w:val="lv-LV"/>
              </w:rPr>
              <w:t xml:space="preserve"> </w:t>
            </w:r>
            <w:r w:rsidR="00A973C0">
              <w:rPr>
                <w:b/>
                <w:sz w:val="26"/>
                <w:szCs w:val="26"/>
                <w:lang w:val="lv-LV"/>
              </w:rPr>
              <w:t xml:space="preserve">nosacījumus </w:t>
            </w:r>
            <w:r w:rsidR="00F25051" w:rsidRPr="00F25051">
              <w:rPr>
                <w:b/>
                <w:sz w:val="26"/>
                <w:szCs w:val="26"/>
                <w:lang w:val="lv-LV"/>
              </w:rPr>
              <w:t xml:space="preserve">saimnieciskās darbības veicēju konkurētspējas uzlabošanai </w:t>
            </w:r>
            <w:r w:rsidR="00C56539">
              <w:rPr>
                <w:b/>
                <w:sz w:val="26"/>
                <w:szCs w:val="26"/>
                <w:lang w:val="lv-LV"/>
              </w:rPr>
              <w:t>2007.-2013.gada plānošanas periodā</w:t>
            </w:r>
            <w:r w:rsidR="00A973C0">
              <w:rPr>
                <w:b/>
                <w:sz w:val="26"/>
                <w:szCs w:val="26"/>
                <w:lang w:val="lv-LV"/>
              </w:rPr>
              <w:t xml:space="preserve">. </w:t>
            </w:r>
          </w:p>
          <w:p w:rsidR="00C87182" w:rsidRDefault="00A973C0" w:rsidP="00A66F1F">
            <w:pPr>
              <w:spacing w:after="240"/>
              <w:ind w:firstLine="709"/>
              <w:jc w:val="both"/>
              <w:rPr>
                <w:sz w:val="26"/>
                <w:szCs w:val="26"/>
                <w:lang w:val="lv-LV"/>
              </w:rPr>
            </w:pPr>
            <w:r>
              <w:rPr>
                <w:b/>
                <w:sz w:val="26"/>
                <w:szCs w:val="26"/>
                <w:lang w:val="lv-LV"/>
              </w:rPr>
              <w:t xml:space="preserve">Aizdevumu garantiju </w:t>
            </w:r>
            <w:r w:rsidR="00572337" w:rsidRPr="0079247D">
              <w:rPr>
                <w:b/>
                <w:sz w:val="26"/>
                <w:szCs w:val="26"/>
                <w:lang w:val="lv-LV"/>
              </w:rPr>
              <w:t xml:space="preserve">īstenošanas </w:t>
            </w:r>
            <w:r w:rsidR="00CE35E1" w:rsidRPr="0079247D">
              <w:rPr>
                <w:b/>
                <w:sz w:val="26"/>
                <w:szCs w:val="26"/>
                <w:lang w:val="lv-LV"/>
              </w:rPr>
              <w:t>nepieciešamību</w:t>
            </w:r>
            <w:r w:rsidR="00572337" w:rsidRPr="0079247D">
              <w:rPr>
                <w:b/>
                <w:sz w:val="26"/>
                <w:szCs w:val="26"/>
                <w:lang w:val="lv-LV"/>
              </w:rPr>
              <w:t xml:space="preserve"> </w:t>
            </w:r>
            <w:r w:rsidR="00CE35E1" w:rsidRPr="0079247D">
              <w:rPr>
                <w:b/>
                <w:sz w:val="26"/>
                <w:szCs w:val="26"/>
                <w:lang w:val="lv-LV"/>
              </w:rPr>
              <w:t xml:space="preserve">pamato </w:t>
            </w:r>
            <w:r w:rsidR="00B51427" w:rsidRPr="0079247D">
              <w:rPr>
                <w:b/>
                <w:sz w:val="26"/>
                <w:szCs w:val="26"/>
                <w:lang w:val="lv-LV"/>
              </w:rPr>
              <w:t xml:space="preserve">Ekonomikas ministrijas </w:t>
            </w:r>
            <w:r w:rsidR="00B51427" w:rsidRPr="0079247D">
              <w:rPr>
                <w:sz w:val="26"/>
                <w:szCs w:val="26"/>
                <w:lang w:val="lv-LV"/>
              </w:rPr>
              <w:t>(turpmāk – EM)</w:t>
            </w:r>
            <w:r w:rsidR="00B51427" w:rsidRPr="0079247D">
              <w:rPr>
                <w:b/>
                <w:sz w:val="26"/>
                <w:szCs w:val="26"/>
                <w:lang w:val="lv-LV"/>
              </w:rPr>
              <w:t xml:space="preserve"> </w:t>
            </w:r>
            <w:r w:rsidR="00E539B3" w:rsidRPr="0079247D">
              <w:rPr>
                <w:b/>
                <w:sz w:val="26"/>
                <w:szCs w:val="26"/>
                <w:lang w:val="lv-LV"/>
              </w:rPr>
              <w:t>veikt</w:t>
            </w:r>
            <w:r w:rsidR="00CE35E1" w:rsidRPr="0079247D">
              <w:rPr>
                <w:b/>
                <w:sz w:val="26"/>
                <w:szCs w:val="26"/>
                <w:lang w:val="lv-LV"/>
              </w:rPr>
              <w:t>ais</w:t>
            </w:r>
            <w:r w:rsidR="00E539B3" w:rsidRPr="0079247D">
              <w:rPr>
                <w:b/>
                <w:sz w:val="26"/>
                <w:szCs w:val="26"/>
                <w:lang w:val="lv-LV"/>
              </w:rPr>
              <w:t xml:space="preserve"> tirgus nepilnību </w:t>
            </w:r>
            <w:r w:rsidR="00CE35E1" w:rsidRPr="0079247D">
              <w:rPr>
                <w:b/>
                <w:sz w:val="26"/>
                <w:szCs w:val="26"/>
                <w:lang w:val="lv-LV"/>
              </w:rPr>
              <w:t>izvērtējums</w:t>
            </w:r>
            <w:r>
              <w:rPr>
                <w:b/>
                <w:sz w:val="26"/>
                <w:szCs w:val="26"/>
                <w:lang w:val="lv-LV"/>
              </w:rPr>
              <w:t xml:space="preserve"> finanšu pieejamības jomā</w:t>
            </w:r>
            <w:r w:rsidR="00572337" w:rsidRPr="0079247D">
              <w:rPr>
                <w:b/>
                <w:sz w:val="26"/>
                <w:szCs w:val="26"/>
                <w:lang w:val="lv-LV"/>
              </w:rPr>
              <w:t xml:space="preserve"> </w:t>
            </w:r>
            <w:r w:rsidR="00572337" w:rsidRPr="0079247D">
              <w:rPr>
                <w:sz w:val="26"/>
                <w:szCs w:val="26"/>
                <w:lang w:val="lv-LV"/>
              </w:rPr>
              <w:t>(</w:t>
            </w:r>
            <w:r w:rsidR="00C87182" w:rsidRPr="00C87182">
              <w:rPr>
                <w:sz w:val="26"/>
                <w:szCs w:val="26"/>
                <w:lang w:val="lv-LV"/>
              </w:rPr>
              <w:t>apstiprināt</w:t>
            </w:r>
            <w:r w:rsidR="00C87182">
              <w:rPr>
                <w:sz w:val="26"/>
                <w:szCs w:val="26"/>
                <w:lang w:val="lv-LV"/>
              </w:rPr>
              <w:t>s</w:t>
            </w:r>
            <w:r w:rsidR="00C87182" w:rsidRPr="00C87182">
              <w:rPr>
                <w:sz w:val="26"/>
                <w:szCs w:val="26"/>
                <w:lang w:val="lv-LV"/>
              </w:rPr>
              <w:t xml:space="preserve"> 2015.gada 30.aprīļa 2014.–2020.gada plānošanas perioda Eiropas Savienības struktūrfondu un Kohēzijas fonda Uzraudzības komitejas sēdē; protokola Nr. P-2015/UK/1</w:t>
            </w:r>
            <w:r w:rsidR="00572337" w:rsidRPr="0079247D">
              <w:rPr>
                <w:sz w:val="26"/>
                <w:szCs w:val="26"/>
                <w:lang w:val="lv-LV"/>
              </w:rPr>
              <w:t>)</w:t>
            </w:r>
            <w:r>
              <w:rPr>
                <w:sz w:val="26"/>
                <w:szCs w:val="26"/>
                <w:lang w:val="lv-LV"/>
              </w:rPr>
              <w:t xml:space="preserve"> (turpmāk – tirgus nepilnību izvērtējums), </w:t>
            </w:r>
            <w:r w:rsidR="00C87182">
              <w:rPr>
                <w:sz w:val="26"/>
                <w:szCs w:val="26"/>
                <w:lang w:val="lv-LV"/>
              </w:rPr>
              <w:t xml:space="preserve">norādot </w:t>
            </w:r>
            <w:r w:rsidR="00BB5125">
              <w:rPr>
                <w:sz w:val="26"/>
                <w:szCs w:val="26"/>
                <w:lang w:val="lv-LV"/>
              </w:rPr>
              <w:t xml:space="preserve">uz </w:t>
            </w:r>
            <w:r>
              <w:rPr>
                <w:sz w:val="26"/>
                <w:szCs w:val="26"/>
                <w:lang w:val="lv-LV"/>
              </w:rPr>
              <w:t xml:space="preserve">garantiju </w:t>
            </w:r>
            <w:r w:rsidR="00C87182">
              <w:rPr>
                <w:sz w:val="26"/>
                <w:szCs w:val="26"/>
                <w:lang w:val="lv-LV"/>
              </w:rPr>
              <w:t>nozīmi komercbanku aizdevumu pieejamības veicināšan</w:t>
            </w:r>
            <w:r w:rsidR="00BB5125">
              <w:rPr>
                <w:sz w:val="26"/>
                <w:szCs w:val="26"/>
                <w:lang w:val="lv-LV"/>
              </w:rPr>
              <w:t>ā</w:t>
            </w:r>
            <w:r w:rsidR="00C87182">
              <w:rPr>
                <w:sz w:val="26"/>
                <w:szCs w:val="26"/>
                <w:lang w:val="lv-LV"/>
              </w:rPr>
              <w:t xml:space="preserve"> situācijās, kad saimnieciskās darbības veicējam </w:t>
            </w:r>
            <w:r>
              <w:rPr>
                <w:sz w:val="26"/>
                <w:szCs w:val="26"/>
                <w:lang w:val="lv-LV"/>
              </w:rPr>
              <w:t xml:space="preserve">nav pietiekošs nodrošinājums, lai saņemtu </w:t>
            </w:r>
            <w:r w:rsidR="00C87182">
              <w:rPr>
                <w:sz w:val="26"/>
                <w:szCs w:val="26"/>
                <w:lang w:val="lv-LV"/>
              </w:rPr>
              <w:t xml:space="preserve">komercbanku aizdevumu </w:t>
            </w:r>
            <w:r>
              <w:rPr>
                <w:sz w:val="26"/>
                <w:szCs w:val="26"/>
                <w:lang w:val="lv-LV"/>
              </w:rPr>
              <w:t>nepieciešamajā apmērā</w:t>
            </w:r>
            <w:r w:rsidR="001F20D0">
              <w:rPr>
                <w:sz w:val="26"/>
                <w:szCs w:val="26"/>
                <w:lang w:val="lv-LV"/>
              </w:rPr>
              <w:t xml:space="preserve"> dzīvotspējīg</w:t>
            </w:r>
            <w:r w:rsidR="00B87E61">
              <w:rPr>
                <w:sz w:val="26"/>
                <w:szCs w:val="26"/>
                <w:lang w:val="lv-LV"/>
              </w:rPr>
              <w:t>a</w:t>
            </w:r>
            <w:r w:rsidR="001F20D0">
              <w:rPr>
                <w:sz w:val="26"/>
                <w:szCs w:val="26"/>
                <w:lang w:val="lv-LV"/>
              </w:rPr>
              <w:t xml:space="preserve"> projekta realizēšanai</w:t>
            </w:r>
            <w:r>
              <w:rPr>
                <w:sz w:val="26"/>
                <w:szCs w:val="26"/>
                <w:lang w:val="lv-LV"/>
              </w:rPr>
              <w:t xml:space="preserve">. </w:t>
            </w:r>
          </w:p>
          <w:p w:rsidR="00B87E61" w:rsidRDefault="00A973C0" w:rsidP="00B87E61">
            <w:pPr>
              <w:spacing w:after="240"/>
              <w:ind w:firstLine="709"/>
              <w:jc w:val="both"/>
              <w:rPr>
                <w:sz w:val="26"/>
                <w:szCs w:val="26"/>
                <w:lang w:val="lv-LV"/>
              </w:rPr>
            </w:pPr>
            <w:r w:rsidRPr="001F20D0">
              <w:rPr>
                <w:sz w:val="26"/>
                <w:szCs w:val="26"/>
                <w:lang w:val="lv-LV"/>
              </w:rPr>
              <w:t>Laika periodā</w:t>
            </w:r>
            <w:r w:rsidR="00C87182" w:rsidRPr="001F20D0">
              <w:rPr>
                <w:sz w:val="26"/>
                <w:szCs w:val="26"/>
                <w:lang w:val="lv-LV"/>
              </w:rPr>
              <w:t xml:space="preserve"> no 2009.gada</w:t>
            </w:r>
            <w:r w:rsidRPr="001F20D0">
              <w:rPr>
                <w:sz w:val="26"/>
                <w:szCs w:val="26"/>
                <w:lang w:val="lv-LV"/>
              </w:rPr>
              <w:t xml:space="preserve"> </w:t>
            </w:r>
            <w:r w:rsidR="00A453C4">
              <w:rPr>
                <w:sz w:val="26"/>
                <w:szCs w:val="26"/>
                <w:lang w:val="lv-LV"/>
              </w:rPr>
              <w:t xml:space="preserve">20.aprīļa </w:t>
            </w:r>
            <w:r w:rsidRPr="001F20D0">
              <w:rPr>
                <w:sz w:val="26"/>
                <w:szCs w:val="26"/>
                <w:lang w:val="lv-LV"/>
              </w:rPr>
              <w:t xml:space="preserve">līdz 2015.gada 30.septembrim </w:t>
            </w:r>
            <w:r w:rsidR="00C934AF" w:rsidRPr="001F20D0">
              <w:rPr>
                <w:sz w:val="26"/>
                <w:szCs w:val="26"/>
                <w:lang w:val="lv-LV"/>
              </w:rPr>
              <w:t>darbības programmas “Uzņēmējdarbība un inovācijas” papildinājuma 2.2.1.3.aktivitāt</w:t>
            </w:r>
            <w:r w:rsidR="00B87E61">
              <w:rPr>
                <w:sz w:val="26"/>
                <w:szCs w:val="26"/>
                <w:lang w:val="lv-LV"/>
              </w:rPr>
              <w:t>ē</w:t>
            </w:r>
            <w:r w:rsidR="00C934AF" w:rsidRPr="001F20D0">
              <w:rPr>
                <w:sz w:val="26"/>
                <w:szCs w:val="26"/>
                <w:lang w:val="lv-LV"/>
              </w:rPr>
              <w:t xml:space="preserve"> “Garantijas komersantu konkurētspējas uzlabošanai” (</w:t>
            </w:r>
            <w:r w:rsidR="00A453C4">
              <w:rPr>
                <w:sz w:val="26"/>
                <w:szCs w:val="26"/>
                <w:lang w:val="lv-LV"/>
              </w:rPr>
              <w:t xml:space="preserve">šī </w:t>
            </w:r>
            <w:r w:rsidR="00C934AF" w:rsidRPr="001F20D0">
              <w:rPr>
                <w:sz w:val="26"/>
                <w:szCs w:val="26"/>
                <w:lang w:val="lv-LV"/>
              </w:rPr>
              <w:t xml:space="preserve">aktivitāte ir slēgta 2013.gada 31.decembrī) un </w:t>
            </w:r>
            <w:r w:rsidR="00C87182" w:rsidRPr="001F20D0">
              <w:rPr>
                <w:sz w:val="26"/>
                <w:szCs w:val="26"/>
                <w:lang w:val="lv-LV"/>
              </w:rPr>
              <w:t>2.2.1.</w:t>
            </w:r>
            <w:r w:rsidR="00C934AF" w:rsidRPr="001F20D0">
              <w:rPr>
                <w:sz w:val="26"/>
                <w:szCs w:val="26"/>
                <w:lang w:val="lv-LV"/>
              </w:rPr>
              <w:t>4.2.aktivitāt</w:t>
            </w:r>
            <w:r w:rsidR="00B87E61">
              <w:rPr>
                <w:sz w:val="26"/>
                <w:szCs w:val="26"/>
                <w:lang w:val="lv-LV"/>
              </w:rPr>
              <w:t>ē</w:t>
            </w:r>
            <w:r w:rsidR="00C934AF" w:rsidRPr="001F20D0">
              <w:rPr>
                <w:sz w:val="26"/>
                <w:szCs w:val="26"/>
                <w:lang w:val="lv-LV"/>
              </w:rPr>
              <w:t xml:space="preserve"> “</w:t>
            </w:r>
            <w:proofErr w:type="spellStart"/>
            <w:r w:rsidR="00C934AF" w:rsidRPr="001F20D0">
              <w:rPr>
                <w:sz w:val="26"/>
                <w:szCs w:val="26"/>
                <w:lang w:val="lv-LV"/>
              </w:rPr>
              <w:t>Mezanīna</w:t>
            </w:r>
            <w:proofErr w:type="spellEnd"/>
            <w:r w:rsidR="00C934AF" w:rsidRPr="001F20D0">
              <w:rPr>
                <w:sz w:val="26"/>
                <w:szCs w:val="26"/>
                <w:lang w:val="lv-LV"/>
              </w:rPr>
              <w:t xml:space="preserve"> aizdevumi un nodrošinājuma garantijas saimnieciskās darbības veicēju konkurētspējas uzlabošanai” </w:t>
            </w:r>
            <w:r w:rsidR="001F20D0">
              <w:rPr>
                <w:sz w:val="26"/>
                <w:szCs w:val="26"/>
                <w:lang w:val="lv-LV"/>
              </w:rPr>
              <w:t xml:space="preserve">(turpmāk – 2.2.1.4.2.aktivitāte) </w:t>
            </w:r>
            <w:r w:rsidR="00B87E61">
              <w:rPr>
                <w:sz w:val="26"/>
                <w:szCs w:val="26"/>
                <w:lang w:val="lv-LV"/>
              </w:rPr>
              <w:t>un saskaņā ar</w:t>
            </w:r>
            <w:r w:rsidR="001F20D0" w:rsidRPr="001F20D0">
              <w:rPr>
                <w:sz w:val="26"/>
                <w:szCs w:val="26"/>
                <w:lang w:val="lv-LV"/>
              </w:rPr>
              <w:t xml:space="preserve"> MK noteikum</w:t>
            </w:r>
            <w:r w:rsidR="00B87E61">
              <w:rPr>
                <w:sz w:val="26"/>
                <w:szCs w:val="26"/>
                <w:lang w:val="lv-LV"/>
              </w:rPr>
              <w:t>u</w:t>
            </w:r>
            <w:r w:rsidR="001F20D0" w:rsidRPr="001F20D0">
              <w:rPr>
                <w:sz w:val="26"/>
                <w:szCs w:val="26"/>
                <w:lang w:val="lv-LV"/>
              </w:rPr>
              <w:t xml:space="preserve"> Nr.997</w:t>
            </w:r>
            <w:r w:rsidR="00B87E61">
              <w:rPr>
                <w:sz w:val="26"/>
                <w:szCs w:val="26"/>
                <w:lang w:val="lv-LV"/>
              </w:rPr>
              <w:t xml:space="preserve"> normām</w:t>
            </w:r>
            <w:r w:rsidR="001F20D0" w:rsidRPr="001F20D0">
              <w:rPr>
                <w:sz w:val="26"/>
                <w:szCs w:val="26"/>
                <w:lang w:val="lv-LV"/>
              </w:rPr>
              <w:t xml:space="preserve"> </w:t>
            </w:r>
            <w:r w:rsidR="00C934AF" w:rsidRPr="0028431A">
              <w:rPr>
                <w:b/>
                <w:sz w:val="26"/>
                <w:szCs w:val="26"/>
                <w:lang w:val="lv-LV"/>
              </w:rPr>
              <w:t>ir izsniegtas</w:t>
            </w:r>
            <w:r w:rsidR="001F20D0" w:rsidRPr="0028431A">
              <w:rPr>
                <w:b/>
                <w:sz w:val="26"/>
                <w:szCs w:val="26"/>
                <w:lang w:val="lv-LV"/>
              </w:rPr>
              <w:t xml:space="preserve"> </w:t>
            </w:r>
            <w:r w:rsidR="00C934AF" w:rsidRPr="0028431A">
              <w:rPr>
                <w:b/>
                <w:sz w:val="26"/>
                <w:szCs w:val="26"/>
                <w:lang w:val="lv-LV"/>
              </w:rPr>
              <w:t xml:space="preserve">506 aizdevumu garantijas saimnieciskās darbības veicējiem, </w:t>
            </w:r>
            <w:r w:rsidR="00B87E61" w:rsidRPr="0028431A">
              <w:rPr>
                <w:b/>
                <w:sz w:val="26"/>
                <w:szCs w:val="26"/>
                <w:lang w:val="lv-LV"/>
              </w:rPr>
              <w:t>nodrošinot</w:t>
            </w:r>
            <w:r w:rsidR="00C934AF" w:rsidRPr="0028431A">
              <w:rPr>
                <w:b/>
                <w:sz w:val="26"/>
                <w:szCs w:val="26"/>
                <w:lang w:val="lv-LV"/>
              </w:rPr>
              <w:t xml:space="preserve"> </w:t>
            </w:r>
            <w:r w:rsidR="001F20D0" w:rsidRPr="0028431A">
              <w:rPr>
                <w:b/>
                <w:sz w:val="26"/>
                <w:szCs w:val="26"/>
                <w:lang w:val="lv-LV"/>
              </w:rPr>
              <w:t>pieejamīb</w:t>
            </w:r>
            <w:r w:rsidR="00B87E61" w:rsidRPr="0028431A">
              <w:rPr>
                <w:b/>
                <w:sz w:val="26"/>
                <w:szCs w:val="26"/>
                <w:lang w:val="lv-LV"/>
              </w:rPr>
              <w:t>u</w:t>
            </w:r>
            <w:r w:rsidR="001F20D0" w:rsidRPr="0028431A">
              <w:rPr>
                <w:b/>
                <w:sz w:val="26"/>
                <w:szCs w:val="26"/>
                <w:lang w:val="lv-LV"/>
              </w:rPr>
              <w:t xml:space="preserve"> komercbanku aizdevumiem</w:t>
            </w:r>
            <w:r w:rsidR="00C934AF" w:rsidRPr="0028431A">
              <w:rPr>
                <w:b/>
                <w:sz w:val="26"/>
                <w:szCs w:val="26"/>
                <w:lang w:val="lv-LV"/>
              </w:rPr>
              <w:t xml:space="preserve"> 295 879 846 </w:t>
            </w:r>
            <w:proofErr w:type="spellStart"/>
            <w:r w:rsidR="00C934AF" w:rsidRPr="0028431A">
              <w:rPr>
                <w:b/>
                <w:i/>
                <w:sz w:val="26"/>
                <w:szCs w:val="26"/>
                <w:lang w:val="lv-LV"/>
              </w:rPr>
              <w:t>euro</w:t>
            </w:r>
            <w:proofErr w:type="spellEnd"/>
            <w:r w:rsidR="00C934AF" w:rsidRPr="0028431A">
              <w:rPr>
                <w:b/>
                <w:sz w:val="26"/>
                <w:szCs w:val="26"/>
                <w:lang w:val="lv-LV"/>
              </w:rPr>
              <w:t xml:space="preserve"> apmērā</w:t>
            </w:r>
            <w:r w:rsidR="00C934AF">
              <w:rPr>
                <w:sz w:val="26"/>
                <w:szCs w:val="26"/>
                <w:lang w:val="lv-LV"/>
              </w:rPr>
              <w:t>.</w:t>
            </w:r>
            <w:r w:rsidR="001F20D0">
              <w:rPr>
                <w:sz w:val="26"/>
                <w:szCs w:val="26"/>
                <w:lang w:val="lv-LV"/>
              </w:rPr>
              <w:t xml:space="preserve"> </w:t>
            </w:r>
            <w:r w:rsidR="001F20D0" w:rsidRPr="0028431A">
              <w:rPr>
                <w:b/>
                <w:sz w:val="26"/>
                <w:szCs w:val="26"/>
                <w:lang w:val="lv-LV"/>
              </w:rPr>
              <w:t>Līdzšinēji aizdevumu garantijas tiek attieci</w:t>
            </w:r>
            <w:r w:rsidR="005F60EA" w:rsidRPr="0028431A">
              <w:rPr>
                <w:b/>
                <w:sz w:val="26"/>
                <w:szCs w:val="26"/>
                <w:lang w:val="lv-LV"/>
              </w:rPr>
              <w:t>nātas 2.2.1.4.2.aktivitātē, kuras</w:t>
            </w:r>
            <w:r w:rsidR="001F20D0" w:rsidRPr="0028431A">
              <w:rPr>
                <w:b/>
                <w:sz w:val="26"/>
                <w:szCs w:val="26"/>
                <w:lang w:val="lv-LV"/>
              </w:rPr>
              <w:t xml:space="preserve"> īstenošanai, tajā skaitā aizdevumu garantiju, īstermiņa eksporta kredītu garantiju </w:t>
            </w:r>
            <w:r w:rsidR="00B87E61" w:rsidRPr="0028431A">
              <w:rPr>
                <w:b/>
                <w:sz w:val="26"/>
                <w:szCs w:val="26"/>
                <w:lang w:val="lv-LV"/>
              </w:rPr>
              <w:t xml:space="preserve">un </w:t>
            </w:r>
            <w:proofErr w:type="spellStart"/>
            <w:r w:rsidR="00B87E61" w:rsidRPr="0028431A">
              <w:rPr>
                <w:b/>
                <w:sz w:val="26"/>
                <w:szCs w:val="26"/>
                <w:lang w:val="lv-LV"/>
              </w:rPr>
              <w:t>mezanīna</w:t>
            </w:r>
            <w:proofErr w:type="spellEnd"/>
            <w:r w:rsidR="00B87E61" w:rsidRPr="0028431A">
              <w:rPr>
                <w:b/>
                <w:sz w:val="26"/>
                <w:szCs w:val="26"/>
                <w:lang w:val="lv-LV"/>
              </w:rPr>
              <w:t xml:space="preserve"> aizdevumu </w:t>
            </w:r>
            <w:r w:rsidR="001F20D0" w:rsidRPr="0028431A">
              <w:rPr>
                <w:b/>
                <w:sz w:val="26"/>
                <w:szCs w:val="26"/>
                <w:lang w:val="lv-LV"/>
              </w:rPr>
              <w:t xml:space="preserve">finansēšanai, kā arī AS </w:t>
            </w:r>
            <w:r w:rsidR="00B87E61" w:rsidRPr="0028431A">
              <w:rPr>
                <w:b/>
                <w:sz w:val="26"/>
                <w:szCs w:val="26"/>
                <w:lang w:val="lv-LV"/>
              </w:rPr>
              <w:t>“</w:t>
            </w:r>
            <w:r w:rsidR="001F20D0" w:rsidRPr="0028431A">
              <w:rPr>
                <w:b/>
                <w:sz w:val="26"/>
                <w:szCs w:val="26"/>
                <w:lang w:val="lv-LV"/>
              </w:rPr>
              <w:t>Attīstības finanšu institūcija Altum”</w:t>
            </w:r>
            <w:r w:rsidR="00366DD3" w:rsidRPr="0028431A">
              <w:rPr>
                <w:b/>
                <w:sz w:val="26"/>
                <w:szCs w:val="26"/>
                <w:lang w:val="lv-LV"/>
              </w:rPr>
              <w:t xml:space="preserve"> (turpmāk –</w:t>
            </w:r>
            <w:r w:rsidR="0028431A" w:rsidRPr="0028431A">
              <w:rPr>
                <w:b/>
                <w:sz w:val="26"/>
                <w:szCs w:val="26"/>
                <w:lang w:val="lv-LV"/>
              </w:rPr>
              <w:t xml:space="preserve"> Altum)</w:t>
            </w:r>
            <w:r w:rsidR="001F20D0" w:rsidRPr="0028431A">
              <w:rPr>
                <w:b/>
                <w:sz w:val="26"/>
                <w:szCs w:val="26"/>
                <w:lang w:val="lv-LV"/>
              </w:rPr>
              <w:t xml:space="preserve"> </w:t>
            </w:r>
            <w:r w:rsidR="001F20D0" w:rsidRPr="0028431A">
              <w:rPr>
                <w:b/>
                <w:sz w:val="26"/>
                <w:szCs w:val="26"/>
                <w:lang w:val="lv-LV"/>
              </w:rPr>
              <w:lastRenderedPageBreak/>
              <w:t xml:space="preserve">vadības izmaksu segšanai ir pieejams publiskais finansējums 25 860 778 </w:t>
            </w:r>
            <w:proofErr w:type="spellStart"/>
            <w:r w:rsidR="001F20D0" w:rsidRPr="0028431A">
              <w:rPr>
                <w:b/>
                <w:i/>
                <w:sz w:val="26"/>
                <w:szCs w:val="26"/>
                <w:lang w:val="lv-LV"/>
              </w:rPr>
              <w:t>euro</w:t>
            </w:r>
            <w:proofErr w:type="spellEnd"/>
            <w:r w:rsidR="001F20D0" w:rsidRPr="001F20D0">
              <w:rPr>
                <w:sz w:val="26"/>
                <w:szCs w:val="26"/>
                <w:lang w:val="lv-LV"/>
              </w:rPr>
              <w:t xml:space="preserve">, ko veido Eiropas Reģionālās attīstības fonda finansējums 15 290 219 </w:t>
            </w:r>
            <w:proofErr w:type="spellStart"/>
            <w:r w:rsidR="001F20D0" w:rsidRPr="001F20D0">
              <w:rPr>
                <w:i/>
                <w:sz w:val="26"/>
                <w:szCs w:val="26"/>
                <w:lang w:val="lv-LV"/>
              </w:rPr>
              <w:t>euro</w:t>
            </w:r>
            <w:proofErr w:type="spellEnd"/>
            <w:r w:rsidR="001F20D0">
              <w:rPr>
                <w:sz w:val="26"/>
                <w:szCs w:val="26"/>
                <w:lang w:val="lv-LV"/>
              </w:rPr>
              <w:t>,</w:t>
            </w:r>
            <w:r w:rsidR="001F20D0" w:rsidRPr="001F20D0">
              <w:rPr>
                <w:sz w:val="26"/>
                <w:szCs w:val="26"/>
                <w:lang w:val="lv-LV"/>
              </w:rPr>
              <w:t xml:space="preserve"> valsts budžeta finansējums 3 497 182</w:t>
            </w:r>
            <w:r w:rsidR="001F20D0" w:rsidRPr="001F20D0">
              <w:rPr>
                <w:i/>
                <w:sz w:val="26"/>
                <w:szCs w:val="26"/>
                <w:lang w:val="lv-LV"/>
              </w:rPr>
              <w:t xml:space="preserve"> </w:t>
            </w:r>
            <w:proofErr w:type="spellStart"/>
            <w:r w:rsidR="001F20D0" w:rsidRPr="001F20D0">
              <w:rPr>
                <w:i/>
                <w:sz w:val="26"/>
                <w:szCs w:val="26"/>
                <w:lang w:val="lv-LV"/>
              </w:rPr>
              <w:t>euro</w:t>
            </w:r>
            <w:proofErr w:type="spellEnd"/>
            <w:r w:rsidR="001F20D0">
              <w:rPr>
                <w:sz w:val="26"/>
                <w:szCs w:val="26"/>
                <w:lang w:val="lv-LV"/>
              </w:rPr>
              <w:t xml:space="preserve"> un p</w:t>
            </w:r>
            <w:r w:rsidR="001F20D0" w:rsidRPr="001F20D0">
              <w:rPr>
                <w:sz w:val="26"/>
                <w:szCs w:val="26"/>
                <w:lang w:val="lv-LV"/>
              </w:rPr>
              <w:t xml:space="preserve">apildus </w:t>
            </w:r>
            <w:r w:rsidR="0028431A">
              <w:rPr>
                <w:sz w:val="26"/>
                <w:szCs w:val="26"/>
                <w:lang w:val="lv-LV"/>
              </w:rPr>
              <w:t xml:space="preserve">pieejamais finansējums </w:t>
            </w:r>
            <w:r w:rsidR="001F20D0" w:rsidRPr="001F20D0">
              <w:rPr>
                <w:sz w:val="26"/>
                <w:szCs w:val="26"/>
                <w:lang w:val="lv-LV"/>
              </w:rPr>
              <w:t xml:space="preserve">7 073 377 </w:t>
            </w:r>
            <w:proofErr w:type="spellStart"/>
            <w:r w:rsidR="001F20D0" w:rsidRPr="00B87E61">
              <w:rPr>
                <w:i/>
                <w:sz w:val="26"/>
                <w:szCs w:val="26"/>
                <w:lang w:val="lv-LV"/>
              </w:rPr>
              <w:t>euro</w:t>
            </w:r>
            <w:proofErr w:type="spellEnd"/>
            <w:r w:rsidR="001F20D0" w:rsidRPr="001F20D0">
              <w:rPr>
                <w:sz w:val="26"/>
                <w:szCs w:val="26"/>
                <w:lang w:val="lv-LV"/>
              </w:rPr>
              <w:t xml:space="preserve"> apmērā, ko veido </w:t>
            </w:r>
            <w:r w:rsidR="00B87E61">
              <w:rPr>
                <w:sz w:val="26"/>
                <w:szCs w:val="26"/>
                <w:lang w:val="lv-LV"/>
              </w:rPr>
              <w:t>2.2.1.4.2.</w:t>
            </w:r>
            <w:r w:rsidR="008B733D">
              <w:rPr>
                <w:sz w:val="26"/>
                <w:szCs w:val="26"/>
                <w:lang w:val="lv-LV"/>
              </w:rPr>
              <w:t>aktivitātē un 2.2.1.1.</w:t>
            </w:r>
            <w:r w:rsidR="001F20D0" w:rsidRPr="001F20D0">
              <w:rPr>
                <w:sz w:val="26"/>
                <w:szCs w:val="26"/>
                <w:lang w:val="lv-LV"/>
              </w:rPr>
              <w:t xml:space="preserve">aktivitātē </w:t>
            </w:r>
            <w:r w:rsidR="00B87E61">
              <w:rPr>
                <w:sz w:val="26"/>
                <w:szCs w:val="26"/>
                <w:lang w:val="lv-LV"/>
              </w:rPr>
              <w:t>“</w:t>
            </w:r>
            <w:r w:rsidR="001F20D0" w:rsidRPr="001F20D0">
              <w:rPr>
                <w:sz w:val="26"/>
                <w:szCs w:val="26"/>
                <w:lang w:val="lv-LV"/>
              </w:rPr>
              <w:t>Ieguldījumu fonds investīcijām garantijās, paaugstināta riska aizdevumos, riska kapitāla fondos un cita veida finanšu instrumentos</w:t>
            </w:r>
            <w:r w:rsidR="00B87E61">
              <w:rPr>
                <w:sz w:val="26"/>
                <w:szCs w:val="26"/>
                <w:lang w:val="lv-LV"/>
              </w:rPr>
              <w:t>”</w:t>
            </w:r>
            <w:r w:rsidR="001F20D0" w:rsidRPr="001F20D0">
              <w:rPr>
                <w:sz w:val="26"/>
                <w:szCs w:val="26"/>
                <w:lang w:val="lv-LV"/>
              </w:rPr>
              <w:t xml:space="preserve"> gūtie ieņēmumi no brīvo publisko līdzekļu noguldījumiem</w:t>
            </w:r>
            <w:r w:rsidR="0028431A">
              <w:rPr>
                <w:sz w:val="26"/>
                <w:szCs w:val="26"/>
                <w:lang w:val="lv-LV"/>
              </w:rPr>
              <w:t xml:space="preserve"> un</w:t>
            </w:r>
            <w:r w:rsidR="001F20D0" w:rsidRPr="001F20D0">
              <w:rPr>
                <w:sz w:val="26"/>
                <w:szCs w:val="26"/>
                <w:lang w:val="lv-LV"/>
              </w:rPr>
              <w:t xml:space="preserve"> darbības programmas </w:t>
            </w:r>
            <w:r w:rsidR="00B87E61">
              <w:rPr>
                <w:sz w:val="26"/>
                <w:szCs w:val="26"/>
                <w:lang w:val="lv-LV"/>
              </w:rPr>
              <w:t>“</w:t>
            </w:r>
            <w:r w:rsidR="001F20D0" w:rsidRPr="001F20D0">
              <w:rPr>
                <w:sz w:val="26"/>
                <w:szCs w:val="26"/>
                <w:lang w:val="lv-LV"/>
              </w:rPr>
              <w:t>Uzņēmējdarbība un inovācijas</w:t>
            </w:r>
            <w:r w:rsidR="00B87E61">
              <w:rPr>
                <w:sz w:val="26"/>
                <w:szCs w:val="26"/>
                <w:lang w:val="lv-LV"/>
              </w:rPr>
              <w:t>” papildinājuma 2.2.1.4.1.</w:t>
            </w:r>
            <w:r w:rsidR="001F20D0" w:rsidRPr="001F20D0">
              <w:rPr>
                <w:sz w:val="26"/>
                <w:szCs w:val="26"/>
                <w:lang w:val="lv-LV"/>
              </w:rPr>
              <w:t xml:space="preserve">apakšaktivitātē </w:t>
            </w:r>
            <w:r w:rsidR="00B87E61">
              <w:rPr>
                <w:sz w:val="26"/>
                <w:szCs w:val="26"/>
                <w:lang w:val="lv-LV"/>
              </w:rPr>
              <w:t>“</w:t>
            </w:r>
            <w:r w:rsidR="001F20D0" w:rsidRPr="001F20D0">
              <w:rPr>
                <w:sz w:val="26"/>
                <w:szCs w:val="26"/>
                <w:lang w:val="lv-LV"/>
              </w:rPr>
              <w:t>Atbalsts aizdevumu veidā komersantu konkurētspējas uzlabošanai</w:t>
            </w:r>
            <w:r w:rsidR="00B87E61">
              <w:rPr>
                <w:sz w:val="26"/>
                <w:szCs w:val="26"/>
                <w:lang w:val="lv-LV"/>
              </w:rPr>
              <w:t>”</w:t>
            </w:r>
            <w:r w:rsidR="001F20D0" w:rsidRPr="001F20D0">
              <w:rPr>
                <w:sz w:val="26"/>
                <w:szCs w:val="26"/>
                <w:lang w:val="lv-LV"/>
              </w:rPr>
              <w:t xml:space="preserve"> gūto at</w:t>
            </w:r>
            <w:r w:rsidR="00A453C4">
              <w:rPr>
                <w:sz w:val="26"/>
                <w:szCs w:val="26"/>
                <w:lang w:val="lv-LV"/>
              </w:rPr>
              <w:t>maksu publiskā finansējuma daļa.</w:t>
            </w:r>
          </w:p>
          <w:p w:rsidR="00B87E61" w:rsidRDefault="00B87E61" w:rsidP="00B87E61">
            <w:pPr>
              <w:spacing w:after="240"/>
              <w:ind w:firstLine="709"/>
              <w:jc w:val="both"/>
              <w:rPr>
                <w:sz w:val="26"/>
                <w:szCs w:val="26"/>
                <w:lang w:val="lv-LV"/>
              </w:rPr>
            </w:pPr>
            <w:r w:rsidRPr="0028431A">
              <w:rPr>
                <w:b/>
                <w:sz w:val="26"/>
                <w:szCs w:val="26"/>
                <w:lang w:val="lv-LV"/>
              </w:rPr>
              <w:t xml:space="preserve">Aizdevumu garantijas saimnieciskās darbības veicējiem </w:t>
            </w:r>
            <w:r w:rsidR="004F0B1C" w:rsidRPr="0028431A">
              <w:rPr>
                <w:b/>
                <w:sz w:val="26"/>
                <w:szCs w:val="26"/>
                <w:lang w:val="lv-LV"/>
              </w:rPr>
              <w:t xml:space="preserve">MK noteikumu Nr.997 ietvaros </w:t>
            </w:r>
            <w:r w:rsidRPr="0028431A">
              <w:rPr>
                <w:b/>
                <w:sz w:val="26"/>
                <w:szCs w:val="26"/>
                <w:lang w:val="lv-LV"/>
              </w:rPr>
              <w:t xml:space="preserve">tiek sniegtas līdz </w:t>
            </w:r>
            <w:r w:rsidR="004F0B1C" w:rsidRPr="0028431A">
              <w:rPr>
                <w:b/>
                <w:sz w:val="26"/>
                <w:szCs w:val="26"/>
                <w:lang w:val="lv-LV"/>
              </w:rPr>
              <w:t>2015.gada</w:t>
            </w:r>
            <w:r w:rsidRPr="0028431A">
              <w:rPr>
                <w:b/>
                <w:sz w:val="26"/>
                <w:szCs w:val="26"/>
                <w:lang w:val="lv-LV"/>
              </w:rPr>
              <w:t xml:space="preserve"> 31.decembrim</w:t>
            </w:r>
            <w:r w:rsidR="00366DD3" w:rsidRPr="0028431A">
              <w:rPr>
                <w:b/>
                <w:sz w:val="26"/>
                <w:szCs w:val="26"/>
                <w:lang w:val="lv-LV"/>
              </w:rPr>
              <w:t>.</w:t>
            </w:r>
            <w:r>
              <w:rPr>
                <w:sz w:val="26"/>
                <w:szCs w:val="26"/>
                <w:lang w:val="lv-LV"/>
              </w:rPr>
              <w:t xml:space="preserve"> 2.2.1.4.2.aktivitātes īstenošanas termiņš</w:t>
            </w:r>
            <w:r w:rsidR="004F0B1C">
              <w:rPr>
                <w:sz w:val="26"/>
                <w:szCs w:val="26"/>
                <w:lang w:val="lv-LV"/>
              </w:rPr>
              <w:t xml:space="preserve"> saskaņā ar</w:t>
            </w:r>
            <w:r>
              <w:rPr>
                <w:sz w:val="26"/>
                <w:szCs w:val="26"/>
                <w:lang w:val="lv-LV"/>
              </w:rPr>
              <w:t xml:space="preserve"> Ministru kabineta 2011.gada 2.augusta</w:t>
            </w:r>
            <w:r w:rsidR="004F0B1C">
              <w:rPr>
                <w:sz w:val="26"/>
                <w:szCs w:val="26"/>
                <w:lang w:val="lv-LV"/>
              </w:rPr>
              <w:t xml:space="preserve"> noteikumiem Nr.614 “Noteikumi par darbības programmas “Uzņēmējdarbība un inovācijas” papildinājuma 2.2.1.4.2.apakšaktivitāti “</w:t>
            </w:r>
            <w:proofErr w:type="spellStart"/>
            <w:r w:rsidR="004F0B1C">
              <w:rPr>
                <w:sz w:val="26"/>
                <w:szCs w:val="26"/>
                <w:lang w:val="lv-LV"/>
              </w:rPr>
              <w:t>Mezanīna</w:t>
            </w:r>
            <w:proofErr w:type="spellEnd"/>
            <w:r w:rsidR="004F0B1C">
              <w:rPr>
                <w:sz w:val="26"/>
                <w:szCs w:val="26"/>
                <w:lang w:val="lv-LV"/>
              </w:rPr>
              <w:t xml:space="preserve"> aizdevumi un nodrošinājuma garantijas saimnieciskās darbības veicēju konkurētspējas uzlabošanai”</w:t>
            </w:r>
            <w:r w:rsidR="00366DD3">
              <w:rPr>
                <w:sz w:val="26"/>
                <w:szCs w:val="26"/>
                <w:lang w:val="lv-LV"/>
              </w:rPr>
              <w:t>”</w:t>
            </w:r>
            <w:r>
              <w:rPr>
                <w:sz w:val="26"/>
                <w:szCs w:val="26"/>
                <w:lang w:val="lv-LV"/>
              </w:rPr>
              <w:t xml:space="preserve"> </w:t>
            </w:r>
            <w:r w:rsidR="007E57EE">
              <w:rPr>
                <w:sz w:val="26"/>
                <w:szCs w:val="26"/>
                <w:lang w:val="lv-LV"/>
              </w:rPr>
              <w:t xml:space="preserve">(turpmāk – MK noteikumi Nr.614) </w:t>
            </w:r>
            <w:r w:rsidR="004F0B1C">
              <w:rPr>
                <w:sz w:val="26"/>
                <w:szCs w:val="26"/>
                <w:lang w:val="lv-LV"/>
              </w:rPr>
              <w:t xml:space="preserve">ir 2016.gada 30.jūnijs, un šāds 2.2.1.4.2.aktivitātes īstenošanas termiņš ir noteikts, lai nodrošinātu </w:t>
            </w:r>
            <w:proofErr w:type="spellStart"/>
            <w:r w:rsidR="004F0B1C">
              <w:rPr>
                <w:sz w:val="26"/>
                <w:szCs w:val="26"/>
                <w:lang w:val="lv-LV"/>
              </w:rPr>
              <w:t>mezanīna</w:t>
            </w:r>
            <w:proofErr w:type="spellEnd"/>
            <w:r w:rsidR="004F0B1C">
              <w:rPr>
                <w:sz w:val="26"/>
                <w:szCs w:val="26"/>
                <w:lang w:val="lv-LV"/>
              </w:rPr>
              <w:t xml:space="preserve"> aizdevumu</w:t>
            </w:r>
            <w:r w:rsidR="00366DD3">
              <w:rPr>
                <w:sz w:val="26"/>
                <w:szCs w:val="26"/>
                <w:lang w:val="lv-LV"/>
              </w:rPr>
              <w:t xml:space="preserve"> saimnieciskās darbības veicējiem </w:t>
            </w:r>
            <w:r w:rsidR="004F0B1C">
              <w:rPr>
                <w:sz w:val="26"/>
                <w:szCs w:val="26"/>
                <w:lang w:val="lv-LV"/>
              </w:rPr>
              <w:t xml:space="preserve">pieejamības nepārtrauktību līdz </w:t>
            </w:r>
            <w:r w:rsidR="00366DD3">
              <w:rPr>
                <w:sz w:val="26"/>
                <w:szCs w:val="26"/>
                <w:lang w:val="lv-LV"/>
              </w:rPr>
              <w:t xml:space="preserve">2014.-2020.gada plānošanas perioda </w:t>
            </w:r>
            <w:r w:rsidR="004F0B1C">
              <w:rPr>
                <w:sz w:val="26"/>
                <w:szCs w:val="26"/>
                <w:lang w:val="lv-LV"/>
              </w:rPr>
              <w:t xml:space="preserve">atbalsta </w:t>
            </w:r>
            <w:r w:rsidR="00366DD3">
              <w:rPr>
                <w:sz w:val="26"/>
                <w:szCs w:val="26"/>
                <w:lang w:val="lv-LV"/>
              </w:rPr>
              <w:t xml:space="preserve">programmu izstrādei un īstenošanai. </w:t>
            </w:r>
            <w:r w:rsidR="004F0B1C">
              <w:rPr>
                <w:sz w:val="26"/>
                <w:szCs w:val="26"/>
                <w:lang w:val="lv-LV"/>
              </w:rPr>
              <w:t xml:space="preserve"> </w:t>
            </w:r>
          </w:p>
          <w:p w:rsidR="004F0B1C" w:rsidRDefault="004F0B1C" w:rsidP="00C56539">
            <w:pPr>
              <w:ind w:firstLine="709"/>
              <w:jc w:val="both"/>
              <w:rPr>
                <w:sz w:val="26"/>
                <w:szCs w:val="26"/>
                <w:lang w:val="lv-LV"/>
              </w:rPr>
            </w:pPr>
            <w:r>
              <w:rPr>
                <w:sz w:val="26"/>
                <w:szCs w:val="26"/>
                <w:lang w:val="lv-LV"/>
              </w:rPr>
              <w:t>2014.-2020.gada plānošanas period</w:t>
            </w:r>
            <w:r w:rsidR="00366DD3">
              <w:rPr>
                <w:sz w:val="26"/>
                <w:szCs w:val="26"/>
                <w:lang w:val="lv-LV"/>
              </w:rPr>
              <w:t>a aizdevumu garantiju programma</w:t>
            </w:r>
            <w:r>
              <w:rPr>
                <w:sz w:val="26"/>
                <w:szCs w:val="26"/>
                <w:lang w:val="lv-LV"/>
              </w:rPr>
              <w:t xml:space="preserve"> tiks </w:t>
            </w:r>
            <w:r w:rsidR="00366DD3">
              <w:rPr>
                <w:sz w:val="26"/>
                <w:szCs w:val="26"/>
                <w:lang w:val="lv-LV"/>
              </w:rPr>
              <w:t>īstenota</w:t>
            </w:r>
            <w:r>
              <w:rPr>
                <w:sz w:val="26"/>
                <w:szCs w:val="26"/>
                <w:lang w:val="lv-LV"/>
              </w:rPr>
              <w:t xml:space="preserve"> fondu fonda ietvarā</w:t>
            </w:r>
            <w:r w:rsidR="00366DD3">
              <w:rPr>
                <w:sz w:val="26"/>
                <w:szCs w:val="26"/>
                <w:lang w:val="lv-LV"/>
              </w:rPr>
              <w:t xml:space="preserve">, </w:t>
            </w:r>
            <w:r w:rsidR="00C56539">
              <w:rPr>
                <w:sz w:val="26"/>
                <w:szCs w:val="26"/>
                <w:lang w:val="lv-LV"/>
              </w:rPr>
              <w:t xml:space="preserve">un </w:t>
            </w:r>
            <w:r w:rsidR="00366DD3">
              <w:rPr>
                <w:sz w:val="26"/>
                <w:szCs w:val="26"/>
                <w:lang w:val="lv-LV"/>
              </w:rPr>
              <w:t>tās īstenošanas uzsākšana iespējama tikai pēc šādu darbību veikšanas</w:t>
            </w:r>
            <w:r>
              <w:rPr>
                <w:sz w:val="26"/>
                <w:szCs w:val="26"/>
                <w:lang w:val="lv-LV"/>
              </w:rPr>
              <w:t>:</w:t>
            </w:r>
          </w:p>
          <w:p w:rsidR="00366DD3" w:rsidRDefault="004F0B1C" w:rsidP="004F0B1C">
            <w:pPr>
              <w:pStyle w:val="ListParagraph"/>
              <w:numPr>
                <w:ilvl w:val="0"/>
                <w:numId w:val="7"/>
              </w:numPr>
              <w:spacing w:after="240"/>
              <w:jc w:val="both"/>
              <w:rPr>
                <w:sz w:val="26"/>
                <w:szCs w:val="26"/>
                <w:lang w:val="lv-LV"/>
              </w:rPr>
            </w:pPr>
            <w:r w:rsidRPr="004F0B1C">
              <w:rPr>
                <w:sz w:val="26"/>
                <w:szCs w:val="26"/>
                <w:lang w:val="lv-LV"/>
              </w:rPr>
              <w:t>fondu fonda īstenošanu regulējoš</w:t>
            </w:r>
            <w:r>
              <w:rPr>
                <w:sz w:val="26"/>
                <w:szCs w:val="26"/>
                <w:lang w:val="lv-LV"/>
              </w:rPr>
              <w:t>ā</w:t>
            </w:r>
            <w:r w:rsidRPr="004F0B1C">
              <w:rPr>
                <w:sz w:val="26"/>
                <w:szCs w:val="26"/>
                <w:lang w:val="lv-LV"/>
              </w:rPr>
              <w:t xml:space="preserve"> </w:t>
            </w:r>
            <w:r>
              <w:rPr>
                <w:sz w:val="26"/>
                <w:szCs w:val="26"/>
                <w:lang w:val="lv-LV"/>
              </w:rPr>
              <w:t xml:space="preserve">normatīvā akta </w:t>
            </w:r>
            <w:r w:rsidRPr="004F0B1C">
              <w:rPr>
                <w:sz w:val="26"/>
                <w:szCs w:val="26"/>
                <w:lang w:val="lv-LV"/>
              </w:rPr>
              <w:t xml:space="preserve"> </w:t>
            </w:r>
            <w:r>
              <w:rPr>
                <w:sz w:val="26"/>
                <w:szCs w:val="26"/>
                <w:lang w:val="lv-LV"/>
              </w:rPr>
              <w:t xml:space="preserve">- </w:t>
            </w:r>
            <w:r w:rsidRPr="004F0B1C">
              <w:rPr>
                <w:sz w:val="26"/>
                <w:szCs w:val="26"/>
                <w:lang w:val="lv-LV"/>
              </w:rPr>
              <w:t xml:space="preserve">Ministru kabineta noteikumu projekta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finanšu instrumentu veidā ieviešamo pasākumu īstenošanas noteikumi” </w:t>
            </w:r>
            <w:r w:rsidR="00DB4009">
              <w:rPr>
                <w:sz w:val="26"/>
                <w:szCs w:val="26"/>
                <w:lang w:val="lv-LV"/>
              </w:rPr>
              <w:t xml:space="preserve">(turpmāk – finanšu instrumentu horizontālie MK noteikumi) </w:t>
            </w:r>
            <w:r w:rsidR="00366DD3">
              <w:rPr>
                <w:sz w:val="26"/>
                <w:szCs w:val="26"/>
                <w:lang w:val="lv-LV"/>
              </w:rPr>
              <w:t xml:space="preserve">– </w:t>
            </w:r>
            <w:r w:rsidR="00C56539">
              <w:rPr>
                <w:sz w:val="26"/>
                <w:szCs w:val="26"/>
                <w:lang w:val="lv-LV"/>
              </w:rPr>
              <w:t>saskaņo</w:t>
            </w:r>
            <w:r w:rsidR="00300F28">
              <w:rPr>
                <w:sz w:val="26"/>
                <w:szCs w:val="26"/>
                <w:lang w:val="lv-LV"/>
              </w:rPr>
              <w:t>šana</w:t>
            </w:r>
            <w:r w:rsidR="0028431A">
              <w:rPr>
                <w:sz w:val="26"/>
                <w:szCs w:val="26"/>
                <w:lang w:val="lv-LV"/>
              </w:rPr>
              <w:t>s</w:t>
            </w:r>
            <w:r w:rsidR="00C56539">
              <w:rPr>
                <w:sz w:val="26"/>
                <w:szCs w:val="26"/>
                <w:lang w:val="lv-LV"/>
              </w:rPr>
              <w:t xml:space="preserve"> un </w:t>
            </w:r>
            <w:r w:rsidR="00366DD3">
              <w:rPr>
                <w:sz w:val="26"/>
                <w:szCs w:val="26"/>
                <w:lang w:val="lv-LV"/>
              </w:rPr>
              <w:t>apstiprinā</w:t>
            </w:r>
            <w:r w:rsidR="00300F28">
              <w:rPr>
                <w:sz w:val="26"/>
                <w:szCs w:val="26"/>
                <w:lang w:val="lv-LV"/>
              </w:rPr>
              <w:t>šana</w:t>
            </w:r>
            <w:r w:rsidR="0028431A">
              <w:rPr>
                <w:sz w:val="26"/>
                <w:szCs w:val="26"/>
                <w:lang w:val="lv-LV"/>
              </w:rPr>
              <w:t>s</w:t>
            </w:r>
            <w:r w:rsidR="00300F28">
              <w:rPr>
                <w:sz w:val="26"/>
                <w:szCs w:val="26"/>
                <w:lang w:val="lv-LV"/>
              </w:rPr>
              <w:t xml:space="preserve"> Ministru kabinetā</w:t>
            </w:r>
            <w:r w:rsidR="00C56539">
              <w:rPr>
                <w:sz w:val="26"/>
                <w:szCs w:val="26"/>
                <w:lang w:val="lv-LV"/>
              </w:rPr>
              <w:t>;</w:t>
            </w:r>
          </w:p>
          <w:p w:rsidR="004F0B1C" w:rsidRDefault="00366DD3" w:rsidP="004F0B1C">
            <w:pPr>
              <w:pStyle w:val="ListParagraph"/>
              <w:numPr>
                <w:ilvl w:val="0"/>
                <w:numId w:val="7"/>
              </w:numPr>
              <w:spacing w:after="240"/>
              <w:jc w:val="both"/>
              <w:rPr>
                <w:sz w:val="26"/>
                <w:szCs w:val="26"/>
                <w:lang w:val="lv-LV"/>
              </w:rPr>
            </w:pPr>
            <w:r>
              <w:rPr>
                <w:sz w:val="26"/>
                <w:szCs w:val="26"/>
                <w:lang w:val="lv-LV"/>
              </w:rPr>
              <w:t xml:space="preserve">līguma par fondu fonda ieviešanu starp Altum un </w:t>
            </w:r>
            <w:r w:rsidRPr="0079247D">
              <w:rPr>
                <w:sz w:val="26"/>
                <w:szCs w:val="26"/>
                <w:lang w:val="lv-LV"/>
              </w:rPr>
              <w:t xml:space="preserve">Centrālo finanšu un līgumu aģentūru </w:t>
            </w:r>
            <w:r w:rsidR="00300F28">
              <w:rPr>
                <w:sz w:val="26"/>
                <w:szCs w:val="26"/>
                <w:lang w:val="lv-LV"/>
              </w:rPr>
              <w:t xml:space="preserve">izstrādes un parakstīšanas </w:t>
            </w:r>
            <w:r w:rsidR="00DB4009">
              <w:rPr>
                <w:sz w:val="26"/>
                <w:szCs w:val="26"/>
                <w:lang w:val="lv-LV"/>
              </w:rPr>
              <w:t>(</w:t>
            </w:r>
            <w:r w:rsidR="00300F28">
              <w:rPr>
                <w:sz w:val="26"/>
                <w:szCs w:val="26"/>
                <w:lang w:val="lv-LV"/>
              </w:rPr>
              <w:t xml:space="preserve">norādāms, ka </w:t>
            </w:r>
            <w:r w:rsidR="00DB4009">
              <w:rPr>
                <w:sz w:val="26"/>
                <w:szCs w:val="26"/>
                <w:lang w:val="lv-LV"/>
              </w:rPr>
              <w:t xml:space="preserve">Centrālā finanšu un līgumu aģentūra </w:t>
            </w:r>
            <w:r w:rsidR="00300F28">
              <w:rPr>
                <w:sz w:val="26"/>
                <w:szCs w:val="26"/>
                <w:lang w:val="lv-LV"/>
              </w:rPr>
              <w:t xml:space="preserve">minētā </w:t>
            </w:r>
            <w:r w:rsidR="00DB4009">
              <w:rPr>
                <w:sz w:val="26"/>
                <w:szCs w:val="26"/>
                <w:lang w:val="lv-LV"/>
              </w:rPr>
              <w:t xml:space="preserve">līguma izstrādi uzsākusi </w:t>
            </w:r>
            <w:r w:rsidR="00DB4009">
              <w:rPr>
                <w:sz w:val="26"/>
                <w:szCs w:val="26"/>
                <w:lang w:val="lv-LV"/>
              </w:rPr>
              <w:lastRenderedPageBreak/>
              <w:t>2015.gada decembrī)</w:t>
            </w:r>
            <w:r>
              <w:rPr>
                <w:sz w:val="26"/>
                <w:szCs w:val="26"/>
                <w:lang w:val="lv-LV"/>
              </w:rPr>
              <w:t xml:space="preserve">. </w:t>
            </w:r>
          </w:p>
          <w:p w:rsidR="00D32277" w:rsidRDefault="00300F28" w:rsidP="00382AF7">
            <w:pPr>
              <w:spacing w:after="240"/>
              <w:ind w:firstLine="709"/>
              <w:jc w:val="both"/>
              <w:rPr>
                <w:sz w:val="26"/>
                <w:szCs w:val="26"/>
                <w:lang w:val="lv-LV"/>
              </w:rPr>
            </w:pPr>
            <w:r>
              <w:rPr>
                <w:sz w:val="26"/>
                <w:szCs w:val="26"/>
                <w:lang w:val="lv-LV"/>
              </w:rPr>
              <w:t xml:space="preserve">Apzinoties garantiju nozīmi komercbanku aizdevumu pieejamības </w:t>
            </w:r>
            <w:r w:rsidR="007E57EE">
              <w:rPr>
                <w:sz w:val="26"/>
                <w:szCs w:val="26"/>
                <w:lang w:val="lv-LV"/>
              </w:rPr>
              <w:t>sekmēšanā</w:t>
            </w:r>
            <w:r>
              <w:rPr>
                <w:sz w:val="26"/>
                <w:szCs w:val="26"/>
                <w:lang w:val="lv-LV"/>
              </w:rPr>
              <w:t xml:space="preserve"> saimnieciskās darbības veicējiem un pastāvīgu pieprasījumu pēc aizdevumu garantijām, </w:t>
            </w:r>
            <w:r w:rsidRPr="0028431A">
              <w:rPr>
                <w:b/>
                <w:sz w:val="26"/>
                <w:szCs w:val="26"/>
                <w:lang w:val="lv-LV"/>
              </w:rPr>
              <w:t>ir būtiski nodrošināt</w:t>
            </w:r>
            <w:r w:rsidR="007E57EE" w:rsidRPr="0028431A">
              <w:rPr>
                <w:b/>
                <w:sz w:val="26"/>
                <w:szCs w:val="26"/>
                <w:lang w:val="lv-LV"/>
              </w:rPr>
              <w:t xml:space="preserve"> nepārtrauktu </w:t>
            </w:r>
            <w:r w:rsidRPr="0028431A">
              <w:rPr>
                <w:b/>
                <w:sz w:val="26"/>
                <w:szCs w:val="26"/>
                <w:lang w:val="lv-LV"/>
              </w:rPr>
              <w:t>aizdevumu garantij</w:t>
            </w:r>
            <w:r w:rsidR="007E57EE" w:rsidRPr="0028431A">
              <w:rPr>
                <w:b/>
                <w:sz w:val="26"/>
                <w:szCs w:val="26"/>
                <w:lang w:val="lv-LV"/>
              </w:rPr>
              <w:t>u pieejamību</w:t>
            </w:r>
            <w:r>
              <w:rPr>
                <w:sz w:val="26"/>
                <w:szCs w:val="26"/>
                <w:lang w:val="lv-LV"/>
              </w:rPr>
              <w:t>. Ņemot vērā minēto, kā arī</w:t>
            </w:r>
            <w:r w:rsidR="007E57EE">
              <w:rPr>
                <w:sz w:val="26"/>
                <w:szCs w:val="26"/>
                <w:lang w:val="lv-LV"/>
              </w:rPr>
              <w:t xml:space="preserve"> izvērtējot</w:t>
            </w:r>
            <w:r>
              <w:rPr>
                <w:sz w:val="26"/>
                <w:szCs w:val="26"/>
                <w:lang w:val="lv-LV"/>
              </w:rPr>
              <w:t xml:space="preserve"> nepieciešamo laika periodu finanšu instrumentu horizontālo MK noteikumu saskaņošanai un apstiprināšanai un līguma par fondu fonda ieviešanu izstrād</w:t>
            </w:r>
            <w:r w:rsidR="007E57EE">
              <w:rPr>
                <w:sz w:val="26"/>
                <w:szCs w:val="26"/>
                <w:lang w:val="lv-LV"/>
              </w:rPr>
              <w:t>ei</w:t>
            </w:r>
            <w:r>
              <w:rPr>
                <w:sz w:val="26"/>
                <w:szCs w:val="26"/>
                <w:lang w:val="lv-LV"/>
              </w:rPr>
              <w:t xml:space="preserve"> un parakstīšan</w:t>
            </w:r>
            <w:r w:rsidR="007E57EE">
              <w:rPr>
                <w:sz w:val="26"/>
                <w:szCs w:val="26"/>
                <w:lang w:val="lv-LV"/>
              </w:rPr>
              <w:t>ai (indikatīvi 2016.gada 1. līdz 2.ceturksnis)</w:t>
            </w:r>
            <w:r>
              <w:rPr>
                <w:sz w:val="26"/>
                <w:szCs w:val="26"/>
                <w:lang w:val="lv-LV"/>
              </w:rPr>
              <w:t xml:space="preserve">, </w:t>
            </w:r>
            <w:r w:rsidRPr="00DD278F">
              <w:rPr>
                <w:b/>
                <w:sz w:val="26"/>
                <w:szCs w:val="26"/>
                <w:lang w:val="lv-LV"/>
              </w:rPr>
              <w:t>noteikumu projekts paredz pagarināt aizdevu</w:t>
            </w:r>
            <w:r w:rsidR="008B733D">
              <w:rPr>
                <w:b/>
                <w:sz w:val="26"/>
                <w:szCs w:val="26"/>
                <w:lang w:val="lv-LV"/>
              </w:rPr>
              <w:t xml:space="preserve">mu garantiju piešķiršanas </w:t>
            </w:r>
            <w:r w:rsidRPr="00DD278F">
              <w:rPr>
                <w:b/>
                <w:sz w:val="26"/>
                <w:szCs w:val="26"/>
                <w:lang w:val="lv-LV"/>
              </w:rPr>
              <w:t>termiņu līdz 2016.gada</w:t>
            </w:r>
            <w:r w:rsidR="007E57EE" w:rsidRPr="00DD278F">
              <w:rPr>
                <w:b/>
                <w:sz w:val="26"/>
                <w:szCs w:val="26"/>
                <w:lang w:val="lv-LV"/>
              </w:rPr>
              <w:t xml:space="preserve"> 31.maijam</w:t>
            </w:r>
            <w:r w:rsidR="00805670">
              <w:rPr>
                <w:b/>
                <w:sz w:val="26"/>
                <w:szCs w:val="26"/>
                <w:lang w:val="lv-LV"/>
              </w:rPr>
              <w:t xml:space="preserve">. </w:t>
            </w:r>
            <w:r w:rsidR="00D32277">
              <w:rPr>
                <w:sz w:val="26"/>
                <w:szCs w:val="26"/>
                <w:lang w:val="lv-LV"/>
              </w:rPr>
              <w:t>Šād</w:t>
            </w:r>
            <w:r w:rsidR="00805670">
              <w:rPr>
                <w:sz w:val="26"/>
                <w:szCs w:val="26"/>
                <w:lang w:val="lv-LV"/>
              </w:rPr>
              <w:t>s</w:t>
            </w:r>
            <w:r w:rsidR="00D32277">
              <w:rPr>
                <w:sz w:val="26"/>
                <w:szCs w:val="26"/>
                <w:lang w:val="lv-LV"/>
              </w:rPr>
              <w:t xml:space="preserve"> </w:t>
            </w:r>
            <w:r w:rsidR="00805670">
              <w:rPr>
                <w:sz w:val="26"/>
                <w:szCs w:val="26"/>
                <w:lang w:val="lv-LV"/>
              </w:rPr>
              <w:t xml:space="preserve">aizdevumu garantiju </w:t>
            </w:r>
            <w:r w:rsidR="008B733D">
              <w:rPr>
                <w:sz w:val="26"/>
                <w:szCs w:val="26"/>
                <w:lang w:val="lv-LV"/>
              </w:rPr>
              <w:t>piešķiršanas</w:t>
            </w:r>
            <w:r w:rsidR="00805670">
              <w:rPr>
                <w:sz w:val="26"/>
                <w:szCs w:val="26"/>
                <w:lang w:val="lv-LV"/>
              </w:rPr>
              <w:t xml:space="preserve"> </w:t>
            </w:r>
            <w:r w:rsidR="007E57EE">
              <w:rPr>
                <w:sz w:val="26"/>
                <w:szCs w:val="26"/>
                <w:lang w:val="lv-LV"/>
              </w:rPr>
              <w:t>termiņ</w:t>
            </w:r>
            <w:r w:rsidR="00805670">
              <w:rPr>
                <w:sz w:val="26"/>
                <w:szCs w:val="26"/>
                <w:lang w:val="lv-LV"/>
              </w:rPr>
              <w:t>š</w:t>
            </w:r>
            <w:r w:rsidR="007E57EE">
              <w:rPr>
                <w:sz w:val="26"/>
                <w:szCs w:val="26"/>
                <w:lang w:val="lv-LV"/>
              </w:rPr>
              <w:t xml:space="preserve"> ir noteikt</w:t>
            </w:r>
            <w:r w:rsidR="00805670">
              <w:rPr>
                <w:sz w:val="26"/>
                <w:szCs w:val="26"/>
                <w:lang w:val="lv-LV"/>
              </w:rPr>
              <w:t>s</w:t>
            </w:r>
            <w:r w:rsidR="0028431A">
              <w:rPr>
                <w:sz w:val="26"/>
                <w:szCs w:val="26"/>
                <w:lang w:val="lv-LV"/>
              </w:rPr>
              <w:t xml:space="preserve"> saskaņā ar MK noteikumiem Nr.614 un </w:t>
            </w:r>
            <w:r w:rsidR="007E57EE">
              <w:rPr>
                <w:sz w:val="26"/>
                <w:szCs w:val="26"/>
                <w:lang w:val="lv-LV"/>
              </w:rPr>
              <w:t>2.2.1.4.2.aktivitātes īstenošanas termiņ</w:t>
            </w:r>
            <w:r w:rsidR="00D32277">
              <w:rPr>
                <w:sz w:val="26"/>
                <w:szCs w:val="26"/>
                <w:lang w:val="lv-LV"/>
              </w:rPr>
              <w:t>u</w:t>
            </w:r>
            <w:r w:rsidR="0028431A">
              <w:rPr>
                <w:sz w:val="26"/>
                <w:szCs w:val="26"/>
                <w:lang w:val="lv-LV"/>
              </w:rPr>
              <w:t>,</w:t>
            </w:r>
            <w:r w:rsidR="00D32277">
              <w:rPr>
                <w:sz w:val="26"/>
                <w:szCs w:val="26"/>
                <w:lang w:val="lv-LV"/>
              </w:rPr>
              <w:t xml:space="preserve"> </w:t>
            </w:r>
            <w:r w:rsidR="00805670">
              <w:rPr>
                <w:sz w:val="26"/>
                <w:szCs w:val="26"/>
                <w:lang w:val="lv-LV"/>
              </w:rPr>
              <w:t xml:space="preserve">un </w:t>
            </w:r>
            <w:r w:rsidR="00D70AAA" w:rsidRPr="00D70AAA">
              <w:rPr>
                <w:sz w:val="26"/>
                <w:szCs w:val="26"/>
                <w:lang w:val="lv-LV"/>
              </w:rPr>
              <w:t xml:space="preserve">Eiropas Komisijas  2015.gada 30.aprīļa pielikuma </w:t>
            </w:r>
            <w:proofErr w:type="spellStart"/>
            <w:r w:rsidR="00D70AAA" w:rsidRPr="00D70AAA">
              <w:rPr>
                <w:sz w:val="26"/>
                <w:szCs w:val="26"/>
                <w:lang w:val="lv-LV"/>
              </w:rPr>
              <w:t>Nr.C</w:t>
            </w:r>
            <w:proofErr w:type="spellEnd"/>
            <w:r w:rsidR="00D70AAA" w:rsidRPr="00D70AAA">
              <w:rPr>
                <w:sz w:val="26"/>
                <w:szCs w:val="26"/>
                <w:lang w:val="lv-LV"/>
              </w:rPr>
              <w:t xml:space="preserve"> (2015) 2771 Komisijas lēmumam, ar kuru groza Lēmumu </w:t>
            </w:r>
            <w:proofErr w:type="spellStart"/>
            <w:r w:rsidR="00D70AAA" w:rsidRPr="00D70AAA">
              <w:rPr>
                <w:sz w:val="26"/>
                <w:szCs w:val="26"/>
                <w:lang w:val="lv-LV"/>
              </w:rPr>
              <w:t>Nr.C</w:t>
            </w:r>
            <w:proofErr w:type="spellEnd"/>
            <w:r w:rsidR="00D70AAA" w:rsidRPr="00D70AAA">
              <w:rPr>
                <w:sz w:val="26"/>
                <w:szCs w:val="26"/>
                <w:lang w:val="lv-LV"/>
              </w:rPr>
              <w:t xml:space="preserve"> (2013) 1573, ar ko apstiprina pamatnostādnes par to darbības programmu slēgšanu, kuras pieņemtas atbalsta saņemšanai no Eiropas Reģionālās attīstības fonda, Eiropas Sociālā fonda un Kohēzijas fonda (2007-2013) 3.6.punkt</w:t>
            </w:r>
            <w:r w:rsidR="00D32277">
              <w:rPr>
                <w:sz w:val="26"/>
                <w:szCs w:val="26"/>
                <w:lang w:val="lv-LV"/>
              </w:rPr>
              <w:t>u</w:t>
            </w:r>
            <w:r w:rsidR="00805670">
              <w:rPr>
                <w:sz w:val="26"/>
                <w:szCs w:val="26"/>
                <w:lang w:val="lv-LV"/>
              </w:rPr>
              <w:t>,</w:t>
            </w:r>
            <w:r w:rsidR="007E57EE">
              <w:rPr>
                <w:sz w:val="26"/>
                <w:szCs w:val="26"/>
                <w:lang w:val="lv-LV"/>
              </w:rPr>
              <w:t xml:space="preserve"> kas</w:t>
            </w:r>
            <w:r w:rsidR="00D70AAA" w:rsidRPr="00D70AAA">
              <w:rPr>
                <w:sz w:val="26"/>
                <w:szCs w:val="26"/>
                <w:lang w:val="lv-LV"/>
              </w:rPr>
              <w:t xml:space="preserve"> </w:t>
            </w:r>
            <w:r w:rsidR="00237878">
              <w:rPr>
                <w:sz w:val="26"/>
                <w:szCs w:val="26"/>
                <w:lang w:val="lv-LV"/>
              </w:rPr>
              <w:t>pagarina</w:t>
            </w:r>
            <w:r w:rsidR="00D70AAA" w:rsidRPr="00D70AAA">
              <w:rPr>
                <w:sz w:val="26"/>
                <w:szCs w:val="26"/>
                <w:lang w:val="lv-LV"/>
              </w:rPr>
              <w:t xml:space="preserve"> izmaksu attiecināmības termiņu jaunu </w:t>
            </w:r>
            <w:r w:rsidR="007E57EE">
              <w:rPr>
                <w:sz w:val="26"/>
                <w:szCs w:val="26"/>
                <w:lang w:val="lv-LV"/>
              </w:rPr>
              <w:t xml:space="preserve">finanšu </w:t>
            </w:r>
            <w:r w:rsidR="00D70AAA" w:rsidRPr="00D70AAA">
              <w:rPr>
                <w:sz w:val="26"/>
                <w:szCs w:val="26"/>
                <w:lang w:val="lv-LV"/>
              </w:rPr>
              <w:t xml:space="preserve">darījumu slēgšanai, maksājumiem </w:t>
            </w:r>
            <w:r w:rsidR="007E57EE">
              <w:rPr>
                <w:sz w:val="26"/>
                <w:szCs w:val="26"/>
                <w:lang w:val="lv-LV"/>
              </w:rPr>
              <w:t xml:space="preserve">saimnieciskās darbības veicējiem </w:t>
            </w:r>
            <w:r w:rsidR="00D70AAA" w:rsidRPr="00D70AAA">
              <w:rPr>
                <w:sz w:val="26"/>
                <w:szCs w:val="26"/>
                <w:lang w:val="lv-LV"/>
              </w:rPr>
              <w:t>un vadības izmak</w:t>
            </w:r>
            <w:r w:rsidR="007E57EE">
              <w:rPr>
                <w:sz w:val="26"/>
                <w:szCs w:val="26"/>
                <w:lang w:val="lv-LV"/>
              </w:rPr>
              <w:t>sām</w:t>
            </w:r>
            <w:r w:rsidR="00F40762">
              <w:rPr>
                <w:sz w:val="26"/>
                <w:szCs w:val="26"/>
                <w:lang w:val="lv-LV"/>
              </w:rPr>
              <w:t xml:space="preserve"> finanšu instrumentos līdz</w:t>
            </w:r>
            <w:r w:rsidR="00D70AAA" w:rsidRPr="00D70AAA">
              <w:rPr>
                <w:sz w:val="26"/>
                <w:szCs w:val="26"/>
                <w:lang w:val="lv-LV"/>
              </w:rPr>
              <w:t xml:space="preserve"> 2017.gada 31.martam, tostarp līdz minētajam laika periodam paredzot termiņu Revīzijas un Sertifikācijas iestāžu paredzētajām darbībām 2007.-2013.gada plānošanas perioda slēgšana</w:t>
            </w:r>
            <w:r w:rsidR="007E57EE">
              <w:rPr>
                <w:sz w:val="26"/>
                <w:szCs w:val="26"/>
                <w:lang w:val="lv-LV"/>
              </w:rPr>
              <w:t xml:space="preserve">i. </w:t>
            </w:r>
            <w:r w:rsidR="00382AF7" w:rsidRPr="00291E54">
              <w:rPr>
                <w:sz w:val="26"/>
                <w:szCs w:val="26"/>
                <w:lang w:val="lv-LV"/>
              </w:rPr>
              <w:t xml:space="preserve">EM nodrošinās savlaicīgu EM kompetencē esošo un perioda slēgšanai nepieciešamo darbību veikšanu, tostarp noslēguma pārskata apstiprināšanu, līdz </w:t>
            </w:r>
            <w:r w:rsidR="00382AF7" w:rsidRPr="00291E54">
              <w:rPr>
                <w:sz w:val="26"/>
                <w:szCs w:val="26"/>
                <w:u w:val="single"/>
                <w:lang w:val="lv-LV"/>
              </w:rPr>
              <w:t>2016.gada 30.oktobrim.</w:t>
            </w:r>
          </w:p>
          <w:p w:rsidR="007E57EE" w:rsidRPr="0028431A" w:rsidRDefault="00D32277" w:rsidP="00D32277">
            <w:pPr>
              <w:spacing w:after="240"/>
              <w:ind w:firstLine="708"/>
              <w:jc w:val="both"/>
              <w:rPr>
                <w:b/>
                <w:sz w:val="26"/>
                <w:szCs w:val="26"/>
                <w:lang w:val="lv-LV"/>
              </w:rPr>
            </w:pPr>
            <w:r w:rsidRPr="00626B29">
              <w:rPr>
                <w:b/>
                <w:sz w:val="26"/>
                <w:szCs w:val="26"/>
                <w:lang w:val="lv-LV"/>
              </w:rPr>
              <w:t xml:space="preserve">Aizdevumu garantiju programmā uzņemto saistību apmēram </w:t>
            </w:r>
            <w:r w:rsidR="00404CE1">
              <w:rPr>
                <w:b/>
                <w:sz w:val="26"/>
                <w:szCs w:val="26"/>
                <w:lang w:val="lv-LV"/>
              </w:rPr>
              <w:t xml:space="preserve">līdzšinēji </w:t>
            </w:r>
            <w:r w:rsidRPr="00626B29">
              <w:rPr>
                <w:b/>
                <w:sz w:val="26"/>
                <w:szCs w:val="26"/>
                <w:lang w:val="lv-LV"/>
              </w:rPr>
              <w:t>tiek piemērots multiplikators</w:t>
            </w:r>
            <w:r w:rsidR="00404CE1">
              <w:rPr>
                <w:b/>
                <w:sz w:val="26"/>
                <w:szCs w:val="26"/>
                <w:lang w:val="lv-LV"/>
              </w:rPr>
              <w:t xml:space="preserve"> </w:t>
            </w:r>
            <w:r w:rsidR="008B733D">
              <w:rPr>
                <w:b/>
                <w:sz w:val="26"/>
                <w:szCs w:val="26"/>
                <w:lang w:val="lv-LV"/>
              </w:rPr>
              <w:t xml:space="preserve">ne mazāks kā </w:t>
            </w:r>
            <w:r w:rsidR="00404CE1">
              <w:rPr>
                <w:b/>
                <w:sz w:val="26"/>
                <w:szCs w:val="26"/>
                <w:lang w:val="lv-LV"/>
              </w:rPr>
              <w:t>4</w:t>
            </w:r>
            <w:r w:rsidR="008B733D">
              <w:rPr>
                <w:sz w:val="26"/>
                <w:szCs w:val="26"/>
                <w:lang w:val="lv-LV"/>
              </w:rPr>
              <w:t>.</w:t>
            </w:r>
            <w:r w:rsidR="00626B29">
              <w:rPr>
                <w:sz w:val="26"/>
                <w:szCs w:val="26"/>
                <w:lang w:val="lv-LV"/>
              </w:rPr>
              <w:t xml:space="preserve"> Ņemot vērā multiplikatora piemērošanu</w:t>
            </w:r>
            <w:r w:rsidR="00404CE1">
              <w:rPr>
                <w:sz w:val="26"/>
                <w:szCs w:val="26"/>
                <w:lang w:val="lv-LV"/>
              </w:rPr>
              <w:t xml:space="preserve">, </w:t>
            </w:r>
            <w:r w:rsidR="00626B29">
              <w:rPr>
                <w:sz w:val="26"/>
                <w:szCs w:val="26"/>
                <w:lang w:val="lv-LV"/>
              </w:rPr>
              <w:t xml:space="preserve"> </w:t>
            </w:r>
            <w:r w:rsidR="00404CE1">
              <w:rPr>
                <w:sz w:val="26"/>
                <w:szCs w:val="26"/>
                <w:lang w:val="lv-LV"/>
              </w:rPr>
              <w:t>kas</w:t>
            </w:r>
            <w:r w:rsidR="00626B29">
              <w:rPr>
                <w:sz w:val="26"/>
                <w:szCs w:val="26"/>
                <w:lang w:val="lv-LV"/>
              </w:rPr>
              <w:t xml:space="preserve"> </w:t>
            </w:r>
            <w:r w:rsidR="00404CE1">
              <w:rPr>
                <w:sz w:val="26"/>
                <w:szCs w:val="26"/>
                <w:lang w:val="lv-LV"/>
              </w:rPr>
              <w:t xml:space="preserve">var tikt </w:t>
            </w:r>
            <w:r w:rsidR="00626B29">
              <w:rPr>
                <w:sz w:val="26"/>
                <w:szCs w:val="26"/>
                <w:lang w:val="lv-LV"/>
              </w:rPr>
              <w:t>palielināts</w:t>
            </w:r>
            <w:r w:rsidR="008B733D">
              <w:rPr>
                <w:sz w:val="26"/>
                <w:szCs w:val="26"/>
                <w:lang w:val="lv-LV"/>
              </w:rPr>
              <w:t xml:space="preserve"> atbilstoši </w:t>
            </w:r>
            <w:r w:rsidR="00683DCD">
              <w:rPr>
                <w:sz w:val="26"/>
                <w:szCs w:val="26"/>
                <w:lang w:val="lv-LV"/>
              </w:rPr>
              <w:t xml:space="preserve">aizdevumu </w:t>
            </w:r>
            <w:r w:rsidR="008B733D">
              <w:rPr>
                <w:sz w:val="26"/>
                <w:szCs w:val="26"/>
                <w:lang w:val="lv-LV"/>
              </w:rPr>
              <w:t>garantiju portfeļa kvalitātei,</w:t>
            </w:r>
            <w:r w:rsidR="00404CE1">
              <w:rPr>
                <w:sz w:val="26"/>
                <w:szCs w:val="26"/>
                <w:lang w:val="lv-LV"/>
              </w:rPr>
              <w:t xml:space="preserve"> </w:t>
            </w:r>
            <w:r w:rsidRPr="00805670">
              <w:rPr>
                <w:b/>
                <w:sz w:val="26"/>
                <w:szCs w:val="26"/>
                <w:lang w:val="lv-LV"/>
              </w:rPr>
              <w:t>2.2.1.4.2.aktivitāt</w:t>
            </w:r>
            <w:r w:rsidR="00805670">
              <w:rPr>
                <w:b/>
                <w:sz w:val="26"/>
                <w:szCs w:val="26"/>
                <w:lang w:val="lv-LV"/>
              </w:rPr>
              <w:t xml:space="preserve">ē </w:t>
            </w:r>
            <w:r w:rsidRPr="00805670">
              <w:rPr>
                <w:b/>
                <w:sz w:val="26"/>
                <w:szCs w:val="26"/>
                <w:lang w:val="lv-LV"/>
              </w:rPr>
              <w:t>pieejam</w:t>
            </w:r>
            <w:r w:rsidR="00852678" w:rsidRPr="00805670">
              <w:rPr>
                <w:b/>
                <w:sz w:val="26"/>
                <w:szCs w:val="26"/>
                <w:lang w:val="lv-LV"/>
              </w:rPr>
              <w:t>ā</w:t>
            </w:r>
            <w:r w:rsidRPr="00805670">
              <w:rPr>
                <w:b/>
                <w:sz w:val="26"/>
                <w:szCs w:val="26"/>
                <w:lang w:val="lv-LV"/>
              </w:rPr>
              <w:t xml:space="preserve"> </w:t>
            </w:r>
            <w:r w:rsidR="00404CE1" w:rsidRPr="00805670">
              <w:rPr>
                <w:b/>
                <w:sz w:val="26"/>
                <w:szCs w:val="26"/>
                <w:lang w:val="lv-LV"/>
              </w:rPr>
              <w:t xml:space="preserve">publiskā </w:t>
            </w:r>
            <w:r w:rsidRPr="00805670">
              <w:rPr>
                <w:b/>
                <w:sz w:val="26"/>
                <w:szCs w:val="26"/>
                <w:lang w:val="lv-LV"/>
              </w:rPr>
              <w:t>finansējum</w:t>
            </w:r>
            <w:r w:rsidR="00852678" w:rsidRPr="00805670">
              <w:rPr>
                <w:b/>
                <w:sz w:val="26"/>
                <w:szCs w:val="26"/>
                <w:lang w:val="lv-LV"/>
              </w:rPr>
              <w:t xml:space="preserve">a apmēru </w:t>
            </w:r>
            <w:r w:rsidR="00DD278F" w:rsidRPr="00805670">
              <w:rPr>
                <w:b/>
                <w:sz w:val="26"/>
                <w:szCs w:val="26"/>
                <w:lang w:val="lv-LV"/>
              </w:rPr>
              <w:t xml:space="preserve">aizdevumu garantiju </w:t>
            </w:r>
            <w:r w:rsidR="00683DCD">
              <w:rPr>
                <w:b/>
                <w:sz w:val="26"/>
                <w:szCs w:val="26"/>
                <w:lang w:val="lv-LV"/>
              </w:rPr>
              <w:t>piešķiršanas</w:t>
            </w:r>
            <w:r w:rsidR="00DD278F" w:rsidRPr="00805670">
              <w:rPr>
                <w:b/>
                <w:sz w:val="26"/>
                <w:szCs w:val="26"/>
                <w:lang w:val="lv-LV"/>
              </w:rPr>
              <w:t xml:space="preserve"> termiņa pagarinājuma </w:t>
            </w:r>
            <w:r w:rsidR="00626B29" w:rsidRPr="00805670">
              <w:rPr>
                <w:b/>
                <w:sz w:val="26"/>
                <w:szCs w:val="26"/>
                <w:lang w:val="lv-LV"/>
              </w:rPr>
              <w:t>(</w:t>
            </w:r>
            <w:r w:rsidR="00DD278F" w:rsidRPr="00805670">
              <w:rPr>
                <w:b/>
                <w:sz w:val="26"/>
                <w:szCs w:val="26"/>
                <w:lang w:val="lv-LV"/>
              </w:rPr>
              <w:t>līdz 2016.gada 31.maijam</w:t>
            </w:r>
            <w:r w:rsidR="00626B29" w:rsidRPr="00805670">
              <w:rPr>
                <w:b/>
                <w:sz w:val="26"/>
                <w:szCs w:val="26"/>
                <w:lang w:val="lv-LV"/>
              </w:rPr>
              <w:t>)</w:t>
            </w:r>
            <w:r w:rsidR="00DD278F" w:rsidRPr="00805670">
              <w:rPr>
                <w:b/>
                <w:sz w:val="26"/>
                <w:szCs w:val="26"/>
                <w:lang w:val="lv-LV"/>
              </w:rPr>
              <w:t xml:space="preserve"> gadījumā</w:t>
            </w:r>
            <w:r w:rsidR="00404CE1" w:rsidRPr="00805670">
              <w:rPr>
                <w:b/>
                <w:sz w:val="26"/>
                <w:szCs w:val="26"/>
                <w:lang w:val="lv-LV"/>
              </w:rPr>
              <w:t xml:space="preserve"> nav nepieciešams palielināt</w:t>
            </w:r>
            <w:r w:rsidR="00404CE1">
              <w:rPr>
                <w:sz w:val="26"/>
                <w:szCs w:val="26"/>
                <w:lang w:val="lv-LV"/>
              </w:rPr>
              <w:t xml:space="preserve">. </w:t>
            </w:r>
            <w:r w:rsidR="0028431A">
              <w:rPr>
                <w:sz w:val="26"/>
                <w:szCs w:val="26"/>
                <w:lang w:val="lv-LV"/>
              </w:rPr>
              <w:t>Situācijā,</w:t>
            </w:r>
            <w:r w:rsidR="00A0075B">
              <w:rPr>
                <w:sz w:val="26"/>
                <w:szCs w:val="26"/>
                <w:lang w:val="lv-LV"/>
              </w:rPr>
              <w:t xml:space="preserve"> ja</w:t>
            </w:r>
            <w:r w:rsidR="00805670">
              <w:rPr>
                <w:sz w:val="26"/>
                <w:szCs w:val="26"/>
                <w:lang w:val="lv-LV"/>
              </w:rPr>
              <w:t xml:space="preserve"> 2.2.1.4.2.aktivitātes īstenošanas laikā </w:t>
            </w:r>
            <w:r w:rsidR="00A0075B">
              <w:rPr>
                <w:sz w:val="26"/>
                <w:szCs w:val="26"/>
                <w:lang w:val="lv-LV"/>
              </w:rPr>
              <w:t>mainīsies pieprasījuma apmērs un apguves prognozes un tiks konstatēts par nepieciešamu palielināt 2.2.1.4.2.aktivitāt</w:t>
            </w:r>
            <w:r w:rsidR="0028431A">
              <w:rPr>
                <w:sz w:val="26"/>
                <w:szCs w:val="26"/>
                <w:lang w:val="lv-LV"/>
              </w:rPr>
              <w:t>ē līdzšinēji pieejamā</w:t>
            </w:r>
            <w:r w:rsidR="00A0075B">
              <w:rPr>
                <w:sz w:val="26"/>
                <w:szCs w:val="26"/>
                <w:lang w:val="lv-LV"/>
              </w:rPr>
              <w:t xml:space="preserve"> publiskā finansējuma apmēru,  </w:t>
            </w:r>
            <w:r w:rsidR="0028431A">
              <w:rPr>
                <w:sz w:val="26"/>
                <w:szCs w:val="26"/>
                <w:lang w:val="lv-LV"/>
              </w:rPr>
              <w:t>EM sadarbībā ar Altum</w:t>
            </w:r>
            <w:r w:rsidR="00A0075B">
              <w:rPr>
                <w:sz w:val="26"/>
                <w:szCs w:val="26"/>
                <w:lang w:val="lv-LV"/>
              </w:rPr>
              <w:t xml:space="preserve"> izstrādās un virzīs saskaņošanai at</w:t>
            </w:r>
            <w:r w:rsidR="0028431A">
              <w:rPr>
                <w:sz w:val="26"/>
                <w:szCs w:val="26"/>
                <w:lang w:val="lv-LV"/>
              </w:rPr>
              <w:t>tiecīgos</w:t>
            </w:r>
            <w:r w:rsidR="00A0075B">
              <w:rPr>
                <w:sz w:val="26"/>
                <w:szCs w:val="26"/>
                <w:lang w:val="lv-LV"/>
              </w:rPr>
              <w:t xml:space="preserve"> grozījumus</w:t>
            </w:r>
            <w:r w:rsidR="00805670">
              <w:rPr>
                <w:sz w:val="26"/>
                <w:szCs w:val="26"/>
                <w:lang w:val="lv-LV"/>
              </w:rPr>
              <w:t xml:space="preserve"> MK noteikumos Nr.614. </w:t>
            </w:r>
            <w:r w:rsidR="00A0075B" w:rsidRPr="0028431A">
              <w:rPr>
                <w:b/>
                <w:sz w:val="26"/>
                <w:szCs w:val="26"/>
                <w:lang w:val="lv-LV"/>
              </w:rPr>
              <w:t xml:space="preserve">Altum </w:t>
            </w:r>
            <w:r w:rsidR="0028431A" w:rsidRPr="0028431A">
              <w:rPr>
                <w:b/>
                <w:sz w:val="26"/>
                <w:szCs w:val="26"/>
                <w:lang w:val="lv-LV"/>
              </w:rPr>
              <w:t xml:space="preserve">sagatavotās </w:t>
            </w:r>
            <w:r w:rsidR="00A0075B" w:rsidRPr="0028431A">
              <w:rPr>
                <w:b/>
                <w:sz w:val="26"/>
                <w:szCs w:val="26"/>
                <w:lang w:val="lv-LV"/>
              </w:rPr>
              <w:t>prognozes paredz, ka</w:t>
            </w:r>
            <w:r w:rsidR="00805670" w:rsidRPr="0028431A">
              <w:rPr>
                <w:b/>
                <w:sz w:val="26"/>
                <w:szCs w:val="26"/>
                <w:lang w:val="lv-LV"/>
              </w:rPr>
              <w:t xml:space="preserve"> 2.2.1.4.2.aktivitātē </w:t>
            </w:r>
            <w:r w:rsidR="00A0075B" w:rsidRPr="0028431A">
              <w:rPr>
                <w:b/>
                <w:sz w:val="26"/>
                <w:szCs w:val="26"/>
                <w:lang w:val="lv-LV"/>
              </w:rPr>
              <w:t>līdz</w:t>
            </w:r>
            <w:r w:rsidR="00805670" w:rsidRPr="0028431A">
              <w:rPr>
                <w:b/>
                <w:sz w:val="26"/>
                <w:szCs w:val="26"/>
                <w:lang w:val="lv-LV"/>
              </w:rPr>
              <w:t xml:space="preserve"> 2016.gada 31.maijam </w:t>
            </w:r>
            <w:r w:rsidR="00A0075B" w:rsidRPr="0028431A">
              <w:rPr>
                <w:b/>
                <w:sz w:val="26"/>
                <w:szCs w:val="26"/>
                <w:lang w:val="lv-LV"/>
              </w:rPr>
              <w:t xml:space="preserve">kopumā tiks </w:t>
            </w:r>
            <w:r w:rsidR="00683DCD">
              <w:rPr>
                <w:b/>
                <w:sz w:val="26"/>
                <w:szCs w:val="26"/>
                <w:lang w:val="lv-LV"/>
              </w:rPr>
              <w:t>piešķirtas aizdevumu garantijas</w:t>
            </w:r>
            <w:r w:rsidR="00A0075B" w:rsidRPr="0028431A">
              <w:rPr>
                <w:b/>
                <w:sz w:val="26"/>
                <w:szCs w:val="26"/>
                <w:lang w:val="lv-LV"/>
              </w:rPr>
              <w:t xml:space="preserve"> 45 400 000 </w:t>
            </w:r>
            <w:proofErr w:type="spellStart"/>
            <w:r w:rsidR="00A0075B" w:rsidRPr="0028431A">
              <w:rPr>
                <w:b/>
                <w:i/>
                <w:sz w:val="26"/>
                <w:szCs w:val="26"/>
                <w:lang w:val="lv-LV"/>
              </w:rPr>
              <w:t>euro</w:t>
            </w:r>
            <w:proofErr w:type="spellEnd"/>
            <w:r w:rsidR="0028431A" w:rsidRPr="0028431A">
              <w:rPr>
                <w:b/>
                <w:i/>
                <w:sz w:val="26"/>
                <w:szCs w:val="26"/>
                <w:lang w:val="lv-LV"/>
              </w:rPr>
              <w:t xml:space="preserve"> </w:t>
            </w:r>
            <w:r w:rsidR="0028431A" w:rsidRPr="0028431A">
              <w:rPr>
                <w:b/>
                <w:sz w:val="26"/>
                <w:szCs w:val="26"/>
                <w:lang w:val="lv-LV"/>
              </w:rPr>
              <w:t>apmērā</w:t>
            </w:r>
            <w:r w:rsidR="00A0075B" w:rsidRPr="0028431A">
              <w:rPr>
                <w:b/>
                <w:i/>
                <w:sz w:val="26"/>
                <w:szCs w:val="26"/>
                <w:lang w:val="lv-LV"/>
              </w:rPr>
              <w:t>.</w:t>
            </w:r>
          </w:p>
          <w:p w:rsidR="00EF2696" w:rsidRPr="00573FFE" w:rsidRDefault="00A0075B" w:rsidP="00237878">
            <w:pPr>
              <w:spacing w:after="240"/>
              <w:ind w:firstLine="709"/>
              <w:jc w:val="both"/>
              <w:rPr>
                <w:sz w:val="26"/>
                <w:szCs w:val="26"/>
                <w:lang w:val="lv-LV"/>
              </w:rPr>
            </w:pPr>
            <w:r w:rsidRPr="00573FFE">
              <w:rPr>
                <w:sz w:val="26"/>
                <w:szCs w:val="26"/>
                <w:lang w:val="lv-LV"/>
              </w:rPr>
              <w:lastRenderedPageBreak/>
              <w:t>Eiropas Komisijas 2013.gada 18.decembra Regul</w:t>
            </w:r>
            <w:r>
              <w:rPr>
                <w:sz w:val="26"/>
                <w:szCs w:val="26"/>
                <w:lang w:val="lv-LV"/>
              </w:rPr>
              <w:t>as (ES) Nr.</w:t>
            </w:r>
            <w:r w:rsidRPr="00573FFE">
              <w:rPr>
                <w:sz w:val="26"/>
                <w:szCs w:val="26"/>
                <w:lang w:val="lv-LV"/>
              </w:rPr>
              <w:t xml:space="preserve">1407/2013 par Līguma par Eiropas </w:t>
            </w:r>
            <w:r>
              <w:rPr>
                <w:sz w:val="26"/>
                <w:szCs w:val="26"/>
                <w:lang w:val="lv-LV"/>
              </w:rPr>
              <w:t>Savienības darbību 107. un 108.</w:t>
            </w:r>
            <w:r w:rsidRPr="00573FFE">
              <w:rPr>
                <w:sz w:val="26"/>
                <w:szCs w:val="26"/>
                <w:lang w:val="lv-LV"/>
              </w:rPr>
              <w:t xml:space="preserve">panta piemērošanu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atbalstam </w:t>
            </w:r>
            <w:r>
              <w:rPr>
                <w:sz w:val="26"/>
                <w:szCs w:val="26"/>
                <w:lang w:val="lv-LV"/>
              </w:rPr>
              <w:t>(turpmāk – Komisijas R</w:t>
            </w:r>
            <w:r w:rsidRPr="00573FFE">
              <w:rPr>
                <w:sz w:val="26"/>
                <w:szCs w:val="26"/>
                <w:lang w:val="lv-LV"/>
              </w:rPr>
              <w:t>egula Nr.1407/2013)</w:t>
            </w:r>
            <w:r>
              <w:rPr>
                <w:sz w:val="26"/>
                <w:szCs w:val="26"/>
                <w:lang w:val="lv-LV"/>
              </w:rPr>
              <w:t xml:space="preserve"> </w:t>
            </w:r>
            <w:r w:rsidRPr="00573FFE">
              <w:rPr>
                <w:sz w:val="26"/>
                <w:szCs w:val="26"/>
                <w:lang w:val="lv-LV"/>
              </w:rPr>
              <w:t>(Eiropas Savienības Oficiālais Vēstnesi</w:t>
            </w:r>
            <w:r>
              <w:rPr>
                <w:sz w:val="26"/>
                <w:szCs w:val="26"/>
                <w:lang w:val="lv-LV"/>
              </w:rPr>
              <w:t>s, 2013.gada 24.</w:t>
            </w:r>
            <w:r w:rsidRPr="00573FFE">
              <w:rPr>
                <w:sz w:val="26"/>
                <w:szCs w:val="26"/>
                <w:lang w:val="lv-LV"/>
              </w:rPr>
              <w:t xml:space="preserve">decembris, Nr. L 352) 6.panta 4.punkts </w:t>
            </w:r>
            <w:r w:rsidRPr="0028431A">
              <w:rPr>
                <w:b/>
                <w:sz w:val="26"/>
                <w:szCs w:val="26"/>
                <w:lang w:val="lv-LV"/>
              </w:rPr>
              <w:t xml:space="preserve">nosaka par pienākumu </w:t>
            </w:r>
            <w:r w:rsidRPr="0028431A">
              <w:rPr>
                <w:sz w:val="26"/>
                <w:szCs w:val="26"/>
                <w:lang w:val="lv-LV"/>
              </w:rPr>
              <w:t xml:space="preserve">ne vien </w:t>
            </w:r>
            <w:r w:rsidRPr="0028431A">
              <w:rPr>
                <w:i/>
                <w:sz w:val="26"/>
                <w:szCs w:val="26"/>
                <w:lang w:val="lv-LV"/>
              </w:rPr>
              <w:t>de minimis</w:t>
            </w:r>
            <w:r w:rsidRPr="0028431A">
              <w:rPr>
                <w:sz w:val="26"/>
                <w:szCs w:val="26"/>
                <w:lang w:val="lv-LV"/>
              </w:rPr>
              <w:t xml:space="preserve"> atbalsta sniedzējam, bet arī</w:t>
            </w:r>
            <w:r w:rsidRPr="0028431A">
              <w:rPr>
                <w:b/>
                <w:sz w:val="26"/>
                <w:szCs w:val="26"/>
                <w:lang w:val="lv-LV"/>
              </w:rPr>
              <w:t xml:space="preserve"> </w:t>
            </w:r>
            <w:r w:rsidRPr="0028431A">
              <w:rPr>
                <w:b/>
                <w:i/>
                <w:sz w:val="26"/>
                <w:szCs w:val="26"/>
                <w:lang w:val="lv-LV"/>
              </w:rPr>
              <w:t>de minimis</w:t>
            </w:r>
            <w:r w:rsidRPr="0028431A">
              <w:rPr>
                <w:b/>
                <w:sz w:val="26"/>
                <w:szCs w:val="26"/>
                <w:lang w:val="lv-LV"/>
              </w:rPr>
              <w:t xml:space="preserve"> atbalsta gala saņēmējam nodrošināt datu par saņemto </w:t>
            </w:r>
            <w:r w:rsidRPr="0028431A">
              <w:rPr>
                <w:b/>
                <w:i/>
                <w:sz w:val="26"/>
                <w:szCs w:val="26"/>
                <w:lang w:val="lv-LV"/>
              </w:rPr>
              <w:t>de minimis</w:t>
            </w:r>
            <w:r w:rsidRPr="0028431A">
              <w:rPr>
                <w:b/>
                <w:sz w:val="26"/>
                <w:szCs w:val="26"/>
                <w:lang w:val="lv-LV"/>
              </w:rPr>
              <w:t xml:space="preserve"> atbalstu uzglabāšanu turpmākos 10 gadus, sākot no dienas, kad piešķirts atbalsts</w:t>
            </w:r>
            <w:r w:rsidRPr="00573FFE">
              <w:rPr>
                <w:sz w:val="26"/>
                <w:szCs w:val="26"/>
                <w:lang w:val="lv-LV"/>
              </w:rPr>
              <w:t xml:space="preserve">. </w:t>
            </w:r>
            <w:r>
              <w:rPr>
                <w:sz w:val="26"/>
                <w:szCs w:val="26"/>
                <w:lang w:val="lv-LV"/>
              </w:rPr>
              <w:t xml:space="preserve">Lai ievērotu Komisijas Regulas Nr.1407/2013 nosacījumus, noteikumu projekts </w:t>
            </w:r>
            <w:r w:rsidRPr="00573FFE">
              <w:rPr>
                <w:sz w:val="26"/>
                <w:szCs w:val="26"/>
                <w:lang w:val="lv-LV"/>
              </w:rPr>
              <w:t xml:space="preserve">papildina MK noteikumus </w:t>
            </w:r>
            <w:r>
              <w:rPr>
                <w:sz w:val="26"/>
                <w:szCs w:val="26"/>
                <w:lang w:val="lv-LV"/>
              </w:rPr>
              <w:t>Nr. 997</w:t>
            </w:r>
            <w:r w:rsidRPr="00573FFE">
              <w:rPr>
                <w:sz w:val="26"/>
                <w:szCs w:val="26"/>
                <w:lang w:val="lv-LV"/>
              </w:rPr>
              <w:t xml:space="preserve"> ar jaunu </w:t>
            </w:r>
            <w:r w:rsidRPr="00A0075B">
              <w:rPr>
                <w:sz w:val="26"/>
                <w:szCs w:val="26"/>
                <w:lang w:val="lv-LV"/>
              </w:rPr>
              <w:t xml:space="preserve">24.' </w:t>
            </w:r>
            <w:r w:rsidRPr="00573FFE">
              <w:rPr>
                <w:sz w:val="26"/>
                <w:szCs w:val="26"/>
                <w:lang w:val="lv-LV"/>
              </w:rPr>
              <w:t>punktu</w:t>
            </w:r>
            <w:r>
              <w:rPr>
                <w:sz w:val="26"/>
                <w:szCs w:val="26"/>
                <w:lang w:val="lv-LV"/>
              </w:rPr>
              <w:t xml:space="preserve">. </w:t>
            </w:r>
          </w:p>
          <w:p w:rsidR="00BE4341" w:rsidRPr="00D07B7C" w:rsidRDefault="002504C9" w:rsidP="00835BDE">
            <w:pPr>
              <w:spacing w:after="240"/>
              <w:ind w:firstLine="708"/>
              <w:jc w:val="both"/>
              <w:rPr>
                <w:sz w:val="26"/>
                <w:szCs w:val="26"/>
                <w:lang w:val="lv-LV"/>
              </w:rPr>
            </w:pPr>
            <w:r w:rsidRPr="00D07B7C">
              <w:rPr>
                <w:sz w:val="26"/>
                <w:szCs w:val="26"/>
                <w:lang w:val="lv-LV"/>
              </w:rPr>
              <w:t xml:space="preserve"> </w:t>
            </w:r>
            <w:r w:rsidR="006007FE" w:rsidRPr="00D07B7C">
              <w:rPr>
                <w:sz w:val="26"/>
                <w:szCs w:val="26"/>
                <w:lang w:val="lv-LV"/>
              </w:rPr>
              <w:t>MK noteikumi Nr.997, kas sākotnēji izdoti saskaņā ar </w:t>
            </w:r>
            <w:hyperlink r:id="rId9" w:tgtFrame="_blank" w:history="1">
              <w:r w:rsidR="006007FE" w:rsidRPr="00D07B7C">
                <w:rPr>
                  <w:sz w:val="26"/>
                  <w:szCs w:val="26"/>
                  <w:lang w:val="lv-LV"/>
                </w:rPr>
                <w:t>Ministru kabineta iekārtas likuma</w:t>
              </w:r>
            </w:hyperlink>
            <w:r w:rsidR="006007FE" w:rsidRPr="00D07B7C">
              <w:rPr>
                <w:sz w:val="26"/>
                <w:szCs w:val="26"/>
                <w:lang w:val="lv-LV"/>
              </w:rPr>
              <w:t> </w:t>
            </w:r>
            <w:hyperlink r:id="rId10" w:anchor="p31" w:tgtFrame="_blank" w:history="1">
              <w:r w:rsidR="006007FE" w:rsidRPr="00D07B7C">
                <w:rPr>
                  <w:sz w:val="26"/>
                  <w:szCs w:val="26"/>
                  <w:lang w:val="lv-LV"/>
                </w:rPr>
                <w:t>31.panta</w:t>
              </w:r>
            </w:hyperlink>
            <w:r w:rsidR="006007FE" w:rsidRPr="00D07B7C">
              <w:rPr>
                <w:sz w:val="26"/>
                <w:szCs w:val="26"/>
                <w:lang w:val="lv-LV"/>
              </w:rPr>
              <w:t xml:space="preserve"> pirmās daļas 3.punktu, ir izstrādāti, lai nodrošinātu sabiedrības ar ierobežotu atbildību „Latvijas Garantiju aģentūra” (pēc reorganizācijas ar 2015.gada 15.aprīli </w:t>
            </w:r>
            <w:r w:rsidRPr="00D07B7C">
              <w:rPr>
                <w:sz w:val="26"/>
                <w:szCs w:val="26"/>
                <w:lang w:val="lv-LV"/>
              </w:rPr>
              <w:t>Altum</w:t>
            </w:r>
            <w:r w:rsidR="006007FE" w:rsidRPr="00D07B7C">
              <w:rPr>
                <w:sz w:val="26"/>
                <w:szCs w:val="26"/>
                <w:lang w:val="lv-LV"/>
              </w:rPr>
              <w:t xml:space="preserve">) aizsākto aizdevumu garantiju sniegšanu. </w:t>
            </w:r>
            <w:r w:rsidRPr="00D07B7C">
              <w:rPr>
                <w:sz w:val="26"/>
                <w:szCs w:val="26"/>
                <w:lang w:val="lv-LV"/>
              </w:rPr>
              <w:t>Ministru kabinets 2013.gada 17.decembrī izskatīja informatīvo ziņojumu par vienotās attīstības finanšu institūcijas (proti, Altum) izveidi un atbalstīja tās izveidi, apvienojot valsts akciju sabiedrību „Latvijas Attīstības finanšu institūcija Altum”, sabiedrību ar ierobežotu atbildību “Latvijas Garantiju aģentūra” un valsts akciju sabiedrību „Lauku attīstības fonds” un dibinot jaunu holdinga sabiedrību - Altum. Lai nodrošinātu  Altum darbību pēc valsts akciju sabiedrības „Latvijas Attīstības finanšu institūcija Altum”, sabiedrības ar ierobežotu atbildību “Latvijas Garantiju aģentūra” un valsts akciju sabiedrības „Lauku attīstības fonds” reorganizācijas pabeigšanas, 2014.gada 30.oktobrī ir pieņemts un 2015.gada 1.martā spēkā stāj</w:t>
            </w:r>
            <w:r w:rsidR="00835BDE" w:rsidRPr="00D07B7C">
              <w:rPr>
                <w:sz w:val="26"/>
                <w:szCs w:val="26"/>
                <w:lang w:val="lv-LV"/>
              </w:rPr>
              <w:t>ās</w:t>
            </w:r>
            <w:r w:rsidRPr="00D07B7C">
              <w:rPr>
                <w:sz w:val="26"/>
                <w:szCs w:val="26"/>
                <w:lang w:val="lv-LV"/>
              </w:rPr>
              <w:t xml:space="preserve"> Attīstības finanšu institūcijas likums, ar kuru </w:t>
            </w:r>
            <w:r w:rsidR="00835BDE" w:rsidRPr="00D07B7C">
              <w:rPr>
                <w:sz w:val="26"/>
                <w:szCs w:val="26"/>
                <w:lang w:val="lv-LV"/>
              </w:rPr>
              <w:t>tika</w:t>
            </w:r>
            <w:r w:rsidRPr="00D07B7C">
              <w:rPr>
                <w:sz w:val="26"/>
                <w:szCs w:val="26"/>
                <w:lang w:val="lv-LV"/>
              </w:rPr>
              <w:t xml:space="preserve"> optimizēta finanšu instrumentu valsts atbalsta un attīstības programmu ieviešanas institucionālā sistēma. Attīstības finanšu institūcijas likuma 12.panta ceturtā daļa paredz deleģējumu Ministru kabineta noteikumu, kas tostarp nosaka valsts atbalsta un attīstības programmu, kuru pilnībā vai daļēji īsteno finanšu instrumentu veidā īstenošanas nosacījumus, izdošanai. MK noteikumu Nr.997 ietvaros īstenotā </w:t>
            </w:r>
            <w:r w:rsidR="00835BDE" w:rsidRPr="00D07B7C">
              <w:rPr>
                <w:sz w:val="26"/>
                <w:szCs w:val="26"/>
                <w:lang w:val="lv-LV"/>
              </w:rPr>
              <w:t>aizdevumu garantiju programma (finanšu instruments)</w:t>
            </w:r>
            <w:r w:rsidRPr="00D07B7C">
              <w:rPr>
                <w:sz w:val="26"/>
                <w:szCs w:val="26"/>
                <w:lang w:val="lv-LV"/>
              </w:rPr>
              <w:t xml:space="preserve"> </w:t>
            </w:r>
            <w:r w:rsidR="00835BDE" w:rsidRPr="00D07B7C">
              <w:rPr>
                <w:sz w:val="26"/>
                <w:szCs w:val="26"/>
                <w:lang w:val="lv-LV"/>
              </w:rPr>
              <w:t>nav noslēgusies, un atbilstoši noteikumu projektam aizdevumu garantiju piešķiršana tiek turpināta līdz 2016.gada 31.maijam. L</w:t>
            </w:r>
            <w:r w:rsidRPr="00D07B7C">
              <w:rPr>
                <w:sz w:val="26"/>
                <w:szCs w:val="26"/>
                <w:lang w:val="lv-LV"/>
              </w:rPr>
              <w:t>ai nodrošinātu</w:t>
            </w:r>
            <w:r w:rsidR="00835BDE" w:rsidRPr="00D07B7C">
              <w:rPr>
                <w:sz w:val="26"/>
                <w:szCs w:val="26"/>
                <w:lang w:val="lv-LV"/>
              </w:rPr>
              <w:t xml:space="preserve"> aizdevumu garantiju programmas nepārtrauktību un</w:t>
            </w:r>
            <w:r w:rsidRPr="00D07B7C">
              <w:rPr>
                <w:sz w:val="26"/>
                <w:szCs w:val="26"/>
                <w:lang w:val="lv-LV"/>
              </w:rPr>
              <w:t xml:space="preserve"> </w:t>
            </w:r>
            <w:r w:rsidR="00835BDE" w:rsidRPr="00D07B7C">
              <w:rPr>
                <w:sz w:val="26"/>
                <w:szCs w:val="26"/>
                <w:lang w:val="lv-LV"/>
              </w:rPr>
              <w:t xml:space="preserve">MK noteikumu Nr.997 un noteikumu projekta </w:t>
            </w:r>
            <w:r w:rsidRPr="00D07B7C">
              <w:rPr>
                <w:sz w:val="26"/>
                <w:szCs w:val="26"/>
                <w:lang w:val="lv-LV"/>
              </w:rPr>
              <w:t xml:space="preserve">atbilstību Attīstības finanšu institūcijas </w:t>
            </w:r>
            <w:r w:rsidR="00835BDE" w:rsidRPr="00D07B7C">
              <w:rPr>
                <w:sz w:val="26"/>
                <w:szCs w:val="26"/>
                <w:lang w:val="lv-LV"/>
              </w:rPr>
              <w:t>likumam</w:t>
            </w:r>
            <w:r w:rsidRPr="00D07B7C">
              <w:rPr>
                <w:sz w:val="26"/>
                <w:szCs w:val="26"/>
                <w:lang w:val="lv-LV"/>
              </w:rPr>
              <w:t xml:space="preserve">, </w:t>
            </w:r>
            <w:r w:rsidR="00835BDE" w:rsidRPr="00D07B7C">
              <w:rPr>
                <w:sz w:val="26"/>
                <w:szCs w:val="26"/>
                <w:lang w:val="lv-LV"/>
              </w:rPr>
              <w:t xml:space="preserve">tostarp </w:t>
            </w:r>
            <w:r w:rsidRPr="00D07B7C">
              <w:rPr>
                <w:sz w:val="26"/>
                <w:szCs w:val="26"/>
                <w:lang w:val="lv-LV"/>
              </w:rPr>
              <w:t xml:space="preserve">minētajam deleģējumam, grozījumi MK noteikumos Nr.997 paredz papildināt </w:t>
            </w:r>
            <w:r w:rsidR="00835BDE" w:rsidRPr="00D07B7C">
              <w:rPr>
                <w:sz w:val="26"/>
                <w:szCs w:val="26"/>
                <w:lang w:val="lv-LV"/>
              </w:rPr>
              <w:t>līdzšinējo</w:t>
            </w:r>
            <w:r w:rsidRPr="00D07B7C">
              <w:rPr>
                <w:sz w:val="26"/>
                <w:szCs w:val="26"/>
                <w:lang w:val="lv-LV"/>
              </w:rPr>
              <w:t xml:space="preserve"> deleģējumu ar Attīstības finanšu institūcijas likuma 12.panta ceturto daļu</w:t>
            </w:r>
            <w:r w:rsidR="00835BDE" w:rsidRPr="00D07B7C">
              <w:rPr>
                <w:sz w:val="26"/>
                <w:szCs w:val="26"/>
                <w:lang w:val="lv-LV"/>
              </w:rPr>
              <w:t xml:space="preserve">. Norādāms, ka </w:t>
            </w:r>
            <w:r w:rsidRPr="00D07B7C">
              <w:rPr>
                <w:sz w:val="26"/>
                <w:szCs w:val="26"/>
                <w:lang w:val="lv-LV"/>
              </w:rPr>
              <w:t>MK noteikumi Nr.997</w:t>
            </w:r>
            <w:r w:rsidR="00835BDE" w:rsidRPr="00D07B7C">
              <w:rPr>
                <w:sz w:val="26"/>
                <w:szCs w:val="26"/>
                <w:lang w:val="lv-LV"/>
              </w:rPr>
              <w:t xml:space="preserve"> un noteikumu </w:t>
            </w:r>
            <w:r w:rsidR="00835BDE" w:rsidRPr="00D07B7C">
              <w:rPr>
                <w:sz w:val="26"/>
                <w:szCs w:val="26"/>
                <w:lang w:val="lv-LV"/>
              </w:rPr>
              <w:lastRenderedPageBreak/>
              <w:t>projekts ir</w:t>
            </w:r>
            <w:r w:rsidRPr="00D07B7C">
              <w:rPr>
                <w:sz w:val="26"/>
                <w:szCs w:val="26"/>
                <w:lang w:val="lv-LV"/>
              </w:rPr>
              <w:t xml:space="preserve"> atbilstoši Attīstības finanšu institūcijas likuma 12.panta ceturt</w:t>
            </w:r>
            <w:r w:rsidR="009F5A23" w:rsidRPr="00D07B7C">
              <w:rPr>
                <w:sz w:val="26"/>
                <w:szCs w:val="26"/>
                <w:lang w:val="lv-LV"/>
              </w:rPr>
              <w:t>ajā</w:t>
            </w:r>
            <w:r w:rsidRPr="00D07B7C">
              <w:rPr>
                <w:sz w:val="26"/>
                <w:szCs w:val="26"/>
                <w:lang w:val="lv-LV"/>
              </w:rPr>
              <w:t xml:space="preserve"> daļā paredzētajam deleģējumam</w:t>
            </w:r>
            <w:r w:rsidR="00835BDE" w:rsidRPr="00D07B7C">
              <w:rPr>
                <w:sz w:val="26"/>
                <w:szCs w:val="26"/>
                <w:lang w:val="lv-LV"/>
              </w:rPr>
              <w:t>.</w:t>
            </w:r>
          </w:p>
          <w:p w:rsidR="00E97EE1" w:rsidRPr="00CE35E1" w:rsidRDefault="00E713A7" w:rsidP="00F327A8">
            <w:pPr>
              <w:spacing w:after="240"/>
              <w:ind w:firstLine="708"/>
              <w:jc w:val="both"/>
              <w:rPr>
                <w:sz w:val="26"/>
                <w:szCs w:val="26"/>
                <w:lang w:val="lv-LV"/>
              </w:rPr>
            </w:pPr>
            <w:r w:rsidRPr="00573FFE">
              <w:rPr>
                <w:sz w:val="26"/>
                <w:szCs w:val="26"/>
                <w:lang w:val="lv-LV"/>
              </w:rPr>
              <w:t>Ar mērķi ievērot Attīstības finanšu institūcijas likuma 5.panta otrās daļas 1.punktā un 12.panta treš</w:t>
            </w:r>
            <w:r w:rsidR="00573FFE">
              <w:rPr>
                <w:sz w:val="26"/>
                <w:szCs w:val="26"/>
                <w:lang w:val="lv-LV"/>
              </w:rPr>
              <w:t xml:space="preserve">ajā un ceturtajā daļā noteikto </w:t>
            </w:r>
            <w:r w:rsidRPr="0028431A">
              <w:rPr>
                <w:b/>
                <w:sz w:val="26"/>
                <w:szCs w:val="26"/>
                <w:lang w:val="lv-LV"/>
              </w:rPr>
              <w:t xml:space="preserve">Altum nodrošinās </w:t>
            </w:r>
            <w:r w:rsidRPr="0028431A">
              <w:rPr>
                <w:sz w:val="26"/>
                <w:szCs w:val="26"/>
                <w:lang w:val="lv-LV"/>
              </w:rPr>
              <w:t xml:space="preserve">2.2.1.4.2.aktivitātē īstenojamo </w:t>
            </w:r>
            <w:r w:rsidR="00572138" w:rsidRPr="0028431A">
              <w:rPr>
                <w:sz w:val="26"/>
                <w:szCs w:val="26"/>
                <w:lang w:val="lv-LV"/>
              </w:rPr>
              <w:t>atbalsta instrumentu</w:t>
            </w:r>
            <w:r w:rsidRPr="0028431A">
              <w:rPr>
                <w:sz w:val="26"/>
                <w:szCs w:val="26"/>
                <w:lang w:val="lv-LV"/>
              </w:rPr>
              <w:t>, tostarp</w:t>
            </w:r>
            <w:r w:rsidRPr="0028431A">
              <w:rPr>
                <w:b/>
                <w:sz w:val="26"/>
                <w:szCs w:val="26"/>
                <w:lang w:val="lv-LV"/>
              </w:rPr>
              <w:t xml:space="preserve"> </w:t>
            </w:r>
            <w:r w:rsidR="00A0075B" w:rsidRPr="0028431A">
              <w:rPr>
                <w:b/>
                <w:sz w:val="26"/>
                <w:szCs w:val="26"/>
                <w:lang w:val="lv-LV"/>
              </w:rPr>
              <w:t>aizdevumu garantiju programmas</w:t>
            </w:r>
            <w:r w:rsidRPr="0028431A">
              <w:rPr>
                <w:b/>
                <w:sz w:val="26"/>
                <w:szCs w:val="26"/>
                <w:lang w:val="lv-LV"/>
              </w:rPr>
              <w:t>, risku un sagaidāmo zaudējumu izvērtējumu</w:t>
            </w:r>
            <w:r w:rsidRPr="00573FFE">
              <w:rPr>
                <w:sz w:val="26"/>
                <w:szCs w:val="26"/>
                <w:lang w:val="lv-LV"/>
              </w:rPr>
              <w:t xml:space="preserve">. </w:t>
            </w:r>
          </w:p>
        </w:tc>
      </w:tr>
      <w:tr w:rsidR="00EA6CD3"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C72945" w:rsidP="00CB6AC4">
            <w:pPr>
              <w:ind w:firstLine="720"/>
              <w:jc w:val="both"/>
              <w:rPr>
                <w:sz w:val="26"/>
                <w:szCs w:val="26"/>
                <w:lang w:val="lv-LV"/>
              </w:rPr>
            </w:pPr>
            <w:r>
              <w:rPr>
                <w:sz w:val="26"/>
                <w:szCs w:val="26"/>
                <w:lang w:val="lv-LV"/>
              </w:rPr>
              <w:t>Altum</w:t>
            </w:r>
          </w:p>
        </w:tc>
      </w:tr>
      <w:tr w:rsidR="00B300C7"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ind w:firstLine="720"/>
              <w:jc w:val="both"/>
              <w:rPr>
                <w:sz w:val="26"/>
                <w:szCs w:val="26"/>
                <w:lang w:val="lv-LV"/>
              </w:rPr>
            </w:pPr>
            <w:r w:rsidRPr="008565FB">
              <w:rPr>
                <w:sz w:val="26"/>
                <w:szCs w:val="26"/>
                <w:lang w:val="lv-LV"/>
              </w:rPr>
              <w:t>Nav</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11"/>
          <w:footerReference w:type="default" r:id="rId12"/>
          <w:footerReference w:type="first" r:id="rId13"/>
          <w:pgSz w:w="11906" w:h="16838"/>
          <w:pgMar w:top="1418" w:right="1134" w:bottom="1134" w:left="1701" w:header="709" w:footer="709" w:gutter="0"/>
          <w:cols w:space="708"/>
          <w:titlePg/>
          <w:docGrid w:linePitch="360"/>
        </w:sectPr>
      </w:pPr>
    </w:p>
    <w:p w:rsidR="002D6BDB" w:rsidRPr="003E5A6D" w:rsidRDefault="002D6BDB"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Sabiedrības mērķgrupa</w:t>
            </w:r>
            <w:r w:rsidR="00255BAC" w:rsidRPr="008565FB">
              <w:rPr>
                <w:sz w:val="26"/>
                <w:szCs w:val="26"/>
                <w:lang w:val="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646A6F" w:rsidP="00C72945">
            <w:pPr>
              <w:ind w:firstLine="720"/>
              <w:jc w:val="both"/>
              <w:rPr>
                <w:sz w:val="26"/>
                <w:szCs w:val="26"/>
                <w:lang w:val="lv-LV"/>
              </w:rPr>
            </w:pPr>
            <w:r w:rsidRPr="008565FB">
              <w:rPr>
                <w:sz w:val="26"/>
                <w:szCs w:val="26"/>
                <w:lang w:val="lv-LV"/>
              </w:rPr>
              <w:t>Latvijā reģistrēti saimnieciskās darbības veicēji</w:t>
            </w:r>
            <w:r w:rsidR="00C72945">
              <w:rPr>
                <w:sz w:val="26"/>
                <w:szCs w:val="26"/>
                <w:lang w:val="lv-LV"/>
              </w:rPr>
              <w:t>, Altum.</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rsidR="00E7567F" w:rsidRPr="008565FB" w:rsidRDefault="00E7567F" w:rsidP="00572138">
            <w:pPr>
              <w:pStyle w:val="BodyText"/>
              <w:ind w:right="142" w:firstLine="720"/>
              <w:rPr>
                <w:rFonts w:eastAsia="Calibri"/>
                <w:sz w:val="26"/>
                <w:szCs w:val="26"/>
                <w:lang w:eastAsia="en-US"/>
              </w:rPr>
            </w:pPr>
            <w:r w:rsidRPr="008565FB">
              <w:rPr>
                <w:rFonts w:eastAsia="Calibri"/>
                <w:sz w:val="26"/>
                <w:szCs w:val="26"/>
                <w:lang w:eastAsia="en-US"/>
              </w:rPr>
              <w:t xml:space="preserve">Noteikumu projekts </w:t>
            </w:r>
            <w:r w:rsidR="00572138">
              <w:rPr>
                <w:rFonts w:eastAsia="Calibri"/>
                <w:sz w:val="26"/>
                <w:szCs w:val="26"/>
                <w:lang w:eastAsia="en-US"/>
              </w:rPr>
              <w:t>paredz pozitīvu ietekmi uz</w:t>
            </w:r>
            <w:r w:rsidRPr="008565FB">
              <w:rPr>
                <w:rFonts w:eastAsia="Calibri"/>
                <w:sz w:val="26"/>
                <w:szCs w:val="26"/>
                <w:lang w:eastAsia="en-US"/>
              </w:rPr>
              <w:t xml:space="preserve"> tautsaimniecīb</w:t>
            </w:r>
            <w:r w:rsidR="00C72945">
              <w:rPr>
                <w:rFonts w:eastAsia="Calibri"/>
                <w:sz w:val="26"/>
                <w:szCs w:val="26"/>
                <w:lang w:eastAsia="en-US"/>
              </w:rPr>
              <w:t>u</w:t>
            </w:r>
            <w:r w:rsidRPr="008565FB">
              <w:rPr>
                <w:rFonts w:eastAsia="Calibri"/>
                <w:sz w:val="26"/>
                <w:szCs w:val="26"/>
                <w:lang w:eastAsia="en-US"/>
              </w:rPr>
              <w:t>,</w:t>
            </w:r>
            <w:r w:rsidR="00C72945">
              <w:rPr>
                <w:rFonts w:eastAsia="Calibri"/>
                <w:sz w:val="26"/>
                <w:szCs w:val="26"/>
                <w:lang w:eastAsia="en-US"/>
              </w:rPr>
              <w:t xml:space="preserve"> jo </w:t>
            </w:r>
            <w:r w:rsidR="00573FFE">
              <w:rPr>
                <w:rFonts w:eastAsia="Calibri"/>
                <w:sz w:val="26"/>
                <w:szCs w:val="26"/>
                <w:lang w:eastAsia="en-US"/>
              </w:rPr>
              <w:t>pagarina</w:t>
            </w:r>
            <w:r w:rsidR="00C72945">
              <w:rPr>
                <w:rFonts w:eastAsia="Calibri"/>
                <w:sz w:val="26"/>
                <w:szCs w:val="26"/>
                <w:lang w:eastAsia="en-US"/>
              </w:rPr>
              <w:t xml:space="preserve"> </w:t>
            </w:r>
            <w:r w:rsidR="00572138">
              <w:rPr>
                <w:rFonts w:eastAsia="Calibri"/>
                <w:sz w:val="26"/>
                <w:szCs w:val="26"/>
                <w:lang w:eastAsia="en-US"/>
              </w:rPr>
              <w:t xml:space="preserve">aizdevumu garantiju piešķiršanas termiņu saimnieciskās darbības veicējiem dzīvotspējīgu uzņēmējdarbības projektu realizēšanai. </w:t>
            </w:r>
            <w:r w:rsidR="00C72945">
              <w:rPr>
                <w:rFonts w:eastAsia="Calibri"/>
                <w:sz w:val="26"/>
                <w:szCs w:val="26"/>
                <w:lang w:eastAsia="en-US"/>
              </w:rPr>
              <w:t xml:space="preserve"> </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B300C7" w:rsidP="00CB6AC4">
            <w:pPr>
              <w:ind w:firstLine="720"/>
              <w:jc w:val="both"/>
              <w:rPr>
                <w:sz w:val="26"/>
                <w:szCs w:val="26"/>
                <w:lang w:val="lv-LV"/>
              </w:rPr>
            </w:pPr>
            <w:r w:rsidRPr="008565FB">
              <w:rPr>
                <w:sz w:val="26"/>
                <w:szCs w:val="26"/>
                <w:lang w:val="lv-LV"/>
              </w:rPr>
              <w:t>Nav</w:t>
            </w:r>
          </w:p>
        </w:tc>
      </w:tr>
    </w:tbl>
    <w:p w:rsidR="00ED4255" w:rsidRDefault="00ED4255" w:rsidP="00EA6CD3">
      <w:pPr>
        <w:rPr>
          <w:sz w:val="24"/>
          <w:szCs w:val="24"/>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674"/>
        <w:gridCol w:w="417"/>
        <w:gridCol w:w="1279"/>
        <w:gridCol w:w="1485"/>
        <w:gridCol w:w="3713"/>
      </w:tblGrid>
      <w:tr w:rsidR="001C5ED6" w:rsidRPr="00FB311D" w:rsidTr="00E07AC4">
        <w:trPr>
          <w:tblCellSpacing w:w="15" w:type="dxa"/>
        </w:trPr>
        <w:tc>
          <w:tcPr>
            <w:tcW w:w="4966" w:type="pct"/>
            <w:gridSpan w:val="6"/>
            <w:shd w:val="clear" w:color="auto" w:fill="auto"/>
            <w:hideMark/>
          </w:tcPr>
          <w:p w:rsidR="001C5ED6" w:rsidRPr="00FB311D" w:rsidRDefault="001C5ED6" w:rsidP="00E07AC4">
            <w:pPr>
              <w:jc w:val="center"/>
              <w:rPr>
                <w:rFonts w:eastAsia="Times New Roman"/>
                <w:b/>
                <w:bCs/>
                <w:sz w:val="26"/>
                <w:szCs w:val="26"/>
                <w:lang w:val="lv-LV" w:eastAsia="lv-LV"/>
              </w:rPr>
            </w:pPr>
            <w:r w:rsidRPr="00FB311D">
              <w:rPr>
                <w:rFonts w:eastAsia="Times New Roman"/>
                <w:b/>
                <w:bCs/>
                <w:sz w:val="26"/>
                <w:szCs w:val="26"/>
                <w:lang w:val="lv-LV" w:eastAsia="lv-LV"/>
              </w:rPr>
              <w:t>V. Tiesību akta projekta atbilstība Latvijas Republikas starptautiskajām saistībām</w:t>
            </w:r>
          </w:p>
        </w:tc>
      </w:tr>
      <w:tr w:rsidR="001C5ED6" w:rsidRPr="00FB311D" w:rsidTr="00572138">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1.</w:t>
            </w:r>
          </w:p>
        </w:tc>
        <w:tc>
          <w:tcPr>
            <w:tcW w:w="1164"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Saistības pret Eiropas Savienību</w:t>
            </w:r>
          </w:p>
        </w:tc>
        <w:tc>
          <w:tcPr>
            <w:tcW w:w="3584" w:type="pct"/>
            <w:gridSpan w:val="3"/>
            <w:shd w:val="clear" w:color="auto" w:fill="auto"/>
            <w:hideMark/>
          </w:tcPr>
          <w:p w:rsidR="00D96FBA" w:rsidRPr="00FB311D" w:rsidRDefault="002B4900" w:rsidP="00D96FBA">
            <w:pPr>
              <w:ind w:firstLine="364"/>
              <w:jc w:val="both"/>
              <w:rPr>
                <w:sz w:val="26"/>
                <w:szCs w:val="26"/>
                <w:lang w:val="lv-LV"/>
              </w:rPr>
            </w:pPr>
            <w:r>
              <w:rPr>
                <w:sz w:val="26"/>
                <w:szCs w:val="26"/>
                <w:lang w:val="lv-LV"/>
              </w:rPr>
              <w:t>Komisijas 2013.</w:t>
            </w:r>
            <w:r w:rsidR="00D96FBA">
              <w:rPr>
                <w:sz w:val="26"/>
                <w:szCs w:val="26"/>
                <w:lang w:val="lv-LV"/>
              </w:rPr>
              <w:t>gada 18.decembra Regula (ES) Nr.</w:t>
            </w:r>
            <w:r w:rsidR="00D96FBA" w:rsidRPr="00D96FBA">
              <w:rPr>
                <w:sz w:val="26"/>
                <w:szCs w:val="26"/>
                <w:lang w:val="lv-LV"/>
              </w:rPr>
              <w:t xml:space="preserve">1407/2013 par Līguma par Eiropas Savienības darbību 107. un 108. panta piemērošanu </w:t>
            </w:r>
            <w:proofErr w:type="spellStart"/>
            <w:r w:rsidR="00D96FBA" w:rsidRPr="00573FFE">
              <w:rPr>
                <w:i/>
                <w:sz w:val="26"/>
                <w:szCs w:val="26"/>
                <w:lang w:val="lv-LV"/>
              </w:rPr>
              <w:t>de</w:t>
            </w:r>
            <w:proofErr w:type="spellEnd"/>
            <w:r w:rsidR="00D96FBA" w:rsidRPr="00573FFE">
              <w:rPr>
                <w:i/>
                <w:sz w:val="26"/>
                <w:szCs w:val="26"/>
                <w:lang w:val="lv-LV"/>
              </w:rPr>
              <w:t xml:space="preserve"> </w:t>
            </w:r>
            <w:proofErr w:type="spellStart"/>
            <w:r w:rsidR="00D96FBA" w:rsidRPr="00573FFE">
              <w:rPr>
                <w:i/>
                <w:sz w:val="26"/>
                <w:szCs w:val="26"/>
                <w:lang w:val="lv-LV"/>
              </w:rPr>
              <w:t>minimis</w:t>
            </w:r>
            <w:proofErr w:type="spellEnd"/>
            <w:r w:rsidR="00D96FBA" w:rsidRPr="00D96FBA">
              <w:rPr>
                <w:sz w:val="26"/>
                <w:szCs w:val="26"/>
                <w:lang w:val="lv-LV"/>
              </w:rPr>
              <w:t xml:space="preserve"> atbalstam</w:t>
            </w:r>
            <w:r w:rsidR="00D96FBA">
              <w:rPr>
                <w:sz w:val="26"/>
                <w:szCs w:val="26"/>
                <w:lang w:val="lv-LV"/>
              </w:rPr>
              <w:t>.</w:t>
            </w:r>
          </w:p>
        </w:tc>
      </w:tr>
      <w:tr w:rsidR="001C5ED6" w:rsidRPr="00FB311D" w:rsidTr="00572138">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2.</w:t>
            </w:r>
          </w:p>
        </w:tc>
        <w:tc>
          <w:tcPr>
            <w:tcW w:w="1164"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Citas starptautiskās saistības</w:t>
            </w:r>
          </w:p>
        </w:tc>
        <w:tc>
          <w:tcPr>
            <w:tcW w:w="3584" w:type="pct"/>
            <w:gridSpan w:val="3"/>
            <w:shd w:val="clear" w:color="auto" w:fill="auto"/>
            <w:hideMark/>
          </w:tcPr>
          <w:p w:rsidR="001C5ED6" w:rsidRPr="00FB311D" w:rsidRDefault="001C5ED6" w:rsidP="00E07AC4">
            <w:pPr>
              <w:ind w:firstLine="341"/>
              <w:jc w:val="both"/>
              <w:rPr>
                <w:rFonts w:eastAsia="Times New Roman"/>
                <w:sz w:val="26"/>
                <w:szCs w:val="26"/>
                <w:lang w:val="lv-LV" w:eastAsia="lv-LV"/>
              </w:rPr>
            </w:pPr>
            <w:r w:rsidRPr="00FB311D">
              <w:rPr>
                <w:rFonts w:eastAsia="Times New Roman"/>
                <w:sz w:val="26"/>
                <w:szCs w:val="26"/>
                <w:lang w:val="lv-LV" w:eastAsia="lv-LV"/>
              </w:rPr>
              <w:t>Projekts šo jomu neskar.</w:t>
            </w:r>
          </w:p>
        </w:tc>
      </w:tr>
      <w:tr w:rsidR="001C5ED6" w:rsidRPr="00FB311D" w:rsidTr="00572138">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3.</w:t>
            </w:r>
          </w:p>
        </w:tc>
        <w:tc>
          <w:tcPr>
            <w:tcW w:w="1164"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584" w:type="pct"/>
            <w:gridSpan w:val="3"/>
            <w:shd w:val="clear" w:color="auto" w:fill="auto"/>
            <w:hideMark/>
          </w:tcPr>
          <w:p w:rsidR="005F75C4" w:rsidRPr="00FB311D" w:rsidRDefault="001C5ED6" w:rsidP="00C72945">
            <w:pPr>
              <w:ind w:firstLine="341"/>
              <w:jc w:val="both"/>
              <w:rPr>
                <w:rFonts w:eastAsia="Times New Roman"/>
                <w:sz w:val="26"/>
                <w:szCs w:val="26"/>
                <w:lang w:val="lv-LV" w:eastAsia="lv-LV"/>
              </w:rPr>
            </w:pPr>
            <w:r w:rsidRPr="005F75C4">
              <w:rPr>
                <w:rFonts w:eastAsia="Times New Roman"/>
                <w:sz w:val="26"/>
                <w:szCs w:val="26"/>
                <w:lang w:val="lv-LV" w:eastAsia="lv-LV"/>
              </w:rPr>
              <w:t xml:space="preserve">Izstrādājot noteikumu projektu, </w:t>
            </w:r>
            <w:r w:rsidRPr="00FE6FC3">
              <w:rPr>
                <w:rFonts w:eastAsia="Times New Roman"/>
                <w:sz w:val="26"/>
                <w:szCs w:val="26"/>
                <w:lang w:val="lv-LV" w:eastAsia="lv-LV"/>
              </w:rPr>
              <w:t>ir ņemt</w:t>
            </w:r>
            <w:r w:rsidR="00C72945">
              <w:rPr>
                <w:rFonts w:eastAsia="Times New Roman"/>
                <w:sz w:val="26"/>
                <w:szCs w:val="26"/>
                <w:lang w:val="lv-LV" w:eastAsia="lv-LV"/>
              </w:rPr>
              <w:t xml:space="preserve">s vērā </w:t>
            </w:r>
            <w:r w:rsidR="00C72945" w:rsidRPr="00C72945">
              <w:rPr>
                <w:rFonts w:eastAsia="Times New Roman"/>
                <w:sz w:val="26"/>
                <w:szCs w:val="26"/>
                <w:lang w:val="lv-LV" w:eastAsia="lv-LV"/>
              </w:rPr>
              <w:t>Eiropas Komisijas  2015.gada 30.aprīļa pielikum</w:t>
            </w:r>
            <w:r w:rsidR="00C72945">
              <w:rPr>
                <w:rFonts w:eastAsia="Times New Roman"/>
                <w:sz w:val="26"/>
                <w:szCs w:val="26"/>
                <w:lang w:val="lv-LV" w:eastAsia="lv-LV"/>
              </w:rPr>
              <w:t>s</w:t>
            </w:r>
            <w:r w:rsidR="00C72945" w:rsidRPr="00C72945">
              <w:rPr>
                <w:rFonts w:eastAsia="Times New Roman"/>
                <w:sz w:val="26"/>
                <w:szCs w:val="26"/>
                <w:lang w:val="lv-LV" w:eastAsia="lv-LV"/>
              </w:rPr>
              <w:t xml:space="preserve"> </w:t>
            </w:r>
            <w:proofErr w:type="spellStart"/>
            <w:r w:rsidR="00C72945" w:rsidRPr="00C72945">
              <w:rPr>
                <w:rFonts w:eastAsia="Times New Roman"/>
                <w:sz w:val="26"/>
                <w:szCs w:val="26"/>
                <w:lang w:val="lv-LV" w:eastAsia="lv-LV"/>
              </w:rPr>
              <w:t>Nr.C</w:t>
            </w:r>
            <w:proofErr w:type="spellEnd"/>
            <w:r w:rsidR="00C72945" w:rsidRPr="00C72945">
              <w:rPr>
                <w:rFonts w:eastAsia="Times New Roman"/>
                <w:sz w:val="26"/>
                <w:szCs w:val="26"/>
                <w:lang w:val="lv-LV" w:eastAsia="lv-LV"/>
              </w:rPr>
              <w:t xml:space="preserve"> (2015) 2771 Komisijas lēmumam, ar kuru groza Lēmumu </w:t>
            </w:r>
            <w:proofErr w:type="spellStart"/>
            <w:r w:rsidR="00C72945" w:rsidRPr="00C72945">
              <w:rPr>
                <w:rFonts w:eastAsia="Times New Roman"/>
                <w:sz w:val="26"/>
                <w:szCs w:val="26"/>
                <w:lang w:val="lv-LV" w:eastAsia="lv-LV"/>
              </w:rPr>
              <w:t>Nr.C</w:t>
            </w:r>
            <w:proofErr w:type="spellEnd"/>
            <w:r w:rsidR="00C72945" w:rsidRPr="00C72945">
              <w:rPr>
                <w:rFonts w:eastAsia="Times New Roman"/>
                <w:sz w:val="26"/>
                <w:szCs w:val="26"/>
                <w:lang w:val="lv-LV" w:eastAsia="lv-LV"/>
              </w:rPr>
              <w:t xml:space="preserve"> (2013) 1573, ar ko apstiprina pamatnostādnes par to darbības </w:t>
            </w:r>
            <w:r w:rsidR="00C72945" w:rsidRPr="00C72945">
              <w:rPr>
                <w:rFonts w:eastAsia="Times New Roman"/>
                <w:sz w:val="26"/>
                <w:szCs w:val="26"/>
                <w:lang w:val="lv-LV" w:eastAsia="lv-LV"/>
              </w:rPr>
              <w:lastRenderedPageBreak/>
              <w:t>programmu slēgšanu, kuras pieņemtas atbalsta saņemšanai no Eiropas Reģionālās attīstības fonda, Eiropas Sociālā fonda un Kohēzijas fonda (2007-2013)</w:t>
            </w:r>
            <w:r w:rsidR="00C72945">
              <w:rPr>
                <w:rFonts w:eastAsia="Times New Roman"/>
                <w:sz w:val="26"/>
                <w:szCs w:val="26"/>
                <w:lang w:val="lv-LV" w:eastAsia="lv-LV"/>
              </w:rPr>
              <w:t>.</w:t>
            </w:r>
          </w:p>
        </w:tc>
      </w:tr>
      <w:tr w:rsidR="001C5ED6" w:rsidRPr="00FB311D" w:rsidTr="00E07AC4">
        <w:trPr>
          <w:tblCellSpacing w:w="15" w:type="dxa"/>
        </w:trPr>
        <w:tc>
          <w:tcPr>
            <w:tcW w:w="4966" w:type="pct"/>
            <w:gridSpan w:val="6"/>
            <w:shd w:val="clear" w:color="auto" w:fill="auto"/>
            <w:vAlign w:val="center"/>
            <w:hideMark/>
          </w:tcPr>
          <w:p w:rsidR="001C5ED6" w:rsidRPr="00FB311D" w:rsidRDefault="001C5ED6" w:rsidP="00E07AC4">
            <w:pPr>
              <w:jc w:val="center"/>
              <w:rPr>
                <w:rFonts w:eastAsia="Times New Roman"/>
                <w:b/>
                <w:bCs/>
                <w:sz w:val="26"/>
                <w:szCs w:val="26"/>
                <w:lang w:val="lv-LV" w:eastAsia="lv-LV"/>
              </w:rPr>
            </w:pPr>
            <w:r w:rsidRPr="00FB311D">
              <w:rPr>
                <w:rFonts w:eastAsia="Times New Roman"/>
                <w:b/>
                <w:bCs/>
                <w:sz w:val="26"/>
                <w:szCs w:val="26"/>
                <w:lang w:val="lv-LV" w:eastAsia="lv-LV"/>
              </w:rPr>
              <w:lastRenderedPageBreak/>
              <w:t>1.tabula</w:t>
            </w:r>
            <w:r w:rsidRPr="00FB311D">
              <w:rPr>
                <w:rFonts w:eastAsia="Times New Roman"/>
                <w:b/>
                <w:bCs/>
                <w:sz w:val="26"/>
                <w:szCs w:val="26"/>
                <w:lang w:val="lv-LV" w:eastAsia="lv-LV"/>
              </w:rPr>
              <w:br/>
              <w:t>Tiesību akta projekta atbilstība ES tiesību aktiem</w:t>
            </w:r>
          </w:p>
        </w:tc>
      </w:tr>
      <w:tr w:rsidR="001C5ED6" w:rsidRPr="00FB311D" w:rsidTr="00572138">
        <w:trPr>
          <w:tblCellSpacing w:w="15" w:type="dxa"/>
        </w:trPr>
        <w:tc>
          <w:tcPr>
            <w:tcW w:w="1125"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Attiecīgā ES tiesību akta datums, numurs un nosaukums</w:t>
            </w:r>
          </w:p>
        </w:tc>
        <w:tc>
          <w:tcPr>
            <w:tcW w:w="3825" w:type="pct"/>
            <w:gridSpan w:val="4"/>
            <w:shd w:val="clear" w:color="auto" w:fill="auto"/>
            <w:vAlign w:val="center"/>
            <w:hideMark/>
          </w:tcPr>
          <w:p w:rsidR="00831DB4" w:rsidRPr="00FB311D" w:rsidRDefault="00831DB4" w:rsidP="00831DB4">
            <w:pPr>
              <w:spacing w:after="120"/>
              <w:jc w:val="both"/>
              <w:rPr>
                <w:sz w:val="26"/>
                <w:szCs w:val="26"/>
                <w:lang w:val="lv-LV"/>
              </w:rPr>
            </w:pPr>
            <w:r w:rsidRPr="00831DB4">
              <w:rPr>
                <w:sz w:val="26"/>
                <w:szCs w:val="26"/>
                <w:lang w:val="lv-LV"/>
              </w:rPr>
              <w:t>Eiropas Komisijas 2013.gada 18.decembra Regul</w:t>
            </w:r>
            <w:r>
              <w:rPr>
                <w:sz w:val="26"/>
                <w:szCs w:val="26"/>
                <w:lang w:val="lv-LV"/>
              </w:rPr>
              <w:t>a</w:t>
            </w:r>
            <w:r w:rsidRPr="00831DB4">
              <w:rPr>
                <w:sz w:val="26"/>
                <w:szCs w:val="26"/>
                <w:lang w:val="lv-LV"/>
              </w:rPr>
              <w:t xml:space="preserve"> (ES) Nr. 1407/2013 par Līguma par Eiropas Savienības darbību 107. un 108. panta piemērošanu </w:t>
            </w:r>
            <w:proofErr w:type="spellStart"/>
            <w:r w:rsidRPr="002C504B">
              <w:rPr>
                <w:i/>
                <w:sz w:val="26"/>
                <w:szCs w:val="26"/>
                <w:lang w:val="lv-LV"/>
              </w:rPr>
              <w:t>de</w:t>
            </w:r>
            <w:proofErr w:type="spellEnd"/>
            <w:r w:rsidRPr="002C504B">
              <w:rPr>
                <w:i/>
                <w:sz w:val="26"/>
                <w:szCs w:val="26"/>
                <w:lang w:val="lv-LV"/>
              </w:rPr>
              <w:t xml:space="preserve"> </w:t>
            </w:r>
            <w:proofErr w:type="spellStart"/>
            <w:r w:rsidRPr="002C504B">
              <w:rPr>
                <w:i/>
                <w:sz w:val="26"/>
                <w:szCs w:val="26"/>
                <w:lang w:val="lv-LV"/>
              </w:rPr>
              <w:t>minimis</w:t>
            </w:r>
            <w:proofErr w:type="spellEnd"/>
            <w:r w:rsidRPr="00831DB4">
              <w:rPr>
                <w:sz w:val="26"/>
                <w:szCs w:val="26"/>
                <w:lang w:val="lv-LV"/>
              </w:rPr>
              <w:t xml:space="preserve"> atbalstam (Eiropas Savienības Oficiālais Vēstnesis, 2013. gada 24. decembris, Nr. L 352)</w:t>
            </w:r>
            <w:r>
              <w:rPr>
                <w:sz w:val="26"/>
                <w:szCs w:val="26"/>
                <w:lang w:val="lv-LV"/>
              </w:rPr>
              <w:t>.</w:t>
            </w:r>
          </w:p>
        </w:tc>
      </w:tr>
      <w:tr w:rsidR="001C5ED6" w:rsidRPr="00FB311D" w:rsidTr="00572138">
        <w:trPr>
          <w:tblCellSpacing w:w="15" w:type="dxa"/>
        </w:trPr>
        <w:tc>
          <w:tcPr>
            <w:tcW w:w="1125"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A</w:t>
            </w:r>
          </w:p>
        </w:tc>
        <w:tc>
          <w:tcPr>
            <w:tcW w:w="938"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B</w:t>
            </w:r>
          </w:p>
        </w:tc>
        <w:tc>
          <w:tcPr>
            <w:tcW w:w="813" w:type="pct"/>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w:t>
            </w:r>
          </w:p>
        </w:tc>
        <w:tc>
          <w:tcPr>
            <w:tcW w:w="2040" w:type="pct"/>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D</w:t>
            </w:r>
          </w:p>
        </w:tc>
      </w:tr>
      <w:tr w:rsidR="001C5ED6" w:rsidRPr="00FB311D" w:rsidTr="00572138">
        <w:trPr>
          <w:tblCellSpacing w:w="15" w:type="dxa"/>
        </w:trPr>
        <w:tc>
          <w:tcPr>
            <w:tcW w:w="1125" w:type="pct"/>
            <w:gridSpan w:val="2"/>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 xml:space="preserve">Attiecīgā ES tiesību akta panta numurs (uzskaitot katru tiesību akta </w:t>
            </w:r>
            <w:r w:rsidRPr="00FB311D">
              <w:rPr>
                <w:sz w:val="26"/>
                <w:szCs w:val="26"/>
              </w:rPr>
              <w:br/>
              <w:t>vienību – pantu, daļu, punktu, apakšpunktu)</w:t>
            </w:r>
          </w:p>
        </w:tc>
        <w:tc>
          <w:tcPr>
            <w:tcW w:w="938" w:type="pct"/>
            <w:gridSpan w:val="2"/>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Projekta vienība, kas pārņem vai ievieš katru šīs tabulas A ailē minēto ES tiesību akta vienību</w:t>
            </w:r>
          </w:p>
        </w:tc>
        <w:tc>
          <w:tcPr>
            <w:tcW w:w="813" w:type="pct"/>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Informācija par to, vai šīs tabulas A ailē minētās ES tiesību akta vienības tiek pārņemtas vai ieviestas pilnībā vai daļēji.</w:t>
            </w:r>
          </w:p>
          <w:p w:rsidR="001C5ED6" w:rsidRPr="00FB311D" w:rsidRDefault="001C5ED6" w:rsidP="00E07AC4">
            <w:pPr>
              <w:pStyle w:val="naiskr"/>
              <w:spacing w:before="0" w:after="0"/>
              <w:jc w:val="both"/>
              <w:rPr>
                <w:sz w:val="26"/>
                <w:szCs w:val="26"/>
              </w:rPr>
            </w:pPr>
            <w:r w:rsidRPr="00FB311D">
              <w:rPr>
                <w:sz w:val="26"/>
                <w:szCs w:val="26"/>
              </w:rPr>
              <w:t>Ja attiecīgā ES tiesību akta vienība tiek pārņemta vai ieviesta daļēji, – sniedz attiecīgu skaidrojumu, kā arī precīzi norāda, kad un kādā veidā ES tiesību akta vienība tiks pārņemta vai ieviesta pilnībā.</w:t>
            </w:r>
          </w:p>
          <w:p w:rsidR="001C5ED6" w:rsidRPr="00FB311D" w:rsidRDefault="001C5ED6" w:rsidP="00E07AC4">
            <w:pPr>
              <w:pStyle w:val="naiskr"/>
              <w:spacing w:before="0" w:after="0"/>
              <w:jc w:val="both"/>
              <w:rPr>
                <w:sz w:val="26"/>
                <w:szCs w:val="26"/>
              </w:rPr>
            </w:pPr>
            <w:r w:rsidRPr="00FB311D">
              <w:rPr>
                <w:sz w:val="26"/>
                <w:szCs w:val="26"/>
              </w:rPr>
              <w:t xml:space="preserve">Norāda institūciju, </w:t>
            </w:r>
            <w:r w:rsidRPr="00FB311D">
              <w:rPr>
                <w:sz w:val="26"/>
                <w:szCs w:val="26"/>
              </w:rPr>
              <w:lastRenderedPageBreak/>
              <w:t>kas ir atbildīga par šo saistību izpildi pilnībā</w:t>
            </w:r>
          </w:p>
        </w:tc>
        <w:tc>
          <w:tcPr>
            <w:tcW w:w="2040" w:type="pct"/>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lastRenderedPageBreak/>
              <w:t>Informācija par to, vai šīs tabulas B ailē minētās projekta vienības paredz stingrākas prasības nekā šīs tabulas A ailē minētās ES tiesību akta vienības.</w:t>
            </w:r>
          </w:p>
          <w:p w:rsidR="001C5ED6" w:rsidRPr="00FB311D" w:rsidRDefault="001C5ED6" w:rsidP="00E07AC4">
            <w:pPr>
              <w:pStyle w:val="naiskr"/>
              <w:spacing w:before="0" w:after="0"/>
              <w:jc w:val="both"/>
              <w:rPr>
                <w:sz w:val="26"/>
                <w:szCs w:val="26"/>
              </w:rPr>
            </w:pPr>
            <w:r w:rsidRPr="00FB311D">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FB311D">
                <w:rPr>
                  <w:sz w:val="26"/>
                  <w:szCs w:val="26"/>
                </w:rPr>
                <w:t>akts</w:t>
              </w:r>
            </w:smartTag>
            <w:r w:rsidRPr="00FB311D">
              <w:rPr>
                <w:sz w:val="26"/>
                <w:szCs w:val="26"/>
              </w:rPr>
              <w:t>, – norāda pamatojumu un samērīgumu.</w:t>
            </w:r>
          </w:p>
          <w:p w:rsidR="001C5ED6" w:rsidRPr="00FB311D" w:rsidRDefault="001C5ED6" w:rsidP="00E07AC4">
            <w:pPr>
              <w:pStyle w:val="naiskr"/>
              <w:spacing w:before="0" w:after="0"/>
              <w:jc w:val="both"/>
              <w:rPr>
                <w:sz w:val="26"/>
                <w:szCs w:val="26"/>
              </w:rPr>
            </w:pPr>
            <w:r w:rsidRPr="00FB311D">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956218" w:rsidRPr="00FB311D" w:rsidTr="00572138">
        <w:trPr>
          <w:tblCellSpacing w:w="15" w:type="dxa"/>
        </w:trPr>
        <w:tc>
          <w:tcPr>
            <w:tcW w:w="1125" w:type="pct"/>
            <w:gridSpan w:val="2"/>
            <w:shd w:val="clear" w:color="auto" w:fill="auto"/>
          </w:tcPr>
          <w:p w:rsidR="00956218" w:rsidRPr="002C504B" w:rsidRDefault="00956218" w:rsidP="00956218">
            <w:pPr>
              <w:pStyle w:val="naiskr"/>
              <w:spacing w:before="0" w:after="0"/>
              <w:jc w:val="both"/>
              <w:rPr>
                <w:sz w:val="26"/>
                <w:szCs w:val="26"/>
              </w:rPr>
            </w:pPr>
            <w:r w:rsidRPr="002C504B">
              <w:rPr>
                <w:sz w:val="26"/>
                <w:szCs w:val="26"/>
              </w:rPr>
              <w:lastRenderedPageBreak/>
              <w:t>Komisijas regulas  Nr.1407/2013, 6.panta 4.punkts</w:t>
            </w:r>
          </w:p>
        </w:tc>
        <w:tc>
          <w:tcPr>
            <w:tcW w:w="938" w:type="pct"/>
            <w:gridSpan w:val="2"/>
            <w:shd w:val="clear" w:color="auto" w:fill="auto"/>
          </w:tcPr>
          <w:p w:rsidR="00956218" w:rsidRPr="002C504B" w:rsidRDefault="00956218" w:rsidP="00572138">
            <w:pPr>
              <w:pStyle w:val="naiskr"/>
              <w:spacing w:before="0" w:after="0"/>
              <w:jc w:val="both"/>
              <w:rPr>
                <w:sz w:val="26"/>
                <w:szCs w:val="26"/>
              </w:rPr>
            </w:pPr>
            <w:r w:rsidRPr="002C504B">
              <w:rPr>
                <w:sz w:val="26"/>
                <w:szCs w:val="26"/>
              </w:rPr>
              <w:t xml:space="preserve">Noteikumu projekta </w:t>
            </w:r>
            <w:r w:rsidR="00572138">
              <w:rPr>
                <w:sz w:val="26"/>
                <w:szCs w:val="26"/>
              </w:rPr>
              <w:t>2.punkts</w:t>
            </w:r>
          </w:p>
        </w:tc>
        <w:tc>
          <w:tcPr>
            <w:tcW w:w="813" w:type="pct"/>
            <w:shd w:val="clear" w:color="auto" w:fill="auto"/>
          </w:tcPr>
          <w:p w:rsidR="00956218" w:rsidRPr="002C504B" w:rsidRDefault="00572138" w:rsidP="00E07AC4">
            <w:pPr>
              <w:pStyle w:val="naiskr"/>
              <w:spacing w:before="0" w:after="0"/>
              <w:jc w:val="both"/>
              <w:rPr>
                <w:sz w:val="26"/>
                <w:szCs w:val="26"/>
              </w:rPr>
            </w:pPr>
            <w:r>
              <w:rPr>
                <w:sz w:val="26"/>
                <w:szCs w:val="26"/>
              </w:rPr>
              <w:t>Ieviests</w:t>
            </w:r>
            <w:r w:rsidR="004D297B">
              <w:rPr>
                <w:sz w:val="26"/>
                <w:szCs w:val="26"/>
              </w:rPr>
              <w:t xml:space="preserve"> </w:t>
            </w:r>
            <w:r w:rsidR="00956218" w:rsidRPr="002C504B">
              <w:rPr>
                <w:sz w:val="26"/>
                <w:szCs w:val="26"/>
              </w:rPr>
              <w:t>pilnībā</w:t>
            </w:r>
          </w:p>
        </w:tc>
        <w:tc>
          <w:tcPr>
            <w:tcW w:w="2040" w:type="pct"/>
            <w:shd w:val="clear" w:color="auto" w:fill="auto"/>
          </w:tcPr>
          <w:p w:rsidR="00956218" w:rsidRDefault="00956218" w:rsidP="00E07AC4">
            <w:pPr>
              <w:pStyle w:val="naiskr"/>
              <w:spacing w:before="0" w:after="0"/>
              <w:jc w:val="both"/>
              <w:rPr>
                <w:sz w:val="26"/>
                <w:szCs w:val="26"/>
              </w:rPr>
            </w:pPr>
            <w:r w:rsidRPr="002C504B">
              <w:rPr>
                <w:sz w:val="26"/>
                <w:szCs w:val="26"/>
              </w:rPr>
              <w:t>Neparedz stingrākas prasības</w:t>
            </w:r>
          </w:p>
        </w:tc>
      </w:tr>
      <w:tr w:rsidR="001C5ED6" w:rsidRPr="00FB311D" w:rsidTr="00572138">
        <w:trPr>
          <w:tblCellSpacing w:w="15" w:type="dxa"/>
        </w:trPr>
        <w:tc>
          <w:tcPr>
            <w:tcW w:w="1125"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Kā ir izmantota ES tiesību aktā paredzētā rīcības brīvība dalībvalstij pārņemt vai ieviest noteiktas ES tiesību akta normas.</w:t>
            </w:r>
          </w:p>
        </w:tc>
        <w:tc>
          <w:tcPr>
            <w:tcW w:w="3825" w:type="pct"/>
            <w:gridSpan w:val="4"/>
            <w:shd w:val="clear" w:color="auto" w:fill="auto"/>
            <w:hideMark/>
          </w:tcPr>
          <w:p w:rsidR="001C5ED6" w:rsidRPr="00FB311D" w:rsidRDefault="0002596F" w:rsidP="00572138">
            <w:pPr>
              <w:autoSpaceDE w:val="0"/>
              <w:autoSpaceDN w:val="0"/>
              <w:adjustRightInd w:val="0"/>
              <w:jc w:val="both"/>
              <w:rPr>
                <w:rFonts w:eastAsia="Times New Roman"/>
                <w:sz w:val="26"/>
                <w:szCs w:val="26"/>
                <w:lang w:val="lv-LV" w:eastAsia="lv-LV"/>
              </w:rPr>
            </w:pPr>
            <w:r w:rsidRPr="0002596F">
              <w:rPr>
                <w:rFonts w:eastAsia="Times New Roman"/>
                <w:sz w:val="26"/>
                <w:szCs w:val="26"/>
                <w:lang w:val="lv-LV" w:eastAsia="lv-LV"/>
              </w:rPr>
              <w:t xml:space="preserve">Komisijas </w:t>
            </w:r>
            <w:r w:rsidR="00D96FBA">
              <w:rPr>
                <w:rFonts w:eastAsia="Times New Roman"/>
                <w:sz w:val="26"/>
                <w:szCs w:val="26"/>
                <w:lang w:val="lv-LV" w:eastAsia="lv-LV"/>
              </w:rPr>
              <w:t>r</w:t>
            </w:r>
            <w:r w:rsidR="00D96FBA" w:rsidRPr="0002596F">
              <w:rPr>
                <w:rFonts w:eastAsia="Times New Roman"/>
                <w:sz w:val="26"/>
                <w:szCs w:val="26"/>
                <w:lang w:val="lv-LV" w:eastAsia="lv-LV"/>
              </w:rPr>
              <w:t xml:space="preserve">egula </w:t>
            </w:r>
            <w:r w:rsidRPr="0002596F">
              <w:rPr>
                <w:rFonts w:eastAsia="Times New Roman"/>
                <w:sz w:val="26"/>
                <w:szCs w:val="26"/>
                <w:lang w:val="lv-LV" w:eastAsia="lv-LV"/>
              </w:rPr>
              <w:t>Nr.</w:t>
            </w:r>
            <w:r w:rsidR="00572138">
              <w:rPr>
                <w:rFonts w:eastAsia="Times New Roman"/>
                <w:sz w:val="26"/>
                <w:szCs w:val="26"/>
                <w:lang w:val="lv-LV" w:eastAsia="lv-LV"/>
              </w:rPr>
              <w:t>1407</w:t>
            </w:r>
            <w:r w:rsidRPr="0002596F">
              <w:rPr>
                <w:rFonts w:eastAsia="Times New Roman"/>
                <w:sz w:val="26"/>
                <w:szCs w:val="26"/>
                <w:lang w:val="lv-LV" w:eastAsia="lv-LV"/>
              </w:rPr>
              <w:t>/201</w:t>
            </w:r>
            <w:r w:rsidR="00572138">
              <w:rPr>
                <w:rFonts w:eastAsia="Times New Roman"/>
                <w:sz w:val="26"/>
                <w:szCs w:val="26"/>
                <w:lang w:val="lv-LV" w:eastAsia="lv-LV"/>
              </w:rPr>
              <w:t xml:space="preserve">3 </w:t>
            </w:r>
            <w:r w:rsidRPr="0002596F">
              <w:rPr>
                <w:rFonts w:eastAsia="Times New Roman"/>
                <w:sz w:val="26"/>
                <w:szCs w:val="26"/>
                <w:lang w:val="lv-LV" w:eastAsia="lv-LV"/>
              </w:rPr>
              <w:t>neparedz rīcības brīvību.</w:t>
            </w:r>
          </w:p>
        </w:tc>
      </w:tr>
      <w:tr w:rsidR="001C5ED6" w:rsidRPr="00FB311D" w:rsidTr="00572138">
        <w:trPr>
          <w:tblCellSpacing w:w="15" w:type="dxa"/>
        </w:trPr>
        <w:tc>
          <w:tcPr>
            <w:tcW w:w="1125"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5" w:type="pct"/>
            <w:gridSpan w:val="4"/>
            <w:shd w:val="clear" w:color="auto" w:fill="auto"/>
            <w:hideMark/>
          </w:tcPr>
          <w:p w:rsidR="001C5ED6" w:rsidRPr="00FB311D" w:rsidRDefault="00572138" w:rsidP="00D96FBA">
            <w:pPr>
              <w:jc w:val="both"/>
              <w:rPr>
                <w:rFonts w:eastAsia="Times New Roman"/>
                <w:sz w:val="26"/>
                <w:szCs w:val="26"/>
                <w:lang w:val="lv-LV" w:eastAsia="lv-LV"/>
              </w:rPr>
            </w:pPr>
            <w:r>
              <w:rPr>
                <w:rFonts w:eastAsia="Times New Roman"/>
                <w:sz w:val="26"/>
                <w:szCs w:val="26"/>
                <w:lang w:val="lv-LV" w:eastAsia="lv-LV"/>
              </w:rPr>
              <w:t>Projekts šo jomu neskar.</w:t>
            </w:r>
          </w:p>
        </w:tc>
      </w:tr>
      <w:tr w:rsidR="001C5ED6" w:rsidRPr="00FB311D" w:rsidTr="00572138">
        <w:trPr>
          <w:tblCellSpacing w:w="15" w:type="dxa"/>
        </w:trPr>
        <w:tc>
          <w:tcPr>
            <w:tcW w:w="1125"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825" w:type="pct"/>
            <w:gridSpan w:val="4"/>
            <w:shd w:val="clear" w:color="auto" w:fill="auto"/>
            <w:hideMark/>
          </w:tcPr>
          <w:p w:rsidR="001C5ED6" w:rsidRPr="00FB311D" w:rsidRDefault="001C5ED6" w:rsidP="00E07AC4">
            <w:pPr>
              <w:jc w:val="both"/>
              <w:rPr>
                <w:rFonts w:eastAsia="Times New Roman"/>
                <w:sz w:val="26"/>
                <w:szCs w:val="26"/>
                <w:lang w:val="lv-LV" w:eastAsia="lv-LV"/>
              </w:rPr>
            </w:pPr>
            <w:r>
              <w:rPr>
                <w:rFonts w:eastAsia="Times New Roman"/>
                <w:sz w:val="26"/>
                <w:szCs w:val="26"/>
                <w:lang w:val="lv-LV" w:eastAsia="lv-LV"/>
              </w:rPr>
              <w:t>Nav</w:t>
            </w:r>
          </w:p>
        </w:tc>
      </w:tr>
    </w:tbl>
    <w:p w:rsidR="008D4F09" w:rsidRDefault="008D4F09"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 xml:space="preserve">Plānotās sabiedrības līdzdalības un komunikācijas </w:t>
            </w:r>
            <w:r w:rsidRPr="004D3ABB">
              <w:rPr>
                <w:sz w:val="26"/>
                <w:szCs w:val="26"/>
                <w:lang w:val="lv-LV"/>
              </w:rPr>
              <w:lastRenderedPageBreak/>
              <w:t>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C504B" w:rsidP="0028431A">
            <w:pPr>
              <w:ind w:firstLine="530"/>
              <w:jc w:val="both"/>
              <w:rPr>
                <w:sz w:val="26"/>
                <w:szCs w:val="26"/>
                <w:lang w:val="lv-LV"/>
              </w:rPr>
            </w:pPr>
            <w:r>
              <w:rPr>
                <w:sz w:val="26"/>
                <w:szCs w:val="26"/>
                <w:lang w:val="lv-LV"/>
              </w:rPr>
              <w:lastRenderedPageBreak/>
              <w:t>Sabiedrības līdzdalības un komunikāci</w:t>
            </w:r>
            <w:r w:rsidR="00572138">
              <w:rPr>
                <w:sz w:val="26"/>
                <w:szCs w:val="26"/>
                <w:lang w:val="lv-LV"/>
              </w:rPr>
              <w:t>jas aktivitātes nav paredzētas.</w:t>
            </w:r>
          </w:p>
        </w:tc>
      </w:tr>
      <w:tr w:rsidR="004D3ABB"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lastRenderedPageBreak/>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C504B" w:rsidRDefault="002C504B" w:rsidP="0028431A">
            <w:pPr>
              <w:ind w:firstLine="530"/>
              <w:jc w:val="both"/>
              <w:rPr>
                <w:sz w:val="26"/>
                <w:szCs w:val="26"/>
                <w:lang w:val="lv-LV"/>
              </w:rPr>
            </w:pPr>
            <w:r>
              <w:rPr>
                <w:sz w:val="26"/>
                <w:szCs w:val="26"/>
                <w:lang w:val="lv-LV"/>
              </w:rPr>
              <w:t>Sabiedrības līdzdalība noteikumu projekta izstrādē netika paredzēta.</w:t>
            </w:r>
          </w:p>
          <w:p w:rsidR="004D3ABB" w:rsidRPr="004D3ABB" w:rsidRDefault="00C72945" w:rsidP="0028431A">
            <w:pPr>
              <w:ind w:firstLine="530"/>
              <w:jc w:val="both"/>
              <w:rPr>
                <w:sz w:val="26"/>
                <w:szCs w:val="26"/>
                <w:lang w:val="lv-LV"/>
              </w:rPr>
            </w:pPr>
            <w:r w:rsidRPr="004D3ABB">
              <w:rPr>
                <w:sz w:val="26"/>
                <w:szCs w:val="26"/>
                <w:lang w:val="lv-LV"/>
              </w:rPr>
              <w:t>Grozījumi ir labvēlīg</w:t>
            </w:r>
            <w:r>
              <w:rPr>
                <w:sz w:val="26"/>
                <w:szCs w:val="26"/>
                <w:lang w:val="lv-LV"/>
              </w:rPr>
              <w:t xml:space="preserve">i </w:t>
            </w:r>
            <w:r w:rsidRPr="004D3ABB">
              <w:rPr>
                <w:sz w:val="26"/>
                <w:szCs w:val="26"/>
                <w:lang w:val="lv-LV"/>
              </w:rPr>
              <w:t xml:space="preserve">saimnieciskās darbības veicējiem, jo </w:t>
            </w:r>
            <w:r>
              <w:rPr>
                <w:sz w:val="26"/>
                <w:szCs w:val="26"/>
                <w:lang w:val="lv-LV"/>
              </w:rPr>
              <w:t xml:space="preserve">pagarina </w:t>
            </w:r>
            <w:r w:rsidR="002C504B">
              <w:rPr>
                <w:sz w:val="26"/>
                <w:szCs w:val="26"/>
                <w:lang w:val="lv-LV"/>
              </w:rPr>
              <w:t xml:space="preserve">aizdevumu </w:t>
            </w:r>
            <w:r w:rsidR="00572138">
              <w:rPr>
                <w:sz w:val="26"/>
                <w:szCs w:val="26"/>
                <w:lang w:val="lv-LV"/>
              </w:rPr>
              <w:t>garantiju pieejamības termiņu.</w:t>
            </w:r>
          </w:p>
        </w:tc>
      </w:tr>
      <w:tr w:rsidR="004D3ABB" w:rsidRPr="00AB1A56" w:rsidTr="00291E54">
        <w:trPr>
          <w:trHeight w:val="724"/>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tcPr>
          <w:p w:rsidR="004D3ABB" w:rsidRPr="004D3ABB" w:rsidRDefault="002C504B" w:rsidP="00291E54">
            <w:pPr>
              <w:ind w:firstLine="530"/>
              <w:jc w:val="both"/>
              <w:rPr>
                <w:sz w:val="26"/>
                <w:szCs w:val="26"/>
                <w:lang w:val="lv-LV"/>
              </w:rPr>
            </w:pPr>
            <w:r>
              <w:rPr>
                <w:sz w:val="26"/>
                <w:szCs w:val="26"/>
                <w:lang w:val="lv-LV"/>
              </w:rPr>
              <w:t>Projekts šo jomu neskar.</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D07B7C">
            <w:pPr>
              <w:ind w:firstLine="530"/>
              <w:jc w:val="both"/>
              <w:rPr>
                <w:sz w:val="26"/>
                <w:szCs w:val="26"/>
                <w:lang w:val="lv-LV"/>
              </w:rPr>
            </w:pPr>
            <w:r w:rsidRPr="004D3ABB">
              <w:rPr>
                <w:sz w:val="26"/>
                <w:szCs w:val="26"/>
                <w:lang w:val="lv-LV"/>
              </w:rPr>
              <w:t>Nav</w:t>
            </w:r>
          </w:p>
        </w:tc>
      </w:tr>
    </w:tbl>
    <w:p w:rsidR="00ED4255" w:rsidRDefault="00ED4255"/>
    <w:tbl>
      <w:tblPr>
        <w:tblW w:w="894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4962"/>
      </w:tblGrid>
      <w:tr w:rsidR="00EA6CD3" w:rsidRPr="003E5A6D" w:rsidTr="00C24FC6">
        <w:trPr>
          <w:trHeight w:val="304"/>
        </w:trPr>
        <w:tc>
          <w:tcPr>
            <w:tcW w:w="8946"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4D3ABB">
            <w:pPr>
              <w:ind w:firstLine="720"/>
              <w:jc w:val="center"/>
              <w:rPr>
                <w:b/>
                <w:sz w:val="26"/>
                <w:szCs w:val="26"/>
                <w:lang w:val="lv-LV"/>
              </w:rPr>
            </w:pPr>
            <w:r w:rsidRPr="004D3ABB">
              <w:rPr>
                <w:b/>
                <w:sz w:val="26"/>
                <w:szCs w:val="26"/>
                <w:lang w:val="lv-LV"/>
              </w:rPr>
              <w:t>VII. Tiesību akta projekta izpildes nodrošināšana un tās ietekme uz institūcijām</w:t>
            </w:r>
          </w:p>
        </w:tc>
      </w:tr>
      <w:tr w:rsidR="00EA6CD3" w:rsidRPr="003E5A6D" w:rsidTr="00C24FC6">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49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28431A">
            <w:pPr>
              <w:ind w:firstLine="567"/>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 xml:space="preserve">EM un </w:t>
            </w:r>
            <w:r w:rsidR="004E6C7D">
              <w:rPr>
                <w:sz w:val="26"/>
                <w:szCs w:val="26"/>
                <w:lang w:val="lv-LV"/>
              </w:rPr>
              <w:t>Altum.</w:t>
            </w:r>
          </w:p>
        </w:tc>
      </w:tr>
      <w:tr w:rsidR="00EA6CD3" w:rsidRPr="003E5A6D" w:rsidTr="00C24FC6">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49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28431A">
            <w:pPr>
              <w:ind w:firstLine="567"/>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 xml:space="preserve">EM un </w:t>
            </w:r>
            <w:r w:rsidR="004E6C7D">
              <w:rPr>
                <w:sz w:val="26"/>
                <w:szCs w:val="26"/>
                <w:lang w:val="lv-LV"/>
              </w:rPr>
              <w:t>Altum</w:t>
            </w:r>
            <w:r w:rsidRPr="004D3ABB">
              <w:rPr>
                <w:sz w:val="26"/>
                <w:szCs w:val="26"/>
                <w:lang w:val="lv-LV"/>
              </w:rPr>
              <w:t xml:space="preserve"> esošo funkciju ietvaros.</w:t>
            </w:r>
          </w:p>
          <w:p w:rsidR="00EA6CD3" w:rsidRPr="004D3ABB" w:rsidRDefault="00EA6CD3" w:rsidP="00CB6AC4">
            <w:pPr>
              <w:ind w:firstLine="720"/>
              <w:jc w:val="both"/>
              <w:rPr>
                <w:sz w:val="26"/>
                <w:szCs w:val="26"/>
                <w:lang w:val="lv-LV"/>
              </w:rPr>
            </w:pPr>
          </w:p>
        </w:tc>
      </w:tr>
      <w:tr w:rsidR="00EA6CD3" w:rsidRPr="003E5A6D" w:rsidTr="00C24FC6">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49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EA6CD3" w:rsidRPr="004D3ABB" w:rsidRDefault="00EA6CD3" w:rsidP="00291E54">
      <w:pPr>
        <w:tabs>
          <w:tab w:val="left" w:pos="7655"/>
        </w:tabs>
        <w:spacing w:before="240" w:after="240"/>
        <w:jc w:val="both"/>
        <w:rPr>
          <w:sz w:val="26"/>
          <w:szCs w:val="26"/>
          <w:lang w:val="lv-LV"/>
        </w:rPr>
      </w:pPr>
      <w:r w:rsidRPr="004D3ABB">
        <w:rPr>
          <w:sz w:val="26"/>
          <w:szCs w:val="26"/>
          <w:lang w:val="lv-LV"/>
        </w:rPr>
        <w:t>Anotācijas III</w:t>
      </w:r>
      <w:r w:rsidR="004D3ABB" w:rsidRPr="004D3ABB">
        <w:rPr>
          <w:sz w:val="26"/>
          <w:szCs w:val="26"/>
          <w:lang w:val="lv-LV"/>
        </w:rPr>
        <w:t xml:space="preserve">. </w:t>
      </w:r>
      <w:r w:rsidR="00291E54">
        <w:rPr>
          <w:sz w:val="26"/>
          <w:szCs w:val="26"/>
          <w:lang w:val="lv-LV"/>
        </w:rPr>
        <w:t xml:space="preserve">un IV.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rsidR="004E6C7D" w:rsidRDefault="004E6C7D" w:rsidP="00EA6CD3">
      <w:pPr>
        <w:tabs>
          <w:tab w:val="right" w:pos="9072"/>
        </w:tabs>
        <w:rPr>
          <w:sz w:val="26"/>
          <w:szCs w:val="26"/>
          <w:lang w:val="lv-LV"/>
        </w:rPr>
      </w:pPr>
    </w:p>
    <w:p w:rsidR="00D07B7C" w:rsidRPr="004D3ABB" w:rsidRDefault="00D07B7C" w:rsidP="00EA6CD3">
      <w:pPr>
        <w:tabs>
          <w:tab w:val="right" w:pos="9072"/>
        </w:tabs>
        <w:rPr>
          <w:sz w:val="26"/>
          <w:szCs w:val="26"/>
          <w:lang w:val="lv-LV"/>
        </w:rPr>
      </w:pPr>
    </w:p>
    <w:p w:rsidR="00D07B7C" w:rsidRDefault="00EA6CD3" w:rsidP="00EA6CD3">
      <w:pPr>
        <w:tabs>
          <w:tab w:val="right" w:pos="9072"/>
        </w:tabs>
        <w:rPr>
          <w:sz w:val="26"/>
          <w:szCs w:val="26"/>
          <w:lang w:val="lv-LV"/>
        </w:rPr>
      </w:pPr>
      <w:r w:rsidRPr="004D3ABB">
        <w:rPr>
          <w:sz w:val="26"/>
          <w:szCs w:val="26"/>
          <w:lang w:val="lv-LV"/>
        </w:rPr>
        <w:t>Ekonomikas ministr</w:t>
      </w:r>
      <w:r w:rsidR="004D3ABB" w:rsidRPr="004D3ABB">
        <w:rPr>
          <w:sz w:val="26"/>
          <w:szCs w:val="26"/>
          <w:lang w:val="lv-LV"/>
        </w:rPr>
        <w:t>e</w:t>
      </w:r>
      <w:r w:rsidR="00D07B7C">
        <w:rPr>
          <w:sz w:val="26"/>
          <w:szCs w:val="26"/>
          <w:lang w:val="lv-LV"/>
        </w:rPr>
        <w:t>s pienākumu izpildītājs,</w:t>
      </w:r>
    </w:p>
    <w:p w:rsidR="00EA6CD3" w:rsidRPr="004D3ABB" w:rsidRDefault="00D07B7C" w:rsidP="00EA6CD3">
      <w:pPr>
        <w:tabs>
          <w:tab w:val="right" w:pos="9072"/>
        </w:tabs>
        <w:rPr>
          <w:sz w:val="26"/>
          <w:szCs w:val="26"/>
          <w:lang w:val="lv-LV"/>
        </w:rPr>
      </w:pPr>
      <w:r>
        <w:rPr>
          <w:sz w:val="26"/>
          <w:szCs w:val="26"/>
          <w:lang w:val="lv-LV"/>
        </w:rPr>
        <w:t>Aizsardzības ministrs</w:t>
      </w:r>
      <w:r w:rsidR="00EA6CD3" w:rsidRPr="004D3ABB">
        <w:rPr>
          <w:sz w:val="26"/>
          <w:szCs w:val="26"/>
          <w:lang w:val="lv-LV"/>
        </w:rPr>
        <w:tab/>
      </w:r>
      <w:r>
        <w:rPr>
          <w:sz w:val="26"/>
          <w:szCs w:val="26"/>
          <w:lang w:val="lv-LV"/>
        </w:rPr>
        <w:t>R.Bergmanis</w:t>
      </w:r>
      <w:r w:rsidR="00EA6CD3" w:rsidRPr="004D3ABB">
        <w:rPr>
          <w:sz w:val="26"/>
          <w:szCs w:val="26"/>
          <w:lang w:val="lv-LV"/>
        </w:rPr>
        <w:tab/>
      </w:r>
      <w:r w:rsidR="00EA6CD3" w:rsidRPr="004D3ABB">
        <w:rPr>
          <w:sz w:val="26"/>
          <w:szCs w:val="26"/>
          <w:lang w:val="lv-LV"/>
        </w:rPr>
        <w:tab/>
      </w:r>
      <w:r w:rsidR="00EA6CD3" w:rsidRPr="004D3ABB">
        <w:rPr>
          <w:sz w:val="26"/>
          <w:szCs w:val="26"/>
          <w:lang w:val="lv-LV"/>
        </w:rPr>
        <w:tab/>
      </w:r>
      <w:r w:rsidR="00EA6CD3" w:rsidRPr="004D3ABB">
        <w:rPr>
          <w:sz w:val="26"/>
          <w:szCs w:val="26"/>
          <w:lang w:val="lv-LV"/>
        </w:rPr>
        <w:tab/>
      </w:r>
    </w:p>
    <w:p w:rsidR="00D07B7C" w:rsidRDefault="00D07B7C" w:rsidP="00EA6CD3">
      <w:pPr>
        <w:tabs>
          <w:tab w:val="right" w:pos="9072"/>
        </w:tabs>
        <w:rPr>
          <w:sz w:val="26"/>
          <w:szCs w:val="26"/>
          <w:lang w:val="lv-LV"/>
        </w:rPr>
      </w:pPr>
    </w:p>
    <w:p w:rsidR="00D07B7C" w:rsidRPr="004D3ABB" w:rsidRDefault="00D07B7C" w:rsidP="00EA6CD3">
      <w:pPr>
        <w:tabs>
          <w:tab w:val="right" w:pos="9072"/>
        </w:tabs>
        <w:rPr>
          <w:sz w:val="26"/>
          <w:szCs w:val="26"/>
          <w:lang w:val="lv-LV"/>
        </w:rPr>
      </w:pPr>
    </w:p>
    <w:p w:rsidR="00291E54" w:rsidRDefault="002D6BDB" w:rsidP="00807802">
      <w:pPr>
        <w:tabs>
          <w:tab w:val="right" w:pos="9071"/>
        </w:tabs>
        <w:jc w:val="both"/>
        <w:rPr>
          <w:rFonts w:eastAsia="Times New Roman"/>
          <w:sz w:val="26"/>
          <w:szCs w:val="26"/>
          <w:lang w:val="lv-LV" w:eastAsia="ja-JP"/>
        </w:rPr>
      </w:pPr>
      <w:r w:rsidRPr="002D6BDB">
        <w:rPr>
          <w:rFonts w:eastAsia="Times New Roman"/>
          <w:sz w:val="26"/>
          <w:szCs w:val="26"/>
          <w:lang w:val="lv-LV" w:eastAsia="ja-JP"/>
        </w:rPr>
        <w:t>Vīza: Valsts sekretār</w:t>
      </w:r>
      <w:r w:rsidR="00291E54">
        <w:rPr>
          <w:rFonts w:eastAsia="Times New Roman"/>
          <w:sz w:val="26"/>
          <w:szCs w:val="26"/>
          <w:lang w:val="lv-LV" w:eastAsia="ja-JP"/>
        </w:rPr>
        <w:t>a pienākumu izpildītājs,</w:t>
      </w:r>
    </w:p>
    <w:p w:rsidR="002D6BDB" w:rsidRPr="002D6BDB" w:rsidRDefault="00291E54" w:rsidP="00807802">
      <w:pPr>
        <w:tabs>
          <w:tab w:val="right" w:pos="9071"/>
        </w:tabs>
        <w:jc w:val="both"/>
        <w:rPr>
          <w:rFonts w:eastAsia="Times New Roman"/>
          <w:sz w:val="26"/>
          <w:szCs w:val="26"/>
          <w:lang w:val="lv-LV" w:eastAsia="ja-JP"/>
        </w:rPr>
      </w:pPr>
      <w:r>
        <w:rPr>
          <w:rFonts w:eastAsia="Times New Roman"/>
          <w:sz w:val="26"/>
          <w:szCs w:val="26"/>
          <w:lang w:val="lv-LV" w:eastAsia="ja-JP"/>
        </w:rPr>
        <w:t>valsts sekretāra vietnieks</w:t>
      </w:r>
      <w:r w:rsidR="002D6BDB" w:rsidRPr="002D6BDB">
        <w:rPr>
          <w:rFonts w:eastAsia="Times New Roman"/>
          <w:sz w:val="26"/>
          <w:szCs w:val="26"/>
          <w:lang w:val="lv-LV" w:eastAsia="ja-JP"/>
        </w:rPr>
        <w:tab/>
      </w:r>
      <w:r>
        <w:rPr>
          <w:rFonts w:eastAsia="Times New Roman"/>
          <w:sz w:val="26"/>
          <w:szCs w:val="26"/>
          <w:lang w:val="lv-LV" w:eastAsia="ja-JP"/>
        </w:rPr>
        <w:t>J.Spiridonovs</w:t>
      </w:r>
    </w:p>
    <w:p w:rsidR="002C504B" w:rsidRDefault="002C504B" w:rsidP="00EA6CD3">
      <w:pPr>
        <w:jc w:val="both"/>
        <w:rPr>
          <w:sz w:val="18"/>
          <w:szCs w:val="18"/>
          <w:lang w:val="lv-LV"/>
        </w:rPr>
      </w:pPr>
    </w:p>
    <w:p w:rsidR="00F327A8" w:rsidRDefault="00F327A8" w:rsidP="00EA6CD3">
      <w:pPr>
        <w:jc w:val="both"/>
        <w:rPr>
          <w:sz w:val="18"/>
          <w:szCs w:val="18"/>
          <w:lang w:val="lv-LV"/>
        </w:rPr>
      </w:pPr>
    </w:p>
    <w:p w:rsidR="00F327A8" w:rsidRDefault="00F327A8" w:rsidP="00EA6CD3">
      <w:pPr>
        <w:jc w:val="both"/>
        <w:rPr>
          <w:sz w:val="18"/>
          <w:szCs w:val="18"/>
          <w:lang w:val="lv-LV"/>
        </w:rPr>
      </w:pPr>
    </w:p>
    <w:p w:rsidR="00D07B7C" w:rsidRDefault="00D07B7C" w:rsidP="00EA6CD3">
      <w:pPr>
        <w:jc w:val="both"/>
        <w:rPr>
          <w:sz w:val="18"/>
          <w:szCs w:val="18"/>
          <w:lang w:val="lv-LV"/>
        </w:rPr>
      </w:pPr>
    </w:p>
    <w:p w:rsidR="00D07B7C" w:rsidRDefault="00D07B7C" w:rsidP="00EA6CD3">
      <w:pPr>
        <w:jc w:val="both"/>
        <w:rPr>
          <w:sz w:val="18"/>
          <w:szCs w:val="18"/>
          <w:lang w:val="lv-LV"/>
        </w:rPr>
      </w:pPr>
    </w:p>
    <w:p w:rsidR="00D07B7C" w:rsidRDefault="00D07B7C" w:rsidP="00EA6CD3">
      <w:pPr>
        <w:jc w:val="both"/>
        <w:rPr>
          <w:sz w:val="18"/>
          <w:szCs w:val="18"/>
          <w:lang w:val="lv-LV"/>
        </w:rPr>
      </w:pPr>
    </w:p>
    <w:p w:rsidR="00D07B7C" w:rsidRDefault="00D07B7C" w:rsidP="00EA6CD3">
      <w:pPr>
        <w:jc w:val="both"/>
        <w:rPr>
          <w:sz w:val="18"/>
          <w:szCs w:val="18"/>
          <w:lang w:val="lv-LV"/>
        </w:rPr>
      </w:pPr>
    </w:p>
    <w:p w:rsidR="00D07B7C" w:rsidRDefault="00D07B7C" w:rsidP="00EA6CD3">
      <w:pPr>
        <w:jc w:val="both"/>
        <w:rPr>
          <w:sz w:val="18"/>
          <w:szCs w:val="18"/>
          <w:lang w:val="lv-LV"/>
        </w:rPr>
      </w:pPr>
    </w:p>
    <w:p w:rsidR="00D07B7C" w:rsidRDefault="00D07B7C" w:rsidP="00EA6CD3">
      <w:pPr>
        <w:jc w:val="both"/>
        <w:rPr>
          <w:sz w:val="18"/>
          <w:szCs w:val="18"/>
          <w:lang w:val="lv-LV"/>
        </w:rPr>
      </w:pPr>
    </w:p>
    <w:p w:rsidR="00EA6CD3" w:rsidRPr="008615B4" w:rsidRDefault="008615B4" w:rsidP="00EA6CD3">
      <w:pPr>
        <w:jc w:val="both"/>
        <w:rPr>
          <w:sz w:val="18"/>
          <w:szCs w:val="18"/>
          <w:lang w:val="lv-LV"/>
        </w:rPr>
      </w:pPr>
      <w:r>
        <w:rPr>
          <w:sz w:val="18"/>
          <w:szCs w:val="18"/>
          <w:lang w:val="lv-LV"/>
        </w:rPr>
        <w:t>2</w:t>
      </w:r>
      <w:r w:rsidR="00D07B7C">
        <w:rPr>
          <w:sz w:val="18"/>
          <w:szCs w:val="18"/>
          <w:lang w:val="lv-LV"/>
        </w:rPr>
        <w:t>9</w:t>
      </w:r>
      <w:r w:rsidR="004E6C7D" w:rsidRPr="008615B4">
        <w:rPr>
          <w:sz w:val="18"/>
          <w:szCs w:val="18"/>
          <w:lang w:val="lv-LV"/>
        </w:rPr>
        <w:t>.</w:t>
      </w:r>
      <w:r w:rsidR="00572138" w:rsidRPr="008615B4">
        <w:rPr>
          <w:sz w:val="18"/>
          <w:szCs w:val="18"/>
          <w:lang w:val="lv-LV"/>
        </w:rPr>
        <w:t>12</w:t>
      </w:r>
      <w:r w:rsidR="00807802" w:rsidRPr="008615B4">
        <w:rPr>
          <w:sz w:val="18"/>
          <w:szCs w:val="18"/>
          <w:lang w:val="lv-LV"/>
        </w:rPr>
        <w:t>.2015</w:t>
      </w:r>
      <w:r w:rsidR="00026F18" w:rsidRPr="008615B4">
        <w:rPr>
          <w:sz w:val="18"/>
          <w:szCs w:val="18"/>
          <w:lang w:val="lv-LV"/>
        </w:rPr>
        <w:t xml:space="preserve">. </w:t>
      </w:r>
      <w:r w:rsidR="00D07B7C">
        <w:rPr>
          <w:sz w:val="18"/>
          <w:szCs w:val="18"/>
          <w:lang w:val="lv-LV"/>
        </w:rPr>
        <w:t>13:39</w:t>
      </w:r>
      <w:bookmarkStart w:id="8" w:name="_GoBack"/>
      <w:bookmarkEnd w:id="8"/>
    </w:p>
    <w:p w:rsidR="00D04299" w:rsidRPr="008615B4" w:rsidRDefault="00F327A8" w:rsidP="00EA6CD3">
      <w:pPr>
        <w:jc w:val="both"/>
        <w:rPr>
          <w:color w:val="000000"/>
          <w:sz w:val="18"/>
          <w:szCs w:val="18"/>
          <w:lang w:val="lv-LV"/>
        </w:rPr>
      </w:pPr>
      <w:r>
        <w:rPr>
          <w:color w:val="000000"/>
          <w:sz w:val="18"/>
          <w:szCs w:val="18"/>
          <w:lang w:val="lv-LV"/>
        </w:rPr>
        <w:t>1</w:t>
      </w:r>
      <w:r w:rsidR="004409C0">
        <w:rPr>
          <w:color w:val="000000"/>
          <w:sz w:val="18"/>
          <w:szCs w:val="18"/>
          <w:lang w:val="lv-LV"/>
        </w:rPr>
        <w:t>80</w:t>
      </w:r>
      <w:r w:rsidR="00D07B7C">
        <w:rPr>
          <w:color w:val="000000"/>
          <w:sz w:val="18"/>
          <w:szCs w:val="18"/>
          <w:lang w:val="lv-LV"/>
        </w:rPr>
        <w:t>8</w:t>
      </w:r>
    </w:p>
    <w:p w:rsidR="00EA6CD3" w:rsidRPr="008615B4" w:rsidRDefault="00EA6CD3" w:rsidP="00EA6CD3">
      <w:pPr>
        <w:jc w:val="both"/>
        <w:rPr>
          <w:color w:val="000000"/>
          <w:sz w:val="18"/>
          <w:szCs w:val="18"/>
          <w:lang w:val="lv-LV"/>
        </w:rPr>
      </w:pPr>
      <w:r w:rsidRPr="008615B4">
        <w:rPr>
          <w:color w:val="000000"/>
          <w:sz w:val="18"/>
          <w:szCs w:val="18"/>
          <w:lang w:val="lv-LV"/>
        </w:rPr>
        <w:t>A.Nicmane</w:t>
      </w:r>
    </w:p>
    <w:p w:rsidR="00EA6CD3" w:rsidRPr="008615B4" w:rsidRDefault="00EA6CD3" w:rsidP="00EA6CD3">
      <w:pPr>
        <w:jc w:val="both"/>
        <w:rPr>
          <w:color w:val="000000"/>
          <w:sz w:val="18"/>
          <w:szCs w:val="18"/>
          <w:lang w:val="lv-LV"/>
        </w:rPr>
      </w:pPr>
      <w:r w:rsidRPr="008615B4">
        <w:rPr>
          <w:sz w:val="18"/>
          <w:szCs w:val="18"/>
          <w:lang w:val="lv-LV"/>
        </w:rPr>
        <w:t>67013203,</w:t>
      </w:r>
      <w:r w:rsidR="00D04299" w:rsidRPr="008615B4">
        <w:rPr>
          <w:sz w:val="18"/>
          <w:szCs w:val="18"/>
          <w:lang w:val="lv-LV"/>
        </w:rPr>
        <w:t xml:space="preserve"> </w:t>
      </w:r>
      <w:r w:rsidRPr="008615B4">
        <w:rPr>
          <w:sz w:val="18"/>
          <w:szCs w:val="18"/>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8F" w:rsidRDefault="00DD278F" w:rsidP="006B2FEF">
      <w:r>
        <w:separator/>
      </w:r>
    </w:p>
  </w:endnote>
  <w:endnote w:type="continuationSeparator" w:id="0">
    <w:p w:rsidR="00DD278F" w:rsidRDefault="00DD278F"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F" w:rsidRPr="00E7567F" w:rsidRDefault="00DD278F" w:rsidP="00E7567F">
    <w:pPr>
      <w:pStyle w:val="Footer"/>
      <w:jc w:val="both"/>
    </w:pPr>
    <w:r>
      <w:rPr>
        <w:rFonts w:eastAsia="Times New Roman"/>
        <w:lang w:val="lv-LV" w:eastAsia="lv-LV"/>
      </w:rPr>
      <w:t>EMANOT_</w:t>
    </w:r>
    <w:r w:rsidR="00291E54">
      <w:rPr>
        <w:rFonts w:eastAsia="Times New Roman"/>
        <w:lang w:val="lv-LV" w:eastAsia="lv-LV"/>
      </w:rPr>
      <w:t>2</w:t>
    </w:r>
    <w:r w:rsidR="00D07B7C">
      <w:rPr>
        <w:rFonts w:eastAsia="Times New Roman"/>
        <w:lang w:val="lv-LV" w:eastAsia="lv-LV"/>
      </w:rPr>
      <w:t>9</w:t>
    </w:r>
    <w:r w:rsidR="00572138">
      <w:rPr>
        <w:rFonts w:eastAsia="Times New Roman"/>
        <w:lang w:val="lv-LV" w:eastAsia="lv-LV"/>
      </w:rPr>
      <w:t>1215</w:t>
    </w:r>
    <w:r w:rsidRPr="00720501">
      <w:rPr>
        <w:rFonts w:eastAsia="Times New Roman"/>
        <w:lang w:val="lv-LV" w:eastAsia="lv-LV"/>
      </w:rPr>
      <w:t>_</w:t>
    </w:r>
    <w:r w:rsidR="00572138">
      <w:rPr>
        <w:rFonts w:eastAsia="Times New Roman"/>
        <w:lang w:val="lv-LV" w:eastAsia="lv-LV"/>
      </w:rPr>
      <w:t>GROZ997</w:t>
    </w:r>
    <w:r w:rsidRPr="00720501">
      <w:rPr>
        <w:rFonts w:eastAsia="Times New Roman"/>
        <w:lang w:val="lv-LV" w:eastAsia="lv-LV"/>
      </w:rPr>
      <w:t xml:space="preserve">; </w:t>
    </w:r>
    <w:r w:rsidRPr="004F593F">
      <w:rPr>
        <w:rFonts w:eastAsia="Times New Roman"/>
        <w:lang w:val="lv-LV" w:eastAsia="lv-LV"/>
      </w:rPr>
      <w:t>Ministru kabineta noteikumu projekta “Grozījumi Ministru kabineta 2010.gada 26.oktobra noteikumos Nr.997 „Noteikumi par garantijām komersantu un atbilstošu lauksaimniecības pakalpojumu kooperatīvo sabiedrību konkurētspējas uzlabošanai”</w:t>
    </w:r>
    <w:r w:rsidR="00D07B7C">
      <w:rPr>
        <w:rFonts w:eastAsia="Times New Roman"/>
        <w:lang w:val="lv-LV" w:eastAsia="lv-LV"/>
      </w:rPr>
      <w:t>”</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F" w:rsidRPr="0047031A" w:rsidRDefault="00DD278F" w:rsidP="0047031A">
    <w:pPr>
      <w:pStyle w:val="Footer"/>
      <w:jc w:val="both"/>
    </w:pPr>
    <w:r>
      <w:rPr>
        <w:rFonts w:eastAsia="Times New Roman"/>
        <w:lang w:val="lv-LV" w:eastAsia="lv-LV"/>
      </w:rPr>
      <w:t>EMANOT_</w:t>
    </w:r>
    <w:r w:rsidR="00291E54">
      <w:rPr>
        <w:rFonts w:eastAsia="Times New Roman"/>
        <w:lang w:val="lv-LV" w:eastAsia="lv-LV"/>
      </w:rPr>
      <w:t>2</w:t>
    </w:r>
    <w:r w:rsidR="00D07B7C">
      <w:rPr>
        <w:rFonts w:eastAsia="Times New Roman"/>
        <w:lang w:val="lv-LV" w:eastAsia="lv-LV"/>
      </w:rPr>
      <w:t>9</w:t>
    </w:r>
    <w:r w:rsidR="00572138">
      <w:rPr>
        <w:rFonts w:eastAsia="Times New Roman"/>
        <w:lang w:val="lv-LV" w:eastAsia="lv-LV"/>
      </w:rPr>
      <w:t>1215</w:t>
    </w:r>
    <w:r w:rsidRPr="00720501">
      <w:rPr>
        <w:rFonts w:eastAsia="Times New Roman"/>
        <w:lang w:val="lv-LV" w:eastAsia="lv-LV"/>
      </w:rPr>
      <w:t>_</w:t>
    </w:r>
    <w:r w:rsidR="00572138">
      <w:rPr>
        <w:rFonts w:eastAsia="Times New Roman"/>
        <w:lang w:val="lv-LV" w:eastAsia="lv-LV"/>
      </w:rPr>
      <w:t>GROZ997</w:t>
    </w:r>
    <w:r w:rsidRPr="00720501">
      <w:rPr>
        <w:rFonts w:eastAsia="Times New Roman"/>
        <w:lang w:val="lv-LV" w:eastAsia="lv-LV"/>
      </w:rPr>
      <w:t xml:space="preserve">; </w:t>
    </w:r>
    <w:r w:rsidRPr="004F593F">
      <w:rPr>
        <w:rFonts w:eastAsia="Times New Roman"/>
        <w:lang w:val="lv-LV" w:eastAsia="lv-LV"/>
      </w:rPr>
      <w:t>Ministru kabineta noteikumu projekta “Grozījumi Ministru kabineta 2010.gada 26.oktobra noteikumos Nr.997 „Noteikumi par garantijām komersantu un atbilstošu lauksaimniecības pakalpojumu kooperatīvo sabiedrību konkurētspējas uzlabošanai”</w:t>
    </w:r>
    <w:r w:rsidR="00D07B7C">
      <w:rPr>
        <w:rFonts w:eastAsia="Times New Roman"/>
        <w:lang w:val="lv-LV" w:eastAsia="lv-LV"/>
      </w:rPr>
      <w:t>”</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8F" w:rsidRDefault="00DD278F" w:rsidP="006B2FEF">
      <w:r>
        <w:separator/>
      </w:r>
    </w:p>
  </w:footnote>
  <w:footnote w:type="continuationSeparator" w:id="0">
    <w:p w:rsidR="00DD278F" w:rsidRDefault="00DD278F"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DD278F" w:rsidRPr="00B014C2" w:rsidRDefault="00DD278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D07B7C">
          <w:rPr>
            <w:noProof/>
            <w:sz w:val="24"/>
            <w:szCs w:val="24"/>
          </w:rPr>
          <w:t>8</w:t>
        </w:r>
        <w:r w:rsidRPr="00B014C2">
          <w:rPr>
            <w:sz w:val="24"/>
            <w:szCs w:val="24"/>
          </w:rPr>
          <w:fldChar w:fldCharType="end"/>
        </w:r>
      </w:p>
    </w:sdtContent>
  </w:sdt>
  <w:p w:rsidR="00DD278F" w:rsidRDefault="00DD2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48081D19"/>
    <w:multiLevelType w:val="hybridMultilevel"/>
    <w:tmpl w:val="FE32613E"/>
    <w:lvl w:ilvl="0" w:tplc="27D20B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B61"/>
    <w:rsid w:val="0002003C"/>
    <w:rsid w:val="0002596F"/>
    <w:rsid w:val="00026F18"/>
    <w:rsid w:val="0003245D"/>
    <w:rsid w:val="00047095"/>
    <w:rsid w:val="000527A4"/>
    <w:rsid w:val="000678CD"/>
    <w:rsid w:val="00071082"/>
    <w:rsid w:val="00072B02"/>
    <w:rsid w:val="0007330D"/>
    <w:rsid w:val="00074090"/>
    <w:rsid w:val="00080352"/>
    <w:rsid w:val="0009324B"/>
    <w:rsid w:val="00094B1E"/>
    <w:rsid w:val="00095280"/>
    <w:rsid w:val="00096060"/>
    <w:rsid w:val="000964C6"/>
    <w:rsid w:val="000B2C54"/>
    <w:rsid w:val="000B3449"/>
    <w:rsid w:val="000B492B"/>
    <w:rsid w:val="000C33C1"/>
    <w:rsid w:val="000D3D56"/>
    <w:rsid w:val="000D43D9"/>
    <w:rsid w:val="000D74B9"/>
    <w:rsid w:val="000E53C3"/>
    <w:rsid w:val="00102922"/>
    <w:rsid w:val="00102B1D"/>
    <w:rsid w:val="00145366"/>
    <w:rsid w:val="001655DD"/>
    <w:rsid w:val="00165747"/>
    <w:rsid w:val="00166A8B"/>
    <w:rsid w:val="00172082"/>
    <w:rsid w:val="00177882"/>
    <w:rsid w:val="00180E2B"/>
    <w:rsid w:val="00183B65"/>
    <w:rsid w:val="00186A4D"/>
    <w:rsid w:val="00187140"/>
    <w:rsid w:val="001935C8"/>
    <w:rsid w:val="001A3ED2"/>
    <w:rsid w:val="001A7C3A"/>
    <w:rsid w:val="001C0801"/>
    <w:rsid w:val="001C5ED6"/>
    <w:rsid w:val="001C68A2"/>
    <w:rsid w:val="001D0800"/>
    <w:rsid w:val="001D7DC1"/>
    <w:rsid w:val="001F20D0"/>
    <w:rsid w:val="001F2BA2"/>
    <w:rsid w:val="001F7AAD"/>
    <w:rsid w:val="0020468C"/>
    <w:rsid w:val="00215C6A"/>
    <w:rsid w:val="00217F5B"/>
    <w:rsid w:val="002267E7"/>
    <w:rsid w:val="00237878"/>
    <w:rsid w:val="0025023B"/>
    <w:rsid w:val="002504C9"/>
    <w:rsid w:val="00254901"/>
    <w:rsid w:val="00255BAC"/>
    <w:rsid w:val="00261B97"/>
    <w:rsid w:val="002651EA"/>
    <w:rsid w:val="0028431A"/>
    <w:rsid w:val="00291E54"/>
    <w:rsid w:val="002A0435"/>
    <w:rsid w:val="002A0BC1"/>
    <w:rsid w:val="002A166A"/>
    <w:rsid w:val="002A6400"/>
    <w:rsid w:val="002B3EAE"/>
    <w:rsid w:val="002B4900"/>
    <w:rsid w:val="002B6364"/>
    <w:rsid w:val="002B7F82"/>
    <w:rsid w:val="002C15A0"/>
    <w:rsid w:val="002C504B"/>
    <w:rsid w:val="002D6A10"/>
    <w:rsid w:val="002D6BDB"/>
    <w:rsid w:val="002E1075"/>
    <w:rsid w:val="002E678E"/>
    <w:rsid w:val="002E708A"/>
    <w:rsid w:val="002F741D"/>
    <w:rsid w:val="00300F28"/>
    <w:rsid w:val="00304810"/>
    <w:rsid w:val="003061FB"/>
    <w:rsid w:val="0031259B"/>
    <w:rsid w:val="003176D3"/>
    <w:rsid w:val="003228DE"/>
    <w:rsid w:val="00326096"/>
    <w:rsid w:val="003334FB"/>
    <w:rsid w:val="0033779C"/>
    <w:rsid w:val="00337AC6"/>
    <w:rsid w:val="00346CE0"/>
    <w:rsid w:val="00354ABE"/>
    <w:rsid w:val="00366AFE"/>
    <w:rsid w:val="00366DD3"/>
    <w:rsid w:val="00367B98"/>
    <w:rsid w:val="00374F73"/>
    <w:rsid w:val="00375F30"/>
    <w:rsid w:val="00380AC5"/>
    <w:rsid w:val="003814A5"/>
    <w:rsid w:val="00382AF7"/>
    <w:rsid w:val="00387734"/>
    <w:rsid w:val="003913FB"/>
    <w:rsid w:val="00392998"/>
    <w:rsid w:val="00395460"/>
    <w:rsid w:val="00396152"/>
    <w:rsid w:val="003A24AD"/>
    <w:rsid w:val="003A40AD"/>
    <w:rsid w:val="003B32EC"/>
    <w:rsid w:val="003B5F6A"/>
    <w:rsid w:val="003B63BE"/>
    <w:rsid w:val="003C2D2B"/>
    <w:rsid w:val="003C3D3D"/>
    <w:rsid w:val="003D1A86"/>
    <w:rsid w:val="003E171B"/>
    <w:rsid w:val="003E4132"/>
    <w:rsid w:val="003E58C7"/>
    <w:rsid w:val="003E5A6D"/>
    <w:rsid w:val="003F1218"/>
    <w:rsid w:val="003F2B20"/>
    <w:rsid w:val="003F2C34"/>
    <w:rsid w:val="003F30FC"/>
    <w:rsid w:val="004038BC"/>
    <w:rsid w:val="00404CE1"/>
    <w:rsid w:val="00415A66"/>
    <w:rsid w:val="00416A31"/>
    <w:rsid w:val="00417136"/>
    <w:rsid w:val="00423B46"/>
    <w:rsid w:val="00425AA9"/>
    <w:rsid w:val="00426250"/>
    <w:rsid w:val="00426A69"/>
    <w:rsid w:val="00426B77"/>
    <w:rsid w:val="00431019"/>
    <w:rsid w:val="004352F7"/>
    <w:rsid w:val="0043554A"/>
    <w:rsid w:val="004409C0"/>
    <w:rsid w:val="00442D1E"/>
    <w:rsid w:val="00443016"/>
    <w:rsid w:val="00445945"/>
    <w:rsid w:val="00452140"/>
    <w:rsid w:val="00453300"/>
    <w:rsid w:val="00462CBE"/>
    <w:rsid w:val="00467343"/>
    <w:rsid w:val="0047031A"/>
    <w:rsid w:val="00483B86"/>
    <w:rsid w:val="00485E47"/>
    <w:rsid w:val="00490499"/>
    <w:rsid w:val="00497AB8"/>
    <w:rsid w:val="004A5EEF"/>
    <w:rsid w:val="004B0B1D"/>
    <w:rsid w:val="004C0738"/>
    <w:rsid w:val="004C0FE6"/>
    <w:rsid w:val="004C2FC4"/>
    <w:rsid w:val="004D232B"/>
    <w:rsid w:val="004D297B"/>
    <w:rsid w:val="004D3ABB"/>
    <w:rsid w:val="004E603B"/>
    <w:rsid w:val="004E6C7D"/>
    <w:rsid w:val="004F0B1C"/>
    <w:rsid w:val="004F593F"/>
    <w:rsid w:val="0050230D"/>
    <w:rsid w:val="005116FB"/>
    <w:rsid w:val="00531AFF"/>
    <w:rsid w:val="00534305"/>
    <w:rsid w:val="005464E6"/>
    <w:rsid w:val="00546938"/>
    <w:rsid w:val="00555557"/>
    <w:rsid w:val="00567FC5"/>
    <w:rsid w:val="00571CCF"/>
    <w:rsid w:val="00572138"/>
    <w:rsid w:val="00572180"/>
    <w:rsid w:val="00572337"/>
    <w:rsid w:val="00573FFE"/>
    <w:rsid w:val="005771D5"/>
    <w:rsid w:val="00592809"/>
    <w:rsid w:val="00593343"/>
    <w:rsid w:val="00594A83"/>
    <w:rsid w:val="005A5A80"/>
    <w:rsid w:val="005B2DA5"/>
    <w:rsid w:val="005B476F"/>
    <w:rsid w:val="005B6095"/>
    <w:rsid w:val="005B65B8"/>
    <w:rsid w:val="005C3D03"/>
    <w:rsid w:val="005C63C7"/>
    <w:rsid w:val="005C6B2C"/>
    <w:rsid w:val="005D06E8"/>
    <w:rsid w:val="005D1195"/>
    <w:rsid w:val="005D688E"/>
    <w:rsid w:val="005E4164"/>
    <w:rsid w:val="005F3FC6"/>
    <w:rsid w:val="005F60EA"/>
    <w:rsid w:val="005F75C4"/>
    <w:rsid w:val="006007FE"/>
    <w:rsid w:val="00600DDD"/>
    <w:rsid w:val="00611ADA"/>
    <w:rsid w:val="00611E18"/>
    <w:rsid w:val="00614ECD"/>
    <w:rsid w:val="006231D7"/>
    <w:rsid w:val="00626031"/>
    <w:rsid w:val="00626B29"/>
    <w:rsid w:val="00630C6C"/>
    <w:rsid w:val="006373FF"/>
    <w:rsid w:val="00646A6F"/>
    <w:rsid w:val="006559F5"/>
    <w:rsid w:val="00661782"/>
    <w:rsid w:val="00672822"/>
    <w:rsid w:val="006729D2"/>
    <w:rsid w:val="00673BC6"/>
    <w:rsid w:val="006775B3"/>
    <w:rsid w:val="00683DCD"/>
    <w:rsid w:val="00684808"/>
    <w:rsid w:val="006B2FEF"/>
    <w:rsid w:val="006B6D6C"/>
    <w:rsid w:val="006C5ECD"/>
    <w:rsid w:val="006D1520"/>
    <w:rsid w:val="006D2F0C"/>
    <w:rsid w:val="006D3604"/>
    <w:rsid w:val="006E2082"/>
    <w:rsid w:val="006F2362"/>
    <w:rsid w:val="006F47EB"/>
    <w:rsid w:val="006F4DE9"/>
    <w:rsid w:val="006F71C2"/>
    <w:rsid w:val="00700AC3"/>
    <w:rsid w:val="00700E68"/>
    <w:rsid w:val="007040F2"/>
    <w:rsid w:val="007153C5"/>
    <w:rsid w:val="007161D3"/>
    <w:rsid w:val="007262F0"/>
    <w:rsid w:val="00731BE9"/>
    <w:rsid w:val="00731E2B"/>
    <w:rsid w:val="00752DBC"/>
    <w:rsid w:val="0075411D"/>
    <w:rsid w:val="00756F8A"/>
    <w:rsid w:val="00757367"/>
    <w:rsid w:val="00762675"/>
    <w:rsid w:val="00762FC8"/>
    <w:rsid w:val="0077138B"/>
    <w:rsid w:val="0077534E"/>
    <w:rsid w:val="0078045E"/>
    <w:rsid w:val="00780B70"/>
    <w:rsid w:val="00782847"/>
    <w:rsid w:val="00783777"/>
    <w:rsid w:val="00783D20"/>
    <w:rsid w:val="0079247D"/>
    <w:rsid w:val="007954D3"/>
    <w:rsid w:val="007A2F02"/>
    <w:rsid w:val="007A5C51"/>
    <w:rsid w:val="007B41D7"/>
    <w:rsid w:val="007C1A7D"/>
    <w:rsid w:val="007C4094"/>
    <w:rsid w:val="007C60EA"/>
    <w:rsid w:val="007E2FDE"/>
    <w:rsid w:val="007E4C1F"/>
    <w:rsid w:val="007E57EE"/>
    <w:rsid w:val="007F0204"/>
    <w:rsid w:val="00805670"/>
    <w:rsid w:val="008074E3"/>
    <w:rsid w:val="00807802"/>
    <w:rsid w:val="00814AFC"/>
    <w:rsid w:val="0082350A"/>
    <w:rsid w:val="0083107C"/>
    <w:rsid w:val="00831A5D"/>
    <w:rsid w:val="00831DB4"/>
    <w:rsid w:val="00835BDE"/>
    <w:rsid w:val="00837390"/>
    <w:rsid w:val="008503CA"/>
    <w:rsid w:val="00852678"/>
    <w:rsid w:val="008565FB"/>
    <w:rsid w:val="008615B4"/>
    <w:rsid w:val="008764DD"/>
    <w:rsid w:val="008841EB"/>
    <w:rsid w:val="00891C00"/>
    <w:rsid w:val="00895E41"/>
    <w:rsid w:val="008A0A32"/>
    <w:rsid w:val="008B206C"/>
    <w:rsid w:val="008B56DF"/>
    <w:rsid w:val="008B5EFB"/>
    <w:rsid w:val="008B733D"/>
    <w:rsid w:val="008D4F09"/>
    <w:rsid w:val="008D65D5"/>
    <w:rsid w:val="008D7F23"/>
    <w:rsid w:val="009165D6"/>
    <w:rsid w:val="00917D6F"/>
    <w:rsid w:val="00921504"/>
    <w:rsid w:val="00942B90"/>
    <w:rsid w:val="00954428"/>
    <w:rsid w:val="00954541"/>
    <w:rsid w:val="00954C0F"/>
    <w:rsid w:val="00956218"/>
    <w:rsid w:val="00956C4B"/>
    <w:rsid w:val="00957E64"/>
    <w:rsid w:val="00961605"/>
    <w:rsid w:val="00963C88"/>
    <w:rsid w:val="00966814"/>
    <w:rsid w:val="00970D58"/>
    <w:rsid w:val="009A692C"/>
    <w:rsid w:val="009B584C"/>
    <w:rsid w:val="009B6613"/>
    <w:rsid w:val="009B75D4"/>
    <w:rsid w:val="009C228A"/>
    <w:rsid w:val="009C2E2D"/>
    <w:rsid w:val="009C7F6E"/>
    <w:rsid w:val="009D0A96"/>
    <w:rsid w:val="009D43B2"/>
    <w:rsid w:val="009F0FC9"/>
    <w:rsid w:val="009F5A23"/>
    <w:rsid w:val="00A0075B"/>
    <w:rsid w:val="00A03E32"/>
    <w:rsid w:val="00A14369"/>
    <w:rsid w:val="00A229AC"/>
    <w:rsid w:val="00A23E8B"/>
    <w:rsid w:val="00A25225"/>
    <w:rsid w:val="00A26676"/>
    <w:rsid w:val="00A27A02"/>
    <w:rsid w:val="00A32A3F"/>
    <w:rsid w:val="00A337C5"/>
    <w:rsid w:val="00A33B10"/>
    <w:rsid w:val="00A453C4"/>
    <w:rsid w:val="00A468F1"/>
    <w:rsid w:val="00A562DC"/>
    <w:rsid w:val="00A56E9B"/>
    <w:rsid w:val="00A66F1F"/>
    <w:rsid w:val="00A67C15"/>
    <w:rsid w:val="00A73448"/>
    <w:rsid w:val="00A969CC"/>
    <w:rsid w:val="00A96C8D"/>
    <w:rsid w:val="00A973C0"/>
    <w:rsid w:val="00AD5C75"/>
    <w:rsid w:val="00AE0055"/>
    <w:rsid w:val="00AF254A"/>
    <w:rsid w:val="00B15DBA"/>
    <w:rsid w:val="00B2297A"/>
    <w:rsid w:val="00B230F6"/>
    <w:rsid w:val="00B300C7"/>
    <w:rsid w:val="00B32793"/>
    <w:rsid w:val="00B4164D"/>
    <w:rsid w:val="00B457C4"/>
    <w:rsid w:val="00B462F7"/>
    <w:rsid w:val="00B46A16"/>
    <w:rsid w:val="00B51427"/>
    <w:rsid w:val="00B5564B"/>
    <w:rsid w:val="00B618A9"/>
    <w:rsid w:val="00B652FE"/>
    <w:rsid w:val="00B65CF6"/>
    <w:rsid w:val="00B700CC"/>
    <w:rsid w:val="00B80371"/>
    <w:rsid w:val="00B837AE"/>
    <w:rsid w:val="00B868AD"/>
    <w:rsid w:val="00B87E61"/>
    <w:rsid w:val="00B9742D"/>
    <w:rsid w:val="00BB0BAA"/>
    <w:rsid w:val="00BB1EA2"/>
    <w:rsid w:val="00BB4E62"/>
    <w:rsid w:val="00BB5125"/>
    <w:rsid w:val="00BC608E"/>
    <w:rsid w:val="00BC69DC"/>
    <w:rsid w:val="00BD7AE1"/>
    <w:rsid w:val="00BE15E4"/>
    <w:rsid w:val="00BE4341"/>
    <w:rsid w:val="00BF15B9"/>
    <w:rsid w:val="00BF7D60"/>
    <w:rsid w:val="00C0447C"/>
    <w:rsid w:val="00C05EF2"/>
    <w:rsid w:val="00C12CF8"/>
    <w:rsid w:val="00C220E6"/>
    <w:rsid w:val="00C24FC6"/>
    <w:rsid w:val="00C25016"/>
    <w:rsid w:val="00C26333"/>
    <w:rsid w:val="00C264E6"/>
    <w:rsid w:val="00C26E37"/>
    <w:rsid w:val="00C32C97"/>
    <w:rsid w:val="00C423B7"/>
    <w:rsid w:val="00C42ACD"/>
    <w:rsid w:val="00C446A5"/>
    <w:rsid w:val="00C52004"/>
    <w:rsid w:val="00C56539"/>
    <w:rsid w:val="00C65AAE"/>
    <w:rsid w:val="00C66A4D"/>
    <w:rsid w:val="00C72945"/>
    <w:rsid w:val="00C77C68"/>
    <w:rsid w:val="00C85115"/>
    <w:rsid w:val="00C86896"/>
    <w:rsid w:val="00C87182"/>
    <w:rsid w:val="00C934AF"/>
    <w:rsid w:val="00CA0BCB"/>
    <w:rsid w:val="00CB6AC4"/>
    <w:rsid w:val="00CE35E1"/>
    <w:rsid w:val="00CE5541"/>
    <w:rsid w:val="00CF4607"/>
    <w:rsid w:val="00D00576"/>
    <w:rsid w:val="00D04299"/>
    <w:rsid w:val="00D05331"/>
    <w:rsid w:val="00D05A7A"/>
    <w:rsid w:val="00D07B7C"/>
    <w:rsid w:val="00D12B80"/>
    <w:rsid w:val="00D20CC5"/>
    <w:rsid w:val="00D217AC"/>
    <w:rsid w:val="00D32277"/>
    <w:rsid w:val="00D41F46"/>
    <w:rsid w:val="00D455A4"/>
    <w:rsid w:val="00D5265D"/>
    <w:rsid w:val="00D62E09"/>
    <w:rsid w:val="00D64FFD"/>
    <w:rsid w:val="00D70AAA"/>
    <w:rsid w:val="00D767E6"/>
    <w:rsid w:val="00D8420C"/>
    <w:rsid w:val="00D84DE0"/>
    <w:rsid w:val="00D96FBA"/>
    <w:rsid w:val="00DA239C"/>
    <w:rsid w:val="00DB3228"/>
    <w:rsid w:val="00DB3721"/>
    <w:rsid w:val="00DB3D04"/>
    <w:rsid w:val="00DB4009"/>
    <w:rsid w:val="00DC72F1"/>
    <w:rsid w:val="00DD0953"/>
    <w:rsid w:val="00DD1F77"/>
    <w:rsid w:val="00DD2637"/>
    <w:rsid w:val="00DD278F"/>
    <w:rsid w:val="00DF6E16"/>
    <w:rsid w:val="00E00218"/>
    <w:rsid w:val="00E018E1"/>
    <w:rsid w:val="00E07AC4"/>
    <w:rsid w:val="00E116BA"/>
    <w:rsid w:val="00E11D29"/>
    <w:rsid w:val="00E15447"/>
    <w:rsid w:val="00E2107F"/>
    <w:rsid w:val="00E23059"/>
    <w:rsid w:val="00E26233"/>
    <w:rsid w:val="00E40942"/>
    <w:rsid w:val="00E50E6F"/>
    <w:rsid w:val="00E539B3"/>
    <w:rsid w:val="00E55EC8"/>
    <w:rsid w:val="00E70FFD"/>
    <w:rsid w:val="00E713A7"/>
    <w:rsid w:val="00E72404"/>
    <w:rsid w:val="00E74A15"/>
    <w:rsid w:val="00E7567F"/>
    <w:rsid w:val="00E93CFE"/>
    <w:rsid w:val="00E97EE1"/>
    <w:rsid w:val="00EA0EBB"/>
    <w:rsid w:val="00EA1619"/>
    <w:rsid w:val="00EA49CE"/>
    <w:rsid w:val="00EA6CD3"/>
    <w:rsid w:val="00EC03E6"/>
    <w:rsid w:val="00ED053C"/>
    <w:rsid w:val="00ED18C9"/>
    <w:rsid w:val="00ED377A"/>
    <w:rsid w:val="00ED4255"/>
    <w:rsid w:val="00ED5CF7"/>
    <w:rsid w:val="00EE4A54"/>
    <w:rsid w:val="00EE4C51"/>
    <w:rsid w:val="00EE61BD"/>
    <w:rsid w:val="00EF2696"/>
    <w:rsid w:val="00F02EB7"/>
    <w:rsid w:val="00F0662E"/>
    <w:rsid w:val="00F066C5"/>
    <w:rsid w:val="00F25051"/>
    <w:rsid w:val="00F30608"/>
    <w:rsid w:val="00F327A8"/>
    <w:rsid w:val="00F32822"/>
    <w:rsid w:val="00F352DD"/>
    <w:rsid w:val="00F40762"/>
    <w:rsid w:val="00F40F20"/>
    <w:rsid w:val="00F449A8"/>
    <w:rsid w:val="00F44B3E"/>
    <w:rsid w:val="00F53217"/>
    <w:rsid w:val="00F70443"/>
    <w:rsid w:val="00F7097D"/>
    <w:rsid w:val="00F716EF"/>
    <w:rsid w:val="00F9016C"/>
    <w:rsid w:val="00F9305D"/>
    <w:rsid w:val="00F9522F"/>
    <w:rsid w:val="00FA3AB1"/>
    <w:rsid w:val="00FB1472"/>
    <w:rsid w:val="00FC3C7A"/>
    <w:rsid w:val="00FC6839"/>
    <w:rsid w:val="00FD061B"/>
    <w:rsid w:val="00FD5F34"/>
    <w:rsid w:val="00FE6FC3"/>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47683788">
      <w:bodyDiv w:val="1"/>
      <w:marLeft w:val="0"/>
      <w:marRight w:val="0"/>
      <w:marTop w:val="0"/>
      <w:marBottom w:val="0"/>
      <w:divBdr>
        <w:top w:val="none" w:sz="0" w:space="0" w:color="auto"/>
        <w:left w:val="none" w:sz="0" w:space="0" w:color="auto"/>
        <w:bottom w:val="none" w:sz="0" w:space="0" w:color="auto"/>
        <w:right w:val="none" w:sz="0" w:space="0" w:color="auto"/>
      </w:divBdr>
    </w:div>
    <w:div w:id="9929524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4718542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175919-ministru-kabineta-iekartas-likums" TargetMode="External"/><Relationship Id="rId4" Type="http://schemas.microsoft.com/office/2007/relationships/stylesWithEffects" Target="stylesWithEffects.xml"/><Relationship Id="rId9" Type="http://schemas.openxmlformats.org/officeDocument/2006/relationships/hyperlink" Target="http://likumi.lv/ta/id/175919-ministru-kabineta-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1E48-569A-46B2-817E-440799E5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9898</Words>
  <Characters>5643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 „Noteikumi par garantijām komersantu un atbilstošu lauksaimniecības pakalpojumu kooperatīvo sabiedrību konkurētspējas uzlabošanai”sākotnējās ietekmes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 „Noteikumi par garantijām komersantu un atbilstošu lauksaimniecības pakalpojumu kooperatīvo sabiedrību konkurētspējas uzlabošanai”sākotnējās ietekmes novērtējuma ziņojums (anotācija)</dc:title>
  <dc:subject>Anotācija</dc:subject>
  <dc:creator>Agita Nicmane</dc:creator>
  <dc:description>Agita.Nicmane@em.gov.lv</dc:description>
  <cp:lastModifiedBy>Agita Nicmane</cp:lastModifiedBy>
  <cp:revision>4</cp:revision>
  <cp:lastPrinted>2015-10-29T15:08:00Z</cp:lastPrinted>
  <dcterms:created xsi:type="dcterms:W3CDTF">2015-12-28T09:39:00Z</dcterms:created>
  <dcterms:modified xsi:type="dcterms:W3CDTF">2015-12-29T11:39:00Z</dcterms:modified>
</cp:coreProperties>
</file>