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A74B2" w14:textId="77777777" w:rsidR="009C5561" w:rsidRPr="006C38A5" w:rsidRDefault="00E100B4" w:rsidP="009C5561">
      <w:pPr>
        <w:pStyle w:val="naislab"/>
        <w:spacing w:before="0" w:after="0"/>
        <w:jc w:val="center"/>
        <w:rPr>
          <w:b/>
          <w:bCs/>
        </w:rPr>
      </w:pPr>
      <w:r>
        <w:rPr>
          <w:b/>
          <w:bCs/>
        </w:rPr>
        <w:t xml:space="preserve"> </w:t>
      </w:r>
      <w:r w:rsidR="009C5561" w:rsidRPr="006C38A5">
        <w:rPr>
          <w:b/>
          <w:bCs/>
        </w:rPr>
        <w:t>Ministru kabineta noteikumu projekta</w:t>
      </w:r>
    </w:p>
    <w:p w14:paraId="4ACBC52D" w14:textId="42F88522" w:rsidR="009C5561" w:rsidRPr="006C38A5" w:rsidRDefault="009C5561" w:rsidP="009C5561">
      <w:pPr>
        <w:pStyle w:val="naislab"/>
        <w:spacing w:before="0" w:after="0"/>
        <w:jc w:val="center"/>
        <w:rPr>
          <w:b/>
          <w:bCs/>
        </w:rPr>
      </w:pPr>
      <w:r w:rsidRPr="006C38A5">
        <w:rPr>
          <w:b/>
          <w:bCs/>
        </w:rPr>
        <w:t>„</w:t>
      </w:r>
      <w:r w:rsidR="00A843D4" w:rsidRPr="00A843D4">
        <w:rPr>
          <w:b/>
          <w:bCs/>
        </w:rPr>
        <w:t>Statistikas izstrādes, datu iegūšanas, apstrādes, analīzes un izplatīšanas pakalpojumu nodrošināšanas izmaksu apmērs</w:t>
      </w:r>
      <w:r w:rsidR="00A94521" w:rsidRPr="006C38A5">
        <w:rPr>
          <w:b/>
          <w:bCs/>
        </w:rPr>
        <w:t xml:space="preserve">” </w:t>
      </w:r>
      <w:r w:rsidRPr="006C38A5">
        <w:rPr>
          <w:b/>
          <w:bCs/>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574"/>
        <w:gridCol w:w="6601"/>
      </w:tblGrid>
      <w:tr w:rsidR="00852042" w:rsidRPr="006C38A5" w14:paraId="01CBCA1C" w14:textId="77777777">
        <w:tc>
          <w:tcPr>
            <w:tcW w:w="9725" w:type="dxa"/>
            <w:gridSpan w:val="3"/>
            <w:vAlign w:val="center"/>
          </w:tcPr>
          <w:p w14:paraId="06583A93" w14:textId="77777777" w:rsidR="00852042" w:rsidRPr="006C38A5" w:rsidRDefault="00852042" w:rsidP="006C4607">
            <w:pPr>
              <w:pStyle w:val="naisnod"/>
              <w:spacing w:before="0" w:after="0"/>
            </w:pPr>
            <w:r w:rsidRPr="006C38A5">
              <w:t>I</w:t>
            </w:r>
            <w:r w:rsidR="000941C5" w:rsidRPr="006C38A5">
              <w:t>.</w:t>
            </w:r>
            <w:r w:rsidRPr="006C38A5">
              <w:t xml:space="preserve"> Tiesību akta </w:t>
            </w:r>
            <w:r w:rsidR="002E3FF4" w:rsidRPr="006C38A5">
              <w:t xml:space="preserve">projekta </w:t>
            </w:r>
            <w:r w:rsidRPr="006C38A5">
              <w:t>izstrādes nepieciešamība</w:t>
            </w:r>
          </w:p>
        </w:tc>
      </w:tr>
      <w:tr w:rsidR="00262E2B" w:rsidRPr="006C38A5" w14:paraId="49F8430B" w14:textId="77777777" w:rsidTr="00315700">
        <w:trPr>
          <w:trHeight w:val="630"/>
        </w:trPr>
        <w:tc>
          <w:tcPr>
            <w:tcW w:w="550" w:type="dxa"/>
          </w:tcPr>
          <w:p w14:paraId="02154A33" w14:textId="77777777" w:rsidR="00262E2B" w:rsidRPr="006C38A5" w:rsidRDefault="00262E2B" w:rsidP="006C4607">
            <w:pPr>
              <w:pStyle w:val="naiskr"/>
              <w:spacing w:before="0" w:after="0"/>
            </w:pPr>
            <w:r w:rsidRPr="006C38A5">
              <w:t>1.</w:t>
            </w:r>
          </w:p>
        </w:tc>
        <w:tc>
          <w:tcPr>
            <w:tcW w:w="2574" w:type="dxa"/>
          </w:tcPr>
          <w:p w14:paraId="05CC3896" w14:textId="77777777" w:rsidR="00262E2B" w:rsidRPr="006C38A5" w:rsidRDefault="002D7F54" w:rsidP="006C4607">
            <w:pPr>
              <w:pStyle w:val="naiskr"/>
              <w:spacing w:before="0" w:after="0"/>
              <w:ind w:hanging="10"/>
            </w:pPr>
            <w:r w:rsidRPr="006C38A5">
              <w:t>Pamatojums</w:t>
            </w:r>
          </w:p>
        </w:tc>
        <w:tc>
          <w:tcPr>
            <w:tcW w:w="6601" w:type="dxa"/>
          </w:tcPr>
          <w:p w14:paraId="06A3837F" w14:textId="2EFADB14" w:rsidR="00972875" w:rsidRPr="006C38A5" w:rsidRDefault="00A94521" w:rsidP="00A843D4">
            <w:pPr>
              <w:ind w:right="81"/>
              <w:jc w:val="both"/>
              <w:rPr>
                <w:szCs w:val="26"/>
              </w:rPr>
            </w:pPr>
            <w:r w:rsidRPr="006C38A5">
              <w:t>Ministru kabineta noteikumu projekts „</w:t>
            </w:r>
            <w:r w:rsidR="00834A63" w:rsidRPr="00834A63">
              <w:t>Statistikas izstrādes, datu iegūšanas, apstrādes, analīzes un izplatīšanas pakalpojumu nodrošināšanas izmaksu apmērs</w:t>
            </w:r>
            <w:r w:rsidRPr="006C38A5">
              <w:t>” (turpmāk – MK noteikumu projekts) ir izstrādāts saskaņā ar</w:t>
            </w:r>
            <w:r w:rsidR="0022318A" w:rsidRPr="006C38A5">
              <w:t xml:space="preserve"> 2015.gada</w:t>
            </w:r>
            <w:r w:rsidR="007752C5">
              <w:t xml:space="preserve"> 4.jūnijā Saeimā pieņemtā</w:t>
            </w:r>
            <w:r w:rsidR="0022318A" w:rsidRPr="006C38A5">
              <w:t xml:space="preserve"> </w:t>
            </w:r>
            <w:r w:rsidRPr="006C38A5">
              <w:t>Statistikas likuma</w:t>
            </w:r>
            <w:r w:rsidR="007752C5">
              <w:rPr>
                <w:rStyle w:val="FootnoteReference"/>
              </w:rPr>
              <w:footnoteReference w:id="1"/>
            </w:r>
            <w:r w:rsidRPr="006C38A5">
              <w:t xml:space="preserve"> </w:t>
            </w:r>
            <w:r w:rsidR="00A843D4">
              <w:t>7. panta trešās daļas 2. punktu un 7. panta ceturto daļu</w:t>
            </w:r>
            <w:r w:rsidRPr="006C38A5">
              <w:t>.</w:t>
            </w:r>
            <w:r w:rsidR="00426206" w:rsidRPr="006C38A5">
              <w:t xml:space="preserve"> </w:t>
            </w:r>
            <w:r w:rsidR="00B41CBC" w:rsidRPr="006C38A5">
              <w:t>MK noteikumu projekts stāsies spēkā  2016.gada 1.janvārī, vienlaicīgi ar Statistikas likumu.</w:t>
            </w:r>
          </w:p>
        </w:tc>
      </w:tr>
      <w:tr w:rsidR="00262E2B" w:rsidRPr="006C38A5" w14:paraId="2F8439B5" w14:textId="77777777" w:rsidTr="00315700">
        <w:trPr>
          <w:trHeight w:val="472"/>
        </w:trPr>
        <w:tc>
          <w:tcPr>
            <w:tcW w:w="550" w:type="dxa"/>
          </w:tcPr>
          <w:p w14:paraId="5430C795" w14:textId="77777777" w:rsidR="00262E2B" w:rsidRPr="006C38A5" w:rsidRDefault="00262E2B" w:rsidP="006C4607">
            <w:pPr>
              <w:pStyle w:val="naiskr"/>
              <w:spacing w:before="0" w:after="0"/>
            </w:pPr>
            <w:r w:rsidRPr="006C38A5">
              <w:t>2.</w:t>
            </w:r>
          </w:p>
        </w:tc>
        <w:tc>
          <w:tcPr>
            <w:tcW w:w="2574" w:type="dxa"/>
          </w:tcPr>
          <w:p w14:paraId="6E657DC3" w14:textId="77777777" w:rsidR="00262E2B" w:rsidRPr="006C38A5" w:rsidRDefault="00262E2B" w:rsidP="006C4607">
            <w:pPr>
              <w:pStyle w:val="naiskr"/>
              <w:tabs>
                <w:tab w:val="left" w:pos="170"/>
              </w:tabs>
              <w:spacing w:before="0" w:after="0"/>
            </w:pPr>
            <w:r w:rsidRPr="006C38A5">
              <w:t>Pašreizējā situācija</w:t>
            </w:r>
            <w:r w:rsidR="001F5CD6" w:rsidRPr="006C38A5">
              <w:t xml:space="preserve"> un problēmas</w:t>
            </w:r>
            <w:r w:rsidR="00F64A6D" w:rsidRPr="006C38A5">
              <w:t xml:space="preserve">, </w:t>
            </w:r>
            <w:r w:rsidR="009C48AB" w:rsidRPr="006C38A5">
              <w:t xml:space="preserve">kuru risināšanai tiesību akta projekts izstrādāts, </w:t>
            </w:r>
            <w:r w:rsidR="00F64A6D" w:rsidRPr="006C38A5">
              <w:t>tiesiskā regulējuma mērķis un būtība</w:t>
            </w:r>
          </w:p>
        </w:tc>
        <w:tc>
          <w:tcPr>
            <w:tcW w:w="6601" w:type="dxa"/>
          </w:tcPr>
          <w:p w14:paraId="46968B7D" w14:textId="77777777" w:rsidR="00262E2B" w:rsidRPr="006C38A5" w:rsidRDefault="00B226BD" w:rsidP="007C4C2D">
            <w:pPr>
              <w:pStyle w:val="naiskr"/>
              <w:ind w:right="81"/>
              <w:jc w:val="both"/>
            </w:pPr>
            <w:r w:rsidRPr="006C38A5">
              <w:rPr>
                <w:iCs/>
              </w:rPr>
              <w:t xml:space="preserve">Pēc Statistikas likuma spēkā stāšanās </w:t>
            </w:r>
            <w:r w:rsidRPr="006C38A5">
              <w:t>2016.gada 1.janvārī</w:t>
            </w:r>
            <w:r w:rsidRPr="006C38A5">
              <w:rPr>
                <w:iCs/>
              </w:rPr>
              <w:t>, s</w:t>
            </w:r>
            <w:r w:rsidR="007C4C2D" w:rsidRPr="006C38A5">
              <w:rPr>
                <w:iCs/>
              </w:rPr>
              <w:t>tatistikas iestādes</w:t>
            </w:r>
            <w:r w:rsidR="00F64A6D" w:rsidRPr="006C38A5">
              <w:rPr>
                <w:iCs/>
              </w:rPr>
              <w:t xml:space="preserve"> </w:t>
            </w:r>
            <w:bookmarkStart w:id="0" w:name="_GoBack"/>
            <w:r w:rsidR="007C4C2D" w:rsidRPr="006C38A5">
              <w:rPr>
                <w:iCs/>
              </w:rPr>
              <w:t>s</w:t>
            </w:r>
            <w:r w:rsidR="007C4C2D" w:rsidRPr="006C38A5">
              <w:t>tatistikas izstrādes, datu iegūšanas, apstrādes, analīzes un izplatīšanas pakalpojumus (turpmāk – Pakalpojumi) nodroši</w:t>
            </w:r>
            <w:r w:rsidRPr="006C38A5">
              <w:t xml:space="preserve">nās </w:t>
            </w:r>
            <w:r w:rsidR="007C4C2D" w:rsidRPr="006C38A5">
              <w:t xml:space="preserve"> </w:t>
            </w:r>
            <w:r w:rsidRPr="006C38A5">
              <w:t>Oficiālās statistikas</w:t>
            </w:r>
            <w:r w:rsidR="007C4C2D" w:rsidRPr="006C38A5">
              <w:t xml:space="preserve"> programmas</w:t>
            </w:r>
            <w:r w:rsidR="00640EF4" w:rsidRPr="006C38A5">
              <w:t xml:space="preserve"> ietvaros. Šo programmu</w:t>
            </w:r>
            <w:r w:rsidR="007C4C2D" w:rsidRPr="006C38A5">
              <w:t xml:space="preserve"> </w:t>
            </w:r>
            <w:r w:rsidR="00640EF4" w:rsidRPr="006C38A5">
              <w:t>saskaņā ar Statistikas lik</w:t>
            </w:r>
            <w:r w:rsidRPr="006C38A5">
              <w:t>uma 6.panta otro daļu apstiprinās</w:t>
            </w:r>
            <w:r w:rsidR="00640EF4" w:rsidRPr="006C38A5">
              <w:t xml:space="preserve"> Ministr</w:t>
            </w:r>
            <w:r w:rsidRPr="006C38A5">
              <w:t>u kabinets un tās izpilde notiks</w:t>
            </w:r>
            <w:r w:rsidR="00640EF4" w:rsidRPr="006C38A5">
              <w:t xml:space="preserve"> statistikas iestādei valsts budžeta likumā noteiktās apropriācijas ietvaros.</w:t>
            </w:r>
          </w:p>
          <w:p w14:paraId="187218BF" w14:textId="77777777" w:rsidR="00640EF4" w:rsidRPr="006C38A5" w:rsidRDefault="00640EF4" w:rsidP="007C4C2D">
            <w:pPr>
              <w:pStyle w:val="naiskr"/>
              <w:ind w:right="81"/>
              <w:jc w:val="both"/>
            </w:pPr>
            <w:r w:rsidRPr="006C38A5">
              <w:t xml:space="preserve">Lai Pakalpojumus iekļautu </w:t>
            </w:r>
            <w:r w:rsidR="006733CE" w:rsidRPr="006C38A5">
              <w:t>Oficiālās statistikas programmas ietvaros</w:t>
            </w:r>
            <w:r w:rsidRPr="006C38A5">
              <w:t>, tai saskaņā ar Statistikas likuma 5.pantu jāatbilst konkrētiem kritērijiem.</w:t>
            </w:r>
          </w:p>
          <w:p w14:paraId="4B1BAABA" w14:textId="2D1157D2" w:rsidR="009311D2" w:rsidRPr="003944C8" w:rsidRDefault="00A952FB" w:rsidP="007C4C2D">
            <w:pPr>
              <w:pStyle w:val="naiskr"/>
              <w:ind w:right="81"/>
              <w:jc w:val="both"/>
            </w:pPr>
            <w:r w:rsidRPr="003944C8">
              <w:t xml:space="preserve">Izņēmuma kārtā, var būt gadījumi, ka </w:t>
            </w:r>
            <w:r w:rsidR="00640EF4" w:rsidRPr="003944C8">
              <w:t>valsts institūcijai var rasties vajadzība saņemt</w:t>
            </w:r>
            <w:r w:rsidR="008B2EBB" w:rsidRPr="003944C8">
              <w:t xml:space="preserve"> Pakalpojumus, kas nav iekļauti</w:t>
            </w:r>
            <w:r w:rsidR="006733CE" w:rsidRPr="003944C8">
              <w:t xml:space="preserve"> Oficiālās statistikas programmā</w:t>
            </w:r>
            <w:r w:rsidR="006A56B8" w:rsidRPr="003944C8">
              <w:t>. S</w:t>
            </w:r>
            <w:r w:rsidR="00E04DE9" w:rsidRPr="003944C8">
              <w:t xml:space="preserve">askaņā ar  Statistikas likuma 7.panta trešās daļas 2.punktu </w:t>
            </w:r>
            <w:r w:rsidR="007C4C2D" w:rsidRPr="003944C8">
              <w:t xml:space="preserve">gadījumos, kad Pakalpojumu nodrošināšana nav iekļauta </w:t>
            </w:r>
            <w:r w:rsidR="00C63CF9" w:rsidRPr="003944C8">
              <w:t>Oficiālās statistikas programmā</w:t>
            </w:r>
            <w:r w:rsidR="007C4C2D" w:rsidRPr="003944C8">
              <w:t>, valsts institūcija var pieprasīt statistikas ies</w:t>
            </w:r>
            <w:r w:rsidR="00E04DE9" w:rsidRPr="003944C8">
              <w:t xml:space="preserve">tādei nodrošināt Pakalpojumus, </w:t>
            </w:r>
            <w:r w:rsidR="005A44C4" w:rsidRPr="003944C8">
              <w:t xml:space="preserve">kuri nav iekļauti </w:t>
            </w:r>
            <w:r w:rsidR="008B2EBB" w:rsidRPr="003944C8">
              <w:t>O</w:t>
            </w:r>
            <w:r w:rsidR="00FC2A5C" w:rsidRPr="003944C8">
              <w:t>ficiālās statistikas programmā un kuru nodrošināšana ietver oficiālās statistikas nodrošināšanā neievāktu datu iegūšanu vai papildu datu apstrādi.</w:t>
            </w:r>
          </w:p>
          <w:bookmarkEnd w:id="0"/>
          <w:p w14:paraId="62F9E20A" w14:textId="77777777" w:rsidR="00F57F70" w:rsidRPr="003944C8" w:rsidRDefault="00F57F70" w:rsidP="00F57F70">
            <w:pPr>
              <w:pStyle w:val="naiskr"/>
              <w:ind w:right="81"/>
              <w:jc w:val="both"/>
            </w:pPr>
            <w:r w:rsidRPr="003944C8">
              <w:t>MK noteikumu projekts regulē tikai tādu Pakalpojumu izmaksu apmēra noteikšanu, kas tiek nodrošināti statistikas jomā, bet neregulē papildus datu apstrādes vai datu iegūšanas izmaksu apmēra noteikšanu, ja papildus datu apstrāde vai datu iegūšana paredzēta administratīviem mērķiem.</w:t>
            </w:r>
          </w:p>
          <w:p w14:paraId="2B6AC0A3" w14:textId="3964D8E4" w:rsidR="00A952FB" w:rsidRDefault="00DE3CAE" w:rsidP="003944C8">
            <w:pPr>
              <w:pStyle w:val="naiskr"/>
              <w:ind w:right="81"/>
              <w:jc w:val="both"/>
            </w:pPr>
            <w:r w:rsidRPr="003944C8">
              <w:t>Lai arī kopumā</w:t>
            </w:r>
            <w:r w:rsidR="00A952FB" w:rsidRPr="003944C8">
              <w:t xml:space="preserve"> statistikas iestāžu skaits var sasniegt 60 valsts institūcijas, saskaņā ar Centrālā</w:t>
            </w:r>
            <w:r w:rsidR="006A56B8" w:rsidRPr="003944C8">
              <w:t>s</w:t>
            </w:r>
            <w:r w:rsidR="00A952FB" w:rsidRPr="003944C8">
              <w:t xml:space="preserve"> statistikas pārvaldes rīcībā esošu inform</w:t>
            </w:r>
            <w:r w:rsidR="006A56B8" w:rsidRPr="003944C8">
              <w:t>āciju, Pakalpojumu</w:t>
            </w:r>
            <w:r w:rsidR="00A952FB" w:rsidRPr="003944C8">
              <w:t xml:space="preserve"> līdz šim </w:t>
            </w:r>
            <w:r w:rsidR="00263BD5" w:rsidRPr="003944C8">
              <w:t xml:space="preserve">Valsts statistikas likuma ietvaros </w:t>
            </w:r>
            <w:r w:rsidR="00A952FB" w:rsidRPr="003944C8">
              <w:t xml:space="preserve">ir nodrošinājusi tikai Centrālā </w:t>
            </w:r>
            <w:r w:rsidR="00A952FB" w:rsidRPr="00B10A1F">
              <w:t xml:space="preserve">statistikas pārvalde. Un arī </w:t>
            </w:r>
            <w:r w:rsidR="006A56B8" w:rsidRPr="00B10A1F">
              <w:t>ļoti ierobežotā apjomā. 2014.gadā vienu reizi</w:t>
            </w:r>
            <w:r w:rsidR="00CE0308" w:rsidRPr="00B10A1F">
              <w:t xml:space="preserve"> (Pakalpojums tika sniegts Latvijas Bankai, veicot datu </w:t>
            </w:r>
            <w:r w:rsidR="003944C8" w:rsidRPr="00B10A1F">
              <w:t>iegūšanu</w:t>
            </w:r>
            <w:r w:rsidR="00CE0308" w:rsidRPr="00B10A1F">
              <w:t xml:space="preserve"> ar tiešo interviju palīdzību</w:t>
            </w:r>
            <w:r w:rsidR="003944C8" w:rsidRPr="00B10A1F">
              <w:t>. Lai uzlabotu respondentu atbildētību, pēc Latvijas Bankas lūguma Centrālā statistikas pārvalde veica USB atmiņu karšu iegādi un pasniedza tās respondentiem)</w:t>
            </w:r>
            <w:r w:rsidR="006A56B8" w:rsidRPr="00B10A1F">
              <w:t>. 2015</w:t>
            </w:r>
            <w:r w:rsidR="006A56B8" w:rsidRPr="003944C8">
              <w:t>.gadā nav sniegts Pakalpojums, kā arī 2016.gadā nav plānots. Tas skaidro</w:t>
            </w:r>
            <w:r w:rsidR="001270C9" w:rsidRPr="003944C8">
              <w:t>j</w:t>
            </w:r>
            <w:r w:rsidRPr="003944C8">
              <w:t>a</w:t>
            </w:r>
            <w:r w:rsidR="006A56B8" w:rsidRPr="003944C8">
              <w:t xml:space="preserve">ms ar apstākli, ka statistikas izstrādes pakalpojumus jānodrošina Oficiālās </w:t>
            </w:r>
            <w:r w:rsidR="00F57F70" w:rsidRPr="003944C8">
              <w:t xml:space="preserve">statistikas programmas ietvaros, kā arī to, ka tikai Centrālā statistikas pārvalde </w:t>
            </w:r>
            <w:r w:rsidR="00F57F70" w:rsidRPr="003944C8">
              <w:lastRenderedPageBreak/>
              <w:t>ir iestāde, kas darbojas tikai statistikas jomā. Citām iestādēm  papildus datu apstrādes vai datu iegūšanas pakalpojumu sniegšana var būt saistīta ar administratīviem mērķiem, kuru izmaksu apmēru noteikšanu MK noteikumu projekts neregulē.</w:t>
            </w:r>
            <w:r w:rsidR="00F57F70">
              <w:t xml:space="preserve"> </w:t>
            </w:r>
          </w:p>
          <w:p w14:paraId="3A9E6EE3" w14:textId="44C9E55C" w:rsidR="00CE0308" w:rsidRPr="00B10A1F" w:rsidRDefault="009311D2" w:rsidP="003944C8">
            <w:pPr>
              <w:pStyle w:val="CommentText"/>
              <w:jc w:val="both"/>
              <w:rPr>
                <w:sz w:val="24"/>
                <w:szCs w:val="24"/>
              </w:rPr>
            </w:pPr>
            <w:r w:rsidRPr="003944C8">
              <w:rPr>
                <w:color w:val="000000" w:themeColor="text1"/>
                <w:sz w:val="24"/>
                <w:szCs w:val="24"/>
              </w:rPr>
              <w:t xml:space="preserve">Statistikas iestādes atbildība un kompetence ir novērtēt, vai Pakalpojumu nodrošināšanai rodas faktiskās izmaksas, vai nē. Ja Pakalpojuma apjoms ir neliels, kas nerada </w:t>
            </w:r>
            <w:r w:rsidR="00CE0308" w:rsidRPr="003944C8">
              <w:rPr>
                <w:color w:val="000000" w:themeColor="text1"/>
                <w:sz w:val="24"/>
                <w:szCs w:val="24"/>
              </w:rPr>
              <w:t>s</w:t>
            </w:r>
            <w:r w:rsidRPr="003944C8">
              <w:rPr>
                <w:color w:val="000000" w:themeColor="text1"/>
                <w:sz w:val="24"/>
                <w:szCs w:val="24"/>
              </w:rPr>
              <w:t xml:space="preserve">tatistikas iestādei papildus izmaksas, tad to nodrošina bezmaksas. </w:t>
            </w:r>
            <w:r w:rsidR="001D7C98" w:rsidRPr="003944C8">
              <w:rPr>
                <w:color w:val="000000" w:themeColor="text1"/>
                <w:sz w:val="24"/>
                <w:szCs w:val="24"/>
              </w:rPr>
              <w:t>Gadījumos, ja Statistikas iestādei par Pakalpojuma nodrošināšanu rodas izmaksas</w:t>
            </w:r>
            <w:r w:rsidR="00856B1E" w:rsidRPr="003944C8">
              <w:rPr>
                <w:sz w:val="24"/>
                <w:szCs w:val="24"/>
              </w:rPr>
              <w:t xml:space="preserve">, MK  noteikumu projekta 2.punkts paredz, ka statistikas iestāde valsts institūcijai  par Pakalpojuma nodrošināšanu var pieprasīt samaksu, kas </w:t>
            </w:r>
            <w:r w:rsidR="007A0865" w:rsidRPr="003944C8">
              <w:rPr>
                <w:sz w:val="24"/>
                <w:szCs w:val="24"/>
              </w:rPr>
              <w:t xml:space="preserve">sedz pilnā apmērā </w:t>
            </w:r>
            <w:r w:rsidR="00856B1E" w:rsidRPr="003944C8">
              <w:rPr>
                <w:sz w:val="24"/>
                <w:szCs w:val="24"/>
              </w:rPr>
              <w:t>Pakalpojuma nodrošināšanas faktiskās izmaksas</w:t>
            </w:r>
            <w:r w:rsidR="001D7C98" w:rsidRPr="003944C8">
              <w:rPr>
                <w:sz w:val="24"/>
                <w:szCs w:val="24"/>
              </w:rPr>
              <w:t xml:space="preserve">, saskaņā ar savstarpēji saskaņotu izmaksu </w:t>
            </w:r>
            <w:r w:rsidR="00856B1E" w:rsidRPr="003944C8">
              <w:rPr>
                <w:sz w:val="24"/>
                <w:szCs w:val="24"/>
              </w:rPr>
              <w:t>aprēķinu.</w:t>
            </w:r>
            <w:r w:rsidR="00CE0308" w:rsidRPr="003944C8">
              <w:rPr>
                <w:sz w:val="24"/>
                <w:szCs w:val="24"/>
              </w:rPr>
              <w:t xml:space="preserve"> </w:t>
            </w:r>
            <w:r w:rsidR="00CE0308" w:rsidRPr="00B10A1F">
              <w:rPr>
                <w:sz w:val="24"/>
                <w:szCs w:val="24"/>
              </w:rPr>
              <w:t>Tā kā pakalpojums tiks nodrošināts, iestādēm sadarbojoties Valsts pārvaldes iekārtas likumā noteiktajā kārtībā, tad</w:t>
            </w:r>
            <w:r w:rsidR="003944C8" w:rsidRPr="00B10A1F">
              <w:rPr>
                <w:sz w:val="24"/>
                <w:szCs w:val="24"/>
              </w:rPr>
              <w:t xml:space="preserve"> slēdzot </w:t>
            </w:r>
            <w:r w:rsidR="00CE0308" w:rsidRPr="00B10A1F">
              <w:rPr>
                <w:sz w:val="24"/>
                <w:szCs w:val="24"/>
              </w:rPr>
              <w:t xml:space="preserve"> starpreso</w:t>
            </w:r>
            <w:r w:rsidR="003944C8" w:rsidRPr="00B10A1F">
              <w:rPr>
                <w:sz w:val="24"/>
                <w:szCs w:val="24"/>
              </w:rPr>
              <w:t>ru vienošanos</w:t>
            </w:r>
            <w:r w:rsidR="00CE0308" w:rsidRPr="00B10A1F">
              <w:rPr>
                <w:sz w:val="24"/>
                <w:szCs w:val="24"/>
              </w:rPr>
              <w:t xml:space="preserve"> vai </w:t>
            </w:r>
            <w:r w:rsidR="003944C8" w:rsidRPr="00B10A1F">
              <w:rPr>
                <w:sz w:val="24"/>
                <w:szCs w:val="24"/>
              </w:rPr>
              <w:t>sadarbības līgumu, izmaksu aprēķins būs to</w:t>
            </w:r>
            <w:r w:rsidR="00CE0308" w:rsidRPr="00B10A1F">
              <w:rPr>
                <w:sz w:val="24"/>
                <w:szCs w:val="24"/>
              </w:rPr>
              <w:t xml:space="preserve"> sastāvdaļa.</w:t>
            </w:r>
          </w:p>
          <w:p w14:paraId="2F98AC67" w14:textId="0BD01720" w:rsidR="00856B1E" w:rsidRPr="003944C8" w:rsidRDefault="00A97069" w:rsidP="007C4C2D">
            <w:pPr>
              <w:pStyle w:val="naiskr"/>
              <w:ind w:right="81"/>
              <w:jc w:val="both"/>
            </w:pPr>
            <w:r w:rsidRPr="00B10A1F">
              <w:t>MK</w:t>
            </w:r>
            <w:r w:rsidR="00856B1E" w:rsidRPr="00B10A1F">
              <w:t xml:space="preserve"> noteikumu</w:t>
            </w:r>
            <w:r w:rsidR="00856B1E" w:rsidRPr="003944C8">
              <w:t xml:space="preserve"> </w:t>
            </w:r>
            <w:r w:rsidRPr="003944C8">
              <w:t xml:space="preserve">projektā nevar noteikt konkrētas izmaksas par Pakalpojumu nodrošināšanu, jo </w:t>
            </w:r>
            <w:r w:rsidR="00C0055C" w:rsidRPr="003944C8">
              <w:t>ļ</w:t>
            </w:r>
            <w:r w:rsidRPr="003944C8">
              <w:t>oti plašs ir Pakalpojumu ietvaros nodrošināmo darbu veids</w:t>
            </w:r>
            <w:r w:rsidR="00D703E7" w:rsidRPr="003944C8">
              <w:t xml:space="preserve">, kuri nav iepriekš </w:t>
            </w:r>
            <w:r w:rsidR="007E78EC" w:rsidRPr="003944C8">
              <w:t xml:space="preserve">precīzi </w:t>
            </w:r>
            <w:r w:rsidR="00D703E7" w:rsidRPr="003944C8">
              <w:t>identificējami</w:t>
            </w:r>
            <w:r w:rsidRPr="003944C8">
              <w:t xml:space="preserve">- </w:t>
            </w:r>
            <w:r w:rsidRPr="003944C8">
              <w:rPr>
                <w:iCs/>
              </w:rPr>
              <w:t xml:space="preserve"> s</w:t>
            </w:r>
            <w:r w:rsidRPr="003944C8">
              <w:t>tatistikas izstrāde, datu iegūšana, apstrāde, analīze, izplatīšana, un katrs no tiem var veidot dažādas izmaksu poz</w:t>
            </w:r>
            <w:r w:rsidR="00737BE1" w:rsidRPr="003944C8">
              <w:t>īcijas, kuras nevar noteikt statiskas</w:t>
            </w:r>
            <w:r w:rsidR="00302F6A" w:rsidRPr="003944C8">
              <w:t xml:space="preserve"> kā cenrādi</w:t>
            </w:r>
            <w:r w:rsidR="00737BE1" w:rsidRPr="003944C8">
              <w:t>, jo lielākā daļa ir mainīgas, atkarībā no Pakalpojuma izpildē iesaistāmo nodarbināto skaita, amata, transporta izmaksām</w:t>
            </w:r>
            <w:r w:rsidR="00302F6A" w:rsidRPr="003944C8">
              <w:t>, papildus nepieciešamajiem preču un pakalpojumu iepirkumiem,</w:t>
            </w:r>
            <w:r w:rsidR="00737BE1" w:rsidRPr="003944C8">
              <w:t xml:space="preserve"> utt.</w:t>
            </w:r>
          </w:p>
          <w:p w14:paraId="5929B150" w14:textId="77777777" w:rsidR="007E14C0" w:rsidRPr="006C38A5" w:rsidRDefault="007E14C0" w:rsidP="00CE7B52">
            <w:pPr>
              <w:pStyle w:val="naiskr"/>
              <w:ind w:right="81"/>
              <w:jc w:val="both"/>
              <w:rPr>
                <w:color w:val="FF0000"/>
                <w:szCs w:val="28"/>
              </w:rPr>
            </w:pPr>
            <w:r w:rsidRPr="006C38A5">
              <w:rPr>
                <w:szCs w:val="28"/>
              </w:rPr>
              <w:t>Statistikas iestāde ieņēmumus</w:t>
            </w:r>
            <w:r w:rsidR="00CE7B52" w:rsidRPr="006C38A5">
              <w:rPr>
                <w:szCs w:val="28"/>
              </w:rPr>
              <w:t xml:space="preserve"> no Pakalpojumiem</w:t>
            </w:r>
            <w:r w:rsidRPr="006C38A5">
              <w:rPr>
                <w:szCs w:val="28"/>
              </w:rPr>
              <w:t xml:space="preserve"> uzskaita</w:t>
            </w:r>
            <w:r w:rsidR="00F3082B" w:rsidRPr="006C38A5">
              <w:rPr>
                <w:szCs w:val="28"/>
              </w:rPr>
              <w:t xml:space="preserve"> Ministru kabineta </w:t>
            </w:r>
            <w:r w:rsidR="00CE7B52" w:rsidRPr="006C38A5">
              <w:rPr>
                <w:szCs w:val="28"/>
              </w:rPr>
              <w:t>2005.gada 27.decembra noteikumos</w:t>
            </w:r>
            <w:r w:rsidR="00F3082B" w:rsidRPr="006C38A5">
              <w:rPr>
                <w:szCs w:val="28"/>
              </w:rPr>
              <w:t xml:space="preserve"> Nr.1032 </w:t>
            </w:r>
            <w:r w:rsidR="00CE7B52" w:rsidRPr="006C38A5">
              <w:rPr>
                <w:szCs w:val="28"/>
              </w:rPr>
              <w:t xml:space="preserve"> “Noteikumi par budžetu ieņēmumu klasifikāciju” noteiktajā </w:t>
            </w:r>
            <w:r w:rsidRPr="006C38A5">
              <w:rPr>
                <w:szCs w:val="28"/>
              </w:rPr>
              <w:t>ieņēmumu grupā “Ieņēmumi no maksas pakalpojumiem un citi pašu ieņēmumi”.</w:t>
            </w:r>
          </w:p>
        </w:tc>
      </w:tr>
      <w:tr w:rsidR="000078D2" w:rsidRPr="006C38A5" w14:paraId="36DC5FAB" w14:textId="77777777" w:rsidTr="00315700">
        <w:trPr>
          <w:trHeight w:val="476"/>
        </w:trPr>
        <w:tc>
          <w:tcPr>
            <w:tcW w:w="550" w:type="dxa"/>
          </w:tcPr>
          <w:p w14:paraId="7EA6A0F4" w14:textId="20C777F8" w:rsidR="000078D2" w:rsidRPr="006C38A5" w:rsidRDefault="00222A5F" w:rsidP="000078D2">
            <w:pPr>
              <w:pStyle w:val="naiskr"/>
              <w:spacing w:before="0" w:after="0"/>
            </w:pPr>
            <w:r w:rsidRPr="006C38A5">
              <w:lastRenderedPageBreak/>
              <w:t>3</w:t>
            </w:r>
            <w:r w:rsidR="000078D2" w:rsidRPr="006C38A5">
              <w:t>.</w:t>
            </w:r>
          </w:p>
        </w:tc>
        <w:tc>
          <w:tcPr>
            <w:tcW w:w="2574" w:type="dxa"/>
          </w:tcPr>
          <w:p w14:paraId="5979A66D" w14:textId="77777777" w:rsidR="000078D2" w:rsidRPr="006C38A5" w:rsidRDefault="000078D2" w:rsidP="000078D2">
            <w:pPr>
              <w:pStyle w:val="naiskr"/>
              <w:spacing w:before="0" w:after="0"/>
            </w:pPr>
            <w:r w:rsidRPr="006C38A5">
              <w:t>Projekta izstrādē iesaistītās institūcijas</w:t>
            </w:r>
          </w:p>
        </w:tc>
        <w:tc>
          <w:tcPr>
            <w:tcW w:w="6601" w:type="dxa"/>
          </w:tcPr>
          <w:p w14:paraId="2AF2921E" w14:textId="6A814F54" w:rsidR="000078D2" w:rsidRPr="006C38A5" w:rsidRDefault="00A03881" w:rsidP="00737BE1">
            <w:pPr>
              <w:pStyle w:val="naiskr"/>
              <w:ind w:left="142" w:right="81"/>
              <w:jc w:val="both"/>
            </w:pPr>
            <w:r>
              <w:t>MK</w:t>
            </w:r>
            <w:r w:rsidR="000078D2" w:rsidRPr="006C38A5">
              <w:t xml:space="preserve"> noteikumu projekta izstrādē </w:t>
            </w:r>
            <w:r w:rsidR="00FD5339" w:rsidRPr="006C38A5">
              <w:t xml:space="preserve">ir </w:t>
            </w:r>
            <w:r w:rsidR="00AC315F" w:rsidRPr="006C38A5">
              <w:t>iesaistīta</w:t>
            </w:r>
            <w:r w:rsidR="000078D2" w:rsidRPr="006C38A5">
              <w:t xml:space="preserve"> </w:t>
            </w:r>
            <w:r w:rsidR="00737BE1" w:rsidRPr="006C38A5">
              <w:t>Centrālā statistikas</w:t>
            </w:r>
            <w:r w:rsidR="00AC70DC" w:rsidRPr="006C38A5">
              <w:t xml:space="preserve"> pārvalde</w:t>
            </w:r>
            <w:r w:rsidR="00A94521" w:rsidRPr="006C38A5">
              <w:t>, kas ir oficiālās statistikas sistēmas vadošā iestāde</w:t>
            </w:r>
            <w:r w:rsidR="00737BE1" w:rsidRPr="006C38A5">
              <w:t>, un galvenā Pakalpojumu nodrošinātāja</w:t>
            </w:r>
            <w:r w:rsidR="00A94521" w:rsidRPr="006C38A5">
              <w:t>.</w:t>
            </w:r>
          </w:p>
        </w:tc>
      </w:tr>
      <w:tr w:rsidR="000078D2" w:rsidRPr="006C38A5" w14:paraId="745877DE" w14:textId="77777777" w:rsidTr="00315700">
        <w:tc>
          <w:tcPr>
            <w:tcW w:w="550" w:type="dxa"/>
          </w:tcPr>
          <w:p w14:paraId="3F4EE3A2" w14:textId="77777777" w:rsidR="000078D2" w:rsidRPr="006C38A5" w:rsidRDefault="00C80B56" w:rsidP="000078D2">
            <w:pPr>
              <w:pStyle w:val="naiskr"/>
              <w:spacing w:before="0" w:after="0"/>
            </w:pPr>
            <w:r w:rsidRPr="006C38A5">
              <w:t>4</w:t>
            </w:r>
            <w:r w:rsidR="000078D2" w:rsidRPr="006C38A5">
              <w:t>.</w:t>
            </w:r>
          </w:p>
        </w:tc>
        <w:tc>
          <w:tcPr>
            <w:tcW w:w="2574" w:type="dxa"/>
          </w:tcPr>
          <w:p w14:paraId="507FA6C0" w14:textId="77777777" w:rsidR="000078D2" w:rsidRPr="006C38A5" w:rsidRDefault="000078D2" w:rsidP="000078D2">
            <w:pPr>
              <w:pStyle w:val="naiskr"/>
              <w:spacing w:before="0" w:after="0"/>
            </w:pPr>
            <w:r w:rsidRPr="006C38A5">
              <w:t>Cita informācija</w:t>
            </w:r>
          </w:p>
        </w:tc>
        <w:tc>
          <w:tcPr>
            <w:tcW w:w="6601" w:type="dxa"/>
          </w:tcPr>
          <w:p w14:paraId="4C2CF8FA" w14:textId="77777777" w:rsidR="000078D2" w:rsidRPr="006C38A5" w:rsidRDefault="000078D2" w:rsidP="00D810A6">
            <w:pPr>
              <w:pStyle w:val="naiskr"/>
              <w:ind w:left="142" w:right="81"/>
            </w:pPr>
            <w:r w:rsidRPr="006C38A5">
              <w:t xml:space="preserve">Nav. </w:t>
            </w:r>
          </w:p>
        </w:tc>
      </w:tr>
    </w:tbl>
    <w:p w14:paraId="00FB72D1" w14:textId="77777777" w:rsidR="00C80B56" w:rsidRPr="006C38A5" w:rsidRDefault="00C80B56" w:rsidP="00A94521">
      <w:pPr>
        <w:pStyle w:val="naisf"/>
        <w:spacing w:before="0" w:after="0"/>
        <w:ind w:firstLine="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3686"/>
        <w:gridCol w:w="5500"/>
      </w:tblGrid>
      <w:tr w:rsidR="0062298A" w:rsidRPr="006C38A5" w14:paraId="7A7CC7EE" w14:textId="77777777" w:rsidTr="00FD2A8A">
        <w:tc>
          <w:tcPr>
            <w:tcW w:w="9758" w:type="dxa"/>
            <w:gridSpan w:val="3"/>
            <w:vAlign w:val="center"/>
          </w:tcPr>
          <w:p w14:paraId="49707672" w14:textId="77777777" w:rsidR="0062298A" w:rsidRPr="006C38A5" w:rsidRDefault="0062298A" w:rsidP="006C4607">
            <w:pPr>
              <w:pStyle w:val="naisnod"/>
              <w:spacing w:before="0" w:after="0"/>
              <w:rPr>
                <w:sz w:val="22"/>
                <w:szCs w:val="22"/>
              </w:rPr>
            </w:pPr>
            <w:r w:rsidRPr="006C38A5">
              <w:rPr>
                <w:sz w:val="22"/>
                <w:szCs w:val="22"/>
              </w:rPr>
              <w:t>II</w:t>
            </w:r>
            <w:r w:rsidR="000941C5" w:rsidRPr="006C38A5">
              <w:rPr>
                <w:sz w:val="22"/>
                <w:szCs w:val="22"/>
              </w:rPr>
              <w:t>.</w:t>
            </w:r>
            <w:r w:rsidRPr="006C38A5">
              <w:rPr>
                <w:sz w:val="22"/>
                <w:szCs w:val="22"/>
              </w:rPr>
              <w:t xml:space="preserve"> Tiesību akta projekta ietekme uz sabiedrību</w:t>
            </w:r>
            <w:r w:rsidR="00692EA2" w:rsidRPr="006C38A5">
              <w:rPr>
                <w:sz w:val="22"/>
                <w:szCs w:val="22"/>
              </w:rPr>
              <w:t>, tautsaimniecības attīstību un administratīvo slogu</w:t>
            </w:r>
          </w:p>
        </w:tc>
      </w:tr>
      <w:tr w:rsidR="0062298A" w:rsidRPr="006C38A5" w14:paraId="596D3BBD" w14:textId="77777777" w:rsidTr="00937B55">
        <w:trPr>
          <w:trHeight w:val="467"/>
        </w:trPr>
        <w:tc>
          <w:tcPr>
            <w:tcW w:w="572" w:type="dxa"/>
          </w:tcPr>
          <w:p w14:paraId="200EFCEF" w14:textId="77777777" w:rsidR="0062298A" w:rsidRPr="006C38A5" w:rsidRDefault="0062298A" w:rsidP="006C4607">
            <w:pPr>
              <w:pStyle w:val="naiskr"/>
              <w:spacing w:before="0" w:after="0"/>
            </w:pPr>
            <w:r w:rsidRPr="006C38A5">
              <w:t>1.</w:t>
            </w:r>
          </w:p>
        </w:tc>
        <w:tc>
          <w:tcPr>
            <w:tcW w:w="3686" w:type="dxa"/>
          </w:tcPr>
          <w:p w14:paraId="7A0A1FE2" w14:textId="77777777" w:rsidR="0062298A" w:rsidRPr="006C38A5" w:rsidRDefault="0062205F" w:rsidP="0062205F">
            <w:pPr>
              <w:pStyle w:val="naiskr"/>
              <w:spacing w:before="0" w:after="0"/>
              <w:jc w:val="both"/>
            </w:pPr>
            <w:r w:rsidRPr="006C38A5">
              <w:t xml:space="preserve">Sabiedrības mērķgrupas, kuras tiesiskais regulējums ietekmē vai varētu ietekmēt </w:t>
            </w:r>
          </w:p>
        </w:tc>
        <w:tc>
          <w:tcPr>
            <w:tcW w:w="5500" w:type="dxa"/>
          </w:tcPr>
          <w:p w14:paraId="717610BE" w14:textId="77777777" w:rsidR="0062298A" w:rsidRPr="006C38A5" w:rsidRDefault="009E12D7" w:rsidP="00A94521">
            <w:pPr>
              <w:pStyle w:val="naiskr"/>
              <w:spacing w:before="0" w:after="0"/>
              <w:ind w:hanging="57"/>
            </w:pPr>
            <w:r w:rsidRPr="006C38A5">
              <w:rPr>
                <w:iCs/>
              </w:rPr>
              <w:t> </w:t>
            </w:r>
            <w:r w:rsidR="00A94521" w:rsidRPr="006C38A5">
              <w:rPr>
                <w:iCs/>
              </w:rPr>
              <w:t>Valsts institūcijas, tai skaitā statistikas iestādes.</w:t>
            </w:r>
          </w:p>
        </w:tc>
      </w:tr>
      <w:tr w:rsidR="0062298A" w:rsidRPr="006C38A5" w14:paraId="29784EE9" w14:textId="77777777" w:rsidTr="00937B55">
        <w:trPr>
          <w:trHeight w:val="523"/>
        </w:trPr>
        <w:tc>
          <w:tcPr>
            <w:tcW w:w="572" w:type="dxa"/>
          </w:tcPr>
          <w:p w14:paraId="4E999F18" w14:textId="77777777" w:rsidR="0062298A" w:rsidRPr="006C38A5" w:rsidRDefault="0062298A" w:rsidP="006C4607">
            <w:pPr>
              <w:pStyle w:val="naiskr"/>
              <w:spacing w:before="0" w:after="0"/>
            </w:pPr>
            <w:r w:rsidRPr="006C38A5">
              <w:t>2.</w:t>
            </w:r>
          </w:p>
        </w:tc>
        <w:tc>
          <w:tcPr>
            <w:tcW w:w="3686" w:type="dxa"/>
          </w:tcPr>
          <w:p w14:paraId="767948F6" w14:textId="77777777" w:rsidR="00C1133D" w:rsidRPr="006C38A5" w:rsidRDefault="0062205F" w:rsidP="0062205F">
            <w:pPr>
              <w:pStyle w:val="naiskr"/>
              <w:spacing w:before="0" w:after="0"/>
              <w:jc w:val="both"/>
            </w:pPr>
            <w:r w:rsidRPr="006C38A5">
              <w:t>Tiesiskā regulējuma ietekme uz tautsaimniecību un administratīvo slogu</w:t>
            </w:r>
          </w:p>
        </w:tc>
        <w:tc>
          <w:tcPr>
            <w:tcW w:w="5500" w:type="dxa"/>
          </w:tcPr>
          <w:p w14:paraId="25F0FF21" w14:textId="77777777" w:rsidR="0062298A" w:rsidRPr="006C38A5" w:rsidRDefault="00A94521" w:rsidP="006C4607">
            <w:pPr>
              <w:pStyle w:val="naiskr"/>
              <w:spacing w:before="0" w:after="0"/>
            </w:pPr>
            <w:r w:rsidRPr="006C38A5">
              <w:t>MK noteikumu projekta tiesiskais regulējums nemaina sabiedrības mērķgrupas tiesības un pienākumus, kā arī veicamās darbības.</w:t>
            </w:r>
          </w:p>
        </w:tc>
      </w:tr>
      <w:tr w:rsidR="00EE0FC5" w:rsidRPr="006C38A5" w14:paraId="0D17B296" w14:textId="77777777" w:rsidTr="00937B55">
        <w:trPr>
          <w:trHeight w:val="517"/>
        </w:trPr>
        <w:tc>
          <w:tcPr>
            <w:tcW w:w="572" w:type="dxa"/>
          </w:tcPr>
          <w:p w14:paraId="077803C9" w14:textId="77777777" w:rsidR="00EE0FC5" w:rsidRPr="006C38A5" w:rsidRDefault="00EE0FC5" w:rsidP="006C4607">
            <w:pPr>
              <w:pStyle w:val="naiskr"/>
              <w:spacing w:before="0" w:after="0"/>
            </w:pPr>
            <w:r w:rsidRPr="006C38A5">
              <w:t>3.</w:t>
            </w:r>
          </w:p>
        </w:tc>
        <w:tc>
          <w:tcPr>
            <w:tcW w:w="3686" w:type="dxa"/>
          </w:tcPr>
          <w:p w14:paraId="2235DFE8" w14:textId="77777777" w:rsidR="00EE0FC5" w:rsidRPr="006C38A5" w:rsidRDefault="0062205F" w:rsidP="0062205F">
            <w:pPr>
              <w:pStyle w:val="naiskr"/>
              <w:spacing w:before="0" w:after="0"/>
              <w:jc w:val="both"/>
            </w:pPr>
            <w:r w:rsidRPr="006C38A5">
              <w:t>Administratīvo izmaksu monetārs novērtējums</w:t>
            </w:r>
          </w:p>
        </w:tc>
        <w:tc>
          <w:tcPr>
            <w:tcW w:w="5500" w:type="dxa"/>
          </w:tcPr>
          <w:p w14:paraId="07DB8F5E" w14:textId="0F1F9B42" w:rsidR="00172F00" w:rsidRPr="006C38A5" w:rsidRDefault="00172F00" w:rsidP="00486104">
            <w:r w:rsidRPr="00E6167D">
              <w:t>Valsts institūcijas Pakalpojumus saņem ikgadējā finanšu budžeta ietvaros.</w:t>
            </w:r>
          </w:p>
        </w:tc>
      </w:tr>
      <w:tr w:rsidR="00EE0FC5" w:rsidRPr="006C38A5" w14:paraId="4968F1E1" w14:textId="77777777" w:rsidTr="00937B55">
        <w:trPr>
          <w:trHeight w:val="517"/>
        </w:trPr>
        <w:tc>
          <w:tcPr>
            <w:tcW w:w="572" w:type="dxa"/>
          </w:tcPr>
          <w:p w14:paraId="612AE920" w14:textId="77777777" w:rsidR="00EE0FC5" w:rsidRPr="006C38A5" w:rsidRDefault="00EE0FC5" w:rsidP="006C4607">
            <w:pPr>
              <w:pStyle w:val="naiskr"/>
              <w:spacing w:before="0" w:after="0"/>
            </w:pPr>
            <w:r w:rsidRPr="006C38A5">
              <w:t>4.</w:t>
            </w:r>
          </w:p>
        </w:tc>
        <w:tc>
          <w:tcPr>
            <w:tcW w:w="3686" w:type="dxa"/>
          </w:tcPr>
          <w:p w14:paraId="463E5926" w14:textId="77777777" w:rsidR="00EE0FC5" w:rsidRPr="006C38A5" w:rsidRDefault="0062205F" w:rsidP="006C4607">
            <w:pPr>
              <w:pStyle w:val="naiskr"/>
              <w:spacing w:before="0" w:after="0"/>
            </w:pPr>
            <w:r w:rsidRPr="006C38A5">
              <w:t>Cita informācija</w:t>
            </w:r>
          </w:p>
        </w:tc>
        <w:tc>
          <w:tcPr>
            <w:tcW w:w="5500" w:type="dxa"/>
          </w:tcPr>
          <w:p w14:paraId="60EEEF8E" w14:textId="77777777" w:rsidR="00EE0FC5" w:rsidRPr="006C38A5" w:rsidRDefault="0062205F">
            <w:r w:rsidRPr="006C38A5">
              <w:t>Nav.</w:t>
            </w:r>
          </w:p>
        </w:tc>
      </w:tr>
    </w:tbl>
    <w:p w14:paraId="5A140FAA" w14:textId="77777777" w:rsidR="00AC315F" w:rsidRPr="006C38A5" w:rsidRDefault="00AC315F" w:rsidP="006C4607">
      <w:pPr>
        <w:pStyle w:val="naiskr"/>
        <w:tabs>
          <w:tab w:val="left" w:pos="2628"/>
        </w:tabs>
        <w:spacing w:before="0" w:after="0"/>
        <w:rPr>
          <w:i/>
        </w:rPr>
      </w:pPr>
    </w:p>
    <w:tbl>
      <w:tblPr>
        <w:tblStyle w:val="TableGrid"/>
        <w:tblW w:w="5398" w:type="pct"/>
        <w:tblInd w:w="-289" w:type="dxa"/>
        <w:tblLook w:val="04A0" w:firstRow="1" w:lastRow="0" w:firstColumn="1" w:lastColumn="0" w:noHBand="0" w:noVBand="1"/>
      </w:tblPr>
      <w:tblGrid>
        <w:gridCol w:w="540"/>
        <w:gridCol w:w="4318"/>
        <w:gridCol w:w="4924"/>
      </w:tblGrid>
      <w:tr w:rsidR="00AC70DC" w:rsidRPr="006C38A5" w14:paraId="65E382D5" w14:textId="77777777" w:rsidTr="00AC70DC">
        <w:trPr>
          <w:trHeight w:val="420"/>
        </w:trPr>
        <w:tc>
          <w:tcPr>
            <w:tcW w:w="5000" w:type="pct"/>
            <w:gridSpan w:val="3"/>
            <w:hideMark/>
          </w:tcPr>
          <w:p w14:paraId="4EA9DF2C" w14:textId="77777777" w:rsidR="00AC70DC" w:rsidRPr="006C38A5" w:rsidRDefault="00AC70DC" w:rsidP="00A949F5">
            <w:pPr>
              <w:spacing w:before="100" w:beforeAutospacing="1" w:after="100" w:afterAutospacing="1"/>
              <w:jc w:val="center"/>
              <w:rPr>
                <w:b/>
                <w:bCs/>
              </w:rPr>
            </w:pPr>
            <w:r w:rsidRPr="006C38A5">
              <w:rPr>
                <w:b/>
                <w:bCs/>
              </w:rPr>
              <w:lastRenderedPageBreak/>
              <w:t>VI. Sabiedrības līdzdalība un komunikācijas aktivitātes</w:t>
            </w:r>
          </w:p>
        </w:tc>
      </w:tr>
      <w:tr w:rsidR="00AC70DC" w:rsidRPr="006C38A5" w14:paraId="7664E5F5" w14:textId="77777777" w:rsidTr="00AC70DC">
        <w:trPr>
          <w:trHeight w:val="540"/>
        </w:trPr>
        <w:tc>
          <w:tcPr>
            <w:tcW w:w="276" w:type="pct"/>
            <w:hideMark/>
          </w:tcPr>
          <w:p w14:paraId="641F1C23" w14:textId="77777777" w:rsidR="00AC70DC" w:rsidRPr="006C38A5" w:rsidRDefault="00AC70DC" w:rsidP="00A949F5">
            <w:r w:rsidRPr="006C38A5">
              <w:t>1.</w:t>
            </w:r>
          </w:p>
        </w:tc>
        <w:tc>
          <w:tcPr>
            <w:tcW w:w="2207" w:type="pct"/>
            <w:hideMark/>
          </w:tcPr>
          <w:p w14:paraId="18876719" w14:textId="77777777" w:rsidR="00AC70DC" w:rsidRPr="006C38A5" w:rsidRDefault="00AC70DC" w:rsidP="00A949F5">
            <w:r w:rsidRPr="006C38A5">
              <w:t>Plānotās sabiedrības līdzdalības un komunikācijas aktivitātes saistībā ar projektu</w:t>
            </w:r>
          </w:p>
        </w:tc>
        <w:tc>
          <w:tcPr>
            <w:tcW w:w="2517" w:type="pct"/>
            <w:hideMark/>
          </w:tcPr>
          <w:p w14:paraId="1D8AF1A4" w14:textId="77777777" w:rsidR="00AC70DC" w:rsidRPr="006C38A5" w:rsidRDefault="00AC70DC" w:rsidP="00A949F5">
            <w:r w:rsidRPr="006C38A5">
              <w:t>Nav</w:t>
            </w:r>
          </w:p>
        </w:tc>
      </w:tr>
      <w:tr w:rsidR="00AC70DC" w:rsidRPr="006C38A5" w14:paraId="51268B35" w14:textId="77777777" w:rsidTr="00AC70DC">
        <w:trPr>
          <w:trHeight w:val="330"/>
        </w:trPr>
        <w:tc>
          <w:tcPr>
            <w:tcW w:w="276" w:type="pct"/>
            <w:hideMark/>
          </w:tcPr>
          <w:p w14:paraId="17D6EFDA" w14:textId="77777777" w:rsidR="00AC70DC" w:rsidRPr="006C38A5" w:rsidRDefault="00AC70DC" w:rsidP="00A949F5">
            <w:r w:rsidRPr="006C38A5">
              <w:t>2.</w:t>
            </w:r>
          </w:p>
        </w:tc>
        <w:tc>
          <w:tcPr>
            <w:tcW w:w="2207" w:type="pct"/>
            <w:hideMark/>
          </w:tcPr>
          <w:p w14:paraId="2BBC3DD0" w14:textId="77777777" w:rsidR="00AC70DC" w:rsidRPr="006C38A5" w:rsidRDefault="00AC70DC" w:rsidP="00A949F5">
            <w:r w:rsidRPr="006C38A5">
              <w:t>Sabiedrības līdzdalība projekta izstrādē</w:t>
            </w:r>
          </w:p>
        </w:tc>
        <w:tc>
          <w:tcPr>
            <w:tcW w:w="2517" w:type="pct"/>
            <w:hideMark/>
          </w:tcPr>
          <w:p w14:paraId="6F9C1034" w14:textId="4707EFB9" w:rsidR="00AC70DC" w:rsidRPr="006C38A5" w:rsidRDefault="00AC70DC" w:rsidP="00A03881">
            <w:r w:rsidRPr="006C38A5">
              <w:t xml:space="preserve">Centrālā statistikas pārvalde un Ekonomikas ministrija MK noteikumu projektu publicēja savā </w:t>
            </w:r>
            <w:r w:rsidR="00A03881">
              <w:t>tīmekļa vietnē</w:t>
            </w:r>
            <w:r w:rsidR="00A03881" w:rsidRPr="006C38A5">
              <w:t xml:space="preserve"> </w:t>
            </w:r>
            <w:r w:rsidRPr="006C38A5">
              <w:t xml:space="preserve">sabiedrības </w:t>
            </w:r>
            <w:r w:rsidR="00A03881">
              <w:t>līdzdalības nodrošināšanai.</w:t>
            </w:r>
          </w:p>
        </w:tc>
      </w:tr>
      <w:tr w:rsidR="00AC70DC" w:rsidRPr="006C38A5" w14:paraId="1E598B45" w14:textId="77777777" w:rsidTr="00AC70DC">
        <w:trPr>
          <w:trHeight w:val="465"/>
        </w:trPr>
        <w:tc>
          <w:tcPr>
            <w:tcW w:w="276" w:type="pct"/>
            <w:hideMark/>
          </w:tcPr>
          <w:p w14:paraId="4EB754E2" w14:textId="77777777" w:rsidR="00AC70DC" w:rsidRPr="006C38A5" w:rsidRDefault="00AC70DC" w:rsidP="00A949F5">
            <w:r w:rsidRPr="006C38A5">
              <w:t>3.</w:t>
            </w:r>
          </w:p>
        </w:tc>
        <w:tc>
          <w:tcPr>
            <w:tcW w:w="2207" w:type="pct"/>
            <w:hideMark/>
          </w:tcPr>
          <w:p w14:paraId="6A4039C4" w14:textId="77777777" w:rsidR="00AC70DC" w:rsidRPr="006C38A5" w:rsidRDefault="00AC70DC" w:rsidP="00A949F5">
            <w:r w:rsidRPr="006C38A5">
              <w:t>Sabiedrības līdzdalības rezultāti</w:t>
            </w:r>
          </w:p>
        </w:tc>
        <w:tc>
          <w:tcPr>
            <w:tcW w:w="2517" w:type="pct"/>
            <w:hideMark/>
          </w:tcPr>
          <w:p w14:paraId="3CF501F9" w14:textId="77777777" w:rsidR="00AC70DC" w:rsidRPr="006C38A5" w:rsidRDefault="00AC70DC" w:rsidP="00A949F5">
            <w:r w:rsidRPr="006C38A5">
              <w:t>Nav</w:t>
            </w:r>
          </w:p>
        </w:tc>
      </w:tr>
      <w:tr w:rsidR="00AC70DC" w:rsidRPr="006C38A5" w14:paraId="7BADAE0A" w14:textId="77777777" w:rsidTr="00AC70DC">
        <w:trPr>
          <w:trHeight w:val="465"/>
        </w:trPr>
        <w:tc>
          <w:tcPr>
            <w:tcW w:w="276" w:type="pct"/>
            <w:hideMark/>
          </w:tcPr>
          <w:p w14:paraId="6C40996D" w14:textId="77777777" w:rsidR="00AC70DC" w:rsidRPr="006C38A5" w:rsidRDefault="00AC70DC" w:rsidP="00A949F5">
            <w:r w:rsidRPr="006C38A5">
              <w:t>4.</w:t>
            </w:r>
          </w:p>
        </w:tc>
        <w:tc>
          <w:tcPr>
            <w:tcW w:w="2207" w:type="pct"/>
            <w:hideMark/>
          </w:tcPr>
          <w:p w14:paraId="054ACFC1" w14:textId="77777777" w:rsidR="00AC70DC" w:rsidRPr="006C38A5" w:rsidRDefault="00AC70DC" w:rsidP="00A949F5">
            <w:r w:rsidRPr="006C38A5">
              <w:t>Cita informācija</w:t>
            </w:r>
          </w:p>
        </w:tc>
        <w:tc>
          <w:tcPr>
            <w:tcW w:w="2517" w:type="pct"/>
            <w:hideMark/>
          </w:tcPr>
          <w:p w14:paraId="2210DAFC" w14:textId="77777777" w:rsidR="00AC70DC" w:rsidRPr="006C38A5" w:rsidRDefault="00AC70DC" w:rsidP="00A949F5">
            <w:pPr>
              <w:spacing w:before="100" w:beforeAutospacing="1" w:after="100" w:afterAutospacing="1"/>
            </w:pPr>
            <w:r w:rsidRPr="006C38A5">
              <w:t>Nav</w:t>
            </w:r>
          </w:p>
        </w:tc>
      </w:tr>
    </w:tbl>
    <w:p w14:paraId="50FAB430" w14:textId="77777777" w:rsidR="00AC70DC" w:rsidRPr="006C38A5" w:rsidRDefault="00AC70DC" w:rsidP="006C4607">
      <w:pPr>
        <w:pStyle w:val="naiskr"/>
        <w:tabs>
          <w:tab w:val="left" w:pos="2628"/>
        </w:tabs>
        <w:spacing w:before="0" w:after="0"/>
        <w:rPr>
          <w:i/>
        </w:rPr>
      </w:pPr>
    </w:p>
    <w:p w14:paraId="3CDF6756" w14:textId="77777777" w:rsidR="00AC70DC" w:rsidRPr="006C38A5" w:rsidRDefault="00AC70DC" w:rsidP="006C4607">
      <w:pPr>
        <w:pStyle w:val="naiskr"/>
        <w:tabs>
          <w:tab w:val="left" w:pos="2628"/>
        </w:tabs>
        <w:spacing w:before="0" w:after="0"/>
        <w:rPr>
          <w:i/>
        </w:rPr>
      </w:pPr>
    </w:p>
    <w:tbl>
      <w:tblPr>
        <w:tblW w:w="970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4"/>
        <w:gridCol w:w="3657"/>
        <w:gridCol w:w="5487"/>
      </w:tblGrid>
      <w:tr w:rsidR="0023436E" w:rsidRPr="006C38A5" w14:paraId="563B7E35" w14:textId="77777777" w:rsidTr="00A94DC2">
        <w:trPr>
          <w:trHeight w:val="275"/>
        </w:trPr>
        <w:tc>
          <w:tcPr>
            <w:tcW w:w="9708" w:type="dxa"/>
            <w:gridSpan w:val="3"/>
            <w:tcBorders>
              <w:top w:val="single" w:sz="4" w:space="0" w:color="auto"/>
            </w:tcBorders>
          </w:tcPr>
          <w:p w14:paraId="618C162C" w14:textId="77777777" w:rsidR="0023436E" w:rsidRPr="006C38A5" w:rsidRDefault="0023436E" w:rsidP="007D099D">
            <w:pPr>
              <w:pStyle w:val="naisnod"/>
              <w:spacing w:before="0" w:after="0"/>
              <w:ind w:left="57" w:right="57"/>
            </w:pPr>
            <w:r w:rsidRPr="006C38A5">
              <w:t>VII</w:t>
            </w:r>
            <w:r w:rsidR="000941C5" w:rsidRPr="006C38A5">
              <w:t>.</w:t>
            </w:r>
            <w:r w:rsidRPr="006C38A5">
              <w:t xml:space="preserve"> Tiesību akta projekta izpildes nodrošināšana un tās ietekme uz institūcijām</w:t>
            </w:r>
          </w:p>
        </w:tc>
      </w:tr>
      <w:tr w:rsidR="000078D2" w:rsidRPr="006C38A5" w14:paraId="155A05CF" w14:textId="77777777" w:rsidTr="00D810A6">
        <w:trPr>
          <w:trHeight w:val="434"/>
        </w:trPr>
        <w:tc>
          <w:tcPr>
            <w:tcW w:w="564" w:type="dxa"/>
          </w:tcPr>
          <w:p w14:paraId="4365AA7E" w14:textId="77777777" w:rsidR="000078D2" w:rsidRPr="006C38A5" w:rsidRDefault="000078D2" w:rsidP="007D099D">
            <w:pPr>
              <w:pStyle w:val="naisnod"/>
              <w:spacing w:before="0" w:after="0"/>
              <w:ind w:left="57" w:right="57"/>
              <w:jc w:val="left"/>
              <w:rPr>
                <w:b w:val="0"/>
              </w:rPr>
            </w:pPr>
            <w:r w:rsidRPr="006C38A5">
              <w:rPr>
                <w:b w:val="0"/>
              </w:rPr>
              <w:t>1.</w:t>
            </w:r>
          </w:p>
        </w:tc>
        <w:tc>
          <w:tcPr>
            <w:tcW w:w="3657" w:type="dxa"/>
          </w:tcPr>
          <w:p w14:paraId="2E4A8B8D" w14:textId="77777777" w:rsidR="000078D2" w:rsidRPr="006C38A5" w:rsidRDefault="00A94DC2" w:rsidP="00A94DC2">
            <w:pPr>
              <w:pStyle w:val="naisf"/>
              <w:spacing w:before="0" w:after="0"/>
              <w:ind w:left="57" w:right="57" w:firstLine="0"/>
            </w:pPr>
            <w:r w:rsidRPr="006C38A5">
              <w:t>Projekta izpildē iesaistītās institūcijas</w:t>
            </w:r>
          </w:p>
        </w:tc>
        <w:tc>
          <w:tcPr>
            <w:tcW w:w="5487" w:type="dxa"/>
          </w:tcPr>
          <w:p w14:paraId="7CD869A6" w14:textId="16846BBE" w:rsidR="000078D2" w:rsidRPr="006C38A5" w:rsidRDefault="00A03881" w:rsidP="00A94521">
            <w:pPr>
              <w:pStyle w:val="naiskr"/>
              <w:jc w:val="both"/>
            </w:pPr>
            <w:r>
              <w:t>MK</w:t>
            </w:r>
            <w:r w:rsidR="000078D2" w:rsidRPr="006C38A5">
              <w:t xml:space="preserve"> noteikumu projekta izpildi nodrošinās </w:t>
            </w:r>
            <w:r w:rsidR="00A94521" w:rsidRPr="006C38A5">
              <w:t>statistikas iestādes</w:t>
            </w:r>
            <w:r w:rsidR="000078D2" w:rsidRPr="006C38A5">
              <w:t xml:space="preserve">. </w:t>
            </w:r>
          </w:p>
        </w:tc>
      </w:tr>
      <w:tr w:rsidR="000078D2" w:rsidRPr="006C38A5" w14:paraId="7DA0DF5A" w14:textId="77777777" w:rsidTr="00D810A6">
        <w:trPr>
          <w:trHeight w:val="471"/>
        </w:trPr>
        <w:tc>
          <w:tcPr>
            <w:tcW w:w="564" w:type="dxa"/>
          </w:tcPr>
          <w:p w14:paraId="399D9D75" w14:textId="77777777" w:rsidR="000078D2" w:rsidRPr="006C38A5" w:rsidRDefault="000078D2" w:rsidP="007D099D">
            <w:pPr>
              <w:pStyle w:val="naisnod"/>
              <w:spacing w:before="0" w:after="0"/>
              <w:ind w:left="57" w:right="57"/>
              <w:jc w:val="left"/>
              <w:rPr>
                <w:b w:val="0"/>
              </w:rPr>
            </w:pPr>
            <w:r w:rsidRPr="006C38A5">
              <w:rPr>
                <w:b w:val="0"/>
              </w:rPr>
              <w:t>2.</w:t>
            </w:r>
          </w:p>
        </w:tc>
        <w:tc>
          <w:tcPr>
            <w:tcW w:w="3657" w:type="dxa"/>
          </w:tcPr>
          <w:p w14:paraId="6EAE6160" w14:textId="77777777" w:rsidR="00A94DC2" w:rsidRPr="006C38A5" w:rsidRDefault="00A94DC2" w:rsidP="00A94DC2">
            <w:pPr>
              <w:jc w:val="both"/>
            </w:pPr>
            <w:r w:rsidRPr="006C38A5">
              <w:t xml:space="preserve">Projekta izpildes ietekme uz pārvaldes funkcijām un institucionālo struktūru. </w:t>
            </w:r>
          </w:p>
          <w:p w14:paraId="32DA91D8" w14:textId="77777777" w:rsidR="00A94DC2" w:rsidRPr="006C38A5" w:rsidRDefault="00A94DC2" w:rsidP="00A94DC2">
            <w:pPr>
              <w:jc w:val="both"/>
            </w:pPr>
            <w:r w:rsidRPr="006C38A5">
              <w:t>Jaunu institūciju izveide, esošu institūciju likvidācija vai reorganizācija, to ietekme uz institūcijas cilvēkresursiem</w:t>
            </w:r>
          </w:p>
          <w:p w14:paraId="0619C997" w14:textId="77777777" w:rsidR="000078D2" w:rsidRPr="006C38A5" w:rsidRDefault="000078D2" w:rsidP="007D099D">
            <w:pPr>
              <w:pStyle w:val="naisf"/>
              <w:spacing w:before="0" w:after="0"/>
              <w:ind w:left="57" w:right="57" w:firstLine="0"/>
              <w:jc w:val="left"/>
            </w:pPr>
          </w:p>
        </w:tc>
        <w:tc>
          <w:tcPr>
            <w:tcW w:w="5487" w:type="dxa"/>
          </w:tcPr>
          <w:p w14:paraId="26574939" w14:textId="77777777" w:rsidR="000078D2" w:rsidRPr="006C38A5" w:rsidRDefault="000078D2" w:rsidP="004B42A0">
            <w:pPr>
              <w:pStyle w:val="naiskr"/>
              <w:jc w:val="both"/>
            </w:pPr>
            <w:r w:rsidRPr="006C38A5">
              <w:t xml:space="preserve">Veicamās funkcijas un uzdevumi netiek paplašināti vai sašaurināti. </w:t>
            </w:r>
          </w:p>
        </w:tc>
      </w:tr>
      <w:tr w:rsidR="000078D2" w:rsidRPr="006C38A5" w14:paraId="5D44B797" w14:textId="77777777" w:rsidTr="00D810A6">
        <w:trPr>
          <w:trHeight w:val="737"/>
        </w:trPr>
        <w:tc>
          <w:tcPr>
            <w:tcW w:w="564" w:type="dxa"/>
          </w:tcPr>
          <w:p w14:paraId="1FA5831F" w14:textId="77777777" w:rsidR="000078D2" w:rsidRPr="006C38A5" w:rsidRDefault="000078D2" w:rsidP="007D099D">
            <w:pPr>
              <w:pStyle w:val="naisnod"/>
              <w:spacing w:before="0" w:after="0"/>
              <w:ind w:left="57" w:right="57"/>
              <w:jc w:val="left"/>
              <w:rPr>
                <w:b w:val="0"/>
              </w:rPr>
            </w:pPr>
            <w:r w:rsidRPr="006C38A5">
              <w:rPr>
                <w:b w:val="0"/>
              </w:rPr>
              <w:t>3.</w:t>
            </w:r>
          </w:p>
        </w:tc>
        <w:tc>
          <w:tcPr>
            <w:tcW w:w="3657" w:type="dxa"/>
          </w:tcPr>
          <w:p w14:paraId="2BA406D1" w14:textId="77777777" w:rsidR="000078D2" w:rsidRPr="006C38A5" w:rsidRDefault="00A94DC2" w:rsidP="007D099D">
            <w:pPr>
              <w:pStyle w:val="naisf"/>
              <w:spacing w:before="0" w:after="0"/>
              <w:ind w:left="57" w:right="57" w:firstLine="0"/>
              <w:jc w:val="left"/>
            </w:pPr>
            <w:r w:rsidRPr="006C38A5">
              <w:t>Cita informācija</w:t>
            </w:r>
          </w:p>
        </w:tc>
        <w:tc>
          <w:tcPr>
            <w:tcW w:w="5487" w:type="dxa"/>
          </w:tcPr>
          <w:p w14:paraId="4EA64F80" w14:textId="77777777" w:rsidR="000078D2" w:rsidRPr="006C38A5" w:rsidRDefault="00A94DC2" w:rsidP="004B42A0">
            <w:pPr>
              <w:pStyle w:val="naiskr"/>
              <w:jc w:val="both"/>
            </w:pPr>
            <w:r w:rsidRPr="006C38A5">
              <w:t>Nav</w:t>
            </w:r>
            <w:r w:rsidR="000078D2" w:rsidRPr="006C38A5">
              <w:t xml:space="preserve">. </w:t>
            </w:r>
          </w:p>
        </w:tc>
      </w:tr>
    </w:tbl>
    <w:p w14:paraId="304410BF" w14:textId="77777777" w:rsidR="00214094" w:rsidRPr="006C38A5" w:rsidRDefault="00214094" w:rsidP="006C4607">
      <w:pPr>
        <w:pStyle w:val="naisf"/>
        <w:tabs>
          <w:tab w:val="left" w:pos="5760"/>
        </w:tabs>
        <w:spacing w:before="0" w:after="0"/>
        <w:ind w:firstLine="720"/>
      </w:pPr>
    </w:p>
    <w:p w14:paraId="3E4330A6" w14:textId="77777777" w:rsidR="000078D2" w:rsidRPr="006C38A5" w:rsidRDefault="000078D2" w:rsidP="000078D2">
      <w:pPr>
        <w:pStyle w:val="naisf"/>
        <w:spacing w:before="0" w:after="0"/>
      </w:pPr>
      <w:r w:rsidRPr="006C38A5">
        <w:t xml:space="preserve">Anotācijas III, </w:t>
      </w:r>
      <w:r w:rsidR="00AC70DC" w:rsidRPr="006C38A5">
        <w:t>IV, un V</w:t>
      </w:r>
      <w:r w:rsidRPr="006C38A5">
        <w:t xml:space="preserve"> sadaļa – projekts šīs jomas neskar.</w:t>
      </w:r>
    </w:p>
    <w:p w14:paraId="32AE322A" w14:textId="77777777" w:rsidR="00937B55" w:rsidRPr="006C38A5" w:rsidRDefault="00937B55" w:rsidP="000078D2">
      <w:pPr>
        <w:pStyle w:val="naisf"/>
        <w:spacing w:before="0" w:after="0"/>
      </w:pPr>
    </w:p>
    <w:p w14:paraId="5FC73146" w14:textId="77777777" w:rsidR="004D6DC6" w:rsidRPr="006C38A5" w:rsidRDefault="004D6DC6" w:rsidP="000078D2">
      <w:pPr>
        <w:pStyle w:val="naisf"/>
        <w:spacing w:before="0" w:after="0"/>
      </w:pPr>
    </w:p>
    <w:p w14:paraId="77BA3739" w14:textId="77777777" w:rsidR="00975279" w:rsidRPr="006C38A5" w:rsidRDefault="00975279" w:rsidP="00975279">
      <w:pPr>
        <w:pStyle w:val="naisf"/>
        <w:tabs>
          <w:tab w:val="left" w:pos="6804"/>
        </w:tabs>
      </w:pPr>
      <w:r w:rsidRPr="006C38A5">
        <w:t>Ekonomikas ministre</w:t>
      </w:r>
      <w:r w:rsidRPr="006C38A5">
        <w:tab/>
        <w:t xml:space="preserve"> D. Reizniece-Ozola</w:t>
      </w:r>
    </w:p>
    <w:p w14:paraId="3DE57C05" w14:textId="77777777" w:rsidR="00975279" w:rsidRPr="006C38A5" w:rsidRDefault="00975279" w:rsidP="00975279">
      <w:pPr>
        <w:pStyle w:val="naisf"/>
        <w:tabs>
          <w:tab w:val="left" w:pos="6804"/>
        </w:tabs>
      </w:pPr>
    </w:p>
    <w:p w14:paraId="27D39E77" w14:textId="77777777" w:rsidR="00975279" w:rsidRPr="006C38A5" w:rsidRDefault="00975279" w:rsidP="00975279">
      <w:pPr>
        <w:pStyle w:val="naisf"/>
        <w:tabs>
          <w:tab w:val="left" w:pos="6804"/>
        </w:tabs>
      </w:pPr>
    </w:p>
    <w:p w14:paraId="7C72FC1D" w14:textId="77777777" w:rsidR="004D6DC6" w:rsidRPr="006C38A5" w:rsidRDefault="00975279" w:rsidP="00975279">
      <w:pPr>
        <w:pStyle w:val="naisf"/>
        <w:tabs>
          <w:tab w:val="left" w:pos="6804"/>
        </w:tabs>
      </w:pPr>
      <w:r w:rsidRPr="006C38A5">
        <w:t>Vīza: Valsts sekretārs</w:t>
      </w:r>
      <w:r w:rsidRPr="006C38A5">
        <w:tab/>
        <w:t xml:space="preserve">  R. Beinarovičs</w:t>
      </w:r>
    </w:p>
    <w:p w14:paraId="623EF046" w14:textId="77777777" w:rsidR="0015060C" w:rsidRPr="006C38A5" w:rsidRDefault="0015060C" w:rsidP="0071473A">
      <w:pPr>
        <w:pStyle w:val="naisf"/>
        <w:tabs>
          <w:tab w:val="left" w:pos="6804"/>
        </w:tabs>
        <w:spacing w:before="0" w:after="0"/>
        <w:ind w:firstLine="0"/>
        <w:rPr>
          <w:sz w:val="28"/>
          <w:szCs w:val="28"/>
        </w:rPr>
      </w:pPr>
    </w:p>
    <w:p w14:paraId="2394A47E" w14:textId="6C40DFD1" w:rsidR="00A94DC2" w:rsidRPr="006C38A5" w:rsidRDefault="00834A63" w:rsidP="00834A63">
      <w:pPr>
        <w:pStyle w:val="naisf"/>
        <w:tabs>
          <w:tab w:val="left" w:pos="5748"/>
        </w:tabs>
        <w:spacing w:before="0" w:after="0"/>
        <w:ind w:firstLine="0"/>
        <w:rPr>
          <w:sz w:val="28"/>
          <w:szCs w:val="28"/>
        </w:rPr>
      </w:pPr>
      <w:r>
        <w:rPr>
          <w:sz w:val="28"/>
          <w:szCs w:val="28"/>
        </w:rPr>
        <w:tab/>
      </w:r>
    </w:p>
    <w:p w14:paraId="1877414E" w14:textId="77777777" w:rsidR="00931B74" w:rsidRPr="006C38A5" w:rsidRDefault="00931B74" w:rsidP="00931B74">
      <w:pPr>
        <w:jc w:val="both"/>
        <w:rPr>
          <w:rFonts w:eastAsia="Calibri"/>
          <w:sz w:val="20"/>
          <w:szCs w:val="20"/>
        </w:rPr>
      </w:pPr>
    </w:p>
    <w:p w14:paraId="32110469" w14:textId="77777777" w:rsidR="00975279" w:rsidRPr="006C38A5" w:rsidRDefault="00975279" w:rsidP="00931B74">
      <w:pPr>
        <w:jc w:val="both"/>
        <w:rPr>
          <w:rFonts w:eastAsia="Calibri"/>
          <w:sz w:val="20"/>
          <w:szCs w:val="20"/>
        </w:rPr>
      </w:pPr>
    </w:p>
    <w:p w14:paraId="51E2F707" w14:textId="77777777" w:rsidR="00975279" w:rsidRPr="006C38A5" w:rsidRDefault="00975279" w:rsidP="00931B74">
      <w:pPr>
        <w:jc w:val="both"/>
        <w:rPr>
          <w:rFonts w:eastAsia="Calibri"/>
          <w:sz w:val="20"/>
          <w:szCs w:val="20"/>
        </w:rPr>
      </w:pPr>
    </w:p>
    <w:p w14:paraId="0B2B9AF1" w14:textId="50B7809A" w:rsidR="00975279" w:rsidRPr="006C38A5" w:rsidRDefault="003944C8" w:rsidP="00975279">
      <w:pPr>
        <w:tabs>
          <w:tab w:val="right" w:pos="8306"/>
        </w:tabs>
        <w:rPr>
          <w:sz w:val="20"/>
          <w:szCs w:val="20"/>
        </w:rPr>
      </w:pPr>
      <w:r>
        <w:rPr>
          <w:sz w:val="20"/>
          <w:szCs w:val="20"/>
        </w:rPr>
        <w:t>15</w:t>
      </w:r>
      <w:r w:rsidR="00F65881">
        <w:rPr>
          <w:sz w:val="20"/>
          <w:szCs w:val="20"/>
        </w:rPr>
        <w:t>.12</w:t>
      </w:r>
      <w:r w:rsidR="00975279" w:rsidRPr="006C38A5">
        <w:rPr>
          <w:sz w:val="20"/>
          <w:szCs w:val="20"/>
        </w:rPr>
        <w:t>.2015</w:t>
      </w:r>
    </w:p>
    <w:p w14:paraId="22E3C966" w14:textId="77777777" w:rsidR="00975279" w:rsidRPr="006C38A5" w:rsidRDefault="00975279" w:rsidP="00975279">
      <w:pPr>
        <w:rPr>
          <w:sz w:val="20"/>
          <w:szCs w:val="20"/>
        </w:rPr>
      </w:pPr>
      <w:r w:rsidRPr="006C38A5">
        <w:rPr>
          <w:sz w:val="20"/>
          <w:szCs w:val="20"/>
        </w:rPr>
        <w:fldChar w:fldCharType="begin"/>
      </w:r>
      <w:r w:rsidRPr="006C38A5">
        <w:rPr>
          <w:sz w:val="20"/>
          <w:szCs w:val="20"/>
        </w:rPr>
        <w:instrText xml:space="preserve"> NUMWORDS  \* MERGEFORMAT </w:instrText>
      </w:r>
      <w:r w:rsidRPr="006C38A5">
        <w:rPr>
          <w:sz w:val="20"/>
          <w:szCs w:val="20"/>
        </w:rPr>
        <w:fldChar w:fldCharType="separate"/>
      </w:r>
      <w:r w:rsidR="00F54686">
        <w:rPr>
          <w:noProof/>
          <w:sz w:val="20"/>
          <w:szCs w:val="20"/>
        </w:rPr>
        <w:t>812</w:t>
      </w:r>
      <w:r w:rsidRPr="006C38A5">
        <w:rPr>
          <w:sz w:val="20"/>
          <w:szCs w:val="20"/>
        </w:rPr>
        <w:fldChar w:fldCharType="end"/>
      </w:r>
    </w:p>
    <w:p w14:paraId="17B20A3A" w14:textId="77777777" w:rsidR="00975279" w:rsidRPr="006C38A5" w:rsidRDefault="00975279" w:rsidP="00975279">
      <w:pPr>
        <w:rPr>
          <w:sz w:val="20"/>
          <w:szCs w:val="20"/>
        </w:rPr>
      </w:pPr>
      <w:r w:rsidRPr="006C38A5">
        <w:rPr>
          <w:sz w:val="20"/>
          <w:szCs w:val="20"/>
        </w:rPr>
        <w:t>M.Deaks</w:t>
      </w:r>
    </w:p>
    <w:p w14:paraId="243F0114" w14:textId="77777777" w:rsidR="00975279" w:rsidRPr="006C38A5" w:rsidRDefault="00975279" w:rsidP="00975279">
      <w:pPr>
        <w:rPr>
          <w:sz w:val="20"/>
          <w:szCs w:val="20"/>
        </w:rPr>
      </w:pPr>
      <w:r w:rsidRPr="006C38A5">
        <w:rPr>
          <w:sz w:val="20"/>
          <w:szCs w:val="20"/>
        </w:rPr>
        <w:t xml:space="preserve">67366642 </w:t>
      </w:r>
    </w:p>
    <w:p w14:paraId="201923F9" w14:textId="77777777" w:rsidR="00975279" w:rsidRPr="005F0DA1" w:rsidRDefault="00975279" w:rsidP="00975279">
      <w:pPr>
        <w:rPr>
          <w:sz w:val="20"/>
          <w:szCs w:val="20"/>
        </w:rPr>
      </w:pPr>
      <w:r w:rsidRPr="006C38A5">
        <w:rPr>
          <w:sz w:val="20"/>
          <w:szCs w:val="20"/>
        </w:rPr>
        <w:t>Madars.Deaks@csb.gov.lv</w:t>
      </w:r>
    </w:p>
    <w:p w14:paraId="4D26DD88" w14:textId="77777777" w:rsidR="00A94DC2" w:rsidRPr="007C0F2C" w:rsidRDefault="00A94DC2" w:rsidP="0071473A">
      <w:pPr>
        <w:pStyle w:val="naisf"/>
        <w:tabs>
          <w:tab w:val="left" w:pos="6804"/>
        </w:tabs>
        <w:spacing w:before="0" w:after="0"/>
        <w:ind w:firstLine="0"/>
        <w:rPr>
          <w:sz w:val="28"/>
          <w:szCs w:val="28"/>
        </w:rPr>
      </w:pPr>
    </w:p>
    <w:sectPr w:rsidR="00A94DC2" w:rsidRPr="007C0F2C" w:rsidSect="0000546B">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ADE" w14:textId="77777777" w:rsidR="00DE0540" w:rsidRDefault="00DE0540">
      <w:r>
        <w:separator/>
      </w:r>
    </w:p>
  </w:endnote>
  <w:endnote w:type="continuationSeparator" w:id="0">
    <w:p w14:paraId="16B17DE6" w14:textId="77777777" w:rsidR="00DE0540" w:rsidRDefault="00DE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99E84" w14:textId="2DF2F56B" w:rsidR="00975279" w:rsidRPr="00975279" w:rsidRDefault="00975279" w:rsidP="00975279">
    <w:pPr>
      <w:pStyle w:val="Footer"/>
      <w:tabs>
        <w:tab w:val="clear" w:pos="8306"/>
        <w:tab w:val="left" w:pos="7552"/>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944C8">
      <w:rPr>
        <w:noProof/>
        <w:sz w:val="20"/>
        <w:szCs w:val="20"/>
      </w:rPr>
      <w:t>EMAnot_151215_statistika.docx</w:t>
    </w:r>
    <w:r>
      <w:rPr>
        <w:sz w:val="20"/>
        <w:szCs w:val="20"/>
      </w:rPr>
      <w:fldChar w:fldCharType="end"/>
    </w:r>
    <w:r>
      <w:rPr>
        <w:sz w:val="20"/>
        <w:szCs w:val="20"/>
      </w:rPr>
      <w:t xml:space="preserve">; </w:t>
    </w:r>
    <w:r w:rsidRPr="00017A49">
      <w:rPr>
        <w:rFonts w:cs="Arial"/>
        <w:kern w:val="32"/>
        <w:sz w:val="20"/>
        <w:szCs w:val="20"/>
        <w:lang w:eastAsia="en-US"/>
      </w:rPr>
      <w:t>Mini</w:t>
    </w:r>
    <w:r>
      <w:rPr>
        <w:rFonts w:cs="Arial"/>
        <w:kern w:val="32"/>
        <w:sz w:val="20"/>
        <w:szCs w:val="20"/>
        <w:lang w:eastAsia="en-US"/>
      </w:rPr>
      <w:t>stru kabineta noteikumu projekta</w:t>
    </w:r>
    <w:r w:rsidRPr="00017A49">
      <w:rPr>
        <w:rFonts w:cs="Arial"/>
        <w:kern w:val="32"/>
        <w:sz w:val="20"/>
        <w:szCs w:val="20"/>
        <w:lang w:eastAsia="en-US"/>
      </w:rPr>
      <w:t xml:space="preserve"> „</w:t>
    </w:r>
    <w:r w:rsidR="00834A63" w:rsidRPr="00834A63">
      <w:rPr>
        <w:sz w:val="20"/>
        <w:szCs w:val="20"/>
      </w:rPr>
      <w:t>Statistikas izstrādes, datu iegūšanas, apstrādes, analīzes un izplatīšanas pakalpojumu nodrošināšanas izmaksu apmērs</w:t>
    </w:r>
    <w:r>
      <w:rPr>
        <w:sz w:val="20"/>
        <w:szCs w:val="20"/>
      </w:rPr>
      <w:t>”</w:t>
    </w:r>
    <w:r w:rsidRPr="00C0152F">
      <w:rPr>
        <w:sz w:val="20"/>
        <w:szCs w:val="20"/>
      </w:rPr>
      <w:t xml:space="preserve"> </w:t>
    </w:r>
    <w:r w:rsidRPr="00017A49">
      <w:rPr>
        <w:sz w:val="20"/>
        <w:szCs w:val="20"/>
      </w:rPr>
      <w:t>sākotnējās ietekmes novērtējuma ziņojums (anotācija)</w:t>
    </w:r>
  </w:p>
  <w:p w14:paraId="3612F6A2" w14:textId="77777777" w:rsidR="00C31E36" w:rsidRPr="00975279" w:rsidRDefault="00C31E36" w:rsidP="00975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ED14C" w14:textId="616E9C06" w:rsidR="00C31E36" w:rsidRPr="00975279" w:rsidRDefault="00975279" w:rsidP="00975279">
    <w:pPr>
      <w:pStyle w:val="Footer"/>
      <w:tabs>
        <w:tab w:val="clear" w:pos="8306"/>
        <w:tab w:val="left" w:pos="7552"/>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944C8">
      <w:rPr>
        <w:noProof/>
        <w:sz w:val="20"/>
        <w:szCs w:val="20"/>
      </w:rPr>
      <w:t>EMAnot_151215_statistika.docx</w:t>
    </w:r>
    <w:r>
      <w:rPr>
        <w:sz w:val="20"/>
        <w:szCs w:val="20"/>
      </w:rPr>
      <w:fldChar w:fldCharType="end"/>
    </w:r>
    <w:r>
      <w:rPr>
        <w:sz w:val="20"/>
        <w:szCs w:val="20"/>
      </w:rPr>
      <w:t xml:space="preserve">; </w:t>
    </w:r>
    <w:r w:rsidR="0078406F" w:rsidRPr="00017A49">
      <w:rPr>
        <w:rFonts w:cs="Arial"/>
        <w:kern w:val="32"/>
        <w:sz w:val="20"/>
        <w:szCs w:val="20"/>
        <w:lang w:eastAsia="en-US"/>
      </w:rPr>
      <w:t>Mini</w:t>
    </w:r>
    <w:r>
      <w:rPr>
        <w:rFonts w:cs="Arial"/>
        <w:kern w:val="32"/>
        <w:sz w:val="20"/>
        <w:szCs w:val="20"/>
        <w:lang w:eastAsia="en-US"/>
      </w:rPr>
      <w:t>stru kabineta noteikumu projekta</w:t>
    </w:r>
    <w:r w:rsidR="0078406F" w:rsidRPr="00017A49">
      <w:rPr>
        <w:rFonts w:cs="Arial"/>
        <w:kern w:val="32"/>
        <w:sz w:val="20"/>
        <w:szCs w:val="20"/>
        <w:lang w:eastAsia="en-US"/>
      </w:rPr>
      <w:t xml:space="preserve"> „</w:t>
    </w:r>
    <w:r w:rsidR="00834A63" w:rsidRPr="00834A63">
      <w:rPr>
        <w:sz w:val="20"/>
        <w:szCs w:val="20"/>
      </w:rPr>
      <w:t>Statistikas izstrādes, datu iegūšanas, apstrādes, analīzes un izplatīšanas pakalpojumu nodrošināšanas izmaksu apmērs</w:t>
    </w:r>
    <w:r>
      <w:rPr>
        <w:sz w:val="20"/>
        <w:szCs w:val="20"/>
      </w:rPr>
      <w:t>”</w:t>
    </w:r>
    <w:r w:rsidRPr="00C0152F">
      <w:rPr>
        <w:sz w:val="20"/>
        <w:szCs w:val="20"/>
      </w:rPr>
      <w:t xml:space="preserve"> </w:t>
    </w:r>
    <w:r w:rsidR="0078406F" w:rsidRPr="00017A49">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15A74" w14:textId="77777777" w:rsidR="00DE0540" w:rsidRDefault="00DE0540">
      <w:r>
        <w:separator/>
      </w:r>
    </w:p>
  </w:footnote>
  <w:footnote w:type="continuationSeparator" w:id="0">
    <w:p w14:paraId="202C659A" w14:textId="77777777" w:rsidR="00DE0540" w:rsidRDefault="00DE0540">
      <w:r>
        <w:continuationSeparator/>
      </w:r>
    </w:p>
  </w:footnote>
  <w:footnote w:id="1">
    <w:p w14:paraId="7A36463B" w14:textId="77777777" w:rsidR="007752C5" w:rsidRDefault="007752C5">
      <w:pPr>
        <w:pStyle w:val="FootnoteText"/>
      </w:pPr>
      <w:r>
        <w:rPr>
          <w:rStyle w:val="FootnoteReference"/>
        </w:rPr>
        <w:footnoteRef/>
      </w:r>
      <w:r>
        <w:t xml:space="preserve"> Aplūkojams: (</w:t>
      </w:r>
      <w:hyperlink r:id="rId1" w:history="1">
        <w:r w:rsidRPr="00010BB5">
          <w:rPr>
            <w:rStyle w:val="Hyperlink"/>
          </w:rPr>
          <w:t>https://www.vestnesis.lv/op/2015/118.3?search=on</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5D4DC" w14:textId="77777777"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4021E" w14:textId="77777777" w:rsidR="00C31E36" w:rsidRDefault="00C31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191F" w14:textId="77777777" w:rsidR="00EE0FC5" w:rsidRDefault="00017A49" w:rsidP="00017A49">
    <w:pPr>
      <w:pStyle w:val="Header"/>
      <w:tabs>
        <w:tab w:val="center" w:pos="4535"/>
        <w:tab w:val="left" w:pos="5940"/>
      </w:tabs>
    </w:pPr>
    <w:r>
      <w:tab/>
    </w:r>
    <w:r>
      <w:tab/>
    </w:r>
    <w:r w:rsidR="00EE0FC5">
      <w:fldChar w:fldCharType="begin"/>
    </w:r>
    <w:r w:rsidR="00EE0FC5">
      <w:instrText xml:space="preserve"> PAGE   \* MERGEFORMAT </w:instrText>
    </w:r>
    <w:r w:rsidR="00EE0FC5">
      <w:fldChar w:fldCharType="separate"/>
    </w:r>
    <w:r w:rsidR="00E222AF">
      <w:rPr>
        <w:noProof/>
      </w:rPr>
      <w:t>3</w:t>
    </w:r>
    <w:r w:rsidR="00EE0FC5">
      <w:rPr>
        <w:noProof/>
      </w:rPr>
      <w:fldChar w:fldCharType="end"/>
    </w:r>
    <w:r>
      <w:rPr>
        <w:noProof/>
      </w:rPr>
      <w:tab/>
    </w:r>
  </w:p>
  <w:p w14:paraId="3B39A256" w14:textId="77777777" w:rsidR="00C31E36" w:rsidRDefault="00C31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CD6E4E"/>
    <w:multiLevelType w:val="multilevel"/>
    <w:tmpl w:val="8A369D9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6101F58"/>
    <w:multiLevelType w:val="multilevel"/>
    <w:tmpl w:val="E6A271D4"/>
    <w:lvl w:ilvl="0">
      <w:start w:val="1"/>
      <w:numFmt w:val="decimal"/>
      <w:lvlText w:val="%1."/>
      <w:lvlJc w:val="left"/>
      <w:pPr>
        <w:tabs>
          <w:tab w:val="num" w:pos="555"/>
        </w:tabs>
        <w:ind w:left="555" w:hanging="360"/>
      </w:pPr>
    </w:lvl>
    <w:lvl w:ilvl="1">
      <w:start w:val="1"/>
      <w:numFmt w:val="decimal"/>
      <w:isLgl/>
      <w:lvlText w:val="%2."/>
      <w:lvlJc w:val="left"/>
      <w:pPr>
        <w:tabs>
          <w:tab w:val="num" w:pos="555"/>
        </w:tabs>
        <w:ind w:left="555" w:hanging="360"/>
      </w:pPr>
      <w:rPr>
        <w:rFonts w:ascii="Times New Roman" w:eastAsia="Times New Roman" w:hAnsi="Times New Roman" w:cs="Times New Roman"/>
      </w:rPr>
    </w:lvl>
    <w:lvl w:ilvl="2">
      <w:start w:val="1"/>
      <w:numFmt w:val="decimal"/>
      <w:isLgl/>
      <w:lvlText w:val="%1.%2.%3."/>
      <w:lvlJc w:val="left"/>
      <w:pPr>
        <w:tabs>
          <w:tab w:val="num" w:pos="915"/>
        </w:tabs>
        <w:ind w:left="915" w:hanging="720"/>
      </w:pPr>
      <w:rPr>
        <w:rFonts w:hint="default"/>
      </w:rPr>
    </w:lvl>
    <w:lvl w:ilvl="3">
      <w:start w:val="1"/>
      <w:numFmt w:val="decimal"/>
      <w:isLgl/>
      <w:lvlText w:val="%1.%2.%3.%4."/>
      <w:lvlJc w:val="left"/>
      <w:pPr>
        <w:tabs>
          <w:tab w:val="num" w:pos="915"/>
        </w:tabs>
        <w:ind w:left="915" w:hanging="720"/>
      </w:pPr>
      <w:rPr>
        <w:rFonts w:hint="default"/>
      </w:rPr>
    </w:lvl>
    <w:lvl w:ilvl="4">
      <w:start w:val="1"/>
      <w:numFmt w:val="decimal"/>
      <w:isLgl/>
      <w:lvlText w:val="%1.%2.%3.%4.%5."/>
      <w:lvlJc w:val="left"/>
      <w:pPr>
        <w:tabs>
          <w:tab w:val="num" w:pos="1275"/>
        </w:tabs>
        <w:ind w:left="1275" w:hanging="1080"/>
      </w:pPr>
      <w:rPr>
        <w:rFonts w:hint="default"/>
      </w:rPr>
    </w:lvl>
    <w:lvl w:ilvl="5">
      <w:start w:val="1"/>
      <w:numFmt w:val="decimal"/>
      <w:isLgl/>
      <w:lvlText w:val="%1.%2.%3.%4.%5.%6."/>
      <w:lvlJc w:val="left"/>
      <w:pPr>
        <w:tabs>
          <w:tab w:val="num" w:pos="1275"/>
        </w:tabs>
        <w:ind w:left="1275" w:hanging="1080"/>
      </w:pPr>
      <w:rPr>
        <w:rFonts w:hint="default"/>
      </w:rPr>
    </w:lvl>
    <w:lvl w:ilvl="6">
      <w:start w:val="1"/>
      <w:numFmt w:val="decimal"/>
      <w:isLgl/>
      <w:lvlText w:val="%1.%2.%3.%4.%5.%6.%7."/>
      <w:lvlJc w:val="left"/>
      <w:pPr>
        <w:tabs>
          <w:tab w:val="num" w:pos="1635"/>
        </w:tabs>
        <w:ind w:left="1635" w:hanging="1440"/>
      </w:pPr>
      <w:rPr>
        <w:rFonts w:hint="default"/>
      </w:rPr>
    </w:lvl>
    <w:lvl w:ilvl="7">
      <w:start w:val="1"/>
      <w:numFmt w:val="decimal"/>
      <w:isLgl/>
      <w:lvlText w:val="%1.%2.%3.%4.%5.%6.%7.%8."/>
      <w:lvlJc w:val="left"/>
      <w:pPr>
        <w:tabs>
          <w:tab w:val="num" w:pos="1635"/>
        </w:tabs>
        <w:ind w:left="1635" w:hanging="1440"/>
      </w:pPr>
      <w:rPr>
        <w:rFonts w:hint="default"/>
      </w:rPr>
    </w:lvl>
    <w:lvl w:ilvl="8">
      <w:start w:val="1"/>
      <w:numFmt w:val="decimal"/>
      <w:isLgl/>
      <w:lvlText w:val="%1.%2.%3.%4.%5.%6.%7.%8.%9."/>
      <w:lvlJc w:val="left"/>
      <w:pPr>
        <w:tabs>
          <w:tab w:val="num" w:pos="1995"/>
        </w:tabs>
        <w:ind w:left="1995" w:hanging="1800"/>
      </w:pPr>
      <w:rPr>
        <w:rFonts w:hint="default"/>
      </w:rPr>
    </w:lvl>
  </w:abstractNum>
  <w:abstractNum w:abstractNumId="3"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1922309"/>
    <w:multiLevelType w:val="hybridMultilevel"/>
    <w:tmpl w:val="993E681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4"/>
  </w:num>
  <w:num w:numId="3">
    <w:abstractNumId w:val="5"/>
  </w:num>
  <w:num w:numId="4">
    <w:abstractNumId w:val="3"/>
  </w:num>
  <w:num w:numId="5">
    <w:abstractNumId w:val="0"/>
  </w:num>
  <w:num w:numId="6">
    <w:abstractNumId w:val="11"/>
  </w:num>
  <w:num w:numId="7">
    <w:abstractNumId w:val="15"/>
  </w:num>
  <w:num w:numId="8">
    <w:abstractNumId w:val="7"/>
  </w:num>
  <w:num w:numId="9">
    <w:abstractNumId w:val="4"/>
  </w:num>
  <w:num w:numId="10">
    <w:abstractNumId w:val="8"/>
  </w:num>
  <w:num w:numId="11">
    <w:abstractNumId w:val="9"/>
  </w:num>
  <w:num w:numId="12">
    <w:abstractNumId w:val="12"/>
  </w:num>
  <w:num w:numId="13">
    <w:abstractNumId w:val="13"/>
  </w:num>
  <w:num w:numId="14">
    <w:abstractNumId w:val="2"/>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E4C"/>
    <w:rsid w:val="00002230"/>
    <w:rsid w:val="0000546B"/>
    <w:rsid w:val="000078D2"/>
    <w:rsid w:val="00011D24"/>
    <w:rsid w:val="00012399"/>
    <w:rsid w:val="00013FF4"/>
    <w:rsid w:val="00017A49"/>
    <w:rsid w:val="00020FE1"/>
    <w:rsid w:val="00022E13"/>
    <w:rsid w:val="00032388"/>
    <w:rsid w:val="00035CE2"/>
    <w:rsid w:val="00035F95"/>
    <w:rsid w:val="000519C8"/>
    <w:rsid w:val="0005553B"/>
    <w:rsid w:val="000565E3"/>
    <w:rsid w:val="00057FCA"/>
    <w:rsid w:val="000604D2"/>
    <w:rsid w:val="00060E94"/>
    <w:rsid w:val="000660CC"/>
    <w:rsid w:val="0008465B"/>
    <w:rsid w:val="00084C93"/>
    <w:rsid w:val="0009005E"/>
    <w:rsid w:val="000941C5"/>
    <w:rsid w:val="00095EEA"/>
    <w:rsid w:val="000A4208"/>
    <w:rsid w:val="000A4DF4"/>
    <w:rsid w:val="000A6451"/>
    <w:rsid w:val="000B064E"/>
    <w:rsid w:val="000B6528"/>
    <w:rsid w:val="000B69CF"/>
    <w:rsid w:val="000C4DFE"/>
    <w:rsid w:val="000C790C"/>
    <w:rsid w:val="000D1FC8"/>
    <w:rsid w:val="000E325E"/>
    <w:rsid w:val="000F061D"/>
    <w:rsid w:val="000F4794"/>
    <w:rsid w:val="000F662E"/>
    <w:rsid w:val="001022BC"/>
    <w:rsid w:val="00116A4A"/>
    <w:rsid w:val="00124F12"/>
    <w:rsid w:val="001270C9"/>
    <w:rsid w:val="001307EE"/>
    <w:rsid w:val="001323CF"/>
    <w:rsid w:val="00136DCF"/>
    <w:rsid w:val="00137D82"/>
    <w:rsid w:val="00144E3A"/>
    <w:rsid w:val="001479F1"/>
    <w:rsid w:val="0015060C"/>
    <w:rsid w:val="00153376"/>
    <w:rsid w:val="0016018A"/>
    <w:rsid w:val="00161F0E"/>
    <w:rsid w:val="00170E2A"/>
    <w:rsid w:val="00172BDD"/>
    <w:rsid w:val="00172F00"/>
    <w:rsid w:val="00175542"/>
    <w:rsid w:val="0017624A"/>
    <w:rsid w:val="0017694F"/>
    <w:rsid w:val="00177394"/>
    <w:rsid w:val="001802E4"/>
    <w:rsid w:val="00182C18"/>
    <w:rsid w:val="00183CC2"/>
    <w:rsid w:val="00183E46"/>
    <w:rsid w:val="00184705"/>
    <w:rsid w:val="001900E4"/>
    <w:rsid w:val="00190F88"/>
    <w:rsid w:val="00194808"/>
    <w:rsid w:val="0019489E"/>
    <w:rsid w:val="001A4066"/>
    <w:rsid w:val="001A4B81"/>
    <w:rsid w:val="001A6AE4"/>
    <w:rsid w:val="001A7397"/>
    <w:rsid w:val="001B01FD"/>
    <w:rsid w:val="001B3C32"/>
    <w:rsid w:val="001B4A71"/>
    <w:rsid w:val="001D4DBB"/>
    <w:rsid w:val="001D5B54"/>
    <w:rsid w:val="001D5E66"/>
    <w:rsid w:val="001D7C98"/>
    <w:rsid w:val="001E1DBF"/>
    <w:rsid w:val="001E4639"/>
    <w:rsid w:val="001E4A7D"/>
    <w:rsid w:val="001F4209"/>
    <w:rsid w:val="001F43A8"/>
    <w:rsid w:val="001F5CD6"/>
    <w:rsid w:val="0021263D"/>
    <w:rsid w:val="00213F0C"/>
    <w:rsid w:val="00214094"/>
    <w:rsid w:val="0021592D"/>
    <w:rsid w:val="00222A5F"/>
    <w:rsid w:val="00222D76"/>
    <w:rsid w:val="0022318A"/>
    <w:rsid w:val="00223EB1"/>
    <w:rsid w:val="002248A2"/>
    <w:rsid w:val="002300B8"/>
    <w:rsid w:val="00231344"/>
    <w:rsid w:val="0023436E"/>
    <w:rsid w:val="002347C0"/>
    <w:rsid w:val="002350E0"/>
    <w:rsid w:val="00241A6C"/>
    <w:rsid w:val="00242D2B"/>
    <w:rsid w:val="002437B1"/>
    <w:rsid w:val="00250323"/>
    <w:rsid w:val="00262E2B"/>
    <w:rsid w:val="00263BD5"/>
    <w:rsid w:val="00266861"/>
    <w:rsid w:val="00270429"/>
    <w:rsid w:val="002723E9"/>
    <w:rsid w:val="00277929"/>
    <w:rsid w:val="00277DA2"/>
    <w:rsid w:val="00283B82"/>
    <w:rsid w:val="002846E9"/>
    <w:rsid w:val="00284C34"/>
    <w:rsid w:val="0029066C"/>
    <w:rsid w:val="002929C2"/>
    <w:rsid w:val="002A573E"/>
    <w:rsid w:val="002B3E86"/>
    <w:rsid w:val="002B50DB"/>
    <w:rsid w:val="002C12AB"/>
    <w:rsid w:val="002C17DA"/>
    <w:rsid w:val="002C3604"/>
    <w:rsid w:val="002C7CAC"/>
    <w:rsid w:val="002D167F"/>
    <w:rsid w:val="002D19EA"/>
    <w:rsid w:val="002D3306"/>
    <w:rsid w:val="002D48AA"/>
    <w:rsid w:val="002D6A48"/>
    <w:rsid w:val="002D7130"/>
    <w:rsid w:val="002D7BAA"/>
    <w:rsid w:val="002D7F54"/>
    <w:rsid w:val="002E3FF4"/>
    <w:rsid w:val="002E5991"/>
    <w:rsid w:val="002E6B99"/>
    <w:rsid w:val="002F16FA"/>
    <w:rsid w:val="002F78C8"/>
    <w:rsid w:val="002F7D53"/>
    <w:rsid w:val="00301CF3"/>
    <w:rsid w:val="00302A79"/>
    <w:rsid w:val="00302F6A"/>
    <w:rsid w:val="00314BB0"/>
    <w:rsid w:val="00315700"/>
    <w:rsid w:val="0032430B"/>
    <w:rsid w:val="00326E04"/>
    <w:rsid w:val="0032715C"/>
    <w:rsid w:val="0033618D"/>
    <w:rsid w:val="00337CA5"/>
    <w:rsid w:val="00341B89"/>
    <w:rsid w:val="00351C6E"/>
    <w:rsid w:val="0035720E"/>
    <w:rsid w:val="00362478"/>
    <w:rsid w:val="0037214C"/>
    <w:rsid w:val="00375B25"/>
    <w:rsid w:val="0038132C"/>
    <w:rsid w:val="0038532A"/>
    <w:rsid w:val="00390D60"/>
    <w:rsid w:val="003944C8"/>
    <w:rsid w:val="00394871"/>
    <w:rsid w:val="00396542"/>
    <w:rsid w:val="0039685B"/>
    <w:rsid w:val="003A31A6"/>
    <w:rsid w:val="003A7F0C"/>
    <w:rsid w:val="003A7F79"/>
    <w:rsid w:val="003B4D40"/>
    <w:rsid w:val="003B6404"/>
    <w:rsid w:val="003C18B4"/>
    <w:rsid w:val="003C2606"/>
    <w:rsid w:val="003C449B"/>
    <w:rsid w:val="003C6392"/>
    <w:rsid w:val="003D21FF"/>
    <w:rsid w:val="003D6836"/>
    <w:rsid w:val="003E0C01"/>
    <w:rsid w:val="003F0112"/>
    <w:rsid w:val="003F071A"/>
    <w:rsid w:val="003F12EC"/>
    <w:rsid w:val="003F160B"/>
    <w:rsid w:val="00400032"/>
    <w:rsid w:val="00400B5B"/>
    <w:rsid w:val="00405A00"/>
    <w:rsid w:val="004068D0"/>
    <w:rsid w:val="0041522D"/>
    <w:rsid w:val="004154BF"/>
    <w:rsid w:val="00420870"/>
    <w:rsid w:val="00426206"/>
    <w:rsid w:val="00430646"/>
    <w:rsid w:val="00432D0C"/>
    <w:rsid w:val="0043791B"/>
    <w:rsid w:val="0044129E"/>
    <w:rsid w:val="00441483"/>
    <w:rsid w:val="00441BCB"/>
    <w:rsid w:val="00445669"/>
    <w:rsid w:val="0045176A"/>
    <w:rsid w:val="00456332"/>
    <w:rsid w:val="00461826"/>
    <w:rsid w:val="004800F9"/>
    <w:rsid w:val="00486104"/>
    <w:rsid w:val="0049134A"/>
    <w:rsid w:val="004923EC"/>
    <w:rsid w:val="004A09C6"/>
    <w:rsid w:val="004A4EC1"/>
    <w:rsid w:val="004A58CB"/>
    <w:rsid w:val="004A5C1C"/>
    <w:rsid w:val="004B1795"/>
    <w:rsid w:val="004B1957"/>
    <w:rsid w:val="004B42A0"/>
    <w:rsid w:val="004B56DD"/>
    <w:rsid w:val="004C020F"/>
    <w:rsid w:val="004C1AFD"/>
    <w:rsid w:val="004C2E21"/>
    <w:rsid w:val="004C558B"/>
    <w:rsid w:val="004D6DC6"/>
    <w:rsid w:val="004E03E8"/>
    <w:rsid w:val="004E3B50"/>
    <w:rsid w:val="004F1F88"/>
    <w:rsid w:val="004F5F1B"/>
    <w:rsid w:val="004F5FD9"/>
    <w:rsid w:val="00502374"/>
    <w:rsid w:val="005060A1"/>
    <w:rsid w:val="00512853"/>
    <w:rsid w:val="00516072"/>
    <w:rsid w:val="00516C1C"/>
    <w:rsid w:val="005264D8"/>
    <w:rsid w:val="005332EC"/>
    <w:rsid w:val="00534418"/>
    <w:rsid w:val="005353AB"/>
    <w:rsid w:val="00544304"/>
    <w:rsid w:val="00545819"/>
    <w:rsid w:val="00545AB5"/>
    <w:rsid w:val="005560BC"/>
    <w:rsid w:val="00556839"/>
    <w:rsid w:val="005573BE"/>
    <w:rsid w:val="005717EA"/>
    <w:rsid w:val="00572700"/>
    <w:rsid w:val="005776EF"/>
    <w:rsid w:val="00577ED4"/>
    <w:rsid w:val="00580468"/>
    <w:rsid w:val="00582231"/>
    <w:rsid w:val="0058603B"/>
    <w:rsid w:val="00591258"/>
    <w:rsid w:val="0059431B"/>
    <w:rsid w:val="005A39CC"/>
    <w:rsid w:val="005A44C4"/>
    <w:rsid w:val="005B09AD"/>
    <w:rsid w:val="005B4730"/>
    <w:rsid w:val="005C4932"/>
    <w:rsid w:val="005C55D5"/>
    <w:rsid w:val="005D721F"/>
    <w:rsid w:val="005E05D7"/>
    <w:rsid w:val="005E41E7"/>
    <w:rsid w:val="005E450F"/>
    <w:rsid w:val="005F13F3"/>
    <w:rsid w:val="005F7E60"/>
    <w:rsid w:val="0060408E"/>
    <w:rsid w:val="00612E75"/>
    <w:rsid w:val="0062205F"/>
    <w:rsid w:val="006223E0"/>
    <w:rsid w:val="0062298A"/>
    <w:rsid w:val="00626514"/>
    <w:rsid w:val="00626589"/>
    <w:rsid w:val="0063047D"/>
    <w:rsid w:val="006339A0"/>
    <w:rsid w:val="00640EF4"/>
    <w:rsid w:val="006413A8"/>
    <w:rsid w:val="00642E56"/>
    <w:rsid w:val="0064478C"/>
    <w:rsid w:val="00651E00"/>
    <w:rsid w:val="00666AF6"/>
    <w:rsid w:val="0066714E"/>
    <w:rsid w:val="00671488"/>
    <w:rsid w:val="006733CE"/>
    <w:rsid w:val="00674572"/>
    <w:rsid w:val="006863DF"/>
    <w:rsid w:val="00687763"/>
    <w:rsid w:val="00692B0D"/>
    <w:rsid w:val="00692EA2"/>
    <w:rsid w:val="00693E0E"/>
    <w:rsid w:val="00693FAA"/>
    <w:rsid w:val="00696F4B"/>
    <w:rsid w:val="006A1AE3"/>
    <w:rsid w:val="006A56B8"/>
    <w:rsid w:val="006B48C2"/>
    <w:rsid w:val="006C30E1"/>
    <w:rsid w:val="006C38A5"/>
    <w:rsid w:val="006C4607"/>
    <w:rsid w:val="006D412A"/>
    <w:rsid w:val="006D48F1"/>
    <w:rsid w:val="006F11AF"/>
    <w:rsid w:val="006F3477"/>
    <w:rsid w:val="006F45BE"/>
    <w:rsid w:val="006F58A1"/>
    <w:rsid w:val="007004FC"/>
    <w:rsid w:val="00706670"/>
    <w:rsid w:val="00711F59"/>
    <w:rsid w:val="0071473A"/>
    <w:rsid w:val="00716348"/>
    <w:rsid w:val="0072417C"/>
    <w:rsid w:val="00734450"/>
    <w:rsid w:val="007357F0"/>
    <w:rsid w:val="00737BE1"/>
    <w:rsid w:val="00745F67"/>
    <w:rsid w:val="0075039E"/>
    <w:rsid w:val="007508E7"/>
    <w:rsid w:val="00752D9D"/>
    <w:rsid w:val="00754784"/>
    <w:rsid w:val="00757C6E"/>
    <w:rsid w:val="00761E77"/>
    <w:rsid w:val="00762BDA"/>
    <w:rsid w:val="007641B7"/>
    <w:rsid w:val="007655B0"/>
    <w:rsid w:val="007712DD"/>
    <w:rsid w:val="00771639"/>
    <w:rsid w:val="007717D5"/>
    <w:rsid w:val="007752C5"/>
    <w:rsid w:val="007805FD"/>
    <w:rsid w:val="0078406F"/>
    <w:rsid w:val="00784422"/>
    <w:rsid w:val="007929BE"/>
    <w:rsid w:val="007A0865"/>
    <w:rsid w:val="007A3F6E"/>
    <w:rsid w:val="007B1C15"/>
    <w:rsid w:val="007B2E8B"/>
    <w:rsid w:val="007B3B54"/>
    <w:rsid w:val="007B3FA0"/>
    <w:rsid w:val="007C0F2C"/>
    <w:rsid w:val="007C240A"/>
    <w:rsid w:val="007C2BCC"/>
    <w:rsid w:val="007C4C2D"/>
    <w:rsid w:val="007C4EF0"/>
    <w:rsid w:val="007D099D"/>
    <w:rsid w:val="007E14C0"/>
    <w:rsid w:val="007E1EEF"/>
    <w:rsid w:val="007E2664"/>
    <w:rsid w:val="007E3ABF"/>
    <w:rsid w:val="007E5BFA"/>
    <w:rsid w:val="007E6689"/>
    <w:rsid w:val="007E731C"/>
    <w:rsid w:val="007E78EC"/>
    <w:rsid w:val="007F0A03"/>
    <w:rsid w:val="007F0E8C"/>
    <w:rsid w:val="007F2D82"/>
    <w:rsid w:val="00810040"/>
    <w:rsid w:val="008126F6"/>
    <w:rsid w:val="00817EEE"/>
    <w:rsid w:val="0082023A"/>
    <w:rsid w:val="00821A7A"/>
    <w:rsid w:val="008253F8"/>
    <w:rsid w:val="00825CED"/>
    <w:rsid w:val="008325E4"/>
    <w:rsid w:val="00832A2B"/>
    <w:rsid w:val="00834A63"/>
    <w:rsid w:val="00841820"/>
    <w:rsid w:val="00845811"/>
    <w:rsid w:val="00846994"/>
    <w:rsid w:val="00850451"/>
    <w:rsid w:val="00852042"/>
    <w:rsid w:val="008534C9"/>
    <w:rsid w:val="0085599D"/>
    <w:rsid w:val="00856B1E"/>
    <w:rsid w:val="00862928"/>
    <w:rsid w:val="00871DF4"/>
    <w:rsid w:val="0087510C"/>
    <w:rsid w:val="00882A68"/>
    <w:rsid w:val="00895732"/>
    <w:rsid w:val="008968D2"/>
    <w:rsid w:val="0089738E"/>
    <w:rsid w:val="008B07DC"/>
    <w:rsid w:val="008B2EBB"/>
    <w:rsid w:val="008B5FDB"/>
    <w:rsid w:val="008C50F4"/>
    <w:rsid w:val="008C5649"/>
    <w:rsid w:val="008D50AF"/>
    <w:rsid w:val="008E1744"/>
    <w:rsid w:val="008E44A2"/>
    <w:rsid w:val="008E697D"/>
    <w:rsid w:val="008F2F80"/>
    <w:rsid w:val="008F75CB"/>
    <w:rsid w:val="00903263"/>
    <w:rsid w:val="00906A21"/>
    <w:rsid w:val="009079C3"/>
    <w:rsid w:val="00910462"/>
    <w:rsid w:val="00915AB1"/>
    <w:rsid w:val="00917532"/>
    <w:rsid w:val="009235BA"/>
    <w:rsid w:val="00924023"/>
    <w:rsid w:val="00924CE2"/>
    <w:rsid w:val="00925B9F"/>
    <w:rsid w:val="009311D2"/>
    <w:rsid w:val="00931AED"/>
    <w:rsid w:val="00931B74"/>
    <w:rsid w:val="009341CF"/>
    <w:rsid w:val="009355F5"/>
    <w:rsid w:val="00937B55"/>
    <w:rsid w:val="009405A1"/>
    <w:rsid w:val="009476A3"/>
    <w:rsid w:val="0095334F"/>
    <w:rsid w:val="00965897"/>
    <w:rsid w:val="0096765C"/>
    <w:rsid w:val="009727E4"/>
    <w:rsid w:val="00972875"/>
    <w:rsid w:val="00975279"/>
    <w:rsid w:val="009934C5"/>
    <w:rsid w:val="00994C0F"/>
    <w:rsid w:val="0099673D"/>
    <w:rsid w:val="009978A8"/>
    <w:rsid w:val="009A3C00"/>
    <w:rsid w:val="009A603D"/>
    <w:rsid w:val="009B22D7"/>
    <w:rsid w:val="009B3087"/>
    <w:rsid w:val="009B72ED"/>
    <w:rsid w:val="009B73D6"/>
    <w:rsid w:val="009C0A69"/>
    <w:rsid w:val="009C48AB"/>
    <w:rsid w:val="009C5561"/>
    <w:rsid w:val="009C6DEB"/>
    <w:rsid w:val="009D6504"/>
    <w:rsid w:val="009E12D7"/>
    <w:rsid w:val="009E5D99"/>
    <w:rsid w:val="009E661A"/>
    <w:rsid w:val="009F1DB1"/>
    <w:rsid w:val="009F297F"/>
    <w:rsid w:val="00A03881"/>
    <w:rsid w:val="00A04D8C"/>
    <w:rsid w:val="00A06781"/>
    <w:rsid w:val="00A074C3"/>
    <w:rsid w:val="00A0793F"/>
    <w:rsid w:val="00A1085B"/>
    <w:rsid w:val="00A1509C"/>
    <w:rsid w:val="00A15D9E"/>
    <w:rsid w:val="00A249B9"/>
    <w:rsid w:val="00A25F94"/>
    <w:rsid w:val="00A27660"/>
    <w:rsid w:val="00A3042F"/>
    <w:rsid w:val="00A33BEE"/>
    <w:rsid w:val="00A34260"/>
    <w:rsid w:val="00A41FC1"/>
    <w:rsid w:val="00A533E9"/>
    <w:rsid w:val="00A70CFD"/>
    <w:rsid w:val="00A716C1"/>
    <w:rsid w:val="00A72A0B"/>
    <w:rsid w:val="00A81E42"/>
    <w:rsid w:val="00A83BA5"/>
    <w:rsid w:val="00A843D4"/>
    <w:rsid w:val="00A864FE"/>
    <w:rsid w:val="00A86518"/>
    <w:rsid w:val="00A86F41"/>
    <w:rsid w:val="00A87D04"/>
    <w:rsid w:val="00A91E79"/>
    <w:rsid w:val="00A94521"/>
    <w:rsid w:val="00A94DC2"/>
    <w:rsid w:val="00A950C5"/>
    <w:rsid w:val="00A952FB"/>
    <w:rsid w:val="00A97069"/>
    <w:rsid w:val="00A97E9B"/>
    <w:rsid w:val="00AA1D25"/>
    <w:rsid w:val="00AA7061"/>
    <w:rsid w:val="00AB17B7"/>
    <w:rsid w:val="00AB2B1A"/>
    <w:rsid w:val="00AB326E"/>
    <w:rsid w:val="00AB397F"/>
    <w:rsid w:val="00AB5832"/>
    <w:rsid w:val="00AB62C7"/>
    <w:rsid w:val="00AB7A4C"/>
    <w:rsid w:val="00AC315F"/>
    <w:rsid w:val="00AC38F7"/>
    <w:rsid w:val="00AC51F2"/>
    <w:rsid w:val="00AC70A9"/>
    <w:rsid w:val="00AC70DC"/>
    <w:rsid w:val="00AD3269"/>
    <w:rsid w:val="00AD3C25"/>
    <w:rsid w:val="00AE2012"/>
    <w:rsid w:val="00AE2673"/>
    <w:rsid w:val="00AE4C72"/>
    <w:rsid w:val="00AE5066"/>
    <w:rsid w:val="00AE5E24"/>
    <w:rsid w:val="00AE61B7"/>
    <w:rsid w:val="00AE6CBA"/>
    <w:rsid w:val="00AE733F"/>
    <w:rsid w:val="00AE79AD"/>
    <w:rsid w:val="00AF35E4"/>
    <w:rsid w:val="00AF5CDE"/>
    <w:rsid w:val="00B00291"/>
    <w:rsid w:val="00B0294D"/>
    <w:rsid w:val="00B068FC"/>
    <w:rsid w:val="00B06A8A"/>
    <w:rsid w:val="00B10A1F"/>
    <w:rsid w:val="00B11A57"/>
    <w:rsid w:val="00B211C3"/>
    <w:rsid w:val="00B226BD"/>
    <w:rsid w:val="00B241F0"/>
    <w:rsid w:val="00B25597"/>
    <w:rsid w:val="00B267B9"/>
    <w:rsid w:val="00B27376"/>
    <w:rsid w:val="00B322E2"/>
    <w:rsid w:val="00B32993"/>
    <w:rsid w:val="00B32F99"/>
    <w:rsid w:val="00B33E09"/>
    <w:rsid w:val="00B344E0"/>
    <w:rsid w:val="00B408C8"/>
    <w:rsid w:val="00B41CBC"/>
    <w:rsid w:val="00B50708"/>
    <w:rsid w:val="00B50C68"/>
    <w:rsid w:val="00B51293"/>
    <w:rsid w:val="00B52B1E"/>
    <w:rsid w:val="00B5371A"/>
    <w:rsid w:val="00B55481"/>
    <w:rsid w:val="00B5615A"/>
    <w:rsid w:val="00B56C32"/>
    <w:rsid w:val="00B57ACF"/>
    <w:rsid w:val="00B64BB1"/>
    <w:rsid w:val="00B73166"/>
    <w:rsid w:val="00B81619"/>
    <w:rsid w:val="00B818E2"/>
    <w:rsid w:val="00B8426C"/>
    <w:rsid w:val="00B91B8D"/>
    <w:rsid w:val="00B92866"/>
    <w:rsid w:val="00B93A23"/>
    <w:rsid w:val="00B94E90"/>
    <w:rsid w:val="00BA2FDF"/>
    <w:rsid w:val="00BA438C"/>
    <w:rsid w:val="00BB0A82"/>
    <w:rsid w:val="00BB11C6"/>
    <w:rsid w:val="00BB7793"/>
    <w:rsid w:val="00BB7C94"/>
    <w:rsid w:val="00BC0467"/>
    <w:rsid w:val="00BC0A9D"/>
    <w:rsid w:val="00BD1043"/>
    <w:rsid w:val="00BD28EA"/>
    <w:rsid w:val="00BD633E"/>
    <w:rsid w:val="00BF40ED"/>
    <w:rsid w:val="00BF5BC2"/>
    <w:rsid w:val="00C0055C"/>
    <w:rsid w:val="00C05312"/>
    <w:rsid w:val="00C1133D"/>
    <w:rsid w:val="00C11C88"/>
    <w:rsid w:val="00C15814"/>
    <w:rsid w:val="00C22750"/>
    <w:rsid w:val="00C22AA3"/>
    <w:rsid w:val="00C23DB6"/>
    <w:rsid w:val="00C27A08"/>
    <w:rsid w:val="00C27CC4"/>
    <w:rsid w:val="00C31312"/>
    <w:rsid w:val="00C31E36"/>
    <w:rsid w:val="00C326C6"/>
    <w:rsid w:val="00C35295"/>
    <w:rsid w:val="00C36ADD"/>
    <w:rsid w:val="00C36E74"/>
    <w:rsid w:val="00C40595"/>
    <w:rsid w:val="00C41621"/>
    <w:rsid w:val="00C449FA"/>
    <w:rsid w:val="00C5384F"/>
    <w:rsid w:val="00C53C04"/>
    <w:rsid w:val="00C540F4"/>
    <w:rsid w:val="00C56964"/>
    <w:rsid w:val="00C63CF9"/>
    <w:rsid w:val="00C63D84"/>
    <w:rsid w:val="00C643FA"/>
    <w:rsid w:val="00C656D5"/>
    <w:rsid w:val="00C659DB"/>
    <w:rsid w:val="00C65E02"/>
    <w:rsid w:val="00C67103"/>
    <w:rsid w:val="00C71BB9"/>
    <w:rsid w:val="00C80B56"/>
    <w:rsid w:val="00C94C28"/>
    <w:rsid w:val="00C9673C"/>
    <w:rsid w:val="00CA0B96"/>
    <w:rsid w:val="00CA2D78"/>
    <w:rsid w:val="00CA4DB4"/>
    <w:rsid w:val="00CB0247"/>
    <w:rsid w:val="00CB3440"/>
    <w:rsid w:val="00CB363D"/>
    <w:rsid w:val="00CB495E"/>
    <w:rsid w:val="00CC1692"/>
    <w:rsid w:val="00CC3471"/>
    <w:rsid w:val="00CD138B"/>
    <w:rsid w:val="00CD3E31"/>
    <w:rsid w:val="00CD74A3"/>
    <w:rsid w:val="00CE0308"/>
    <w:rsid w:val="00CE0527"/>
    <w:rsid w:val="00CE5B23"/>
    <w:rsid w:val="00CE6141"/>
    <w:rsid w:val="00CE6322"/>
    <w:rsid w:val="00CE7B52"/>
    <w:rsid w:val="00CF70AD"/>
    <w:rsid w:val="00CF70DD"/>
    <w:rsid w:val="00CF7729"/>
    <w:rsid w:val="00D00059"/>
    <w:rsid w:val="00D107FA"/>
    <w:rsid w:val="00D111D6"/>
    <w:rsid w:val="00D115D1"/>
    <w:rsid w:val="00D12275"/>
    <w:rsid w:val="00D12766"/>
    <w:rsid w:val="00D1738A"/>
    <w:rsid w:val="00D209D7"/>
    <w:rsid w:val="00D20FF4"/>
    <w:rsid w:val="00D24D2C"/>
    <w:rsid w:val="00D35881"/>
    <w:rsid w:val="00D43093"/>
    <w:rsid w:val="00D67600"/>
    <w:rsid w:val="00D703E7"/>
    <w:rsid w:val="00D810A6"/>
    <w:rsid w:val="00D86980"/>
    <w:rsid w:val="00D87DEC"/>
    <w:rsid w:val="00D9626B"/>
    <w:rsid w:val="00DA4A39"/>
    <w:rsid w:val="00DA7DA5"/>
    <w:rsid w:val="00DB073B"/>
    <w:rsid w:val="00DB6B7E"/>
    <w:rsid w:val="00DB78F0"/>
    <w:rsid w:val="00DC0CEA"/>
    <w:rsid w:val="00DC2E43"/>
    <w:rsid w:val="00DC3474"/>
    <w:rsid w:val="00DC3EA3"/>
    <w:rsid w:val="00DD095C"/>
    <w:rsid w:val="00DD1020"/>
    <w:rsid w:val="00DD1330"/>
    <w:rsid w:val="00DD58B8"/>
    <w:rsid w:val="00DD6391"/>
    <w:rsid w:val="00DD64A3"/>
    <w:rsid w:val="00DE0540"/>
    <w:rsid w:val="00DE0B83"/>
    <w:rsid w:val="00DE1A81"/>
    <w:rsid w:val="00DE1C13"/>
    <w:rsid w:val="00DE3CAE"/>
    <w:rsid w:val="00DE4E10"/>
    <w:rsid w:val="00E02ABF"/>
    <w:rsid w:val="00E04DE9"/>
    <w:rsid w:val="00E05F16"/>
    <w:rsid w:val="00E100B4"/>
    <w:rsid w:val="00E1422F"/>
    <w:rsid w:val="00E14995"/>
    <w:rsid w:val="00E160D1"/>
    <w:rsid w:val="00E179CD"/>
    <w:rsid w:val="00E222AF"/>
    <w:rsid w:val="00E23E8D"/>
    <w:rsid w:val="00E25953"/>
    <w:rsid w:val="00E328FC"/>
    <w:rsid w:val="00E37F98"/>
    <w:rsid w:val="00E44555"/>
    <w:rsid w:val="00E46559"/>
    <w:rsid w:val="00E54C13"/>
    <w:rsid w:val="00E5593D"/>
    <w:rsid w:val="00E6167D"/>
    <w:rsid w:val="00E65F92"/>
    <w:rsid w:val="00E6670C"/>
    <w:rsid w:val="00E776E8"/>
    <w:rsid w:val="00E86264"/>
    <w:rsid w:val="00E92C1F"/>
    <w:rsid w:val="00E95D4B"/>
    <w:rsid w:val="00EA3978"/>
    <w:rsid w:val="00EB199F"/>
    <w:rsid w:val="00EC0A84"/>
    <w:rsid w:val="00EC23F7"/>
    <w:rsid w:val="00EC4BD8"/>
    <w:rsid w:val="00EC63EB"/>
    <w:rsid w:val="00EC700C"/>
    <w:rsid w:val="00ED412F"/>
    <w:rsid w:val="00ED5782"/>
    <w:rsid w:val="00EE0FC5"/>
    <w:rsid w:val="00EE65B8"/>
    <w:rsid w:val="00EF36B2"/>
    <w:rsid w:val="00EF491C"/>
    <w:rsid w:val="00EF62DE"/>
    <w:rsid w:val="00EF6B32"/>
    <w:rsid w:val="00F03CDE"/>
    <w:rsid w:val="00F1246B"/>
    <w:rsid w:val="00F201EC"/>
    <w:rsid w:val="00F20624"/>
    <w:rsid w:val="00F208A9"/>
    <w:rsid w:val="00F2579C"/>
    <w:rsid w:val="00F27A77"/>
    <w:rsid w:val="00F3082B"/>
    <w:rsid w:val="00F40BDC"/>
    <w:rsid w:val="00F41D75"/>
    <w:rsid w:val="00F42BCC"/>
    <w:rsid w:val="00F5139D"/>
    <w:rsid w:val="00F5230F"/>
    <w:rsid w:val="00F54686"/>
    <w:rsid w:val="00F57F70"/>
    <w:rsid w:val="00F62F63"/>
    <w:rsid w:val="00F63DAC"/>
    <w:rsid w:val="00F64A6D"/>
    <w:rsid w:val="00F64EC5"/>
    <w:rsid w:val="00F65881"/>
    <w:rsid w:val="00F7454F"/>
    <w:rsid w:val="00F77988"/>
    <w:rsid w:val="00F77F48"/>
    <w:rsid w:val="00F9014D"/>
    <w:rsid w:val="00F95AE3"/>
    <w:rsid w:val="00FA3679"/>
    <w:rsid w:val="00FB30F1"/>
    <w:rsid w:val="00FB53E7"/>
    <w:rsid w:val="00FB65F1"/>
    <w:rsid w:val="00FC2A5C"/>
    <w:rsid w:val="00FD2453"/>
    <w:rsid w:val="00FD2A8A"/>
    <w:rsid w:val="00FD5300"/>
    <w:rsid w:val="00FD5339"/>
    <w:rsid w:val="00FF68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31AA2"/>
  <w15:chartTrackingRefBased/>
  <w15:docId w15:val="{E6378D6D-A1D4-44B8-8108-90C3BDE8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erChar">
    <w:name w:val="Header Char"/>
    <w:link w:val="Header"/>
    <w:uiPriority w:val="99"/>
    <w:rsid w:val="00EE0FC5"/>
    <w:rPr>
      <w:sz w:val="24"/>
      <w:szCs w:val="24"/>
    </w:rPr>
  </w:style>
  <w:style w:type="character" w:customStyle="1" w:styleId="highlight">
    <w:name w:val="highlight"/>
    <w:rsid w:val="001B3C32"/>
  </w:style>
  <w:style w:type="paragraph" w:styleId="NormalWeb">
    <w:name w:val="Normal (Web)"/>
    <w:basedOn w:val="Normal"/>
    <w:uiPriority w:val="99"/>
    <w:unhideWhenUsed/>
    <w:rsid w:val="00972875"/>
    <w:pPr>
      <w:spacing w:before="100" w:beforeAutospacing="1" w:after="100" w:afterAutospacing="1"/>
    </w:pPr>
  </w:style>
  <w:style w:type="paragraph" w:customStyle="1" w:styleId="tv2132">
    <w:name w:val="tv2132"/>
    <w:basedOn w:val="Normal"/>
    <w:rsid w:val="0062205F"/>
    <w:pPr>
      <w:spacing w:line="360" w:lineRule="auto"/>
      <w:ind w:firstLine="300"/>
    </w:pPr>
    <w:rPr>
      <w:color w:val="414142"/>
      <w:sz w:val="20"/>
      <w:szCs w:val="20"/>
    </w:rPr>
  </w:style>
  <w:style w:type="paragraph" w:styleId="ListBullet">
    <w:name w:val="List Bullet"/>
    <w:basedOn w:val="Normal"/>
    <w:autoRedefine/>
    <w:rsid w:val="00C540F4"/>
    <w:pPr>
      <w:tabs>
        <w:tab w:val="num" w:pos="360"/>
      </w:tabs>
      <w:spacing w:before="120" w:after="120"/>
      <w:ind w:left="360" w:hanging="360"/>
      <w:jc w:val="both"/>
    </w:pPr>
    <w:rPr>
      <w:lang w:eastAsia="en-US"/>
    </w:rPr>
  </w:style>
  <w:style w:type="paragraph" w:styleId="ListParagraph">
    <w:name w:val="List Paragraph"/>
    <w:basedOn w:val="Normal"/>
    <w:uiPriority w:val="34"/>
    <w:qFormat/>
    <w:rsid w:val="00737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44147">
      <w:bodyDiv w:val="1"/>
      <w:marLeft w:val="0"/>
      <w:marRight w:val="0"/>
      <w:marTop w:val="0"/>
      <w:marBottom w:val="0"/>
      <w:divBdr>
        <w:top w:val="none" w:sz="0" w:space="0" w:color="auto"/>
        <w:left w:val="none" w:sz="0" w:space="0" w:color="auto"/>
        <w:bottom w:val="none" w:sz="0" w:space="0" w:color="auto"/>
        <w:right w:val="none" w:sz="0" w:space="0" w:color="auto"/>
      </w:divBdr>
    </w:div>
    <w:div w:id="655257661">
      <w:bodyDiv w:val="1"/>
      <w:marLeft w:val="0"/>
      <w:marRight w:val="0"/>
      <w:marTop w:val="0"/>
      <w:marBottom w:val="0"/>
      <w:divBdr>
        <w:top w:val="none" w:sz="0" w:space="0" w:color="auto"/>
        <w:left w:val="none" w:sz="0" w:space="0" w:color="auto"/>
        <w:bottom w:val="none" w:sz="0" w:space="0" w:color="auto"/>
        <w:right w:val="none" w:sz="0" w:space="0" w:color="auto"/>
      </w:divBdr>
      <w:divsChild>
        <w:div w:id="1610699272">
          <w:marLeft w:val="0"/>
          <w:marRight w:val="0"/>
          <w:marTop w:val="0"/>
          <w:marBottom w:val="0"/>
          <w:divBdr>
            <w:top w:val="none" w:sz="0" w:space="0" w:color="auto"/>
            <w:left w:val="none" w:sz="0" w:space="0" w:color="auto"/>
            <w:bottom w:val="none" w:sz="0" w:space="0" w:color="auto"/>
            <w:right w:val="none" w:sz="0" w:space="0" w:color="auto"/>
          </w:divBdr>
        </w:div>
      </w:divsChild>
    </w:div>
    <w:div w:id="828643490">
      <w:bodyDiv w:val="1"/>
      <w:marLeft w:val="0"/>
      <w:marRight w:val="0"/>
      <w:marTop w:val="0"/>
      <w:marBottom w:val="0"/>
      <w:divBdr>
        <w:top w:val="none" w:sz="0" w:space="0" w:color="auto"/>
        <w:left w:val="none" w:sz="0" w:space="0" w:color="auto"/>
        <w:bottom w:val="none" w:sz="0" w:space="0" w:color="auto"/>
        <w:right w:val="none" w:sz="0" w:space="0" w:color="auto"/>
      </w:divBdr>
    </w:div>
    <w:div w:id="1008169493">
      <w:bodyDiv w:val="1"/>
      <w:marLeft w:val="0"/>
      <w:marRight w:val="0"/>
      <w:marTop w:val="0"/>
      <w:marBottom w:val="0"/>
      <w:divBdr>
        <w:top w:val="none" w:sz="0" w:space="0" w:color="auto"/>
        <w:left w:val="none" w:sz="0" w:space="0" w:color="auto"/>
        <w:bottom w:val="none" w:sz="0" w:space="0" w:color="auto"/>
        <w:right w:val="none" w:sz="0" w:space="0" w:color="auto"/>
      </w:divBdr>
      <w:divsChild>
        <w:div w:id="335815794">
          <w:marLeft w:val="0"/>
          <w:marRight w:val="0"/>
          <w:marTop w:val="0"/>
          <w:marBottom w:val="0"/>
          <w:divBdr>
            <w:top w:val="none" w:sz="0" w:space="0" w:color="auto"/>
            <w:left w:val="none" w:sz="0" w:space="0" w:color="auto"/>
            <w:bottom w:val="none" w:sz="0" w:space="0" w:color="auto"/>
            <w:right w:val="none" w:sz="0" w:space="0" w:color="auto"/>
          </w:divBdr>
          <w:divsChild>
            <w:div w:id="1827932254">
              <w:marLeft w:val="0"/>
              <w:marRight w:val="0"/>
              <w:marTop w:val="0"/>
              <w:marBottom w:val="0"/>
              <w:divBdr>
                <w:top w:val="none" w:sz="0" w:space="0" w:color="auto"/>
                <w:left w:val="none" w:sz="0" w:space="0" w:color="auto"/>
                <w:bottom w:val="none" w:sz="0" w:space="0" w:color="auto"/>
                <w:right w:val="none" w:sz="0" w:space="0" w:color="auto"/>
              </w:divBdr>
              <w:divsChild>
                <w:div w:id="794763039">
                  <w:marLeft w:val="0"/>
                  <w:marRight w:val="0"/>
                  <w:marTop w:val="0"/>
                  <w:marBottom w:val="0"/>
                  <w:divBdr>
                    <w:top w:val="none" w:sz="0" w:space="0" w:color="auto"/>
                    <w:left w:val="none" w:sz="0" w:space="0" w:color="auto"/>
                    <w:bottom w:val="none" w:sz="0" w:space="0" w:color="auto"/>
                    <w:right w:val="none" w:sz="0" w:space="0" w:color="auto"/>
                  </w:divBdr>
                  <w:divsChild>
                    <w:div w:id="98381848">
                      <w:marLeft w:val="0"/>
                      <w:marRight w:val="0"/>
                      <w:marTop w:val="0"/>
                      <w:marBottom w:val="0"/>
                      <w:divBdr>
                        <w:top w:val="none" w:sz="0" w:space="0" w:color="auto"/>
                        <w:left w:val="none" w:sz="0" w:space="0" w:color="auto"/>
                        <w:bottom w:val="none" w:sz="0" w:space="0" w:color="auto"/>
                        <w:right w:val="none" w:sz="0" w:space="0" w:color="auto"/>
                      </w:divBdr>
                      <w:divsChild>
                        <w:div w:id="2072270144">
                          <w:marLeft w:val="0"/>
                          <w:marRight w:val="0"/>
                          <w:marTop w:val="0"/>
                          <w:marBottom w:val="0"/>
                          <w:divBdr>
                            <w:top w:val="none" w:sz="0" w:space="0" w:color="auto"/>
                            <w:left w:val="none" w:sz="0" w:space="0" w:color="auto"/>
                            <w:bottom w:val="none" w:sz="0" w:space="0" w:color="auto"/>
                            <w:right w:val="none" w:sz="0" w:space="0" w:color="auto"/>
                          </w:divBdr>
                          <w:divsChild>
                            <w:div w:id="12211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02831">
      <w:bodyDiv w:val="1"/>
      <w:marLeft w:val="0"/>
      <w:marRight w:val="0"/>
      <w:marTop w:val="0"/>
      <w:marBottom w:val="0"/>
      <w:divBdr>
        <w:top w:val="none" w:sz="0" w:space="0" w:color="auto"/>
        <w:left w:val="none" w:sz="0" w:space="0" w:color="auto"/>
        <w:bottom w:val="none" w:sz="0" w:space="0" w:color="auto"/>
        <w:right w:val="none" w:sz="0" w:space="0" w:color="auto"/>
      </w:divBdr>
    </w:div>
    <w:div w:id="1919973551">
      <w:bodyDiv w:val="1"/>
      <w:marLeft w:val="0"/>
      <w:marRight w:val="0"/>
      <w:marTop w:val="0"/>
      <w:marBottom w:val="0"/>
      <w:divBdr>
        <w:top w:val="none" w:sz="0" w:space="0" w:color="auto"/>
        <w:left w:val="none" w:sz="0" w:space="0" w:color="auto"/>
        <w:bottom w:val="none" w:sz="0" w:space="0" w:color="auto"/>
        <w:right w:val="none" w:sz="0" w:space="0" w:color="auto"/>
      </w:divBdr>
    </w:div>
    <w:div w:id="2031102967">
      <w:bodyDiv w:val="1"/>
      <w:marLeft w:val="0"/>
      <w:marRight w:val="0"/>
      <w:marTop w:val="0"/>
      <w:marBottom w:val="0"/>
      <w:divBdr>
        <w:top w:val="none" w:sz="0" w:space="0" w:color="auto"/>
        <w:left w:val="none" w:sz="0" w:space="0" w:color="auto"/>
        <w:bottom w:val="none" w:sz="0" w:space="0" w:color="auto"/>
        <w:right w:val="none" w:sz="0" w:space="0" w:color="auto"/>
      </w:divBdr>
      <w:divsChild>
        <w:div w:id="252975602">
          <w:marLeft w:val="0"/>
          <w:marRight w:val="0"/>
          <w:marTop w:val="0"/>
          <w:marBottom w:val="0"/>
          <w:divBdr>
            <w:top w:val="none" w:sz="0" w:space="0" w:color="auto"/>
            <w:left w:val="none" w:sz="0" w:space="0" w:color="auto"/>
            <w:bottom w:val="none" w:sz="0" w:space="0" w:color="auto"/>
            <w:right w:val="none" w:sz="0" w:space="0" w:color="auto"/>
          </w:divBdr>
        </w:div>
        <w:div w:id="534394500">
          <w:marLeft w:val="0"/>
          <w:marRight w:val="0"/>
          <w:marTop w:val="0"/>
          <w:marBottom w:val="0"/>
          <w:divBdr>
            <w:top w:val="none" w:sz="0" w:space="0" w:color="auto"/>
            <w:left w:val="none" w:sz="0" w:space="0" w:color="auto"/>
            <w:bottom w:val="none" w:sz="0" w:space="0" w:color="auto"/>
            <w:right w:val="none" w:sz="0" w:space="0" w:color="auto"/>
          </w:divBdr>
        </w:div>
        <w:div w:id="670792034">
          <w:marLeft w:val="0"/>
          <w:marRight w:val="0"/>
          <w:marTop w:val="0"/>
          <w:marBottom w:val="0"/>
          <w:divBdr>
            <w:top w:val="none" w:sz="0" w:space="0" w:color="auto"/>
            <w:left w:val="none" w:sz="0" w:space="0" w:color="auto"/>
            <w:bottom w:val="none" w:sz="0" w:space="0" w:color="auto"/>
            <w:right w:val="none" w:sz="0" w:space="0" w:color="auto"/>
          </w:divBdr>
        </w:div>
        <w:div w:id="1337415889">
          <w:marLeft w:val="0"/>
          <w:marRight w:val="0"/>
          <w:marTop w:val="0"/>
          <w:marBottom w:val="0"/>
          <w:divBdr>
            <w:top w:val="none" w:sz="0" w:space="0" w:color="auto"/>
            <w:left w:val="none" w:sz="0" w:space="0" w:color="auto"/>
            <w:bottom w:val="none" w:sz="0" w:space="0" w:color="auto"/>
            <w:right w:val="none" w:sz="0" w:space="0" w:color="auto"/>
          </w:divBdr>
        </w:div>
        <w:div w:id="1515461426">
          <w:marLeft w:val="0"/>
          <w:marRight w:val="0"/>
          <w:marTop w:val="0"/>
          <w:marBottom w:val="0"/>
          <w:divBdr>
            <w:top w:val="none" w:sz="0" w:space="0" w:color="auto"/>
            <w:left w:val="none" w:sz="0" w:space="0" w:color="auto"/>
            <w:bottom w:val="none" w:sz="0" w:space="0" w:color="auto"/>
            <w:right w:val="none" w:sz="0" w:space="0" w:color="auto"/>
          </w:divBdr>
        </w:div>
        <w:div w:id="1554001382">
          <w:marLeft w:val="0"/>
          <w:marRight w:val="0"/>
          <w:marTop w:val="0"/>
          <w:marBottom w:val="0"/>
          <w:divBdr>
            <w:top w:val="none" w:sz="0" w:space="0" w:color="auto"/>
            <w:left w:val="none" w:sz="0" w:space="0" w:color="auto"/>
            <w:bottom w:val="none" w:sz="0" w:space="0" w:color="auto"/>
            <w:right w:val="none" w:sz="0" w:space="0" w:color="auto"/>
          </w:divBdr>
        </w:div>
        <w:div w:id="1617323192">
          <w:marLeft w:val="0"/>
          <w:marRight w:val="0"/>
          <w:marTop w:val="0"/>
          <w:marBottom w:val="0"/>
          <w:divBdr>
            <w:top w:val="none" w:sz="0" w:space="0" w:color="auto"/>
            <w:left w:val="none" w:sz="0" w:space="0" w:color="auto"/>
            <w:bottom w:val="none" w:sz="0" w:space="0" w:color="auto"/>
            <w:right w:val="none" w:sz="0" w:space="0" w:color="auto"/>
          </w:divBdr>
        </w:div>
        <w:div w:id="1618633346">
          <w:marLeft w:val="0"/>
          <w:marRight w:val="0"/>
          <w:marTop w:val="0"/>
          <w:marBottom w:val="0"/>
          <w:divBdr>
            <w:top w:val="none" w:sz="0" w:space="0" w:color="auto"/>
            <w:left w:val="none" w:sz="0" w:space="0" w:color="auto"/>
            <w:bottom w:val="none" w:sz="0" w:space="0" w:color="auto"/>
            <w:right w:val="none" w:sz="0" w:space="0" w:color="auto"/>
          </w:divBdr>
        </w:div>
        <w:div w:id="165629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vestnesis.lv/op/2015/118.3?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8A16-812F-48E7-B7B1-EAAE2649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4339</Words>
  <Characters>2474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EMAnot_240815_statistika</vt:lpstr>
    </vt:vector>
  </TitlesOfParts>
  <Company>Valsts kanceleja, Politikas koordinācijas departaments</Company>
  <LinksUpToDate>false</LinksUpToDate>
  <CharactersWithSpaces>6800</CharactersWithSpaces>
  <SharedDoc>false</SharedDoc>
  <HLinks>
    <vt:vector size="6" baseType="variant">
      <vt:variant>
        <vt:i4>7012359</vt:i4>
      </vt:variant>
      <vt:variant>
        <vt:i4>0</vt:i4>
      </vt:variant>
      <vt:variant>
        <vt:i4>0</vt:i4>
      </vt:variant>
      <vt:variant>
        <vt:i4>5</vt:i4>
      </vt:variant>
      <vt:variant>
        <vt:lpwstr>mailto:Inita.Ruka@mil.lv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EMAnot_240815_statistika</dc:title>
  <dc:subject>Instrukcijas pielikums</dc:subject>
  <dc:creator>Madars Deaks</dc:creator>
  <cp:keywords/>
  <dc:description/>
  <cp:lastModifiedBy>Jānis Ušpelis</cp:lastModifiedBy>
  <cp:revision>2</cp:revision>
  <cp:lastPrinted>2015-07-28T13:39:00Z</cp:lastPrinted>
  <dcterms:created xsi:type="dcterms:W3CDTF">2015-12-17T14:44:00Z</dcterms:created>
  <dcterms:modified xsi:type="dcterms:W3CDTF">2015-12-17T14:44:00Z</dcterms:modified>
</cp:coreProperties>
</file>