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3B2" w:rsidRPr="00A574D1" w:rsidRDefault="00C513B2" w:rsidP="00C513B2">
      <w:pPr>
        <w:pStyle w:val="naislab"/>
        <w:spacing w:before="0" w:after="0"/>
        <w:jc w:val="center"/>
        <w:outlineLvl w:val="0"/>
        <w:rPr>
          <w:b/>
          <w:sz w:val="28"/>
          <w:szCs w:val="28"/>
        </w:rPr>
      </w:pPr>
      <w:r w:rsidRPr="00A574D1">
        <w:rPr>
          <w:b/>
          <w:sz w:val="28"/>
          <w:szCs w:val="28"/>
        </w:rPr>
        <w:t>Ministru kabineta noteikumu projekta „Grozījumi Ministru kabineta 2014.gada 19.augusta noteikumos Nr.500 „</w:t>
      </w:r>
      <w:r w:rsidRPr="00A574D1">
        <w:rPr>
          <w:b/>
          <w:bCs/>
          <w:sz w:val="28"/>
          <w:szCs w:val="28"/>
        </w:rPr>
        <w:t>Vispārīgie būvnoteikumi</w:t>
      </w:r>
      <w:r w:rsidRPr="00A574D1">
        <w:rPr>
          <w:b/>
          <w:sz w:val="28"/>
          <w:szCs w:val="28"/>
        </w:rPr>
        <w:t>”” sākotnējās ietekmes novērtējuma ziņojums (anotācija)</w:t>
      </w:r>
    </w:p>
    <w:p w:rsidR="00C513B2" w:rsidRPr="00A574D1" w:rsidRDefault="00C513B2" w:rsidP="00C513B2">
      <w:pPr>
        <w:pStyle w:val="naislab"/>
        <w:spacing w:before="0" w:after="0"/>
        <w:jc w:val="center"/>
        <w:outlineLvl w:val="0"/>
        <w:rPr>
          <w:b/>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504"/>
        <w:gridCol w:w="2888"/>
        <w:gridCol w:w="5946"/>
      </w:tblGrid>
      <w:tr w:rsidR="00A574D1" w:rsidRPr="00A574D1" w:rsidTr="00552CF1">
        <w:trPr>
          <w:trHeight w:val="270"/>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513B2" w:rsidRPr="00A574D1" w:rsidRDefault="00C513B2" w:rsidP="00552CF1">
            <w:pPr>
              <w:spacing w:after="0" w:line="240" w:lineRule="auto"/>
              <w:ind w:left="57" w:right="57"/>
              <w:jc w:val="center"/>
              <w:rPr>
                <w:rFonts w:ascii="Times New Roman" w:eastAsia="Times New Roman" w:hAnsi="Times New Roman" w:cs="Times New Roman"/>
                <w:b/>
                <w:bCs/>
                <w:sz w:val="24"/>
                <w:szCs w:val="24"/>
                <w:lang w:eastAsia="lv-LV"/>
              </w:rPr>
            </w:pPr>
            <w:r w:rsidRPr="00A574D1">
              <w:rPr>
                <w:rFonts w:ascii="Times New Roman" w:eastAsia="Times New Roman" w:hAnsi="Times New Roman" w:cs="Times New Roman"/>
                <w:b/>
                <w:bCs/>
                <w:sz w:val="24"/>
                <w:szCs w:val="24"/>
                <w:lang w:eastAsia="lv-LV"/>
              </w:rPr>
              <w:t>I. Tiesību akta projekta izstrādes nepieciešamība</w:t>
            </w:r>
          </w:p>
        </w:tc>
      </w:tr>
      <w:tr w:rsidR="00A574D1" w:rsidRPr="00A574D1" w:rsidTr="00552CF1">
        <w:trPr>
          <w:trHeight w:val="270"/>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C513B2" w:rsidRPr="00A574D1" w:rsidRDefault="00C513B2" w:rsidP="00552CF1">
            <w:pPr>
              <w:spacing w:after="0" w:line="240" w:lineRule="auto"/>
              <w:ind w:left="57" w:right="57"/>
              <w:jc w:val="center"/>
              <w:rPr>
                <w:rFonts w:ascii="Times New Roman" w:eastAsia="Times New Roman" w:hAnsi="Times New Roman" w:cs="Times New Roman"/>
                <w:sz w:val="24"/>
                <w:szCs w:val="24"/>
                <w:lang w:eastAsia="lv-LV"/>
              </w:rPr>
            </w:pPr>
            <w:r w:rsidRPr="00A574D1">
              <w:rPr>
                <w:rFonts w:ascii="Times New Roman" w:eastAsia="Times New Roman" w:hAnsi="Times New Roman" w:cs="Times New Roman"/>
                <w:sz w:val="24"/>
                <w:szCs w:val="24"/>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rsidR="00C513B2" w:rsidRPr="00A574D1" w:rsidRDefault="00C513B2" w:rsidP="00552CF1">
            <w:pPr>
              <w:spacing w:after="0" w:line="240" w:lineRule="auto"/>
              <w:ind w:left="57" w:right="57"/>
              <w:rPr>
                <w:rFonts w:ascii="Times New Roman" w:eastAsia="Times New Roman" w:hAnsi="Times New Roman" w:cs="Times New Roman"/>
                <w:sz w:val="24"/>
                <w:szCs w:val="24"/>
                <w:lang w:eastAsia="lv-LV"/>
              </w:rPr>
            </w:pPr>
            <w:r w:rsidRPr="00A574D1">
              <w:rPr>
                <w:rFonts w:ascii="Times New Roman" w:eastAsia="Times New Roman" w:hAnsi="Times New Roman" w:cs="Times New Roman"/>
                <w:sz w:val="24"/>
                <w:szCs w:val="24"/>
                <w:lang w:eastAsia="lv-LV"/>
              </w:rPr>
              <w:t>Pamatojums</w:t>
            </w:r>
          </w:p>
        </w:tc>
        <w:tc>
          <w:tcPr>
            <w:tcW w:w="3159" w:type="pct"/>
            <w:tcBorders>
              <w:top w:val="outset" w:sz="6" w:space="0" w:color="auto"/>
              <w:left w:val="outset" w:sz="6" w:space="0" w:color="auto"/>
              <w:bottom w:val="outset" w:sz="6" w:space="0" w:color="auto"/>
              <w:right w:val="outset" w:sz="6" w:space="0" w:color="auto"/>
            </w:tcBorders>
            <w:hideMark/>
          </w:tcPr>
          <w:p w:rsidR="00C513B2" w:rsidRPr="00A574D1" w:rsidRDefault="00C513B2" w:rsidP="00552CF1">
            <w:pPr>
              <w:pStyle w:val="naiskr"/>
              <w:spacing w:before="0" w:after="0"/>
              <w:ind w:left="57" w:right="57" w:hanging="5"/>
              <w:jc w:val="both"/>
            </w:pPr>
            <w:r w:rsidRPr="00A574D1">
              <w:t>2013.gada 9.jūlija Būvniecības likuma 5.panta pirmās daļas 1.punkts</w:t>
            </w:r>
          </w:p>
          <w:p w:rsidR="00C513B2" w:rsidRPr="00A574D1" w:rsidRDefault="00C513B2" w:rsidP="00552CF1">
            <w:pPr>
              <w:spacing w:after="0" w:line="240" w:lineRule="auto"/>
              <w:ind w:left="57" w:right="57"/>
              <w:rPr>
                <w:rFonts w:ascii="Times New Roman" w:eastAsia="Times New Roman" w:hAnsi="Times New Roman" w:cs="Times New Roman"/>
                <w:sz w:val="24"/>
                <w:szCs w:val="24"/>
                <w:lang w:eastAsia="lv-LV"/>
              </w:rPr>
            </w:pPr>
          </w:p>
        </w:tc>
      </w:tr>
      <w:tr w:rsidR="00A574D1" w:rsidRPr="00A574D1" w:rsidTr="00552CF1">
        <w:trPr>
          <w:trHeight w:val="310"/>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C513B2" w:rsidRPr="00A574D1" w:rsidRDefault="00C513B2" w:rsidP="00552CF1">
            <w:pPr>
              <w:spacing w:after="0" w:line="240" w:lineRule="auto"/>
              <w:ind w:left="57" w:right="57"/>
              <w:jc w:val="center"/>
              <w:rPr>
                <w:rFonts w:ascii="Times New Roman" w:eastAsia="Times New Roman" w:hAnsi="Times New Roman" w:cs="Times New Roman"/>
                <w:sz w:val="24"/>
                <w:szCs w:val="24"/>
                <w:lang w:eastAsia="lv-LV"/>
              </w:rPr>
            </w:pPr>
            <w:r w:rsidRPr="00A574D1">
              <w:rPr>
                <w:rFonts w:ascii="Times New Roman" w:eastAsia="Times New Roman" w:hAnsi="Times New Roman" w:cs="Times New Roman"/>
                <w:sz w:val="24"/>
                <w:szCs w:val="24"/>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rsidR="00C513B2" w:rsidRPr="00A574D1" w:rsidRDefault="00C513B2" w:rsidP="00552CF1">
            <w:pPr>
              <w:spacing w:after="0" w:line="240" w:lineRule="auto"/>
              <w:ind w:left="57" w:right="57"/>
              <w:rPr>
                <w:rFonts w:ascii="Times New Roman" w:eastAsia="Times New Roman" w:hAnsi="Times New Roman" w:cs="Times New Roman"/>
                <w:sz w:val="24"/>
                <w:szCs w:val="24"/>
                <w:lang w:eastAsia="lv-LV"/>
              </w:rPr>
            </w:pPr>
            <w:r w:rsidRPr="00A574D1">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hideMark/>
          </w:tcPr>
          <w:p w:rsidR="00C513B2" w:rsidRPr="00A574D1" w:rsidRDefault="00C513B2" w:rsidP="00552CF1">
            <w:pPr>
              <w:spacing w:after="0" w:line="240" w:lineRule="auto"/>
              <w:ind w:left="57" w:right="57"/>
              <w:jc w:val="both"/>
              <w:rPr>
                <w:rFonts w:ascii="Times New Roman" w:eastAsia="Times New Roman" w:hAnsi="Times New Roman" w:cs="Times New Roman"/>
                <w:sz w:val="24"/>
                <w:szCs w:val="24"/>
                <w:lang w:eastAsia="lv-LV"/>
              </w:rPr>
            </w:pPr>
            <w:r w:rsidRPr="00A574D1">
              <w:rPr>
                <w:rFonts w:ascii="Times New Roman" w:eastAsia="Times New Roman" w:hAnsi="Times New Roman" w:cs="Times New Roman"/>
                <w:sz w:val="24"/>
                <w:szCs w:val="24"/>
                <w:lang w:eastAsia="lv-LV"/>
              </w:rPr>
              <w:t>Noteikumu projekts (NP) papildina Ministru kabineta 2014.gada 19.augusta noteikumos Nr.500 „</w:t>
            </w:r>
            <w:r w:rsidRPr="00A574D1">
              <w:rPr>
                <w:rFonts w:ascii="Times New Roman" w:eastAsia="Times New Roman" w:hAnsi="Times New Roman" w:cs="Times New Roman"/>
                <w:bCs/>
                <w:sz w:val="24"/>
                <w:szCs w:val="24"/>
                <w:lang w:eastAsia="lv-LV"/>
              </w:rPr>
              <w:t>Vispārīgie būvnoteikumi</w:t>
            </w:r>
            <w:r w:rsidRPr="00A574D1">
              <w:rPr>
                <w:rFonts w:ascii="Times New Roman" w:eastAsia="Times New Roman" w:hAnsi="Times New Roman" w:cs="Times New Roman"/>
                <w:sz w:val="24"/>
                <w:szCs w:val="24"/>
                <w:lang w:eastAsia="lv-LV"/>
              </w:rPr>
              <w:t>” (turpmāk – Vispārīgie būvnoteikumi, VBN) noteiktos būvniecības dalībnieku -</w:t>
            </w:r>
            <w:r w:rsidR="00C41C6F" w:rsidRPr="00A574D1">
              <w:rPr>
                <w:rFonts w:ascii="Times New Roman" w:eastAsia="Times New Roman" w:hAnsi="Times New Roman" w:cs="Times New Roman"/>
                <w:sz w:val="24"/>
                <w:szCs w:val="24"/>
                <w:lang w:eastAsia="lv-LV"/>
              </w:rPr>
              <w:t xml:space="preserve"> </w:t>
            </w:r>
            <w:r w:rsidRPr="00A574D1">
              <w:rPr>
                <w:rFonts w:ascii="Times New Roman" w:eastAsia="Times New Roman" w:hAnsi="Times New Roman" w:cs="Times New Roman"/>
                <w:sz w:val="24"/>
                <w:szCs w:val="24"/>
                <w:lang w:eastAsia="lv-LV"/>
              </w:rPr>
              <w:t xml:space="preserve">pasūtītāja, </w:t>
            </w:r>
            <w:r w:rsidR="00C41C6F" w:rsidRPr="00A574D1">
              <w:rPr>
                <w:rFonts w:ascii="Times New Roman" w:eastAsia="Times New Roman" w:hAnsi="Times New Roman" w:cs="Times New Roman"/>
                <w:sz w:val="24"/>
                <w:szCs w:val="24"/>
                <w:lang w:eastAsia="lv-LV"/>
              </w:rPr>
              <w:t xml:space="preserve">būvprojekta izstrādātāja, </w:t>
            </w:r>
            <w:proofErr w:type="spellStart"/>
            <w:r w:rsidRPr="00A574D1">
              <w:rPr>
                <w:rFonts w:ascii="Times New Roman" w:eastAsia="Times New Roman" w:hAnsi="Times New Roman" w:cs="Times New Roman"/>
                <w:sz w:val="24"/>
                <w:szCs w:val="24"/>
                <w:lang w:eastAsia="lv-LV"/>
              </w:rPr>
              <w:t>autoruzrauga</w:t>
            </w:r>
            <w:proofErr w:type="spellEnd"/>
            <w:r w:rsidRPr="00A574D1">
              <w:rPr>
                <w:rFonts w:ascii="Times New Roman" w:eastAsia="Times New Roman" w:hAnsi="Times New Roman" w:cs="Times New Roman"/>
                <w:sz w:val="24"/>
                <w:szCs w:val="24"/>
                <w:lang w:eastAsia="lv-LV"/>
              </w:rPr>
              <w:t xml:space="preserve"> un būvuzrauga pienākumus, kā arī precizē </w:t>
            </w:r>
            <w:r w:rsidR="00C41C6F" w:rsidRPr="00A574D1">
              <w:rPr>
                <w:rFonts w:ascii="Times New Roman" w:eastAsia="Times New Roman" w:hAnsi="Times New Roman" w:cs="Times New Roman"/>
                <w:sz w:val="24"/>
                <w:szCs w:val="24"/>
                <w:lang w:eastAsia="lv-LV"/>
              </w:rPr>
              <w:t xml:space="preserve">būvniecības procesu. </w:t>
            </w:r>
          </w:p>
          <w:p w:rsidR="00C513B2" w:rsidRPr="00A574D1" w:rsidRDefault="00C513B2" w:rsidP="00552CF1">
            <w:pPr>
              <w:spacing w:after="0" w:line="240" w:lineRule="auto"/>
              <w:ind w:left="57" w:right="57"/>
              <w:jc w:val="both"/>
              <w:rPr>
                <w:rFonts w:ascii="Times New Roman" w:hAnsi="Times New Roman" w:cs="Times New Roman"/>
                <w:b/>
                <w:sz w:val="24"/>
                <w:szCs w:val="24"/>
              </w:rPr>
            </w:pPr>
            <w:r w:rsidRPr="00A574D1">
              <w:rPr>
                <w:rFonts w:ascii="Times New Roman" w:eastAsia="Times New Roman" w:hAnsi="Times New Roman" w:cs="Times New Roman"/>
                <w:sz w:val="24"/>
                <w:szCs w:val="24"/>
                <w:lang w:eastAsia="lv-LV"/>
              </w:rPr>
              <w:t xml:space="preserve">1) Precizēta Vispārīgajos būvnoteikumos lietotā terminoloģija </w:t>
            </w:r>
            <w:r w:rsidRPr="00A574D1">
              <w:rPr>
                <w:rFonts w:ascii="Times New Roman" w:eastAsia="Times New Roman" w:hAnsi="Times New Roman" w:cs="Times New Roman"/>
                <w:i/>
                <w:sz w:val="24"/>
                <w:szCs w:val="24"/>
                <w:lang w:eastAsia="lv-LV"/>
              </w:rPr>
              <w:t>„būvobjekts”</w:t>
            </w:r>
            <w:r w:rsidRPr="00A574D1">
              <w:rPr>
                <w:rFonts w:ascii="Times New Roman" w:eastAsia="Times New Roman" w:hAnsi="Times New Roman" w:cs="Times New Roman"/>
                <w:sz w:val="24"/>
                <w:szCs w:val="24"/>
                <w:lang w:eastAsia="lv-LV"/>
              </w:rPr>
              <w:t xml:space="preserve"> atbilstoši Būvniecības likumā lietotai terminoloģijai </w:t>
            </w:r>
            <w:r w:rsidRPr="00A574D1">
              <w:rPr>
                <w:rFonts w:ascii="Times New Roman" w:eastAsia="Times New Roman" w:hAnsi="Times New Roman" w:cs="Times New Roman"/>
                <w:i/>
                <w:sz w:val="24"/>
                <w:szCs w:val="24"/>
                <w:lang w:eastAsia="lv-LV"/>
              </w:rPr>
              <w:t>„objekts”</w:t>
            </w:r>
            <w:r w:rsidRPr="00A574D1">
              <w:rPr>
                <w:rFonts w:ascii="Times New Roman" w:eastAsia="Times New Roman" w:hAnsi="Times New Roman" w:cs="Times New Roman"/>
                <w:sz w:val="24"/>
                <w:szCs w:val="24"/>
                <w:lang w:eastAsia="lv-LV"/>
              </w:rPr>
              <w:t xml:space="preserve">, kā arī </w:t>
            </w:r>
            <w:r w:rsidRPr="00A574D1">
              <w:rPr>
                <w:rFonts w:ascii="Times New Roman" w:hAnsi="Times New Roman" w:cs="Times New Roman"/>
                <w:sz w:val="24"/>
                <w:szCs w:val="24"/>
              </w:rPr>
              <w:t xml:space="preserve">tekstā lietotais termins </w:t>
            </w:r>
            <w:r w:rsidRPr="00A574D1">
              <w:rPr>
                <w:rFonts w:ascii="Times New Roman" w:hAnsi="Times New Roman" w:cs="Times New Roman"/>
                <w:i/>
                <w:sz w:val="24"/>
                <w:szCs w:val="24"/>
              </w:rPr>
              <w:t>„rakstiski”</w:t>
            </w:r>
            <w:r w:rsidRPr="00A574D1">
              <w:rPr>
                <w:rFonts w:ascii="Times New Roman" w:hAnsi="Times New Roman" w:cs="Times New Roman"/>
                <w:sz w:val="24"/>
                <w:szCs w:val="24"/>
              </w:rPr>
              <w:t xml:space="preserve">, aizstāts ar </w:t>
            </w:r>
            <w:r w:rsidRPr="00A574D1">
              <w:rPr>
                <w:rFonts w:ascii="Times New Roman" w:hAnsi="Times New Roman" w:cs="Times New Roman"/>
                <w:i/>
                <w:sz w:val="24"/>
                <w:szCs w:val="24"/>
              </w:rPr>
              <w:t>„</w:t>
            </w:r>
            <w:proofErr w:type="spellStart"/>
            <w:r w:rsidRPr="00A574D1">
              <w:rPr>
                <w:rFonts w:ascii="Times New Roman" w:hAnsi="Times New Roman" w:cs="Times New Roman"/>
                <w:i/>
                <w:sz w:val="24"/>
                <w:szCs w:val="24"/>
              </w:rPr>
              <w:t>rakstveidā</w:t>
            </w:r>
            <w:proofErr w:type="spellEnd"/>
            <w:r w:rsidRPr="00A574D1">
              <w:rPr>
                <w:rFonts w:ascii="Times New Roman" w:hAnsi="Times New Roman" w:cs="Times New Roman"/>
                <w:i/>
                <w:sz w:val="24"/>
                <w:szCs w:val="24"/>
              </w:rPr>
              <w:t>”,</w:t>
            </w:r>
            <w:r w:rsidRPr="00A574D1">
              <w:rPr>
                <w:rFonts w:ascii="Times New Roman" w:hAnsi="Times New Roman" w:cs="Times New Roman"/>
                <w:sz w:val="24"/>
                <w:szCs w:val="24"/>
              </w:rPr>
              <w:t xml:space="preserve"> tā kā ar rakstveida dokumentu saprot arī elektronisku dokumentu, kam ir elektroniskais paraksts un kas atbilst citām normatīvajos aktos noteiktajām prasībām (Elektronisko dokumentu likuma 3. pants).</w:t>
            </w:r>
          </w:p>
          <w:p w:rsidR="00A907C4" w:rsidRPr="00A574D1" w:rsidRDefault="00A907C4" w:rsidP="00552CF1">
            <w:pPr>
              <w:spacing w:after="0" w:line="240" w:lineRule="auto"/>
              <w:ind w:left="57" w:right="57"/>
              <w:jc w:val="both"/>
              <w:rPr>
                <w:rFonts w:ascii="Times New Roman" w:eastAsia="Times New Roman" w:hAnsi="Times New Roman" w:cs="Times New Roman"/>
                <w:sz w:val="12"/>
                <w:szCs w:val="12"/>
                <w:lang w:eastAsia="lv-LV"/>
              </w:rPr>
            </w:pPr>
          </w:p>
          <w:p w:rsidR="00C513B2" w:rsidRPr="00A574D1" w:rsidRDefault="00C513B2" w:rsidP="00552CF1">
            <w:pPr>
              <w:spacing w:after="0" w:line="240" w:lineRule="auto"/>
              <w:ind w:left="57" w:right="57"/>
              <w:jc w:val="both"/>
              <w:rPr>
                <w:rFonts w:ascii="Times New Roman" w:eastAsia="Times New Roman" w:hAnsi="Times New Roman" w:cs="Times New Roman"/>
                <w:sz w:val="24"/>
                <w:szCs w:val="24"/>
                <w:lang w:eastAsia="lv-LV"/>
              </w:rPr>
            </w:pPr>
            <w:r w:rsidRPr="00A574D1">
              <w:rPr>
                <w:rFonts w:ascii="Times New Roman" w:eastAsia="Times New Roman" w:hAnsi="Times New Roman" w:cs="Times New Roman"/>
                <w:sz w:val="24"/>
                <w:szCs w:val="24"/>
                <w:lang w:eastAsia="lv-LV"/>
              </w:rPr>
              <w:t xml:space="preserve">2) Būvniecības likuma 12.panta trešā daļa nosaka būvvaldes kompetenci un 11.punkts paredz, ka </w:t>
            </w:r>
            <w:r w:rsidRPr="00A574D1">
              <w:rPr>
                <w:rFonts w:ascii="Times New Roman" w:eastAsia="Times New Roman" w:hAnsi="Times New Roman" w:cs="Times New Roman"/>
                <w:i/>
                <w:sz w:val="24"/>
                <w:szCs w:val="24"/>
                <w:lang w:eastAsia="lv-LV"/>
              </w:rPr>
              <w:t>būvvalde reģistrē citu institūciju izdotās būvatļaujas</w:t>
            </w:r>
            <w:r w:rsidRPr="00A574D1">
              <w:rPr>
                <w:rFonts w:ascii="Times New Roman" w:eastAsia="Times New Roman" w:hAnsi="Times New Roman" w:cs="Times New Roman"/>
                <w:sz w:val="24"/>
                <w:szCs w:val="24"/>
                <w:lang w:eastAsia="lv-LV"/>
              </w:rPr>
              <w:t>. Šobrīd Vispārīgo būvnoteikumu 9.punkts paredz, ka institūcija, kura pilda būvvaldes funkcijas, informē attiecīgo būvvaldi, ka būvatļauja ir izsniegta. Lai informācijas apmaiņa notiktu starp institūcijām, neiesaistot būvatļaujas saņēmēju, VBN 9.punkts ir precizēts, nosakot būvatļaujas izdevējam informēt būvvaldi par interneta mājaslapu, kurā publicēta Būvniecības likuma 14.panta sestajā daļā norādītā informācija (VBN 9.punkts).</w:t>
            </w:r>
          </w:p>
          <w:p w:rsidR="00A907C4" w:rsidRPr="00A574D1" w:rsidRDefault="00A907C4" w:rsidP="00552CF1">
            <w:pPr>
              <w:spacing w:after="0" w:line="240" w:lineRule="auto"/>
              <w:ind w:left="57" w:right="57"/>
              <w:jc w:val="both"/>
              <w:rPr>
                <w:rFonts w:ascii="Times New Roman" w:eastAsia="Times New Roman" w:hAnsi="Times New Roman" w:cs="Times New Roman"/>
                <w:sz w:val="12"/>
                <w:szCs w:val="12"/>
                <w:lang w:eastAsia="lv-LV"/>
              </w:rPr>
            </w:pPr>
          </w:p>
          <w:p w:rsidR="00C513B2" w:rsidRPr="00A574D1" w:rsidRDefault="00C513B2" w:rsidP="00552CF1">
            <w:pPr>
              <w:spacing w:after="0" w:line="240" w:lineRule="auto"/>
              <w:ind w:left="57" w:right="57"/>
              <w:jc w:val="both"/>
              <w:rPr>
                <w:rFonts w:ascii="Times New Roman" w:hAnsi="Times New Roman" w:cs="Times New Roman"/>
                <w:sz w:val="24"/>
                <w:szCs w:val="24"/>
              </w:rPr>
            </w:pPr>
            <w:r w:rsidRPr="00A574D1">
              <w:rPr>
                <w:rFonts w:ascii="Times New Roman" w:eastAsia="Times New Roman" w:hAnsi="Times New Roman" w:cs="Times New Roman"/>
                <w:sz w:val="24"/>
                <w:szCs w:val="24"/>
                <w:lang w:eastAsia="lv-LV"/>
              </w:rPr>
              <w:t xml:space="preserve">3) Vispārīgajos būvnoteikumos un speciālajos būvnoteikumos nav noteikts, kas paraksta </w:t>
            </w:r>
            <w:r w:rsidRPr="00A574D1">
              <w:rPr>
                <w:rFonts w:ascii="Times New Roman" w:hAnsi="Times New Roman" w:cs="Times New Roman"/>
                <w:sz w:val="24"/>
                <w:szCs w:val="24"/>
              </w:rPr>
              <w:t xml:space="preserve">būvniecības dokumentāciju (būvprojektu, visu veidu segto darbu pieņemšanas aktus, apliecinājumu par būves gatavību ekspluatācijai u.c.) gadījumos, kad būvniecības ierosinātājs (pasūtītājs) ir noslēdzis pakalpojuma līgumus par būvprojekta izstrādāšanu, būvprojekta (būves) ekspertīzi, būvuzraudzību, autoruzraudzību vai būvdarbu veikšanu ar juridisko personu. Bieži praksē ir vērojams, ka būvniecības dokumentāciju paraksta juridiskās personas valdes loceklis, kas ne vienmēr ir būvniecības speciālists, līdz ar to šī persona nevar uzņemties atbildību par būvniecības risinājumiem. Noteikumu projekts nosaka, ka šādos gadījumos, būvniecības dokumentāciju nolīgtās juridiskās personas vārdā paraksta attiecīgais </w:t>
            </w:r>
            <w:proofErr w:type="spellStart"/>
            <w:r w:rsidRPr="00A574D1">
              <w:rPr>
                <w:rFonts w:ascii="Times New Roman" w:hAnsi="Times New Roman" w:cs="Times New Roman"/>
                <w:sz w:val="24"/>
                <w:szCs w:val="24"/>
              </w:rPr>
              <w:t>būvspeciālists</w:t>
            </w:r>
            <w:proofErr w:type="spellEnd"/>
            <w:r w:rsidRPr="00A574D1">
              <w:rPr>
                <w:rFonts w:ascii="Times New Roman" w:hAnsi="Times New Roman" w:cs="Times New Roman"/>
                <w:sz w:val="24"/>
                <w:szCs w:val="24"/>
              </w:rPr>
              <w:t xml:space="preserve"> atbilstoši Vispārīgajos būvnoteikumos noteiktiem pienākumiem un </w:t>
            </w:r>
            <w:r w:rsidRPr="00A574D1">
              <w:rPr>
                <w:rFonts w:ascii="Times New Roman" w:hAnsi="Times New Roman" w:cs="Times New Roman"/>
                <w:sz w:val="24"/>
                <w:szCs w:val="24"/>
              </w:rPr>
              <w:lastRenderedPageBreak/>
              <w:t xml:space="preserve">tiesībām. Juridiskā persona atbild par </w:t>
            </w:r>
            <w:proofErr w:type="spellStart"/>
            <w:r w:rsidRPr="00A574D1">
              <w:rPr>
                <w:rFonts w:ascii="Times New Roman" w:hAnsi="Times New Roman" w:cs="Times New Roman"/>
                <w:sz w:val="24"/>
                <w:szCs w:val="24"/>
              </w:rPr>
              <w:t>būvspeciālista</w:t>
            </w:r>
            <w:proofErr w:type="spellEnd"/>
            <w:r w:rsidRPr="00A574D1">
              <w:rPr>
                <w:rFonts w:ascii="Times New Roman" w:hAnsi="Times New Roman" w:cs="Times New Roman"/>
                <w:sz w:val="24"/>
                <w:szCs w:val="24"/>
              </w:rPr>
              <w:t xml:space="preserve"> sniegto vērtējumu  (VBN 12.</w:t>
            </w:r>
            <w:r w:rsidRPr="00A574D1">
              <w:rPr>
                <w:rFonts w:ascii="Times New Roman" w:hAnsi="Times New Roman" w:cs="Times New Roman"/>
                <w:sz w:val="24"/>
                <w:szCs w:val="24"/>
                <w:vertAlign w:val="superscript"/>
              </w:rPr>
              <w:t>1</w:t>
            </w:r>
            <w:r w:rsidRPr="00A574D1">
              <w:rPr>
                <w:rFonts w:ascii="Times New Roman" w:hAnsi="Times New Roman" w:cs="Times New Roman"/>
                <w:sz w:val="24"/>
                <w:szCs w:val="24"/>
              </w:rPr>
              <w:t>punkts).</w:t>
            </w:r>
          </w:p>
          <w:p w:rsidR="00A907C4" w:rsidRPr="00A574D1" w:rsidRDefault="00A907C4" w:rsidP="00552CF1">
            <w:pPr>
              <w:spacing w:after="0" w:line="240" w:lineRule="auto"/>
              <w:ind w:left="57" w:right="57"/>
              <w:jc w:val="both"/>
              <w:rPr>
                <w:rFonts w:ascii="Times New Roman" w:hAnsi="Times New Roman" w:cs="Times New Roman"/>
                <w:sz w:val="12"/>
                <w:szCs w:val="12"/>
              </w:rPr>
            </w:pPr>
          </w:p>
          <w:p w:rsidR="00C513B2" w:rsidRPr="00A574D1" w:rsidRDefault="00C513B2" w:rsidP="00552CF1">
            <w:pPr>
              <w:spacing w:after="0" w:line="240" w:lineRule="auto"/>
              <w:ind w:left="57" w:right="57"/>
              <w:jc w:val="both"/>
              <w:rPr>
                <w:rFonts w:ascii="Times New Roman" w:hAnsi="Times New Roman" w:cs="Times New Roman"/>
                <w:sz w:val="24"/>
                <w:szCs w:val="24"/>
              </w:rPr>
            </w:pPr>
            <w:r w:rsidRPr="00A574D1">
              <w:rPr>
                <w:rFonts w:ascii="Times New Roman" w:hAnsi="Times New Roman" w:cs="Times New Roman"/>
                <w:sz w:val="24"/>
                <w:szCs w:val="24"/>
              </w:rPr>
              <w:t xml:space="preserve">4) No tiesu prakses izriet, ka “esoša būve” ir ekspluatācijā pieņemta būve, kas ir reģistrēta valsts informācijas sistēmā, un tikai tādu var pārbūvēt vai mainīt funkciju, līdz ar to noteikumos ir noteikts, kādām būvēm un kādos gadījumos var izstrādāt būvniecības ieceres dokumentāciju – būvprojektu minimālā sastāvā, paskaidrojuma rakstu vai apliecinājuma karti. </w:t>
            </w:r>
          </w:p>
          <w:p w:rsidR="00C513B2" w:rsidRPr="00A574D1" w:rsidRDefault="00C513B2" w:rsidP="00552CF1">
            <w:pPr>
              <w:spacing w:after="0" w:line="240" w:lineRule="auto"/>
              <w:ind w:left="57" w:right="57"/>
              <w:jc w:val="both"/>
              <w:rPr>
                <w:rFonts w:ascii="Times New Roman" w:hAnsi="Times New Roman" w:cs="Times New Roman"/>
                <w:sz w:val="24"/>
                <w:szCs w:val="24"/>
              </w:rPr>
            </w:pPr>
            <w:r w:rsidRPr="00A574D1">
              <w:rPr>
                <w:rFonts w:ascii="Times New Roman" w:hAnsi="Times New Roman" w:cs="Times New Roman"/>
                <w:sz w:val="24"/>
                <w:szCs w:val="24"/>
              </w:rPr>
              <w:t>VBN 68.punkts nosaka, j</w:t>
            </w:r>
            <w:r w:rsidRPr="00A574D1">
              <w:rPr>
                <w:rFonts w:ascii="Times New Roman" w:hAnsi="Times New Roman" w:cs="Times New Roman"/>
                <w:sz w:val="24"/>
                <w:szCs w:val="24"/>
                <w:shd w:val="clear" w:color="auto" w:fill="FFFFFF"/>
              </w:rPr>
              <w:t xml:space="preserve">a pasūtītājs vēlas mainīt būves lietošanas veidu, kā arī būves fasādes risinājumu, novietojumu vai </w:t>
            </w:r>
            <w:proofErr w:type="spellStart"/>
            <w:r w:rsidRPr="00A574D1">
              <w:rPr>
                <w:rFonts w:ascii="Times New Roman" w:hAnsi="Times New Roman" w:cs="Times New Roman"/>
                <w:sz w:val="24"/>
                <w:szCs w:val="24"/>
                <w:shd w:val="clear" w:color="auto" w:fill="FFFFFF"/>
              </w:rPr>
              <w:t>būvapjomu</w:t>
            </w:r>
            <w:proofErr w:type="spellEnd"/>
            <w:r w:rsidRPr="00A574D1">
              <w:rPr>
                <w:rFonts w:ascii="Times New Roman" w:hAnsi="Times New Roman" w:cs="Times New Roman"/>
                <w:sz w:val="24"/>
                <w:szCs w:val="24"/>
                <w:shd w:val="clear" w:color="auto" w:fill="FFFFFF"/>
              </w:rPr>
              <w:t>, bet tas neatbilst</w:t>
            </w:r>
            <w:r w:rsidRPr="00A574D1">
              <w:rPr>
                <w:rStyle w:val="apple-converted-space"/>
                <w:rFonts w:ascii="Times New Roman" w:hAnsi="Times New Roman" w:cs="Times New Roman"/>
                <w:sz w:val="24"/>
                <w:szCs w:val="24"/>
                <w:shd w:val="clear" w:color="auto" w:fill="FFFFFF"/>
              </w:rPr>
              <w:t> </w:t>
            </w:r>
            <w:hyperlink r:id="rId7" w:tgtFrame="_blank" w:history="1">
              <w:r w:rsidRPr="00A574D1">
                <w:rPr>
                  <w:rStyle w:val="Hyperlink"/>
                  <w:rFonts w:ascii="Times New Roman" w:hAnsi="Times New Roman" w:cs="Times New Roman"/>
                  <w:color w:val="auto"/>
                  <w:sz w:val="24"/>
                  <w:szCs w:val="24"/>
                  <w:u w:val="none"/>
                  <w:shd w:val="clear" w:color="auto" w:fill="FFFFFF"/>
                </w:rPr>
                <w:t>Būvniecības likuma</w:t>
              </w:r>
            </w:hyperlink>
            <w:r w:rsidRPr="00A574D1">
              <w:rPr>
                <w:rStyle w:val="apple-converted-space"/>
                <w:rFonts w:ascii="Times New Roman" w:hAnsi="Times New Roman" w:cs="Times New Roman"/>
                <w:sz w:val="24"/>
                <w:szCs w:val="24"/>
                <w:shd w:val="clear" w:color="auto" w:fill="FFFFFF"/>
              </w:rPr>
              <w:t> </w:t>
            </w:r>
            <w:hyperlink r:id="rId8" w:anchor="p16" w:tgtFrame="_blank" w:history="1">
              <w:r w:rsidRPr="00A574D1">
                <w:rPr>
                  <w:rStyle w:val="Hyperlink"/>
                  <w:rFonts w:ascii="Times New Roman" w:hAnsi="Times New Roman" w:cs="Times New Roman"/>
                  <w:color w:val="auto"/>
                  <w:sz w:val="24"/>
                  <w:szCs w:val="24"/>
                  <w:u w:val="none"/>
                  <w:shd w:val="clear" w:color="auto" w:fill="FFFFFF"/>
                </w:rPr>
                <w:t>16. panta</w:t>
              </w:r>
            </w:hyperlink>
            <w:r w:rsidRPr="00A574D1">
              <w:rPr>
                <w:rStyle w:val="apple-converted-space"/>
                <w:rFonts w:ascii="Times New Roman" w:hAnsi="Times New Roman" w:cs="Times New Roman"/>
                <w:sz w:val="24"/>
                <w:szCs w:val="24"/>
                <w:shd w:val="clear" w:color="auto" w:fill="FFFFFF"/>
              </w:rPr>
              <w:t> </w:t>
            </w:r>
            <w:r w:rsidRPr="00A574D1">
              <w:rPr>
                <w:rFonts w:ascii="Times New Roman" w:hAnsi="Times New Roman" w:cs="Times New Roman"/>
                <w:sz w:val="24"/>
                <w:szCs w:val="24"/>
                <w:shd w:val="clear" w:color="auto" w:fill="FFFFFF"/>
              </w:rPr>
              <w:t>2.</w:t>
            </w:r>
            <w:r w:rsidRPr="00A574D1">
              <w:rPr>
                <w:rFonts w:ascii="Times New Roman" w:hAnsi="Times New Roman" w:cs="Times New Roman"/>
                <w:sz w:val="24"/>
                <w:szCs w:val="24"/>
                <w:shd w:val="clear" w:color="auto" w:fill="FFFFFF"/>
                <w:vertAlign w:val="superscript"/>
              </w:rPr>
              <w:t>2</w:t>
            </w:r>
            <w:r w:rsidRPr="00A574D1">
              <w:rPr>
                <w:rStyle w:val="apple-converted-space"/>
                <w:rFonts w:ascii="Times New Roman" w:hAnsi="Times New Roman" w:cs="Times New Roman"/>
                <w:sz w:val="24"/>
                <w:szCs w:val="24"/>
                <w:shd w:val="clear" w:color="auto" w:fill="FFFFFF"/>
              </w:rPr>
              <w:t> </w:t>
            </w:r>
            <w:r w:rsidRPr="00A574D1">
              <w:rPr>
                <w:rFonts w:ascii="Times New Roman" w:hAnsi="Times New Roman" w:cs="Times New Roman"/>
                <w:sz w:val="24"/>
                <w:szCs w:val="24"/>
                <w:shd w:val="clear" w:color="auto" w:fill="FFFFFF"/>
              </w:rPr>
              <w:t>daļas vai</w:t>
            </w:r>
            <w:r w:rsidRPr="00A574D1">
              <w:rPr>
                <w:rStyle w:val="apple-converted-space"/>
                <w:rFonts w:ascii="Times New Roman" w:hAnsi="Times New Roman" w:cs="Times New Roman"/>
                <w:sz w:val="24"/>
                <w:szCs w:val="24"/>
                <w:shd w:val="clear" w:color="auto" w:fill="FFFFFF"/>
              </w:rPr>
              <w:t> </w:t>
            </w:r>
            <w:hyperlink r:id="rId9" w:anchor="p17" w:tgtFrame="_blank" w:history="1">
              <w:r w:rsidRPr="00A574D1">
                <w:rPr>
                  <w:rStyle w:val="Hyperlink"/>
                  <w:rFonts w:ascii="Times New Roman" w:hAnsi="Times New Roman" w:cs="Times New Roman"/>
                  <w:color w:val="auto"/>
                  <w:sz w:val="24"/>
                  <w:szCs w:val="24"/>
                  <w:u w:val="none"/>
                  <w:shd w:val="clear" w:color="auto" w:fill="FFFFFF"/>
                </w:rPr>
                <w:t>17. panta</w:t>
              </w:r>
            </w:hyperlink>
            <w:r w:rsidRPr="00A574D1">
              <w:rPr>
                <w:rStyle w:val="apple-converted-space"/>
                <w:rFonts w:ascii="Times New Roman" w:hAnsi="Times New Roman" w:cs="Times New Roman"/>
                <w:sz w:val="24"/>
                <w:szCs w:val="24"/>
                <w:shd w:val="clear" w:color="auto" w:fill="FFFFFF"/>
              </w:rPr>
              <w:t> </w:t>
            </w:r>
            <w:r w:rsidRPr="00A574D1">
              <w:rPr>
                <w:rFonts w:ascii="Times New Roman" w:hAnsi="Times New Roman" w:cs="Times New Roman"/>
                <w:sz w:val="24"/>
                <w:szCs w:val="24"/>
                <w:shd w:val="clear" w:color="auto" w:fill="FFFFFF"/>
              </w:rPr>
              <w:t>2.</w:t>
            </w:r>
            <w:r w:rsidRPr="00A574D1">
              <w:rPr>
                <w:rFonts w:ascii="Times New Roman" w:hAnsi="Times New Roman" w:cs="Times New Roman"/>
                <w:sz w:val="24"/>
                <w:szCs w:val="24"/>
                <w:shd w:val="clear" w:color="auto" w:fill="FFFFFF"/>
                <w:vertAlign w:val="superscript"/>
              </w:rPr>
              <w:t>1</w:t>
            </w:r>
            <w:r w:rsidRPr="00A574D1">
              <w:rPr>
                <w:rStyle w:val="apple-converted-space"/>
                <w:rFonts w:ascii="Times New Roman" w:hAnsi="Times New Roman" w:cs="Times New Roman"/>
                <w:sz w:val="24"/>
                <w:szCs w:val="24"/>
                <w:shd w:val="clear" w:color="auto" w:fill="FFFFFF"/>
              </w:rPr>
              <w:t> </w:t>
            </w:r>
            <w:r w:rsidRPr="00A574D1">
              <w:rPr>
                <w:rFonts w:ascii="Times New Roman" w:hAnsi="Times New Roman" w:cs="Times New Roman"/>
                <w:sz w:val="24"/>
                <w:szCs w:val="24"/>
                <w:shd w:val="clear" w:color="auto" w:fill="FFFFFF"/>
              </w:rPr>
              <w:t xml:space="preserve">daļas nosacījumiem, būvniecības ieceres dokumenti būvvaldē iesniedzami no jauna un uzsākams jauns būvniecības process. VBN ir papildināts ar nosacījumiem, kādi dokumenti ir iesniedzami būvvaldē un kā būvvaldei ir jāvērtē iesniegtie dokumenti un kas ir jānorāda lēmumā. </w:t>
            </w:r>
          </w:p>
          <w:p w:rsidR="00C513B2" w:rsidRPr="00A574D1" w:rsidRDefault="00C513B2" w:rsidP="00552CF1">
            <w:pPr>
              <w:spacing w:after="0" w:line="240" w:lineRule="auto"/>
              <w:ind w:left="57" w:right="57"/>
              <w:jc w:val="both"/>
              <w:rPr>
                <w:rFonts w:ascii="Times New Roman" w:hAnsi="Times New Roman" w:cs="Times New Roman"/>
                <w:sz w:val="24"/>
                <w:szCs w:val="24"/>
              </w:rPr>
            </w:pPr>
            <w:r w:rsidRPr="00A574D1">
              <w:rPr>
                <w:rFonts w:ascii="Times New Roman" w:hAnsi="Times New Roman" w:cs="Times New Roman"/>
                <w:sz w:val="24"/>
                <w:szCs w:val="24"/>
              </w:rPr>
              <w:t xml:space="preserve">Gadījumos, kad saskaņā ar šo noteikumu 68.punktu ir uzsākams jauns būvniecības process, pasūtītājam būvvaldē jāiesniedz jauns būvniecības ieceres iesniegums un speciālajos būvnoteikumos paredzētie dokumenti, savukārt gadījumos, kad būvdarbu laikā ir uzsākams jauns būvniecības process, pasūtītājam papildus jāiesniedz </w:t>
            </w:r>
            <w:proofErr w:type="spellStart"/>
            <w:r w:rsidRPr="00A574D1">
              <w:rPr>
                <w:rFonts w:ascii="Times New Roman" w:hAnsi="Times New Roman" w:cs="Times New Roman"/>
                <w:sz w:val="24"/>
                <w:szCs w:val="24"/>
              </w:rPr>
              <w:t>būvspeciālista</w:t>
            </w:r>
            <w:proofErr w:type="spellEnd"/>
            <w:r w:rsidRPr="00A574D1">
              <w:rPr>
                <w:rFonts w:ascii="Times New Roman" w:hAnsi="Times New Roman" w:cs="Times New Roman"/>
                <w:sz w:val="24"/>
                <w:szCs w:val="24"/>
              </w:rPr>
              <w:t xml:space="preserve"> sagatavots slēdziens par dabā esošās būves </w:t>
            </w:r>
            <w:proofErr w:type="spellStart"/>
            <w:r w:rsidRPr="00A574D1">
              <w:rPr>
                <w:rFonts w:ascii="Times New Roman" w:hAnsi="Times New Roman" w:cs="Times New Roman"/>
                <w:sz w:val="24"/>
                <w:szCs w:val="24"/>
              </w:rPr>
              <w:t>būvapjomu</w:t>
            </w:r>
            <w:proofErr w:type="spellEnd"/>
            <w:r w:rsidRPr="00A574D1">
              <w:rPr>
                <w:rFonts w:ascii="Times New Roman" w:hAnsi="Times New Roman" w:cs="Times New Roman"/>
                <w:sz w:val="24"/>
                <w:szCs w:val="24"/>
              </w:rPr>
              <w:t xml:space="preserve"> un iespēju turpināt būvdarbus atbilstoši jaunajai būvniecības iecerei, kā arī esošās būves </w:t>
            </w:r>
            <w:proofErr w:type="spellStart"/>
            <w:r w:rsidRPr="00A574D1">
              <w:rPr>
                <w:rFonts w:ascii="Times New Roman" w:hAnsi="Times New Roman" w:cs="Times New Roman"/>
                <w:sz w:val="24"/>
                <w:szCs w:val="24"/>
              </w:rPr>
              <w:t>būvapjoma</w:t>
            </w:r>
            <w:proofErr w:type="spellEnd"/>
            <w:r w:rsidRPr="00A574D1">
              <w:rPr>
                <w:rFonts w:ascii="Times New Roman" w:hAnsi="Times New Roman" w:cs="Times New Roman"/>
                <w:sz w:val="24"/>
                <w:szCs w:val="24"/>
              </w:rPr>
              <w:t xml:space="preserve"> foto fiksācija.  Būvvaldei ir pienākums izvērtēt saņemtos dokumentus un pieņemt  vienu no </w:t>
            </w:r>
            <w:r w:rsidRPr="00A574D1">
              <w:rPr>
                <w:rFonts w:ascii="Times New Roman" w:hAnsi="Times New Roman" w:cs="Times New Roman"/>
                <w:iCs/>
                <w:sz w:val="24"/>
                <w:szCs w:val="24"/>
              </w:rPr>
              <w:t>Būvniecības likuma 14.panta trešajā daļā minētiem</w:t>
            </w:r>
            <w:r w:rsidRPr="00A574D1">
              <w:rPr>
                <w:rFonts w:ascii="Times New Roman" w:hAnsi="Times New Roman" w:cs="Times New Roman"/>
                <w:sz w:val="24"/>
                <w:szCs w:val="24"/>
              </w:rPr>
              <w:t xml:space="preserve"> lēmumiem</w:t>
            </w:r>
            <w:r w:rsidRPr="00A574D1">
              <w:rPr>
                <w:rFonts w:ascii="Times New Roman" w:hAnsi="Times New Roman" w:cs="Times New Roman"/>
                <w:iCs/>
                <w:sz w:val="24"/>
                <w:szCs w:val="24"/>
              </w:rPr>
              <w:t xml:space="preserve">.  Jaunajā būvatļaujā, paskaidrojuma rakstā vai apliecinājuma kartē jānorāda iepriekš izsniegtā būvatļauja, paskaidrojuma raksta vai apliecinājuma karte un, ja nepieciešams, tā jāatceļ. Apliecinājuma kartei un paskaidrojuma rakstam normatīvajos aktos ir noteikts derīguma termiņš, līdz ar to viens no jauna būvniecības procesa uzsākšanas iemesliem varētu būt, ka beidzies to derīguma termiņš. Šādos gadījumos iepriekš izsniegtais paskaidrojuma raksts un apliecinājuma karte nav jāatceļ. </w:t>
            </w:r>
          </w:p>
          <w:p w:rsidR="00C513B2" w:rsidRPr="00A574D1" w:rsidRDefault="00C513B2" w:rsidP="00552CF1">
            <w:pPr>
              <w:spacing w:after="0" w:line="240" w:lineRule="auto"/>
              <w:ind w:left="57" w:right="57"/>
              <w:jc w:val="both"/>
              <w:rPr>
                <w:rFonts w:ascii="Times New Roman" w:hAnsi="Times New Roman" w:cs="Times New Roman"/>
                <w:sz w:val="24"/>
                <w:szCs w:val="24"/>
              </w:rPr>
            </w:pPr>
            <w:r w:rsidRPr="00A574D1">
              <w:rPr>
                <w:rFonts w:ascii="Times New Roman" w:hAnsi="Times New Roman" w:cs="Times New Roman"/>
                <w:sz w:val="24"/>
                <w:szCs w:val="24"/>
                <w:lang w:eastAsia="lv-LV"/>
              </w:rPr>
              <w:t xml:space="preserve">Jāpiezīmē, ka būvvaldei jaunā būvniecības iecere ir jāvērtē atbilstoši Būvniecības likuma 15.pantā noteiktajiem kritērijiem </w:t>
            </w:r>
            <w:r w:rsidRPr="00A574D1">
              <w:rPr>
                <w:rFonts w:ascii="Times New Roman" w:hAnsi="Times New Roman" w:cs="Times New Roman"/>
                <w:sz w:val="24"/>
                <w:szCs w:val="24"/>
              </w:rPr>
              <w:t>(VBN 13.</w:t>
            </w:r>
            <w:r w:rsidRPr="00A574D1">
              <w:rPr>
                <w:rFonts w:ascii="Times New Roman" w:hAnsi="Times New Roman" w:cs="Times New Roman"/>
                <w:sz w:val="24"/>
                <w:szCs w:val="24"/>
                <w:vertAlign w:val="superscript"/>
              </w:rPr>
              <w:t>1</w:t>
            </w:r>
            <w:r w:rsidRPr="00A574D1">
              <w:rPr>
                <w:rFonts w:ascii="Times New Roman" w:hAnsi="Times New Roman" w:cs="Times New Roman"/>
                <w:sz w:val="24"/>
                <w:szCs w:val="24"/>
              </w:rPr>
              <w:t>, 69.</w:t>
            </w:r>
            <w:r w:rsidRPr="00A574D1">
              <w:rPr>
                <w:rFonts w:ascii="Times New Roman" w:hAnsi="Times New Roman" w:cs="Times New Roman"/>
                <w:sz w:val="24"/>
                <w:szCs w:val="24"/>
                <w:vertAlign w:val="superscript"/>
              </w:rPr>
              <w:t>1</w:t>
            </w:r>
            <w:r w:rsidRPr="00A574D1">
              <w:rPr>
                <w:rFonts w:ascii="Times New Roman" w:hAnsi="Times New Roman" w:cs="Times New Roman"/>
                <w:sz w:val="24"/>
                <w:szCs w:val="24"/>
              </w:rPr>
              <w:t>, 69.</w:t>
            </w:r>
            <w:r w:rsidRPr="00A574D1">
              <w:rPr>
                <w:rFonts w:ascii="Times New Roman" w:hAnsi="Times New Roman" w:cs="Times New Roman"/>
                <w:sz w:val="24"/>
                <w:szCs w:val="24"/>
                <w:vertAlign w:val="superscript"/>
              </w:rPr>
              <w:t xml:space="preserve">2 </w:t>
            </w:r>
            <w:r w:rsidRPr="00A574D1">
              <w:rPr>
                <w:rFonts w:ascii="Times New Roman" w:hAnsi="Times New Roman" w:cs="Times New Roman"/>
                <w:sz w:val="24"/>
                <w:szCs w:val="24"/>
              </w:rPr>
              <w:t>, 69.</w:t>
            </w:r>
            <w:r w:rsidRPr="00A574D1">
              <w:rPr>
                <w:rFonts w:ascii="Times New Roman" w:hAnsi="Times New Roman" w:cs="Times New Roman"/>
                <w:sz w:val="24"/>
                <w:szCs w:val="24"/>
                <w:vertAlign w:val="superscript"/>
              </w:rPr>
              <w:t>3</w:t>
            </w:r>
            <w:r w:rsidRPr="00A574D1">
              <w:rPr>
                <w:rFonts w:ascii="Times New Roman" w:hAnsi="Times New Roman" w:cs="Times New Roman"/>
                <w:sz w:val="24"/>
                <w:szCs w:val="24"/>
              </w:rPr>
              <w:t xml:space="preserve">punkts). </w:t>
            </w:r>
          </w:p>
          <w:p w:rsidR="00A907C4" w:rsidRPr="00A574D1" w:rsidRDefault="00A907C4" w:rsidP="00552CF1">
            <w:pPr>
              <w:spacing w:after="0" w:line="240" w:lineRule="auto"/>
              <w:ind w:left="57" w:right="57"/>
              <w:jc w:val="both"/>
              <w:rPr>
                <w:rFonts w:ascii="Times New Roman" w:eastAsia="Times New Roman" w:hAnsi="Times New Roman" w:cs="Times New Roman"/>
                <w:sz w:val="12"/>
                <w:szCs w:val="12"/>
                <w:lang w:eastAsia="lv-LV"/>
              </w:rPr>
            </w:pPr>
          </w:p>
          <w:p w:rsidR="00C513B2" w:rsidRPr="00A574D1" w:rsidRDefault="00C513B2" w:rsidP="00552CF1">
            <w:pPr>
              <w:spacing w:after="0" w:line="240" w:lineRule="auto"/>
              <w:ind w:left="57" w:right="57"/>
              <w:jc w:val="both"/>
              <w:rPr>
                <w:rFonts w:ascii="Times New Roman" w:hAnsi="Times New Roman" w:cs="Times New Roman"/>
                <w:sz w:val="24"/>
                <w:szCs w:val="24"/>
              </w:rPr>
            </w:pPr>
            <w:r w:rsidRPr="00A574D1">
              <w:rPr>
                <w:rFonts w:ascii="Times New Roman" w:eastAsia="Times New Roman" w:hAnsi="Times New Roman" w:cs="Times New Roman"/>
                <w:sz w:val="24"/>
                <w:szCs w:val="24"/>
                <w:lang w:eastAsia="lv-LV"/>
              </w:rPr>
              <w:t xml:space="preserve">5) Vispārīgajos būvnoteikumos noteikts, kādos gadījumos ir nepieciešams veikt būves vai tās daļas tehnisko </w:t>
            </w:r>
            <w:proofErr w:type="spellStart"/>
            <w:r w:rsidRPr="00A574D1">
              <w:rPr>
                <w:rFonts w:ascii="Times New Roman" w:eastAsia="Times New Roman" w:hAnsi="Times New Roman" w:cs="Times New Roman"/>
                <w:sz w:val="24"/>
                <w:szCs w:val="24"/>
                <w:lang w:eastAsia="lv-LV"/>
              </w:rPr>
              <w:t>apsekojumu</w:t>
            </w:r>
            <w:proofErr w:type="spellEnd"/>
            <w:r w:rsidRPr="00A574D1">
              <w:rPr>
                <w:rFonts w:ascii="Times New Roman" w:eastAsia="Times New Roman" w:hAnsi="Times New Roman" w:cs="Times New Roman"/>
                <w:sz w:val="24"/>
                <w:szCs w:val="24"/>
                <w:lang w:eastAsia="lv-LV"/>
              </w:rPr>
              <w:t>. Lai kvalitatīvi sagatavotu būvniecības ieceres dokumentāciju,</w:t>
            </w:r>
            <w:r w:rsidR="00C41C6F" w:rsidRPr="00A574D1">
              <w:rPr>
                <w:rFonts w:ascii="Times New Roman" w:eastAsia="Times New Roman" w:hAnsi="Times New Roman" w:cs="Times New Roman"/>
                <w:sz w:val="24"/>
                <w:szCs w:val="24"/>
                <w:lang w:eastAsia="lv-LV"/>
              </w:rPr>
              <w:t xml:space="preserve"> ja tiek mainīta slodze uz nesošajām konstrukcijām,</w:t>
            </w:r>
            <w:r w:rsidRPr="00A574D1">
              <w:rPr>
                <w:rFonts w:ascii="Times New Roman" w:eastAsia="Times New Roman" w:hAnsi="Times New Roman" w:cs="Times New Roman"/>
                <w:sz w:val="24"/>
                <w:szCs w:val="24"/>
                <w:lang w:eastAsia="lv-LV"/>
              </w:rPr>
              <w:t xml:space="preserve"> nepieciešams veikt būves tehnisko </w:t>
            </w:r>
            <w:proofErr w:type="spellStart"/>
            <w:r w:rsidRPr="00A574D1">
              <w:rPr>
                <w:rFonts w:ascii="Times New Roman" w:eastAsia="Times New Roman" w:hAnsi="Times New Roman" w:cs="Times New Roman"/>
                <w:sz w:val="24"/>
                <w:szCs w:val="24"/>
                <w:lang w:eastAsia="lv-LV"/>
              </w:rPr>
              <w:t>apsekojumu</w:t>
            </w:r>
            <w:proofErr w:type="spellEnd"/>
            <w:r w:rsidRPr="00A574D1">
              <w:rPr>
                <w:rFonts w:ascii="Times New Roman" w:eastAsia="Times New Roman" w:hAnsi="Times New Roman" w:cs="Times New Roman"/>
                <w:sz w:val="24"/>
                <w:szCs w:val="24"/>
                <w:lang w:eastAsia="lv-LV"/>
              </w:rPr>
              <w:t xml:space="preserve"> ne tikai gadījumos, kad tiek izstrādāts būvprojekts minimālā sastāvā būves atjaunošanai, pārbūvei vai restaurācijai, bet nepieciešams arī gadījumos, kad, </w:t>
            </w:r>
            <w:r w:rsidRPr="00A574D1">
              <w:rPr>
                <w:rFonts w:ascii="Times New Roman" w:eastAsia="Times New Roman" w:hAnsi="Times New Roman" w:cs="Times New Roman"/>
                <w:sz w:val="24"/>
                <w:szCs w:val="24"/>
                <w:lang w:eastAsia="lv-LV"/>
              </w:rPr>
              <w:lastRenderedPageBreak/>
              <w:t>piemēram, ir jāizstrādā ēkas fasādes vienkāršotās atjaunošanas gadījumā attiecīga apliecinājuma karte. Tehniskās apsekošanas atzinums ir pievienojams būvniecības ieceres iesniegumam. Kā izņēmums ir noteikts viena vai divu dzīvokļu dzīvojamo ēku vai tās daļu un palīgēkas, kā arī lauku saimniecības nedzīvojamās ēkas, kas nav augstākas par diviem stāviem un kuru apbūves laukums nav lielāks par 400m</w:t>
            </w:r>
            <w:r w:rsidRPr="00A574D1">
              <w:rPr>
                <w:rFonts w:ascii="Times New Roman" w:eastAsia="Times New Roman" w:hAnsi="Times New Roman" w:cs="Times New Roman"/>
                <w:sz w:val="24"/>
                <w:szCs w:val="24"/>
                <w:vertAlign w:val="superscript"/>
                <w:lang w:eastAsia="lv-LV"/>
              </w:rPr>
              <w:t>2</w:t>
            </w:r>
            <w:r w:rsidRPr="00A574D1">
              <w:rPr>
                <w:rFonts w:ascii="Times New Roman" w:eastAsia="Times New Roman" w:hAnsi="Times New Roman" w:cs="Times New Roman"/>
                <w:sz w:val="24"/>
                <w:szCs w:val="24"/>
                <w:lang w:eastAsia="lv-LV"/>
              </w:rPr>
              <w:t xml:space="preserve"> un </w:t>
            </w:r>
            <w:proofErr w:type="spellStart"/>
            <w:r w:rsidRPr="00A574D1">
              <w:rPr>
                <w:rFonts w:ascii="Times New Roman" w:eastAsia="Times New Roman" w:hAnsi="Times New Roman" w:cs="Times New Roman"/>
                <w:sz w:val="24"/>
                <w:szCs w:val="24"/>
                <w:lang w:eastAsia="lv-LV"/>
              </w:rPr>
              <w:t>būvtilpums</w:t>
            </w:r>
            <w:proofErr w:type="spellEnd"/>
            <w:r w:rsidRPr="00A574D1">
              <w:rPr>
                <w:rFonts w:ascii="Times New Roman" w:eastAsia="Times New Roman" w:hAnsi="Times New Roman" w:cs="Times New Roman"/>
                <w:sz w:val="24"/>
                <w:szCs w:val="24"/>
                <w:lang w:eastAsia="lv-LV"/>
              </w:rPr>
              <w:t xml:space="preserve"> par 2000m</w:t>
            </w:r>
            <w:r w:rsidRPr="00A574D1">
              <w:rPr>
                <w:rFonts w:ascii="Times New Roman" w:eastAsia="Times New Roman" w:hAnsi="Times New Roman" w:cs="Times New Roman"/>
                <w:sz w:val="24"/>
                <w:szCs w:val="24"/>
                <w:vertAlign w:val="superscript"/>
                <w:lang w:eastAsia="lv-LV"/>
              </w:rPr>
              <w:t>3</w:t>
            </w:r>
            <w:r w:rsidRPr="00A574D1">
              <w:rPr>
                <w:rFonts w:ascii="Times New Roman" w:eastAsia="Times New Roman" w:hAnsi="Times New Roman" w:cs="Times New Roman"/>
                <w:sz w:val="24"/>
                <w:szCs w:val="24"/>
                <w:lang w:eastAsia="lv-LV"/>
              </w:rPr>
              <w:t xml:space="preserve">). </w:t>
            </w:r>
            <w:r w:rsidRPr="00A574D1">
              <w:rPr>
                <w:rFonts w:ascii="Times New Roman" w:hAnsi="Times New Roman" w:cs="Times New Roman"/>
                <w:sz w:val="24"/>
                <w:szCs w:val="24"/>
              </w:rPr>
              <w:t>Kā ir veicama būves tehniskā apsekošana un kas to ir tiesīgs veikt nosaka Latvijas būvnormatīvs LBN 405 „Būvju tehniskā apsekošana” (VBN 14. un 14.</w:t>
            </w:r>
            <w:r w:rsidRPr="00A574D1">
              <w:rPr>
                <w:rFonts w:ascii="Times New Roman" w:hAnsi="Times New Roman" w:cs="Times New Roman"/>
                <w:sz w:val="24"/>
                <w:szCs w:val="24"/>
                <w:vertAlign w:val="superscript"/>
              </w:rPr>
              <w:t>1</w:t>
            </w:r>
            <w:r w:rsidRPr="00A574D1">
              <w:rPr>
                <w:rFonts w:ascii="Times New Roman" w:hAnsi="Times New Roman" w:cs="Times New Roman"/>
                <w:sz w:val="24"/>
                <w:szCs w:val="24"/>
              </w:rPr>
              <w:t>punkts).</w:t>
            </w:r>
          </w:p>
          <w:p w:rsidR="00A907C4" w:rsidRPr="00A574D1" w:rsidRDefault="00A907C4" w:rsidP="00552CF1">
            <w:pPr>
              <w:spacing w:after="0" w:line="240" w:lineRule="auto"/>
              <w:ind w:left="57" w:right="57"/>
              <w:jc w:val="both"/>
              <w:rPr>
                <w:rFonts w:ascii="Times New Roman" w:eastAsia="Times New Roman" w:hAnsi="Times New Roman" w:cs="Times New Roman"/>
                <w:sz w:val="12"/>
                <w:szCs w:val="12"/>
                <w:lang w:eastAsia="lv-LV"/>
              </w:rPr>
            </w:pPr>
          </w:p>
          <w:p w:rsidR="00C513B2" w:rsidRPr="00A574D1" w:rsidRDefault="00C513B2" w:rsidP="00552CF1">
            <w:pPr>
              <w:spacing w:after="0" w:line="240" w:lineRule="auto"/>
              <w:ind w:left="57" w:right="57"/>
              <w:jc w:val="both"/>
              <w:rPr>
                <w:rFonts w:ascii="Times New Roman" w:eastAsia="Times New Roman" w:hAnsi="Times New Roman" w:cs="Times New Roman"/>
                <w:sz w:val="24"/>
                <w:szCs w:val="24"/>
                <w:lang w:eastAsia="lv-LV"/>
              </w:rPr>
            </w:pPr>
            <w:r w:rsidRPr="00A574D1">
              <w:rPr>
                <w:rFonts w:ascii="Times New Roman" w:eastAsia="Times New Roman" w:hAnsi="Times New Roman" w:cs="Times New Roman"/>
                <w:sz w:val="24"/>
                <w:szCs w:val="24"/>
                <w:lang w:eastAsia="lv-LV"/>
              </w:rPr>
              <w:t xml:space="preserve">6) Precizēti VBN punkti, kas noteica, kādi dokumenti ir sagatavojami inženierizpētē. Ar 2015.gada 1.jūliju stājās spēkā Latvijas būvnormatīvs </w:t>
            </w:r>
            <w:r w:rsidRPr="00A574D1">
              <w:rPr>
                <w:rFonts w:ascii="Times New Roman" w:eastAsia="Times New Roman" w:hAnsi="Times New Roman" w:cs="Times New Roman"/>
                <w:bCs/>
                <w:sz w:val="24"/>
                <w:szCs w:val="24"/>
                <w:lang w:eastAsia="lv-LV"/>
              </w:rPr>
              <w:t xml:space="preserve">LBN 005-15 “Inženierizpētes noteikumi būvniecībā” (apstiprināts ar MK 30.06.2015. noteikumiem Nr.334), kurš nosaka </w:t>
            </w:r>
            <w:r w:rsidRPr="00A574D1">
              <w:rPr>
                <w:rFonts w:ascii="Times New Roman" w:eastAsia="Times New Roman" w:hAnsi="Times New Roman" w:cs="Times New Roman"/>
                <w:sz w:val="24"/>
                <w:szCs w:val="24"/>
                <w:lang w:eastAsia="lv-LV"/>
              </w:rPr>
              <w:t xml:space="preserve"> prasības kādas jāievēro, veicot inženierizpēti, </w:t>
            </w:r>
            <w:proofErr w:type="spellStart"/>
            <w:r w:rsidRPr="00A574D1">
              <w:rPr>
                <w:rFonts w:ascii="Times New Roman" w:eastAsia="Times New Roman" w:hAnsi="Times New Roman" w:cs="Times New Roman"/>
                <w:sz w:val="24"/>
                <w:szCs w:val="24"/>
                <w:lang w:eastAsia="lv-LV"/>
              </w:rPr>
              <w:t>jaunbūvējamu</w:t>
            </w:r>
            <w:proofErr w:type="spellEnd"/>
            <w:r w:rsidRPr="00A574D1">
              <w:rPr>
                <w:rFonts w:ascii="Times New Roman" w:eastAsia="Times New Roman" w:hAnsi="Times New Roman" w:cs="Times New Roman"/>
                <w:sz w:val="24"/>
                <w:szCs w:val="24"/>
                <w:lang w:eastAsia="lv-LV"/>
              </w:rPr>
              <w:t xml:space="preserve">, pārbūvējamu un atjaunojamu būvju projektēšanā, kā arī būvdarbu un ekspluatācijas laikā. </w:t>
            </w:r>
          </w:p>
          <w:p w:rsidR="00C513B2" w:rsidRPr="00A574D1" w:rsidRDefault="00C513B2" w:rsidP="00552CF1">
            <w:pPr>
              <w:pStyle w:val="naiskr"/>
              <w:spacing w:before="0" w:after="0"/>
              <w:ind w:left="57" w:right="57"/>
              <w:jc w:val="both"/>
            </w:pPr>
            <w:proofErr w:type="spellStart"/>
            <w:r w:rsidRPr="00A574D1">
              <w:t>Ģeotehnisko</w:t>
            </w:r>
            <w:proofErr w:type="spellEnd"/>
            <w:r w:rsidRPr="00A574D1">
              <w:t xml:space="preserve"> izpēti, kas ir saistīta ar būvniecības laikā veicamo inženierizpēti veic un šī darba izpildes dokumentāciju sagatavo, ievērojot Latvijas būvnormatīvā par </w:t>
            </w:r>
            <w:proofErr w:type="spellStart"/>
            <w:r w:rsidRPr="00A574D1">
              <w:t>ģeotehnisko</w:t>
            </w:r>
            <w:proofErr w:type="spellEnd"/>
            <w:r w:rsidRPr="00A574D1">
              <w:t xml:space="preserve"> projektēšanu (LBN 207-15) noteiktās prasības, ar kuru tiek pārņemti 7.Eirokodeksa projektēšanas standartu saimes LVS EN 1997 „7.Eirokodekss. </w:t>
            </w:r>
            <w:proofErr w:type="spellStart"/>
            <w:r w:rsidRPr="00A574D1">
              <w:t>Ģeotehniskā</w:t>
            </w:r>
            <w:proofErr w:type="spellEnd"/>
            <w:r w:rsidRPr="00A574D1">
              <w:t xml:space="preserve"> projektēšana” standarti – LVS EN 1997-1+AC:2014 „7.Eirokodekss. </w:t>
            </w:r>
            <w:proofErr w:type="spellStart"/>
            <w:r w:rsidRPr="00A574D1">
              <w:t>Ģeotehniskā</w:t>
            </w:r>
            <w:proofErr w:type="spellEnd"/>
            <w:r w:rsidRPr="00A574D1">
              <w:t xml:space="preserve"> projektēšana. 1.daļa: Vispārīgie noteikumi.” un LVS EN 1997-2:2008 „7.Eirokodekss. </w:t>
            </w:r>
            <w:proofErr w:type="spellStart"/>
            <w:r w:rsidRPr="00A574D1">
              <w:t>Ģeotehniskā</w:t>
            </w:r>
            <w:proofErr w:type="spellEnd"/>
            <w:r w:rsidRPr="00A574D1">
              <w:t xml:space="preserve"> projektēšana. 2.daļa: </w:t>
            </w:r>
            <w:proofErr w:type="spellStart"/>
            <w:r w:rsidRPr="00A574D1">
              <w:t>Būvpamatnes</w:t>
            </w:r>
            <w:proofErr w:type="spellEnd"/>
            <w:r w:rsidRPr="00A574D1">
              <w:t xml:space="preserve"> izpēte un pārbaudes”, līdz ar to šajā normatīvā nav tas jānorāda (VBN 23., 24.punkts).</w:t>
            </w:r>
          </w:p>
          <w:p w:rsidR="00A907C4" w:rsidRPr="00A574D1" w:rsidRDefault="00A907C4" w:rsidP="00552CF1">
            <w:pPr>
              <w:spacing w:after="0" w:line="240" w:lineRule="auto"/>
              <w:ind w:left="57" w:right="57"/>
              <w:jc w:val="both"/>
              <w:rPr>
                <w:rFonts w:ascii="Times New Roman" w:eastAsia="Times New Roman" w:hAnsi="Times New Roman" w:cs="Times New Roman"/>
                <w:sz w:val="12"/>
                <w:szCs w:val="12"/>
                <w:lang w:eastAsia="lv-LV"/>
              </w:rPr>
            </w:pPr>
          </w:p>
          <w:p w:rsidR="00C513B2" w:rsidRPr="00A574D1" w:rsidRDefault="00C513B2" w:rsidP="00552CF1">
            <w:pPr>
              <w:spacing w:after="0" w:line="240" w:lineRule="auto"/>
              <w:ind w:left="57" w:right="57"/>
              <w:jc w:val="both"/>
              <w:rPr>
                <w:rFonts w:ascii="Times New Roman" w:eastAsia="Times New Roman" w:hAnsi="Times New Roman" w:cs="Times New Roman"/>
                <w:sz w:val="24"/>
                <w:szCs w:val="24"/>
                <w:lang w:eastAsia="lv-LV"/>
              </w:rPr>
            </w:pPr>
            <w:r w:rsidRPr="00A574D1">
              <w:rPr>
                <w:rFonts w:ascii="Times New Roman" w:eastAsia="Times New Roman" w:hAnsi="Times New Roman" w:cs="Times New Roman"/>
                <w:sz w:val="24"/>
                <w:szCs w:val="24"/>
                <w:lang w:eastAsia="lv-LV"/>
              </w:rPr>
              <w:t xml:space="preserve">7) </w:t>
            </w:r>
            <w:r w:rsidR="00A907C4" w:rsidRPr="00A574D1">
              <w:rPr>
                <w:rFonts w:ascii="Times New Roman" w:eastAsia="Times New Roman" w:hAnsi="Times New Roman" w:cs="Times New Roman"/>
                <w:sz w:val="24"/>
                <w:szCs w:val="24"/>
                <w:lang w:eastAsia="lv-LV"/>
              </w:rPr>
              <w:t>P</w:t>
            </w:r>
            <w:r w:rsidRPr="00A574D1">
              <w:rPr>
                <w:rFonts w:ascii="Times New Roman" w:eastAsia="Times New Roman" w:hAnsi="Times New Roman" w:cs="Times New Roman"/>
                <w:sz w:val="24"/>
                <w:szCs w:val="24"/>
                <w:lang w:eastAsia="lv-LV"/>
              </w:rPr>
              <w:t xml:space="preserve">recizēts VBN 26.punkts, nosakot, ka būvniecības ieceres realizācijai nepieciešamos dokumentus ir tiesīgs izstrādāt ne tikai būvprojekta izstrādātājs, kurš atbilstoši dotajam termins skaidrojumam izstrādā būvprojektu minimālā sastāvā un turpina būvprojekta izstrādi, bet arī būvkomersants vai </w:t>
            </w:r>
            <w:proofErr w:type="spellStart"/>
            <w:r w:rsidRPr="00A574D1">
              <w:rPr>
                <w:rFonts w:ascii="Times New Roman" w:eastAsia="Times New Roman" w:hAnsi="Times New Roman" w:cs="Times New Roman"/>
                <w:sz w:val="24"/>
                <w:szCs w:val="24"/>
                <w:lang w:eastAsia="lv-LV"/>
              </w:rPr>
              <w:t>būvspeciālists</w:t>
            </w:r>
            <w:proofErr w:type="spellEnd"/>
            <w:r w:rsidRPr="00A574D1">
              <w:rPr>
                <w:rFonts w:ascii="Times New Roman" w:eastAsia="Times New Roman" w:hAnsi="Times New Roman" w:cs="Times New Roman"/>
                <w:sz w:val="24"/>
                <w:szCs w:val="24"/>
                <w:lang w:eastAsia="lv-LV"/>
              </w:rPr>
              <w:t>, kuri izstrādā paskaidrojuma rakstu vai apliecinājuma karti.</w:t>
            </w:r>
          </w:p>
          <w:p w:rsidR="00A907C4" w:rsidRPr="00A574D1" w:rsidRDefault="00A907C4" w:rsidP="00552CF1">
            <w:pPr>
              <w:spacing w:after="0" w:line="240" w:lineRule="auto"/>
              <w:ind w:left="57" w:right="57"/>
              <w:jc w:val="both"/>
              <w:rPr>
                <w:rFonts w:ascii="Times New Roman" w:eastAsia="Times New Roman" w:hAnsi="Times New Roman" w:cs="Times New Roman"/>
                <w:sz w:val="12"/>
                <w:szCs w:val="12"/>
                <w:lang w:eastAsia="lv-LV"/>
              </w:rPr>
            </w:pPr>
          </w:p>
          <w:p w:rsidR="00C513B2" w:rsidRPr="00A574D1" w:rsidRDefault="00C513B2" w:rsidP="00552CF1">
            <w:pPr>
              <w:spacing w:after="0" w:line="240" w:lineRule="auto"/>
              <w:ind w:left="57" w:right="57"/>
              <w:jc w:val="both"/>
              <w:rPr>
                <w:rFonts w:ascii="Times New Roman" w:hAnsi="Times New Roman" w:cs="Times New Roman"/>
                <w:sz w:val="24"/>
                <w:szCs w:val="24"/>
              </w:rPr>
            </w:pPr>
            <w:r w:rsidRPr="00A574D1">
              <w:rPr>
                <w:rFonts w:ascii="Times New Roman" w:eastAsia="Times New Roman" w:hAnsi="Times New Roman" w:cs="Times New Roman"/>
                <w:sz w:val="24"/>
                <w:szCs w:val="24"/>
                <w:lang w:eastAsia="lv-LV"/>
              </w:rPr>
              <w:t xml:space="preserve">8) Vispārīgie būvnoteikumi ir papildināti, nosakot pienākumu pasūtītājam pasūtīt </w:t>
            </w:r>
            <w:r w:rsidRPr="00A574D1">
              <w:rPr>
                <w:rFonts w:ascii="Times New Roman" w:hAnsi="Times New Roman" w:cs="Times New Roman"/>
                <w:sz w:val="24"/>
                <w:szCs w:val="24"/>
              </w:rPr>
              <w:t>būvprojektu, kas ietver visus būvdarbu veikšanai nepieciešamos konstruktīvos risinājumus mezglus, lai nodrošinātu, ka būve atbildīs būves būtiskām prasībām. Šāds regulējums ir nepieciešams, lai pasūtītājs, sagatavojot projektēšanas uzdevumu, nevarētu pasūtīt būvprojektu, kurā nav visas nepieciešamās būvprojekta daļas, aizbildinoties, ka, viņa ieskatā, tās nav nepieciešams (VBN . 26.</w:t>
            </w:r>
            <w:r w:rsidRPr="00A574D1">
              <w:rPr>
                <w:rFonts w:ascii="Times New Roman" w:hAnsi="Times New Roman" w:cs="Times New Roman"/>
                <w:sz w:val="24"/>
                <w:szCs w:val="24"/>
                <w:vertAlign w:val="superscript"/>
              </w:rPr>
              <w:t>1</w:t>
            </w:r>
            <w:r w:rsidRPr="00A574D1">
              <w:rPr>
                <w:rFonts w:ascii="Times New Roman" w:hAnsi="Times New Roman" w:cs="Times New Roman"/>
                <w:sz w:val="24"/>
                <w:szCs w:val="24"/>
              </w:rPr>
              <w:t>punkts).</w:t>
            </w:r>
          </w:p>
          <w:p w:rsidR="00A907C4" w:rsidRPr="00A574D1" w:rsidRDefault="00A907C4" w:rsidP="00552CF1">
            <w:pPr>
              <w:spacing w:after="0" w:line="240" w:lineRule="auto"/>
              <w:ind w:left="57" w:right="57"/>
              <w:jc w:val="both"/>
              <w:rPr>
                <w:rFonts w:ascii="Times New Roman" w:eastAsia="Times New Roman" w:hAnsi="Times New Roman" w:cs="Times New Roman"/>
                <w:sz w:val="12"/>
                <w:szCs w:val="12"/>
                <w:lang w:eastAsia="lv-LV"/>
              </w:rPr>
            </w:pPr>
          </w:p>
          <w:p w:rsidR="00C41C6F" w:rsidRPr="00A574D1" w:rsidRDefault="00241A29" w:rsidP="00552CF1">
            <w:pPr>
              <w:spacing w:after="0" w:line="240" w:lineRule="auto"/>
              <w:ind w:left="57" w:right="57"/>
              <w:jc w:val="both"/>
              <w:rPr>
                <w:rFonts w:ascii="Times New Roman" w:eastAsia="Times New Roman" w:hAnsi="Times New Roman" w:cs="Times New Roman"/>
                <w:sz w:val="24"/>
                <w:szCs w:val="24"/>
                <w:lang w:eastAsia="lv-LV"/>
              </w:rPr>
            </w:pPr>
            <w:r w:rsidRPr="00A574D1">
              <w:rPr>
                <w:rFonts w:ascii="Times New Roman" w:eastAsia="Times New Roman" w:hAnsi="Times New Roman" w:cs="Times New Roman"/>
                <w:sz w:val="24"/>
                <w:szCs w:val="24"/>
                <w:lang w:eastAsia="lv-LV"/>
              </w:rPr>
              <w:t>8</w:t>
            </w:r>
            <w:r w:rsidR="00C513B2" w:rsidRPr="00A574D1">
              <w:rPr>
                <w:rFonts w:ascii="Times New Roman" w:eastAsia="Times New Roman" w:hAnsi="Times New Roman" w:cs="Times New Roman"/>
                <w:sz w:val="24"/>
                <w:szCs w:val="24"/>
                <w:lang w:eastAsia="lv-LV"/>
              </w:rPr>
              <w:t xml:space="preserve">) precizēts 45.punkts attiecībā uz Būvniecības valsts kontroles biroja kompetenci būvprojekta ekspertīzē un </w:t>
            </w:r>
            <w:r w:rsidR="00C513B2" w:rsidRPr="00A574D1">
              <w:rPr>
                <w:rFonts w:ascii="Times New Roman" w:eastAsia="Times New Roman" w:hAnsi="Times New Roman" w:cs="Times New Roman"/>
                <w:sz w:val="24"/>
                <w:szCs w:val="24"/>
                <w:lang w:eastAsia="lv-LV"/>
              </w:rPr>
              <w:lastRenderedPageBreak/>
              <w:t>redakcija ir saskaņota ar Būvniecības likuma 6.</w:t>
            </w:r>
            <w:r w:rsidR="00C513B2" w:rsidRPr="00A574D1">
              <w:rPr>
                <w:rFonts w:ascii="Times New Roman" w:eastAsia="Times New Roman" w:hAnsi="Times New Roman" w:cs="Times New Roman"/>
                <w:sz w:val="24"/>
                <w:szCs w:val="24"/>
                <w:vertAlign w:val="superscript"/>
                <w:lang w:eastAsia="lv-LV"/>
              </w:rPr>
              <w:t>1</w:t>
            </w:r>
            <w:r w:rsidR="00C513B2" w:rsidRPr="00A574D1">
              <w:rPr>
                <w:rFonts w:ascii="Times New Roman" w:eastAsia="Times New Roman" w:hAnsi="Times New Roman" w:cs="Times New Roman"/>
                <w:sz w:val="24"/>
                <w:szCs w:val="24"/>
                <w:lang w:eastAsia="lv-LV"/>
              </w:rPr>
              <w:t>panta pirmās daļas 4.punktā noteikto.</w:t>
            </w:r>
            <w:r w:rsidR="000D1049" w:rsidRPr="00A574D1">
              <w:rPr>
                <w:rFonts w:ascii="Times New Roman" w:eastAsia="Times New Roman" w:hAnsi="Times New Roman" w:cs="Times New Roman"/>
                <w:sz w:val="24"/>
                <w:szCs w:val="24"/>
                <w:lang w:eastAsia="lv-LV"/>
              </w:rPr>
              <w:t xml:space="preserve"> </w:t>
            </w:r>
          </w:p>
          <w:p w:rsidR="00C41C6F" w:rsidRPr="00A574D1" w:rsidRDefault="00C41C6F" w:rsidP="00C41C6F">
            <w:pPr>
              <w:pStyle w:val="naisc"/>
              <w:spacing w:before="0" w:after="0"/>
              <w:ind w:left="57" w:right="57"/>
              <w:jc w:val="both"/>
            </w:pPr>
            <w:r w:rsidRPr="00A574D1">
              <w:t xml:space="preserve">Likums arī nosaka, ka birojs piešķir patstāvīgās prakses tiesības šā likuma 13.panta trešās daļas 5.punktā noteiktajā specialitātē - </w:t>
            </w:r>
            <w:r w:rsidRPr="00A574D1">
              <w:rPr>
                <w:i/>
              </w:rPr>
              <w:t>būvekspertīze,</w:t>
            </w:r>
            <w:r w:rsidRPr="00A574D1">
              <w:t xml:space="preserve"> kā arī veic patstāvīgās prakses uzraudzību. </w:t>
            </w:r>
          </w:p>
          <w:p w:rsidR="00C41C6F" w:rsidRPr="00A574D1" w:rsidRDefault="00C41C6F" w:rsidP="00C41C6F">
            <w:pPr>
              <w:pStyle w:val="naisc"/>
              <w:spacing w:before="0" w:after="0"/>
              <w:ind w:left="57" w:right="57"/>
              <w:jc w:val="both"/>
            </w:pPr>
            <w:r w:rsidRPr="00A574D1">
              <w:t xml:space="preserve">Regulējums nodrošina, ka slēgt līgumu par būvprojekta ekspertīzi vai būves ekspertīzi varēs tikai ar tādiem </w:t>
            </w:r>
            <w:proofErr w:type="spellStart"/>
            <w:r w:rsidRPr="00A574D1">
              <w:t>būvspeciālistiem</w:t>
            </w:r>
            <w:proofErr w:type="spellEnd"/>
            <w:r w:rsidRPr="00A574D1">
              <w:t>, kuri ir sertificēti birojā.</w:t>
            </w:r>
          </w:p>
          <w:p w:rsidR="00C41C6F" w:rsidRPr="00A574D1" w:rsidRDefault="00607025" w:rsidP="00552CF1">
            <w:pPr>
              <w:spacing w:after="0" w:line="240" w:lineRule="auto"/>
              <w:ind w:left="57" w:right="57"/>
              <w:jc w:val="both"/>
              <w:rPr>
                <w:rFonts w:ascii="Times New Roman" w:eastAsia="Times New Roman" w:hAnsi="Times New Roman" w:cs="Times New Roman"/>
                <w:sz w:val="24"/>
                <w:szCs w:val="24"/>
                <w:lang w:eastAsia="lv-LV"/>
              </w:rPr>
            </w:pPr>
            <w:r w:rsidRPr="00A574D1">
              <w:rPr>
                <w:rFonts w:ascii="Times New Roman" w:hAnsi="Times New Roman"/>
                <w:bCs/>
                <w:sz w:val="24"/>
                <w:szCs w:val="24"/>
              </w:rPr>
              <w:t xml:space="preserve">Saskaņā ar Būvniecības likuma 2.pantu pie sabiedrības interesēm pieskaitāma kvalitatīvas dzīves vides radīšana, nosakot efektīvu būvniecības procesa regulējumu. Spēkā esošais regulējums paredz gadījumus, kad būvprojekta ekspertīze un būves ekspertīze ir obligāti veicama. Aktuālo tirgus datu analīze liek secināt par iespējamiem riskiem, ka atsevišķos gadījumos tirgus nespēs nodrošināt ekspertīzes pakalpojumus (nebūs pretendentu). </w:t>
            </w:r>
          </w:p>
          <w:p w:rsidR="003950E7" w:rsidRPr="00A574D1" w:rsidRDefault="00B43577" w:rsidP="00552CF1">
            <w:pPr>
              <w:spacing w:after="0" w:line="240" w:lineRule="auto"/>
              <w:ind w:left="57" w:right="57"/>
              <w:jc w:val="both"/>
              <w:rPr>
                <w:rFonts w:ascii="Times New Roman" w:eastAsia="Times New Roman" w:hAnsi="Times New Roman" w:cs="Times New Roman"/>
                <w:sz w:val="24"/>
                <w:szCs w:val="24"/>
                <w:lang w:eastAsia="lv-LV"/>
              </w:rPr>
            </w:pPr>
            <w:r w:rsidRPr="00A574D1">
              <w:rPr>
                <w:rFonts w:ascii="Times New Roman" w:eastAsia="Times New Roman" w:hAnsi="Times New Roman" w:cs="Times New Roman"/>
                <w:sz w:val="24"/>
                <w:szCs w:val="24"/>
                <w:lang w:eastAsia="lv-LV"/>
              </w:rPr>
              <w:t>Būvniecības valsts kontroles birojs</w:t>
            </w:r>
            <w:r w:rsidR="00E17133" w:rsidRPr="00A574D1">
              <w:rPr>
                <w:rFonts w:ascii="Times New Roman" w:eastAsia="Times New Roman" w:hAnsi="Times New Roman" w:cs="Times New Roman"/>
                <w:sz w:val="24"/>
                <w:szCs w:val="24"/>
                <w:lang w:eastAsia="lv-LV"/>
              </w:rPr>
              <w:t>, organizējot būvprojektu un būvju ekspertīzi,</w:t>
            </w:r>
            <w:r w:rsidRPr="00A574D1">
              <w:rPr>
                <w:rFonts w:ascii="Times New Roman" w:eastAsia="Times New Roman" w:hAnsi="Times New Roman" w:cs="Times New Roman"/>
                <w:sz w:val="24"/>
                <w:szCs w:val="24"/>
                <w:lang w:eastAsia="lv-LV"/>
              </w:rPr>
              <w:t xml:space="preserve"> savas kompetences ietvaros sniegs vērtējumu gadījumos, kad risināms strīds starp būvniecības procesa dalībniekiem un būvniecība</w:t>
            </w:r>
            <w:r w:rsidR="00E17133" w:rsidRPr="00A574D1">
              <w:rPr>
                <w:rFonts w:ascii="Times New Roman" w:eastAsia="Times New Roman" w:hAnsi="Times New Roman" w:cs="Times New Roman"/>
                <w:sz w:val="24"/>
                <w:szCs w:val="24"/>
                <w:lang w:eastAsia="lv-LV"/>
              </w:rPr>
              <w:t>i</w:t>
            </w:r>
            <w:r w:rsidRPr="00A574D1">
              <w:rPr>
                <w:rFonts w:ascii="Times New Roman" w:eastAsia="Times New Roman" w:hAnsi="Times New Roman" w:cs="Times New Roman"/>
                <w:sz w:val="24"/>
                <w:szCs w:val="24"/>
                <w:lang w:eastAsia="lv-LV"/>
              </w:rPr>
              <w:t xml:space="preserve"> </w:t>
            </w:r>
            <w:r w:rsidR="00E17133" w:rsidRPr="00A574D1">
              <w:rPr>
                <w:rFonts w:ascii="Times New Roman" w:eastAsia="Times New Roman" w:hAnsi="Times New Roman" w:cs="Times New Roman"/>
                <w:sz w:val="24"/>
                <w:szCs w:val="24"/>
                <w:lang w:eastAsia="lv-LV"/>
              </w:rPr>
              <w:t>tie</w:t>
            </w:r>
            <w:r w:rsidR="00015FF3" w:rsidRPr="00A574D1">
              <w:rPr>
                <w:rFonts w:ascii="Times New Roman" w:eastAsia="Times New Roman" w:hAnsi="Times New Roman" w:cs="Times New Roman"/>
                <w:sz w:val="24"/>
                <w:szCs w:val="24"/>
                <w:lang w:eastAsia="lv-LV"/>
              </w:rPr>
              <w:t xml:space="preserve">k piesaistīts </w:t>
            </w:r>
            <w:r w:rsidR="006A7F12" w:rsidRPr="00A574D1">
              <w:rPr>
                <w:rFonts w:ascii="Times New Roman" w:eastAsia="Times New Roman" w:hAnsi="Times New Roman" w:cs="Times New Roman"/>
                <w:sz w:val="24"/>
                <w:szCs w:val="24"/>
                <w:lang w:eastAsia="lv-LV"/>
              </w:rPr>
              <w:t>valsts vai pašvaldību</w:t>
            </w:r>
            <w:r w:rsidR="00015FF3" w:rsidRPr="00A574D1">
              <w:rPr>
                <w:rFonts w:ascii="Times New Roman" w:eastAsia="Times New Roman" w:hAnsi="Times New Roman" w:cs="Times New Roman"/>
                <w:sz w:val="24"/>
                <w:szCs w:val="24"/>
                <w:lang w:eastAsia="lv-LV"/>
              </w:rPr>
              <w:t xml:space="preserve"> finansējums</w:t>
            </w:r>
            <w:r w:rsidR="006A7F12" w:rsidRPr="00A574D1">
              <w:rPr>
                <w:rFonts w:ascii="Times New Roman" w:eastAsia="Times New Roman" w:hAnsi="Times New Roman" w:cs="Times New Roman"/>
                <w:sz w:val="24"/>
                <w:szCs w:val="24"/>
                <w:lang w:eastAsia="lv-LV"/>
              </w:rPr>
              <w:t>, kā arī</w:t>
            </w:r>
            <w:r w:rsidRPr="00A574D1">
              <w:rPr>
                <w:rFonts w:ascii="Times New Roman" w:eastAsia="Times New Roman" w:hAnsi="Times New Roman" w:cs="Times New Roman"/>
                <w:sz w:val="24"/>
                <w:szCs w:val="24"/>
                <w:lang w:eastAsia="lv-LV"/>
              </w:rPr>
              <w:t xml:space="preserve"> gadījumos, kad ir saņemti atšķirīgi </w:t>
            </w:r>
            <w:proofErr w:type="spellStart"/>
            <w:r w:rsidR="00015FF3" w:rsidRPr="00A574D1">
              <w:rPr>
                <w:rFonts w:ascii="Times New Roman" w:eastAsia="Times New Roman" w:hAnsi="Times New Roman" w:cs="Times New Roman"/>
                <w:sz w:val="24"/>
                <w:szCs w:val="24"/>
                <w:lang w:eastAsia="lv-LV"/>
              </w:rPr>
              <w:t>būv</w:t>
            </w:r>
            <w:r w:rsidRPr="00A574D1">
              <w:rPr>
                <w:rFonts w:ascii="Times New Roman" w:eastAsia="Times New Roman" w:hAnsi="Times New Roman" w:cs="Times New Roman"/>
                <w:sz w:val="24"/>
                <w:szCs w:val="24"/>
                <w:lang w:eastAsia="lv-LV"/>
              </w:rPr>
              <w:t>ekspertu</w:t>
            </w:r>
            <w:proofErr w:type="spellEnd"/>
            <w:r w:rsidRPr="00A574D1">
              <w:rPr>
                <w:rFonts w:ascii="Times New Roman" w:eastAsia="Times New Roman" w:hAnsi="Times New Roman" w:cs="Times New Roman"/>
                <w:sz w:val="24"/>
                <w:szCs w:val="24"/>
                <w:lang w:eastAsia="lv-LV"/>
              </w:rPr>
              <w:t xml:space="preserve"> atzinumi.</w:t>
            </w:r>
            <w:r w:rsidR="00015FF3" w:rsidRPr="00A574D1">
              <w:rPr>
                <w:rFonts w:ascii="Times New Roman" w:eastAsia="Times New Roman" w:hAnsi="Times New Roman" w:cs="Times New Roman"/>
                <w:sz w:val="24"/>
                <w:szCs w:val="24"/>
                <w:lang w:eastAsia="lv-LV"/>
              </w:rPr>
              <w:t xml:space="preserve"> Būvniecības valsts kontroles birojs vērtējuma sniegšanai piesaistīs atzītus būvniecības nozares ekspertus, kuri var sniegt vispusīgu atzinumu par konkrēto situāciju. Šobrīd šāds vērtējums tiks nodrošināts bez maksas.</w:t>
            </w:r>
            <w:r w:rsidR="00607025" w:rsidRPr="00A574D1">
              <w:rPr>
                <w:rFonts w:ascii="Times New Roman" w:eastAsia="Times New Roman" w:hAnsi="Times New Roman" w:cs="Times New Roman"/>
                <w:sz w:val="24"/>
                <w:szCs w:val="24"/>
                <w:lang w:eastAsia="lv-LV"/>
              </w:rPr>
              <w:t xml:space="preserve"> (VBN 45.punkts)</w:t>
            </w:r>
          </w:p>
          <w:p w:rsidR="00A907C4" w:rsidRPr="00A574D1" w:rsidRDefault="00A907C4" w:rsidP="00552CF1">
            <w:pPr>
              <w:spacing w:after="0" w:line="240" w:lineRule="auto"/>
              <w:ind w:left="57" w:right="57"/>
              <w:jc w:val="both"/>
              <w:rPr>
                <w:rFonts w:ascii="Times New Roman" w:eastAsia="Times New Roman" w:hAnsi="Times New Roman" w:cs="Times New Roman"/>
                <w:sz w:val="12"/>
                <w:szCs w:val="12"/>
                <w:lang w:eastAsia="lv-LV"/>
              </w:rPr>
            </w:pPr>
          </w:p>
          <w:p w:rsidR="00C513B2" w:rsidRPr="00A574D1" w:rsidRDefault="00241A29" w:rsidP="00552CF1">
            <w:pPr>
              <w:spacing w:after="0" w:line="240" w:lineRule="auto"/>
              <w:ind w:left="57" w:right="57"/>
              <w:jc w:val="both"/>
              <w:rPr>
                <w:rFonts w:ascii="Times New Roman" w:eastAsia="Times New Roman" w:hAnsi="Times New Roman" w:cs="Times New Roman"/>
                <w:sz w:val="24"/>
                <w:szCs w:val="24"/>
                <w:lang w:eastAsia="lv-LV"/>
              </w:rPr>
            </w:pPr>
            <w:r w:rsidRPr="00A574D1">
              <w:rPr>
                <w:rFonts w:ascii="Times New Roman" w:eastAsia="Times New Roman" w:hAnsi="Times New Roman" w:cs="Times New Roman"/>
                <w:sz w:val="24"/>
                <w:szCs w:val="24"/>
                <w:lang w:eastAsia="lv-LV"/>
              </w:rPr>
              <w:t>9</w:t>
            </w:r>
            <w:r w:rsidR="00C513B2" w:rsidRPr="00A574D1">
              <w:rPr>
                <w:rFonts w:ascii="Times New Roman" w:eastAsia="Times New Roman" w:hAnsi="Times New Roman" w:cs="Times New Roman"/>
                <w:sz w:val="24"/>
                <w:szCs w:val="24"/>
                <w:lang w:eastAsia="lv-LV"/>
              </w:rPr>
              <w:t>) Ņemot vērā Būvniecības likumā noteikto attiecībā uz to, kad pasūtītājs ir tiesīgs veikt izmaiņas būvprojektā un kā tās ir saskaņojamas, ir precizēts kādu izstrādāto būvniecības dokumentu (paskaidrojuma raksts, apliecinājuma karte, būvprojekts) laikā ir tiesības veikt izmaiņas (VBN 66., 67.punkts).</w:t>
            </w:r>
          </w:p>
          <w:p w:rsidR="00A907C4" w:rsidRPr="00A574D1" w:rsidRDefault="00A907C4" w:rsidP="00552CF1">
            <w:pPr>
              <w:spacing w:after="0" w:line="240" w:lineRule="auto"/>
              <w:ind w:left="57" w:right="57"/>
              <w:jc w:val="both"/>
              <w:rPr>
                <w:rFonts w:ascii="Times New Roman" w:eastAsia="Times New Roman" w:hAnsi="Times New Roman" w:cs="Times New Roman"/>
                <w:sz w:val="12"/>
                <w:szCs w:val="12"/>
                <w:lang w:eastAsia="lv-LV"/>
              </w:rPr>
            </w:pPr>
          </w:p>
          <w:p w:rsidR="00C513B2" w:rsidRPr="00A574D1" w:rsidRDefault="00C513B2" w:rsidP="00552CF1">
            <w:pPr>
              <w:spacing w:after="0" w:line="240" w:lineRule="auto"/>
              <w:ind w:left="57" w:right="57"/>
              <w:jc w:val="both"/>
              <w:rPr>
                <w:rFonts w:ascii="Times New Roman" w:hAnsi="Times New Roman" w:cs="Times New Roman"/>
                <w:i/>
                <w:sz w:val="24"/>
                <w:szCs w:val="24"/>
              </w:rPr>
            </w:pPr>
            <w:r w:rsidRPr="00A574D1">
              <w:rPr>
                <w:rFonts w:ascii="Times New Roman" w:hAnsi="Times New Roman" w:cs="Times New Roman"/>
                <w:iCs/>
                <w:sz w:val="24"/>
                <w:szCs w:val="24"/>
              </w:rPr>
              <w:t>1</w:t>
            </w:r>
            <w:r w:rsidR="00241A29" w:rsidRPr="00A574D1">
              <w:rPr>
                <w:rFonts w:ascii="Times New Roman" w:hAnsi="Times New Roman" w:cs="Times New Roman"/>
                <w:iCs/>
                <w:sz w:val="24"/>
                <w:szCs w:val="24"/>
              </w:rPr>
              <w:t>0</w:t>
            </w:r>
            <w:r w:rsidRPr="00A574D1">
              <w:rPr>
                <w:rFonts w:ascii="Times New Roman" w:hAnsi="Times New Roman" w:cs="Times New Roman"/>
                <w:iCs/>
                <w:sz w:val="24"/>
                <w:szCs w:val="24"/>
              </w:rPr>
              <w:t xml:space="preserve">) Vispārīgie būvnoteikumi ir papildināti ar galvenā būvdarbu veicēja pienākumu: </w:t>
            </w:r>
            <w:r w:rsidRPr="00A574D1">
              <w:rPr>
                <w:rFonts w:ascii="Times New Roman" w:hAnsi="Times New Roman" w:cs="Times New Roman"/>
                <w:i/>
                <w:sz w:val="24"/>
                <w:szCs w:val="24"/>
              </w:rPr>
              <w:t xml:space="preserve">rakstiski informēt pasūtītāju, kad objektam nav nepieciešama būvuzraudzība, par visiem atsevišķu būvdarbu veicējiem, kas piesaistīti konkrētā būvobjekta realizācijai, izņemot, ja puses </w:t>
            </w:r>
            <w:proofErr w:type="spellStart"/>
            <w:r w:rsidRPr="00A574D1">
              <w:rPr>
                <w:rFonts w:ascii="Times New Roman" w:hAnsi="Times New Roman" w:cs="Times New Roman"/>
                <w:i/>
                <w:sz w:val="24"/>
                <w:szCs w:val="24"/>
              </w:rPr>
              <w:t>rakstveidā</w:t>
            </w:r>
            <w:proofErr w:type="spellEnd"/>
            <w:r w:rsidRPr="00A574D1">
              <w:rPr>
                <w:rFonts w:ascii="Times New Roman" w:hAnsi="Times New Roman" w:cs="Times New Roman"/>
                <w:i/>
                <w:sz w:val="24"/>
                <w:szCs w:val="24"/>
              </w:rPr>
              <w:t xml:space="preserve"> vienojušās, ka galvenais būvdarbu veicējs šādu informāciju nesniedz. </w:t>
            </w:r>
          </w:p>
          <w:p w:rsidR="00C513B2" w:rsidRPr="00A574D1" w:rsidRDefault="00C513B2" w:rsidP="00552CF1">
            <w:pPr>
              <w:spacing w:after="0" w:line="240" w:lineRule="auto"/>
              <w:ind w:left="57" w:right="57"/>
              <w:jc w:val="both"/>
              <w:rPr>
                <w:rFonts w:ascii="Times New Roman" w:hAnsi="Times New Roman" w:cs="Times New Roman"/>
                <w:sz w:val="24"/>
                <w:szCs w:val="24"/>
              </w:rPr>
            </w:pPr>
            <w:r w:rsidRPr="00A574D1">
              <w:rPr>
                <w:rFonts w:ascii="Times New Roman" w:hAnsi="Times New Roman" w:cs="Times New Roman"/>
                <w:sz w:val="24"/>
                <w:szCs w:val="24"/>
              </w:rPr>
              <w:t xml:space="preserve">Papildināti arī būvuzrauga pienākumi, nosakot, ka būvuzraugs </w:t>
            </w:r>
            <w:r w:rsidRPr="00A574D1">
              <w:rPr>
                <w:rFonts w:ascii="Times New Roman" w:hAnsi="Times New Roman" w:cs="Times New Roman"/>
                <w:i/>
                <w:sz w:val="24"/>
                <w:szCs w:val="24"/>
              </w:rPr>
              <w:t>rakstiski informēt pasūtītāju par visiem atsevišķu būvdarbu veicējiem, kas piesaistīti konkrētā būvobjekta realizācijai.</w:t>
            </w:r>
          </w:p>
          <w:p w:rsidR="00C513B2" w:rsidRPr="00A574D1" w:rsidRDefault="00C513B2" w:rsidP="00552CF1">
            <w:pPr>
              <w:spacing w:after="0" w:line="240" w:lineRule="auto"/>
              <w:ind w:left="57" w:right="57"/>
              <w:jc w:val="both"/>
              <w:rPr>
                <w:rFonts w:ascii="Times New Roman" w:hAnsi="Times New Roman" w:cs="Times New Roman"/>
                <w:sz w:val="24"/>
                <w:szCs w:val="24"/>
              </w:rPr>
            </w:pPr>
            <w:r w:rsidRPr="00A574D1">
              <w:rPr>
                <w:rFonts w:ascii="Times New Roman" w:hAnsi="Times New Roman" w:cs="Times New Roman"/>
                <w:sz w:val="24"/>
                <w:szCs w:val="24"/>
              </w:rPr>
              <w:t xml:space="preserve">Tātad pasūtītājs būs informēts par visiem būvdarbu veicējiem, kas atrodas būvlaukumā, saņemot šo informāciju no būvdarbu veicēja vai būvuzrauga, izņemot gadījumu, kad pasūtītājs nevēlēsies par to būt informēts, būvdarbu veicējam nebūs šāda informācija jāsniedz, ja puses par to </w:t>
            </w:r>
            <w:r w:rsidRPr="00A574D1">
              <w:rPr>
                <w:rFonts w:ascii="Times New Roman" w:hAnsi="Times New Roman" w:cs="Times New Roman"/>
                <w:sz w:val="24"/>
                <w:szCs w:val="24"/>
              </w:rPr>
              <w:lastRenderedPageBreak/>
              <w:t xml:space="preserve">būs </w:t>
            </w:r>
            <w:proofErr w:type="spellStart"/>
            <w:r w:rsidRPr="00A574D1">
              <w:rPr>
                <w:rFonts w:ascii="Times New Roman" w:hAnsi="Times New Roman" w:cs="Times New Roman"/>
                <w:sz w:val="24"/>
                <w:szCs w:val="24"/>
              </w:rPr>
              <w:t>rakstveidā</w:t>
            </w:r>
            <w:proofErr w:type="spellEnd"/>
            <w:r w:rsidRPr="00A574D1">
              <w:rPr>
                <w:rFonts w:ascii="Times New Roman" w:hAnsi="Times New Roman" w:cs="Times New Roman"/>
                <w:sz w:val="24"/>
                <w:szCs w:val="24"/>
              </w:rPr>
              <w:t xml:space="preserve"> vienojušās (VBN 93.7., 125.3.</w:t>
            </w:r>
            <w:r w:rsidRPr="00A574D1">
              <w:rPr>
                <w:rFonts w:ascii="Times New Roman" w:hAnsi="Times New Roman" w:cs="Times New Roman"/>
                <w:sz w:val="24"/>
                <w:szCs w:val="24"/>
                <w:vertAlign w:val="superscript"/>
              </w:rPr>
              <w:t>1</w:t>
            </w:r>
            <w:r w:rsidRPr="00A574D1">
              <w:rPr>
                <w:rFonts w:ascii="Times New Roman" w:hAnsi="Times New Roman" w:cs="Times New Roman"/>
                <w:sz w:val="24"/>
                <w:szCs w:val="24"/>
              </w:rPr>
              <w:t xml:space="preserve"> apakšpunkts).</w:t>
            </w:r>
          </w:p>
          <w:p w:rsidR="00A83693" w:rsidRPr="00A574D1" w:rsidRDefault="00A83693" w:rsidP="00552CF1">
            <w:pPr>
              <w:pStyle w:val="tv213"/>
              <w:spacing w:before="0" w:beforeAutospacing="0" w:after="0" w:afterAutospacing="0"/>
              <w:ind w:left="57" w:right="57"/>
              <w:jc w:val="both"/>
              <w:rPr>
                <w:sz w:val="12"/>
                <w:szCs w:val="12"/>
              </w:rPr>
            </w:pPr>
          </w:p>
          <w:p w:rsidR="00C513B2" w:rsidRPr="00A574D1" w:rsidRDefault="00C513B2" w:rsidP="00552CF1">
            <w:pPr>
              <w:pStyle w:val="tv213"/>
              <w:spacing w:before="0" w:beforeAutospacing="0" w:after="0" w:afterAutospacing="0"/>
              <w:ind w:left="57" w:right="57"/>
              <w:jc w:val="both"/>
            </w:pPr>
            <w:r w:rsidRPr="00A574D1">
              <w:t>1</w:t>
            </w:r>
            <w:r w:rsidR="00241A29" w:rsidRPr="00A574D1">
              <w:t>1</w:t>
            </w:r>
            <w:r w:rsidRPr="00A574D1">
              <w:t xml:space="preserve">) </w:t>
            </w:r>
            <w:proofErr w:type="spellStart"/>
            <w:r w:rsidRPr="00A574D1">
              <w:t>Būvkompānijām</w:t>
            </w:r>
            <w:proofErr w:type="spellEnd"/>
            <w:r w:rsidRPr="00A574D1">
              <w:t xml:space="preserve"> nav skaidrs, kā būvinspektors kontrolēs atbildīgā būvdarbu vadītāja esamību būvlaukumā. Kompānijas bažījās, ka būvinspektors var nepamatoti apturēt būvdarbus. Noteikumu projektā ir precizēti atbildīgā būvdarbu vadītāja pienākami - </w:t>
            </w:r>
            <w:r w:rsidRPr="00A574D1">
              <w:rPr>
                <w:i/>
              </w:rPr>
              <w:t xml:space="preserve">nodrošināt dalītu laika uzskaiti par savu darbu katrā būvobjektā, par to informējot pasūtītāju un attiecīgo būvvaldi vai institūciju, kura veic būvdarbu kontroli, un pēc būvinspektora pieprasījuma sniegt uzskaiti pamatojošo dokumentāciju. </w:t>
            </w:r>
            <w:r w:rsidRPr="00A574D1">
              <w:t xml:space="preserve">Pienākums būs - </w:t>
            </w:r>
            <w:r w:rsidRPr="00A574D1">
              <w:rPr>
                <w:i/>
              </w:rPr>
              <w:t>atrasties konkrētā būvobjektā laikā, kas norādīts dalītā laika uzskaitē.</w:t>
            </w:r>
            <w:r w:rsidRPr="00A574D1">
              <w:t xml:space="preserve"> Savukārt, būvinspektoram tiek precizēts, par ko jāpārliecinās, veicot būvdarbu kontroli </w:t>
            </w:r>
            <w:r w:rsidRPr="00A574D1">
              <w:rPr>
                <w:i/>
              </w:rPr>
              <w:t>- būvlaukumā saskaņā ar 100.14.apakšpunktu atrodas atbildīgais būvdarbu vadītājs un veic tam noteiktos pienākumus.</w:t>
            </w:r>
            <w:r w:rsidRPr="00A574D1">
              <w:t xml:space="preserve"> Tātad būvinspektors varēs uzskatīt, ka atbildīgais būvdarbu vadītājs neatrodas būvlaukumā un neveic tam noteiktos pienākumus, ja atbilstoši dalītā laika uzskaitei, viņam vajadzēja tur atrasties (VBN 100.13., 100.14. un 139.7.apakšpunkts).</w:t>
            </w:r>
          </w:p>
          <w:p w:rsidR="00A83693" w:rsidRPr="00A574D1" w:rsidRDefault="00A83693" w:rsidP="00552CF1">
            <w:pPr>
              <w:pStyle w:val="tv213"/>
              <w:spacing w:before="0" w:beforeAutospacing="0" w:after="0" w:afterAutospacing="0"/>
              <w:ind w:left="57" w:right="57"/>
              <w:jc w:val="both"/>
              <w:rPr>
                <w:sz w:val="12"/>
                <w:szCs w:val="12"/>
              </w:rPr>
            </w:pPr>
          </w:p>
          <w:p w:rsidR="00C513B2" w:rsidRPr="00A574D1" w:rsidRDefault="00C513B2" w:rsidP="00552CF1">
            <w:pPr>
              <w:pStyle w:val="tv213"/>
              <w:spacing w:before="0" w:beforeAutospacing="0" w:after="0" w:afterAutospacing="0"/>
              <w:ind w:left="57" w:right="57"/>
              <w:jc w:val="both"/>
            </w:pPr>
            <w:r w:rsidRPr="00A574D1">
              <w:t>1</w:t>
            </w:r>
            <w:r w:rsidR="00241A29" w:rsidRPr="00A574D1">
              <w:t>2</w:t>
            </w:r>
            <w:r w:rsidRPr="00A574D1">
              <w:t xml:space="preserve">) Esošo VBN 113.4.apakšpunkta redakciju iespējams interpretēt tā, ka </w:t>
            </w:r>
            <w:proofErr w:type="spellStart"/>
            <w:r w:rsidRPr="00A574D1">
              <w:t>autoruzraugam</w:t>
            </w:r>
            <w:proofErr w:type="spellEnd"/>
            <w:r w:rsidRPr="00A574D1">
              <w:t xml:space="preserve"> ir pienākums kontrolēt jebkuru būvdarbu žurnālā ierakstīto norādījumu izpildi, kas liktu dublēt būvuzrauga funkcijas, turklāt šāds pienākums nav bijis sākotnējais VBN mērķis. Pie tam, ja autoruzraudzības līgums nav noslēgts, bet būvprojekta izstrādātājs izmanto savas Būvniecības likuma 16.panta trešajā daļā noteiktās tiesības, </w:t>
            </w:r>
            <w:proofErr w:type="spellStart"/>
            <w:r w:rsidRPr="00A574D1">
              <w:t>apsekojuma</w:t>
            </w:r>
            <w:proofErr w:type="spellEnd"/>
            <w:r w:rsidRPr="00A574D1">
              <w:t xml:space="preserve"> rezultātus būvprojekta izstrādātājs ierakstīs būvdarbu žurnālā. Grozījumi paredz, ja autoruzraudzība bija obligāta, </w:t>
            </w:r>
            <w:proofErr w:type="spellStart"/>
            <w:r w:rsidRPr="00A574D1">
              <w:t>autoruzraugs</w:t>
            </w:r>
            <w:proofErr w:type="spellEnd"/>
            <w:r w:rsidRPr="00A574D1">
              <w:t xml:space="preserve"> savus uzdevumus fiksēs autoruzraudzības žurnālā, savukārt, ja būvprojekta izstrādātājs izmantos savas Būvniecības likuma 16.panta trešajā daļā noteiktās tiesības, tas konstatētos iebildumus fiksēs būvdarbu žurnālā (VBN 113.4., 113.</w:t>
            </w:r>
            <w:r w:rsidRPr="00A574D1">
              <w:rPr>
                <w:vertAlign w:val="superscript"/>
              </w:rPr>
              <w:t>1</w:t>
            </w:r>
            <w:r w:rsidRPr="00A574D1">
              <w:t>punkts).</w:t>
            </w:r>
          </w:p>
          <w:p w:rsidR="00A83693" w:rsidRPr="00A574D1" w:rsidRDefault="00A83693" w:rsidP="00552CF1">
            <w:pPr>
              <w:pStyle w:val="PlainText"/>
              <w:ind w:left="57" w:right="57"/>
              <w:jc w:val="both"/>
              <w:rPr>
                <w:sz w:val="12"/>
                <w:szCs w:val="12"/>
              </w:rPr>
            </w:pPr>
          </w:p>
          <w:p w:rsidR="00C513B2" w:rsidRPr="00A574D1" w:rsidRDefault="00C513B2" w:rsidP="00552CF1">
            <w:pPr>
              <w:pStyle w:val="PlainText"/>
              <w:ind w:left="57" w:right="57"/>
              <w:jc w:val="both"/>
            </w:pPr>
            <w:r w:rsidRPr="00A574D1">
              <w:t>1</w:t>
            </w:r>
            <w:r w:rsidR="00241A29" w:rsidRPr="00A574D1">
              <w:t>3</w:t>
            </w:r>
            <w:r w:rsidRPr="00A574D1">
              <w:t>) Bieži būvuzraugs neparaksta pasūtītāja sagatavoto apliecinājumu par būves gatavību ekspluatācijai, jo pasūtītājs nav finansiāli norēķinājies par šiem pakalpojumiem. Līdz ar to pasūtītājs nevar virzīt būves nodošanas ekspluatācijā procesu, lai gan būve ir uzbūvēta atbilstoši būvprojektam un ir izpildīti būvuzrauga izteiktie un būvdarbu žurnālā fiksētie norādījumi. Papildināti Vispārīgajos būvnoteikumos noteiktie būvuzrauga pienākumi:</w:t>
            </w:r>
          </w:p>
          <w:p w:rsidR="00C513B2" w:rsidRPr="00A574D1" w:rsidRDefault="00C513B2" w:rsidP="00552CF1">
            <w:pPr>
              <w:pStyle w:val="PlainText"/>
              <w:ind w:left="57" w:right="57"/>
              <w:jc w:val="both"/>
            </w:pPr>
            <w:r w:rsidRPr="00A574D1">
              <w:rPr>
                <w:i/>
              </w:rPr>
              <w:t>parakstīt apliecinājumu par būves gatavību ekspluatācijai, ja būvobjekts ir realizēts atbilstoši būvprojektam un saskaņā ar šī punkta 125.9.apakšpunktu ir izpildīti būvuzrauga norādījumi</w:t>
            </w:r>
            <w:r w:rsidRPr="00A574D1">
              <w:t>. (VBN 125.21.apakšpunkts).</w:t>
            </w:r>
          </w:p>
          <w:p w:rsidR="00A83693" w:rsidRPr="00A574D1" w:rsidRDefault="00A83693" w:rsidP="00552CF1">
            <w:pPr>
              <w:pStyle w:val="tv213"/>
              <w:spacing w:before="0" w:beforeAutospacing="0" w:after="0" w:afterAutospacing="0"/>
              <w:ind w:left="57" w:right="57"/>
              <w:jc w:val="both"/>
              <w:rPr>
                <w:sz w:val="12"/>
                <w:szCs w:val="12"/>
              </w:rPr>
            </w:pPr>
          </w:p>
          <w:p w:rsidR="00C513B2" w:rsidRPr="00A574D1" w:rsidRDefault="00C513B2" w:rsidP="00552CF1">
            <w:pPr>
              <w:pStyle w:val="tv213"/>
              <w:spacing w:before="0" w:beforeAutospacing="0" w:after="0" w:afterAutospacing="0"/>
              <w:ind w:left="57" w:right="57"/>
              <w:jc w:val="both"/>
            </w:pPr>
            <w:r w:rsidRPr="00A574D1">
              <w:lastRenderedPageBreak/>
              <w:t>1</w:t>
            </w:r>
            <w:r w:rsidR="00241A29" w:rsidRPr="00A574D1">
              <w:t>4</w:t>
            </w:r>
            <w:r w:rsidRPr="00A574D1">
              <w:t xml:space="preserve">) Spēkā esošo VBN 122.punkts nosaka, ka attiecībā uz trešās grupas būvēm būvuzraudzību uz līguma pamata var veikt tikai būvkomersants. Savukārt otrās un pirmās grupas būvju būvuzraudzību var veikt arī </w:t>
            </w:r>
            <w:proofErr w:type="spellStart"/>
            <w:r w:rsidRPr="00A574D1">
              <w:t>būvspeciālists</w:t>
            </w:r>
            <w:proofErr w:type="spellEnd"/>
            <w:r w:rsidRPr="00A574D1">
              <w:t>. Prasība, ka būvuzraudzību var veikt tikai būvkomersants būtu attiecināma arī uz otrās grupas būvēm, kuru būvniecība pilnībā vai daļēji tiek finansēta no publisko personu līdzekļiem, Eiropas Savienības politiku instrumentu vai citas ārvalstu finanšu palīdzības līdzekļiem.</w:t>
            </w:r>
          </w:p>
          <w:p w:rsidR="00C513B2" w:rsidRPr="00A574D1" w:rsidRDefault="00C513B2" w:rsidP="00552CF1">
            <w:pPr>
              <w:pStyle w:val="tv213"/>
              <w:spacing w:before="0" w:beforeAutospacing="0" w:after="0" w:afterAutospacing="0"/>
              <w:ind w:left="57" w:right="57"/>
              <w:jc w:val="both"/>
            </w:pPr>
            <w:r w:rsidRPr="00A574D1">
              <w:t>Minētās prasības nodrošinātu, ka šo būvju būvuzraudzība ir neatkarīga un palielinātu caurskatāmību būvniecības procesā (VBN 122.punkts).</w:t>
            </w:r>
          </w:p>
          <w:p w:rsidR="00A83693" w:rsidRPr="00A574D1" w:rsidRDefault="00A83693" w:rsidP="00552CF1">
            <w:pPr>
              <w:pStyle w:val="tv213"/>
              <w:spacing w:before="0" w:beforeAutospacing="0" w:after="0" w:afterAutospacing="0"/>
              <w:ind w:left="57" w:right="57"/>
              <w:jc w:val="both"/>
              <w:rPr>
                <w:sz w:val="12"/>
                <w:szCs w:val="12"/>
              </w:rPr>
            </w:pPr>
          </w:p>
          <w:p w:rsidR="00C513B2" w:rsidRPr="00A574D1" w:rsidRDefault="00C513B2" w:rsidP="00552CF1">
            <w:pPr>
              <w:pStyle w:val="tv213"/>
              <w:spacing w:before="0" w:beforeAutospacing="0" w:after="0" w:afterAutospacing="0"/>
              <w:ind w:left="57" w:right="57"/>
              <w:jc w:val="both"/>
            </w:pPr>
            <w:r w:rsidRPr="00A574D1">
              <w:t>1</w:t>
            </w:r>
            <w:r w:rsidR="00241A29" w:rsidRPr="00A574D1">
              <w:t>5</w:t>
            </w:r>
            <w:r w:rsidRPr="00A574D1">
              <w:t>) Šobrīd normatīvie akti neparedz, ka būvuzraugs rosina izmaiņas būvprojektā, ja viņaprāt, ir kļūdas būvprojektā ietvertajos risinājumos. Normatīvais akts nosaka būvuzraugam šādas tiesības, ja kļūdas tiek pamatotas ar detalizētiem aprēķiniem  (VBN 126.6.apakšpunkts).</w:t>
            </w:r>
          </w:p>
          <w:p w:rsidR="00A83693" w:rsidRPr="00A574D1" w:rsidRDefault="00A83693" w:rsidP="00552CF1">
            <w:pPr>
              <w:pStyle w:val="ListParagraph"/>
              <w:spacing w:after="0" w:line="240" w:lineRule="auto"/>
              <w:ind w:left="57" w:right="57"/>
              <w:jc w:val="both"/>
              <w:rPr>
                <w:rFonts w:ascii="Times New Roman" w:hAnsi="Times New Roman" w:cs="Times New Roman"/>
                <w:sz w:val="12"/>
                <w:szCs w:val="12"/>
              </w:rPr>
            </w:pPr>
          </w:p>
          <w:p w:rsidR="00C513B2" w:rsidRPr="00A574D1" w:rsidRDefault="00C513B2" w:rsidP="00552CF1">
            <w:pPr>
              <w:pStyle w:val="ListParagraph"/>
              <w:spacing w:after="0" w:line="240" w:lineRule="auto"/>
              <w:ind w:left="57" w:right="57"/>
              <w:jc w:val="both"/>
              <w:rPr>
                <w:rFonts w:ascii="Times New Roman" w:hAnsi="Times New Roman" w:cs="Times New Roman"/>
                <w:sz w:val="24"/>
                <w:szCs w:val="24"/>
              </w:rPr>
            </w:pPr>
            <w:r w:rsidRPr="00A574D1">
              <w:rPr>
                <w:rFonts w:ascii="Times New Roman" w:hAnsi="Times New Roman" w:cs="Times New Roman"/>
                <w:sz w:val="24"/>
                <w:szCs w:val="24"/>
              </w:rPr>
              <w:t>1</w:t>
            </w:r>
            <w:r w:rsidR="00241A29" w:rsidRPr="00A574D1">
              <w:rPr>
                <w:rFonts w:ascii="Times New Roman" w:hAnsi="Times New Roman" w:cs="Times New Roman"/>
                <w:sz w:val="24"/>
                <w:szCs w:val="24"/>
              </w:rPr>
              <w:t>6</w:t>
            </w:r>
            <w:r w:rsidRPr="00A574D1">
              <w:rPr>
                <w:rFonts w:ascii="Times New Roman" w:hAnsi="Times New Roman" w:cs="Times New Roman"/>
                <w:sz w:val="24"/>
                <w:szCs w:val="24"/>
              </w:rPr>
              <w:t xml:space="preserve">) Vispārīgo būvnoteikumu 127.punkts nosaka:  </w:t>
            </w:r>
            <w:r w:rsidRPr="00A574D1">
              <w:rPr>
                <w:rFonts w:ascii="Times New Roman" w:hAnsi="Times New Roman" w:cs="Times New Roman"/>
                <w:i/>
                <w:sz w:val="24"/>
                <w:szCs w:val="24"/>
              </w:rPr>
              <w:t>Būvuzraudzības plānā, ņemot vērā būves specifiku, sākotnēji ietver šādu informāciju: nepieciešamās pārbaudes un to apjoms, ievērojot darbu veikšanas projektā ietvertos darbu posmus</w:t>
            </w:r>
            <w:r w:rsidRPr="00A574D1">
              <w:rPr>
                <w:rFonts w:ascii="Times New Roman" w:hAnsi="Times New Roman" w:cs="Times New Roman"/>
                <w:sz w:val="24"/>
                <w:szCs w:val="24"/>
              </w:rPr>
              <w:t xml:space="preserve">, savukārt 128.punkts nosaka: </w:t>
            </w:r>
            <w:bookmarkStart w:id="0" w:name="p128"/>
            <w:bookmarkStart w:id="1" w:name="p-527519"/>
            <w:bookmarkEnd w:id="0"/>
            <w:bookmarkEnd w:id="1"/>
            <w:r w:rsidRPr="00A574D1">
              <w:rPr>
                <w:rFonts w:ascii="Times New Roman" w:hAnsi="Times New Roman" w:cs="Times New Roman"/>
                <w:i/>
                <w:sz w:val="24"/>
                <w:szCs w:val="24"/>
              </w:rPr>
              <w:t xml:space="preserve">Ja darbu veikšanas projekts tiek precizēts, būvuzraugs precizē arī būvdarbu uzraudzības plānu un iesniedz to būvvaldē. Ja būvdarbu kontroli veic birojs, būvdarbu uzraudzības plānu būvvalde </w:t>
            </w:r>
            <w:proofErr w:type="spellStart"/>
            <w:r w:rsidRPr="00A574D1">
              <w:rPr>
                <w:rFonts w:ascii="Times New Roman" w:hAnsi="Times New Roman" w:cs="Times New Roman"/>
                <w:i/>
                <w:sz w:val="24"/>
                <w:szCs w:val="24"/>
              </w:rPr>
              <w:t>nosūta</w:t>
            </w:r>
            <w:proofErr w:type="spellEnd"/>
            <w:r w:rsidRPr="00A574D1">
              <w:rPr>
                <w:rFonts w:ascii="Times New Roman" w:hAnsi="Times New Roman" w:cs="Times New Roman"/>
                <w:i/>
                <w:sz w:val="24"/>
                <w:szCs w:val="24"/>
              </w:rPr>
              <w:t xml:space="preserve"> birojam.</w:t>
            </w:r>
            <w:r w:rsidRPr="00A574D1">
              <w:rPr>
                <w:rFonts w:ascii="Times New Roman" w:hAnsi="Times New Roman" w:cs="Times New Roman"/>
                <w:sz w:val="24"/>
                <w:szCs w:val="24"/>
              </w:rPr>
              <w:t xml:space="preserve"> Būvuzraudzības plāns ir jāiesniedz būvvaldē, izpildot būvatļaujā noteiktos būvdarbu uzsākšanas nosacījumus, pirms būvdarbu uzsākšanas. Tātad būvuzraudzības plāns sākotnēji tiek izstrādāts pamatojoties uz būvprojekta sastāvā esošo darbu organizēšanas projektu. Darbu veikšanas projektu atbilstoši Latvijas būvnormatīvam LBN </w:t>
            </w:r>
            <w:r w:rsidRPr="00A574D1">
              <w:rPr>
                <w:rFonts w:ascii="Times New Roman" w:hAnsi="Times New Roman" w:cs="Times New Roman"/>
                <w:sz w:val="24"/>
                <w:szCs w:val="24"/>
                <w:lang w:eastAsia="lv-LV"/>
              </w:rPr>
              <w:t xml:space="preserve">310-14 </w:t>
            </w:r>
            <w:r w:rsidRPr="00A574D1">
              <w:rPr>
                <w:rFonts w:ascii="Times New Roman" w:hAnsi="Times New Roman" w:cs="Times New Roman"/>
                <w:sz w:val="24"/>
                <w:szCs w:val="24"/>
              </w:rPr>
              <w:t>„</w:t>
            </w:r>
            <w:r w:rsidRPr="00A574D1">
              <w:rPr>
                <w:rFonts w:ascii="Times New Roman" w:hAnsi="Times New Roman" w:cs="Times New Roman"/>
                <w:sz w:val="24"/>
                <w:szCs w:val="24"/>
                <w:lang w:eastAsia="lv-LV"/>
              </w:rPr>
              <w:t>Darbu veikšanas projekts</w:t>
            </w:r>
            <w:r w:rsidRPr="00A574D1">
              <w:rPr>
                <w:rFonts w:ascii="Times New Roman" w:hAnsi="Times New Roman" w:cs="Times New Roman"/>
                <w:sz w:val="24"/>
                <w:szCs w:val="24"/>
              </w:rPr>
              <w:t>” izstrādā būvdarbu veicējs, līdz ar to būvuzraugam ir pienākums precizēt būvuzraudzības plānu. Būvuzraudzības plāns būs jāprecizē vienmēr, kad veiktās izmaiņas darbu veikšanas projektā skars būvuzraudzības plānā ietvertos darbu posmus (VBN 2.14., 127.</w:t>
            </w:r>
            <w:r w:rsidR="000F7C94" w:rsidRPr="00A574D1">
              <w:rPr>
                <w:rFonts w:ascii="Times New Roman" w:hAnsi="Times New Roman" w:cs="Times New Roman"/>
                <w:sz w:val="24"/>
                <w:szCs w:val="24"/>
              </w:rPr>
              <w:t>1.</w:t>
            </w:r>
            <w:r w:rsidRPr="00A574D1">
              <w:rPr>
                <w:rFonts w:ascii="Times New Roman" w:hAnsi="Times New Roman" w:cs="Times New Roman"/>
                <w:sz w:val="24"/>
                <w:szCs w:val="24"/>
              </w:rPr>
              <w:t>, 128.punkts).</w:t>
            </w:r>
          </w:p>
          <w:p w:rsidR="00A83693" w:rsidRPr="00A574D1" w:rsidRDefault="00A83693" w:rsidP="00F65EA4">
            <w:pPr>
              <w:pStyle w:val="ListParagraph"/>
              <w:spacing w:after="0" w:line="240" w:lineRule="auto"/>
              <w:ind w:left="57" w:right="57"/>
              <w:jc w:val="both"/>
              <w:rPr>
                <w:rFonts w:ascii="Times New Roman" w:hAnsi="Times New Roman" w:cs="Times New Roman"/>
                <w:sz w:val="12"/>
                <w:szCs w:val="12"/>
              </w:rPr>
            </w:pPr>
          </w:p>
          <w:p w:rsidR="00F65EA4" w:rsidRPr="00A574D1" w:rsidRDefault="00F65EA4" w:rsidP="00F65EA4">
            <w:pPr>
              <w:pStyle w:val="ListParagraph"/>
              <w:spacing w:after="0" w:line="240" w:lineRule="auto"/>
              <w:ind w:left="57" w:right="57"/>
              <w:jc w:val="both"/>
              <w:rPr>
                <w:rFonts w:ascii="Times New Roman" w:hAnsi="Times New Roman" w:cs="Times New Roman"/>
                <w:sz w:val="24"/>
                <w:szCs w:val="24"/>
              </w:rPr>
            </w:pPr>
            <w:r w:rsidRPr="00A574D1">
              <w:rPr>
                <w:rFonts w:ascii="Times New Roman" w:hAnsi="Times New Roman" w:cs="Times New Roman"/>
                <w:sz w:val="24"/>
                <w:szCs w:val="24"/>
              </w:rPr>
              <w:t>1</w:t>
            </w:r>
            <w:r w:rsidR="00241A29" w:rsidRPr="00A574D1">
              <w:rPr>
                <w:rFonts w:ascii="Times New Roman" w:hAnsi="Times New Roman" w:cs="Times New Roman"/>
                <w:sz w:val="24"/>
                <w:szCs w:val="24"/>
              </w:rPr>
              <w:t>7</w:t>
            </w:r>
            <w:r w:rsidRPr="00A574D1">
              <w:rPr>
                <w:rFonts w:ascii="Times New Roman" w:hAnsi="Times New Roman" w:cs="Times New Roman"/>
                <w:sz w:val="24"/>
                <w:szCs w:val="24"/>
              </w:rPr>
              <w:t xml:space="preserve">) Būvinspektora ierobežojumi attiecībā uz </w:t>
            </w:r>
            <w:r w:rsidRPr="00A574D1">
              <w:rPr>
                <w:rFonts w:ascii="Times New Roman" w:hAnsi="Times New Roman" w:cs="Times New Roman"/>
                <w:sz w:val="24"/>
                <w:szCs w:val="24"/>
                <w:shd w:val="clear" w:color="auto" w:fill="FFFFFF"/>
              </w:rPr>
              <w:t xml:space="preserve">aizliegumu stāties darba tiesiskajās attiecībās ar būvkomersantu un sniegt būvniecības pakalpojumus turpmāk </w:t>
            </w:r>
            <w:r w:rsidRPr="00A574D1">
              <w:rPr>
                <w:rFonts w:ascii="Times New Roman" w:hAnsi="Times New Roman" w:cs="Times New Roman"/>
                <w:sz w:val="24"/>
                <w:szCs w:val="24"/>
              </w:rPr>
              <w:t>attieksies uz būvdarbu vadīšanas, būvuzraudzības un būvekspertīzes specialitātēm</w:t>
            </w:r>
            <w:r w:rsidR="000F7C94" w:rsidRPr="00A574D1">
              <w:rPr>
                <w:rFonts w:ascii="Times New Roman" w:hAnsi="Times New Roman" w:cs="Times New Roman"/>
                <w:sz w:val="24"/>
                <w:szCs w:val="24"/>
              </w:rPr>
              <w:t>, izņemot, ja saskaņā ar sava darba devēja atļauju būvinspektors kā saimnieciskās darbības veicējs, noslēdzot līgumu ar pasūtītāju, sniedz būvniecības pakalpojumu par pirmās grupas būves būvniecību ārpus savas kontrolējamās administratīvās teritorijas.</w:t>
            </w:r>
            <w:r w:rsidRPr="00A574D1">
              <w:rPr>
                <w:rFonts w:ascii="Times New Roman" w:hAnsi="Times New Roman" w:cs="Times New Roman"/>
                <w:sz w:val="24"/>
                <w:szCs w:val="24"/>
              </w:rPr>
              <w:t xml:space="preserve"> Bez tam būvinspektoram būs aizliegts veikt būvdarbu kontroli objektā, kurā būvniecības pakalpojumus sniedz būvkomersants vai piegādes veic komersants, ar kuru </w:t>
            </w:r>
            <w:r w:rsidRPr="00A574D1">
              <w:rPr>
                <w:rFonts w:ascii="Times New Roman" w:hAnsi="Times New Roman" w:cs="Times New Roman"/>
                <w:sz w:val="24"/>
                <w:szCs w:val="24"/>
              </w:rPr>
              <w:lastRenderedPageBreak/>
              <w:t xml:space="preserve">būvinspektoram ir jebkādas līgumiskās, tai skaitā darba tiesiskās, attiecības. </w:t>
            </w:r>
          </w:p>
          <w:p w:rsidR="000F7C94" w:rsidRPr="00A574D1" w:rsidRDefault="00F65EA4" w:rsidP="00F65EA4">
            <w:pPr>
              <w:pStyle w:val="ListParagraph"/>
              <w:spacing w:after="0" w:line="240" w:lineRule="auto"/>
              <w:ind w:left="57" w:right="57"/>
              <w:jc w:val="both"/>
              <w:rPr>
                <w:rFonts w:ascii="Times New Roman" w:hAnsi="Times New Roman" w:cs="Times New Roman"/>
                <w:sz w:val="24"/>
                <w:szCs w:val="24"/>
              </w:rPr>
            </w:pPr>
            <w:r w:rsidRPr="00A574D1">
              <w:rPr>
                <w:rFonts w:ascii="Times New Roman" w:hAnsi="Times New Roman" w:cs="Times New Roman"/>
                <w:sz w:val="24"/>
                <w:szCs w:val="24"/>
              </w:rPr>
              <w:t>Ņemot vērā, ka līdz šim VBN 133.punkta redakcija pilnībā liedza būvinspektoram iespēju stāties jebkādās darba tiesiskajās attiecībās ar būvkomersantu tostarp specialitātēs, kas nav saistītas ar būvdarbu vadīšanu, būvuzraudzību un būvekspertīzi, un tādējādi savienot amatus šajā nozarē, tad turpmāk būs pieļaujami izņēmuma gadījumi, kuri attiecīgi ir pakļauti likuma "</w:t>
            </w:r>
            <w:hyperlink r:id="rId10" w:tgtFrame="_blank" w:history="1">
              <w:r w:rsidRPr="00A574D1">
                <w:rPr>
                  <w:rStyle w:val="Hyperlink"/>
                  <w:rFonts w:ascii="Times New Roman" w:hAnsi="Times New Roman" w:cs="Times New Roman"/>
                  <w:color w:val="auto"/>
                  <w:sz w:val="24"/>
                  <w:szCs w:val="24"/>
                  <w:u w:val="none"/>
                </w:rPr>
                <w:t>Par interešu konflikta novēršanu valsts amatpersonu darbībā</w:t>
              </w:r>
            </w:hyperlink>
            <w:r w:rsidRPr="00A574D1">
              <w:rPr>
                <w:rFonts w:ascii="Times New Roman" w:hAnsi="Times New Roman" w:cs="Times New Roman"/>
                <w:sz w:val="24"/>
                <w:szCs w:val="24"/>
              </w:rPr>
              <w:t xml:space="preserve">" kontrolei (piemēram, būvinspektors varēs nodibināt darba tiesiskās attiecības ar būvkomersantu vai komersantu, kurš veic būvizstrādājumu, pakalpojumu u.c. piegādes, tikai tad, ja tas nerada interešu konfliktu un pirms darba tiesisko attiecību nodibināšanas būvinspektors būs saņēmis būvvaldes, institūcijas, kura pilda būvvaldes funkcijas, vai attiecīgi Būvniecības valsts kontroles biroja rakstveida atļauju (atbilstoši likuma 7.panta sestās daļas 3.punktam); tāpat būs jāievēro komercdarbības ierobežojumi, proti, vēl divus gadus pēc tam, kad būvinspektors būs veicis kontroles funkciju attiecībā uz komercsabiedrību (būvkomersantu vai komersantu, kurš veic piegādes), ieņemt tajā amatu, iegūt tās mantu (atbilstoši likuma </w:t>
            </w:r>
            <w:r w:rsidR="000F7C94" w:rsidRPr="00A574D1">
              <w:rPr>
                <w:rFonts w:ascii="Times New Roman" w:hAnsi="Times New Roman" w:cs="Times New Roman"/>
                <w:sz w:val="24"/>
                <w:szCs w:val="24"/>
              </w:rPr>
              <w:t>10.panta septītajai daļai) utt.</w:t>
            </w:r>
          </w:p>
          <w:p w:rsidR="000F7C94" w:rsidRPr="00A574D1" w:rsidRDefault="000F7C94" w:rsidP="00F65EA4">
            <w:pPr>
              <w:pStyle w:val="ListParagraph"/>
              <w:spacing w:after="0" w:line="240" w:lineRule="auto"/>
              <w:ind w:left="57" w:right="57"/>
              <w:jc w:val="both"/>
              <w:rPr>
                <w:rFonts w:ascii="Times New Roman" w:eastAsia="Times New Roman" w:hAnsi="Times New Roman" w:cs="Times New Roman"/>
                <w:sz w:val="24"/>
                <w:szCs w:val="24"/>
              </w:rPr>
            </w:pPr>
            <w:r w:rsidRPr="00A574D1">
              <w:rPr>
                <w:rFonts w:ascii="Times New Roman" w:eastAsia="Times New Roman" w:hAnsi="Times New Roman" w:cs="Times New Roman"/>
                <w:sz w:val="24"/>
                <w:szCs w:val="24"/>
              </w:rPr>
              <w:t xml:space="preserve">Latvijas Pašvaldību savienības un Ekonomikas ministrijas sarunās tika aktualizēts jautājums par būvinspektoriem un to darbības ierobežojumiem. </w:t>
            </w:r>
            <w:r w:rsidR="0061546C" w:rsidRPr="00A574D1">
              <w:rPr>
                <w:rFonts w:ascii="Times New Roman" w:eastAsia="Times New Roman" w:hAnsi="Times New Roman" w:cs="Times New Roman"/>
                <w:sz w:val="24"/>
                <w:szCs w:val="24"/>
              </w:rPr>
              <w:t>VBN</w:t>
            </w:r>
            <w:r w:rsidRPr="00A574D1">
              <w:rPr>
                <w:rFonts w:ascii="Times New Roman" w:eastAsia="Times New Roman" w:hAnsi="Times New Roman" w:cs="Times New Roman"/>
                <w:sz w:val="24"/>
                <w:szCs w:val="24"/>
              </w:rPr>
              <w:t xml:space="preserve"> redakcija pieļauj iespēju būvinspektoriem sniegt būvniecības pakalpojumus</w:t>
            </w:r>
            <w:r w:rsidR="0061546C" w:rsidRPr="00A574D1">
              <w:rPr>
                <w:rFonts w:ascii="Times New Roman" w:hAnsi="Times New Roman" w:cs="Times New Roman"/>
                <w:sz w:val="24"/>
                <w:szCs w:val="24"/>
              </w:rPr>
              <w:t xml:space="preserve"> būvdarbu vadīšanas, būvuzraudzības un būvekspertīzes specialitātē</w:t>
            </w:r>
            <w:r w:rsidR="00BD2F44" w:rsidRPr="00A574D1">
              <w:rPr>
                <w:rFonts w:ascii="Times New Roman" w:hAnsi="Times New Roman" w:cs="Times New Roman"/>
                <w:sz w:val="24"/>
                <w:szCs w:val="24"/>
              </w:rPr>
              <w:t>s</w:t>
            </w:r>
            <w:r w:rsidR="00A673E7" w:rsidRPr="00A574D1">
              <w:rPr>
                <w:rFonts w:ascii="Times New Roman" w:eastAsia="Times New Roman" w:hAnsi="Times New Roman" w:cs="Times New Roman"/>
                <w:sz w:val="24"/>
                <w:szCs w:val="24"/>
              </w:rPr>
              <w:t xml:space="preserve"> pie šādiem nosacījumiem</w:t>
            </w:r>
            <w:r w:rsidRPr="00A574D1">
              <w:rPr>
                <w:rFonts w:ascii="Times New Roman" w:eastAsia="Times New Roman" w:hAnsi="Times New Roman" w:cs="Times New Roman"/>
                <w:sz w:val="24"/>
                <w:szCs w:val="24"/>
              </w:rPr>
              <w:t>:</w:t>
            </w:r>
          </w:p>
          <w:p w:rsidR="000F7C94" w:rsidRPr="00A574D1" w:rsidRDefault="000F7C94" w:rsidP="00F65EA4">
            <w:pPr>
              <w:pStyle w:val="ListParagraph"/>
              <w:spacing w:after="0" w:line="240" w:lineRule="auto"/>
              <w:ind w:left="57" w:right="57"/>
              <w:jc w:val="both"/>
              <w:rPr>
                <w:rFonts w:ascii="Times New Roman" w:eastAsia="Times New Roman" w:hAnsi="Times New Roman" w:cs="Times New Roman"/>
                <w:sz w:val="24"/>
                <w:szCs w:val="24"/>
              </w:rPr>
            </w:pPr>
            <w:r w:rsidRPr="00A574D1">
              <w:rPr>
                <w:rFonts w:ascii="Times New Roman" w:eastAsia="Times New Roman" w:hAnsi="Times New Roman" w:cs="Times New Roman"/>
                <w:sz w:val="24"/>
                <w:szCs w:val="24"/>
              </w:rPr>
              <w:t>- saņemta darba devēja atļauja</w:t>
            </w:r>
            <w:r w:rsidR="00A673E7" w:rsidRPr="00A574D1">
              <w:rPr>
                <w:rFonts w:ascii="Times New Roman" w:eastAsia="Times New Roman" w:hAnsi="Times New Roman" w:cs="Times New Roman"/>
                <w:sz w:val="24"/>
                <w:szCs w:val="24"/>
              </w:rPr>
              <w:t>;</w:t>
            </w:r>
          </w:p>
          <w:p w:rsidR="000F7C94" w:rsidRPr="00A574D1" w:rsidRDefault="0061546C" w:rsidP="00F65EA4">
            <w:pPr>
              <w:pStyle w:val="ListParagraph"/>
              <w:spacing w:after="0" w:line="240" w:lineRule="auto"/>
              <w:ind w:left="57" w:right="57"/>
              <w:jc w:val="both"/>
              <w:rPr>
                <w:rFonts w:ascii="Times New Roman" w:eastAsia="Times New Roman" w:hAnsi="Times New Roman" w:cs="Times New Roman"/>
                <w:sz w:val="24"/>
                <w:szCs w:val="24"/>
              </w:rPr>
            </w:pPr>
            <w:r w:rsidRPr="00A574D1">
              <w:rPr>
                <w:rFonts w:ascii="Times New Roman" w:eastAsia="Times New Roman" w:hAnsi="Times New Roman" w:cs="Times New Roman"/>
                <w:sz w:val="24"/>
                <w:szCs w:val="24"/>
              </w:rPr>
              <w:t xml:space="preserve">- </w:t>
            </w:r>
            <w:r w:rsidR="000F7C94" w:rsidRPr="00A574D1">
              <w:rPr>
                <w:rFonts w:ascii="Times New Roman" w:eastAsia="Times New Roman" w:hAnsi="Times New Roman" w:cs="Times New Roman"/>
                <w:sz w:val="24"/>
                <w:szCs w:val="24"/>
              </w:rPr>
              <w:t>būvinspektors ir saimnieciskās darbības veicējs (fiziska persona);</w:t>
            </w:r>
          </w:p>
          <w:p w:rsidR="000F7C94" w:rsidRPr="00A574D1" w:rsidRDefault="0061546C" w:rsidP="00F65EA4">
            <w:pPr>
              <w:pStyle w:val="ListParagraph"/>
              <w:spacing w:after="0" w:line="240" w:lineRule="auto"/>
              <w:ind w:left="57" w:right="57"/>
              <w:jc w:val="both"/>
              <w:rPr>
                <w:rFonts w:ascii="Times New Roman" w:eastAsia="Times New Roman" w:hAnsi="Times New Roman" w:cs="Times New Roman"/>
                <w:sz w:val="24"/>
                <w:szCs w:val="24"/>
              </w:rPr>
            </w:pPr>
            <w:r w:rsidRPr="00A574D1">
              <w:rPr>
                <w:rFonts w:ascii="Times New Roman" w:eastAsia="Times New Roman" w:hAnsi="Times New Roman" w:cs="Times New Roman"/>
                <w:sz w:val="24"/>
                <w:szCs w:val="24"/>
              </w:rPr>
              <w:t xml:space="preserve">- </w:t>
            </w:r>
            <w:r w:rsidR="000F7C94" w:rsidRPr="00A574D1">
              <w:rPr>
                <w:rFonts w:ascii="Times New Roman" w:eastAsia="Times New Roman" w:hAnsi="Times New Roman" w:cs="Times New Roman"/>
                <w:sz w:val="24"/>
                <w:szCs w:val="24"/>
              </w:rPr>
              <w:t>noslēgts līgums ar pasūtītāju,</w:t>
            </w:r>
          </w:p>
          <w:p w:rsidR="000F7C94" w:rsidRPr="00A574D1" w:rsidRDefault="000F7C94" w:rsidP="00F65EA4">
            <w:pPr>
              <w:pStyle w:val="ListParagraph"/>
              <w:spacing w:after="0" w:line="240" w:lineRule="auto"/>
              <w:ind w:left="57" w:right="57"/>
              <w:jc w:val="both"/>
              <w:rPr>
                <w:rFonts w:ascii="Times New Roman" w:eastAsia="Times New Roman" w:hAnsi="Times New Roman" w:cs="Times New Roman"/>
                <w:sz w:val="24"/>
                <w:szCs w:val="24"/>
              </w:rPr>
            </w:pPr>
            <w:r w:rsidRPr="00A574D1">
              <w:rPr>
                <w:rFonts w:ascii="Times New Roman" w:eastAsia="Times New Roman" w:hAnsi="Times New Roman" w:cs="Times New Roman"/>
                <w:sz w:val="24"/>
                <w:szCs w:val="24"/>
              </w:rPr>
              <w:t>- 1.grupas būvju būvniecības gadījumā;</w:t>
            </w:r>
          </w:p>
          <w:p w:rsidR="000F7C94" w:rsidRPr="00A574D1" w:rsidRDefault="000F7C94" w:rsidP="00F65EA4">
            <w:pPr>
              <w:pStyle w:val="ListParagraph"/>
              <w:spacing w:after="0" w:line="240" w:lineRule="auto"/>
              <w:ind w:left="57" w:right="57"/>
              <w:jc w:val="both"/>
              <w:rPr>
                <w:rFonts w:ascii="Times New Roman" w:eastAsia="Times New Roman" w:hAnsi="Times New Roman" w:cs="Times New Roman"/>
                <w:sz w:val="24"/>
                <w:szCs w:val="24"/>
              </w:rPr>
            </w:pPr>
            <w:r w:rsidRPr="00A574D1">
              <w:rPr>
                <w:rFonts w:ascii="Times New Roman" w:eastAsia="Times New Roman" w:hAnsi="Times New Roman" w:cs="Times New Roman"/>
                <w:sz w:val="24"/>
                <w:szCs w:val="24"/>
              </w:rPr>
              <w:t>-  ārpus savas uzraugāmās administratīvās teritorijas.</w:t>
            </w:r>
          </w:p>
          <w:p w:rsidR="00F65EA4" w:rsidRPr="00A574D1" w:rsidRDefault="0061546C" w:rsidP="00F65EA4">
            <w:pPr>
              <w:pStyle w:val="ListParagraph"/>
              <w:spacing w:after="0" w:line="240" w:lineRule="auto"/>
              <w:ind w:left="57" w:right="57"/>
              <w:jc w:val="both"/>
              <w:rPr>
                <w:rFonts w:ascii="Times New Roman" w:hAnsi="Times New Roman" w:cs="Times New Roman"/>
                <w:sz w:val="24"/>
                <w:szCs w:val="24"/>
              </w:rPr>
            </w:pPr>
            <w:r w:rsidRPr="00A574D1">
              <w:rPr>
                <w:rFonts w:ascii="Times New Roman" w:eastAsia="Times New Roman" w:hAnsi="Times New Roman" w:cs="Times New Roman"/>
                <w:sz w:val="24"/>
                <w:szCs w:val="24"/>
              </w:rPr>
              <w:t xml:space="preserve">Jānorāda, ka </w:t>
            </w:r>
            <w:r w:rsidR="00BD2F44" w:rsidRPr="00A574D1">
              <w:rPr>
                <w:rFonts w:ascii="Times New Roman" w:hAnsi="Times New Roman" w:cs="Times New Roman"/>
                <w:sz w:val="24"/>
                <w:szCs w:val="24"/>
              </w:rPr>
              <w:t>arī ārpus savas kontrolējamās teritorijas būvinspektoram būs saistošs terminēts liegums sniegt būvniecības pakalpojumus minētajās specialitātēs, ja tas būs veicis uzraudzību vai kontroli pār konkrēto komersantu. Tātad atbilstoši likuma "</w:t>
            </w:r>
            <w:hyperlink r:id="rId11" w:tgtFrame="_blank" w:history="1">
              <w:r w:rsidR="00BD2F44" w:rsidRPr="00A574D1">
                <w:rPr>
                  <w:rStyle w:val="Hyperlink"/>
                  <w:rFonts w:ascii="Times New Roman" w:hAnsi="Times New Roman" w:cs="Times New Roman"/>
                  <w:color w:val="auto"/>
                  <w:sz w:val="24"/>
                  <w:szCs w:val="24"/>
                  <w:u w:val="none"/>
                </w:rPr>
                <w:t>Par interešu konflikta novēršanu valsts amatpersonu darbībā</w:t>
              </w:r>
            </w:hyperlink>
            <w:r w:rsidR="00BD2F44" w:rsidRPr="00A574D1">
              <w:rPr>
                <w:rFonts w:ascii="Times New Roman" w:hAnsi="Times New Roman" w:cs="Times New Roman"/>
                <w:sz w:val="24"/>
                <w:szCs w:val="24"/>
              </w:rPr>
              <w:t xml:space="preserve">" normām darbība ārpus administratīvās teritorijas (jeb telpas kritērijs) nebūs interešu konflikta izslēdzošs faktors. Ir svarīgi, lai neatkarīgi no teritoriālās piesaistes būvinspektors nesaņemtu mantu (finanšu līdzekļus) no kontrolējamās personas. Tātad interešu konflikta situācijas veidojas, pieņemot lēmumus attiecībā uz konkrēto subjektu (komersantu), neatkarīgi no lēmuma vai pakalpojuma sniegšanas vietas </w:t>
            </w:r>
            <w:r w:rsidR="00F65EA4" w:rsidRPr="00A574D1">
              <w:rPr>
                <w:rFonts w:ascii="Times New Roman" w:hAnsi="Times New Roman" w:cs="Times New Roman"/>
                <w:sz w:val="24"/>
                <w:szCs w:val="24"/>
              </w:rPr>
              <w:t>(VBN 133.punkts).</w:t>
            </w:r>
          </w:p>
          <w:p w:rsidR="00A83693" w:rsidRPr="00A574D1" w:rsidRDefault="00A83693" w:rsidP="00552CF1">
            <w:pPr>
              <w:pStyle w:val="naisc"/>
              <w:spacing w:before="0" w:after="0"/>
              <w:ind w:left="57" w:right="57"/>
              <w:jc w:val="both"/>
              <w:rPr>
                <w:sz w:val="12"/>
                <w:szCs w:val="12"/>
              </w:rPr>
            </w:pPr>
          </w:p>
          <w:p w:rsidR="00C513B2" w:rsidRPr="00A574D1" w:rsidRDefault="00241A29" w:rsidP="00552CF1">
            <w:pPr>
              <w:pStyle w:val="naisc"/>
              <w:spacing w:before="0" w:after="0"/>
              <w:ind w:left="57" w:right="57"/>
              <w:jc w:val="both"/>
            </w:pPr>
            <w:r w:rsidRPr="00A574D1">
              <w:t>18</w:t>
            </w:r>
            <w:r w:rsidR="00C513B2" w:rsidRPr="00A574D1">
              <w:t xml:space="preserve">) Saskaņā ar Būvniecības likuma 21.panta septīto daļu lēmumu par ekspluatācijas aizliegšanu var atbilstoši </w:t>
            </w:r>
            <w:r w:rsidR="00C513B2" w:rsidRPr="00A574D1">
              <w:lastRenderedPageBreak/>
              <w:t>kompetencei tikai būvvalde vai birojs. Iestādes lēmumu pieņem saskaņā ar būvinspektora atzinumā par būves pārbaudi konstatēto, līdz ar to nepieciešams precizēt 143.punktā noteikto, lai būvinspektoram būtu pienākums apturēt būves ekspluatāciju arī bez būvvaldes lēmuma, ja tiek konstatēta būves patv</w:t>
            </w:r>
            <w:r w:rsidR="00BD2F44" w:rsidRPr="00A574D1">
              <w:t>aļīga ekspluatācija (VBN 143.2.</w:t>
            </w:r>
            <w:r w:rsidR="00C513B2" w:rsidRPr="00A574D1">
              <w:t>apakšpunkts).</w:t>
            </w:r>
          </w:p>
          <w:p w:rsidR="00A83693" w:rsidRPr="00A574D1" w:rsidRDefault="00A83693" w:rsidP="00552CF1">
            <w:pPr>
              <w:pStyle w:val="naisc"/>
              <w:spacing w:before="0" w:after="0"/>
              <w:ind w:left="57" w:right="57"/>
              <w:jc w:val="both"/>
              <w:rPr>
                <w:sz w:val="12"/>
                <w:szCs w:val="12"/>
              </w:rPr>
            </w:pPr>
          </w:p>
          <w:p w:rsidR="00C513B2" w:rsidRPr="00A574D1" w:rsidRDefault="00241A29" w:rsidP="00552CF1">
            <w:pPr>
              <w:pStyle w:val="naisc"/>
              <w:spacing w:before="0" w:after="0"/>
              <w:ind w:left="57" w:right="57"/>
              <w:jc w:val="both"/>
            </w:pPr>
            <w:r w:rsidRPr="00A574D1">
              <w:t>19</w:t>
            </w:r>
            <w:r w:rsidR="00C513B2" w:rsidRPr="00A574D1">
              <w:t>) Esošais 158.punkts nosaka, ka b</w:t>
            </w:r>
            <w:r w:rsidR="00C513B2" w:rsidRPr="00A574D1">
              <w:rPr>
                <w:i/>
              </w:rPr>
              <w:t xml:space="preserve">ūve ir jāsakārto, jāveic tās konservācija vai jānojauc (atkarībā no konkrētiem apstākļiem), ja  tās stāvoklis neatbilst Būvniecības likuma prasībām vai būves būtiskajām prasībām un tas ir fiksēts būvvaldes lēmumā. </w:t>
            </w:r>
            <w:r w:rsidR="00C513B2" w:rsidRPr="00A574D1">
              <w:t>Civillikuma 1084.panta pirmā daļa nosaka būves īpašniekam pienākumu uzturēt būvi kārtībā, lai tā neradītu apdraudējumu citiem, līdz ar to nepieciešams precizēt VBN 158.1.apakpsunktu, jo, lai būvi uzturētu kārtībā, nav nepieciešams būvvaldes lēmums. Pie tam jāatzīmē, ka svarīgi, lai būves stāvoklis  atbilstu Būvniecības likuma 9.panta otrajā daļā noteiktajām būtiskajām prasībām attiecībā uz būves lietošanas drošību, mehānisko stiprību un stabilitāti (VBN  158.1.apakšpunkts).</w:t>
            </w:r>
          </w:p>
          <w:p w:rsidR="00A83693" w:rsidRPr="00A574D1" w:rsidRDefault="00A83693" w:rsidP="00552CF1">
            <w:pPr>
              <w:pStyle w:val="naisc"/>
              <w:spacing w:before="0" w:after="0"/>
              <w:ind w:left="57" w:right="57"/>
              <w:jc w:val="both"/>
              <w:rPr>
                <w:sz w:val="12"/>
                <w:szCs w:val="12"/>
              </w:rPr>
            </w:pPr>
          </w:p>
          <w:p w:rsidR="00C513B2" w:rsidRPr="00A574D1" w:rsidRDefault="00C513B2" w:rsidP="00552CF1">
            <w:pPr>
              <w:pStyle w:val="naisc"/>
              <w:spacing w:before="0" w:after="0"/>
              <w:ind w:left="57" w:right="57"/>
              <w:jc w:val="both"/>
            </w:pPr>
            <w:r w:rsidRPr="00A574D1">
              <w:t>2</w:t>
            </w:r>
            <w:r w:rsidR="00241A29" w:rsidRPr="00A574D1">
              <w:t>0</w:t>
            </w:r>
            <w:r w:rsidRPr="00A574D1">
              <w:t xml:space="preserve">) VBN noslēguma jautājumos ir noteikta kārtība, kā ir pabeidzami būvniecības procesi, kuri tika uzsākti pirms 2014.gada 1.oktobra, t.i. ar jaunā būvniecības regulējuma spēkā stāšanos. Līdz šim netika atrunāta kārtība, kādus būvniecības dokumentus ir jāizstrādā pasūtītājam un kādus  lēmumus būvvaldei ir jāpieņem gadījumos, kad jaunais regulējums paredz labvēlīgāku (vienkāršāku)  procesu, t.i. būvniecības procesā nav nepieciešams saņemt būvatļauju, bet to ir iespējams realizēt sagatavojot paskaidrojuma rakstu vai apliecinājuma karti. </w:t>
            </w:r>
          </w:p>
          <w:p w:rsidR="00C513B2" w:rsidRPr="00A574D1" w:rsidRDefault="00C513B2" w:rsidP="00552CF1">
            <w:pPr>
              <w:pStyle w:val="naisc"/>
              <w:spacing w:before="0" w:after="0"/>
              <w:ind w:left="57" w:right="57"/>
              <w:jc w:val="both"/>
            </w:pPr>
            <w:r w:rsidRPr="00A574D1">
              <w:t>Personai ir tiesības iepriekš uzsāktu būvniecības procesu turpināt, ja nav beidzies plānošanas un arhitektūras uzdevuma, tehniskā projekta, izvērstā skiču projekta derīguma termiņš (VBN 166., 169., 170.punkts);</w:t>
            </w:r>
          </w:p>
          <w:p w:rsidR="00A83693" w:rsidRPr="00A574D1" w:rsidRDefault="00A83693" w:rsidP="00552CF1">
            <w:pPr>
              <w:pStyle w:val="ListParagraph"/>
              <w:spacing w:after="0" w:line="240" w:lineRule="auto"/>
              <w:ind w:left="57" w:right="57"/>
              <w:jc w:val="both"/>
              <w:rPr>
                <w:rFonts w:ascii="Times New Roman" w:hAnsi="Times New Roman" w:cs="Times New Roman"/>
                <w:sz w:val="12"/>
                <w:szCs w:val="12"/>
              </w:rPr>
            </w:pPr>
          </w:p>
          <w:p w:rsidR="00C513B2" w:rsidRPr="00A574D1" w:rsidRDefault="00C513B2" w:rsidP="00552CF1">
            <w:pPr>
              <w:pStyle w:val="ListParagraph"/>
              <w:spacing w:after="0" w:line="240" w:lineRule="auto"/>
              <w:ind w:left="57" w:right="57"/>
              <w:jc w:val="both"/>
              <w:rPr>
                <w:rFonts w:ascii="Times New Roman" w:hAnsi="Times New Roman" w:cs="Times New Roman"/>
                <w:sz w:val="24"/>
                <w:szCs w:val="24"/>
              </w:rPr>
            </w:pPr>
            <w:r w:rsidRPr="00A574D1">
              <w:rPr>
                <w:rFonts w:ascii="Times New Roman" w:hAnsi="Times New Roman" w:cs="Times New Roman"/>
                <w:sz w:val="24"/>
                <w:szCs w:val="24"/>
              </w:rPr>
              <w:t>2</w:t>
            </w:r>
            <w:r w:rsidR="00241A29" w:rsidRPr="00A574D1">
              <w:rPr>
                <w:rFonts w:ascii="Times New Roman" w:hAnsi="Times New Roman" w:cs="Times New Roman"/>
                <w:sz w:val="24"/>
                <w:szCs w:val="24"/>
              </w:rPr>
              <w:t>1</w:t>
            </w:r>
            <w:r w:rsidRPr="00A574D1">
              <w:rPr>
                <w:rFonts w:ascii="Times New Roman" w:hAnsi="Times New Roman" w:cs="Times New Roman"/>
                <w:sz w:val="24"/>
                <w:szCs w:val="24"/>
              </w:rPr>
              <w:t>) Pašlaik Vispārīgie būvnoteikumi nenosaka, kā pasūtītājam ir jāvirza tehniskais projekts, ja līdz 2014.gada 1.oktobrim saskaņotajā skiču projektā bija paredzēts būvi nodot ekspluatācijā pa būves kārtām, kā arī netika noteikts, kādi lēmumi būvvaldei šādā gadījumā ir jāpieņem</w:t>
            </w:r>
            <w:r w:rsidR="00BF7ED7" w:rsidRPr="00A574D1">
              <w:rPr>
                <w:rFonts w:ascii="Times New Roman" w:hAnsi="Times New Roman" w:cs="Times New Roman"/>
                <w:sz w:val="24"/>
                <w:szCs w:val="24"/>
              </w:rPr>
              <w:t>,</w:t>
            </w:r>
            <w:r w:rsidRPr="00A574D1">
              <w:rPr>
                <w:rFonts w:ascii="Times New Roman" w:hAnsi="Times New Roman" w:cs="Times New Roman"/>
                <w:sz w:val="24"/>
                <w:szCs w:val="24"/>
              </w:rPr>
              <w:t xml:space="preserve"> </w:t>
            </w:r>
            <w:r w:rsidR="00BF7ED7" w:rsidRPr="00A574D1">
              <w:rPr>
                <w:rFonts w:ascii="Times New Roman" w:hAnsi="Times New Roman" w:cs="Times New Roman"/>
                <w:sz w:val="24"/>
                <w:szCs w:val="24"/>
              </w:rPr>
              <w:t xml:space="preserve">tādējādi iesāktajos būvniecības procesos nevarēja turpināt projektēšanu, katrai kārtai izstrādājot atsevišķu būvprojektu, jo normatīvie akti būvniecības jomā neparedz iespēju būvprojektu izstrādāt atsevišķi katrai būves kārtai. </w:t>
            </w:r>
            <w:r w:rsidRPr="00A574D1">
              <w:rPr>
                <w:rFonts w:ascii="Times New Roman" w:hAnsi="Times New Roman" w:cs="Times New Roman"/>
                <w:sz w:val="24"/>
                <w:szCs w:val="24"/>
              </w:rPr>
              <w:t>Lai iepriekš uzsāktie būvniecības procesi tiktu virzīti saprātīgā apjomā un termiņos, Vispārīgo būvnoteikumu noslēguma jautājumi ir papildināti ar regulējumu:  </w:t>
            </w:r>
            <w:r w:rsidRPr="00A574D1">
              <w:rPr>
                <w:rFonts w:ascii="Times New Roman" w:hAnsi="Times New Roman" w:cs="Times New Roman"/>
                <w:i/>
                <w:sz w:val="24"/>
                <w:szCs w:val="24"/>
              </w:rPr>
              <w:t xml:space="preserve">Gadījumos, kad līdz šo noteikumu spēkā stāšanās dienai normatīvajos aktos noteiktajā kārtībā ir saskaņojusi skiču projektu, kurā tika paredzēta objekta realizācija kārtās, pasūtītājam plānošanas un arhitektūras uzdevuma termiņa laikā ir </w:t>
            </w:r>
            <w:r w:rsidRPr="00A574D1">
              <w:rPr>
                <w:rFonts w:ascii="Times New Roman" w:hAnsi="Times New Roman" w:cs="Times New Roman"/>
                <w:i/>
                <w:sz w:val="24"/>
                <w:szCs w:val="24"/>
              </w:rPr>
              <w:lastRenderedPageBreak/>
              <w:t>tiesības būvobjekta realizāciju daļā, kurā vēl nav saņemta būvatļauja, veikt, izstrādājot un iesniedzot būvvaldē ne vairāk kā divus tehniskos projektus atlikušajām būves kārtām, savukārt būvvalde izdod būvatļauju atbilstoši šo noteikumu 169.punktam.”</w:t>
            </w:r>
            <w:r w:rsidRPr="00A574D1">
              <w:rPr>
                <w:rFonts w:ascii="Times New Roman" w:hAnsi="Times New Roman" w:cs="Times New Roman"/>
                <w:sz w:val="24"/>
                <w:szCs w:val="24"/>
              </w:rPr>
              <w:t xml:space="preserve"> (VBN 170.</w:t>
            </w:r>
            <w:r w:rsidRPr="00A574D1">
              <w:rPr>
                <w:rFonts w:ascii="Times New Roman" w:hAnsi="Times New Roman" w:cs="Times New Roman"/>
                <w:sz w:val="24"/>
                <w:szCs w:val="24"/>
                <w:vertAlign w:val="superscript"/>
              </w:rPr>
              <w:t>1</w:t>
            </w:r>
            <w:r w:rsidRPr="00A574D1">
              <w:rPr>
                <w:rFonts w:ascii="Times New Roman" w:hAnsi="Times New Roman" w:cs="Times New Roman"/>
                <w:sz w:val="24"/>
                <w:szCs w:val="24"/>
              </w:rPr>
              <w:t>punkts);</w:t>
            </w:r>
          </w:p>
          <w:p w:rsidR="00A83693" w:rsidRPr="00A574D1" w:rsidRDefault="00A83693" w:rsidP="00552CF1">
            <w:pPr>
              <w:pStyle w:val="ListParagraph"/>
              <w:spacing w:after="0" w:line="240" w:lineRule="auto"/>
              <w:ind w:left="57" w:right="57"/>
              <w:jc w:val="both"/>
              <w:rPr>
                <w:rFonts w:ascii="Times New Roman" w:hAnsi="Times New Roman" w:cs="Times New Roman"/>
                <w:sz w:val="12"/>
                <w:szCs w:val="12"/>
              </w:rPr>
            </w:pPr>
          </w:p>
          <w:p w:rsidR="00951F3D" w:rsidRPr="00A574D1" w:rsidRDefault="00A83693" w:rsidP="00552CF1">
            <w:pPr>
              <w:pStyle w:val="ListParagraph"/>
              <w:spacing w:after="0" w:line="240" w:lineRule="auto"/>
              <w:ind w:left="57" w:right="57"/>
              <w:jc w:val="both"/>
              <w:rPr>
                <w:rFonts w:ascii="Times New Roman" w:hAnsi="Times New Roman" w:cs="Times New Roman"/>
                <w:sz w:val="24"/>
                <w:szCs w:val="24"/>
              </w:rPr>
            </w:pPr>
            <w:r w:rsidRPr="00A574D1">
              <w:rPr>
                <w:rFonts w:ascii="Times New Roman" w:hAnsi="Times New Roman" w:cs="Times New Roman"/>
                <w:sz w:val="24"/>
                <w:szCs w:val="24"/>
              </w:rPr>
              <w:t>2</w:t>
            </w:r>
            <w:r w:rsidR="00241A29" w:rsidRPr="00A574D1">
              <w:rPr>
                <w:rFonts w:ascii="Times New Roman" w:hAnsi="Times New Roman" w:cs="Times New Roman"/>
                <w:sz w:val="24"/>
                <w:szCs w:val="24"/>
              </w:rPr>
              <w:t>2</w:t>
            </w:r>
            <w:r w:rsidR="00951F3D" w:rsidRPr="00A574D1">
              <w:rPr>
                <w:rFonts w:ascii="Times New Roman" w:hAnsi="Times New Roman" w:cs="Times New Roman"/>
                <w:sz w:val="24"/>
                <w:szCs w:val="24"/>
              </w:rPr>
              <w:t xml:space="preserve">) Vispārīgo būvnoteikumu 60.punkts nosaka, ka ja būvprojektam, kuram ir veikta ekspertīze, pirms būvdarbu uzsākšanas vai būvdarbu laikā tiek mainīts būves arhitektoniskais risinājums vai būves, tās nesošo konstrukciju vai to daļu konstruktīvais risinājums attiecībā uz būves mehānisko stiprību, stabilitāti, ugunsdrošību vai lietošanas drošumu, pasūtītājam ir pienākums veikt atkārtotu attiecīgo būvprojekta daļu un sadaļu ekspertīzi, ievērojot šo noteikumu 69.punktu. Ņemot vērā, ka </w:t>
            </w:r>
            <w:r w:rsidR="006879DC" w:rsidRPr="00A574D1">
              <w:rPr>
                <w:rFonts w:ascii="Times New Roman" w:hAnsi="Times New Roman" w:cs="Times New Roman"/>
                <w:sz w:val="24"/>
                <w:szCs w:val="24"/>
              </w:rPr>
              <w:t xml:space="preserve">šobrīd </w:t>
            </w:r>
            <w:proofErr w:type="spellStart"/>
            <w:r w:rsidR="00951F3D" w:rsidRPr="00A574D1">
              <w:rPr>
                <w:rFonts w:ascii="Times New Roman" w:hAnsi="Times New Roman" w:cs="Times New Roman"/>
                <w:sz w:val="24"/>
                <w:szCs w:val="24"/>
              </w:rPr>
              <w:t>III.grupā</w:t>
            </w:r>
            <w:proofErr w:type="spellEnd"/>
            <w:r w:rsidR="00951F3D" w:rsidRPr="00A574D1">
              <w:rPr>
                <w:rFonts w:ascii="Times New Roman" w:hAnsi="Times New Roman" w:cs="Times New Roman"/>
                <w:sz w:val="24"/>
                <w:szCs w:val="24"/>
              </w:rPr>
              <w:t xml:space="preserve"> ir noteiktas būves, kurām iepriekšējais regulējums, kas bija spēkā līdz 2014.gada 30.septembrim, nenoteica kā obligātu prasību veikt būvprojekta ekspertīzi, tad </w:t>
            </w:r>
            <w:r w:rsidR="006879DC" w:rsidRPr="00A574D1">
              <w:rPr>
                <w:rFonts w:ascii="Times New Roman" w:hAnsi="Times New Roman" w:cs="Times New Roman"/>
                <w:sz w:val="24"/>
                <w:szCs w:val="24"/>
              </w:rPr>
              <w:t>veicot šādiem objektiem izmaiņas būvprojektā, izmainītajām būvprojekta daļām būtu nepieciešams veikt ekspertīzi (VBN 170.</w:t>
            </w:r>
            <w:r w:rsidR="006879DC" w:rsidRPr="00A574D1">
              <w:rPr>
                <w:rFonts w:ascii="Times New Roman" w:hAnsi="Times New Roman" w:cs="Times New Roman"/>
                <w:sz w:val="24"/>
                <w:szCs w:val="24"/>
                <w:vertAlign w:val="superscript"/>
              </w:rPr>
              <w:t>2</w:t>
            </w:r>
            <w:r w:rsidR="006879DC" w:rsidRPr="00A574D1">
              <w:rPr>
                <w:rFonts w:ascii="Times New Roman" w:hAnsi="Times New Roman" w:cs="Times New Roman"/>
                <w:sz w:val="24"/>
                <w:szCs w:val="24"/>
              </w:rPr>
              <w:t>punkts);</w:t>
            </w:r>
          </w:p>
          <w:p w:rsidR="00A83693" w:rsidRPr="00A574D1" w:rsidRDefault="00A83693" w:rsidP="00552CF1">
            <w:pPr>
              <w:pStyle w:val="ListParagraph"/>
              <w:spacing w:after="0" w:line="240" w:lineRule="auto"/>
              <w:ind w:left="57" w:right="57"/>
              <w:jc w:val="both"/>
              <w:rPr>
                <w:rFonts w:ascii="Times New Roman" w:hAnsi="Times New Roman" w:cs="Times New Roman"/>
                <w:sz w:val="12"/>
                <w:szCs w:val="12"/>
              </w:rPr>
            </w:pPr>
          </w:p>
          <w:p w:rsidR="00C513B2" w:rsidRPr="00A574D1" w:rsidRDefault="00C513B2" w:rsidP="00552CF1">
            <w:pPr>
              <w:pStyle w:val="ListParagraph"/>
              <w:spacing w:after="0" w:line="240" w:lineRule="auto"/>
              <w:ind w:left="57" w:right="57"/>
              <w:jc w:val="both"/>
              <w:rPr>
                <w:rFonts w:ascii="Times New Roman" w:hAnsi="Times New Roman" w:cs="Times New Roman"/>
                <w:sz w:val="24"/>
                <w:szCs w:val="24"/>
              </w:rPr>
            </w:pPr>
            <w:r w:rsidRPr="00A574D1">
              <w:rPr>
                <w:rFonts w:ascii="Times New Roman" w:hAnsi="Times New Roman" w:cs="Times New Roman"/>
                <w:sz w:val="24"/>
                <w:szCs w:val="24"/>
              </w:rPr>
              <w:t>2</w:t>
            </w:r>
            <w:r w:rsidR="00241A29" w:rsidRPr="00A574D1">
              <w:rPr>
                <w:rFonts w:ascii="Times New Roman" w:hAnsi="Times New Roman" w:cs="Times New Roman"/>
                <w:sz w:val="24"/>
                <w:szCs w:val="24"/>
              </w:rPr>
              <w:t>3</w:t>
            </w:r>
            <w:r w:rsidRPr="00A574D1">
              <w:rPr>
                <w:rFonts w:ascii="Times New Roman" w:hAnsi="Times New Roman" w:cs="Times New Roman"/>
                <w:sz w:val="24"/>
                <w:szCs w:val="24"/>
              </w:rPr>
              <w:t xml:space="preserve">) Vispārīgo būvnoteikumu 171.punkts nosaka, </w:t>
            </w:r>
            <w:r w:rsidRPr="00A574D1">
              <w:rPr>
                <w:rFonts w:ascii="Times New Roman" w:hAnsi="Times New Roman" w:cs="Times New Roman"/>
                <w:i/>
                <w:sz w:val="24"/>
                <w:szCs w:val="24"/>
              </w:rPr>
              <w:t>ja nepieciešams pagarināt vai atjaunot iepriekš izsniegtas būvatļaujas derīguma termiņu, kurā nav norādīts maksimālais būvdarbu veikšanas ilgums, būvvalde izsniedz būvatļauju atbilstoši šo noteikumu prasībām, atzīmējot projektēšanas un būvdarbu uzsākšanas nosacījumus kā izpildītus un norādot maksimālo būvdarbu veikšanas ilgumu</w:t>
            </w:r>
            <w:r w:rsidRPr="00A574D1">
              <w:rPr>
                <w:rFonts w:ascii="Times New Roman" w:hAnsi="Times New Roman" w:cs="Times New Roman"/>
                <w:sz w:val="24"/>
                <w:szCs w:val="24"/>
              </w:rPr>
              <w:t>. Esošā redakcija nozī</w:t>
            </w:r>
            <w:bookmarkStart w:id="2" w:name="_GoBack"/>
            <w:bookmarkEnd w:id="2"/>
            <w:r w:rsidRPr="00A574D1">
              <w:rPr>
                <w:rFonts w:ascii="Times New Roman" w:hAnsi="Times New Roman" w:cs="Times New Roman"/>
                <w:sz w:val="24"/>
                <w:szCs w:val="24"/>
              </w:rPr>
              <w:t>mē, ka būvvaldei šajos gadījumos ir jāizsniedz jauna būvatļauja. Ņemot vērā, ka būvatļaujas izsniegšana paredz arī tās apstrīdēšanas iespējamību, šādos gadījumos nav nepieciešams izsniegt jaunu būvatļauju, bet maksimālais būvdarbu veikšanas ilgums ir jānorāda esošajā būvatļaujā (VBN 171.punkts);</w:t>
            </w:r>
          </w:p>
          <w:p w:rsidR="00A83693" w:rsidRPr="00A574D1" w:rsidRDefault="00A83693" w:rsidP="00552CF1">
            <w:pPr>
              <w:pStyle w:val="ListParagraph"/>
              <w:spacing w:after="0" w:line="240" w:lineRule="auto"/>
              <w:ind w:left="57" w:right="57"/>
              <w:jc w:val="both"/>
              <w:rPr>
                <w:rFonts w:ascii="Times New Roman" w:hAnsi="Times New Roman" w:cs="Times New Roman"/>
                <w:sz w:val="12"/>
                <w:szCs w:val="12"/>
              </w:rPr>
            </w:pPr>
          </w:p>
          <w:p w:rsidR="00C513B2" w:rsidRPr="00A574D1" w:rsidRDefault="00C513B2" w:rsidP="00552CF1">
            <w:pPr>
              <w:pStyle w:val="ListParagraph"/>
              <w:spacing w:after="0" w:line="240" w:lineRule="auto"/>
              <w:ind w:left="57" w:right="57"/>
              <w:jc w:val="both"/>
              <w:rPr>
                <w:rFonts w:ascii="Times New Roman" w:hAnsi="Times New Roman" w:cs="Times New Roman"/>
                <w:sz w:val="24"/>
                <w:szCs w:val="24"/>
              </w:rPr>
            </w:pPr>
            <w:r w:rsidRPr="00A574D1">
              <w:rPr>
                <w:rFonts w:ascii="Times New Roman" w:hAnsi="Times New Roman" w:cs="Times New Roman"/>
                <w:sz w:val="24"/>
                <w:szCs w:val="24"/>
              </w:rPr>
              <w:t>2</w:t>
            </w:r>
            <w:r w:rsidR="00241A29" w:rsidRPr="00A574D1">
              <w:rPr>
                <w:rFonts w:ascii="Times New Roman" w:hAnsi="Times New Roman" w:cs="Times New Roman"/>
                <w:sz w:val="24"/>
                <w:szCs w:val="24"/>
              </w:rPr>
              <w:t>4</w:t>
            </w:r>
            <w:r w:rsidRPr="00A574D1">
              <w:rPr>
                <w:rFonts w:ascii="Times New Roman" w:hAnsi="Times New Roman" w:cs="Times New Roman"/>
                <w:sz w:val="24"/>
                <w:szCs w:val="24"/>
              </w:rPr>
              <w:t xml:space="preserve">) Būvniecības likuma Noslēguma jautājumu 5.punkts nosaka, ka </w:t>
            </w:r>
            <w:r w:rsidRPr="00A574D1">
              <w:rPr>
                <w:rFonts w:ascii="Times New Roman" w:hAnsi="Times New Roman" w:cs="Times New Roman"/>
                <w:i/>
                <w:sz w:val="24"/>
                <w:szCs w:val="24"/>
              </w:rPr>
              <w:t>būvniecības procesi, kuri iesākti līdz šā likuma spēkā stāšanās dienai, pabeidzami vispārīgajos būvnoteikumos paredzētajā kārtībā</w:t>
            </w:r>
            <w:r w:rsidRPr="00A574D1">
              <w:rPr>
                <w:rFonts w:ascii="Times New Roman" w:hAnsi="Times New Roman" w:cs="Times New Roman"/>
                <w:sz w:val="24"/>
                <w:szCs w:val="24"/>
              </w:rPr>
              <w:t xml:space="preserve">. Lai gan Vispārīgo būvnoteikumu VIII nodaļā ir noteikta kārtība, kā pasūtītājs nodod būvi ekspluatācijā un kādus dokumentus viņam ir jāsagatavo, šī kārtība attiecas uz jauniem būvniecības procesiem. Lai izpildītu Būvniecības likuma Noslēguma jautājumos noteikto, Vispārīgo būvnoteikumu pārejas regulējums ir papildināms ar regulējumu, kas nosaka, kā ir pabeidzami iepriekš uzsāktie būvniecības procesi gadījumos, kad būvdarbi ir pabeigti un būve ir jānodod ekspluatācijā - </w:t>
            </w:r>
            <w:r w:rsidRPr="00A574D1">
              <w:rPr>
                <w:rFonts w:ascii="Times New Roman" w:hAnsi="Times New Roman" w:cs="Times New Roman"/>
                <w:i/>
                <w:sz w:val="24"/>
                <w:szCs w:val="24"/>
              </w:rPr>
              <w:t xml:space="preserve">Būvobjektiem, kuru būvdarbi ir likumīgi uzsākti līdz šo noteikumu spēkā stāšanās dienai, kuru projekta risinājumi atbilst attiecīgā laikposmā piemēroto normatīvo aktu prasībām, būvdarbi ir pabeidzami, iesniedzot būvvaldē speciālajos būvnoteikumos noteiktos </w:t>
            </w:r>
            <w:r w:rsidRPr="00A574D1">
              <w:rPr>
                <w:rFonts w:ascii="Times New Roman" w:hAnsi="Times New Roman" w:cs="Times New Roman"/>
                <w:i/>
                <w:sz w:val="24"/>
                <w:szCs w:val="24"/>
              </w:rPr>
              <w:lastRenderedPageBreak/>
              <w:t xml:space="preserve">dokumentus un uzmērījumus, un būve nododama ekspluatācijā attiecīgajos būvnoteikumos noteiktajā kārtībā. </w:t>
            </w:r>
            <w:r w:rsidRPr="00A574D1">
              <w:rPr>
                <w:rFonts w:ascii="Times New Roman" w:hAnsi="Times New Roman" w:cs="Times New Roman"/>
                <w:sz w:val="24"/>
                <w:szCs w:val="24"/>
              </w:rPr>
              <w:t xml:space="preserve"> Iepriekš uzsāktiem būvniecības procesiem (pabeidzot būvdarbus), ja būvobjektā tika veikta būvuzraudzība, būvuzraugam nav jāiesniedz pārskats par būvuzraudzības plānā norādīto pasākumu izpildi, tā kā šāds būvuzraudzības plāns netika izstrādāts jau būvdarbu uzsākšanas laikā</w:t>
            </w:r>
            <w:r w:rsidR="0061069C" w:rsidRPr="00A574D1">
              <w:rPr>
                <w:rFonts w:ascii="Times New Roman" w:hAnsi="Times New Roman" w:cs="Times New Roman"/>
                <w:sz w:val="24"/>
                <w:szCs w:val="24"/>
              </w:rPr>
              <w:t xml:space="preserve"> </w:t>
            </w:r>
            <w:r w:rsidRPr="00A574D1">
              <w:rPr>
                <w:rFonts w:ascii="Times New Roman" w:hAnsi="Times New Roman" w:cs="Times New Roman"/>
                <w:sz w:val="24"/>
                <w:szCs w:val="24"/>
              </w:rPr>
              <w:t>(VBN 172.punkts)</w:t>
            </w:r>
            <w:r w:rsidR="0061069C" w:rsidRPr="00A574D1">
              <w:rPr>
                <w:rFonts w:ascii="Times New Roman" w:hAnsi="Times New Roman" w:cs="Times New Roman"/>
                <w:sz w:val="24"/>
                <w:szCs w:val="24"/>
              </w:rPr>
              <w:t>.</w:t>
            </w:r>
          </w:p>
          <w:p w:rsidR="00A83693" w:rsidRPr="00A574D1" w:rsidRDefault="00A83693" w:rsidP="00552CF1">
            <w:pPr>
              <w:pStyle w:val="ListParagraph"/>
              <w:spacing w:after="0" w:line="240" w:lineRule="auto"/>
              <w:ind w:left="57" w:right="57"/>
              <w:jc w:val="both"/>
              <w:rPr>
                <w:rFonts w:ascii="Times New Roman" w:hAnsi="Times New Roman" w:cs="Times New Roman"/>
                <w:sz w:val="12"/>
                <w:szCs w:val="12"/>
              </w:rPr>
            </w:pPr>
          </w:p>
          <w:p w:rsidR="006879DC" w:rsidRPr="00A574D1" w:rsidRDefault="00A83693" w:rsidP="00552CF1">
            <w:pPr>
              <w:pStyle w:val="ListParagraph"/>
              <w:spacing w:after="0" w:line="240" w:lineRule="auto"/>
              <w:ind w:left="57" w:right="57"/>
              <w:jc w:val="both"/>
              <w:rPr>
                <w:rFonts w:ascii="Times New Roman" w:hAnsi="Times New Roman" w:cs="Times New Roman"/>
                <w:sz w:val="24"/>
                <w:szCs w:val="24"/>
              </w:rPr>
            </w:pPr>
            <w:r w:rsidRPr="00A574D1">
              <w:rPr>
                <w:rFonts w:ascii="Times New Roman" w:hAnsi="Times New Roman" w:cs="Times New Roman"/>
                <w:sz w:val="24"/>
                <w:szCs w:val="24"/>
              </w:rPr>
              <w:t>2</w:t>
            </w:r>
            <w:r w:rsidR="00241A29" w:rsidRPr="00A574D1">
              <w:rPr>
                <w:rFonts w:ascii="Times New Roman" w:hAnsi="Times New Roman" w:cs="Times New Roman"/>
                <w:sz w:val="24"/>
                <w:szCs w:val="24"/>
              </w:rPr>
              <w:t>5</w:t>
            </w:r>
            <w:r w:rsidR="006879DC" w:rsidRPr="00A574D1">
              <w:rPr>
                <w:rFonts w:ascii="Times New Roman" w:hAnsi="Times New Roman" w:cs="Times New Roman"/>
                <w:sz w:val="24"/>
                <w:szCs w:val="24"/>
              </w:rPr>
              <w:t>) Būvniecības likuma 6.</w:t>
            </w:r>
            <w:r w:rsidR="006879DC" w:rsidRPr="00A574D1">
              <w:rPr>
                <w:rFonts w:ascii="Times New Roman" w:hAnsi="Times New Roman" w:cs="Times New Roman"/>
                <w:sz w:val="24"/>
                <w:szCs w:val="24"/>
                <w:vertAlign w:val="superscript"/>
              </w:rPr>
              <w:t>1</w:t>
            </w:r>
            <w:r w:rsidR="006879DC" w:rsidRPr="00A574D1">
              <w:rPr>
                <w:rFonts w:ascii="Times New Roman" w:hAnsi="Times New Roman" w:cs="Times New Roman"/>
                <w:sz w:val="24"/>
                <w:szCs w:val="24"/>
              </w:rPr>
              <w:t>pant</w:t>
            </w:r>
            <w:r w:rsidR="00460191" w:rsidRPr="00A574D1">
              <w:rPr>
                <w:rFonts w:ascii="Times New Roman" w:hAnsi="Times New Roman" w:cs="Times New Roman"/>
                <w:sz w:val="24"/>
                <w:szCs w:val="24"/>
              </w:rPr>
              <w:t xml:space="preserve">a ceturtā daļa paredz, ka </w:t>
            </w:r>
            <w:proofErr w:type="spellStart"/>
            <w:r w:rsidR="00460191" w:rsidRPr="00A574D1">
              <w:rPr>
                <w:rFonts w:ascii="Times New Roman" w:hAnsi="Times New Roman" w:cs="Times New Roman"/>
                <w:sz w:val="24"/>
                <w:szCs w:val="24"/>
              </w:rPr>
              <w:t>būvspeciālistus</w:t>
            </w:r>
            <w:proofErr w:type="spellEnd"/>
            <w:r w:rsidR="00460191" w:rsidRPr="00A574D1">
              <w:rPr>
                <w:rFonts w:ascii="Times New Roman" w:hAnsi="Times New Roman" w:cs="Times New Roman"/>
                <w:sz w:val="24"/>
                <w:szCs w:val="24"/>
              </w:rPr>
              <w:t xml:space="preserve"> būvekspertīzes specialitātē sertificēs Būvniecības valsts kontroles birojs un šī funkcija birojam atbilstoši pārejas noteikumu 10.punktam ir jāveic no 2016.gada 1.janvāra. Ņemot vērā, ka uz  šobrīd noslēgtajiem būvekspertīzes līgumiem ekspertīzes veikšanas tiesības atbilstoši Būvniecības likuma pārejas noteikumu 11.punktam </w:t>
            </w:r>
            <w:r w:rsidR="006879DC" w:rsidRPr="00A574D1">
              <w:rPr>
                <w:rFonts w:ascii="Times New Roman" w:hAnsi="Times New Roman" w:cs="Times New Roman"/>
                <w:sz w:val="24"/>
                <w:szCs w:val="24"/>
                <w:shd w:val="clear" w:color="auto" w:fill="FFFFFF"/>
              </w:rPr>
              <w:t>ir fiziskajām personām, ja tās saņēmušas sertifikātu attiecīgajiem projektēšanas vai būvdarbu veidiem, kā arī būvniecību reglamentējošos normatīvajos aktos noteiktajā kārtībā reģistrētām juridiskajām personām, kuras nodarbina sertificētu speciālistu attiecīgajā jomā</w:t>
            </w:r>
            <w:r w:rsidR="00460191" w:rsidRPr="00A574D1">
              <w:rPr>
                <w:rFonts w:ascii="Times New Roman" w:hAnsi="Times New Roman" w:cs="Times New Roman"/>
                <w:sz w:val="24"/>
                <w:szCs w:val="24"/>
                <w:shd w:val="clear" w:color="auto" w:fill="FFFFFF"/>
              </w:rPr>
              <w:t>, tad nepieciešams noteikt kā rīkoties, ja līgums par būvekspertīzi ir noslēgts līdz 2016.gada 1.janvārim</w:t>
            </w:r>
            <w:r w:rsidR="00385AF6" w:rsidRPr="00A574D1">
              <w:rPr>
                <w:rFonts w:ascii="Times New Roman" w:hAnsi="Times New Roman" w:cs="Times New Roman"/>
                <w:sz w:val="24"/>
                <w:szCs w:val="24"/>
                <w:shd w:val="clear" w:color="auto" w:fill="FFFFFF"/>
              </w:rPr>
              <w:t xml:space="preserve">. Tāpat, ja jāveic izmainīto būvprojekta daļu ekspertīze, to ir tiesīgs veikt </w:t>
            </w:r>
            <w:proofErr w:type="spellStart"/>
            <w:r w:rsidR="00385AF6" w:rsidRPr="00A574D1">
              <w:rPr>
                <w:rFonts w:ascii="Times New Roman" w:hAnsi="Times New Roman" w:cs="Times New Roman"/>
                <w:sz w:val="24"/>
                <w:szCs w:val="24"/>
                <w:shd w:val="clear" w:color="auto" w:fill="FFFFFF"/>
              </w:rPr>
              <w:t>būvspeciālists</w:t>
            </w:r>
            <w:proofErr w:type="spellEnd"/>
            <w:r w:rsidR="00385AF6" w:rsidRPr="00A574D1">
              <w:rPr>
                <w:rFonts w:ascii="Times New Roman" w:hAnsi="Times New Roman" w:cs="Times New Roman"/>
                <w:sz w:val="24"/>
                <w:szCs w:val="24"/>
                <w:shd w:val="clear" w:color="auto" w:fill="FFFFFF"/>
              </w:rPr>
              <w:t xml:space="preserve">, kurš veica sākotnējo būvprojekta ekspertīzi, ja līgums par būvekspertīzi ir noslēgts līdz 2016.gada 1.janvārim </w:t>
            </w:r>
            <w:r w:rsidR="00460191" w:rsidRPr="00A574D1">
              <w:rPr>
                <w:rFonts w:ascii="Times New Roman" w:hAnsi="Times New Roman" w:cs="Times New Roman"/>
                <w:sz w:val="24"/>
                <w:szCs w:val="24"/>
                <w:shd w:val="clear" w:color="auto" w:fill="FFFFFF"/>
              </w:rPr>
              <w:t xml:space="preserve"> (VBN 173.punkts)</w:t>
            </w:r>
            <w:r w:rsidR="006879DC" w:rsidRPr="00A574D1">
              <w:rPr>
                <w:rFonts w:ascii="Times New Roman" w:hAnsi="Times New Roman" w:cs="Times New Roman"/>
                <w:sz w:val="24"/>
                <w:szCs w:val="24"/>
                <w:shd w:val="clear" w:color="auto" w:fill="FFFFFF"/>
              </w:rPr>
              <w:t>.</w:t>
            </w:r>
          </w:p>
          <w:p w:rsidR="008329D8" w:rsidRPr="00A574D1" w:rsidRDefault="008329D8" w:rsidP="00552CF1">
            <w:pPr>
              <w:pStyle w:val="ListParagraph"/>
              <w:spacing w:after="0" w:line="240" w:lineRule="auto"/>
              <w:ind w:left="57" w:right="57"/>
              <w:jc w:val="both"/>
              <w:rPr>
                <w:rFonts w:ascii="Times New Roman" w:hAnsi="Times New Roman" w:cs="Times New Roman"/>
                <w:sz w:val="12"/>
                <w:szCs w:val="12"/>
              </w:rPr>
            </w:pPr>
          </w:p>
          <w:p w:rsidR="009C70D2" w:rsidRPr="00A574D1" w:rsidRDefault="00241A29" w:rsidP="009C70D2">
            <w:pPr>
              <w:pStyle w:val="PlainText"/>
              <w:ind w:left="57" w:right="57"/>
              <w:jc w:val="both"/>
            </w:pPr>
            <w:r w:rsidRPr="00A574D1">
              <w:rPr>
                <w:rFonts w:eastAsia="Times New Roman"/>
              </w:rPr>
              <w:t>26</w:t>
            </w:r>
            <w:r w:rsidR="009C70D2" w:rsidRPr="00A574D1">
              <w:rPr>
                <w:rFonts w:eastAsia="Times New Roman"/>
              </w:rPr>
              <w:t xml:space="preserve">) </w:t>
            </w:r>
            <w:r w:rsidR="009C70D2" w:rsidRPr="00A574D1">
              <w:t>Valsts vides dienesta izdotie tehniskie noteikumi tiek izdoti laikā, kad ir tikai darbības iecere, proti, iespējami agrākā stadijā. Arī saskaņojums būvprojekta risinājumiem, kas ir noteikts VBN 74.punktā ir līdzeklis, lai iespējami agrākā stadijā novērstu varbūtējas neatbilstības. Bieži praksē ir gadījumi, kad VVD, rakstot atzinumu par būves gatavību ekspluatācijā, konstatē, ka nav ievēroti vides tehniskie noteikumi. Tātad secināms, lai nepieļautu, ka tikai uz būves nodošanu ekspluatācijā tiek konstatēts, ka nav ievēroti vides tehniskie noteikumi, VVD ir jāskaņo būvprojekta risinājumi, kā to dara citas institūcijas, kuras ir izdevušas tehniskos noteikumus.</w:t>
            </w:r>
          </w:p>
          <w:p w:rsidR="009C70D2" w:rsidRPr="00A574D1" w:rsidRDefault="009C70D2" w:rsidP="009C70D2">
            <w:pPr>
              <w:pStyle w:val="PlainText"/>
              <w:ind w:left="57" w:right="57"/>
              <w:jc w:val="both"/>
            </w:pPr>
            <w:r w:rsidRPr="00A574D1">
              <w:rPr>
                <w:rFonts w:eastAsia="Times New Roman"/>
              </w:rPr>
              <w:t>S</w:t>
            </w:r>
            <w:r w:rsidRPr="00A574D1">
              <w:t xml:space="preserve">pēkā esošie Ministru kabineta 2015.gada 27.janvāra noteikumi Nr.30 “Kārtība, kādā Valsts vides dienests izsniedz tehniskos noteikumus paredzētajai darbībai” nenosaka Valsts vides dienestam uzdevumu saskaņot tehnisko noteikumu prasības būvprojekta stadijā, līdz ar to ir papildināts šie noteikumi ar pārejas regulējumu, ka </w:t>
            </w:r>
            <w:r w:rsidRPr="00A574D1">
              <w:rPr>
                <w:i/>
              </w:rPr>
              <w:t>šo noteikumu 74.punktā noteikto pienākumu apstiprināt uz būvprojekta ģenerālā plāna, ka ievērotas tehnisko noteikumu prasības Valsts vides dienests veic ar 2018.gada 1.janvāri.</w:t>
            </w:r>
            <w:r w:rsidRPr="00A574D1">
              <w:t xml:space="preserve"> </w:t>
            </w:r>
          </w:p>
          <w:p w:rsidR="009C70D2" w:rsidRPr="00A574D1" w:rsidRDefault="009C70D2" w:rsidP="009C70D2">
            <w:pPr>
              <w:pStyle w:val="PlainText"/>
              <w:ind w:left="57" w:right="57"/>
              <w:jc w:val="both"/>
            </w:pPr>
            <w:r w:rsidRPr="00A574D1">
              <w:rPr>
                <w:rFonts w:eastAsia="Times New Roman"/>
              </w:rPr>
              <w:lastRenderedPageBreak/>
              <w:t>Lai veiktu šo pienākumu VVD ir jāpiesaista papildus speciālisti, līdz ar to ir nepieciešams papildus finansējums šīs funkcijas veikšanai (VBN 174.punkts)</w:t>
            </w:r>
          </w:p>
          <w:p w:rsidR="009C70D2" w:rsidRPr="00A574D1" w:rsidRDefault="009C70D2" w:rsidP="00552CF1">
            <w:pPr>
              <w:pStyle w:val="ListParagraph"/>
              <w:spacing w:after="0" w:line="240" w:lineRule="auto"/>
              <w:ind w:left="57" w:right="57"/>
              <w:jc w:val="both"/>
              <w:rPr>
                <w:rFonts w:ascii="Times New Roman" w:hAnsi="Times New Roman" w:cs="Times New Roman"/>
                <w:sz w:val="12"/>
                <w:szCs w:val="12"/>
              </w:rPr>
            </w:pPr>
          </w:p>
          <w:p w:rsidR="00C513B2" w:rsidRPr="00A574D1" w:rsidRDefault="00C513B2" w:rsidP="00552CF1">
            <w:pPr>
              <w:pStyle w:val="ListParagraph"/>
              <w:spacing w:after="0" w:line="240" w:lineRule="auto"/>
              <w:ind w:left="57" w:right="57"/>
              <w:jc w:val="both"/>
              <w:rPr>
                <w:rFonts w:ascii="Times New Roman" w:hAnsi="Times New Roman" w:cs="Times New Roman"/>
                <w:i/>
                <w:sz w:val="24"/>
                <w:szCs w:val="24"/>
              </w:rPr>
            </w:pPr>
            <w:r w:rsidRPr="00A574D1">
              <w:rPr>
                <w:rFonts w:ascii="Times New Roman" w:hAnsi="Times New Roman" w:cs="Times New Roman"/>
                <w:sz w:val="24"/>
                <w:szCs w:val="24"/>
              </w:rPr>
              <w:t>2</w:t>
            </w:r>
            <w:r w:rsidR="00241A29" w:rsidRPr="00A574D1">
              <w:rPr>
                <w:rFonts w:ascii="Times New Roman" w:hAnsi="Times New Roman" w:cs="Times New Roman"/>
                <w:sz w:val="24"/>
                <w:szCs w:val="24"/>
              </w:rPr>
              <w:t>7</w:t>
            </w:r>
            <w:r w:rsidRPr="00A574D1">
              <w:rPr>
                <w:rFonts w:ascii="Times New Roman" w:hAnsi="Times New Roman" w:cs="Times New Roman"/>
                <w:sz w:val="24"/>
                <w:szCs w:val="24"/>
              </w:rPr>
              <w:t xml:space="preserve">) 1.pielikums  </w:t>
            </w:r>
            <w:r w:rsidRPr="00A574D1">
              <w:rPr>
                <w:rFonts w:ascii="Times New Roman" w:hAnsi="Times New Roman" w:cs="Times New Roman"/>
                <w:i/>
                <w:sz w:val="24"/>
                <w:szCs w:val="24"/>
              </w:rPr>
              <w:t>Ēku iedalījums grupās</w:t>
            </w:r>
          </w:p>
          <w:p w:rsidR="00C513B2" w:rsidRPr="00A574D1" w:rsidRDefault="00C513B2" w:rsidP="00552CF1">
            <w:pPr>
              <w:pStyle w:val="ListParagraph"/>
              <w:spacing w:after="0" w:line="240" w:lineRule="auto"/>
              <w:ind w:left="57" w:right="57"/>
              <w:jc w:val="both"/>
              <w:rPr>
                <w:rFonts w:ascii="Times New Roman" w:hAnsi="Times New Roman" w:cs="Times New Roman"/>
                <w:sz w:val="24"/>
                <w:szCs w:val="24"/>
              </w:rPr>
            </w:pPr>
            <w:r w:rsidRPr="00A574D1">
              <w:rPr>
                <w:rFonts w:ascii="Times New Roman" w:hAnsi="Times New Roman" w:cs="Times New Roman"/>
                <w:sz w:val="24"/>
                <w:szCs w:val="24"/>
              </w:rPr>
              <w:t>Ņemot vārā, ka būves iedala grupās atkarībā no būvniecības sarežģītības un iespējamās ietekmes uz vidi, ir precizēts, kādas ēkas iekļaujamas III grupā:</w:t>
            </w:r>
          </w:p>
          <w:p w:rsidR="00C513B2" w:rsidRPr="00A574D1" w:rsidRDefault="00C513B2" w:rsidP="00552CF1">
            <w:pPr>
              <w:pStyle w:val="ListParagraph"/>
              <w:numPr>
                <w:ilvl w:val="0"/>
                <w:numId w:val="2"/>
              </w:numPr>
              <w:spacing w:after="0" w:line="240" w:lineRule="auto"/>
              <w:ind w:left="113" w:right="57" w:firstLine="0"/>
              <w:jc w:val="both"/>
              <w:rPr>
                <w:rFonts w:ascii="Times New Roman" w:hAnsi="Times New Roman" w:cs="Times New Roman"/>
                <w:sz w:val="24"/>
                <w:szCs w:val="24"/>
              </w:rPr>
            </w:pPr>
            <w:r w:rsidRPr="00A574D1">
              <w:rPr>
                <w:rFonts w:ascii="Times New Roman" w:hAnsi="Times New Roman" w:cs="Times New Roman"/>
                <w:sz w:val="24"/>
                <w:szCs w:val="24"/>
              </w:rPr>
              <w:t>Rūpnieciskās ražošanas ēkas, kuru kopējā platība ir lielāka par 1000m2, izslēdzot lauksaimnieciskās ražošanas ēkas, jo III grupas ēkām ir nepieciešams izstrādāt ugunsdrošības pasākumu pārskatu, kā arī veikt būvprojekta ekspertīzi, kas nav samērīgi šādām ēkām;</w:t>
            </w:r>
          </w:p>
          <w:p w:rsidR="00C513B2" w:rsidRPr="00A574D1" w:rsidRDefault="00C513B2" w:rsidP="00552CF1">
            <w:pPr>
              <w:pStyle w:val="ListParagraph"/>
              <w:numPr>
                <w:ilvl w:val="0"/>
                <w:numId w:val="2"/>
              </w:numPr>
              <w:spacing w:after="0" w:line="240" w:lineRule="auto"/>
              <w:ind w:left="113" w:right="57" w:firstLine="0"/>
              <w:jc w:val="both"/>
              <w:rPr>
                <w:rFonts w:ascii="Times New Roman" w:hAnsi="Times New Roman" w:cs="Times New Roman"/>
                <w:sz w:val="24"/>
                <w:szCs w:val="24"/>
              </w:rPr>
            </w:pPr>
            <w:r w:rsidRPr="00A574D1">
              <w:rPr>
                <w:rFonts w:ascii="Times New Roman" w:hAnsi="Times New Roman" w:cs="Times New Roman"/>
                <w:sz w:val="24"/>
                <w:szCs w:val="24"/>
              </w:rPr>
              <w:t xml:space="preserve">Noliktavu ēkām ir noteikts papildus kritērijs - </w:t>
            </w:r>
            <w:proofErr w:type="spellStart"/>
            <w:r w:rsidRPr="00A574D1">
              <w:rPr>
                <w:rFonts w:ascii="Times New Roman" w:hAnsi="Times New Roman" w:cs="Times New Roman"/>
                <w:sz w:val="24"/>
                <w:szCs w:val="24"/>
              </w:rPr>
              <w:t>ugunsslodze</w:t>
            </w:r>
            <w:proofErr w:type="spellEnd"/>
            <w:r w:rsidRPr="00A574D1">
              <w:rPr>
                <w:rFonts w:ascii="Times New Roman" w:hAnsi="Times New Roman" w:cs="Times New Roman"/>
                <w:sz w:val="24"/>
                <w:szCs w:val="24"/>
              </w:rPr>
              <w:t xml:space="preserve"> virs  600 MJ/m</w:t>
            </w:r>
            <w:r w:rsidRPr="00A574D1">
              <w:rPr>
                <w:rFonts w:ascii="Times New Roman" w:hAnsi="Times New Roman" w:cs="Times New Roman"/>
                <w:sz w:val="24"/>
                <w:szCs w:val="24"/>
                <w:vertAlign w:val="superscript"/>
              </w:rPr>
              <w:t>2</w:t>
            </w:r>
            <w:r w:rsidRPr="00A574D1">
              <w:rPr>
                <w:rFonts w:ascii="Times New Roman" w:hAnsi="Times New Roman" w:cs="Times New Roman"/>
                <w:sz w:val="24"/>
                <w:szCs w:val="24"/>
              </w:rPr>
              <w:t xml:space="preserve">, tā kā palielināta </w:t>
            </w:r>
            <w:proofErr w:type="spellStart"/>
            <w:r w:rsidRPr="00A574D1">
              <w:rPr>
                <w:rFonts w:ascii="Times New Roman" w:hAnsi="Times New Roman" w:cs="Times New Roman"/>
                <w:sz w:val="24"/>
                <w:szCs w:val="24"/>
              </w:rPr>
              <w:t>ugunsslodze</w:t>
            </w:r>
            <w:proofErr w:type="spellEnd"/>
            <w:r w:rsidRPr="00A574D1">
              <w:rPr>
                <w:rFonts w:ascii="Times New Roman" w:hAnsi="Times New Roman" w:cs="Times New Roman"/>
                <w:sz w:val="24"/>
                <w:szCs w:val="24"/>
              </w:rPr>
              <w:t xml:space="preserve"> rada ugunsbīstamību un būtu jāveic papildus ugunsdrošības pasākumi, t.sk. jāizstrādā ugunsdrošības pasākumu pārskats;</w:t>
            </w:r>
          </w:p>
          <w:p w:rsidR="00C513B2" w:rsidRPr="00A574D1" w:rsidRDefault="00C513B2" w:rsidP="00552CF1">
            <w:pPr>
              <w:pStyle w:val="ListParagraph"/>
              <w:numPr>
                <w:ilvl w:val="0"/>
                <w:numId w:val="2"/>
              </w:numPr>
              <w:spacing w:after="0" w:line="240" w:lineRule="auto"/>
              <w:ind w:left="113" w:right="57" w:firstLine="0"/>
              <w:jc w:val="both"/>
              <w:rPr>
                <w:rFonts w:ascii="Times New Roman" w:hAnsi="Times New Roman" w:cs="Times New Roman"/>
                <w:sz w:val="24"/>
                <w:szCs w:val="24"/>
              </w:rPr>
            </w:pPr>
            <w:r w:rsidRPr="00A574D1">
              <w:rPr>
                <w:rFonts w:ascii="Times New Roman" w:hAnsi="Times New Roman" w:cs="Times New Roman"/>
                <w:sz w:val="24"/>
                <w:szCs w:val="24"/>
              </w:rPr>
              <w:t xml:space="preserve">Papildus noteikts, ka ēka šķidru, gāzveida vielu vai beramu materiālu uzglabāšanai, pārkraušanai vai pārstrādei ar </w:t>
            </w:r>
            <w:proofErr w:type="spellStart"/>
            <w:r w:rsidRPr="00A574D1">
              <w:rPr>
                <w:rFonts w:ascii="Times New Roman" w:hAnsi="Times New Roman" w:cs="Times New Roman"/>
                <w:sz w:val="24"/>
                <w:szCs w:val="24"/>
              </w:rPr>
              <w:t>būvtilpumu</w:t>
            </w:r>
            <w:proofErr w:type="spellEnd"/>
            <w:r w:rsidRPr="00A574D1">
              <w:rPr>
                <w:rFonts w:ascii="Times New Roman" w:hAnsi="Times New Roman" w:cs="Times New Roman"/>
                <w:sz w:val="24"/>
                <w:szCs w:val="24"/>
              </w:rPr>
              <w:t xml:space="preserve"> virs 5000 m</w:t>
            </w:r>
            <w:r w:rsidRPr="00A574D1">
              <w:rPr>
                <w:rFonts w:ascii="Times New Roman" w:hAnsi="Times New Roman" w:cs="Times New Roman"/>
                <w:sz w:val="24"/>
                <w:szCs w:val="24"/>
                <w:vertAlign w:val="superscript"/>
              </w:rPr>
              <w:t>3</w:t>
            </w:r>
            <w:r w:rsidRPr="00A574D1">
              <w:rPr>
                <w:rFonts w:ascii="Times New Roman" w:hAnsi="Times New Roman" w:cs="Times New Roman"/>
                <w:sz w:val="24"/>
                <w:szCs w:val="24"/>
              </w:rPr>
              <w:t xml:space="preserve"> var būt arī rezervuārs</w:t>
            </w:r>
            <w:r w:rsidR="008329D8" w:rsidRPr="00A574D1">
              <w:rPr>
                <w:rFonts w:ascii="Times New Roman" w:hAnsi="Times New Roman" w:cs="Times New Roman"/>
                <w:sz w:val="24"/>
                <w:szCs w:val="24"/>
              </w:rPr>
              <w:t>;</w:t>
            </w:r>
          </w:p>
          <w:p w:rsidR="0061069C" w:rsidRPr="00A574D1" w:rsidRDefault="0061069C" w:rsidP="00552CF1">
            <w:pPr>
              <w:pStyle w:val="ListParagraph"/>
              <w:spacing w:after="0" w:line="240" w:lineRule="auto"/>
              <w:ind w:left="113" w:right="57"/>
              <w:jc w:val="both"/>
              <w:rPr>
                <w:rFonts w:ascii="Times New Roman" w:hAnsi="Times New Roman" w:cs="Times New Roman"/>
                <w:sz w:val="12"/>
                <w:szCs w:val="12"/>
              </w:rPr>
            </w:pPr>
          </w:p>
          <w:p w:rsidR="00C513B2" w:rsidRPr="00A574D1" w:rsidRDefault="00C513B2" w:rsidP="00552CF1">
            <w:pPr>
              <w:pStyle w:val="ListParagraph"/>
              <w:spacing w:after="0" w:line="240" w:lineRule="auto"/>
              <w:ind w:left="113" w:right="57"/>
              <w:jc w:val="both"/>
              <w:rPr>
                <w:rFonts w:ascii="Times New Roman" w:hAnsi="Times New Roman" w:cs="Times New Roman"/>
                <w:i/>
                <w:sz w:val="24"/>
                <w:szCs w:val="24"/>
              </w:rPr>
            </w:pPr>
            <w:r w:rsidRPr="00A574D1">
              <w:rPr>
                <w:rFonts w:ascii="Times New Roman" w:hAnsi="Times New Roman" w:cs="Times New Roman"/>
                <w:sz w:val="24"/>
                <w:szCs w:val="24"/>
              </w:rPr>
              <w:t>2</w:t>
            </w:r>
            <w:r w:rsidR="00241A29" w:rsidRPr="00A574D1">
              <w:rPr>
                <w:rFonts w:ascii="Times New Roman" w:hAnsi="Times New Roman" w:cs="Times New Roman"/>
                <w:sz w:val="24"/>
                <w:szCs w:val="24"/>
              </w:rPr>
              <w:t>8</w:t>
            </w:r>
            <w:r w:rsidRPr="00A574D1">
              <w:rPr>
                <w:rFonts w:ascii="Times New Roman" w:hAnsi="Times New Roman" w:cs="Times New Roman"/>
                <w:sz w:val="24"/>
                <w:szCs w:val="24"/>
              </w:rPr>
              <w:t>) 1.pielikums</w:t>
            </w:r>
            <w:r w:rsidRPr="00A574D1">
              <w:rPr>
                <w:rFonts w:ascii="Times New Roman" w:hAnsi="Times New Roman" w:cs="Times New Roman"/>
                <w:i/>
                <w:sz w:val="24"/>
                <w:szCs w:val="24"/>
              </w:rPr>
              <w:t xml:space="preserve"> Inženierbūvju iedalījums grupās:</w:t>
            </w:r>
          </w:p>
          <w:p w:rsidR="00C513B2" w:rsidRPr="00A574D1" w:rsidRDefault="00C513B2" w:rsidP="00552CF1">
            <w:pPr>
              <w:pStyle w:val="naisc"/>
              <w:spacing w:before="0" w:after="0"/>
              <w:ind w:left="57" w:right="57"/>
              <w:jc w:val="both"/>
            </w:pPr>
            <w:r w:rsidRPr="00A574D1">
              <w:rPr>
                <w:i/>
              </w:rPr>
              <w:t>- autoceļi un ielas</w:t>
            </w:r>
          </w:p>
          <w:p w:rsidR="00A907C4" w:rsidRPr="00A574D1" w:rsidRDefault="00C513B2" w:rsidP="00552CF1">
            <w:pPr>
              <w:pStyle w:val="naisc"/>
              <w:spacing w:before="0" w:after="0"/>
              <w:ind w:left="57" w:right="57"/>
              <w:jc w:val="both"/>
            </w:pPr>
            <w:r w:rsidRPr="00A574D1">
              <w:t>a)N</w:t>
            </w:r>
            <w:r w:rsidRPr="00A574D1">
              <w:rPr>
                <w:bCs/>
              </w:rPr>
              <w:t>oteikts, ka I grupas būve ir māju ceļš, neskatoties, cik īpašumus tas skars; izņemot, ja māju ceļš pieslēdzas valsts au</w:t>
            </w:r>
            <w:r w:rsidR="00A907C4" w:rsidRPr="00A574D1">
              <w:rPr>
                <w:bCs/>
              </w:rPr>
              <w:t xml:space="preserve">toceļam, kā arī satiksmes organizācijas un kontroles (uzraudzības) tehniskie līdzekļi, </w:t>
            </w:r>
            <w:r w:rsidR="00A907C4" w:rsidRPr="00A574D1">
              <w:t xml:space="preserve">ja to izbūve vai uzstādīšana paredzēta kā atsevišķs projekts (nav iekļauts autoceļu projekta sastāvā); </w:t>
            </w:r>
          </w:p>
          <w:p w:rsidR="00C513B2" w:rsidRPr="00A574D1" w:rsidRDefault="00C513B2" w:rsidP="00552CF1">
            <w:pPr>
              <w:pStyle w:val="naisc"/>
              <w:spacing w:before="0" w:after="0"/>
              <w:ind w:left="57" w:right="57"/>
              <w:jc w:val="both"/>
              <w:rPr>
                <w:bCs/>
              </w:rPr>
            </w:pPr>
            <w:r w:rsidRPr="00A574D1">
              <w:t>b) N</w:t>
            </w:r>
            <w:r w:rsidRPr="00A574D1">
              <w:rPr>
                <w:bCs/>
              </w:rPr>
              <w:t>o bīstamības ir svarīgs tilta laidums, kā arī ceļu šķērsojošās caurtekas ailas platums, līdz ar to III grupā ir  noteikti šie lielumi;</w:t>
            </w:r>
          </w:p>
          <w:p w:rsidR="0061069C" w:rsidRPr="00A574D1" w:rsidRDefault="0061069C" w:rsidP="00552CF1">
            <w:pPr>
              <w:pStyle w:val="naisc"/>
              <w:spacing w:before="0" w:after="0"/>
              <w:ind w:left="57" w:right="57"/>
              <w:jc w:val="both"/>
              <w:rPr>
                <w:bCs/>
                <w:sz w:val="12"/>
                <w:szCs w:val="12"/>
              </w:rPr>
            </w:pPr>
          </w:p>
          <w:p w:rsidR="00C513B2" w:rsidRPr="00A574D1" w:rsidRDefault="00241A29" w:rsidP="00552CF1">
            <w:pPr>
              <w:pStyle w:val="naisc"/>
              <w:spacing w:before="0" w:after="0"/>
              <w:ind w:left="57" w:right="57"/>
              <w:jc w:val="both"/>
              <w:rPr>
                <w:i/>
              </w:rPr>
            </w:pPr>
            <w:r w:rsidRPr="00A574D1">
              <w:rPr>
                <w:bCs/>
              </w:rPr>
              <w:t>29</w:t>
            </w:r>
            <w:r w:rsidR="00C513B2" w:rsidRPr="00A574D1">
              <w:rPr>
                <w:bCs/>
              </w:rPr>
              <w:t>) </w:t>
            </w:r>
            <w:r w:rsidR="00C513B2" w:rsidRPr="00A574D1">
              <w:rPr>
                <w:i/>
              </w:rPr>
              <w:t>Ostu hidrotehnisko, siltumenerģijas, gāzes un citas, atsevišķi neklasificētas, inženierbūves:</w:t>
            </w:r>
          </w:p>
          <w:p w:rsidR="00C513B2" w:rsidRPr="00A574D1" w:rsidRDefault="00C513B2" w:rsidP="00552CF1">
            <w:pPr>
              <w:spacing w:after="0" w:line="240" w:lineRule="auto"/>
              <w:ind w:left="57" w:right="57"/>
              <w:jc w:val="both"/>
              <w:rPr>
                <w:rFonts w:ascii="Times New Roman" w:hAnsi="Times New Roman" w:cs="Times New Roman"/>
                <w:sz w:val="24"/>
                <w:szCs w:val="24"/>
                <w:lang w:eastAsia="lv-LV"/>
              </w:rPr>
            </w:pPr>
            <w:r w:rsidRPr="00A574D1">
              <w:rPr>
                <w:rFonts w:ascii="Times New Roman" w:hAnsi="Times New Roman" w:cs="Times New Roman"/>
                <w:sz w:val="24"/>
                <w:szCs w:val="24"/>
                <w:lang w:eastAsia="lv-LV"/>
              </w:rPr>
              <w:t>a)precizētas I grupas būves, ņemot vērā šādu būvju būvniecības sarežģītību un iespējamo ietekmi uz vidi, jo līdzīgas būves jau šobrīd ir iekļautas I grupā:</w:t>
            </w:r>
          </w:p>
          <w:p w:rsidR="00C513B2" w:rsidRPr="00A574D1" w:rsidRDefault="00C513B2" w:rsidP="00552CF1">
            <w:pPr>
              <w:spacing w:after="0" w:line="240" w:lineRule="auto"/>
              <w:ind w:left="57" w:right="57"/>
              <w:jc w:val="both"/>
              <w:rPr>
                <w:rFonts w:ascii="Times New Roman" w:hAnsi="Times New Roman" w:cs="Times New Roman"/>
                <w:i/>
                <w:sz w:val="24"/>
                <w:szCs w:val="24"/>
                <w:lang w:eastAsia="lv-LV"/>
              </w:rPr>
            </w:pPr>
            <w:r w:rsidRPr="00A574D1">
              <w:rPr>
                <w:rFonts w:ascii="Times New Roman" w:hAnsi="Times New Roman" w:cs="Times New Roman"/>
                <w:i/>
                <w:sz w:val="24"/>
                <w:szCs w:val="24"/>
                <w:lang w:eastAsia="lv-LV"/>
              </w:rPr>
              <w:t>gājēju tiltiņš; sporta laukums ar segumu;</w:t>
            </w:r>
            <w:r w:rsidRPr="00A574D1">
              <w:rPr>
                <w:rFonts w:ascii="Times New Roman" w:eastAsia="Times New Roman" w:hAnsi="Times New Roman" w:cs="Times New Roman"/>
                <w:bCs/>
                <w:sz w:val="24"/>
                <w:szCs w:val="24"/>
                <w:lang w:eastAsia="lv-LV"/>
              </w:rPr>
              <w:t xml:space="preserve"> g</w:t>
            </w:r>
            <w:r w:rsidRPr="00A574D1">
              <w:rPr>
                <w:rFonts w:ascii="Times New Roman" w:hAnsi="Times New Roman" w:cs="Times New Roman"/>
                <w:bCs/>
                <w:i/>
                <w:sz w:val="24"/>
                <w:szCs w:val="24"/>
                <w:lang w:eastAsia="lv-LV"/>
              </w:rPr>
              <w:t xml:space="preserve">ājēju ceļš,  </w:t>
            </w:r>
            <w:proofErr w:type="spellStart"/>
            <w:r w:rsidRPr="00A574D1">
              <w:rPr>
                <w:rFonts w:ascii="Times New Roman" w:hAnsi="Times New Roman" w:cs="Times New Roman"/>
                <w:bCs/>
                <w:i/>
                <w:sz w:val="24"/>
                <w:szCs w:val="24"/>
                <w:lang w:eastAsia="lv-LV"/>
              </w:rPr>
              <w:t>veloceļš</w:t>
            </w:r>
            <w:proofErr w:type="spellEnd"/>
            <w:r w:rsidRPr="00A574D1">
              <w:rPr>
                <w:rFonts w:ascii="Times New Roman" w:hAnsi="Times New Roman" w:cs="Times New Roman"/>
                <w:bCs/>
                <w:i/>
                <w:sz w:val="24"/>
                <w:szCs w:val="24"/>
                <w:lang w:eastAsia="lv-LV"/>
              </w:rPr>
              <w:t>, labiekārtots laukums ar segumu (betona, šķembu u.c.) bez inženiertīkliem, a</w:t>
            </w:r>
            <w:r w:rsidRPr="00A574D1">
              <w:rPr>
                <w:rFonts w:ascii="Times New Roman" w:hAnsi="Times New Roman" w:cs="Times New Roman"/>
                <w:i/>
                <w:sz w:val="24"/>
                <w:szCs w:val="24"/>
                <w:lang w:eastAsia="lv-LV"/>
              </w:rPr>
              <w:t xml:space="preserve">votu </w:t>
            </w:r>
            <w:proofErr w:type="spellStart"/>
            <w:r w:rsidRPr="00A574D1">
              <w:rPr>
                <w:rFonts w:ascii="Times New Roman" w:hAnsi="Times New Roman" w:cs="Times New Roman"/>
                <w:i/>
                <w:sz w:val="24"/>
                <w:szCs w:val="24"/>
                <w:lang w:eastAsia="lv-LV"/>
              </w:rPr>
              <w:t>kaptāža</w:t>
            </w:r>
            <w:proofErr w:type="spellEnd"/>
            <w:r w:rsidRPr="00A574D1">
              <w:rPr>
                <w:rFonts w:ascii="Times New Roman" w:hAnsi="Times New Roman" w:cs="Times New Roman"/>
                <w:i/>
                <w:sz w:val="24"/>
                <w:szCs w:val="24"/>
                <w:lang w:eastAsia="lv-LV"/>
              </w:rPr>
              <w:t>, grodu aka un ūdens ieguves urbums dziļumā līdz 20 m, tornis vai masts līdz 10 m</w:t>
            </w:r>
            <w:r w:rsidR="00A907C4" w:rsidRPr="00A574D1">
              <w:rPr>
                <w:rFonts w:ascii="Times New Roman" w:hAnsi="Times New Roman" w:cs="Times New Roman"/>
                <w:i/>
                <w:sz w:val="24"/>
                <w:szCs w:val="24"/>
                <w:lang w:eastAsia="lv-LV"/>
              </w:rPr>
              <w:t xml:space="preserve">; </w:t>
            </w:r>
          </w:p>
          <w:p w:rsidR="00C513B2" w:rsidRPr="00A574D1" w:rsidRDefault="00C513B2" w:rsidP="00552CF1">
            <w:pPr>
              <w:spacing w:after="0" w:line="240" w:lineRule="auto"/>
              <w:ind w:left="57" w:right="57"/>
              <w:jc w:val="both"/>
              <w:rPr>
                <w:rFonts w:ascii="Times New Roman" w:hAnsi="Times New Roman" w:cs="Times New Roman"/>
                <w:bCs/>
                <w:sz w:val="24"/>
                <w:szCs w:val="24"/>
              </w:rPr>
            </w:pPr>
            <w:r w:rsidRPr="00A574D1">
              <w:rPr>
                <w:rFonts w:ascii="Times New Roman" w:hAnsi="Times New Roman" w:cs="Times New Roman"/>
                <w:i/>
                <w:sz w:val="24"/>
                <w:szCs w:val="24"/>
                <w:lang w:eastAsia="lv-LV"/>
              </w:rPr>
              <w:t xml:space="preserve"> </w:t>
            </w:r>
            <w:r w:rsidRPr="00A574D1">
              <w:rPr>
                <w:rFonts w:ascii="Times New Roman" w:hAnsi="Times New Roman" w:cs="Times New Roman"/>
                <w:sz w:val="24"/>
                <w:szCs w:val="24"/>
                <w:lang w:eastAsia="lv-LV"/>
              </w:rPr>
              <w:t>b) III grupā ir iekļautas inženierbūves, kuras var ietekmēt vidi un šī ietekme ir būtiska –</w:t>
            </w:r>
            <w:r w:rsidRPr="00A574D1">
              <w:rPr>
                <w:rFonts w:ascii="Times New Roman" w:hAnsi="Times New Roman" w:cs="Times New Roman"/>
                <w:sz w:val="24"/>
                <w:szCs w:val="24"/>
              </w:rPr>
              <w:t xml:space="preserve"> Pasažieru kuģu piestātne, osta vai piestātne, kas paredzēta kravu pārkraušanai, ja tās var apkalpot kuģus kuru bruto tilpība ir 1000 un lielāka. Punkts ir izteikts, ievērojot </w:t>
            </w:r>
            <w:r w:rsidRPr="00A574D1">
              <w:rPr>
                <w:rFonts w:ascii="Times New Roman" w:hAnsi="Times New Roman" w:cs="Times New Roman"/>
                <w:bCs/>
                <w:sz w:val="24"/>
                <w:szCs w:val="24"/>
              </w:rPr>
              <w:t>Jūrlietu pārvaldes un jūras drošības likumā lietoto terminoloģiju.</w:t>
            </w:r>
          </w:p>
          <w:p w:rsidR="00C513B2" w:rsidRPr="00A574D1" w:rsidRDefault="00C513B2" w:rsidP="00552CF1">
            <w:pPr>
              <w:spacing w:after="0" w:line="240" w:lineRule="auto"/>
              <w:ind w:left="57" w:right="57"/>
              <w:jc w:val="both"/>
              <w:rPr>
                <w:rFonts w:ascii="Times New Roman" w:hAnsi="Times New Roman" w:cs="Times New Roman"/>
                <w:sz w:val="24"/>
                <w:szCs w:val="24"/>
              </w:rPr>
            </w:pPr>
            <w:r w:rsidRPr="00A574D1">
              <w:rPr>
                <w:rFonts w:ascii="Times New Roman" w:hAnsi="Times New Roman" w:cs="Times New Roman"/>
                <w:sz w:val="24"/>
                <w:szCs w:val="24"/>
              </w:rPr>
              <w:t xml:space="preserve">c)tā kā inženierbūvju iedalījumā grupās vispār nebija minētas gāzes pārvades un uzglabāšanas sistēmas, tad ir </w:t>
            </w:r>
            <w:r w:rsidRPr="00A574D1">
              <w:rPr>
                <w:rFonts w:ascii="Times New Roman" w:hAnsi="Times New Roman" w:cs="Times New Roman"/>
                <w:sz w:val="24"/>
                <w:szCs w:val="24"/>
              </w:rPr>
              <w:lastRenderedPageBreak/>
              <w:t xml:space="preserve">šādas sistēmas ar darba spiedienu virs 1,6 </w:t>
            </w:r>
            <w:proofErr w:type="spellStart"/>
            <w:r w:rsidRPr="00A574D1">
              <w:rPr>
                <w:rFonts w:ascii="Times New Roman" w:hAnsi="Times New Roman" w:cs="Times New Roman"/>
                <w:sz w:val="24"/>
                <w:szCs w:val="24"/>
              </w:rPr>
              <w:t>MPa</w:t>
            </w:r>
            <w:proofErr w:type="spellEnd"/>
            <w:r w:rsidRPr="00A574D1">
              <w:rPr>
                <w:rFonts w:ascii="Times New Roman" w:hAnsi="Times New Roman" w:cs="Times New Roman"/>
                <w:sz w:val="24"/>
                <w:szCs w:val="24"/>
              </w:rPr>
              <w:t xml:space="preserve"> iekļautas III grupā;</w:t>
            </w:r>
          </w:p>
          <w:p w:rsidR="00C513B2" w:rsidRPr="00A574D1" w:rsidRDefault="00C513B2" w:rsidP="00552CF1">
            <w:pPr>
              <w:spacing w:after="0" w:line="240" w:lineRule="auto"/>
              <w:ind w:left="57" w:right="57"/>
              <w:jc w:val="both"/>
              <w:rPr>
                <w:rFonts w:ascii="Times New Roman" w:hAnsi="Times New Roman" w:cs="Times New Roman"/>
                <w:sz w:val="24"/>
                <w:szCs w:val="24"/>
              </w:rPr>
            </w:pPr>
            <w:r w:rsidRPr="00A574D1">
              <w:rPr>
                <w:rFonts w:ascii="Times New Roman" w:hAnsi="Times New Roman" w:cs="Times New Roman"/>
                <w:sz w:val="24"/>
                <w:szCs w:val="24"/>
              </w:rPr>
              <w:t>d) aizstāts termins „maģistrāle” ar būvniecības normatīvajos aktos lietoto terminu „tīkls”;</w:t>
            </w:r>
          </w:p>
          <w:p w:rsidR="00C513B2" w:rsidRPr="00A574D1" w:rsidRDefault="00C513B2" w:rsidP="00552CF1">
            <w:pPr>
              <w:spacing w:after="0" w:line="240" w:lineRule="auto"/>
              <w:ind w:left="57" w:right="57"/>
              <w:jc w:val="both"/>
              <w:rPr>
                <w:rFonts w:ascii="Times New Roman" w:hAnsi="Times New Roman" w:cs="Times New Roman"/>
                <w:sz w:val="24"/>
                <w:szCs w:val="24"/>
                <w:lang w:eastAsia="lv-LV"/>
              </w:rPr>
            </w:pPr>
            <w:r w:rsidRPr="00A574D1">
              <w:rPr>
                <w:rFonts w:ascii="Times New Roman" w:hAnsi="Times New Roman" w:cs="Times New Roman"/>
                <w:sz w:val="24"/>
                <w:szCs w:val="24"/>
              </w:rPr>
              <w:t>e) skaidrojošajās piezīmēs ir noteikts, ka i</w:t>
            </w:r>
            <w:r w:rsidRPr="00A574D1">
              <w:rPr>
                <w:rFonts w:ascii="Times New Roman" w:hAnsi="Times New Roman" w:cs="Times New Roman"/>
                <w:sz w:val="24"/>
                <w:szCs w:val="24"/>
                <w:lang w:eastAsia="lv-LV"/>
              </w:rPr>
              <w:t>ekšējo inženiertīklu būvniecībai piemēro attiecīgajos speciālajos būvnoteikumos noteikto būvniecības procesu, līdz ar to iekšējie inženiertīkli iedalījumā grupās nav norādīti;</w:t>
            </w:r>
          </w:p>
          <w:p w:rsidR="00C513B2" w:rsidRPr="00A574D1" w:rsidRDefault="00C513B2" w:rsidP="00552CF1">
            <w:pPr>
              <w:spacing w:after="0" w:line="240" w:lineRule="auto"/>
              <w:ind w:left="57" w:right="57"/>
              <w:jc w:val="both"/>
              <w:rPr>
                <w:rFonts w:ascii="Times New Roman" w:hAnsi="Times New Roman" w:cs="Times New Roman"/>
                <w:sz w:val="24"/>
                <w:szCs w:val="24"/>
                <w:lang w:eastAsia="lv-LV"/>
              </w:rPr>
            </w:pPr>
            <w:r w:rsidRPr="00A574D1">
              <w:rPr>
                <w:rFonts w:ascii="Times New Roman" w:hAnsi="Times New Roman" w:cs="Times New Roman"/>
                <w:sz w:val="24"/>
                <w:szCs w:val="24"/>
                <w:lang w:eastAsia="lv-LV"/>
              </w:rPr>
              <w:t>f) </w:t>
            </w:r>
            <w:r w:rsidRPr="00A574D1">
              <w:rPr>
                <w:rFonts w:ascii="Times New Roman" w:hAnsi="Times New Roman" w:cs="Times New Roman"/>
                <w:sz w:val="24"/>
                <w:szCs w:val="24"/>
              </w:rPr>
              <w:t xml:space="preserve">skaidrojošajās piezīmēs ir noteikts, ka būvniecības ieceres dokumentācija nav nepieciešama </w:t>
            </w:r>
            <w:r w:rsidRPr="00A574D1">
              <w:rPr>
                <w:rFonts w:ascii="Times New Roman" w:hAnsi="Times New Roman" w:cs="Times New Roman"/>
                <w:sz w:val="24"/>
                <w:szCs w:val="24"/>
                <w:lang w:eastAsia="lv-LV"/>
              </w:rPr>
              <w:t xml:space="preserve">stacionāro reklāmas un informācijas stendu novietošanai (ar vai bez gaisvada elektrības </w:t>
            </w:r>
            <w:proofErr w:type="spellStart"/>
            <w:r w:rsidRPr="00A574D1">
              <w:rPr>
                <w:rFonts w:ascii="Times New Roman" w:hAnsi="Times New Roman" w:cs="Times New Roman"/>
                <w:sz w:val="24"/>
                <w:szCs w:val="24"/>
                <w:lang w:eastAsia="lv-LV"/>
              </w:rPr>
              <w:t>pieslēguma</w:t>
            </w:r>
            <w:proofErr w:type="spellEnd"/>
            <w:r w:rsidRPr="00A574D1">
              <w:rPr>
                <w:rFonts w:ascii="Times New Roman" w:hAnsi="Times New Roman" w:cs="Times New Roman"/>
                <w:sz w:val="24"/>
                <w:szCs w:val="24"/>
                <w:lang w:eastAsia="lv-LV"/>
              </w:rPr>
              <w:t xml:space="preserve"> līdz 5 m,, kur telpisko reklāmas objektu (apaļi vai </w:t>
            </w:r>
            <w:proofErr w:type="spellStart"/>
            <w:r w:rsidRPr="00A574D1">
              <w:rPr>
                <w:rFonts w:ascii="Times New Roman" w:hAnsi="Times New Roman" w:cs="Times New Roman"/>
                <w:sz w:val="24"/>
                <w:szCs w:val="24"/>
                <w:lang w:eastAsia="lv-LV"/>
              </w:rPr>
              <w:t>trīsplakņu</w:t>
            </w:r>
            <w:proofErr w:type="spellEnd"/>
            <w:r w:rsidRPr="00A574D1">
              <w:rPr>
                <w:rFonts w:ascii="Times New Roman" w:hAnsi="Times New Roman" w:cs="Times New Roman"/>
                <w:sz w:val="24"/>
                <w:szCs w:val="24"/>
                <w:lang w:eastAsia="lv-LV"/>
              </w:rPr>
              <w:t xml:space="preserve"> piloni, citi figurāli objekti) izmēri nepārsniedz 2 m šķērsgriezumā un 4,5 m augstumā, bet vienpusējo un divpusējo reklāmas objektu izmēri – 5 m platumā un 6 m augstumā, un to veic saskaņā ar normatīvajiem aktiem, kas regulē reklāmas objekta izvietošanu ar piesaisti zemei. </w:t>
            </w:r>
          </w:p>
          <w:p w:rsidR="00980AA7" w:rsidRPr="00A574D1" w:rsidRDefault="00C513B2" w:rsidP="00980AA7">
            <w:pPr>
              <w:spacing w:after="0" w:line="240" w:lineRule="auto"/>
              <w:ind w:left="57" w:right="57"/>
              <w:jc w:val="both"/>
              <w:rPr>
                <w:rFonts w:ascii="Times New Roman" w:hAnsi="Times New Roman" w:cs="Times New Roman"/>
                <w:sz w:val="24"/>
                <w:szCs w:val="24"/>
                <w:lang w:eastAsia="lv-LV"/>
              </w:rPr>
            </w:pPr>
            <w:r w:rsidRPr="00A574D1">
              <w:rPr>
                <w:rFonts w:ascii="Times New Roman" w:hAnsi="Times New Roman" w:cs="Times New Roman"/>
                <w:sz w:val="24"/>
                <w:szCs w:val="24"/>
                <w:lang w:eastAsia="lv-LV"/>
              </w:rPr>
              <w:t>Ar stacionāriem reklāmas objektiem saprot objektus, kuriem ir izbūvēti pamati vai pamatne, savukārt stacionāru reklāmas objektu novietošanai (pamati līdz 30 cm) nav jāpiemēro būvniecības regulējums, bet to var veikt saskaņā ar  normatīvajiem aktiem, kas regulē reklāmas objekta izvietošanu ar piesaisti zemei.</w:t>
            </w:r>
            <w:r w:rsidR="00980AA7" w:rsidRPr="00A574D1">
              <w:rPr>
                <w:rFonts w:ascii="Times New Roman" w:hAnsi="Times New Roman" w:cs="Times New Roman"/>
                <w:sz w:val="24"/>
                <w:szCs w:val="24"/>
                <w:lang w:eastAsia="lv-LV"/>
              </w:rPr>
              <w:t xml:space="preserve"> Līdz ar to, arī šādu reklāmas objektu nojaukšanai nebūs jāpiemēro speciālie būvnoteikumi.</w:t>
            </w:r>
          </w:p>
          <w:p w:rsidR="00C513B2" w:rsidRPr="00A574D1" w:rsidRDefault="00C513B2" w:rsidP="00552CF1">
            <w:pPr>
              <w:spacing w:after="0" w:line="240" w:lineRule="auto"/>
              <w:ind w:left="57" w:right="57"/>
              <w:jc w:val="both"/>
              <w:rPr>
                <w:rFonts w:ascii="Times New Roman" w:hAnsi="Times New Roman" w:cs="Times New Roman"/>
                <w:sz w:val="12"/>
                <w:szCs w:val="12"/>
                <w:lang w:eastAsia="lv-LV"/>
              </w:rPr>
            </w:pPr>
          </w:p>
          <w:p w:rsidR="00C513B2" w:rsidRPr="00A574D1" w:rsidRDefault="00A83693" w:rsidP="00552CF1">
            <w:pPr>
              <w:spacing w:after="0" w:line="240" w:lineRule="auto"/>
              <w:ind w:left="57" w:right="57"/>
              <w:jc w:val="both"/>
              <w:rPr>
                <w:rFonts w:ascii="Times New Roman" w:hAnsi="Times New Roman" w:cs="Times New Roman"/>
                <w:sz w:val="24"/>
                <w:szCs w:val="24"/>
              </w:rPr>
            </w:pPr>
            <w:r w:rsidRPr="00A574D1">
              <w:rPr>
                <w:rFonts w:ascii="Times New Roman" w:hAnsi="Times New Roman" w:cs="Times New Roman"/>
                <w:sz w:val="24"/>
                <w:szCs w:val="24"/>
                <w:lang w:eastAsia="lv-LV"/>
              </w:rPr>
              <w:t>3</w:t>
            </w:r>
            <w:r w:rsidR="00241A29" w:rsidRPr="00A574D1">
              <w:rPr>
                <w:rFonts w:ascii="Times New Roman" w:hAnsi="Times New Roman" w:cs="Times New Roman"/>
                <w:sz w:val="24"/>
                <w:szCs w:val="24"/>
                <w:lang w:eastAsia="lv-LV"/>
              </w:rPr>
              <w:t>0</w:t>
            </w:r>
            <w:r w:rsidR="00C513B2" w:rsidRPr="00A574D1">
              <w:rPr>
                <w:rFonts w:ascii="Times New Roman" w:hAnsi="Times New Roman" w:cs="Times New Roman"/>
                <w:sz w:val="24"/>
                <w:szCs w:val="24"/>
                <w:lang w:eastAsia="lv-LV"/>
              </w:rPr>
              <w:t>) 5.pielikums,  Būvdarbu žurnāla norādāmajās ziņās ir noteikts, ka l</w:t>
            </w:r>
            <w:r w:rsidR="00C513B2" w:rsidRPr="00A574D1">
              <w:rPr>
                <w:rFonts w:ascii="Times New Roman" w:hAnsi="Times New Roman" w:cs="Times New Roman"/>
                <w:i/>
                <w:sz w:val="24"/>
                <w:szCs w:val="24"/>
              </w:rPr>
              <w:t xml:space="preserve">ai veiktu darbus īpašos laikapstākļos (piemēram, betonēšana ziemas apstākļos), darbu organizācijas projektā izstrādā tehnoloģiskās shēmas. </w:t>
            </w:r>
            <w:r w:rsidR="00C513B2" w:rsidRPr="00A574D1">
              <w:rPr>
                <w:rFonts w:ascii="Times New Roman" w:hAnsi="Times New Roman" w:cs="Times New Roman"/>
                <w:sz w:val="24"/>
                <w:szCs w:val="24"/>
              </w:rPr>
              <w:t>Darbu organizācijas projekts ir būvprojekta sastāvdaļa, kurā, saskaņā ar Ēku būvnoteikumu 6.2.nodaļu, tehnoloģiskās shēmas netiek iekļautas, bez tam, izstrādājot būvprojektu, ne vienmēr ir zināmi visi iespējamie īpašie darbu veikšanas apstākļi, tai skaitā Noteikumos kā piemērs minētā betonēšana ziemas apstākļos. Tāpat darbu organizēšanas projektam ir jāveic ekspertīze, tas nozīmē, ka, veicot izmaiņas šajā projekta sadaļā, darbi apturami un veicama izmaiņu ekspertīze. Tehnoloģisko shēmu izstrāde paredzēta LBN 310-14 „Darbu veikšanas projekta ieteicamais saturs” 7.4.punktā, attiecīgi ir darbu veikšanas projekta sastāvdaļa, līdz ar to ir 5.pielikumā jāveic precizējums, aizstājot vārdu „organizācijas” ar vārdu „veikšanas”.</w:t>
            </w:r>
          </w:p>
          <w:p w:rsidR="00A83693" w:rsidRPr="00A574D1" w:rsidRDefault="00A83693" w:rsidP="00552CF1">
            <w:pPr>
              <w:spacing w:after="0" w:line="240" w:lineRule="auto"/>
              <w:ind w:left="57" w:right="57"/>
              <w:jc w:val="both"/>
              <w:rPr>
                <w:rFonts w:ascii="Times New Roman" w:hAnsi="Times New Roman" w:cs="Times New Roman"/>
                <w:sz w:val="12"/>
                <w:szCs w:val="12"/>
              </w:rPr>
            </w:pPr>
          </w:p>
          <w:p w:rsidR="00A907C4" w:rsidRPr="00A574D1" w:rsidRDefault="00A83693" w:rsidP="00A907C4">
            <w:pPr>
              <w:spacing w:after="0" w:line="240" w:lineRule="auto"/>
              <w:ind w:left="57" w:right="57"/>
              <w:jc w:val="both"/>
              <w:rPr>
                <w:rFonts w:ascii="Times New Roman" w:hAnsi="Times New Roman" w:cs="Times New Roman"/>
                <w:sz w:val="24"/>
                <w:szCs w:val="24"/>
              </w:rPr>
            </w:pPr>
            <w:r w:rsidRPr="00A574D1">
              <w:rPr>
                <w:rFonts w:ascii="Times New Roman" w:hAnsi="Times New Roman" w:cs="Times New Roman"/>
                <w:sz w:val="24"/>
                <w:szCs w:val="24"/>
              </w:rPr>
              <w:t>3</w:t>
            </w:r>
            <w:r w:rsidR="00241A29" w:rsidRPr="00A574D1">
              <w:rPr>
                <w:rFonts w:ascii="Times New Roman" w:hAnsi="Times New Roman" w:cs="Times New Roman"/>
                <w:sz w:val="24"/>
                <w:szCs w:val="24"/>
              </w:rPr>
              <w:t>1</w:t>
            </w:r>
            <w:r w:rsidR="00A907C4" w:rsidRPr="00A574D1">
              <w:rPr>
                <w:rFonts w:ascii="Times New Roman" w:hAnsi="Times New Roman" w:cs="Times New Roman"/>
                <w:sz w:val="24"/>
                <w:szCs w:val="24"/>
              </w:rPr>
              <w:t xml:space="preserve">) 9.pielikums, precizēts, lai šo veidlapu būvinspektori varētu izmantot ne tikai, veicot būvdarbu kontroli, bet arī veicot </w:t>
            </w:r>
            <w:proofErr w:type="spellStart"/>
            <w:r w:rsidR="00A907C4" w:rsidRPr="00A574D1">
              <w:rPr>
                <w:rFonts w:ascii="Times New Roman" w:hAnsi="Times New Roman" w:cs="Times New Roman"/>
                <w:sz w:val="24"/>
                <w:szCs w:val="24"/>
              </w:rPr>
              <w:t>apsekojumus</w:t>
            </w:r>
            <w:proofErr w:type="spellEnd"/>
            <w:r w:rsidR="00A907C4" w:rsidRPr="00A574D1">
              <w:rPr>
                <w:rFonts w:ascii="Times New Roman" w:hAnsi="Times New Roman" w:cs="Times New Roman"/>
                <w:sz w:val="24"/>
                <w:szCs w:val="24"/>
              </w:rPr>
              <w:t xml:space="preserve"> būves ekspluatācijas uzraudzības ietvaros.   </w:t>
            </w:r>
          </w:p>
          <w:p w:rsidR="00A83693" w:rsidRPr="00A574D1" w:rsidRDefault="00A83693" w:rsidP="00A907C4">
            <w:pPr>
              <w:spacing w:after="0" w:line="240" w:lineRule="auto"/>
              <w:ind w:left="57" w:right="57"/>
              <w:jc w:val="both"/>
              <w:rPr>
                <w:rFonts w:ascii="Times New Roman" w:eastAsia="Times New Roman" w:hAnsi="Times New Roman" w:cs="Times New Roman"/>
                <w:sz w:val="24"/>
                <w:szCs w:val="24"/>
                <w:lang w:eastAsia="lv-LV"/>
              </w:rPr>
            </w:pPr>
          </w:p>
          <w:p w:rsidR="00241A29" w:rsidRPr="00A574D1" w:rsidRDefault="00241A29" w:rsidP="00A907C4">
            <w:pPr>
              <w:spacing w:after="0" w:line="240" w:lineRule="auto"/>
              <w:ind w:left="57" w:right="57"/>
              <w:jc w:val="both"/>
              <w:rPr>
                <w:rFonts w:ascii="Times New Roman" w:eastAsia="Times New Roman" w:hAnsi="Times New Roman" w:cs="Times New Roman"/>
                <w:sz w:val="24"/>
                <w:szCs w:val="24"/>
                <w:lang w:eastAsia="lv-LV"/>
              </w:rPr>
            </w:pPr>
            <w:r w:rsidRPr="00A574D1">
              <w:rPr>
                <w:rFonts w:ascii="Times New Roman" w:eastAsia="Times New Roman" w:hAnsi="Times New Roman" w:cs="Times New Roman"/>
                <w:sz w:val="24"/>
                <w:szCs w:val="24"/>
                <w:lang w:eastAsia="lv-LV"/>
              </w:rPr>
              <w:t>Grozījumi stājas spēkā 2016.gada 1.janvārī.</w:t>
            </w:r>
          </w:p>
        </w:tc>
      </w:tr>
      <w:tr w:rsidR="00A574D1" w:rsidRPr="00A574D1" w:rsidTr="00552CF1">
        <w:trPr>
          <w:trHeight w:val="310"/>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C513B2" w:rsidRPr="00A574D1" w:rsidRDefault="00C513B2" w:rsidP="00552CF1">
            <w:pPr>
              <w:spacing w:after="0" w:line="240" w:lineRule="auto"/>
              <w:ind w:left="57" w:right="57"/>
              <w:jc w:val="center"/>
              <w:rPr>
                <w:rFonts w:ascii="Times New Roman" w:eastAsia="Times New Roman" w:hAnsi="Times New Roman" w:cs="Times New Roman"/>
                <w:sz w:val="24"/>
                <w:szCs w:val="24"/>
                <w:lang w:eastAsia="lv-LV"/>
              </w:rPr>
            </w:pPr>
            <w:r w:rsidRPr="00A574D1">
              <w:rPr>
                <w:rFonts w:ascii="Times New Roman" w:eastAsia="Times New Roman" w:hAnsi="Times New Roman" w:cs="Times New Roman"/>
                <w:sz w:val="24"/>
                <w:szCs w:val="24"/>
                <w:lang w:eastAsia="lv-LV"/>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rsidR="00C513B2" w:rsidRPr="00A574D1" w:rsidRDefault="00C513B2" w:rsidP="00552CF1">
            <w:pPr>
              <w:spacing w:after="0" w:line="240" w:lineRule="auto"/>
              <w:ind w:left="57" w:right="57"/>
              <w:rPr>
                <w:rFonts w:ascii="Times New Roman" w:eastAsia="Times New Roman" w:hAnsi="Times New Roman" w:cs="Times New Roman"/>
                <w:sz w:val="24"/>
                <w:szCs w:val="24"/>
                <w:lang w:eastAsia="lv-LV"/>
              </w:rPr>
            </w:pPr>
            <w:r w:rsidRPr="00A574D1">
              <w:rPr>
                <w:rFonts w:ascii="Times New Roman" w:eastAsia="Times New Roman" w:hAnsi="Times New Roman" w:cs="Times New Roman"/>
                <w:sz w:val="24"/>
                <w:szCs w:val="24"/>
                <w:lang w:eastAsia="lv-LV"/>
              </w:rPr>
              <w:t>Projekta izstrādē iesaistītās institūcijas</w:t>
            </w:r>
          </w:p>
        </w:tc>
        <w:tc>
          <w:tcPr>
            <w:tcW w:w="3159" w:type="pct"/>
            <w:tcBorders>
              <w:top w:val="outset" w:sz="6" w:space="0" w:color="auto"/>
              <w:left w:val="outset" w:sz="6" w:space="0" w:color="auto"/>
              <w:bottom w:val="outset" w:sz="6" w:space="0" w:color="auto"/>
              <w:right w:val="outset" w:sz="6" w:space="0" w:color="auto"/>
            </w:tcBorders>
            <w:hideMark/>
          </w:tcPr>
          <w:p w:rsidR="00C513B2" w:rsidRPr="00A574D1" w:rsidRDefault="00C513B2" w:rsidP="00552CF1">
            <w:pPr>
              <w:spacing w:after="0" w:line="240" w:lineRule="auto"/>
              <w:ind w:left="57" w:right="57"/>
              <w:rPr>
                <w:rFonts w:ascii="Times New Roman" w:eastAsia="Times New Roman" w:hAnsi="Times New Roman" w:cs="Times New Roman"/>
                <w:sz w:val="24"/>
                <w:szCs w:val="24"/>
                <w:lang w:eastAsia="lv-LV"/>
              </w:rPr>
            </w:pPr>
            <w:r w:rsidRPr="00A574D1">
              <w:rPr>
                <w:rFonts w:ascii="Times New Roman" w:eastAsia="Times New Roman" w:hAnsi="Times New Roman" w:cs="Times New Roman"/>
                <w:sz w:val="24"/>
                <w:szCs w:val="24"/>
                <w:lang w:eastAsia="lv-LV"/>
              </w:rPr>
              <w:t>-</w:t>
            </w:r>
          </w:p>
        </w:tc>
      </w:tr>
      <w:tr w:rsidR="00C513B2" w:rsidRPr="00A574D1" w:rsidTr="00552CF1">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C513B2" w:rsidRPr="00A574D1" w:rsidRDefault="00C513B2" w:rsidP="00552CF1">
            <w:pPr>
              <w:spacing w:after="0" w:line="240" w:lineRule="auto"/>
              <w:ind w:left="57" w:right="57"/>
              <w:jc w:val="center"/>
              <w:rPr>
                <w:rFonts w:ascii="Times New Roman" w:eastAsia="Times New Roman" w:hAnsi="Times New Roman" w:cs="Times New Roman"/>
                <w:sz w:val="24"/>
                <w:szCs w:val="24"/>
                <w:lang w:eastAsia="lv-LV"/>
              </w:rPr>
            </w:pPr>
            <w:r w:rsidRPr="00A574D1">
              <w:rPr>
                <w:rFonts w:ascii="Times New Roman" w:eastAsia="Times New Roman" w:hAnsi="Times New Roman" w:cs="Times New Roman"/>
                <w:sz w:val="24"/>
                <w:szCs w:val="24"/>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rsidR="00C513B2" w:rsidRPr="00A574D1" w:rsidRDefault="00C513B2" w:rsidP="00552CF1">
            <w:pPr>
              <w:spacing w:after="0" w:line="240" w:lineRule="auto"/>
              <w:ind w:left="57" w:right="57"/>
              <w:rPr>
                <w:rFonts w:ascii="Times New Roman" w:eastAsia="Times New Roman" w:hAnsi="Times New Roman" w:cs="Times New Roman"/>
                <w:sz w:val="24"/>
                <w:szCs w:val="24"/>
                <w:lang w:eastAsia="lv-LV"/>
              </w:rPr>
            </w:pPr>
            <w:r w:rsidRPr="00A574D1">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C513B2" w:rsidRPr="00A574D1" w:rsidRDefault="00C513B2" w:rsidP="00552CF1">
            <w:pPr>
              <w:spacing w:after="0" w:line="240" w:lineRule="auto"/>
              <w:ind w:left="57" w:right="57"/>
              <w:rPr>
                <w:rFonts w:ascii="Times New Roman" w:eastAsia="Times New Roman" w:hAnsi="Times New Roman" w:cs="Times New Roman"/>
                <w:sz w:val="24"/>
                <w:szCs w:val="24"/>
                <w:lang w:eastAsia="lv-LV"/>
              </w:rPr>
            </w:pPr>
            <w:r w:rsidRPr="00A574D1">
              <w:rPr>
                <w:rFonts w:ascii="Times New Roman" w:eastAsia="Times New Roman" w:hAnsi="Times New Roman" w:cs="Times New Roman"/>
                <w:sz w:val="24"/>
                <w:szCs w:val="24"/>
                <w:lang w:eastAsia="lv-LV"/>
              </w:rPr>
              <w:t>Nav</w:t>
            </w:r>
          </w:p>
          <w:p w:rsidR="00A83693" w:rsidRPr="00A574D1" w:rsidRDefault="00A83693" w:rsidP="00552CF1">
            <w:pPr>
              <w:spacing w:after="0" w:line="240" w:lineRule="auto"/>
              <w:ind w:left="57" w:right="57"/>
              <w:rPr>
                <w:rFonts w:ascii="Times New Roman" w:eastAsia="Times New Roman" w:hAnsi="Times New Roman" w:cs="Times New Roman"/>
                <w:sz w:val="24"/>
                <w:szCs w:val="24"/>
                <w:lang w:eastAsia="lv-LV"/>
              </w:rPr>
            </w:pPr>
          </w:p>
        </w:tc>
      </w:tr>
    </w:tbl>
    <w:p w:rsidR="00C513B2" w:rsidRPr="00A574D1" w:rsidRDefault="00C513B2" w:rsidP="00C513B2">
      <w:pPr>
        <w:spacing w:after="0" w:line="240" w:lineRule="auto"/>
        <w:ind w:left="57" w:right="57"/>
        <w:rPr>
          <w:rFonts w:ascii="Times New Roman" w:hAnsi="Times New Roman" w:cs="Times New Roman"/>
          <w:sz w:val="26"/>
          <w:szCs w:val="26"/>
        </w:rPr>
      </w:pPr>
    </w:p>
    <w:p w:rsidR="00C513B2" w:rsidRPr="00A574D1" w:rsidRDefault="00C513B2" w:rsidP="00C513B2">
      <w:pPr>
        <w:spacing w:after="0" w:line="240" w:lineRule="auto"/>
        <w:ind w:left="57" w:right="57"/>
        <w:rPr>
          <w:rFonts w:ascii="Times New Roman" w:hAnsi="Times New Roman" w:cs="Times New Roman"/>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504"/>
        <w:gridCol w:w="2888"/>
        <w:gridCol w:w="5946"/>
      </w:tblGrid>
      <w:tr w:rsidR="00A574D1" w:rsidRPr="00A574D1" w:rsidTr="00552CF1">
        <w:trPr>
          <w:trHeight w:val="370"/>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513B2" w:rsidRPr="00A574D1" w:rsidRDefault="00C513B2" w:rsidP="00552CF1">
            <w:pPr>
              <w:spacing w:after="0" w:line="240" w:lineRule="auto"/>
              <w:ind w:left="57" w:right="57"/>
              <w:jc w:val="center"/>
              <w:rPr>
                <w:rFonts w:ascii="Times New Roman" w:eastAsia="Times New Roman" w:hAnsi="Times New Roman" w:cs="Times New Roman"/>
                <w:b/>
                <w:bCs/>
                <w:sz w:val="24"/>
                <w:szCs w:val="24"/>
                <w:lang w:eastAsia="lv-LV"/>
              </w:rPr>
            </w:pPr>
            <w:r w:rsidRPr="00A574D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574D1" w:rsidRPr="00A574D1" w:rsidTr="00552CF1">
        <w:trPr>
          <w:trHeight w:val="310"/>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C513B2" w:rsidRPr="00A574D1" w:rsidRDefault="00C513B2" w:rsidP="00552CF1">
            <w:pPr>
              <w:spacing w:after="0" w:line="240" w:lineRule="auto"/>
              <w:ind w:left="57" w:right="57"/>
              <w:rPr>
                <w:rFonts w:ascii="Times New Roman" w:eastAsia="Times New Roman" w:hAnsi="Times New Roman" w:cs="Times New Roman"/>
                <w:sz w:val="24"/>
                <w:szCs w:val="24"/>
                <w:lang w:eastAsia="lv-LV"/>
              </w:rPr>
            </w:pPr>
            <w:r w:rsidRPr="00A574D1">
              <w:rPr>
                <w:rFonts w:ascii="Times New Roman" w:eastAsia="Times New Roman" w:hAnsi="Times New Roman" w:cs="Times New Roman"/>
                <w:sz w:val="24"/>
                <w:szCs w:val="24"/>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rsidR="00C513B2" w:rsidRPr="00A574D1" w:rsidRDefault="00C513B2" w:rsidP="00552CF1">
            <w:pPr>
              <w:spacing w:after="0" w:line="240" w:lineRule="auto"/>
              <w:ind w:left="57" w:right="57"/>
              <w:rPr>
                <w:rFonts w:ascii="Times New Roman" w:eastAsia="Times New Roman" w:hAnsi="Times New Roman" w:cs="Times New Roman"/>
                <w:sz w:val="24"/>
                <w:szCs w:val="24"/>
                <w:lang w:eastAsia="lv-LV"/>
              </w:rPr>
            </w:pPr>
            <w:r w:rsidRPr="00A574D1">
              <w:rPr>
                <w:rFonts w:ascii="Times New Roman" w:eastAsia="Times New Roman" w:hAnsi="Times New Roman" w:cs="Times New Roman"/>
                <w:sz w:val="24"/>
                <w:szCs w:val="24"/>
                <w:lang w:eastAsia="lv-LV"/>
              </w:rPr>
              <w:t xml:space="preserve">Sabiedrības </w:t>
            </w:r>
            <w:proofErr w:type="spellStart"/>
            <w:r w:rsidRPr="00A574D1">
              <w:rPr>
                <w:rFonts w:ascii="Times New Roman" w:eastAsia="Times New Roman" w:hAnsi="Times New Roman" w:cs="Times New Roman"/>
                <w:sz w:val="24"/>
                <w:szCs w:val="24"/>
                <w:lang w:eastAsia="lv-LV"/>
              </w:rPr>
              <w:t>mērķgrupas</w:t>
            </w:r>
            <w:proofErr w:type="spellEnd"/>
            <w:r w:rsidRPr="00A574D1">
              <w:rPr>
                <w:rFonts w:ascii="Times New Roman" w:eastAsia="Times New Roman" w:hAnsi="Times New Roman" w:cs="Times New Roman"/>
                <w:sz w:val="24"/>
                <w:szCs w:val="24"/>
                <w:lang w:eastAsia="lv-LV"/>
              </w:rPr>
              <w:t>, kuras tiesiskais regulējums ietekmē vai varētu ietekmēt</w:t>
            </w:r>
          </w:p>
        </w:tc>
        <w:tc>
          <w:tcPr>
            <w:tcW w:w="3159" w:type="pct"/>
            <w:tcBorders>
              <w:top w:val="outset" w:sz="6" w:space="0" w:color="auto"/>
              <w:left w:val="outset" w:sz="6" w:space="0" w:color="auto"/>
              <w:bottom w:val="outset" w:sz="6" w:space="0" w:color="auto"/>
              <w:right w:val="outset" w:sz="6" w:space="0" w:color="auto"/>
            </w:tcBorders>
            <w:hideMark/>
          </w:tcPr>
          <w:p w:rsidR="00C513B2" w:rsidRPr="00A574D1" w:rsidRDefault="00C513B2" w:rsidP="00552CF1">
            <w:pPr>
              <w:spacing w:after="0" w:line="240" w:lineRule="auto"/>
              <w:ind w:left="57" w:right="57"/>
              <w:jc w:val="both"/>
              <w:rPr>
                <w:rFonts w:ascii="Times New Roman" w:hAnsi="Times New Roman" w:cs="Times New Roman"/>
                <w:sz w:val="24"/>
                <w:szCs w:val="24"/>
              </w:rPr>
            </w:pPr>
            <w:r w:rsidRPr="00A574D1">
              <w:rPr>
                <w:rFonts w:ascii="Times New Roman" w:hAnsi="Times New Roman" w:cs="Times New Roman"/>
                <w:iCs/>
                <w:sz w:val="24"/>
                <w:szCs w:val="24"/>
              </w:rPr>
              <w:t>Juridiska vai fiziska persona, kura ierosina būvniecību vai piedalās tajā, un pašvaldību iestādes, kuras ir iesaistītas būvniecības procesā; v</w:t>
            </w:r>
            <w:r w:rsidRPr="00A574D1">
              <w:rPr>
                <w:rFonts w:ascii="Times New Roman" w:eastAsia="Times New Roman" w:hAnsi="Times New Roman" w:cs="Times New Roman"/>
                <w:sz w:val="24"/>
                <w:szCs w:val="24"/>
                <w:lang w:eastAsia="lv-LV"/>
              </w:rPr>
              <w:t>isus būvniecības procesa dalībniekus (</w:t>
            </w:r>
            <w:r w:rsidRPr="00A574D1">
              <w:rPr>
                <w:rFonts w:ascii="Times New Roman" w:hAnsi="Times New Roman" w:cs="Times New Roman"/>
                <w:sz w:val="24"/>
                <w:szCs w:val="24"/>
              </w:rPr>
              <w:t xml:space="preserve">zemes īpašnieks, būves īpašnieks, būvprojekta izstrādātājs, būvdarbu veicējs, būvuzraugs un </w:t>
            </w:r>
            <w:proofErr w:type="spellStart"/>
            <w:r w:rsidRPr="00A574D1">
              <w:rPr>
                <w:rFonts w:ascii="Times New Roman" w:hAnsi="Times New Roman" w:cs="Times New Roman"/>
                <w:sz w:val="24"/>
                <w:szCs w:val="24"/>
              </w:rPr>
              <w:t>būveksperts</w:t>
            </w:r>
            <w:proofErr w:type="spellEnd"/>
            <w:r w:rsidRPr="00A574D1">
              <w:rPr>
                <w:rFonts w:ascii="Times New Roman" w:hAnsi="Times New Roman" w:cs="Times New Roman"/>
                <w:sz w:val="24"/>
                <w:szCs w:val="24"/>
              </w:rPr>
              <w:t>).</w:t>
            </w:r>
          </w:p>
          <w:p w:rsidR="00A83693" w:rsidRPr="00A574D1" w:rsidRDefault="00A83693" w:rsidP="00552CF1">
            <w:pPr>
              <w:spacing w:after="0" w:line="240" w:lineRule="auto"/>
              <w:ind w:left="57" w:right="57"/>
              <w:jc w:val="both"/>
              <w:rPr>
                <w:rFonts w:ascii="Times New Roman" w:eastAsia="Times New Roman" w:hAnsi="Times New Roman" w:cs="Times New Roman"/>
                <w:sz w:val="24"/>
                <w:szCs w:val="24"/>
                <w:lang w:eastAsia="lv-LV"/>
              </w:rPr>
            </w:pPr>
          </w:p>
        </w:tc>
      </w:tr>
      <w:tr w:rsidR="00A574D1" w:rsidRPr="00A574D1" w:rsidTr="00552CF1">
        <w:trPr>
          <w:trHeight w:val="340"/>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C513B2" w:rsidRPr="00A574D1" w:rsidRDefault="00C513B2" w:rsidP="00552CF1">
            <w:pPr>
              <w:spacing w:after="0" w:line="240" w:lineRule="auto"/>
              <w:ind w:left="57" w:right="57"/>
              <w:rPr>
                <w:rFonts w:ascii="Times New Roman" w:eastAsia="Times New Roman" w:hAnsi="Times New Roman" w:cs="Times New Roman"/>
                <w:sz w:val="24"/>
                <w:szCs w:val="24"/>
                <w:lang w:eastAsia="lv-LV"/>
              </w:rPr>
            </w:pPr>
            <w:r w:rsidRPr="00A574D1">
              <w:rPr>
                <w:rFonts w:ascii="Times New Roman" w:eastAsia="Times New Roman" w:hAnsi="Times New Roman" w:cs="Times New Roman"/>
                <w:sz w:val="24"/>
                <w:szCs w:val="24"/>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rsidR="00C513B2" w:rsidRPr="00A574D1" w:rsidRDefault="00C513B2" w:rsidP="00552CF1">
            <w:pPr>
              <w:spacing w:after="0" w:line="240" w:lineRule="auto"/>
              <w:ind w:left="57" w:right="57"/>
              <w:rPr>
                <w:rFonts w:ascii="Times New Roman" w:eastAsia="Times New Roman" w:hAnsi="Times New Roman" w:cs="Times New Roman"/>
                <w:sz w:val="24"/>
                <w:szCs w:val="24"/>
                <w:lang w:eastAsia="lv-LV"/>
              </w:rPr>
            </w:pPr>
            <w:r w:rsidRPr="00A574D1">
              <w:rPr>
                <w:rFonts w:ascii="Times New Roman" w:eastAsia="Times New Roman" w:hAnsi="Times New Roman" w:cs="Times New Roman"/>
                <w:sz w:val="24"/>
                <w:szCs w:val="24"/>
                <w:lang w:eastAsia="lv-LV"/>
              </w:rPr>
              <w:t>Tiesiskā regulējuma ietekme uz tautsaimniecību un administratīvo slogu</w:t>
            </w:r>
          </w:p>
        </w:tc>
        <w:tc>
          <w:tcPr>
            <w:tcW w:w="3159" w:type="pct"/>
            <w:tcBorders>
              <w:top w:val="outset" w:sz="6" w:space="0" w:color="auto"/>
              <w:left w:val="outset" w:sz="6" w:space="0" w:color="auto"/>
              <w:bottom w:val="outset" w:sz="6" w:space="0" w:color="auto"/>
              <w:right w:val="outset" w:sz="6" w:space="0" w:color="auto"/>
            </w:tcBorders>
            <w:hideMark/>
          </w:tcPr>
          <w:p w:rsidR="00C513B2" w:rsidRPr="00A574D1" w:rsidRDefault="00C513B2" w:rsidP="00552CF1">
            <w:pPr>
              <w:spacing w:after="0" w:line="240" w:lineRule="auto"/>
              <w:ind w:left="57" w:right="57"/>
              <w:rPr>
                <w:rFonts w:ascii="Times New Roman" w:hAnsi="Times New Roman" w:cs="Times New Roman"/>
                <w:sz w:val="24"/>
                <w:szCs w:val="24"/>
              </w:rPr>
            </w:pPr>
            <w:r w:rsidRPr="00A574D1">
              <w:rPr>
                <w:rFonts w:ascii="Times New Roman" w:eastAsia="Times New Roman" w:hAnsi="Times New Roman" w:cs="Times New Roman"/>
                <w:sz w:val="24"/>
                <w:szCs w:val="24"/>
                <w:lang w:eastAsia="lv-LV"/>
              </w:rPr>
              <w:t xml:space="preserve">Nav ietekmes uz tautsaimniecību un </w:t>
            </w:r>
            <w:r w:rsidRPr="00A574D1">
              <w:rPr>
                <w:rFonts w:ascii="Times New Roman" w:hAnsi="Times New Roman" w:cs="Times New Roman"/>
                <w:sz w:val="24"/>
                <w:szCs w:val="24"/>
              </w:rPr>
              <w:t>sabiedrības grupām un institūcijām projekta tiesiskais regulējums nemaina tiesības un pienākumus, kā arī veicamās darbības.</w:t>
            </w:r>
          </w:p>
          <w:p w:rsidR="00A83693" w:rsidRPr="00A574D1" w:rsidRDefault="00A83693" w:rsidP="00552CF1">
            <w:pPr>
              <w:spacing w:after="0" w:line="240" w:lineRule="auto"/>
              <w:ind w:left="57" w:right="57"/>
              <w:rPr>
                <w:rFonts w:ascii="Times New Roman" w:eastAsia="Times New Roman" w:hAnsi="Times New Roman" w:cs="Times New Roman"/>
                <w:sz w:val="24"/>
                <w:szCs w:val="24"/>
                <w:lang w:eastAsia="lv-LV"/>
              </w:rPr>
            </w:pPr>
          </w:p>
        </w:tc>
      </w:tr>
      <w:tr w:rsidR="00A574D1" w:rsidRPr="00A574D1" w:rsidTr="00552CF1">
        <w:trPr>
          <w:trHeight w:val="340"/>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C513B2" w:rsidRPr="00A574D1" w:rsidRDefault="00C513B2" w:rsidP="00552CF1">
            <w:pPr>
              <w:spacing w:after="0" w:line="240" w:lineRule="auto"/>
              <w:ind w:left="57" w:right="57"/>
              <w:rPr>
                <w:rFonts w:ascii="Times New Roman" w:eastAsia="Times New Roman" w:hAnsi="Times New Roman" w:cs="Times New Roman"/>
                <w:sz w:val="24"/>
                <w:szCs w:val="24"/>
                <w:lang w:eastAsia="lv-LV"/>
              </w:rPr>
            </w:pPr>
            <w:r w:rsidRPr="00A574D1">
              <w:rPr>
                <w:rFonts w:ascii="Times New Roman" w:eastAsia="Times New Roman" w:hAnsi="Times New Roman" w:cs="Times New Roman"/>
                <w:sz w:val="24"/>
                <w:szCs w:val="24"/>
                <w:lang w:eastAsia="lv-LV"/>
              </w:rPr>
              <w:t>3.</w:t>
            </w:r>
          </w:p>
        </w:tc>
        <w:tc>
          <w:tcPr>
            <w:tcW w:w="1530" w:type="pct"/>
            <w:tcBorders>
              <w:top w:val="outset" w:sz="6" w:space="0" w:color="auto"/>
              <w:left w:val="outset" w:sz="6" w:space="0" w:color="auto"/>
              <w:bottom w:val="outset" w:sz="6" w:space="0" w:color="auto"/>
              <w:right w:val="outset" w:sz="6" w:space="0" w:color="auto"/>
            </w:tcBorders>
            <w:hideMark/>
          </w:tcPr>
          <w:p w:rsidR="00C513B2" w:rsidRPr="00A574D1" w:rsidRDefault="00C513B2" w:rsidP="00552CF1">
            <w:pPr>
              <w:spacing w:after="0" w:line="240" w:lineRule="auto"/>
              <w:ind w:left="57" w:right="57"/>
              <w:rPr>
                <w:rFonts w:ascii="Times New Roman" w:eastAsia="Times New Roman" w:hAnsi="Times New Roman" w:cs="Times New Roman"/>
                <w:sz w:val="24"/>
                <w:szCs w:val="24"/>
                <w:lang w:eastAsia="lv-LV"/>
              </w:rPr>
            </w:pPr>
            <w:r w:rsidRPr="00A574D1">
              <w:rPr>
                <w:rFonts w:ascii="Times New Roman" w:eastAsia="Times New Roman" w:hAnsi="Times New Roman" w:cs="Times New Roman"/>
                <w:sz w:val="24"/>
                <w:szCs w:val="24"/>
                <w:lang w:eastAsia="lv-LV"/>
              </w:rPr>
              <w:t>Administratīvo izmaksu monetārs novērtējums</w:t>
            </w:r>
          </w:p>
          <w:p w:rsidR="00A83693" w:rsidRPr="00A574D1" w:rsidRDefault="00A83693" w:rsidP="00552CF1">
            <w:pPr>
              <w:spacing w:after="0" w:line="240" w:lineRule="auto"/>
              <w:ind w:left="57" w:right="57"/>
              <w:rPr>
                <w:rFonts w:ascii="Times New Roman" w:eastAsia="Times New Roman" w:hAnsi="Times New Roman" w:cs="Times New Roman"/>
                <w:sz w:val="24"/>
                <w:szCs w:val="24"/>
                <w:lang w:eastAsia="lv-LV"/>
              </w:rPr>
            </w:pPr>
          </w:p>
        </w:tc>
        <w:tc>
          <w:tcPr>
            <w:tcW w:w="3159" w:type="pct"/>
            <w:tcBorders>
              <w:top w:val="outset" w:sz="6" w:space="0" w:color="auto"/>
              <w:left w:val="outset" w:sz="6" w:space="0" w:color="auto"/>
              <w:bottom w:val="outset" w:sz="6" w:space="0" w:color="auto"/>
              <w:right w:val="outset" w:sz="6" w:space="0" w:color="auto"/>
            </w:tcBorders>
            <w:hideMark/>
          </w:tcPr>
          <w:p w:rsidR="00C513B2" w:rsidRPr="00A574D1" w:rsidRDefault="00C513B2" w:rsidP="00552CF1">
            <w:pPr>
              <w:spacing w:after="0" w:line="240" w:lineRule="auto"/>
              <w:ind w:left="57" w:right="57"/>
              <w:rPr>
                <w:rFonts w:ascii="Times New Roman" w:eastAsia="Times New Roman" w:hAnsi="Times New Roman" w:cs="Times New Roman"/>
                <w:sz w:val="24"/>
                <w:szCs w:val="24"/>
                <w:lang w:eastAsia="lv-LV"/>
              </w:rPr>
            </w:pPr>
            <w:r w:rsidRPr="00A574D1">
              <w:rPr>
                <w:rFonts w:ascii="Times New Roman" w:eastAsia="Times New Roman" w:hAnsi="Times New Roman" w:cs="Times New Roman"/>
                <w:sz w:val="24"/>
                <w:szCs w:val="24"/>
                <w:lang w:eastAsia="lv-LV"/>
              </w:rPr>
              <w:t>Nav mainītas administratīvās izmaksas</w:t>
            </w:r>
          </w:p>
        </w:tc>
      </w:tr>
      <w:tr w:rsidR="00C513B2" w:rsidRPr="00A574D1" w:rsidTr="00552CF1">
        <w:trPr>
          <w:trHeight w:val="230"/>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C513B2" w:rsidRPr="00A574D1" w:rsidRDefault="00C513B2" w:rsidP="00552CF1">
            <w:pPr>
              <w:spacing w:after="0" w:line="240" w:lineRule="auto"/>
              <w:ind w:left="57" w:right="57"/>
              <w:rPr>
                <w:rFonts w:ascii="Times New Roman" w:eastAsia="Times New Roman" w:hAnsi="Times New Roman" w:cs="Times New Roman"/>
                <w:sz w:val="24"/>
                <w:szCs w:val="24"/>
                <w:lang w:eastAsia="lv-LV"/>
              </w:rPr>
            </w:pPr>
            <w:r w:rsidRPr="00A574D1">
              <w:rPr>
                <w:rFonts w:ascii="Times New Roman" w:eastAsia="Times New Roman" w:hAnsi="Times New Roman" w:cs="Times New Roman"/>
                <w:sz w:val="24"/>
                <w:szCs w:val="24"/>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rsidR="00C513B2" w:rsidRPr="00A574D1" w:rsidRDefault="00C513B2" w:rsidP="00552CF1">
            <w:pPr>
              <w:spacing w:after="0" w:line="240" w:lineRule="auto"/>
              <w:ind w:left="57" w:right="57"/>
              <w:rPr>
                <w:rFonts w:ascii="Times New Roman" w:eastAsia="Times New Roman" w:hAnsi="Times New Roman" w:cs="Times New Roman"/>
                <w:sz w:val="24"/>
                <w:szCs w:val="24"/>
                <w:lang w:eastAsia="lv-LV"/>
              </w:rPr>
            </w:pPr>
            <w:r w:rsidRPr="00A574D1">
              <w:rPr>
                <w:rFonts w:ascii="Times New Roman" w:eastAsia="Times New Roman" w:hAnsi="Times New Roman" w:cs="Times New Roman"/>
                <w:sz w:val="24"/>
                <w:szCs w:val="24"/>
                <w:lang w:eastAsia="lv-LV"/>
              </w:rPr>
              <w:t>Cita informācija</w:t>
            </w:r>
          </w:p>
          <w:p w:rsidR="00A83693" w:rsidRPr="00A574D1" w:rsidRDefault="00A83693" w:rsidP="00552CF1">
            <w:pPr>
              <w:spacing w:after="0" w:line="240" w:lineRule="auto"/>
              <w:ind w:left="57" w:right="57"/>
              <w:rPr>
                <w:rFonts w:ascii="Times New Roman" w:eastAsia="Times New Roman" w:hAnsi="Times New Roman" w:cs="Times New Roman"/>
                <w:sz w:val="24"/>
                <w:szCs w:val="24"/>
                <w:lang w:eastAsia="lv-LV"/>
              </w:rPr>
            </w:pPr>
          </w:p>
        </w:tc>
        <w:tc>
          <w:tcPr>
            <w:tcW w:w="3159" w:type="pct"/>
            <w:tcBorders>
              <w:top w:val="outset" w:sz="6" w:space="0" w:color="auto"/>
              <w:left w:val="outset" w:sz="6" w:space="0" w:color="auto"/>
              <w:bottom w:val="outset" w:sz="6" w:space="0" w:color="auto"/>
              <w:right w:val="outset" w:sz="6" w:space="0" w:color="auto"/>
            </w:tcBorders>
            <w:hideMark/>
          </w:tcPr>
          <w:p w:rsidR="00C513B2" w:rsidRPr="00A574D1" w:rsidRDefault="00C513B2" w:rsidP="00552CF1">
            <w:pPr>
              <w:spacing w:after="0" w:line="240" w:lineRule="auto"/>
              <w:ind w:left="57" w:right="57"/>
              <w:rPr>
                <w:rFonts w:ascii="Times New Roman" w:eastAsia="Times New Roman" w:hAnsi="Times New Roman" w:cs="Times New Roman"/>
                <w:sz w:val="24"/>
                <w:szCs w:val="24"/>
                <w:lang w:eastAsia="lv-LV"/>
              </w:rPr>
            </w:pPr>
            <w:r w:rsidRPr="00A574D1">
              <w:rPr>
                <w:rFonts w:ascii="Times New Roman" w:eastAsia="Times New Roman" w:hAnsi="Times New Roman" w:cs="Times New Roman"/>
                <w:sz w:val="24"/>
                <w:szCs w:val="24"/>
                <w:lang w:eastAsia="lv-LV"/>
              </w:rPr>
              <w:t>Nav</w:t>
            </w:r>
          </w:p>
        </w:tc>
      </w:tr>
    </w:tbl>
    <w:p w:rsidR="00C513B2" w:rsidRPr="00A574D1" w:rsidRDefault="00C513B2" w:rsidP="00C513B2">
      <w:pPr>
        <w:spacing w:after="0" w:line="240" w:lineRule="auto"/>
        <w:ind w:left="57" w:right="57"/>
        <w:rPr>
          <w:rFonts w:ascii="Times New Roman" w:hAnsi="Times New Roman" w:cs="Times New Roman"/>
          <w:sz w:val="26"/>
          <w:szCs w:val="26"/>
        </w:rPr>
      </w:pPr>
    </w:p>
    <w:p w:rsidR="00A83693" w:rsidRPr="00A574D1" w:rsidRDefault="00A83693" w:rsidP="00C513B2">
      <w:pPr>
        <w:spacing w:after="0" w:line="240" w:lineRule="auto"/>
        <w:ind w:left="57" w:right="57"/>
        <w:rPr>
          <w:rFonts w:ascii="Times New Roman" w:hAnsi="Times New Roman" w:cs="Times New Roman"/>
          <w:sz w:val="26"/>
          <w:szCs w:val="26"/>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506"/>
        <w:gridCol w:w="2795"/>
        <w:gridCol w:w="6037"/>
      </w:tblGrid>
      <w:tr w:rsidR="00A574D1" w:rsidRPr="00A574D1" w:rsidTr="00552CF1">
        <w:trPr>
          <w:trHeight w:val="28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513B2" w:rsidRPr="00A574D1" w:rsidRDefault="00C513B2" w:rsidP="00552CF1">
            <w:pPr>
              <w:spacing w:after="0" w:line="240" w:lineRule="auto"/>
              <w:ind w:left="57" w:right="57"/>
              <w:jc w:val="center"/>
              <w:rPr>
                <w:rFonts w:ascii="Times New Roman" w:eastAsia="Times New Roman" w:hAnsi="Times New Roman" w:cs="Times New Roman"/>
                <w:b/>
                <w:bCs/>
                <w:sz w:val="24"/>
                <w:szCs w:val="24"/>
                <w:lang w:eastAsia="lv-LV"/>
              </w:rPr>
            </w:pPr>
            <w:r w:rsidRPr="00A574D1">
              <w:rPr>
                <w:rFonts w:ascii="Times New Roman" w:eastAsia="Times New Roman" w:hAnsi="Times New Roman" w:cs="Times New Roman"/>
                <w:b/>
                <w:bCs/>
                <w:sz w:val="24"/>
                <w:szCs w:val="24"/>
                <w:lang w:eastAsia="lv-LV"/>
              </w:rPr>
              <w:t>VI. Sabiedrības līdzdalība un komunikācijas aktivitātes</w:t>
            </w:r>
          </w:p>
        </w:tc>
      </w:tr>
      <w:tr w:rsidR="00A574D1" w:rsidRPr="00A574D1" w:rsidTr="00552CF1">
        <w:trPr>
          <w:trHeight w:val="36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C513B2" w:rsidRPr="00A574D1" w:rsidRDefault="00C513B2" w:rsidP="00552CF1">
            <w:pPr>
              <w:spacing w:after="0" w:line="240" w:lineRule="auto"/>
              <w:ind w:left="57" w:right="57"/>
              <w:rPr>
                <w:rFonts w:ascii="Times New Roman" w:eastAsia="Times New Roman" w:hAnsi="Times New Roman" w:cs="Times New Roman"/>
                <w:sz w:val="24"/>
                <w:szCs w:val="24"/>
                <w:lang w:eastAsia="lv-LV"/>
              </w:rPr>
            </w:pPr>
            <w:r w:rsidRPr="00A574D1">
              <w:rPr>
                <w:rFonts w:ascii="Times New Roman" w:eastAsia="Times New Roman" w:hAnsi="Times New Roman" w:cs="Times New Roman"/>
                <w:sz w:val="24"/>
                <w:szCs w:val="24"/>
                <w:lang w:eastAsia="lv-LV"/>
              </w:rPr>
              <w:t>1.</w:t>
            </w:r>
          </w:p>
        </w:tc>
        <w:tc>
          <w:tcPr>
            <w:tcW w:w="1481" w:type="pct"/>
            <w:tcBorders>
              <w:top w:val="outset" w:sz="6" w:space="0" w:color="auto"/>
              <w:left w:val="outset" w:sz="6" w:space="0" w:color="auto"/>
              <w:bottom w:val="outset" w:sz="6" w:space="0" w:color="auto"/>
              <w:right w:val="outset" w:sz="6" w:space="0" w:color="auto"/>
            </w:tcBorders>
            <w:hideMark/>
          </w:tcPr>
          <w:p w:rsidR="00C513B2" w:rsidRPr="00A574D1" w:rsidRDefault="00C513B2" w:rsidP="00552CF1">
            <w:pPr>
              <w:spacing w:after="0" w:line="240" w:lineRule="auto"/>
              <w:ind w:left="57" w:right="57"/>
              <w:rPr>
                <w:rFonts w:ascii="Times New Roman" w:eastAsia="Times New Roman" w:hAnsi="Times New Roman" w:cs="Times New Roman"/>
                <w:sz w:val="24"/>
                <w:szCs w:val="24"/>
                <w:lang w:eastAsia="lv-LV"/>
              </w:rPr>
            </w:pPr>
            <w:r w:rsidRPr="00A574D1">
              <w:rPr>
                <w:rFonts w:ascii="Times New Roman" w:eastAsia="Times New Roman" w:hAnsi="Times New Roman" w:cs="Times New Roman"/>
                <w:sz w:val="24"/>
                <w:szCs w:val="24"/>
                <w:lang w:eastAsia="lv-LV"/>
              </w:rPr>
              <w:t>Plānotās sabiedrības līdzdalības un komunikācijas aktivitātes saistībā ar projektu</w:t>
            </w:r>
          </w:p>
        </w:tc>
        <w:tc>
          <w:tcPr>
            <w:tcW w:w="3208" w:type="pct"/>
            <w:tcBorders>
              <w:top w:val="outset" w:sz="6" w:space="0" w:color="auto"/>
              <w:left w:val="outset" w:sz="6" w:space="0" w:color="auto"/>
              <w:bottom w:val="outset" w:sz="6" w:space="0" w:color="auto"/>
              <w:right w:val="outset" w:sz="6" w:space="0" w:color="auto"/>
            </w:tcBorders>
            <w:hideMark/>
          </w:tcPr>
          <w:p w:rsidR="00C513B2" w:rsidRPr="00A574D1" w:rsidRDefault="00C513B2" w:rsidP="00552CF1">
            <w:pPr>
              <w:pStyle w:val="naisf"/>
              <w:spacing w:before="0" w:after="0"/>
              <w:ind w:left="57" w:right="57" w:firstLine="0"/>
              <w:rPr>
                <w:iCs/>
              </w:rPr>
            </w:pPr>
            <w:r w:rsidRPr="00A574D1">
              <w:t xml:space="preserve">Noteikumu projekts publiski ir pieejams Ekonomikas ministrijas mājas lapā internetā, </w:t>
            </w:r>
            <w:r w:rsidRPr="00A574D1">
              <w:rPr>
                <w:iCs/>
              </w:rPr>
              <w:t>kā arī pēc izsludināšanas Valsts sekretāra sanāksmē būs pieejams Ministru kabineta mājas lapā internetā.</w:t>
            </w:r>
          </w:p>
          <w:p w:rsidR="00A83693" w:rsidRPr="00A574D1" w:rsidRDefault="00A83693" w:rsidP="00552CF1">
            <w:pPr>
              <w:pStyle w:val="naisf"/>
              <w:spacing w:before="0" w:after="0"/>
              <w:ind w:left="57" w:right="57" w:firstLine="0"/>
            </w:pPr>
          </w:p>
        </w:tc>
      </w:tr>
      <w:tr w:rsidR="00A574D1" w:rsidRPr="00A574D1" w:rsidTr="00552CF1">
        <w:trPr>
          <w:trHeight w:val="2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C513B2" w:rsidRPr="00A574D1" w:rsidRDefault="00C513B2" w:rsidP="00552CF1">
            <w:pPr>
              <w:spacing w:after="0" w:line="240" w:lineRule="auto"/>
              <w:ind w:left="57" w:right="57"/>
              <w:rPr>
                <w:rFonts w:ascii="Times New Roman" w:eastAsia="Times New Roman" w:hAnsi="Times New Roman" w:cs="Times New Roman"/>
                <w:sz w:val="24"/>
                <w:szCs w:val="24"/>
                <w:lang w:eastAsia="lv-LV"/>
              </w:rPr>
            </w:pPr>
            <w:r w:rsidRPr="00A574D1">
              <w:rPr>
                <w:rFonts w:ascii="Times New Roman" w:eastAsia="Times New Roman" w:hAnsi="Times New Roman" w:cs="Times New Roman"/>
                <w:sz w:val="24"/>
                <w:szCs w:val="24"/>
                <w:lang w:eastAsia="lv-LV"/>
              </w:rPr>
              <w:t>2.</w:t>
            </w:r>
          </w:p>
        </w:tc>
        <w:tc>
          <w:tcPr>
            <w:tcW w:w="1481" w:type="pct"/>
            <w:tcBorders>
              <w:top w:val="outset" w:sz="6" w:space="0" w:color="auto"/>
              <w:left w:val="outset" w:sz="6" w:space="0" w:color="auto"/>
              <w:bottom w:val="outset" w:sz="6" w:space="0" w:color="auto"/>
              <w:right w:val="outset" w:sz="6" w:space="0" w:color="auto"/>
            </w:tcBorders>
            <w:hideMark/>
          </w:tcPr>
          <w:p w:rsidR="00C513B2" w:rsidRPr="00A574D1" w:rsidRDefault="00C513B2" w:rsidP="00552CF1">
            <w:pPr>
              <w:spacing w:after="0" w:line="240" w:lineRule="auto"/>
              <w:ind w:left="57" w:right="57"/>
              <w:rPr>
                <w:rFonts w:ascii="Times New Roman" w:eastAsia="Times New Roman" w:hAnsi="Times New Roman" w:cs="Times New Roman"/>
                <w:sz w:val="24"/>
                <w:szCs w:val="24"/>
                <w:lang w:eastAsia="lv-LV"/>
              </w:rPr>
            </w:pPr>
            <w:r w:rsidRPr="00A574D1">
              <w:rPr>
                <w:rFonts w:ascii="Times New Roman" w:eastAsia="Times New Roman" w:hAnsi="Times New Roman" w:cs="Times New Roman"/>
                <w:sz w:val="24"/>
                <w:szCs w:val="24"/>
                <w:lang w:eastAsia="lv-LV"/>
              </w:rPr>
              <w:t>Sabiedrības līdzdalība projekta izstrādē</w:t>
            </w:r>
          </w:p>
          <w:p w:rsidR="00C513B2" w:rsidRPr="00A574D1" w:rsidRDefault="00C513B2" w:rsidP="00552CF1">
            <w:pPr>
              <w:spacing w:after="0" w:line="240" w:lineRule="auto"/>
              <w:ind w:left="57" w:right="57"/>
              <w:rPr>
                <w:rFonts w:ascii="Times New Roman" w:eastAsia="Times New Roman" w:hAnsi="Times New Roman" w:cs="Times New Roman"/>
                <w:sz w:val="24"/>
                <w:szCs w:val="24"/>
                <w:lang w:eastAsia="lv-LV"/>
              </w:rPr>
            </w:pPr>
          </w:p>
        </w:tc>
        <w:tc>
          <w:tcPr>
            <w:tcW w:w="3208" w:type="pct"/>
            <w:tcBorders>
              <w:top w:val="outset" w:sz="6" w:space="0" w:color="auto"/>
              <w:left w:val="outset" w:sz="6" w:space="0" w:color="auto"/>
              <w:bottom w:val="outset" w:sz="6" w:space="0" w:color="auto"/>
              <w:right w:val="outset" w:sz="6" w:space="0" w:color="auto"/>
            </w:tcBorders>
            <w:hideMark/>
          </w:tcPr>
          <w:p w:rsidR="00241A29" w:rsidRPr="00A574D1" w:rsidRDefault="00C513B2" w:rsidP="00552CF1">
            <w:pPr>
              <w:spacing w:after="0" w:line="240" w:lineRule="auto"/>
              <w:ind w:left="57" w:right="57"/>
              <w:jc w:val="both"/>
              <w:rPr>
                <w:rFonts w:ascii="Times New Roman" w:eastAsia="Times New Roman" w:hAnsi="Times New Roman" w:cs="Times New Roman"/>
                <w:sz w:val="24"/>
                <w:szCs w:val="24"/>
                <w:lang w:eastAsia="lv-LV"/>
              </w:rPr>
            </w:pPr>
            <w:r w:rsidRPr="00A574D1">
              <w:rPr>
                <w:rFonts w:ascii="Times New Roman" w:eastAsia="Times New Roman" w:hAnsi="Times New Roman" w:cs="Times New Roman"/>
                <w:sz w:val="24"/>
                <w:szCs w:val="24"/>
                <w:lang w:eastAsia="lv-LV"/>
              </w:rPr>
              <w:t>Noteikumu projekts izskatīts</w:t>
            </w:r>
            <w:r w:rsidR="00241A29" w:rsidRPr="00A574D1">
              <w:rPr>
                <w:rFonts w:ascii="Times New Roman" w:eastAsia="Times New Roman" w:hAnsi="Times New Roman" w:cs="Times New Roman"/>
                <w:sz w:val="24"/>
                <w:szCs w:val="24"/>
                <w:lang w:eastAsia="lv-LV"/>
              </w:rPr>
              <w:t>:</w:t>
            </w:r>
            <w:r w:rsidRPr="00A574D1">
              <w:rPr>
                <w:rFonts w:ascii="Times New Roman" w:eastAsia="Times New Roman" w:hAnsi="Times New Roman" w:cs="Times New Roman"/>
                <w:sz w:val="24"/>
                <w:szCs w:val="24"/>
                <w:lang w:eastAsia="lv-LV"/>
              </w:rPr>
              <w:t xml:space="preserve"> </w:t>
            </w:r>
          </w:p>
          <w:p w:rsidR="00C513B2" w:rsidRPr="00A574D1" w:rsidRDefault="00241A29" w:rsidP="00552CF1">
            <w:pPr>
              <w:spacing w:after="0" w:line="240" w:lineRule="auto"/>
              <w:ind w:left="57" w:right="57"/>
              <w:jc w:val="both"/>
              <w:rPr>
                <w:rFonts w:ascii="Times New Roman" w:eastAsia="Times New Roman" w:hAnsi="Times New Roman" w:cs="Times New Roman"/>
                <w:sz w:val="24"/>
                <w:szCs w:val="24"/>
                <w:lang w:eastAsia="lv-LV"/>
              </w:rPr>
            </w:pPr>
            <w:r w:rsidRPr="00A574D1">
              <w:rPr>
                <w:rFonts w:ascii="Times New Roman" w:eastAsia="Times New Roman" w:hAnsi="Times New Roman" w:cs="Times New Roman"/>
                <w:sz w:val="24"/>
                <w:szCs w:val="24"/>
                <w:lang w:eastAsia="lv-LV"/>
              </w:rPr>
              <w:t>1) </w:t>
            </w:r>
            <w:r w:rsidR="00C513B2" w:rsidRPr="00A574D1">
              <w:rPr>
                <w:rFonts w:ascii="Times New Roman" w:eastAsia="Times New Roman" w:hAnsi="Times New Roman" w:cs="Times New Roman"/>
                <w:sz w:val="24"/>
                <w:szCs w:val="24"/>
                <w:lang w:eastAsia="lv-LV"/>
              </w:rPr>
              <w:t>Latvijas Būvniecības padomes 2015.gada 19.janvāra sēdē, atbalstot šādu grozījumi nepieciešamību.</w:t>
            </w:r>
          </w:p>
          <w:p w:rsidR="00241A29" w:rsidRPr="00A574D1" w:rsidRDefault="00241A29" w:rsidP="00552CF1">
            <w:pPr>
              <w:spacing w:after="0" w:line="240" w:lineRule="auto"/>
              <w:ind w:left="57" w:right="57"/>
              <w:jc w:val="both"/>
              <w:rPr>
                <w:rFonts w:ascii="Times New Roman" w:eastAsia="Times New Roman" w:hAnsi="Times New Roman" w:cs="Times New Roman"/>
                <w:sz w:val="24"/>
                <w:szCs w:val="24"/>
                <w:lang w:eastAsia="lv-LV"/>
              </w:rPr>
            </w:pPr>
            <w:r w:rsidRPr="00A574D1">
              <w:rPr>
                <w:rFonts w:ascii="Times New Roman" w:eastAsia="Times New Roman" w:hAnsi="Times New Roman" w:cs="Times New Roman"/>
                <w:sz w:val="24"/>
                <w:szCs w:val="24"/>
                <w:lang w:eastAsia="lv-LV"/>
              </w:rPr>
              <w:t>2) Latvijas Pašvaldību savienības 2015.gada 27.aprīļa sanāksmē, kurā tika atsevišķi vērtēti LPS izteiktie iebildumi;</w:t>
            </w:r>
          </w:p>
          <w:p w:rsidR="00241A29" w:rsidRPr="00A574D1" w:rsidRDefault="00241A29" w:rsidP="00552CF1">
            <w:pPr>
              <w:spacing w:after="0" w:line="240" w:lineRule="auto"/>
              <w:ind w:left="57" w:right="57"/>
              <w:jc w:val="both"/>
              <w:rPr>
                <w:rFonts w:ascii="Times New Roman" w:eastAsia="Times New Roman" w:hAnsi="Times New Roman" w:cs="Times New Roman"/>
                <w:sz w:val="24"/>
                <w:szCs w:val="24"/>
                <w:lang w:eastAsia="lv-LV"/>
              </w:rPr>
            </w:pPr>
            <w:r w:rsidRPr="00A574D1">
              <w:rPr>
                <w:rFonts w:ascii="Times New Roman" w:eastAsia="Times New Roman" w:hAnsi="Times New Roman" w:cs="Times New Roman"/>
                <w:sz w:val="24"/>
                <w:szCs w:val="24"/>
                <w:lang w:eastAsia="lv-LV"/>
              </w:rPr>
              <w:t>3) Satiksmes ministrijas un transporta nozares pārstāvj</w:t>
            </w:r>
            <w:r w:rsidR="006A3B4C" w:rsidRPr="00A574D1">
              <w:rPr>
                <w:rFonts w:ascii="Times New Roman" w:eastAsia="Times New Roman" w:hAnsi="Times New Roman" w:cs="Times New Roman"/>
                <w:sz w:val="24"/>
                <w:szCs w:val="24"/>
                <w:lang w:eastAsia="lv-LV"/>
              </w:rPr>
              <w:t>u</w:t>
            </w:r>
            <w:r w:rsidRPr="00A574D1">
              <w:rPr>
                <w:rFonts w:ascii="Times New Roman" w:eastAsia="Times New Roman" w:hAnsi="Times New Roman" w:cs="Times New Roman"/>
                <w:sz w:val="24"/>
                <w:szCs w:val="24"/>
                <w:lang w:eastAsia="lv-LV"/>
              </w:rPr>
              <w:t xml:space="preserve"> 2015.gada 7.aprīlī</w:t>
            </w:r>
            <w:r w:rsidR="006A3B4C" w:rsidRPr="00A574D1">
              <w:rPr>
                <w:rFonts w:ascii="Times New Roman" w:eastAsia="Times New Roman" w:hAnsi="Times New Roman" w:cs="Times New Roman"/>
                <w:sz w:val="24"/>
                <w:szCs w:val="24"/>
                <w:lang w:eastAsia="lv-LV"/>
              </w:rPr>
              <w:t xml:space="preserve"> sanāksmē</w:t>
            </w:r>
          </w:p>
          <w:p w:rsidR="00A83693" w:rsidRPr="00A574D1" w:rsidRDefault="00A83693" w:rsidP="00552CF1">
            <w:pPr>
              <w:spacing w:after="0" w:line="240" w:lineRule="auto"/>
              <w:ind w:left="57" w:right="57"/>
              <w:jc w:val="both"/>
              <w:rPr>
                <w:rFonts w:ascii="Times New Roman" w:eastAsia="Times New Roman" w:hAnsi="Times New Roman" w:cs="Times New Roman"/>
                <w:sz w:val="24"/>
                <w:szCs w:val="24"/>
                <w:lang w:eastAsia="lv-LV"/>
              </w:rPr>
            </w:pPr>
          </w:p>
        </w:tc>
      </w:tr>
      <w:tr w:rsidR="00A574D1" w:rsidRPr="00A574D1" w:rsidTr="00552CF1">
        <w:trPr>
          <w:trHeight w:val="31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C513B2" w:rsidRPr="00A574D1" w:rsidRDefault="00C513B2" w:rsidP="00552CF1">
            <w:pPr>
              <w:spacing w:after="0" w:line="240" w:lineRule="auto"/>
              <w:ind w:left="57" w:right="57"/>
              <w:rPr>
                <w:rFonts w:ascii="Times New Roman" w:eastAsia="Times New Roman" w:hAnsi="Times New Roman" w:cs="Times New Roman"/>
                <w:sz w:val="24"/>
                <w:szCs w:val="24"/>
                <w:lang w:eastAsia="lv-LV"/>
              </w:rPr>
            </w:pPr>
            <w:r w:rsidRPr="00A574D1">
              <w:rPr>
                <w:rFonts w:ascii="Times New Roman" w:eastAsia="Times New Roman" w:hAnsi="Times New Roman" w:cs="Times New Roman"/>
                <w:sz w:val="24"/>
                <w:szCs w:val="24"/>
                <w:lang w:eastAsia="lv-LV"/>
              </w:rPr>
              <w:t>3.</w:t>
            </w:r>
          </w:p>
        </w:tc>
        <w:tc>
          <w:tcPr>
            <w:tcW w:w="1481" w:type="pct"/>
            <w:tcBorders>
              <w:top w:val="outset" w:sz="6" w:space="0" w:color="auto"/>
              <w:left w:val="outset" w:sz="6" w:space="0" w:color="auto"/>
              <w:bottom w:val="outset" w:sz="6" w:space="0" w:color="auto"/>
              <w:right w:val="outset" w:sz="6" w:space="0" w:color="auto"/>
            </w:tcBorders>
            <w:hideMark/>
          </w:tcPr>
          <w:p w:rsidR="00C513B2" w:rsidRPr="00A574D1" w:rsidRDefault="00C513B2" w:rsidP="00552CF1">
            <w:pPr>
              <w:spacing w:after="0" w:line="240" w:lineRule="auto"/>
              <w:ind w:left="57" w:right="57"/>
              <w:rPr>
                <w:rFonts w:ascii="Times New Roman" w:eastAsia="Times New Roman" w:hAnsi="Times New Roman" w:cs="Times New Roman"/>
                <w:sz w:val="24"/>
                <w:szCs w:val="24"/>
                <w:lang w:eastAsia="lv-LV"/>
              </w:rPr>
            </w:pPr>
            <w:r w:rsidRPr="00A574D1">
              <w:rPr>
                <w:rFonts w:ascii="Times New Roman" w:eastAsia="Times New Roman" w:hAnsi="Times New Roman" w:cs="Times New Roman"/>
                <w:sz w:val="24"/>
                <w:szCs w:val="24"/>
                <w:lang w:eastAsia="lv-LV"/>
              </w:rPr>
              <w:t>Sabiedrības līdzdalības rezultāti</w:t>
            </w:r>
          </w:p>
          <w:p w:rsidR="00C513B2" w:rsidRPr="00A574D1" w:rsidRDefault="00C513B2" w:rsidP="00552CF1">
            <w:pPr>
              <w:spacing w:after="0" w:line="240" w:lineRule="auto"/>
              <w:ind w:left="57" w:right="57"/>
              <w:rPr>
                <w:rFonts w:ascii="Times New Roman" w:eastAsia="Times New Roman" w:hAnsi="Times New Roman" w:cs="Times New Roman"/>
                <w:sz w:val="24"/>
                <w:szCs w:val="24"/>
                <w:lang w:eastAsia="lv-LV"/>
              </w:rPr>
            </w:pPr>
          </w:p>
        </w:tc>
        <w:tc>
          <w:tcPr>
            <w:tcW w:w="3208" w:type="pct"/>
            <w:tcBorders>
              <w:top w:val="outset" w:sz="6" w:space="0" w:color="auto"/>
              <w:left w:val="outset" w:sz="6" w:space="0" w:color="auto"/>
              <w:bottom w:val="outset" w:sz="6" w:space="0" w:color="auto"/>
              <w:right w:val="outset" w:sz="6" w:space="0" w:color="auto"/>
            </w:tcBorders>
            <w:hideMark/>
          </w:tcPr>
          <w:p w:rsidR="00C513B2" w:rsidRPr="00A574D1" w:rsidRDefault="00C513B2" w:rsidP="00552CF1">
            <w:pPr>
              <w:spacing w:after="0" w:line="240" w:lineRule="auto"/>
              <w:ind w:left="57" w:right="57"/>
              <w:rPr>
                <w:rFonts w:ascii="Times New Roman" w:eastAsia="Times New Roman" w:hAnsi="Times New Roman" w:cs="Times New Roman"/>
                <w:sz w:val="24"/>
                <w:szCs w:val="24"/>
                <w:lang w:eastAsia="lv-LV"/>
              </w:rPr>
            </w:pPr>
            <w:r w:rsidRPr="00A574D1">
              <w:rPr>
                <w:rFonts w:ascii="Times New Roman" w:eastAsia="Times New Roman" w:hAnsi="Times New Roman" w:cs="Times New Roman"/>
                <w:sz w:val="24"/>
                <w:szCs w:val="24"/>
                <w:lang w:eastAsia="lv-LV"/>
              </w:rPr>
              <w:t>Latvijas Būvniecības padomes darbā iesaistītās būvniecības nozares nevalstiskās organizācijas sniedza atzinumus par projektu pēc izsludināšanas Valsts sekretāru sanāksmē. Izteiktie iebildumi ir iekļauti izziņā.</w:t>
            </w:r>
          </w:p>
          <w:p w:rsidR="00A83693" w:rsidRPr="00A574D1" w:rsidRDefault="00A83693" w:rsidP="00552CF1">
            <w:pPr>
              <w:spacing w:after="0" w:line="240" w:lineRule="auto"/>
              <w:ind w:left="57" w:right="57"/>
              <w:rPr>
                <w:rFonts w:ascii="Times New Roman" w:eastAsia="Times New Roman" w:hAnsi="Times New Roman" w:cs="Times New Roman"/>
                <w:sz w:val="24"/>
                <w:szCs w:val="24"/>
                <w:lang w:eastAsia="lv-LV"/>
              </w:rPr>
            </w:pPr>
          </w:p>
        </w:tc>
      </w:tr>
      <w:tr w:rsidR="00A574D1" w:rsidRPr="00A574D1" w:rsidTr="00552CF1">
        <w:trPr>
          <w:trHeight w:val="31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C513B2" w:rsidRPr="00A574D1" w:rsidRDefault="00C513B2" w:rsidP="00552CF1">
            <w:pPr>
              <w:spacing w:after="0" w:line="240" w:lineRule="auto"/>
              <w:ind w:left="57" w:right="57"/>
              <w:rPr>
                <w:rFonts w:ascii="Times New Roman" w:eastAsia="Times New Roman" w:hAnsi="Times New Roman" w:cs="Times New Roman"/>
                <w:sz w:val="24"/>
                <w:szCs w:val="24"/>
                <w:lang w:eastAsia="lv-LV"/>
              </w:rPr>
            </w:pPr>
            <w:r w:rsidRPr="00A574D1">
              <w:rPr>
                <w:rFonts w:ascii="Times New Roman" w:eastAsia="Times New Roman" w:hAnsi="Times New Roman" w:cs="Times New Roman"/>
                <w:sz w:val="24"/>
                <w:szCs w:val="24"/>
                <w:lang w:eastAsia="lv-LV"/>
              </w:rPr>
              <w:t>4.</w:t>
            </w:r>
          </w:p>
        </w:tc>
        <w:tc>
          <w:tcPr>
            <w:tcW w:w="1481" w:type="pct"/>
            <w:tcBorders>
              <w:top w:val="outset" w:sz="6" w:space="0" w:color="auto"/>
              <w:left w:val="outset" w:sz="6" w:space="0" w:color="auto"/>
              <w:bottom w:val="outset" w:sz="6" w:space="0" w:color="auto"/>
              <w:right w:val="outset" w:sz="6" w:space="0" w:color="auto"/>
            </w:tcBorders>
            <w:hideMark/>
          </w:tcPr>
          <w:p w:rsidR="00C513B2" w:rsidRPr="00A574D1" w:rsidRDefault="00C513B2" w:rsidP="00552CF1">
            <w:pPr>
              <w:spacing w:after="0" w:line="240" w:lineRule="auto"/>
              <w:ind w:left="57" w:right="57"/>
              <w:rPr>
                <w:rFonts w:ascii="Times New Roman" w:eastAsia="Times New Roman" w:hAnsi="Times New Roman" w:cs="Times New Roman"/>
                <w:sz w:val="24"/>
                <w:szCs w:val="24"/>
                <w:lang w:eastAsia="lv-LV"/>
              </w:rPr>
            </w:pPr>
            <w:r w:rsidRPr="00A574D1">
              <w:rPr>
                <w:rFonts w:ascii="Times New Roman" w:eastAsia="Times New Roman" w:hAnsi="Times New Roman" w:cs="Times New Roman"/>
                <w:sz w:val="24"/>
                <w:szCs w:val="24"/>
                <w:lang w:eastAsia="lv-LV"/>
              </w:rPr>
              <w:t>Cita informācija</w:t>
            </w:r>
          </w:p>
        </w:tc>
        <w:tc>
          <w:tcPr>
            <w:tcW w:w="3208" w:type="pct"/>
            <w:tcBorders>
              <w:top w:val="outset" w:sz="6" w:space="0" w:color="auto"/>
              <w:left w:val="outset" w:sz="6" w:space="0" w:color="auto"/>
              <w:bottom w:val="outset" w:sz="6" w:space="0" w:color="auto"/>
              <w:right w:val="outset" w:sz="6" w:space="0" w:color="auto"/>
            </w:tcBorders>
            <w:hideMark/>
          </w:tcPr>
          <w:p w:rsidR="00C513B2" w:rsidRPr="00A574D1" w:rsidRDefault="00C513B2" w:rsidP="00552CF1">
            <w:pPr>
              <w:spacing w:after="0" w:line="240" w:lineRule="auto"/>
              <w:ind w:left="57" w:right="57"/>
              <w:rPr>
                <w:rFonts w:ascii="Times New Roman" w:eastAsia="Times New Roman" w:hAnsi="Times New Roman" w:cs="Times New Roman"/>
                <w:sz w:val="24"/>
                <w:szCs w:val="24"/>
                <w:lang w:eastAsia="lv-LV"/>
              </w:rPr>
            </w:pPr>
            <w:r w:rsidRPr="00A574D1">
              <w:rPr>
                <w:rFonts w:ascii="Times New Roman" w:eastAsia="Times New Roman" w:hAnsi="Times New Roman" w:cs="Times New Roman"/>
                <w:sz w:val="24"/>
                <w:szCs w:val="24"/>
                <w:lang w:eastAsia="lv-LV"/>
              </w:rPr>
              <w:t>Nav</w:t>
            </w:r>
          </w:p>
          <w:p w:rsidR="00A83693" w:rsidRPr="00A574D1" w:rsidRDefault="00A83693" w:rsidP="00552CF1">
            <w:pPr>
              <w:spacing w:after="0" w:line="240" w:lineRule="auto"/>
              <w:ind w:left="57" w:right="57"/>
              <w:rPr>
                <w:rFonts w:ascii="Times New Roman" w:eastAsia="Times New Roman" w:hAnsi="Times New Roman" w:cs="Times New Roman"/>
                <w:sz w:val="24"/>
                <w:szCs w:val="24"/>
                <w:lang w:eastAsia="lv-LV"/>
              </w:rPr>
            </w:pPr>
          </w:p>
        </w:tc>
      </w:tr>
    </w:tbl>
    <w:p w:rsidR="00C513B2" w:rsidRPr="00A574D1" w:rsidRDefault="00C513B2" w:rsidP="00C513B2">
      <w:pPr>
        <w:spacing w:after="0" w:line="240" w:lineRule="auto"/>
        <w:ind w:left="57" w:right="57"/>
        <w:rPr>
          <w:rFonts w:ascii="Times New Roman" w:eastAsia="Times New Roman" w:hAnsi="Times New Roman" w:cs="Times New Roman"/>
          <w:sz w:val="26"/>
          <w:szCs w:val="26"/>
          <w:lang w:eastAsia="lv-LV"/>
        </w:rPr>
      </w:pPr>
      <w:r w:rsidRPr="00A574D1">
        <w:rPr>
          <w:rFonts w:ascii="Times New Roman" w:eastAsia="Times New Roman" w:hAnsi="Times New Roman" w:cs="Times New Roman"/>
          <w:sz w:val="26"/>
          <w:szCs w:val="26"/>
          <w:lang w:eastAsia="lv-LV"/>
        </w:rPr>
        <w:lastRenderedPageBreak/>
        <w:t> </w:t>
      </w:r>
    </w:p>
    <w:p w:rsidR="00A83693" w:rsidRPr="00A574D1" w:rsidRDefault="00A83693" w:rsidP="00C513B2">
      <w:pPr>
        <w:spacing w:after="0" w:line="240" w:lineRule="auto"/>
        <w:ind w:left="57" w:right="57"/>
        <w:rPr>
          <w:rFonts w:ascii="Times New Roman" w:eastAsia="Times New Roman" w:hAnsi="Times New Roman" w:cs="Times New Roman"/>
          <w:sz w:val="26"/>
          <w:szCs w:val="26"/>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506"/>
        <w:gridCol w:w="3535"/>
        <w:gridCol w:w="5297"/>
      </w:tblGrid>
      <w:tr w:rsidR="00A574D1" w:rsidRPr="00A574D1" w:rsidTr="00552CF1">
        <w:trPr>
          <w:trHeight w:val="2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513B2" w:rsidRPr="00A574D1" w:rsidRDefault="00C513B2" w:rsidP="00552CF1">
            <w:pPr>
              <w:spacing w:after="0" w:line="240" w:lineRule="auto"/>
              <w:ind w:left="57" w:right="57"/>
              <w:jc w:val="center"/>
              <w:rPr>
                <w:rFonts w:ascii="Times New Roman" w:eastAsia="Times New Roman" w:hAnsi="Times New Roman" w:cs="Times New Roman"/>
                <w:b/>
                <w:bCs/>
                <w:sz w:val="24"/>
                <w:szCs w:val="24"/>
                <w:lang w:eastAsia="lv-LV"/>
              </w:rPr>
            </w:pPr>
            <w:r w:rsidRPr="00A574D1">
              <w:rPr>
                <w:rFonts w:ascii="Times New Roman" w:eastAsia="Times New Roman" w:hAnsi="Times New Roman" w:cs="Times New Roman"/>
                <w:b/>
                <w:bCs/>
                <w:sz w:val="24"/>
                <w:szCs w:val="24"/>
                <w:lang w:eastAsia="lv-LV"/>
              </w:rPr>
              <w:t>VII. Tiesību akta projekta izpildes nodrošināšana un tās ietekme uz institūcijām</w:t>
            </w:r>
          </w:p>
        </w:tc>
      </w:tr>
      <w:tr w:rsidR="00A574D1" w:rsidRPr="00A574D1" w:rsidTr="00552CF1">
        <w:trPr>
          <w:trHeight w:val="28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C513B2" w:rsidRPr="00A574D1" w:rsidRDefault="00C513B2" w:rsidP="00552CF1">
            <w:pPr>
              <w:spacing w:after="0" w:line="240" w:lineRule="auto"/>
              <w:ind w:left="57" w:right="57"/>
              <w:rPr>
                <w:rFonts w:ascii="Times New Roman" w:eastAsia="Times New Roman" w:hAnsi="Times New Roman" w:cs="Times New Roman"/>
                <w:sz w:val="24"/>
                <w:szCs w:val="24"/>
                <w:lang w:eastAsia="lv-LV"/>
              </w:rPr>
            </w:pPr>
            <w:r w:rsidRPr="00A574D1">
              <w:rPr>
                <w:rFonts w:ascii="Times New Roman" w:eastAsia="Times New Roman" w:hAnsi="Times New Roman" w:cs="Times New Roman"/>
                <w:sz w:val="24"/>
                <w:szCs w:val="24"/>
                <w:lang w:eastAsia="lv-LV"/>
              </w:rPr>
              <w:t>1.</w:t>
            </w:r>
          </w:p>
        </w:tc>
        <w:tc>
          <w:tcPr>
            <w:tcW w:w="1876" w:type="pct"/>
            <w:tcBorders>
              <w:top w:val="outset" w:sz="6" w:space="0" w:color="auto"/>
              <w:left w:val="outset" w:sz="6" w:space="0" w:color="auto"/>
              <w:bottom w:val="outset" w:sz="6" w:space="0" w:color="auto"/>
              <w:right w:val="outset" w:sz="6" w:space="0" w:color="auto"/>
            </w:tcBorders>
            <w:hideMark/>
          </w:tcPr>
          <w:p w:rsidR="00C513B2" w:rsidRPr="00A574D1" w:rsidRDefault="00C513B2" w:rsidP="00552CF1">
            <w:pPr>
              <w:spacing w:after="0" w:line="240" w:lineRule="auto"/>
              <w:ind w:left="57" w:right="57"/>
              <w:rPr>
                <w:rFonts w:ascii="Times New Roman" w:eastAsia="Times New Roman" w:hAnsi="Times New Roman" w:cs="Times New Roman"/>
                <w:sz w:val="24"/>
                <w:szCs w:val="24"/>
                <w:lang w:eastAsia="lv-LV"/>
              </w:rPr>
            </w:pPr>
            <w:r w:rsidRPr="00A574D1">
              <w:rPr>
                <w:rFonts w:ascii="Times New Roman" w:eastAsia="Times New Roman" w:hAnsi="Times New Roman" w:cs="Times New Roman"/>
                <w:sz w:val="24"/>
                <w:szCs w:val="24"/>
                <w:lang w:eastAsia="lv-LV"/>
              </w:rPr>
              <w:t>Projekta izpildē iesaistītās institūcijas</w:t>
            </w:r>
          </w:p>
        </w:tc>
        <w:tc>
          <w:tcPr>
            <w:tcW w:w="2812" w:type="pct"/>
            <w:tcBorders>
              <w:top w:val="outset" w:sz="6" w:space="0" w:color="auto"/>
              <w:left w:val="outset" w:sz="6" w:space="0" w:color="auto"/>
              <w:bottom w:val="outset" w:sz="6" w:space="0" w:color="auto"/>
              <w:right w:val="outset" w:sz="6" w:space="0" w:color="auto"/>
            </w:tcBorders>
            <w:hideMark/>
          </w:tcPr>
          <w:p w:rsidR="00C513B2" w:rsidRPr="00A574D1" w:rsidRDefault="00C513B2" w:rsidP="00552CF1">
            <w:pPr>
              <w:pStyle w:val="naisnod"/>
              <w:spacing w:before="0" w:after="0"/>
              <w:ind w:left="57" w:right="57"/>
              <w:jc w:val="left"/>
              <w:rPr>
                <w:b w:val="0"/>
                <w:iCs/>
              </w:rPr>
            </w:pPr>
            <w:r w:rsidRPr="00A574D1">
              <w:rPr>
                <w:b w:val="0"/>
                <w:iCs/>
              </w:rPr>
              <w:t>Būvniecības valsts kontroles birojs,</w:t>
            </w:r>
          </w:p>
          <w:p w:rsidR="00C513B2" w:rsidRPr="00A574D1" w:rsidRDefault="00C513B2" w:rsidP="00552CF1">
            <w:pPr>
              <w:pStyle w:val="naisnod"/>
              <w:spacing w:before="0" w:after="0"/>
              <w:ind w:left="57" w:right="57"/>
              <w:jc w:val="left"/>
              <w:rPr>
                <w:b w:val="0"/>
                <w:iCs/>
              </w:rPr>
            </w:pPr>
            <w:r w:rsidRPr="00A574D1">
              <w:rPr>
                <w:b w:val="0"/>
                <w:iCs/>
              </w:rPr>
              <w:t>Pašvaldību būvvaldes,</w:t>
            </w:r>
          </w:p>
          <w:p w:rsidR="00C513B2" w:rsidRPr="00A574D1" w:rsidRDefault="00C513B2" w:rsidP="00552CF1">
            <w:pPr>
              <w:pStyle w:val="naisnod"/>
              <w:spacing w:before="0" w:after="0"/>
              <w:ind w:left="57" w:right="57"/>
              <w:jc w:val="left"/>
              <w:rPr>
                <w:b w:val="0"/>
                <w:iCs/>
              </w:rPr>
            </w:pPr>
            <w:r w:rsidRPr="00A574D1">
              <w:rPr>
                <w:b w:val="0"/>
                <w:iCs/>
              </w:rPr>
              <w:t>Institūcijas, kuras pilda būvvaldes funkcijas,</w:t>
            </w:r>
          </w:p>
          <w:p w:rsidR="00C513B2" w:rsidRPr="00A574D1" w:rsidRDefault="00C513B2" w:rsidP="00552CF1">
            <w:pPr>
              <w:pStyle w:val="naisnod"/>
              <w:spacing w:before="0" w:after="0"/>
              <w:ind w:left="57" w:right="57"/>
              <w:jc w:val="left"/>
            </w:pPr>
            <w:r w:rsidRPr="00A574D1">
              <w:rPr>
                <w:b w:val="0"/>
                <w:iCs/>
              </w:rPr>
              <w:t>Kontrolējošās institūcijas</w:t>
            </w:r>
          </w:p>
        </w:tc>
      </w:tr>
      <w:tr w:rsidR="00A574D1" w:rsidRPr="00A574D1" w:rsidTr="00552CF1">
        <w:trPr>
          <w:trHeight w:val="30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C513B2" w:rsidRPr="00A574D1" w:rsidRDefault="00C513B2" w:rsidP="00552CF1">
            <w:pPr>
              <w:spacing w:after="0" w:line="240" w:lineRule="auto"/>
              <w:ind w:left="57" w:right="57"/>
              <w:rPr>
                <w:rFonts w:ascii="Times New Roman" w:eastAsia="Times New Roman" w:hAnsi="Times New Roman" w:cs="Times New Roman"/>
                <w:sz w:val="24"/>
                <w:szCs w:val="24"/>
                <w:lang w:eastAsia="lv-LV"/>
              </w:rPr>
            </w:pPr>
            <w:r w:rsidRPr="00A574D1">
              <w:rPr>
                <w:rFonts w:ascii="Times New Roman" w:eastAsia="Times New Roman" w:hAnsi="Times New Roman" w:cs="Times New Roman"/>
                <w:sz w:val="24"/>
                <w:szCs w:val="24"/>
                <w:lang w:eastAsia="lv-LV"/>
              </w:rPr>
              <w:t>2.</w:t>
            </w:r>
          </w:p>
        </w:tc>
        <w:tc>
          <w:tcPr>
            <w:tcW w:w="1876" w:type="pct"/>
            <w:tcBorders>
              <w:top w:val="outset" w:sz="6" w:space="0" w:color="auto"/>
              <w:left w:val="outset" w:sz="6" w:space="0" w:color="auto"/>
              <w:bottom w:val="outset" w:sz="6" w:space="0" w:color="auto"/>
              <w:right w:val="outset" w:sz="6" w:space="0" w:color="auto"/>
            </w:tcBorders>
            <w:hideMark/>
          </w:tcPr>
          <w:p w:rsidR="00C513B2" w:rsidRPr="00A574D1" w:rsidRDefault="00C513B2" w:rsidP="00552CF1">
            <w:pPr>
              <w:spacing w:after="0" w:line="240" w:lineRule="auto"/>
              <w:ind w:left="57" w:right="57"/>
              <w:rPr>
                <w:rFonts w:ascii="Times New Roman" w:eastAsia="Times New Roman" w:hAnsi="Times New Roman" w:cs="Times New Roman"/>
                <w:sz w:val="24"/>
                <w:szCs w:val="24"/>
                <w:lang w:eastAsia="lv-LV"/>
              </w:rPr>
            </w:pPr>
            <w:r w:rsidRPr="00A574D1">
              <w:rPr>
                <w:rFonts w:ascii="Times New Roman" w:eastAsia="Times New Roman" w:hAnsi="Times New Roman" w:cs="Times New Roman"/>
                <w:sz w:val="24"/>
                <w:szCs w:val="24"/>
                <w:lang w:eastAsia="lv-LV"/>
              </w:rPr>
              <w:t xml:space="preserve">Projekta izpildes ietekme uz pārvaldes funkcijām un institucionālo struktūru. </w:t>
            </w:r>
          </w:p>
          <w:p w:rsidR="00C513B2" w:rsidRPr="00A574D1" w:rsidRDefault="00C513B2" w:rsidP="00552CF1">
            <w:pPr>
              <w:spacing w:after="0" w:line="240" w:lineRule="auto"/>
              <w:ind w:left="57" w:right="57"/>
              <w:rPr>
                <w:rFonts w:ascii="Times New Roman" w:eastAsia="Times New Roman" w:hAnsi="Times New Roman" w:cs="Times New Roman"/>
                <w:sz w:val="24"/>
                <w:szCs w:val="24"/>
                <w:lang w:eastAsia="lv-LV"/>
              </w:rPr>
            </w:pPr>
            <w:r w:rsidRPr="00A574D1">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p w:rsidR="00A83693" w:rsidRPr="00A574D1" w:rsidRDefault="00A83693" w:rsidP="00552CF1">
            <w:pPr>
              <w:spacing w:after="0" w:line="240" w:lineRule="auto"/>
              <w:ind w:left="57" w:right="57"/>
              <w:rPr>
                <w:rFonts w:ascii="Times New Roman" w:eastAsia="Times New Roman" w:hAnsi="Times New Roman" w:cs="Times New Roman"/>
                <w:sz w:val="24"/>
                <w:szCs w:val="24"/>
                <w:lang w:eastAsia="lv-LV"/>
              </w:rPr>
            </w:pPr>
          </w:p>
        </w:tc>
        <w:tc>
          <w:tcPr>
            <w:tcW w:w="2812" w:type="pct"/>
            <w:tcBorders>
              <w:top w:val="outset" w:sz="6" w:space="0" w:color="auto"/>
              <w:left w:val="outset" w:sz="6" w:space="0" w:color="auto"/>
              <w:bottom w:val="outset" w:sz="6" w:space="0" w:color="auto"/>
              <w:right w:val="outset" w:sz="6" w:space="0" w:color="auto"/>
            </w:tcBorders>
            <w:hideMark/>
          </w:tcPr>
          <w:p w:rsidR="00C513B2" w:rsidRPr="00A574D1" w:rsidRDefault="00C513B2" w:rsidP="00552CF1">
            <w:pPr>
              <w:pStyle w:val="ListParagraph"/>
              <w:numPr>
                <w:ilvl w:val="0"/>
                <w:numId w:val="1"/>
              </w:numPr>
              <w:spacing w:after="0" w:line="240" w:lineRule="auto"/>
              <w:ind w:right="57"/>
              <w:rPr>
                <w:rFonts w:ascii="Times New Roman" w:eastAsia="Times New Roman" w:hAnsi="Times New Roman" w:cs="Times New Roman"/>
                <w:sz w:val="24"/>
                <w:szCs w:val="24"/>
                <w:lang w:eastAsia="lv-LV"/>
              </w:rPr>
            </w:pPr>
          </w:p>
        </w:tc>
      </w:tr>
      <w:tr w:rsidR="00C513B2" w:rsidRPr="00A574D1" w:rsidTr="00552CF1">
        <w:trPr>
          <w:trHeight w:val="26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C513B2" w:rsidRPr="00A574D1" w:rsidRDefault="00C513B2" w:rsidP="00552CF1">
            <w:pPr>
              <w:spacing w:after="0" w:line="240" w:lineRule="auto"/>
              <w:ind w:left="57" w:right="57"/>
              <w:rPr>
                <w:rFonts w:ascii="Times New Roman" w:eastAsia="Times New Roman" w:hAnsi="Times New Roman" w:cs="Times New Roman"/>
                <w:sz w:val="24"/>
                <w:szCs w:val="24"/>
                <w:lang w:eastAsia="lv-LV"/>
              </w:rPr>
            </w:pPr>
            <w:r w:rsidRPr="00A574D1">
              <w:rPr>
                <w:rFonts w:ascii="Times New Roman" w:eastAsia="Times New Roman" w:hAnsi="Times New Roman" w:cs="Times New Roman"/>
                <w:sz w:val="24"/>
                <w:szCs w:val="24"/>
                <w:lang w:eastAsia="lv-LV"/>
              </w:rPr>
              <w:t>3.</w:t>
            </w:r>
          </w:p>
        </w:tc>
        <w:tc>
          <w:tcPr>
            <w:tcW w:w="1876" w:type="pct"/>
            <w:tcBorders>
              <w:top w:val="outset" w:sz="6" w:space="0" w:color="auto"/>
              <w:left w:val="outset" w:sz="6" w:space="0" w:color="auto"/>
              <w:bottom w:val="outset" w:sz="6" w:space="0" w:color="auto"/>
              <w:right w:val="outset" w:sz="6" w:space="0" w:color="auto"/>
            </w:tcBorders>
            <w:hideMark/>
          </w:tcPr>
          <w:p w:rsidR="00C513B2" w:rsidRPr="00A574D1" w:rsidRDefault="00C513B2" w:rsidP="00552CF1">
            <w:pPr>
              <w:spacing w:after="0" w:line="240" w:lineRule="auto"/>
              <w:ind w:left="57" w:right="57"/>
              <w:rPr>
                <w:rFonts w:ascii="Times New Roman" w:eastAsia="Times New Roman" w:hAnsi="Times New Roman" w:cs="Times New Roman"/>
                <w:sz w:val="24"/>
                <w:szCs w:val="24"/>
                <w:lang w:eastAsia="lv-LV"/>
              </w:rPr>
            </w:pPr>
            <w:r w:rsidRPr="00A574D1">
              <w:rPr>
                <w:rFonts w:ascii="Times New Roman" w:eastAsia="Times New Roman" w:hAnsi="Times New Roman" w:cs="Times New Roman"/>
                <w:sz w:val="24"/>
                <w:szCs w:val="24"/>
                <w:lang w:eastAsia="lv-LV"/>
              </w:rPr>
              <w:t>Cita informācija</w:t>
            </w:r>
          </w:p>
          <w:p w:rsidR="00A83693" w:rsidRPr="00A574D1" w:rsidRDefault="00A83693" w:rsidP="00552CF1">
            <w:pPr>
              <w:spacing w:after="0" w:line="240" w:lineRule="auto"/>
              <w:ind w:left="57" w:right="57"/>
              <w:rPr>
                <w:rFonts w:ascii="Times New Roman" w:eastAsia="Times New Roman" w:hAnsi="Times New Roman" w:cs="Times New Roman"/>
                <w:sz w:val="24"/>
                <w:szCs w:val="24"/>
                <w:lang w:eastAsia="lv-LV"/>
              </w:rPr>
            </w:pPr>
          </w:p>
        </w:tc>
        <w:tc>
          <w:tcPr>
            <w:tcW w:w="2812" w:type="pct"/>
            <w:tcBorders>
              <w:top w:val="outset" w:sz="6" w:space="0" w:color="auto"/>
              <w:left w:val="outset" w:sz="6" w:space="0" w:color="auto"/>
              <w:bottom w:val="outset" w:sz="6" w:space="0" w:color="auto"/>
              <w:right w:val="outset" w:sz="6" w:space="0" w:color="auto"/>
            </w:tcBorders>
            <w:hideMark/>
          </w:tcPr>
          <w:p w:rsidR="00C513B2" w:rsidRPr="00A574D1" w:rsidRDefault="00C513B2" w:rsidP="00552CF1">
            <w:pPr>
              <w:spacing w:after="0" w:line="240" w:lineRule="auto"/>
              <w:ind w:left="57" w:right="57"/>
              <w:rPr>
                <w:rFonts w:ascii="Times New Roman" w:eastAsia="Times New Roman" w:hAnsi="Times New Roman" w:cs="Times New Roman"/>
                <w:sz w:val="24"/>
                <w:szCs w:val="24"/>
                <w:lang w:eastAsia="lv-LV"/>
              </w:rPr>
            </w:pPr>
            <w:r w:rsidRPr="00A574D1">
              <w:rPr>
                <w:rFonts w:ascii="Times New Roman" w:eastAsia="Times New Roman" w:hAnsi="Times New Roman" w:cs="Times New Roman"/>
                <w:sz w:val="24"/>
                <w:szCs w:val="24"/>
                <w:lang w:eastAsia="lv-LV"/>
              </w:rPr>
              <w:t>Nav</w:t>
            </w:r>
          </w:p>
        </w:tc>
      </w:tr>
    </w:tbl>
    <w:p w:rsidR="00C513B2" w:rsidRPr="00A574D1" w:rsidRDefault="00C513B2" w:rsidP="00C513B2">
      <w:pPr>
        <w:spacing w:after="0" w:line="240" w:lineRule="auto"/>
        <w:ind w:left="57" w:right="57"/>
        <w:rPr>
          <w:rFonts w:ascii="Times New Roman" w:hAnsi="Times New Roman" w:cs="Times New Roman"/>
          <w:sz w:val="26"/>
          <w:szCs w:val="26"/>
        </w:rPr>
      </w:pPr>
    </w:p>
    <w:p w:rsidR="00C513B2" w:rsidRPr="00A574D1" w:rsidRDefault="00C513B2" w:rsidP="00C513B2">
      <w:pPr>
        <w:spacing w:after="0" w:line="240" w:lineRule="auto"/>
        <w:ind w:left="57" w:right="57"/>
        <w:rPr>
          <w:rFonts w:ascii="Times New Roman" w:hAnsi="Times New Roman" w:cs="Times New Roman"/>
          <w:sz w:val="26"/>
          <w:szCs w:val="26"/>
        </w:rPr>
      </w:pPr>
      <w:r w:rsidRPr="00A574D1">
        <w:rPr>
          <w:rFonts w:ascii="Times New Roman" w:hAnsi="Times New Roman" w:cs="Times New Roman"/>
          <w:sz w:val="26"/>
          <w:szCs w:val="26"/>
        </w:rPr>
        <w:t xml:space="preserve">Anotācijas III, IV un V  sadaļa - projekts šīs jomas neskar. </w:t>
      </w:r>
    </w:p>
    <w:p w:rsidR="00C513B2" w:rsidRPr="00A574D1" w:rsidRDefault="00C513B2" w:rsidP="00C513B2">
      <w:pPr>
        <w:spacing w:after="0" w:line="240" w:lineRule="auto"/>
        <w:ind w:left="57" w:right="57"/>
        <w:rPr>
          <w:rFonts w:ascii="Times New Roman" w:hAnsi="Times New Roman" w:cs="Times New Roman"/>
          <w:sz w:val="26"/>
          <w:szCs w:val="26"/>
        </w:rPr>
      </w:pPr>
    </w:p>
    <w:p w:rsidR="00C513B2" w:rsidRPr="00A574D1" w:rsidRDefault="00C513B2" w:rsidP="00C513B2">
      <w:pPr>
        <w:spacing w:after="0" w:line="240" w:lineRule="auto"/>
        <w:ind w:left="57" w:right="57"/>
        <w:rPr>
          <w:rFonts w:ascii="Times New Roman" w:hAnsi="Times New Roman" w:cs="Times New Roman"/>
          <w:sz w:val="28"/>
          <w:szCs w:val="28"/>
        </w:rPr>
      </w:pPr>
    </w:p>
    <w:p w:rsidR="00C513B2" w:rsidRPr="00A574D1" w:rsidRDefault="00C513B2" w:rsidP="00C513B2">
      <w:pPr>
        <w:spacing w:after="0" w:line="240" w:lineRule="auto"/>
        <w:ind w:left="57" w:right="57"/>
        <w:rPr>
          <w:rFonts w:ascii="Times New Roman" w:hAnsi="Times New Roman" w:cs="Times New Roman"/>
          <w:sz w:val="28"/>
          <w:szCs w:val="28"/>
        </w:rPr>
      </w:pPr>
    </w:p>
    <w:p w:rsidR="00C513B2" w:rsidRPr="00A574D1" w:rsidRDefault="00C513B2" w:rsidP="00C513B2">
      <w:pPr>
        <w:spacing w:after="0" w:line="240" w:lineRule="auto"/>
        <w:ind w:left="57" w:right="57"/>
        <w:rPr>
          <w:rFonts w:ascii="Times New Roman" w:hAnsi="Times New Roman" w:cs="Times New Roman"/>
          <w:sz w:val="28"/>
          <w:szCs w:val="28"/>
        </w:rPr>
      </w:pPr>
    </w:p>
    <w:p w:rsidR="00C513B2" w:rsidRPr="00A574D1" w:rsidRDefault="00C513B2" w:rsidP="00C513B2">
      <w:pPr>
        <w:spacing w:after="0" w:line="240" w:lineRule="auto"/>
        <w:ind w:left="57" w:right="57"/>
        <w:rPr>
          <w:rFonts w:ascii="Times New Roman" w:hAnsi="Times New Roman" w:cs="Times New Roman"/>
          <w:bCs/>
          <w:sz w:val="28"/>
          <w:szCs w:val="28"/>
        </w:rPr>
      </w:pPr>
      <w:r w:rsidRPr="00A574D1">
        <w:rPr>
          <w:rFonts w:ascii="Times New Roman" w:hAnsi="Times New Roman" w:cs="Times New Roman"/>
          <w:bCs/>
          <w:sz w:val="28"/>
          <w:szCs w:val="28"/>
        </w:rPr>
        <w:t>Ekonomikas ministre</w:t>
      </w:r>
      <w:r w:rsidRPr="00A574D1">
        <w:rPr>
          <w:rFonts w:ascii="Times New Roman" w:hAnsi="Times New Roman" w:cs="Times New Roman"/>
          <w:bCs/>
          <w:sz w:val="28"/>
          <w:szCs w:val="28"/>
        </w:rPr>
        <w:tab/>
      </w:r>
      <w:r w:rsidRPr="00A574D1">
        <w:rPr>
          <w:rFonts w:ascii="Times New Roman" w:hAnsi="Times New Roman" w:cs="Times New Roman"/>
          <w:bCs/>
          <w:sz w:val="28"/>
          <w:szCs w:val="28"/>
        </w:rPr>
        <w:tab/>
      </w:r>
      <w:r w:rsidRPr="00A574D1">
        <w:rPr>
          <w:rFonts w:ascii="Times New Roman" w:hAnsi="Times New Roman" w:cs="Times New Roman"/>
          <w:bCs/>
          <w:sz w:val="28"/>
          <w:szCs w:val="28"/>
        </w:rPr>
        <w:tab/>
      </w:r>
      <w:r w:rsidRPr="00A574D1">
        <w:rPr>
          <w:rFonts w:ascii="Times New Roman" w:hAnsi="Times New Roman" w:cs="Times New Roman"/>
          <w:bCs/>
          <w:sz w:val="28"/>
          <w:szCs w:val="28"/>
        </w:rPr>
        <w:tab/>
      </w:r>
      <w:r w:rsidRPr="00A574D1">
        <w:rPr>
          <w:rFonts w:ascii="Times New Roman" w:hAnsi="Times New Roman" w:cs="Times New Roman"/>
          <w:bCs/>
          <w:sz w:val="28"/>
          <w:szCs w:val="28"/>
        </w:rPr>
        <w:tab/>
      </w:r>
      <w:r w:rsidRPr="00A574D1">
        <w:rPr>
          <w:rFonts w:ascii="Times New Roman" w:hAnsi="Times New Roman" w:cs="Times New Roman"/>
          <w:bCs/>
          <w:sz w:val="28"/>
          <w:szCs w:val="28"/>
        </w:rPr>
        <w:tab/>
      </w:r>
      <w:proofErr w:type="spellStart"/>
      <w:r w:rsidRPr="00A574D1">
        <w:rPr>
          <w:rFonts w:ascii="Times New Roman" w:hAnsi="Times New Roman" w:cs="Times New Roman"/>
          <w:bCs/>
          <w:sz w:val="28"/>
          <w:szCs w:val="28"/>
        </w:rPr>
        <w:t>D.Reizniece</w:t>
      </w:r>
      <w:proofErr w:type="spellEnd"/>
      <w:r w:rsidRPr="00A574D1">
        <w:rPr>
          <w:rFonts w:ascii="Times New Roman" w:hAnsi="Times New Roman" w:cs="Times New Roman"/>
          <w:bCs/>
          <w:sz w:val="28"/>
          <w:szCs w:val="28"/>
        </w:rPr>
        <w:t>-Ozola</w:t>
      </w:r>
    </w:p>
    <w:p w:rsidR="00C513B2" w:rsidRPr="00A574D1" w:rsidRDefault="00C513B2" w:rsidP="00C513B2">
      <w:pPr>
        <w:spacing w:after="0" w:line="240" w:lineRule="auto"/>
        <w:ind w:left="57" w:right="57"/>
        <w:rPr>
          <w:rFonts w:ascii="Times New Roman" w:hAnsi="Times New Roman" w:cs="Times New Roman"/>
          <w:bCs/>
          <w:sz w:val="28"/>
          <w:szCs w:val="28"/>
        </w:rPr>
      </w:pPr>
    </w:p>
    <w:p w:rsidR="00C513B2" w:rsidRPr="00A574D1" w:rsidRDefault="00C513B2" w:rsidP="00C513B2">
      <w:pPr>
        <w:spacing w:after="0" w:line="240" w:lineRule="auto"/>
        <w:ind w:left="57" w:right="57"/>
        <w:rPr>
          <w:rFonts w:ascii="Times New Roman" w:hAnsi="Times New Roman" w:cs="Times New Roman"/>
          <w:bCs/>
          <w:sz w:val="28"/>
          <w:szCs w:val="28"/>
        </w:rPr>
      </w:pPr>
    </w:p>
    <w:p w:rsidR="00C513B2" w:rsidRPr="00A574D1" w:rsidRDefault="00C513B2" w:rsidP="00C513B2">
      <w:pPr>
        <w:spacing w:after="0" w:line="240" w:lineRule="auto"/>
        <w:ind w:left="57" w:right="57"/>
        <w:rPr>
          <w:rFonts w:ascii="Times New Roman" w:hAnsi="Times New Roman" w:cs="Times New Roman"/>
          <w:bCs/>
          <w:sz w:val="28"/>
          <w:szCs w:val="28"/>
        </w:rPr>
      </w:pPr>
      <w:r w:rsidRPr="00A574D1">
        <w:rPr>
          <w:rFonts w:ascii="Times New Roman" w:hAnsi="Times New Roman" w:cs="Times New Roman"/>
          <w:bCs/>
          <w:sz w:val="28"/>
          <w:szCs w:val="28"/>
        </w:rPr>
        <w:t xml:space="preserve">Vīza: </w:t>
      </w:r>
    </w:p>
    <w:p w:rsidR="00C513B2" w:rsidRPr="00A574D1" w:rsidRDefault="00C513B2" w:rsidP="00C513B2">
      <w:pPr>
        <w:spacing w:after="0" w:line="240" w:lineRule="auto"/>
        <w:ind w:left="57" w:right="57"/>
        <w:rPr>
          <w:rFonts w:ascii="Times New Roman" w:hAnsi="Times New Roman" w:cs="Times New Roman"/>
          <w:bCs/>
          <w:sz w:val="28"/>
          <w:szCs w:val="28"/>
        </w:rPr>
      </w:pPr>
      <w:r w:rsidRPr="00A574D1">
        <w:rPr>
          <w:rFonts w:ascii="Times New Roman" w:hAnsi="Times New Roman" w:cs="Times New Roman"/>
          <w:bCs/>
          <w:sz w:val="28"/>
          <w:szCs w:val="28"/>
        </w:rPr>
        <w:t>Valsts sekretārs</w:t>
      </w:r>
      <w:r w:rsidRPr="00A574D1">
        <w:rPr>
          <w:rFonts w:ascii="Times New Roman" w:hAnsi="Times New Roman" w:cs="Times New Roman"/>
          <w:bCs/>
          <w:sz w:val="28"/>
          <w:szCs w:val="28"/>
        </w:rPr>
        <w:tab/>
      </w:r>
      <w:r w:rsidRPr="00A574D1">
        <w:rPr>
          <w:rFonts w:ascii="Times New Roman" w:hAnsi="Times New Roman" w:cs="Times New Roman"/>
          <w:bCs/>
          <w:sz w:val="28"/>
          <w:szCs w:val="28"/>
        </w:rPr>
        <w:tab/>
      </w:r>
      <w:r w:rsidRPr="00A574D1">
        <w:rPr>
          <w:rFonts w:ascii="Times New Roman" w:hAnsi="Times New Roman" w:cs="Times New Roman"/>
          <w:bCs/>
          <w:sz w:val="28"/>
          <w:szCs w:val="28"/>
        </w:rPr>
        <w:tab/>
      </w:r>
      <w:r w:rsidRPr="00A574D1">
        <w:rPr>
          <w:rFonts w:ascii="Times New Roman" w:hAnsi="Times New Roman" w:cs="Times New Roman"/>
          <w:bCs/>
          <w:sz w:val="28"/>
          <w:szCs w:val="28"/>
        </w:rPr>
        <w:tab/>
      </w:r>
      <w:r w:rsidRPr="00A574D1">
        <w:rPr>
          <w:rFonts w:ascii="Times New Roman" w:hAnsi="Times New Roman" w:cs="Times New Roman"/>
          <w:bCs/>
          <w:sz w:val="28"/>
          <w:szCs w:val="28"/>
        </w:rPr>
        <w:tab/>
      </w:r>
      <w:r w:rsidRPr="00A574D1">
        <w:rPr>
          <w:rFonts w:ascii="Times New Roman" w:hAnsi="Times New Roman" w:cs="Times New Roman"/>
          <w:bCs/>
          <w:sz w:val="28"/>
          <w:szCs w:val="28"/>
        </w:rPr>
        <w:tab/>
      </w:r>
      <w:r w:rsidRPr="00A574D1">
        <w:rPr>
          <w:rFonts w:ascii="Times New Roman" w:hAnsi="Times New Roman" w:cs="Times New Roman"/>
          <w:bCs/>
          <w:sz w:val="28"/>
          <w:szCs w:val="28"/>
        </w:rPr>
        <w:tab/>
      </w:r>
      <w:proofErr w:type="spellStart"/>
      <w:r w:rsidRPr="00A574D1">
        <w:rPr>
          <w:rFonts w:ascii="Times New Roman" w:hAnsi="Times New Roman" w:cs="Times New Roman"/>
          <w:bCs/>
          <w:sz w:val="28"/>
          <w:szCs w:val="28"/>
        </w:rPr>
        <w:t>R.Beinarovičs</w:t>
      </w:r>
      <w:proofErr w:type="spellEnd"/>
    </w:p>
    <w:p w:rsidR="00C513B2" w:rsidRPr="00A574D1" w:rsidRDefault="00C513B2" w:rsidP="00C513B2">
      <w:pPr>
        <w:spacing w:after="0" w:line="240" w:lineRule="auto"/>
        <w:ind w:left="57" w:right="57"/>
        <w:rPr>
          <w:rFonts w:ascii="Times New Roman" w:hAnsi="Times New Roman" w:cs="Times New Roman"/>
          <w:sz w:val="28"/>
          <w:szCs w:val="28"/>
        </w:rPr>
      </w:pPr>
    </w:p>
    <w:p w:rsidR="00C513B2" w:rsidRPr="00A574D1" w:rsidRDefault="00C513B2" w:rsidP="00C513B2">
      <w:pPr>
        <w:spacing w:after="0" w:line="240" w:lineRule="auto"/>
        <w:ind w:left="57" w:right="57"/>
        <w:rPr>
          <w:rFonts w:ascii="Times New Roman" w:hAnsi="Times New Roman" w:cs="Times New Roman"/>
          <w:sz w:val="26"/>
          <w:szCs w:val="26"/>
        </w:rPr>
      </w:pPr>
    </w:p>
    <w:p w:rsidR="00A83693" w:rsidRPr="00A574D1" w:rsidRDefault="00A83693" w:rsidP="00C513B2">
      <w:pPr>
        <w:spacing w:after="0" w:line="240" w:lineRule="auto"/>
        <w:ind w:left="57" w:right="57"/>
        <w:rPr>
          <w:rFonts w:ascii="Times New Roman" w:hAnsi="Times New Roman" w:cs="Times New Roman"/>
          <w:sz w:val="26"/>
          <w:szCs w:val="26"/>
        </w:rPr>
      </w:pPr>
    </w:p>
    <w:p w:rsidR="00A83693" w:rsidRPr="00A574D1" w:rsidRDefault="00A83693" w:rsidP="00C513B2">
      <w:pPr>
        <w:spacing w:after="0" w:line="240" w:lineRule="auto"/>
        <w:ind w:left="57" w:right="57"/>
        <w:rPr>
          <w:rFonts w:ascii="Times New Roman" w:hAnsi="Times New Roman" w:cs="Times New Roman"/>
          <w:sz w:val="26"/>
          <w:szCs w:val="26"/>
        </w:rPr>
      </w:pPr>
    </w:p>
    <w:p w:rsidR="00C513B2" w:rsidRPr="00A574D1" w:rsidRDefault="00C513B2" w:rsidP="00C513B2">
      <w:pPr>
        <w:spacing w:after="0" w:line="240" w:lineRule="auto"/>
        <w:ind w:left="57" w:right="57"/>
        <w:rPr>
          <w:rFonts w:ascii="Times New Roman" w:hAnsi="Times New Roman" w:cs="Times New Roman"/>
          <w:sz w:val="26"/>
          <w:szCs w:val="26"/>
        </w:rPr>
      </w:pPr>
    </w:p>
    <w:p w:rsidR="00C513B2" w:rsidRPr="00A574D1" w:rsidRDefault="00C513B2" w:rsidP="00C513B2">
      <w:pPr>
        <w:spacing w:after="0" w:line="240" w:lineRule="auto"/>
        <w:ind w:left="57" w:right="57"/>
        <w:rPr>
          <w:rFonts w:ascii="Times New Roman" w:hAnsi="Times New Roman" w:cs="Times New Roman"/>
          <w:sz w:val="26"/>
          <w:szCs w:val="26"/>
        </w:rPr>
      </w:pPr>
    </w:p>
    <w:p w:rsidR="00C513B2" w:rsidRPr="00A574D1" w:rsidRDefault="00C513B2" w:rsidP="00C513B2">
      <w:pPr>
        <w:spacing w:after="0" w:line="240" w:lineRule="auto"/>
        <w:ind w:left="57" w:right="57"/>
        <w:rPr>
          <w:rFonts w:ascii="Times New Roman" w:hAnsi="Times New Roman" w:cs="Times New Roman"/>
          <w:sz w:val="16"/>
          <w:szCs w:val="16"/>
        </w:rPr>
      </w:pPr>
      <w:r w:rsidRPr="00A574D1">
        <w:rPr>
          <w:rFonts w:ascii="Times New Roman" w:hAnsi="Times New Roman" w:cs="Times New Roman"/>
          <w:sz w:val="16"/>
          <w:szCs w:val="16"/>
        </w:rPr>
        <w:fldChar w:fldCharType="begin"/>
      </w:r>
      <w:r w:rsidRPr="00A574D1">
        <w:rPr>
          <w:rFonts w:ascii="Times New Roman" w:hAnsi="Times New Roman" w:cs="Times New Roman"/>
          <w:sz w:val="16"/>
          <w:szCs w:val="16"/>
        </w:rPr>
        <w:instrText xml:space="preserve"> DATE  \@ "dd.MM.yyyy HH:mm"  \* MERGEFORMAT </w:instrText>
      </w:r>
      <w:r w:rsidRPr="00A574D1">
        <w:rPr>
          <w:rFonts w:ascii="Times New Roman" w:hAnsi="Times New Roman" w:cs="Times New Roman"/>
          <w:sz w:val="16"/>
          <w:szCs w:val="16"/>
        </w:rPr>
        <w:fldChar w:fldCharType="separate"/>
      </w:r>
      <w:r w:rsidR="00D35F2F" w:rsidRPr="00A574D1">
        <w:rPr>
          <w:rFonts w:ascii="Times New Roman" w:hAnsi="Times New Roman" w:cs="Times New Roman"/>
          <w:noProof/>
          <w:sz w:val="16"/>
          <w:szCs w:val="16"/>
        </w:rPr>
        <w:t>09.12.2015 14:29</w:t>
      </w:r>
      <w:r w:rsidRPr="00A574D1">
        <w:rPr>
          <w:rFonts w:ascii="Times New Roman" w:hAnsi="Times New Roman" w:cs="Times New Roman"/>
          <w:sz w:val="16"/>
          <w:szCs w:val="16"/>
        </w:rPr>
        <w:fldChar w:fldCharType="end"/>
      </w:r>
    </w:p>
    <w:p w:rsidR="00C513B2" w:rsidRPr="00A574D1" w:rsidRDefault="00BF0EBD" w:rsidP="00C513B2">
      <w:pPr>
        <w:spacing w:after="0" w:line="240" w:lineRule="auto"/>
        <w:ind w:left="57" w:right="57"/>
        <w:rPr>
          <w:rFonts w:ascii="Times New Roman" w:hAnsi="Times New Roman" w:cs="Times New Roman"/>
          <w:sz w:val="16"/>
          <w:szCs w:val="16"/>
        </w:rPr>
      </w:pPr>
      <w:r w:rsidRPr="00A574D1">
        <w:fldChar w:fldCharType="begin"/>
      </w:r>
      <w:r w:rsidRPr="00A574D1">
        <w:instrText xml:space="preserve"> NUMWORDS   \* MERGEFORMAT </w:instrText>
      </w:r>
      <w:r w:rsidRPr="00A574D1">
        <w:fldChar w:fldCharType="separate"/>
      </w:r>
      <w:r w:rsidR="00D35F2F" w:rsidRPr="00A574D1">
        <w:rPr>
          <w:rFonts w:ascii="Times New Roman" w:hAnsi="Times New Roman" w:cs="Times New Roman"/>
          <w:noProof/>
          <w:sz w:val="16"/>
          <w:szCs w:val="16"/>
        </w:rPr>
        <w:t>4139</w:t>
      </w:r>
      <w:r w:rsidRPr="00A574D1">
        <w:rPr>
          <w:rFonts w:ascii="Times New Roman" w:hAnsi="Times New Roman" w:cs="Times New Roman"/>
          <w:noProof/>
          <w:sz w:val="16"/>
          <w:szCs w:val="16"/>
        </w:rPr>
        <w:fldChar w:fldCharType="end"/>
      </w:r>
    </w:p>
    <w:p w:rsidR="00C513B2" w:rsidRPr="00A574D1" w:rsidRDefault="00C513B2" w:rsidP="00C513B2">
      <w:pPr>
        <w:spacing w:after="0" w:line="240" w:lineRule="auto"/>
        <w:ind w:left="57" w:right="57"/>
        <w:rPr>
          <w:rFonts w:ascii="Times New Roman" w:hAnsi="Times New Roman" w:cs="Times New Roman"/>
          <w:sz w:val="16"/>
          <w:szCs w:val="16"/>
        </w:rPr>
      </w:pPr>
      <w:r w:rsidRPr="00A574D1">
        <w:rPr>
          <w:rFonts w:ascii="Times New Roman" w:hAnsi="Times New Roman" w:cs="Times New Roman"/>
          <w:sz w:val="16"/>
          <w:szCs w:val="16"/>
        </w:rPr>
        <w:t>Bučinska,</w:t>
      </w:r>
    </w:p>
    <w:p w:rsidR="00C513B2" w:rsidRPr="00A574D1" w:rsidRDefault="00C513B2" w:rsidP="00C513B2">
      <w:pPr>
        <w:spacing w:after="0" w:line="240" w:lineRule="auto"/>
        <w:ind w:left="57" w:right="57"/>
        <w:rPr>
          <w:rFonts w:ascii="Times New Roman" w:hAnsi="Times New Roman" w:cs="Times New Roman"/>
          <w:sz w:val="16"/>
          <w:szCs w:val="16"/>
        </w:rPr>
      </w:pPr>
      <w:r w:rsidRPr="00A574D1">
        <w:rPr>
          <w:rFonts w:ascii="Times New Roman" w:hAnsi="Times New Roman" w:cs="Times New Roman"/>
          <w:sz w:val="16"/>
          <w:szCs w:val="16"/>
        </w:rPr>
        <w:t xml:space="preserve">67013032, </w:t>
      </w:r>
      <w:hyperlink r:id="rId12" w:history="1">
        <w:r w:rsidRPr="00A574D1">
          <w:rPr>
            <w:rStyle w:val="Hyperlink"/>
            <w:rFonts w:ascii="Times New Roman" w:hAnsi="Times New Roman" w:cs="Times New Roman"/>
            <w:color w:val="auto"/>
            <w:sz w:val="16"/>
            <w:szCs w:val="16"/>
            <w:u w:val="none"/>
          </w:rPr>
          <w:t>Elga.Bucinska@em.gov.lv</w:t>
        </w:r>
      </w:hyperlink>
    </w:p>
    <w:p w:rsidR="00C513B2" w:rsidRPr="00A574D1" w:rsidRDefault="00C513B2" w:rsidP="00C513B2"/>
    <w:p w:rsidR="00C513B2" w:rsidRPr="00A574D1" w:rsidRDefault="00C513B2" w:rsidP="00C513B2"/>
    <w:p w:rsidR="00C513B2" w:rsidRPr="00A574D1" w:rsidRDefault="00C513B2" w:rsidP="00C513B2"/>
    <w:p w:rsidR="00A56C4E" w:rsidRPr="00A574D1" w:rsidRDefault="00A56C4E"/>
    <w:sectPr w:rsidR="00A56C4E" w:rsidRPr="00A574D1" w:rsidSect="00C17369">
      <w:headerReference w:type="default" r:id="rId13"/>
      <w:footerReference w:type="default" r:id="rId14"/>
      <w:footerReference w:type="first" r:id="rId15"/>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EBD" w:rsidRDefault="00BF0EBD" w:rsidP="00F65EA4">
      <w:pPr>
        <w:spacing w:after="0" w:line="240" w:lineRule="auto"/>
      </w:pPr>
      <w:r>
        <w:separator/>
      </w:r>
    </w:p>
  </w:endnote>
  <w:endnote w:type="continuationSeparator" w:id="0">
    <w:p w:rsidR="00BF0EBD" w:rsidRDefault="00BF0EBD" w:rsidP="00F65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5D" w:rsidRPr="00686F5D" w:rsidRDefault="00BF0EBD" w:rsidP="004F6214">
    <w:pPr>
      <w:pStyle w:val="Footer"/>
      <w:jc w:val="both"/>
      <w:rPr>
        <w:rFonts w:ascii="Times New Roman" w:hAnsi="Times New Roman" w:cs="Times New Roman"/>
        <w:sz w:val="20"/>
        <w:szCs w:val="20"/>
      </w:rPr>
    </w:pPr>
    <w:r>
      <w:fldChar w:fldCharType="begin"/>
    </w:r>
    <w:r>
      <w:instrText xml:space="preserve"> FILENAME   \* MERGEFORMAT </w:instrText>
    </w:r>
    <w:r>
      <w:fldChar w:fldCharType="separate"/>
    </w:r>
    <w:r w:rsidR="004B63D8" w:rsidRPr="004B63D8">
      <w:rPr>
        <w:rFonts w:ascii="Times New Roman" w:hAnsi="Times New Roman" w:cs="Times New Roman"/>
        <w:noProof/>
        <w:sz w:val="20"/>
        <w:szCs w:val="20"/>
      </w:rPr>
      <w:t>EManot_091215_grozVBN</w:t>
    </w:r>
    <w:r>
      <w:rPr>
        <w:rFonts w:ascii="Times New Roman" w:hAnsi="Times New Roman" w:cs="Times New Roman"/>
        <w:noProof/>
        <w:sz w:val="20"/>
        <w:szCs w:val="20"/>
      </w:rPr>
      <w:fldChar w:fldCharType="end"/>
    </w:r>
    <w:r w:rsidR="00EC6B32" w:rsidRPr="00686F5D">
      <w:rPr>
        <w:rFonts w:ascii="Times New Roman" w:hAnsi="Times New Roman" w:cs="Times New Roman"/>
        <w:sz w:val="20"/>
        <w:szCs w:val="20"/>
      </w:rPr>
      <w:t>; Ministru kabineta noteikumu projekta „Grozījumi Ministru kabineta 2014.gada 19.augusta noteikumos Nr.500  „</w:t>
    </w:r>
    <w:r w:rsidR="00EC6B32" w:rsidRPr="00686F5D">
      <w:rPr>
        <w:rFonts w:ascii="Times New Roman" w:hAnsi="Times New Roman" w:cs="Times New Roman"/>
        <w:bCs/>
        <w:sz w:val="20"/>
        <w:szCs w:val="20"/>
      </w:rPr>
      <w:t>Vispārīgie būvnoteikumi</w:t>
    </w:r>
    <w:r w:rsidR="00EC6B32" w:rsidRPr="00686F5D">
      <w:rPr>
        <w:rFonts w:ascii="Times New Roman" w:hAnsi="Times New Roman" w:cs="Times New Roman"/>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5D" w:rsidRPr="00686F5D" w:rsidRDefault="00BF0EBD" w:rsidP="004F6214">
    <w:pPr>
      <w:pStyle w:val="Footer"/>
      <w:jc w:val="both"/>
      <w:rPr>
        <w:rFonts w:ascii="Times New Roman" w:hAnsi="Times New Roman" w:cs="Times New Roman"/>
        <w:sz w:val="20"/>
        <w:szCs w:val="20"/>
      </w:rPr>
    </w:pPr>
    <w:r>
      <w:fldChar w:fldCharType="begin"/>
    </w:r>
    <w:r>
      <w:instrText xml:space="preserve"> FILENAME   \* MERGEFORMAT </w:instrText>
    </w:r>
    <w:r>
      <w:fldChar w:fldCharType="separate"/>
    </w:r>
    <w:r w:rsidR="004B63D8" w:rsidRPr="004B63D8">
      <w:rPr>
        <w:rFonts w:ascii="Times New Roman" w:hAnsi="Times New Roman" w:cs="Times New Roman"/>
        <w:noProof/>
        <w:sz w:val="20"/>
        <w:szCs w:val="20"/>
      </w:rPr>
      <w:t>EManot_091215_grozVBN</w:t>
    </w:r>
    <w:r>
      <w:rPr>
        <w:rFonts w:ascii="Times New Roman" w:hAnsi="Times New Roman" w:cs="Times New Roman"/>
        <w:noProof/>
        <w:sz w:val="20"/>
        <w:szCs w:val="20"/>
      </w:rPr>
      <w:fldChar w:fldCharType="end"/>
    </w:r>
    <w:r w:rsidR="00EC6B32" w:rsidRPr="00686F5D">
      <w:rPr>
        <w:rFonts w:ascii="Times New Roman" w:hAnsi="Times New Roman" w:cs="Times New Roman"/>
        <w:sz w:val="20"/>
        <w:szCs w:val="20"/>
      </w:rPr>
      <w:t>; Ministru kabineta noteikumu projekta „Grozījumi Ministru kabineta 2014.gada 19.augusta noteikumos Nr.500  „</w:t>
    </w:r>
    <w:r w:rsidR="00EC6B32" w:rsidRPr="00686F5D">
      <w:rPr>
        <w:rFonts w:ascii="Times New Roman" w:hAnsi="Times New Roman" w:cs="Times New Roman"/>
        <w:bCs/>
        <w:sz w:val="20"/>
        <w:szCs w:val="20"/>
      </w:rPr>
      <w:t>Vispārīgie būvnoteikumi</w:t>
    </w:r>
    <w:r w:rsidR="00EC6B32" w:rsidRPr="00686F5D">
      <w:rPr>
        <w:rFonts w:ascii="Times New Roman" w:hAnsi="Times New Roman" w:cs="Times New Roman"/>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EBD" w:rsidRDefault="00BF0EBD" w:rsidP="00F65EA4">
      <w:pPr>
        <w:spacing w:after="0" w:line="240" w:lineRule="auto"/>
      </w:pPr>
      <w:r>
        <w:separator/>
      </w:r>
    </w:p>
  </w:footnote>
  <w:footnote w:type="continuationSeparator" w:id="0">
    <w:p w:rsidR="00BF0EBD" w:rsidRDefault="00BF0EBD" w:rsidP="00F65E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157401"/>
      <w:docPartObj>
        <w:docPartGallery w:val="Page Numbers (Top of Page)"/>
        <w:docPartUnique/>
      </w:docPartObj>
    </w:sdtPr>
    <w:sdtEndPr>
      <w:rPr>
        <w:noProof/>
      </w:rPr>
    </w:sdtEndPr>
    <w:sdtContent>
      <w:p w:rsidR="00C17369" w:rsidRDefault="00EC6B32">
        <w:pPr>
          <w:pStyle w:val="Header"/>
          <w:jc w:val="center"/>
        </w:pPr>
        <w:r>
          <w:fldChar w:fldCharType="begin"/>
        </w:r>
        <w:r>
          <w:instrText xml:space="preserve"> PAGE   \* MERGEFORMAT </w:instrText>
        </w:r>
        <w:r>
          <w:fldChar w:fldCharType="separate"/>
        </w:r>
        <w:r w:rsidR="00A574D1">
          <w:rPr>
            <w:noProof/>
          </w:rPr>
          <w:t>2</w:t>
        </w:r>
        <w:r>
          <w:rPr>
            <w:noProof/>
          </w:rPr>
          <w:fldChar w:fldCharType="end"/>
        </w:r>
      </w:p>
    </w:sdtContent>
  </w:sdt>
  <w:p w:rsidR="00C17369" w:rsidRDefault="00BF0E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8377B"/>
    <w:multiLevelType w:val="hybridMultilevel"/>
    <w:tmpl w:val="40E851EE"/>
    <w:lvl w:ilvl="0" w:tplc="689807B6">
      <w:start w:val="13"/>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 w15:restartNumberingAfterBreak="0">
    <w:nsid w:val="2E7164A6"/>
    <w:multiLevelType w:val="hybridMultilevel"/>
    <w:tmpl w:val="B3461C58"/>
    <w:lvl w:ilvl="0" w:tplc="298ADA84">
      <w:start w:val="1"/>
      <w:numFmt w:val="lowerLetter"/>
      <w:lvlText w:val="%1)"/>
      <w:lvlJc w:val="left"/>
      <w:pPr>
        <w:ind w:left="417" w:hanging="360"/>
      </w:pPr>
      <w:rPr>
        <w:rFonts w:hint="default"/>
        <w:sz w:val="22"/>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B2"/>
    <w:rsid w:val="00015FF3"/>
    <w:rsid w:val="000D1049"/>
    <w:rsid w:val="000F7C94"/>
    <w:rsid w:val="00160217"/>
    <w:rsid w:val="00172615"/>
    <w:rsid w:val="00241A29"/>
    <w:rsid w:val="00271085"/>
    <w:rsid w:val="00301DA0"/>
    <w:rsid w:val="00385AF6"/>
    <w:rsid w:val="003950E7"/>
    <w:rsid w:val="00460191"/>
    <w:rsid w:val="004B63D8"/>
    <w:rsid w:val="004C0717"/>
    <w:rsid w:val="00581A19"/>
    <w:rsid w:val="005B16C8"/>
    <w:rsid w:val="00607025"/>
    <w:rsid w:val="0061069C"/>
    <w:rsid w:val="0061546C"/>
    <w:rsid w:val="00622CB5"/>
    <w:rsid w:val="006879DC"/>
    <w:rsid w:val="006A3B4C"/>
    <w:rsid w:val="006A7F12"/>
    <w:rsid w:val="006C0CB6"/>
    <w:rsid w:val="008329D8"/>
    <w:rsid w:val="008F11FF"/>
    <w:rsid w:val="00926373"/>
    <w:rsid w:val="00951F3D"/>
    <w:rsid w:val="00980AA7"/>
    <w:rsid w:val="009C70D2"/>
    <w:rsid w:val="00A56C4E"/>
    <w:rsid w:val="00A574D1"/>
    <w:rsid w:val="00A673E7"/>
    <w:rsid w:val="00A755CE"/>
    <w:rsid w:val="00A83693"/>
    <w:rsid w:val="00A907C4"/>
    <w:rsid w:val="00AE7F6F"/>
    <w:rsid w:val="00B3639D"/>
    <w:rsid w:val="00B43577"/>
    <w:rsid w:val="00B8587A"/>
    <w:rsid w:val="00BD2F44"/>
    <w:rsid w:val="00BF0EBD"/>
    <w:rsid w:val="00BF7ED7"/>
    <w:rsid w:val="00C358D2"/>
    <w:rsid w:val="00C41C6F"/>
    <w:rsid w:val="00C513B2"/>
    <w:rsid w:val="00CD3005"/>
    <w:rsid w:val="00D35F2F"/>
    <w:rsid w:val="00DA2D18"/>
    <w:rsid w:val="00DB50CC"/>
    <w:rsid w:val="00DD2495"/>
    <w:rsid w:val="00E17133"/>
    <w:rsid w:val="00EC6B32"/>
    <w:rsid w:val="00F5259C"/>
    <w:rsid w:val="00F65EA4"/>
    <w:rsid w:val="00F839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BE871-42DA-4E3D-83B7-FA53FCDB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C513B2"/>
    <w:pPr>
      <w:spacing w:before="75" w:after="75" w:line="240" w:lineRule="auto"/>
      <w:jc w:val="right"/>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C513B2"/>
    <w:rPr>
      <w:color w:val="0563C1" w:themeColor="hyperlink"/>
      <w:u w:val="single"/>
    </w:rPr>
  </w:style>
  <w:style w:type="paragraph" w:customStyle="1" w:styleId="naiskr">
    <w:name w:val="naiskr"/>
    <w:basedOn w:val="Normal"/>
    <w:rsid w:val="00C513B2"/>
    <w:pPr>
      <w:spacing w:before="75" w:after="75"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C513B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C513B2"/>
    <w:pPr>
      <w:spacing w:before="150" w:after="150" w:line="240" w:lineRule="auto"/>
      <w:jc w:val="center"/>
    </w:pPr>
    <w:rPr>
      <w:rFonts w:ascii="Times New Roman" w:eastAsia="Times New Roman" w:hAnsi="Times New Roman" w:cs="Times New Roman"/>
      <w:b/>
      <w:bCs/>
      <w:sz w:val="24"/>
      <w:szCs w:val="24"/>
      <w:lang w:eastAsia="lv-LV"/>
    </w:rPr>
  </w:style>
  <w:style w:type="paragraph" w:styleId="ListParagraph">
    <w:name w:val="List Paragraph"/>
    <w:basedOn w:val="Normal"/>
    <w:uiPriority w:val="34"/>
    <w:qFormat/>
    <w:rsid w:val="00C513B2"/>
    <w:pPr>
      <w:spacing w:after="200" w:line="276" w:lineRule="auto"/>
      <w:ind w:left="720"/>
      <w:contextualSpacing/>
    </w:pPr>
  </w:style>
  <w:style w:type="paragraph" w:styleId="PlainText">
    <w:name w:val="Plain Text"/>
    <w:basedOn w:val="Normal"/>
    <w:link w:val="PlainTextChar"/>
    <w:uiPriority w:val="99"/>
    <w:unhideWhenUsed/>
    <w:rsid w:val="00C513B2"/>
    <w:pPr>
      <w:spacing w:after="0" w:line="240" w:lineRule="auto"/>
    </w:pPr>
    <w:rPr>
      <w:rFonts w:ascii="Times New Roman" w:hAnsi="Times New Roman" w:cs="Times New Roman"/>
      <w:sz w:val="24"/>
      <w:szCs w:val="24"/>
      <w:lang w:eastAsia="lv-LV"/>
    </w:rPr>
  </w:style>
  <w:style w:type="character" w:customStyle="1" w:styleId="PlainTextChar">
    <w:name w:val="Plain Text Char"/>
    <w:basedOn w:val="DefaultParagraphFont"/>
    <w:link w:val="PlainText"/>
    <w:uiPriority w:val="99"/>
    <w:rsid w:val="00C513B2"/>
    <w:rPr>
      <w:rFonts w:ascii="Times New Roman" w:hAnsi="Times New Roman" w:cs="Times New Roman"/>
      <w:sz w:val="24"/>
      <w:szCs w:val="24"/>
      <w:lang w:eastAsia="lv-LV"/>
    </w:rPr>
  </w:style>
  <w:style w:type="paragraph" w:customStyle="1" w:styleId="tv213">
    <w:name w:val="tv213"/>
    <w:basedOn w:val="Normal"/>
    <w:rsid w:val="00C513B2"/>
    <w:pPr>
      <w:spacing w:before="100" w:beforeAutospacing="1" w:after="100" w:afterAutospacing="1" w:line="240" w:lineRule="auto"/>
    </w:pPr>
    <w:rPr>
      <w:rFonts w:ascii="Times New Roman" w:hAnsi="Times New Roman" w:cs="Times New Roman"/>
      <w:sz w:val="24"/>
      <w:szCs w:val="24"/>
      <w:lang w:eastAsia="lv-LV"/>
    </w:rPr>
  </w:style>
  <w:style w:type="paragraph" w:styleId="Header">
    <w:name w:val="header"/>
    <w:basedOn w:val="Normal"/>
    <w:link w:val="HeaderChar"/>
    <w:uiPriority w:val="99"/>
    <w:unhideWhenUsed/>
    <w:rsid w:val="00C513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13B2"/>
  </w:style>
  <w:style w:type="paragraph" w:styleId="Footer">
    <w:name w:val="footer"/>
    <w:basedOn w:val="Normal"/>
    <w:link w:val="FooterChar"/>
    <w:uiPriority w:val="99"/>
    <w:unhideWhenUsed/>
    <w:rsid w:val="00C513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13B2"/>
  </w:style>
  <w:style w:type="paragraph" w:customStyle="1" w:styleId="naisc">
    <w:name w:val="naisc"/>
    <w:basedOn w:val="Normal"/>
    <w:rsid w:val="00C513B2"/>
    <w:pPr>
      <w:spacing w:before="75" w:after="75" w:line="240" w:lineRule="auto"/>
      <w:jc w:val="center"/>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51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34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58572-buvniecibas-likum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kumi.lv/ta/id/258572-buvniecibas-likums" TargetMode="External"/><Relationship Id="rId12" Type="http://schemas.openxmlformats.org/officeDocument/2006/relationships/hyperlink" Target="mailto:Elga.Bucinska@em.gov.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umi.lv/ta/id/61913-par-interesu-konflikta-noversanu-valsts-amatpersonu-darbib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likumi.lv/ta/id/61913-par-interesu-konflikta-noversanu-valsts-amatpersonu-darbiba" TargetMode="External"/><Relationship Id="rId4" Type="http://schemas.openxmlformats.org/officeDocument/2006/relationships/webSettings" Target="webSettings.xml"/><Relationship Id="rId9" Type="http://schemas.openxmlformats.org/officeDocument/2006/relationships/hyperlink" Target="http://likumi.lv/ta/id/258572-buvniecibas-liku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14</Pages>
  <Words>4234</Words>
  <Characters>30111</Characters>
  <Application>Microsoft Office Word</Application>
  <DocSecurity>0</DocSecurity>
  <Lines>792</Lines>
  <Paragraphs>158</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34187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Elga Bučinska</cp:lastModifiedBy>
  <cp:revision>22</cp:revision>
  <dcterms:created xsi:type="dcterms:W3CDTF">2015-11-19T14:44:00Z</dcterms:created>
  <dcterms:modified xsi:type="dcterms:W3CDTF">2015-12-09T12:29:00Z</dcterms:modified>
</cp:coreProperties>
</file>