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D82018" w14:textId="77777777" w:rsidR="00116F56" w:rsidRPr="002E0C7A" w:rsidRDefault="005D183D" w:rsidP="00116F56">
      <w:pPr>
        <w:spacing w:after="0" w:line="240" w:lineRule="auto"/>
        <w:jc w:val="center"/>
        <w:outlineLvl w:val="0"/>
        <w:rPr>
          <w:rFonts w:ascii="Times New Roman" w:eastAsia="Times New Roman" w:hAnsi="Times New Roman" w:cs="Times New Roman"/>
          <w:b/>
          <w:sz w:val="28"/>
          <w:szCs w:val="28"/>
          <w:lang w:eastAsia="lv-LV"/>
        </w:rPr>
      </w:pPr>
      <w:r w:rsidRPr="005D183D">
        <w:rPr>
          <w:rFonts w:ascii="Times New Roman" w:eastAsia="Times New Roman" w:hAnsi="Times New Roman" w:cs="Times New Roman"/>
          <w:b/>
          <w:sz w:val="28"/>
          <w:szCs w:val="28"/>
          <w:lang w:eastAsia="lv-LV"/>
        </w:rPr>
        <w:t>Ministru kabineta noteikumu projekta „Grozījumi Ministru kabineta 2011.gada 29.marta noteikumos Nr.245 „Noteikumi par kārtību, kādā izsniedz, pārreģistrē, aptur un anulē speciālo atļauju (licenci) patērētāju kreditēšanas pakalpojumu sniegšanai un maksā valsts nodevu par speciālās atļaujas (licences) izsniegšanu un pārreģistrāciju, kā arī prasībām kapitālsabiedrībai speciālās atļaujas (licences) saņemšanai”” sākotnējās ietekmes novērtējuma ziņojums (anotācija)</w:t>
      </w:r>
    </w:p>
    <w:p w14:paraId="0A544630" w14:textId="77777777" w:rsidR="007730EB" w:rsidRPr="002E0C7A" w:rsidRDefault="007730EB" w:rsidP="00F366FD">
      <w:pPr>
        <w:spacing w:after="0" w:line="240" w:lineRule="auto"/>
        <w:jc w:val="center"/>
        <w:rPr>
          <w:rFonts w:ascii="Times New Roman" w:eastAsia="Times New Roman" w:hAnsi="Times New Roman" w:cs="Times New Roman"/>
          <w:b/>
          <w:color w:val="000000"/>
          <w:sz w:val="28"/>
          <w:szCs w:val="28"/>
        </w:rPr>
      </w:pPr>
    </w:p>
    <w:tbl>
      <w:tblPr>
        <w:tblW w:w="51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00" w:firstRow="0" w:lastRow="0" w:firstColumn="0" w:lastColumn="0" w:noHBand="0" w:noVBand="0"/>
      </w:tblPr>
      <w:tblGrid>
        <w:gridCol w:w="444"/>
        <w:gridCol w:w="2485"/>
        <w:gridCol w:w="6173"/>
      </w:tblGrid>
      <w:tr w:rsidR="007730EB" w:rsidRPr="002E0C7A" w14:paraId="763408FC" w14:textId="77777777" w:rsidTr="00F366FD">
        <w:tc>
          <w:tcPr>
            <w:tcW w:w="5000" w:type="pct"/>
            <w:gridSpan w:val="3"/>
            <w:vAlign w:val="center"/>
          </w:tcPr>
          <w:p w14:paraId="5E156798" w14:textId="77777777" w:rsidR="007730EB" w:rsidRPr="002E0C7A" w:rsidRDefault="007730EB" w:rsidP="00F366FD">
            <w:pPr>
              <w:spacing w:after="0" w:line="240" w:lineRule="auto"/>
              <w:jc w:val="center"/>
              <w:rPr>
                <w:rFonts w:ascii="Times New Roman" w:eastAsia="Times New Roman" w:hAnsi="Times New Roman" w:cs="Times New Roman"/>
                <w:b/>
                <w:bCs/>
                <w:color w:val="000000"/>
                <w:sz w:val="28"/>
                <w:szCs w:val="28"/>
                <w:lang w:eastAsia="lv-LV"/>
              </w:rPr>
            </w:pPr>
            <w:r w:rsidRPr="002E0C7A">
              <w:rPr>
                <w:rFonts w:ascii="Times New Roman" w:eastAsia="Times New Roman" w:hAnsi="Times New Roman" w:cs="Times New Roman"/>
                <w:b/>
                <w:bCs/>
                <w:color w:val="000000"/>
                <w:sz w:val="28"/>
                <w:szCs w:val="28"/>
                <w:lang w:eastAsia="lv-LV"/>
              </w:rPr>
              <w:t>I. Tiesību akta projekta izstrādes nepieciešamība</w:t>
            </w:r>
          </w:p>
        </w:tc>
      </w:tr>
      <w:tr w:rsidR="007730EB" w:rsidRPr="002E0C7A" w14:paraId="61901BB4" w14:textId="77777777" w:rsidTr="00F366FD">
        <w:tc>
          <w:tcPr>
            <w:tcW w:w="244" w:type="pct"/>
          </w:tcPr>
          <w:p w14:paraId="4549926C" w14:textId="77777777" w:rsidR="007730EB" w:rsidRPr="002E0C7A" w:rsidRDefault="007730EB" w:rsidP="00014187">
            <w:pPr>
              <w:spacing w:after="0" w:line="240" w:lineRule="auto"/>
              <w:rPr>
                <w:rFonts w:ascii="Times New Roman" w:eastAsia="Times New Roman" w:hAnsi="Times New Roman" w:cs="Times New Roman"/>
                <w:color w:val="000000"/>
                <w:sz w:val="28"/>
                <w:szCs w:val="28"/>
                <w:lang w:eastAsia="lv-LV"/>
              </w:rPr>
            </w:pPr>
            <w:r w:rsidRPr="002E0C7A">
              <w:rPr>
                <w:rFonts w:ascii="Times New Roman" w:eastAsia="Times New Roman" w:hAnsi="Times New Roman" w:cs="Times New Roman"/>
                <w:color w:val="000000"/>
                <w:sz w:val="28"/>
                <w:szCs w:val="28"/>
                <w:lang w:eastAsia="lv-LV"/>
              </w:rPr>
              <w:t>1.</w:t>
            </w:r>
          </w:p>
        </w:tc>
        <w:tc>
          <w:tcPr>
            <w:tcW w:w="1365" w:type="pct"/>
          </w:tcPr>
          <w:p w14:paraId="32832236" w14:textId="77777777" w:rsidR="007730EB" w:rsidRPr="002E0C7A" w:rsidRDefault="007730EB" w:rsidP="00F366FD">
            <w:pPr>
              <w:spacing w:after="0" w:line="240" w:lineRule="auto"/>
              <w:jc w:val="both"/>
              <w:rPr>
                <w:rFonts w:ascii="Times New Roman" w:eastAsia="Times New Roman" w:hAnsi="Times New Roman" w:cs="Times New Roman"/>
                <w:color w:val="000000"/>
                <w:sz w:val="28"/>
                <w:szCs w:val="28"/>
                <w:lang w:eastAsia="lv-LV"/>
              </w:rPr>
            </w:pPr>
            <w:r w:rsidRPr="002E0C7A">
              <w:rPr>
                <w:rFonts w:ascii="Times New Roman" w:eastAsia="Times New Roman" w:hAnsi="Times New Roman" w:cs="Times New Roman"/>
                <w:color w:val="000000"/>
                <w:sz w:val="28"/>
                <w:szCs w:val="28"/>
                <w:lang w:eastAsia="lv-LV"/>
              </w:rPr>
              <w:t>Pamatojums</w:t>
            </w:r>
          </w:p>
        </w:tc>
        <w:tc>
          <w:tcPr>
            <w:tcW w:w="3390" w:type="pct"/>
          </w:tcPr>
          <w:p w14:paraId="6BC43773" w14:textId="41609347" w:rsidR="00816920" w:rsidRPr="002E0C7A" w:rsidRDefault="009E780F" w:rsidP="006449C1">
            <w:pPr>
              <w:spacing w:after="0" w:line="240" w:lineRule="auto"/>
              <w:ind w:firstLine="473"/>
              <w:jc w:val="both"/>
              <w:rPr>
                <w:rFonts w:ascii="Times New Roman" w:hAnsi="Times New Roman" w:cs="Times New Roman"/>
                <w:sz w:val="28"/>
                <w:szCs w:val="28"/>
              </w:rPr>
            </w:pPr>
            <w:r>
              <w:rPr>
                <w:rFonts w:ascii="Times New Roman" w:hAnsi="Times New Roman" w:cs="Times New Roman"/>
                <w:sz w:val="28"/>
                <w:szCs w:val="28"/>
              </w:rPr>
              <w:t>Noteikumu projekts izstrādāts pamatojoties uz</w:t>
            </w:r>
            <w:r w:rsidR="000B0854">
              <w:rPr>
                <w:rFonts w:ascii="Times New Roman" w:hAnsi="Times New Roman" w:cs="Times New Roman"/>
                <w:sz w:val="28"/>
                <w:szCs w:val="28"/>
              </w:rPr>
              <w:t xml:space="preserve"> </w:t>
            </w:r>
            <w:r w:rsidR="0090089A" w:rsidRPr="002E0C7A">
              <w:rPr>
                <w:rFonts w:ascii="Times New Roman" w:hAnsi="Times New Roman" w:cs="Times New Roman"/>
                <w:sz w:val="28"/>
                <w:szCs w:val="28"/>
              </w:rPr>
              <w:t>Patērētāju tiesību aizsardzības likuma (turpmāk - PTAL) pārejas noteikumu 25.punkt</w:t>
            </w:r>
            <w:r w:rsidR="006449C1">
              <w:rPr>
                <w:rFonts w:ascii="Times New Roman" w:hAnsi="Times New Roman" w:cs="Times New Roman"/>
                <w:sz w:val="28"/>
                <w:szCs w:val="28"/>
              </w:rPr>
              <w:t>a</w:t>
            </w:r>
            <w:r w:rsidR="0090089A" w:rsidRPr="002E0C7A">
              <w:rPr>
                <w:rFonts w:ascii="Times New Roman" w:hAnsi="Times New Roman" w:cs="Times New Roman"/>
                <w:sz w:val="28"/>
                <w:szCs w:val="28"/>
              </w:rPr>
              <w:t xml:space="preserve">, </w:t>
            </w:r>
            <w:r w:rsidR="006449C1" w:rsidRPr="002E0C7A">
              <w:rPr>
                <w:rFonts w:ascii="Times New Roman" w:hAnsi="Times New Roman" w:cs="Times New Roman"/>
                <w:sz w:val="28"/>
                <w:szCs w:val="28"/>
              </w:rPr>
              <w:t>k</w:t>
            </w:r>
            <w:r>
              <w:rPr>
                <w:rFonts w:ascii="Times New Roman" w:hAnsi="Times New Roman" w:cs="Times New Roman"/>
                <w:sz w:val="28"/>
                <w:szCs w:val="28"/>
              </w:rPr>
              <w:t>as</w:t>
            </w:r>
            <w:r w:rsidR="006449C1" w:rsidRPr="002E0C7A">
              <w:rPr>
                <w:rFonts w:ascii="Times New Roman" w:hAnsi="Times New Roman" w:cs="Times New Roman"/>
                <w:sz w:val="28"/>
                <w:szCs w:val="28"/>
              </w:rPr>
              <w:t xml:space="preserve"> </w:t>
            </w:r>
            <w:r w:rsidR="0090089A" w:rsidRPr="002E0C7A">
              <w:rPr>
                <w:rFonts w:ascii="Times New Roman" w:hAnsi="Times New Roman" w:cs="Times New Roman"/>
                <w:sz w:val="28"/>
                <w:szCs w:val="28"/>
              </w:rPr>
              <w:t>no</w:t>
            </w:r>
            <w:r>
              <w:rPr>
                <w:rFonts w:ascii="Times New Roman" w:hAnsi="Times New Roman" w:cs="Times New Roman"/>
                <w:sz w:val="28"/>
                <w:szCs w:val="28"/>
              </w:rPr>
              <w:t>saka</w:t>
            </w:r>
            <w:r w:rsidR="0090089A" w:rsidRPr="002E0C7A">
              <w:rPr>
                <w:rFonts w:ascii="Times New Roman" w:hAnsi="Times New Roman" w:cs="Times New Roman"/>
                <w:sz w:val="28"/>
                <w:szCs w:val="28"/>
              </w:rPr>
              <w:t>, ka lai nodrošinātu PTAL 8.panta 1.</w:t>
            </w:r>
            <w:r w:rsidR="0090089A" w:rsidRPr="002E0C7A">
              <w:rPr>
                <w:rFonts w:ascii="Times New Roman" w:hAnsi="Times New Roman" w:cs="Times New Roman"/>
                <w:sz w:val="28"/>
                <w:szCs w:val="28"/>
                <w:vertAlign w:val="superscript"/>
              </w:rPr>
              <w:t>3</w:t>
            </w:r>
            <w:r w:rsidR="0090089A" w:rsidRPr="002E0C7A">
              <w:rPr>
                <w:rFonts w:ascii="Times New Roman" w:hAnsi="Times New Roman" w:cs="Times New Roman"/>
                <w:sz w:val="28"/>
                <w:szCs w:val="28"/>
              </w:rPr>
              <w:t xml:space="preserve"> daļas piemērošanu, Ministru kabinets ne vēlāk kā līdz 2015.gada 1.</w:t>
            </w:r>
            <w:r w:rsidR="005D183D">
              <w:rPr>
                <w:rFonts w:ascii="Times New Roman" w:hAnsi="Times New Roman" w:cs="Times New Roman"/>
                <w:sz w:val="28"/>
                <w:szCs w:val="28"/>
              </w:rPr>
              <w:t>novembrim</w:t>
            </w:r>
            <w:r w:rsidR="0090089A" w:rsidRPr="002E0C7A">
              <w:rPr>
                <w:rFonts w:ascii="Times New Roman" w:hAnsi="Times New Roman" w:cs="Times New Roman"/>
                <w:sz w:val="28"/>
                <w:szCs w:val="28"/>
              </w:rPr>
              <w:t xml:space="preserve"> </w:t>
            </w:r>
            <w:r w:rsidR="005D183D">
              <w:rPr>
                <w:rFonts w:ascii="Times New Roman" w:hAnsi="Times New Roman" w:cs="Times New Roman"/>
                <w:sz w:val="28"/>
                <w:szCs w:val="28"/>
              </w:rPr>
              <w:t xml:space="preserve">izdara attiecīgus grozījumus </w:t>
            </w:r>
            <w:r w:rsidR="005D183D" w:rsidRPr="005D183D">
              <w:rPr>
                <w:rFonts w:ascii="Times New Roman" w:hAnsi="Times New Roman" w:cs="Times New Roman"/>
                <w:sz w:val="28"/>
                <w:szCs w:val="28"/>
              </w:rPr>
              <w:t>Ministru kabineta 2011.gada 29.marta noteikum</w:t>
            </w:r>
            <w:r w:rsidR="005D183D">
              <w:rPr>
                <w:rFonts w:ascii="Times New Roman" w:hAnsi="Times New Roman" w:cs="Times New Roman"/>
                <w:sz w:val="28"/>
                <w:szCs w:val="28"/>
              </w:rPr>
              <w:t xml:space="preserve">os </w:t>
            </w:r>
            <w:r w:rsidR="005D183D" w:rsidRPr="005D183D">
              <w:rPr>
                <w:rFonts w:ascii="Times New Roman" w:hAnsi="Times New Roman" w:cs="Times New Roman"/>
                <w:sz w:val="28"/>
                <w:szCs w:val="28"/>
              </w:rPr>
              <w:t xml:space="preserve">Nr.245 „Noteikumi par kārtību, kādā izsniedz, pārreģistrē, aptur un anulē speciālo atļauju (licenci) patērētāju kreditēšanas pakalpojumu sniegšanai un maksā valsts nodevu par speciālās atļaujas (licences) izsniegšanu un pārreģistrāciju, kā arī prasībām kapitālsabiedrībai speciālās </w:t>
            </w:r>
            <w:r w:rsidR="00365E22">
              <w:rPr>
                <w:rFonts w:ascii="Times New Roman" w:hAnsi="Times New Roman" w:cs="Times New Roman"/>
                <w:sz w:val="28"/>
                <w:szCs w:val="28"/>
              </w:rPr>
              <w:t xml:space="preserve">atļaujas (licences) saņemšanai” </w:t>
            </w:r>
            <w:r w:rsidR="00365E22" w:rsidRPr="00365E22">
              <w:rPr>
                <w:rFonts w:ascii="Times New Roman" w:hAnsi="Times New Roman" w:cs="Times New Roman"/>
                <w:sz w:val="28"/>
                <w:szCs w:val="28"/>
              </w:rPr>
              <w:t>(turpmāk - MK noteikumi Nr.245)</w:t>
            </w:r>
            <w:r w:rsidR="0090089A" w:rsidRPr="002E0C7A">
              <w:rPr>
                <w:rFonts w:ascii="Times New Roman" w:hAnsi="Times New Roman" w:cs="Times New Roman"/>
                <w:sz w:val="28"/>
                <w:szCs w:val="28"/>
              </w:rPr>
              <w:t>.</w:t>
            </w:r>
            <w:r w:rsidR="009757E3">
              <w:rPr>
                <w:rFonts w:ascii="Times New Roman" w:hAnsi="Times New Roman" w:cs="Times New Roman"/>
                <w:sz w:val="28"/>
                <w:szCs w:val="28"/>
              </w:rPr>
              <w:t xml:space="preserve"> </w:t>
            </w:r>
          </w:p>
        </w:tc>
      </w:tr>
      <w:tr w:rsidR="007730EB" w:rsidRPr="002E0C7A" w14:paraId="5D151808" w14:textId="77777777" w:rsidTr="00F366FD">
        <w:tc>
          <w:tcPr>
            <w:tcW w:w="244" w:type="pct"/>
          </w:tcPr>
          <w:p w14:paraId="7083BC01" w14:textId="77777777" w:rsidR="007730EB" w:rsidRPr="002E0C7A" w:rsidRDefault="007730EB" w:rsidP="00014187">
            <w:pPr>
              <w:spacing w:after="0" w:line="240" w:lineRule="auto"/>
              <w:rPr>
                <w:rFonts w:ascii="Times New Roman" w:eastAsia="Times New Roman" w:hAnsi="Times New Roman" w:cs="Times New Roman"/>
                <w:color w:val="000000"/>
                <w:sz w:val="28"/>
                <w:szCs w:val="28"/>
                <w:lang w:eastAsia="lv-LV"/>
              </w:rPr>
            </w:pPr>
            <w:r w:rsidRPr="002E0C7A">
              <w:rPr>
                <w:rFonts w:ascii="Times New Roman" w:eastAsia="Times New Roman" w:hAnsi="Times New Roman" w:cs="Times New Roman"/>
                <w:color w:val="000000"/>
                <w:sz w:val="28"/>
                <w:szCs w:val="28"/>
                <w:lang w:eastAsia="lv-LV"/>
              </w:rPr>
              <w:t>2.</w:t>
            </w:r>
          </w:p>
        </w:tc>
        <w:tc>
          <w:tcPr>
            <w:tcW w:w="1365" w:type="pct"/>
          </w:tcPr>
          <w:p w14:paraId="08D0569F" w14:textId="77777777" w:rsidR="007730EB" w:rsidRPr="002E0C7A" w:rsidRDefault="007730EB" w:rsidP="00F366FD">
            <w:pPr>
              <w:spacing w:after="0" w:line="240" w:lineRule="auto"/>
              <w:jc w:val="both"/>
              <w:rPr>
                <w:rFonts w:ascii="Times New Roman" w:eastAsia="Times New Roman" w:hAnsi="Times New Roman" w:cs="Times New Roman"/>
                <w:color w:val="000000"/>
                <w:sz w:val="28"/>
                <w:szCs w:val="28"/>
                <w:lang w:eastAsia="lv-LV"/>
              </w:rPr>
            </w:pPr>
            <w:r w:rsidRPr="002E0C7A">
              <w:rPr>
                <w:rFonts w:ascii="Times New Roman" w:eastAsia="Times New Roman" w:hAnsi="Times New Roman" w:cs="Times New Roman"/>
                <w:color w:val="000000"/>
                <w:sz w:val="28"/>
                <w:szCs w:val="28"/>
                <w:lang w:eastAsia="lv-LV"/>
              </w:rPr>
              <w:t xml:space="preserve">Pašreizējā situācija </w:t>
            </w:r>
            <w:r w:rsidRPr="002E0C7A">
              <w:rPr>
                <w:rFonts w:ascii="Times New Roman" w:eastAsia="Times New Roman" w:hAnsi="Times New Roman" w:cs="Times New Roman"/>
                <w:color w:val="000000"/>
                <w:sz w:val="28"/>
                <w:szCs w:val="28"/>
              </w:rPr>
              <w:t>un problēmas, kuru risināšanai tiesību akta projekts izstrādāts, tiesiskā regulējuma mērķis un būtība</w:t>
            </w:r>
          </w:p>
        </w:tc>
        <w:tc>
          <w:tcPr>
            <w:tcW w:w="3390" w:type="pct"/>
          </w:tcPr>
          <w:p w14:paraId="3B97C6BD" w14:textId="6F8F3EF4" w:rsidR="007E4D38" w:rsidRPr="002E0C7A" w:rsidRDefault="008C5591" w:rsidP="008C5591">
            <w:pPr>
              <w:pStyle w:val="naisf"/>
              <w:spacing w:before="0" w:after="0"/>
              <w:ind w:firstLine="461"/>
              <w:rPr>
                <w:color w:val="auto"/>
                <w:sz w:val="28"/>
                <w:szCs w:val="28"/>
              </w:rPr>
            </w:pPr>
            <w:r>
              <w:rPr>
                <w:sz w:val="28"/>
                <w:szCs w:val="28"/>
                <w:shd w:val="clear" w:color="auto" w:fill="FFFFFF"/>
              </w:rPr>
              <w:t xml:space="preserve">[1] </w:t>
            </w:r>
            <w:r w:rsidR="00B2091F" w:rsidRPr="008C5591">
              <w:rPr>
                <w:sz w:val="28"/>
                <w:szCs w:val="28"/>
                <w:shd w:val="clear" w:color="auto" w:fill="FFFFFF"/>
              </w:rPr>
              <w:t>2015.gada 28.maijā</w:t>
            </w:r>
            <w:r w:rsidR="00FB471C" w:rsidRPr="008C5591">
              <w:rPr>
                <w:sz w:val="28"/>
                <w:szCs w:val="28"/>
                <w:shd w:val="clear" w:color="auto" w:fill="FFFFFF"/>
              </w:rPr>
              <w:t xml:space="preserve"> tika pieņemt</w:t>
            </w:r>
            <w:r w:rsidRPr="008C5591">
              <w:rPr>
                <w:sz w:val="28"/>
                <w:szCs w:val="28"/>
                <w:shd w:val="clear" w:color="auto" w:fill="FFFFFF"/>
              </w:rPr>
              <w:t>s</w:t>
            </w:r>
            <w:r w:rsidR="00B2091F" w:rsidRPr="008C5591">
              <w:rPr>
                <w:sz w:val="28"/>
                <w:szCs w:val="28"/>
                <w:shd w:val="clear" w:color="auto" w:fill="FFFFFF"/>
              </w:rPr>
              <w:t xml:space="preserve"> Likumprojekt</w:t>
            </w:r>
            <w:r w:rsidRPr="008C5591">
              <w:rPr>
                <w:sz w:val="28"/>
                <w:szCs w:val="28"/>
                <w:shd w:val="clear" w:color="auto" w:fill="FFFFFF"/>
              </w:rPr>
              <w:t>s</w:t>
            </w:r>
            <w:r w:rsidR="00B2091F" w:rsidRPr="008C5591">
              <w:rPr>
                <w:sz w:val="28"/>
                <w:szCs w:val="28"/>
                <w:shd w:val="clear" w:color="auto" w:fill="FFFFFF"/>
              </w:rPr>
              <w:t xml:space="preserve"> „Grozījumi Patērētāju tiesību aizsardzības likumā</w:t>
            </w:r>
            <w:r w:rsidR="00FB471C" w:rsidRPr="008C5591">
              <w:rPr>
                <w:sz w:val="28"/>
                <w:szCs w:val="28"/>
                <w:shd w:val="clear" w:color="auto" w:fill="FFFFFF"/>
              </w:rPr>
              <w:t xml:space="preserve">” </w:t>
            </w:r>
            <w:r w:rsidR="006F02A9" w:rsidRPr="008C5591">
              <w:rPr>
                <w:sz w:val="28"/>
                <w:szCs w:val="28"/>
                <w:shd w:val="clear" w:color="auto" w:fill="FFFFFF"/>
              </w:rPr>
              <w:t>ar kuriem paredzēts</w:t>
            </w:r>
            <w:r w:rsidR="00FC485C" w:rsidRPr="008C5591">
              <w:rPr>
                <w:sz w:val="28"/>
                <w:szCs w:val="28"/>
              </w:rPr>
              <w:t xml:space="preserve"> </w:t>
            </w:r>
            <w:r w:rsidR="00A208ED" w:rsidRPr="008C5591">
              <w:rPr>
                <w:sz w:val="28"/>
                <w:szCs w:val="28"/>
              </w:rPr>
              <w:t>grozīt PTAL 8.panta 1.</w:t>
            </w:r>
            <w:r w:rsidR="00A208ED" w:rsidRPr="008C5591">
              <w:rPr>
                <w:sz w:val="28"/>
                <w:szCs w:val="28"/>
                <w:vertAlign w:val="superscript"/>
              </w:rPr>
              <w:t>3</w:t>
            </w:r>
            <w:r w:rsidR="00A208ED" w:rsidRPr="008C5591">
              <w:rPr>
                <w:sz w:val="28"/>
                <w:szCs w:val="28"/>
              </w:rPr>
              <w:t xml:space="preserve"> daļ</w:t>
            </w:r>
            <w:r w:rsidR="007E4D38" w:rsidRPr="008C5591">
              <w:rPr>
                <w:sz w:val="28"/>
                <w:szCs w:val="28"/>
              </w:rPr>
              <w:t>u</w:t>
            </w:r>
            <w:r w:rsidR="007E4D38" w:rsidRPr="002E0C7A">
              <w:rPr>
                <w:sz w:val="28"/>
                <w:szCs w:val="28"/>
              </w:rPr>
              <w:t xml:space="preserve">, kas paredz izmaiņas attiecībā uz nebanku kredītdevēju licencēšanas kārtību, t.i., tiek atcelta līdzšinējā kārtība, kas paredzēja, ka pārreģistrācija veicama katru gadu. Turpmāk </w:t>
            </w:r>
            <w:r w:rsidR="00003ECB">
              <w:rPr>
                <w:sz w:val="28"/>
                <w:szCs w:val="28"/>
                <w:shd w:val="clear" w:color="auto" w:fill="FFFFFF"/>
              </w:rPr>
              <w:t>speciālās atļaujas (licences</w:t>
            </w:r>
            <w:r w:rsidR="00003ECB" w:rsidRPr="00003ECB">
              <w:rPr>
                <w:sz w:val="28"/>
                <w:szCs w:val="28"/>
                <w:shd w:val="clear" w:color="auto" w:fill="FFFFFF"/>
              </w:rPr>
              <w:t>) patērētāju kreditēšanas pakalpojumu sniegšanai</w:t>
            </w:r>
            <w:r w:rsidR="00003ECB">
              <w:rPr>
                <w:sz w:val="28"/>
                <w:szCs w:val="28"/>
              </w:rPr>
              <w:t xml:space="preserve"> kapitālsabiedrībām</w:t>
            </w:r>
            <w:r w:rsidR="007E4D38" w:rsidRPr="002E0C7A">
              <w:rPr>
                <w:sz w:val="28"/>
                <w:szCs w:val="28"/>
              </w:rPr>
              <w:t xml:space="preserve"> tiks izsniegtas uz nenoteiktu laiku. Tiek saglabāta valsts nodeva par pirmreizējo licences izsniegšanu, kā arī noteikta ikgadēja valsts nodeva par kreditēšanas  pakalpojumu sniedzēja  darbības  uzraudzību</w:t>
            </w:r>
            <w:r w:rsidR="00F76957">
              <w:rPr>
                <w:sz w:val="28"/>
                <w:szCs w:val="28"/>
              </w:rPr>
              <w:t>, kas aizstāj līdz šim spēkā esošo nodevu par licences pārreģistrāciju</w:t>
            </w:r>
            <w:r w:rsidR="007E4D38" w:rsidRPr="002E0C7A">
              <w:rPr>
                <w:color w:val="auto"/>
                <w:sz w:val="28"/>
                <w:szCs w:val="28"/>
              </w:rPr>
              <w:t>.</w:t>
            </w:r>
            <w:r w:rsidR="00A208ED" w:rsidRPr="002E0C7A">
              <w:rPr>
                <w:color w:val="auto"/>
                <w:sz w:val="28"/>
                <w:szCs w:val="28"/>
              </w:rPr>
              <w:t xml:space="preserve"> </w:t>
            </w:r>
          </w:p>
          <w:p w14:paraId="48B0043F" w14:textId="656EF785" w:rsidR="00003ECB" w:rsidRDefault="007E4D38" w:rsidP="00104BF3">
            <w:pPr>
              <w:pStyle w:val="naisf"/>
              <w:spacing w:before="0" w:after="0"/>
              <w:ind w:firstLine="473"/>
              <w:rPr>
                <w:color w:val="auto"/>
                <w:sz w:val="28"/>
                <w:szCs w:val="28"/>
              </w:rPr>
            </w:pPr>
            <w:r w:rsidRPr="002E0C7A">
              <w:rPr>
                <w:color w:val="auto"/>
                <w:sz w:val="28"/>
                <w:szCs w:val="28"/>
              </w:rPr>
              <w:t>Lai iepriekš minētās izmaiņas ieviestu,</w:t>
            </w:r>
            <w:r w:rsidR="00A208ED" w:rsidRPr="002E0C7A">
              <w:rPr>
                <w:color w:val="auto"/>
                <w:sz w:val="28"/>
                <w:szCs w:val="28"/>
              </w:rPr>
              <w:t xml:space="preserve"> ir nepieciešams veikt grozījumus</w:t>
            </w:r>
            <w:r w:rsidR="00365E22">
              <w:rPr>
                <w:sz w:val="28"/>
                <w:szCs w:val="28"/>
              </w:rPr>
              <w:t xml:space="preserve"> MK noteikumos Nr.245</w:t>
            </w:r>
            <w:r w:rsidRPr="002E0C7A">
              <w:rPr>
                <w:color w:val="auto"/>
                <w:sz w:val="28"/>
                <w:szCs w:val="28"/>
              </w:rPr>
              <w:t xml:space="preserve">, </w:t>
            </w:r>
            <w:r w:rsidRPr="005A66E9">
              <w:rPr>
                <w:color w:val="auto"/>
                <w:sz w:val="28"/>
                <w:szCs w:val="28"/>
              </w:rPr>
              <w:t xml:space="preserve">izslēdzot </w:t>
            </w:r>
            <w:r w:rsidR="005A66E9" w:rsidRPr="005A66E9">
              <w:rPr>
                <w:color w:val="auto"/>
                <w:sz w:val="28"/>
                <w:szCs w:val="28"/>
              </w:rPr>
              <w:t xml:space="preserve">prasību licences ikgadējai </w:t>
            </w:r>
            <w:r w:rsidR="005A66E9" w:rsidRPr="005A66E9">
              <w:rPr>
                <w:color w:val="auto"/>
                <w:sz w:val="28"/>
                <w:szCs w:val="28"/>
              </w:rPr>
              <w:lastRenderedPageBreak/>
              <w:t>pārreģistrācijai</w:t>
            </w:r>
            <w:r w:rsidR="00104BF3">
              <w:rPr>
                <w:color w:val="auto"/>
                <w:sz w:val="28"/>
                <w:szCs w:val="28"/>
              </w:rPr>
              <w:t xml:space="preserve"> un</w:t>
            </w:r>
            <w:r w:rsidRPr="005A66E9">
              <w:rPr>
                <w:color w:val="auto"/>
                <w:sz w:val="28"/>
                <w:szCs w:val="28"/>
              </w:rPr>
              <w:t xml:space="preserve"> papildināt</w:t>
            </w:r>
            <w:r w:rsidR="005A66E9" w:rsidRPr="005A66E9">
              <w:rPr>
                <w:color w:val="auto"/>
                <w:sz w:val="28"/>
                <w:szCs w:val="28"/>
              </w:rPr>
              <w:t xml:space="preserve"> ar jaunu ikgadējo valsts nodevu par kreditēšanas pakalpojumu sniedzēja darbības uzraudzību</w:t>
            </w:r>
            <w:r w:rsidR="00104BF3">
              <w:rPr>
                <w:color w:val="auto"/>
                <w:sz w:val="28"/>
                <w:szCs w:val="28"/>
              </w:rPr>
              <w:t>, kā arī veikt grozījumus</w:t>
            </w:r>
            <w:r w:rsidR="00F76957">
              <w:rPr>
                <w:color w:val="auto"/>
                <w:sz w:val="28"/>
                <w:szCs w:val="28"/>
              </w:rPr>
              <w:t>,</w:t>
            </w:r>
            <w:r w:rsidR="00104BF3">
              <w:rPr>
                <w:color w:val="auto"/>
                <w:sz w:val="28"/>
                <w:szCs w:val="28"/>
              </w:rPr>
              <w:t xml:space="preserve"> paredzot valsts nodevas maksāšanas kārtību.</w:t>
            </w:r>
          </w:p>
          <w:p w14:paraId="239FB895" w14:textId="3BCA494F" w:rsidR="00003ECB" w:rsidRDefault="00104BF3" w:rsidP="005A66E9">
            <w:pPr>
              <w:pStyle w:val="naisf"/>
              <w:spacing w:before="0" w:after="0"/>
              <w:ind w:firstLine="473"/>
              <w:rPr>
                <w:color w:val="auto"/>
                <w:sz w:val="28"/>
                <w:szCs w:val="28"/>
              </w:rPr>
            </w:pPr>
            <w:r>
              <w:rPr>
                <w:color w:val="auto"/>
                <w:sz w:val="28"/>
                <w:szCs w:val="28"/>
              </w:rPr>
              <w:t xml:space="preserve">Jaunajā </w:t>
            </w:r>
            <w:r w:rsidR="009E780F">
              <w:rPr>
                <w:color w:val="auto"/>
                <w:sz w:val="28"/>
                <w:szCs w:val="28"/>
              </w:rPr>
              <w:t xml:space="preserve">valsts nodevas </w:t>
            </w:r>
            <w:r>
              <w:rPr>
                <w:color w:val="auto"/>
                <w:sz w:val="28"/>
                <w:szCs w:val="28"/>
              </w:rPr>
              <w:t>maksāšanas kārtībā tiks paredzēts, ka</w:t>
            </w:r>
            <w:r w:rsidR="00683901">
              <w:rPr>
                <w:color w:val="auto"/>
                <w:sz w:val="28"/>
                <w:szCs w:val="28"/>
              </w:rPr>
              <w:t xml:space="preserve"> i</w:t>
            </w:r>
            <w:r w:rsidR="00683901" w:rsidRPr="00683901">
              <w:rPr>
                <w:color w:val="auto"/>
                <w:sz w:val="28"/>
                <w:szCs w:val="28"/>
              </w:rPr>
              <w:t xml:space="preserve">kgadējo valsts nodevu par kreditēšanas pakalpojumu sniedzēja darbības uzraudzību kapitālsabiedrība </w:t>
            </w:r>
            <w:r w:rsidR="00F76957">
              <w:rPr>
                <w:color w:val="auto"/>
                <w:sz w:val="28"/>
                <w:szCs w:val="28"/>
              </w:rPr>
              <w:t>pirmo reizi sa</w:t>
            </w:r>
            <w:r w:rsidR="00683901" w:rsidRPr="00683901">
              <w:rPr>
                <w:color w:val="auto"/>
                <w:sz w:val="28"/>
                <w:szCs w:val="28"/>
              </w:rPr>
              <w:t>maksā</w:t>
            </w:r>
            <w:r w:rsidR="00683901">
              <w:rPr>
                <w:color w:val="auto"/>
                <w:sz w:val="28"/>
                <w:szCs w:val="28"/>
              </w:rPr>
              <w:t xml:space="preserve"> </w:t>
            </w:r>
            <w:r w:rsidR="00F76957">
              <w:rPr>
                <w:color w:val="auto"/>
                <w:sz w:val="28"/>
                <w:szCs w:val="28"/>
              </w:rPr>
              <w:t xml:space="preserve">līdz </w:t>
            </w:r>
            <w:r w:rsidR="006449C1">
              <w:rPr>
                <w:color w:val="auto"/>
                <w:sz w:val="28"/>
                <w:szCs w:val="28"/>
              </w:rPr>
              <w:t>brī</w:t>
            </w:r>
            <w:r w:rsidR="00F76957">
              <w:rPr>
                <w:color w:val="auto"/>
                <w:sz w:val="28"/>
                <w:szCs w:val="28"/>
              </w:rPr>
              <w:t>dim</w:t>
            </w:r>
            <w:r w:rsidR="006449C1">
              <w:rPr>
                <w:color w:val="auto"/>
                <w:sz w:val="28"/>
                <w:szCs w:val="28"/>
              </w:rPr>
              <w:t xml:space="preserve">, </w:t>
            </w:r>
            <w:r w:rsidR="00683901" w:rsidRPr="00683901">
              <w:rPr>
                <w:color w:val="auto"/>
                <w:sz w:val="28"/>
                <w:szCs w:val="28"/>
              </w:rPr>
              <w:t>kad no  speciālās atļaujas (licences) izsni</w:t>
            </w:r>
            <w:r w:rsidR="00683901">
              <w:rPr>
                <w:color w:val="auto"/>
                <w:sz w:val="28"/>
                <w:szCs w:val="28"/>
              </w:rPr>
              <w:t>egšanas dienas ir pagājis gads. Ikgadējās valsts nodevas summa tik</w:t>
            </w:r>
            <w:r w:rsidR="009674F2">
              <w:rPr>
                <w:color w:val="auto"/>
                <w:sz w:val="28"/>
                <w:szCs w:val="28"/>
              </w:rPr>
              <w:t>s</w:t>
            </w:r>
            <w:r w:rsidR="00683901">
              <w:rPr>
                <w:color w:val="auto"/>
                <w:sz w:val="28"/>
                <w:szCs w:val="28"/>
              </w:rPr>
              <w:t xml:space="preserve"> aprēķināta</w:t>
            </w:r>
            <w:r w:rsidR="00683901" w:rsidRPr="00683901">
              <w:rPr>
                <w:color w:val="auto"/>
                <w:sz w:val="28"/>
                <w:szCs w:val="28"/>
              </w:rPr>
              <w:t xml:space="preserve"> proporcionāli dienu skaitam  par periodu </w:t>
            </w:r>
            <w:r w:rsidR="00F76957">
              <w:rPr>
                <w:color w:val="auto"/>
                <w:sz w:val="28"/>
                <w:szCs w:val="28"/>
              </w:rPr>
              <w:t xml:space="preserve">no norādītā licences derīguma termiņa beigām </w:t>
            </w:r>
            <w:r w:rsidR="00683901" w:rsidRPr="00683901">
              <w:rPr>
                <w:color w:val="auto"/>
                <w:sz w:val="28"/>
                <w:szCs w:val="28"/>
              </w:rPr>
              <w:t>līdz attiecīgā kalendāra gada beigām.</w:t>
            </w:r>
            <w:r w:rsidR="00683901">
              <w:rPr>
                <w:color w:val="auto"/>
                <w:sz w:val="28"/>
                <w:szCs w:val="28"/>
              </w:rPr>
              <w:t xml:space="preserve"> </w:t>
            </w:r>
            <w:r w:rsidR="009757E3">
              <w:rPr>
                <w:color w:val="auto"/>
                <w:sz w:val="28"/>
                <w:szCs w:val="28"/>
              </w:rPr>
              <w:t>G</w:t>
            </w:r>
            <w:r w:rsidR="00683901">
              <w:rPr>
                <w:color w:val="auto"/>
                <w:sz w:val="28"/>
                <w:szCs w:val="28"/>
              </w:rPr>
              <w:t>adījumos</w:t>
            </w:r>
            <w:r w:rsidR="006449C1">
              <w:rPr>
                <w:color w:val="auto"/>
                <w:sz w:val="28"/>
                <w:szCs w:val="28"/>
              </w:rPr>
              <w:t>,</w:t>
            </w:r>
            <w:r w:rsidR="00683901">
              <w:rPr>
                <w:color w:val="auto"/>
                <w:sz w:val="28"/>
                <w:szCs w:val="28"/>
              </w:rPr>
              <w:t xml:space="preserve"> kad kapitālsabiedrībai tiek izsniegta jauna speciālā atļauja (licence), tad par pirmo gadu i</w:t>
            </w:r>
            <w:r w:rsidR="00683901" w:rsidRPr="00683901">
              <w:rPr>
                <w:color w:val="auto"/>
                <w:sz w:val="28"/>
                <w:szCs w:val="28"/>
              </w:rPr>
              <w:t>kgadējā valsts nodeva par kreditēšanas pakalpojumu sniedzēja darbības uzraudzību ne</w:t>
            </w:r>
            <w:r w:rsidR="009674F2">
              <w:rPr>
                <w:color w:val="auto"/>
                <w:sz w:val="28"/>
                <w:szCs w:val="28"/>
              </w:rPr>
              <w:t>būs</w:t>
            </w:r>
            <w:r w:rsidR="00683901" w:rsidRPr="00683901">
              <w:rPr>
                <w:color w:val="auto"/>
                <w:sz w:val="28"/>
                <w:szCs w:val="28"/>
              </w:rPr>
              <w:t xml:space="preserve"> </w:t>
            </w:r>
            <w:r w:rsidR="009674F2">
              <w:rPr>
                <w:color w:val="auto"/>
                <w:sz w:val="28"/>
                <w:szCs w:val="28"/>
              </w:rPr>
              <w:t>jā</w:t>
            </w:r>
            <w:r w:rsidR="00683901" w:rsidRPr="00683901">
              <w:rPr>
                <w:color w:val="auto"/>
                <w:sz w:val="28"/>
                <w:szCs w:val="28"/>
              </w:rPr>
              <w:t>maksā</w:t>
            </w:r>
            <w:r w:rsidR="00683901">
              <w:rPr>
                <w:color w:val="auto"/>
                <w:sz w:val="28"/>
                <w:szCs w:val="28"/>
              </w:rPr>
              <w:t xml:space="preserve">. Savukārt </w:t>
            </w:r>
            <w:r w:rsidR="00683901" w:rsidRPr="00683901">
              <w:rPr>
                <w:color w:val="auto"/>
                <w:sz w:val="28"/>
                <w:szCs w:val="28"/>
              </w:rPr>
              <w:t>par katru nākamo kalendāro gadu</w:t>
            </w:r>
            <w:r w:rsidR="00683901">
              <w:rPr>
                <w:color w:val="auto"/>
                <w:sz w:val="28"/>
                <w:szCs w:val="28"/>
              </w:rPr>
              <w:t xml:space="preserve"> </w:t>
            </w:r>
            <w:r w:rsidR="00683901" w:rsidRPr="00683901">
              <w:rPr>
                <w:color w:val="auto"/>
                <w:sz w:val="28"/>
                <w:szCs w:val="28"/>
              </w:rPr>
              <w:t>ikgadējā valsts nodeva par kreditēšanas pakalpojumu sniedzēja darbības uzraudzību</w:t>
            </w:r>
            <w:r w:rsidR="00683901">
              <w:rPr>
                <w:color w:val="auto"/>
                <w:sz w:val="28"/>
                <w:szCs w:val="28"/>
              </w:rPr>
              <w:t xml:space="preserve"> </w:t>
            </w:r>
            <w:r w:rsidR="009674F2">
              <w:rPr>
                <w:color w:val="auto"/>
                <w:sz w:val="28"/>
                <w:szCs w:val="28"/>
              </w:rPr>
              <w:t>būs</w:t>
            </w:r>
            <w:r w:rsidR="00683901">
              <w:rPr>
                <w:color w:val="auto"/>
                <w:sz w:val="28"/>
                <w:szCs w:val="28"/>
              </w:rPr>
              <w:t xml:space="preserve"> </w:t>
            </w:r>
            <w:r w:rsidR="009674F2">
              <w:rPr>
                <w:color w:val="auto"/>
                <w:sz w:val="28"/>
                <w:szCs w:val="28"/>
              </w:rPr>
              <w:t>jāmaksā</w:t>
            </w:r>
            <w:r w:rsidR="00683901">
              <w:rPr>
                <w:color w:val="auto"/>
                <w:sz w:val="28"/>
                <w:szCs w:val="28"/>
              </w:rPr>
              <w:t xml:space="preserve"> ne vēlāk kā</w:t>
            </w:r>
            <w:r w:rsidR="00683901" w:rsidRPr="00683901">
              <w:rPr>
                <w:color w:val="auto"/>
                <w:sz w:val="28"/>
                <w:szCs w:val="28"/>
              </w:rPr>
              <w:t xml:space="preserve"> līdz kārtējā gada 1.decembrim.</w:t>
            </w:r>
          </w:p>
          <w:p w14:paraId="417901D9" w14:textId="6A3948AE" w:rsidR="00683901" w:rsidRDefault="00683901" w:rsidP="005A66E9">
            <w:pPr>
              <w:pStyle w:val="naisf"/>
              <w:spacing w:before="0" w:after="0"/>
              <w:ind w:firstLine="473"/>
              <w:rPr>
                <w:color w:val="auto"/>
                <w:sz w:val="28"/>
                <w:szCs w:val="28"/>
              </w:rPr>
            </w:pPr>
            <w:r w:rsidRPr="00683901">
              <w:rPr>
                <w:color w:val="auto"/>
                <w:sz w:val="28"/>
                <w:szCs w:val="28"/>
              </w:rPr>
              <w:t>Speciālā atļauja (licence), kas izsniegta vai pareģistrēta līdz 2015.gada 31.decembrim</w:t>
            </w:r>
            <w:r w:rsidR="006449C1">
              <w:rPr>
                <w:color w:val="auto"/>
                <w:sz w:val="28"/>
                <w:szCs w:val="28"/>
              </w:rPr>
              <w:t>,</w:t>
            </w:r>
            <w:r w:rsidRPr="00683901">
              <w:rPr>
                <w:color w:val="auto"/>
                <w:sz w:val="28"/>
                <w:szCs w:val="28"/>
              </w:rPr>
              <w:t xml:space="preserve"> </w:t>
            </w:r>
            <w:r w:rsidR="009674F2">
              <w:rPr>
                <w:color w:val="auto"/>
                <w:sz w:val="28"/>
                <w:szCs w:val="28"/>
              </w:rPr>
              <w:t>būs</w:t>
            </w:r>
            <w:r w:rsidR="009674F2" w:rsidRPr="00683901">
              <w:rPr>
                <w:color w:val="auto"/>
                <w:sz w:val="28"/>
                <w:szCs w:val="28"/>
              </w:rPr>
              <w:t xml:space="preserve"> </w:t>
            </w:r>
            <w:r w:rsidR="008531BC">
              <w:rPr>
                <w:color w:val="auto"/>
                <w:sz w:val="28"/>
                <w:szCs w:val="28"/>
              </w:rPr>
              <w:t>spēkā līdz speciālajā atļaujā</w:t>
            </w:r>
            <w:r w:rsidRPr="00683901">
              <w:rPr>
                <w:color w:val="auto"/>
                <w:sz w:val="28"/>
                <w:szCs w:val="28"/>
              </w:rPr>
              <w:t xml:space="preserve"> (licencē) norādīt</w:t>
            </w:r>
            <w:r w:rsidR="008531BC">
              <w:rPr>
                <w:color w:val="auto"/>
                <w:sz w:val="28"/>
                <w:szCs w:val="28"/>
              </w:rPr>
              <w:t>ā termiņa beigām, ja vien netiks</w:t>
            </w:r>
            <w:r w:rsidRPr="00683901">
              <w:rPr>
                <w:color w:val="auto"/>
                <w:sz w:val="28"/>
                <w:szCs w:val="28"/>
              </w:rPr>
              <w:t xml:space="preserve"> pieņemts lēmums par speciālās atļaujas (licences) anulēšanu vai darbības apturēšanu saskaņā ar šiem noteikumiem. Ne vēlāk kā vienu mēnesi pirms speciālajā atļaujā (licencē) norādītā derīguma termiņa beigām kapitālsabiedrīb</w:t>
            </w:r>
            <w:r w:rsidR="009674F2">
              <w:rPr>
                <w:color w:val="auto"/>
                <w:sz w:val="28"/>
                <w:szCs w:val="28"/>
              </w:rPr>
              <w:t>a</w:t>
            </w:r>
            <w:r w:rsidR="009E780F">
              <w:rPr>
                <w:color w:val="auto"/>
                <w:sz w:val="28"/>
                <w:szCs w:val="28"/>
              </w:rPr>
              <w:t>i būs nepieciešams iesniegt</w:t>
            </w:r>
            <w:r w:rsidRPr="00683901">
              <w:rPr>
                <w:color w:val="auto"/>
                <w:sz w:val="28"/>
                <w:szCs w:val="28"/>
              </w:rPr>
              <w:t xml:space="preserve"> Patērētāju tiesību aizsardzības centrā iesniegumu par speciālās atļaujas (licences) izsniegšanu uz nenoteiktu laiku. Valsts nodeva par speciālā atļaujas (licences) izsniegšanu uz nenoteiktu laiku atkārtoti </w:t>
            </w:r>
            <w:r w:rsidR="009674F2" w:rsidRPr="00683901">
              <w:rPr>
                <w:color w:val="auto"/>
                <w:sz w:val="28"/>
                <w:szCs w:val="28"/>
              </w:rPr>
              <w:t>n</w:t>
            </w:r>
            <w:r w:rsidR="009674F2">
              <w:rPr>
                <w:color w:val="auto"/>
                <w:sz w:val="28"/>
                <w:szCs w:val="28"/>
              </w:rPr>
              <w:t>ebūs</w:t>
            </w:r>
            <w:r w:rsidR="009674F2" w:rsidRPr="00683901">
              <w:rPr>
                <w:color w:val="auto"/>
                <w:sz w:val="28"/>
                <w:szCs w:val="28"/>
              </w:rPr>
              <w:t xml:space="preserve"> </w:t>
            </w:r>
            <w:r w:rsidRPr="00683901">
              <w:rPr>
                <w:color w:val="auto"/>
                <w:sz w:val="28"/>
                <w:szCs w:val="28"/>
              </w:rPr>
              <w:t>j</w:t>
            </w:r>
            <w:r w:rsidR="008531BC">
              <w:rPr>
                <w:color w:val="auto"/>
                <w:sz w:val="28"/>
                <w:szCs w:val="28"/>
              </w:rPr>
              <w:t>āmaksā. Vienlaikus ar iesniegumu</w:t>
            </w:r>
            <w:r w:rsidRPr="00683901">
              <w:rPr>
                <w:color w:val="auto"/>
                <w:sz w:val="28"/>
                <w:szCs w:val="28"/>
              </w:rPr>
              <w:t xml:space="preserve"> par speciālās atļaujas (licences) izsniegšanu uz nenoteiktu laiku kapitālsabiedrība</w:t>
            </w:r>
            <w:r w:rsidR="009674F2">
              <w:rPr>
                <w:color w:val="auto"/>
                <w:sz w:val="28"/>
                <w:szCs w:val="28"/>
              </w:rPr>
              <w:t>i būs jāveic</w:t>
            </w:r>
            <w:r w:rsidRPr="00683901">
              <w:rPr>
                <w:color w:val="auto"/>
                <w:sz w:val="28"/>
                <w:szCs w:val="28"/>
              </w:rPr>
              <w:t xml:space="preserve"> valsts nodevas par kreditēšanas pakalpojumu sniedzēja darbības uzraudzību samaks</w:t>
            </w:r>
            <w:r w:rsidR="009674F2">
              <w:rPr>
                <w:color w:val="auto"/>
                <w:sz w:val="28"/>
                <w:szCs w:val="28"/>
              </w:rPr>
              <w:t>a</w:t>
            </w:r>
            <w:r w:rsidRPr="00683901">
              <w:rPr>
                <w:color w:val="auto"/>
                <w:sz w:val="28"/>
                <w:szCs w:val="28"/>
              </w:rPr>
              <w:t xml:space="preserve"> proporcionāli dienu skaitam  par periodu no speciālās atļaujas (licences) derīguma termiņa beigām līdz attiecīgā kalendāra gada beigām.</w:t>
            </w:r>
          </w:p>
          <w:p w14:paraId="3229949B" w14:textId="2AAA4C91" w:rsidR="005A66E9" w:rsidRDefault="008C5591" w:rsidP="005A66E9">
            <w:pPr>
              <w:pStyle w:val="naisf"/>
              <w:spacing w:before="0" w:after="0"/>
              <w:ind w:firstLine="473"/>
              <w:rPr>
                <w:color w:val="auto"/>
                <w:sz w:val="28"/>
                <w:szCs w:val="28"/>
              </w:rPr>
            </w:pPr>
            <w:r w:rsidRPr="008C5591">
              <w:rPr>
                <w:color w:val="auto"/>
                <w:sz w:val="28"/>
                <w:szCs w:val="28"/>
              </w:rPr>
              <w:lastRenderedPageBreak/>
              <w:t xml:space="preserve"> </w:t>
            </w:r>
            <w:r w:rsidR="00AE258E" w:rsidRPr="008C5591">
              <w:rPr>
                <w:color w:val="auto"/>
                <w:sz w:val="28"/>
                <w:szCs w:val="28"/>
              </w:rPr>
              <w:t>[2]</w:t>
            </w:r>
            <w:r w:rsidR="00AE258E">
              <w:rPr>
                <w:color w:val="auto"/>
                <w:sz w:val="28"/>
                <w:szCs w:val="28"/>
              </w:rPr>
              <w:t xml:space="preserve"> </w:t>
            </w:r>
            <w:r w:rsidR="00B9644E">
              <w:rPr>
                <w:color w:val="auto"/>
                <w:sz w:val="28"/>
                <w:szCs w:val="28"/>
              </w:rPr>
              <w:t xml:space="preserve">Spēkā esošie MK noteikumi Nr.245 nosaka, ka </w:t>
            </w:r>
            <w:r w:rsidR="00B9644E" w:rsidRPr="00B9644E">
              <w:rPr>
                <w:color w:val="auto"/>
                <w:sz w:val="28"/>
                <w:szCs w:val="28"/>
              </w:rPr>
              <w:t>Patērētāju tiesību aizsardzības centrs pirms lēmuma pieņemšanas par speciālās atļaujas (licences) izsniegšanu, pārreģistrāciju, apturēšanu vai anulēšanu ir tiesīgs sniegt norādījumus kapitālsabiedrībai par darbībām, kas tai jāveic, lai nodrošinātu kapitālsabiedrības darbības atbilstību šo noteikumu prasībām.</w:t>
            </w:r>
            <w:r w:rsidR="00B9644E">
              <w:rPr>
                <w:color w:val="auto"/>
                <w:sz w:val="28"/>
                <w:szCs w:val="28"/>
              </w:rPr>
              <w:t xml:space="preserve"> Lai padarītu normu skaidrāku un novērstu neskaidrības par</w:t>
            </w:r>
            <w:r w:rsidR="00EC782D">
              <w:rPr>
                <w:color w:val="auto"/>
                <w:sz w:val="28"/>
                <w:szCs w:val="28"/>
              </w:rPr>
              <w:t xml:space="preserve"> tās piemērošanu, ir nepieciešams </w:t>
            </w:r>
            <w:r w:rsidR="009674F2">
              <w:rPr>
                <w:color w:val="auto"/>
                <w:sz w:val="28"/>
                <w:szCs w:val="28"/>
              </w:rPr>
              <w:t>noteikt</w:t>
            </w:r>
            <w:r w:rsidR="00EC782D">
              <w:rPr>
                <w:color w:val="auto"/>
                <w:sz w:val="28"/>
                <w:szCs w:val="28"/>
              </w:rPr>
              <w:t xml:space="preserve">, ka Patērētāju tiesību aizsardzības centrs ir tiesīgs sniegt kapitālsabiedrībai norādījumus ne tikai pirms lēmuma pieņemšanas, bet arī speciālās atļaujas (licences) </w:t>
            </w:r>
            <w:r w:rsidR="00EC782D" w:rsidRPr="00EC782D">
              <w:rPr>
                <w:color w:val="auto"/>
                <w:sz w:val="28"/>
                <w:szCs w:val="28"/>
                <w:u w:val="single"/>
              </w:rPr>
              <w:t>spēkā esamības laikā</w:t>
            </w:r>
            <w:r w:rsidR="00EC782D">
              <w:rPr>
                <w:color w:val="auto"/>
                <w:sz w:val="28"/>
                <w:szCs w:val="28"/>
              </w:rPr>
              <w:t>.</w:t>
            </w:r>
          </w:p>
          <w:p w14:paraId="0036DE4C" w14:textId="77777777" w:rsidR="0042372D" w:rsidRDefault="0042372D" w:rsidP="005A66E9">
            <w:pPr>
              <w:pStyle w:val="naisf"/>
              <w:spacing w:before="0" w:after="0"/>
              <w:ind w:firstLine="473"/>
              <w:rPr>
                <w:color w:val="auto"/>
                <w:sz w:val="28"/>
                <w:szCs w:val="28"/>
              </w:rPr>
            </w:pPr>
          </w:p>
          <w:p w14:paraId="277EF326" w14:textId="289D2452" w:rsidR="00646E81" w:rsidRDefault="00AE258E" w:rsidP="008E641A">
            <w:pPr>
              <w:pStyle w:val="naisf"/>
              <w:spacing w:before="0" w:after="0"/>
              <w:ind w:firstLine="473"/>
              <w:rPr>
                <w:color w:val="auto"/>
                <w:sz w:val="28"/>
                <w:szCs w:val="28"/>
              </w:rPr>
            </w:pPr>
            <w:r w:rsidRPr="008C5591">
              <w:rPr>
                <w:color w:val="auto"/>
                <w:sz w:val="28"/>
                <w:szCs w:val="28"/>
              </w:rPr>
              <w:t>[3]</w:t>
            </w:r>
            <w:r w:rsidR="00FF1D9A">
              <w:rPr>
                <w:color w:val="auto"/>
                <w:sz w:val="28"/>
                <w:szCs w:val="28"/>
              </w:rPr>
              <w:t xml:space="preserve"> </w:t>
            </w:r>
            <w:r w:rsidR="002173DB" w:rsidRPr="002173DB">
              <w:rPr>
                <w:color w:val="auto"/>
                <w:sz w:val="28"/>
                <w:szCs w:val="28"/>
              </w:rPr>
              <w:t>Saskaņā ar pašreizējo regulējumu iesniegumam par speciālās atļaujas (licences)   saņemšanu ir jāpievieno valsts nodevas samaksas apliecinošs dokuments. Tā kā Patērētāju tiesību aizsardzības centram ir nodrošināta piekļuve valsts kases kontam tiešsaistes režīmā, tad lai neradītu papildus administratīvo slogu, šāda prasība būtu svītrojama.</w:t>
            </w:r>
          </w:p>
          <w:p w14:paraId="3A6CB78E" w14:textId="2F872CB1" w:rsidR="00CC5144" w:rsidRDefault="00AE258E" w:rsidP="008C5591">
            <w:pPr>
              <w:pStyle w:val="naisf"/>
              <w:spacing w:before="0" w:after="0"/>
              <w:ind w:firstLine="473"/>
              <w:rPr>
                <w:color w:val="auto"/>
                <w:sz w:val="28"/>
                <w:szCs w:val="28"/>
              </w:rPr>
            </w:pPr>
            <w:r w:rsidRPr="008C5591">
              <w:rPr>
                <w:color w:val="auto"/>
                <w:sz w:val="28"/>
                <w:szCs w:val="28"/>
              </w:rPr>
              <w:t>[</w:t>
            </w:r>
            <w:r w:rsidR="008E641A">
              <w:rPr>
                <w:color w:val="auto"/>
                <w:sz w:val="28"/>
                <w:szCs w:val="28"/>
              </w:rPr>
              <w:t>4</w:t>
            </w:r>
            <w:r w:rsidRPr="008C5591">
              <w:rPr>
                <w:color w:val="auto"/>
                <w:sz w:val="28"/>
                <w:szCs w:val="28"/>
              </w:rPr>
              <w:t>]</w:t>
            </w:r>
            <w:r>
              <w:rPr>
                <w:color w:val="auto"/>
                <w:sz w:val="28"/>
                <w:szCs w:val="28"/>
              </w:rPr>
              <w:t xml:space="preserve"> </w:t>
            </w:r>
            <w:r w:rsidR="002173DB" w:rsidRPr="002173DB">
              <w:rPr>
                <w:color w:val="auto"/>
                <w:sz w:val="28"/>
                <w:szCs w:val="28"/>
              </w:rPr>
              <w:t>Lai sagatavotu dokumentus lēmuma pieņemšanai par speciālās atļaujas (licences) izsniegšanu, Patērētāju tiesību aizsardzības centrs, ja nepieciešams, administratīvo procesu regulējošajos normatīvajos aktos noteiktajā kārtībā iegūst informāciju, par kapitālsabiedrības dibinātāju ienākumiem, kas apmaksājuši kapitālsabiedrības pamatkapitālu. Tā kā Patērētāju tiesību aizsardzības centram ir nepieciešams pārbaudīt dalībnieku ienākumus vai dalībnieki ir reālie īpašnieki, nevis dibinātāji, tad Noteikumu projektā ir nepieciešams dibinātāju aizstāt ar dalībnieku, lai Patērētāju tiesību aizsardzības centrs būtu tiesīgs iegūt ieguldījumus pamatojošus dokumentus no reālajiem daļu īpašniekiem (ieguldītājiem), nevis no dibinātājiem.</w:t>
            </w:r>
          </w:p>
          <w:p w14:paraId="01560BF3" w14:textId="6B745C37" w:rsidR="00362B29" w:rsidRPr="00362B29" w:rsidRDefault="00AE258E" w:rsidP="00362B29">
            <w:pPr>
              <w:pStyle w:val="naisf"/>
              <w:spacing w:before="0" w:after="0"/>
              <w:ind w:firstLine="473"/>
              <w:rPr>
                <w:sz w:val="28"/>
                <w:szCs w:val="28"/>
              </w:rPr>
            </w:pPr>
            <w:r w:rsidRPr="008C5591">
              <w:rPr>
                <w:color w:val="auto"/>
                <w:sz w:val="28"/>
                <w:szCs w:val="28"/>
              </w:rPr>
              <w:t>[</w:t>
            </w:r>
            <w:r w:rsidR="008E641A">
              <w:rPr>
                <w:color w:val="auto"/>
                <w:sz w:val="28"/>
                <w:szCs w:val="28"/>
              </w:rPr>
              <w:t>5</w:t>
            </w:r>
            <w:r w:rsidRPr="008C5591">
              <w:rPr>
                <w:color w:val="auto"/>
                <w:sz w:val="28"/>
                <w:szCs w:val="28"/>
              </w:rPr>
              <w:t>]</w:t>
            </w:r>
            <w:r>
              <w:rPr>
                <w:color w:val="auto"/>
                <w:sz w:val="28"/>
                <w:szCs w:val="28"/>
              </w:rPr>
              <w:t xml:space="preserve"> </w:t>
            </w:r>
            <w:r w:rsidR="002173DB" w:rsidRPr="002173DB">
              <w:rPr>
                <w:color w:val="auto"/>
                <w:sz w:val="28"/>
                <w:szCs w:val="28"/>
              </w:rPr>
              <w:t xml:space="preserve">Saskaņā ar šobrīd spēkā esošajiem MK noteikumiem Nr.245 kapitālsabiedrībai nav pienākums informēt Patērētāju tiesību aizsardzības centru, ja mainījušies kapitālsabiedrības īpašnieki vai </w:t>
            </w:r>
            <w:r w:rsidR="002173DB" w:rsidRPr="002173DB">
              <w:rPr>
                <w:color w:val="auto"/>
                <w:sz w:val="28"/>
                <w:szCs w:val="28"/>
              </w:rPr>
              <w:lastRenderedPageBreak/>
              <w:t>to īpašumā esošo kapitāldaļu apmērs, kā arī, ja notikušas izmaiņas kapitālsabiedrības padomes vai valdes locekļu sastāvā. Patērētāju tiesību aizsardzības centram saskaņā ar MK noteikumu Nr.245 9.5.apakšpunktu ir jāuzrauga finanšu līdzekļu ieguldījums, kā arī atbilstoši šo noteikumu 10.punktam padomes vai valdes locekļu atbilstība noteikumu prasībām. Lai Patērētāju tiesību aizsardzības centrs spētu efektīvāk veikt uzraudzību, ir nepieciešams papildus uzlikt par pienākumu kapitālsabiedrībām informēt Patērētāju tiesību aizsardzības centru, pirmkārt, par izmaiņām kapitālsabiedrības padomes (ja tāda izveidota), valdes locekļusastāvā, otrkārt, par kapitālsabiedrības dalībnieku izmaiņām īpašumā esošo daļu apmēr</w:t>
            </w:r>
            <w:r w:rsidR="008E641A">
              <w:rPr>
                <w:color w:val="auto"/>
                <w:sz w:val="28"/>
                <w:szCs w:val="28"/>
              </w:rPr>
              <w:t>ā</w:t>
            </w:r>
            <w:r w:rsidR="002173DB" w:rsidRPr="002173DB">
              <w:rPr>
                <w:color w:val="auto"/>
                <w:sz w:val="28"/>
                <w:szCs w:val="28"/>
              </w:rPr>
              <w:t xml:space="preserve"> un par pamatkapitāla daļu īpašnieku (dalībnieku) maiņu.</w:t>
            </w:r>
            <w:r w:rsidR="008E641A">
              <w:rPr>
                <w:color w:val="auto"/>
                <w:sz w:val="28"/>
                <w:szCs w:val="28"/>
              </w:rPr>
              <w:t xml:space="preserve"> Šis </w:t>
            </w:r>
            <w:r w:rsidR="008E641A">
              <w:rPr>
                <w:sz w:val="28"/>
                <w:szCs w:val="28"/>
              </w:rPr>
              <w:t>punkts attiecināms uz visiem gadījumiem, kad notiek kapitāla daļu palielināšana, emitēto daļu apmaksa, daļu atsavināšana un citiem daļu pārejas vai apmēra izmaiņu gadījumiem.</w:t>
            </w:r>
            <w:r w:rsidR="00362B29">
              <w:rPr>
                <w:sz w:val="28"/>
                <w:szCs w:val="28"/>
              </w:rPr>
              <w:t xml:space="preserve"> Papildus minētajam, noteikumu projekts paredz atvieglot informācijas sniegšanu par minētajām izmaiņām, nosakot, ka kapitālsabiedrība sniedz informāciju PTAC par izmaiņu veikšanas faktu, nepievienojot izmaiņas apliecinošus dokumentus, ko PTAC var iegūt no LR Uzņēmumu reģistra. Izmaksu samazināšanai un ērtībai minēto informāciju kapitālsabiedrība varēs sniegt arī elektroniski.</w:t>
            </w:r>
          </w:p>
        </w:tc>
      </w:tr>
      <w:tr w:rsidR="007730EB" w:rsidRPr="002E0C7A" w14:paraId="7442B849" w14:textId="77777777" w:rsidTr="00F366FD">
        <w:tc>
          <w:tcPr>
            <w:tcW w:w="244" w:type="pct"/>
          </w:tcPr>
          <w:p w14:paraId="0D47D1F0" w14:textId="1EDFBDA0" w:rsidR="007730EB" w:rsidRPr="002E0C7A" w:rsidRDefault="007730EB" w:rsidP="00014187">
            <w:pPr>
              <w:spacing w:after="0" w:line="240" w:lineRule="auto"/>
              <w:rPr>
                <w:rFonts w:ascii="Times New Roman" w:eastAsia="Times New Roman" w:hAnsi="Times New Roman" w:cs="Times New Roman"/>
                <w:color w:val="000000"/>
                <w:sz w:val="28"/>
                <w:szCs w:val="28"/>
                <w:lang w:eastAsia="lv-LV"/>
              </w:rPr>
            </w:pPr>
            <w:r w:rsidRPr="002E0C7A">
              <w:rPr>
                <w:rFonts w:ascii="Times New Roman" w:eastAsia="Times New Roman" w:hAnsi="Times New Roman" w:cs="Times New Roman"/>
                <w:color w:val="000000"/>
                <w:sz w:val="28"/>
                <w:szCs w:val="28"/>
                <w:lang w:eastAsia="lv-LV"/>
              </w:rPr>
              <w:lastRenderedPageBreak/>
              <w:t>3.</w:t>
            </w:r>
          </w:p>
        </w:tc>
        <w:tc>
          <w:tcPr>
            <w:tcW w:w="1365" w:type="pct"/>
          </w:tcPr>
          <w:p w14:paraId="174D99C4" w14:textId="77777777" w:rsidR="007730EB" w:rsidRPr="002E0C7A" w:rsidRDefault="007730EB" w:rsidP="00F366FD">
            <w:pPr>
              <w:spacing w:after="0" w:line="240" w:lineRule="auto"/>
              <w:jc w:val="both"/>
              <w:rPr>
                <w:rFonts w:ascii="Times New Roman" w:eastAsia="Times New Roman" w:hAnsi="Times New Roman" w:cs="Times New Roman"/>
                <w:color w:val="000000"/>
                <w:sz w:val="28"/>
                <w:szCs w:val="28"/>
                <w:lang w:eastAsia="lv-LV"/>
              </w:rPr>
            </w:pPr>
            <w:r w:rsidRPr="002E0C7A">
              <w:rPr>
                <w:rFonts w:ascii="Times New Roman" w:eastAsia="Times New Roman" w:hAnsi="Times New Roman" w:cs="Times New Roman"/>
                <w:color w:val="000000"/>
                <w:sz w:val="28"/>
                <w:szCs w:val="28"/>
                <w:lang w:eastAsia="lv-LV"/>
              </w:rPr>
              <w:t>Projekta izstrādē iesaistītās institūcijas</w:t>
            </w:r>
          </w:p>
        </w:tc>
        <w:tc>
          <w:tcPr>
            <w:tcW w:w="3390" w:type="pct"/>
          </w:tcPr>
          <w:p w14:paraId="1710A2D0" w14:textId="6B87581C" w:rsidR="007730EB" w:rsidRPr="002E0C7A" w:rsidRDefault="00D221FA" w:rsidP="008C4F96">
            <w:pPr>
              <w:spacing w:after="0" w:line="240" w:lineRule="auto"/>
              <w:jc w:val="both"/>
              <w:rPr>
                <w:rFonts w:ascii="Times New Roman" w:eastAsia="Times New Roman" w:hAnsi="Times New Roman" w:cs="Times New Roman"/>
                <w:color w:val="000000"/>
                <w:sz w:val="28"/>
                <w:szCs w:val="28"/>
                <w:highlight w:val="yellow"/>
                <w:lang w:eastAsia="lv-LV"/>
              </w:rPr>
            </w:pPr>
            <w:r w:rsidRPr="002E0C7A">
              <w:rPr>
                <w:rFonts w:ascii="Times New Roman" w:eastAsia="Times New Roman" w:hAnsi="Times New Roman" w:cs="Times New Roman"/>
                <w:sz w:val="28"/>
                <w:szCs w:val="28"/>
                <w:lang w:eastAsia="lv-LV"/>
              </w:rPr>
              <w:t>Patērētāju tiesību aizsardzības centrs</w:t>
            </w:r>
          </w:p>
        </w:tc>
      </w:tr>
      <w:tr w:rsidR="007730EB" w:rsidRPr="002E0C7A" w14:paraId="3737FC2C" w14:textId="77777777" w:rsidTr="00F366FD">
        <w:tc>
          <w:tcPr>
            <w:tcW w:w="244" w:type="pct"/>
          </w:tcPr>
          <w:p w14:paraId="3EA4C799" w14:textId="77777777" w:rsidR="007730EB" w:rsidRPr="002E0C7A" w:rsidRDefault="007730EB" w:rsidP="00014187">
            <w:pPr>
              <w:spacing w:after="0" w:line="240" w:lineRule="auto"/>
              <w:rPr>
                <w:rFonts w:ascii="Times New Roman" w:eastAsia="Times New Roman" w:hAnsi="Times New Roman" w:cs="Times New Roman"/>
                <w:color w:val="000000"/>
                <w:sz w:val="28"/>
                <w:szCs w:val="28"/>
                <w:lang w:eastAsia="lv-LV"/>
              </w:rPr>
            </w:pPr>
            <w:r w:rsidRPr="002E0C7A">
              <w:rPr>
                <w:rFonts w:ascii="Times New Roman" w:eastAsia="Times New Roman" w:hAnsi="Times New Roman" w:cs="Times New Roman"/>
                <w:color w:val="000000"/>
                <w:sz w:val="28"/>
                <w:szCs w:val="28"/>
                <w:lang w:eastAsia="lv-LV"/>
              </w:rPr>
              <w:t>4.</w:t>
            </w:r>
          </w:p>
        </w:tc>
        <w:tc>
          <w:tcPr>
            <w:tcW w:w="1365" w:type="pct"/>
          </w:tcPr>
          <w:p w14:paraId="528A14D1" w14:textId="77777777" w:rsidR="007730EB" w:rsidRPr="002E0C7A" w:rsidRDefault="007730EB" w:rsidP="00F366FD">
            <w:pPr>
              <w:spacing w:after="0" w:line="240" w:lineRule="auto"/>
              <w:jc w:val="both"/>
              <w:rPr>
                <w:rFonts w:ascii="Times New Roman" w:eastAsia="Times New Roman" w:hAnsi="Times New Roman" w:cs="Times New Roman"/>
                <w:color w:val="000000"/>
                <w:sz w:val="28"/>
                <w:szCs w:val="28"/>
                <w:lang w:eastAsia="lv-LV"/>
              </w:rPr>
            </w:pPr>
            <w:r w:rsidRPr="002E0C7A">
              <w:rPr>
                <w:rFonts w:ascii="Times New Roman" w:eastAsia="Times New Roman" w:hAnsi="Times New Roman" w:cs="Times New Roman"/>
                <w:color w:val="000000"/>
                <w:sz w:val="28"/>
                <w:szCs w:val="28"/>
                <w:lang w:eastAsia="lv-LV"/>
              </w:rPr>
              <w:t>Cita informācija</w:t>
            </w:r>
          </w:p>
        </w:tc>
        <w:tc>
          <w:tcPr>
            <w:tcW w:w="3390" w:type="pct"/>
          </w:tcPr>
          <w:p w14:paraId="164D86C5" w14:textId="424C1CE1" w:rsidR="007730EB" w:rsidRPr="002E0C7A" w:rsidRDefault="007730EB" w:rsidP="00F366FD">
            <w:pPr>
              <w:spacing w:after="0" w:line="240" w:lineRule="auto"/>
              <w:jc w:val="both"/>
              <w:rPr>
                <w:rFonts w:ascii="Times New Roman" w:eastAsia="Times New Roman" w:hAnsi="Times New Roman" w:cs="Times New Roman"/>
                <w:color w:val="000000"/>
                <w:sz w:val="28"/>
                <w:szCs w:val="28"/>
              </w:rPr>
            </w:pPr>
            <w:r w:rsidRPr="002E0C7A">
              <w:rPr>
                <w:rFonts w:ascii="Times New Roman" w:eastAsia="Times New Roman" w:hAnsi="Times New Roman" w:cs="Times New Roman"/>
                <w:color w:val="000000"/>
                <w:sz w:val="28"/>
                <w:szCs w:val="28"/>
              </w:rPr>
              <w:t>Nav</w:t>
            </w:r>
          </w:p>
        </w:tc>
      </w:tr>
    </w:tbl>
    <w:p w14:paraId="4D89C595" w14:textId="77777777" w:rsidR="00D57FE5" w:rsidRPr="002E0C7A" w:rsidRDefault="00D57FE5" w:rsidP="00F366FD">
      <w:pPr>
        <w:spacing w:after="0" w:line="240" w:lineRule="auto"/>
        <w:rPr>
          <w:rFonts w:ascii="Times New Roman" w:eastAsia="Times New Roman" w:hAnsi="Times New Roman" w:cs="Times New Roman"/>
          <w:color w:val="000000"/>
          <w:sz w:val="28"/>
          <w:szCs w:val="28"/>
        </w:rPr>
      </w:pPr>
    </w:p>
    <w:tbl>
      <w:tblPr>
        <w:tblW w:w="5145" w:type="pct"/>
        <w:tblInd w:w="-8"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00" w:firstRow="0" w:lastRow="0" w:firstColumn="0" w:lastColumn="0" w:noHBand="0" w:noVBand="0"/>
      </w:tblPr>
      <w:tblGrid>
        <w:gridCol w:w="523"/>
        <w:gridCol w:w="2428"/>
        <w:gridCol w:w="6353"/>
      </w:tblGrid>
      <w:tr w:rsidR="007730EB" w:rsidRPr="002E0C7A" w14:paraId="2AE6B012" w14:textId="77777777" w:rsidTr="00282ADE">
        <w:tc>
          <w:tcPr>
            <w:tcW w:w="5000" w:type="pct"/>
            <w:gridSpan w:val="3"/>
            <w:tcBorders>
              <w:top w:val="outset" w:sz="6" w:space="0" w:color="auto"/>
              <w:left w:val="outset" w:sz="6" w:space="0" w:color="auto"/>
              <w:bottom w:val="outset" w:sz="6" w:space="0" w:color="auto"/>
              <w:right w:val="outset" w:sz="6" w:space="0" w:color="auto"/>
            </w:tcBorders>
          </w:tcPr>
          <w:p w14:paraId="0811B8AE" w14:textId="77777777" w:rsidR="007730EB" w:rsidRPr="002E0C7A" w:rsidRDefault="007730EB" w:rsidP="00F366FD">
            <w:pPr>
              <w:spacing w:after="0" w:line="240" w:lineRule="auto"/>
              <w:jc w:val="center"/>
              <w:rPr>
                <w:rFonts w:ascii="Times New Roman" w:eastAsia="Times New Roman" w:hAnsi="Times New Roman" w:cs="Times New Roman"/>
                <w:b/>
                <w:color w:val="000000"/>
                <w:sz w:val="28"/>
                <w:szCs w:val="28"/>
              </w:rPr>
            </w:pPr>
            <w:r w:rsidRPr="002E0C7A">
              <w:rPr>
                <w:rFonts w:ascii="Times New Roman" w:eastAsia="Times New Roman" w:hAnsi="Times New Roman" w:cs="Times New Roman"/>
                <w:b/>
                <w:color w:val="000000"/>
                <w:sz w:val="28"/>
                <w:szCs w:val="28"/>
              </w:rPr>
              <w:t>II. Tiesību akta projekta ietekme uz sabiedrību,</w:t>
            </w:r>
            <w:r w:rsidRPr="002E0C7A">
              <w:rPr>
                <w:rFonts w:ascii="Times New Roman" w:eastAsia="Times New Roman" w:hAnsi="Times New Roman" w:cs="Times New Roman"/>
                <w:b/>
                <w:bCs/>
                <w:color w:val="000000"/>
                <w:sz w:val="28"/>
                <w:szCs w:val="28"/>
              </w:rPr>
              <w:t xml:space="preserve"> tautsaimniecības attīstību un administratīvo slogu</w:t>
            </w:r>
          </w:p>
        </w:tc>
      </w:tr>
      <w:tr w:rsidR="007730EB" w:rsidRPr="002E0C7A" w14:paraId="203AB9DE" w14:textId="77777777" w:rsidTr="00282ADE">
        <w:tc>
          <w:tcPr>
            <w:tcW w:w="281" w:type="pct"/>
            <w:tcBorders>
              <w:top w:val="outset" w:sz="6" w:space="0" w:color="auto"/>
              <w:left w:val="outset" w:sz="6" w:space="0" w:color="auto"/>
              <w:right w:val="outset" w:sz="6" w:space="0" w:color="auto"/>
            </w:tcBorders>
          </w:tcPr>
          <w:p w14:paraId="6EFD799A" w14:textId="77777777" w:rsidR="007730EB" w:rsidRPr="002E0C7A" w:rsidRDefault="007730EB" w:rsidP="00014187">
            <w:pPr>
              <w:spacing w:after="0" w:line="240" w:lineRule="auto"/>
              <w:rPr>
                <w:rFonts w:ascii="Times New Roman" w:eastAsia="Times New Roman" w:hAnsi="Times New Roman" w:cs="Times New Roman"/>
                <w:color w:val="000000"/>
                <w:sz w:val="28"/>
                <w:szCs w:val="28"/>
              </w:rPr>
            </w:pPr>
            <w:r w:rsidRPr="002E0C7A">
              <w:rPr>
                <w:rFonts w:ascii="Times New Roman" w:eastAsia="Times New Roman" w:hAnsi="Times New Roman" w:cs="Times New Roman"/>
                <w:color w:val="000000"/>
                <w:sz w:val="28"/>
                <w:szCs w:val="28"/>
              </w:rPr>
              <w:t>1.</w:t>
            </w:r>
          </w:p>
        </w:tc>
        <w:tc>
          <w:tcPr>
            <w:tcW w:w="1305" w:type="pct"/>
            <w:tcBorders>
              <w:top w:val="outset" w:sz="6" w:space="0" w:color="auto"/>
              <w:left w:val="outset" w:sz="6" w:space="0" w:color="auto"/>
              <w:right w:val="outset" w:sz="6" w:space="0" w:color="auto"/>
            </w:tcBorders>
          </w:tcPr>
          <w:p w14:paraId="0D2F0BB3" w14:textId="77777777" w:rsidR="007730EB" w:rsidRPr="002E0C7A" w:rsidRDefault="007730EB" w:rsidP="00F366FD">
            <w:pPr>
              <w:spacing w:after="0" w:line="240" w:lineRule="auto"/>
              <w:jc w:val="both"/>
              <w:rPr>
                <w:rFonts w:ascii="Times New Roman" w:eastAsia="Times New Roman" w:hAnsi="Times New Roman" w:cs="Times New Roman"/>
                <w:color w:val="000000"/>
                <w:sz w:val="28"/>
                <w:szCs w:val="28"/>
              </w:rPr>
            </w:pPr>
            <w:r w:rsidRPr="002E0C7A">
              <w:rPr>
                <w:rFonts w:ascii="Times New Roman" w:eastAsia="Times New Roman" w:hAnsi="Times New Roman" w:cs="Times New Roman"/>
                <w:color w:val="000000"/>
                <w:sz w:val="28"/>
                <w:szCs w:val="28"/>
              </w:rPr>
              <w:t>Sabiedrības mērķgrupas, kuras tiesiskais regulējums ietekmē vai varētu ietekmēt</w:t>
            </w:r>
          </w:p>
        </w:tc>
        <w:tc>
          <w:tcPr>
            <w:tcW w:w="3414" w:type="pct"/>
            <w:tcBorders>
              <w:top w:val="outset" w:sz="6" w:space="0" w:color="auto"/>
              <w:left w:val="outset" w:sz="6" w:space="0" w:color="auto"/>
              <w:right w:val="outset" w:sz="6" w:space="0" w:color="auto"/>
            </w:tcBorders>
          </w:tcPr>
          <w:p w14:paraId="60E08427" w14:textId="77777777" w:rsidR="00420786" w:rsidRPr="002E0C7A" w:rsidRDefault="00C17B20" w:rsidP="007E4D38">
            <w:pPr>
              <w:spacing w:after="0" w:line="240" w:lineRule="auto"/>
              <w:ind w:firstLine="177"/>
              <w:jc w:val="both"/>
              <w:rPr>
                <w:rFonts w:ascii="Times New Roman" w:eastAsia="Times New Roman" w:hAnsi="Times New Roman" w:cs="Times New Roman"/>
                <w:color w:val="000000"/>
                <w:sz w:val="28"/>
                <w:szCs w:val="28"/>
                <w:highlight w:val="yellow"/>
                <w:lang w:eastAsia="lv-LV"/>
              </w:rPr>
            </w:pPr>
            <w:r w:rsidRPr="00C17B20">
              <w:rPr>
                <w:rFonts w:ascii="Times New Roman" w:eastAsia="Times New Roman" w:hAnsi="Times New Roman" w:cs="Times New Roman"/>
                <w:sz w:val="28"/>
                <w:szCs w:val="28"/>
                <w:lang w:eastAsia="lv-LV"/>
              </w:rPr>
              <w:t xml:space="preserve">Noteikumu </w:t>
            </w:r>
            <w:r w:rsidR="007E4D38" w:rsidRPr="00C17B20">
              <w:rPr>
                <w:rFonts w:ascii="Times New Roman" w:eastAsia="Times New Roman" w:hAnsi="Times New Roman" w:cs="Times New Roman"/>
                <w:sz w:val="28"/>
                <w:szCs w:val="28"/>
                <w:lang w:eastAsia="lv-LV"/>
              </w:rPr>
              <w:t>projektā</w:t>
            </w:r>
            <w:r w:rsidR="00116F56" w:rsidRPr="002E0C7A">
              <w:rPr>
                <w:rFonts w:ascii="Times New Roman" w:eastAsia="Times New Roman" w:hAnsi="Times New Roman" w:cs="Times New Roman"/>
                <w:sz w:val="28"/>
                <w:szCs w:val="28"/>
                <w:lang w:eastAsia="lv-LV"/>
              </w:rPr>
              <w:t xml:space="preserve"> ietvertais regulējums attiecas uz </w:t>
            </w:r>
            <w:r w:rsidR="007E4D38" w:rsidRPr="002E0C7A">
              <w:rPr>
                <w:rFonts w:ascii="Times New Roman" w:eastAsia="Times New Roman" w:hAnsi="Times New Roman" w:cs="Times New Roman"/>
                <w:sz w:val="28"/>
                <w:szCs w:val="28"/>
                <w:lang w:eastAsia="lv-LV"/>
              </w:rPr>
              <w:t>kapitālsabiedrībām, kas sniedz patērētāju kreditēšanas pakalpojumus</w:t>
            </w:r>
            <w:r w:rsidR="002048DB" w:rsidRPr="002E0C7A">
              <w:rPr>
                <w:rFonts w:ascii="Times New Roman" w:eastAsia="Times New Roman" w:hAnsi="Times New Roman" w:cs="Times New Roman"/>
                <w:sz w:val="28"/>
                <w:szCs w:val="28"/>
                <w:lang w:eastAsia="lv-LV"/>
              </w:rPr>
              <w:t>.</w:t>
            </w:r>
            <w:r w:rsidR="00FF4296" w:rsidRPr="002E0C7A">
              <w:rPr>
                <w:rFonts w:ascii="Times New Roman" w:eastAsia="Times New Roman" w:hAnsi="Times New Roman" w:cs="Times New Roman"/>
                <w:sz w:val="28"/>
                <w:szCs w:val="28"/>
                <w:lang w:eastAsia="lv-LV"/>
              </w:rPr>
              <w:t xml:space="preserve"> Šobrīd darbojas </w:t>
            </w:r>
            <w:r w:rsidR="00F43A94" w:rsidRPr="002E0C7A">
              <w:rPr>
                <w:rFonts w:ascii="Times New Roman" w:eastAsia="Times New Roman" w:hAnsi="Times New Roman" w:cs="Times New Roman"/>
                <w:sz w:val="28"/>
                <w:szCs w:val="28"/>
                <w:lang w:eastAsia="lv-LV"/>
              </w:rPr>
              <w:t>56</w:t>
            </w:r>
            <w:r w:rsidR="00FF4296" w:rsidRPr="002E0C7A">
              <w:rPr>
                <w:rFonts w:ascii="Times New Roman" w:eastAsia="Times New Roman" w:hAnsi="Times New Roman" w:cs="Times New Roman"/>
                <w:sz w:val="28"/>
                <w:szCs w:val="28"/>
                <w:lang w:eastAsia="lv-LV"/>
              </w:rPr>
              <w:t xml:space="preserve"> patērētāju kreditēšanas pakalpojumu sniedzēji, kas saņēmuši Patērētāju tiesību aizsardzības centra licences.</w:t>
            </w:r>
          </w:p>
        </w:tc>
      </w:tr>
      <w:tr w:rsidR="007730EB" w:rsidRPr="002E0C7A" w14:paraId="56BF9530" w14:textId="77777777" w:rsidTr="00282ADE">
        <w:tc>
          <w:tcPr>
            <w:tcW w:w="281" w:type="pct"/>
            <w:tcBorders>
              <w:top w:val="outset" w:sz="6" w:space="0" w:color="auto"/>
              <w:left w:val="outset" w:sz="6" w:space="0" w:color="auto"/>
              <w:right w:val="outset" w:sz="6" w:space="0" w:color="auto"/>
            </w:tcBorders>
          </w:tcPr>
          <w:p w14:paraId="07F92A21" w14:textId="77777777" w:rsidR="007730EB" w:rsidRPr="002E0C7A" w:rsidRDefault="007730EB" w:rsidP="00014187">
            <w:pPr>
              <w:spacing w:after="0" w:line="240" w:lineRule="auto"/>
              <w:rPr>
                <w:rFonts w:ascii="Times New Roman" w:eastAsia="Times New Roman" w:hAnsi="Times New Roman" w:cs="Times New Roman"/>
                <w:color w:val="000000"/>
                <w:sz w:val="28"/>
                <w:szCs w:val="28"/>
              </w:rPr>
            </w:pPr>
            <w:r w:rsidRPr="002E0C7A">
              <w:rPr>
                <w:rFonts w:ascii="Times New Roman" w:eastAsia="Times New Roman" w:hAnsi="Times New Roman" w:cs="Times New Roman"/>
                <w:color w:val="000000"/>
                <w:sz w:val="28"/>
                <w:szCs w:val="28"/>
              </w:rPr>
              <w:lastRenderedPageBreak/>
              <w:t>2.</w:t>
            </w:r>
          </w:p>
        </w:tc>
        <w:tc>
          <w:tcPr>
            <w:tcW w:w="1305" w:type="pct"/>
            <w:tcBorders>
              <w:top w:val="outset" w:sz="6" w:space="0" w:color="auto"/>
              <w:left w:val="outset" w:sz="6" w:space="0" w:color="auto"/>
              <w:right w:val="outset" w:sz="6" w:space="0" w:color="auto"/>
            </w:tcBorders>
          </w:tcPr>
          <w:p w14:paraId="7CD1FB77" w14:textId="77777777" w:rsidR="007730EB" w:rsidRPr="002E0C7A" w:rsidRDefault="007730EB" w:rsidP="00F366FD">
            <w:pPr>
              <w:widowControl w:val="0"/>
              <w:spacing w:after="0" w:line="240" w:lineRule="auto"/>
              <w:jc w:val="both"/>
              <w:rPr>
                <w:rFonts w:ascii="Times New Roman" w:eastAsia="Times New Roman" w:hAnsi="Times New Roman" w:cs="Times New Roman"/>
                <w:color w:val="000000"/>
                <w:sz w:val="28"/>
                <w:szCs w:val="28"/>
              </w:rPr>
            </w:pPr>
            <w:r w:rsidRPr="002E0C7A">
              <w:rPr>
                <w:rFonts w:ascii="Times New Roman" w:eastAsia="Times New Roman" w:hAnsi="Times New Roman" w:cs="Times New Roman"/>
                <w:color w:val="000000"/>
                <w:sz w:val="28"/>
                <w:szCs w:val="28"/>
              </w:rPr>
              <w:t>Tiesiskā regulējuma ietekme uz tautsaimniecību un administratīvo slogu</w:t>
            </w:r>
          </w:p>
        </w:tc>
        <w:tc>
          <w:tcPr>
            <w:tcW w:w="3414" w:type="pct"/>
            <w:tcBorders>
              <w:top w:val="outset" w:sz="6" w:space="0" w:color="auto"/>
              <w:left w:val="outset" w:sz="6" w:space="0" w:color="auto"/>
              <w:right w:val="outset" w:sz="6" w:space="0" w:color="auto"/>
            </w:tcBorders>
          </w:tcPr>
          <w:p w14:paraId="5075840F" w14:textId="6EE1FCFE" w:rsidR="00282ADE" w:rsidRPr="00282ADE" w:rsidRDefault="00A32C39" w:rsidP="00282ADE">
            <w:pPr>
              <w:widowControl w:val="0"/>
              <w:spacing w:after="0" w:line="240" w:lineRule="auto"/>
              <w:ind w:firstLine="177"/>
              <w:jc w:val="both"/>
              <w:rPr>
                <w:rFonts w:ascii="Times New Roman" w:hAnsi="Times New Roman" w:cs="Times New Roman"/>
                <w:sz w:val="28"/>
                <w:szCs w:val="28"/>
              </w:rPr>
            </w:pPr>
            <w:r w:rsidRPr="002E0C7A">
              <w:rPr>
                <w:rFonts w:ascii="Times New Roman" w:hAnsi="Times New Roman" w:cs="Times New Roman"/>
                <w:sz w:val="28"/>
                <w:szCs w:val="28"/>
              </w:rPr>
              <w:t>Administratīvais slogs kapitālsabiedrīb</w:t>
            </w:r>
            <w:r w:rsidR="00E44B08" w:rsidRPr="002E0C7A">
              <w:rPr>
                <w:rFonts w:ascii="Times New Roman" w:hAnsi="Times New Roman" w:cs="Times New Roman"/>
                <w:sz w:val="28"/>
                <w:szCs w:val="28"/>
              </w:rPr>
              <w:t>ām</w:t>
            </w:r>
            <w:r w:rsidRPr="002E0C7A">
              <w:rPr>
                <w:rFonts w:ascii="Times New Roman" w:hAnsi="Times New Roman" w:cs="Times New Roman"/>
                <w:sz w:val="28"/>
                <w:szCs w:val="28"/>
              </w:rPr>
              <w:t>,</w:t>
            </w:r>
            <w:r w:rsidR="00E44B08" w:rsidRPr="002E0C7A">
              <w:rPr>
                <w:rFonts w:ascii="Times New Roman" w:hAnsi="Times New Roman" w:cs="Times New Roman"/>
                <w:sz w:val="28"/>
                <w:szCs w:val="28"/>
              </w:rPr>
              <w:t xml:space="preserve"> </w:t>
            </w:r>
            <w:r w:rsidRPr="002E0C7A">
              <w:rPr>
                <w:rFonts w:ascii="Times New Roman" w:hAnsi="Times New Roman" w:cs="Times New Roman"/>
                <w:sz w:val="28"/>
                <w:szCs w:val="28"/>
              </w:rPr>
              <w:t xml:space="preserve">kas sniedz patērētāju kreditēšanas pakalpojumus, tiek samazināts, jo netiek vairs paredzēta ikgadējā </w:t>
            </w:r>
            <w:r w:rsidR="008E641A">
              <w:rPr>
                <w:rFonts w:ascii="Times New Roman" w:hAnsi="Times New Roman" w:cs="Times New Roman"/>
                <w:sz w:val="28"/>
                <w:szCs w:val="28"/>
              </w:rPr>
              <w:t>licences</w:t>
            </w:r>
            <w:r w:rsidRPr="002E0C7A">
              <w:rPr>
                <w:rFonts w:ascii="Times New Roman" w:hAnsi="Times New Roman" w:cs="Times New Roman"/>
                <w:sz w:val="28"/>
                <w:szCs w:val="28"/>
              </w:rPr>
              <w:t xml:space="preserve"> pārreģistrācij</w:t>
            </w:r>
            <w:r w:rsidR="008E641A">
              <w:rPr>
                <w:rFonts w:ascii="Times New Roman" w:hAnsi="Times New Roman" w:cs="Times New Roman"/>
                <w:sz w:val="28"/>
                <w:szCs w:val="28"/>
              </w:rPr>
              <w:t>aun</w:t>
            </w:r>
            <w:r w:rsidR="00E44B08" w:rsidRPr="002E0C7A">
              <w:rPr>
                <w:rFonts w:ascii="Times New Roman" w:hAnsi="Times New Roman" w:cs="Times New Roman"/>
                <w:sz w:val="28"/>
                <w:szCs w:val="28"/>
              </w:rPr>
              <w:t xml:space="preserve"> ar pārreģistrāciju</w:t>
            </w:r>
            <w:r w:rsidRPr="002E0C7A">
              <w:rPr>
                <w:rFonts w:ascii="Times New Roman" w:hAnsi="Times New Roman" w:cs="Times New Roman"/>
                <w:sz w:val="28"/>
                <w:szCs w:val="28"/>
              </w:rPr>
              <w:t xml:space="preserve"> </w:t>
            </w:r>
            <w:r w:rsidR="00E44B08" w:rsidRPr="002E0C7A">
              <w:rPr>
                <w:rFonts w:ascii="Times New Roman" w:hAnsi="Times New Roman" w:cs="Times New Roman"/>
                <w:sz w:val="28"/>
                <w:szCs w:val="28"/>
              </w:rPr>
              <w:t xml:space="preserve">saistītās </w:t>
            </w:r>
            <w:r w:rsidRPr="002E0C7A">
              <w:rPr>
                <w:rFonts w:ascii="Times New Roman" w:hAnsi="Times New Roman" w:cs="Times New Roman"/>
                <w:sz w:val="28"/>
                <w:szCs w:val="28"/>
              </w:rPr>
              <w:t>darbības</w:t>
            </w:r>
            <w:r w:rsidR="00E44B08" w:rsidRPr="002E0C7A">
              <w:rPr>
                <w:rFonts w:ascii="Times New Roman" w:hAnsi="Times New Roman" w:cs="Times New Roman"/>
                <w:sz w:val="28"/>
                <w:szCs w:val="28"/>
              </w:rPr>
              <w:t>, piemēram</w:t>
            </w:r>
            <w:r w:rsidR="008C4F96">
              <w:rPr>
                <w:rFonts w:ascii="Times New Roman" w:hAnsi="Times New Roman" w:cs="Times New Roman"/>
                <w:sz w:val="28"/>
                <w:szCs w:val="28"/>
              </w:rPr>
              <w:t>,</w:t>
            </w:r>
            <w:r w:rsidR="00E44B08" w:rsidRPr="002E0C7A">
              <w:rPr>
                <w:rFonts w:ascii="Times New Roman" w:hAnsi="Times New Roman" w:cs="Times New Roman"/>
                <w:sz w:val="28"/>
                <w:szCs w:val="28"/>
              </w:rPr>
              <w:t xml:space="preserve"> nepieciešamo dokumentu sagatavošana, iesniegšana</w:t>
            </w:r>
            <w:r w:rsidRPr="002E0C7A">
              <w:rPr>
                <w:rFonts w:ascii="Times New Roman" w:hAnsi="Times New Roman" w:cs="Times New Roman"/>
                <w:sz w:val="28"/>
                <w:szCs w:val="28"/>
              </w:rPr>
              <w:t>. Savukārt nodevas apmērs</w:t>
            </w:r>
            <w:r w:rsidR="00282ADE">
              <w:rPr>
                <w:rFonts w:ascii="Times New Roman" w:hAnsi="Times New Roman" w:cs="Times New Roman"/>
                <w:sz w:val="28"/>
                <w:szCs w:val="28"/>
              </w:rPr>
              <w:t xml:space="preserve"> (</w:t>
            </w:r>
            <w:r w:rsidR="00282ADE" w:rsidRPr="00282ADE">
              <w:rPr>
                <w:rFonts w:ascii="Times New Roman" w:hAnsi="Times New Roman" w:cs="Times New Roman"/>
                <w:sz w:val="28"/>
                <w:szCs w:val="28"/>
              </w:rPr>
              <w:t>14 225 euro</w:t>
            </w:r>
            <w:r w:rsidR="00282ADE">
              <w:rPr>
                <w:rFonts w:ascii="Times New Roman" w:hAnsi="Times New Roman" w:cs="Times New Roman"/>
                <w:sz w:val="28"/>
                <w:szCs w:val="28"/>
              </w:rPr>
              <w:t>)</w:t>
            </w:r>
            <w:r w:rsidRPr="002E0C7A">
              <w:rPr>
                <w:rFonts w:ascii="Times New Roman" w:hAnsi="Times New Roman" w:cs="Times New Roman"/>
                <w:sz w:val="28"/>
                <w:szCs w:val="28"/>
              </w:rPr>
              <w:t xml:space="preserve"> saglabājas nemainīgs.</w:t>
            </w:r>
            <w:r w:rsidR="00282ADE">
              <w:rPr>
                <w:rFonts w:ascii="Times New Roman" w:hAnsi="Times New Roman" w:cs="Times New Roman"/>
                <w:sz w:val="28"/>
                <w:szCs w:val="28"/>
              </w:rPr>
              <w:t xml:space="preserve"> </w:t>
            </w:r>
            <w:r w:rsidR="00282ADE" w:rsidRPr="00282ADE">
              <w:rPr>
                <w:rFonts w:ascii="Times New Roman" w:hAnsi="Times New Roman" w:cs="Times New Roman"/>
                <w:sz w:val="28"/>
                <w:szCs w:val="28"/>
              </w:rPr>
              <w:t>Praksē šī nodeva tiek piemērota no 2012.gada. Nodevas apmērs tika noteikts ņemot vērā Centrālās statistikas pārvaldes datus par nebanku kreditēšanas sektora apgrozāmo līdzekļu apmēru, izsniegto aizdevumu apmēru, kā arī bruto peļņu, kā arī ņemot vērā nepieciešamību paaugstināt patērētāju tiesību aizsardzības līmeni nebanku kreditēšanas pakalpojumu jomā.</w:t>
            </w:r>
          </w:p>
          <w:p w14:paraId="1EA90F60" w14:textId="47581F0C" w:rsidR="007730EB" w:rsidRPr="002E0C7A" w:rsidRDefault="00282ADE" w:rsidP="00282ADE">
            <w:pPr>
              <w:widowControl w:val="0"/>
              <w:spacing w:after="0" w:line="240" w:lineRule="auto"/>
              <w:ind w:firstLine="177"/>
              <w:jc w:val="both"/>
              <w:rPr>
                <w:rFonts w:ascii="Times New Roman" w:eastAsia="Times New Roman" w:hAnsi="Times New Roman" w:cs="Times New Roman"/>
                <w:color w:val="000000"/>
                <w:sz w:val="28"/>
                <w:szCs w:val="28"/>
                <w:highlight w:val="yellow"/>
              </w:rPr>
            </w:pPr>
            <w:r w:rsidRPr="00282ADE">
              <w:rPr>
                <w:rFonts w:ascii="Times New Roman" w:hAnsi="Times New Roman" w:cs="Times New Roman"/>
                <w:sz w:val="28"/>
                <w:szCs w:val="28"/>
              </w:rPr>
              <w:t>MK noteikumu projekts paredz saglabāt nodevu esošajā apmērā. Valsts nodevas noteiktā apmēra mērķis ir gan valsts izdevumu segšana par kapitālsabiedrību, kas sniedz patērētāju kreditēšanas pakalpojumu uzraudzību ilgtermiņā, kā arī daļēji kā nebanku kredītu devēju tirgu regulējošs mehānisms. Saskaņā ar likuma “Par nodokļiem un nodevām” 1.panta 2.punktu valsts nodevas mērķis ir personu darbību regulēšana (kontrolēšana, veicināšana, ierobežošana). Valsts nodevas apmērs nav tiešā veidā saistīts ar institūcijas veiktās darbības izmaksu segšanu.</w:t>
            </w:r>
          </w:p>
        </w:tc>
      </w:tr>
      <w:tr w:rsidR="007730EB" w:rsidRPr="002E0C7A" w14:paraId="39D5808B" w14:textId="77777777" w:rsidTr="00282ADE">
        <w:tc>
          <w:tcPr>
            <w:tcW w:w="281" w:type="pct"/>
            <w:tcBorders>
              <w:top w:val="outset" w:sz="6" w:space="0" w:color="auto"/>
              <w:left w:val="outset" w:sz="6" w:space="0" w:color="auto"/>
              <w:right w:val="outset" w:sz="6" w:space="0" w:color="auto"/>
            </w:tcBorders>
          </w:tcPr>
          <w:p w14:paraId="0ECB3EF0" w14:textId="77777777" w:rsidR="007730EB" w:rsidRPr="002E0C7A" w:rsidRDefault="007730EB" w:rsidP="00014187">
            <w:pPr>
              <w:spacing w:after="0" w:line="240" w:lineRule="auto"/>
              <w:rPr>
                <w:rFonts w:ascii="Times New Roman" w:eastAsia="Arial Unicode MS" w:hAnsi="Times New Roman" w:cs="Times New Roman"/>
                <w:color w:val="000000"/>
                <w:sz w:val="28"/>
                <w:szCs w:val="28"/>
              </w:rPr>
            </w:pPr>
            <w:r w:rsidRPr="002E0C7A">
              <w:rPr>
                <w:rFonts w:ascii="Times New Roman" w:eastAsia="Arial Unicode MS" w:hAnsi="Times New Roman" w:cs="Times New Roman"/>
                <w:color w:val="000000"/>
                <w:sz w:val="28"/>
                <w:szCs w:val="28"/>
              </w:rPr>
              <w:t>3.</w:t>
            </w:r>
          </w:p>
        </w:tc>
        <w:tc>
          <w:tcPr>
            <w:tcW w:w="1305" w:type="pct"/>
            <w:tcBorders>
              <w:top w:val="outset" w:sz="6" w:space="0" w:color="auto"/>
              <w:left w:val="outset" w:sz="6" w:space="0" w:color="auto"/>
              <w:right w:val="outset" w:sz="6" w:space="0" w:color="auto"/>
            </w:tcBorders>
          </w:tcPr>
          <w:p w14:paraId="263A3144" w14:textId="77777777" w:rsidR="007730EB" w:rsidRPr="002E0C7A" w:rsidRDefault="007730EB" w:rsidP="00F366FD">
            <w:pPr>
              <w:spacing w:after="0" w:line="240" w:lineRule="auto"/>
              <w:jc w:val="both"/>
              <w:rPr>
                <w:rFonts w:ascii="Times New Roman" w:eastAsia="Arial Unicode MS" w:hAnsi="Times New Roman" w:cs="Times New Roman"/>
                <w:color w:val="000000"/>
                <w:sz w:val="28"/>
                <w:szCs w:val="28"/>
              </w:rPr>
            </w:pPr>
            <w:r w:rsidRPr="002E0C7A">
              <w:rPr>
                <w:rFonts w:ascii="Times New Roman" w:eastAsia="Arial Unicode MS" w:hAnsi="Times New Roman" w:cs="Times New Roman"/>
                <w:color w:val="000000"/>
                <w:sz w:val="28"/>
                <w:szCs w:val="28"/>
              </w:rPr>
              <w:t>Administratīvo izmaksu monetārs novērtējums</w:t>
            </w:r>
          </w:p>
        </w:tc>
        <w:tc>
          <w:tcPr>
            <w:tcW w:w="3414" w:type="pct"/>
            <w:tcBorders>
              <w:top w:val="outset" w:sz="6" w:space="0" w:color="auto"/>
              <w:left w:val="outset" w:sz="6" w:space="0" w:color="auto"/>
              <w:right w:val="outset" w:sz="6" w:space="0" w:color="auto"/>
            </w:tcBorders>
          </w:tcPr>
          <w:p w14:paraId="2180BA66" w14:textId="7CFCB1E3" w:rsidR="00116F56" w:rsidRPr="002E0C7A" w:rsidRDefault="00F71F9E" w:rsidP="004F27C6">
            <w:pPr>
              <w:spacing w:after="0" w:line="240" w:lineRule="auto"/>
              <w:jc w:val="both"/>
              <w:rPr>
                <w:rFonts w:ascii="Times New Roman" w:eastAsia="Times New Roman" w:hAnsi="Times New Roman" w:cs="Times New Roman"/>
                <w:color w:val="000000"/>
                <w:sz w:val="28"/>
                <w:szCs w:val="28"/>
              </w:rPr>
            </w:pPr>
            <w:r w:rsidRPr="002E0C7A">
              <w:rPr>
                <w:rFonts w:ascii="Times New Roman" w:eastAsia="Times New Roman" w:hAnsi="Times New Roman" w:cs="Times New Roman"/>
                <w:color w:val="000000"/>
                <w:sz w:val="28"/>
                <w:szCs w:val="28"/>
              </w:rPr>
              <w:t>Projekts šo jomu neskar</w:t>
            </w:r>
          </w:p>
          <w:p w14:paraId="627B9379" w14:textId="77777777" w:rsidR="007E3F36" w:rsidRPr="002E0C7A" w:rsidRDefault="007E3F36" w:rsidP="006A3A9F">
            <w:pPr>
              <w:widowControl w:val="0"/>
              <w:spacing w:after="0" w:line="240" w:lineRule="auto"/>
              <w:ind w:firstLine="177"/>
              <w:jc w:val="both"/>
              <w:rPr>
                <w:rFonts w:ascii="Times New Roman" w:eastAsia="Times New Roman" w:hAnsi="Times New Roman" w:cs="Times New Roman"/>
                <w:color w:val="000000"/>
                <w:sz w:val="28"/>
                <w:szCs w:val="28"/>
              </w:rPr>
            </w:pPr>
          </w:p>
        </w:tc>
      </w:tr>
      <w:tr w:rsidR="007730EB" w:rsidRPr="002E0C7A" w14:paraId="593808CF" w14:textId="77777777" w:rsidTr="00282ADE">
        <w:tc>
          <w:tcPr>
            <w:tcW w:w="281" w:type="pct"/>
            <w:tcBorders>
              <w:top w:val="outset" w:sz="6" w:space="0" w:color="auto"/>
              <w:left w:val="outset" w:sz="6" w:space="0" w:color="auto"/>
              <w:right w:val="outset" w:sz="6" w:space="0" w:color="auto"/>
            </w:tcBorders>
          </w:tcPr>
          <w:p w14:paraId="4EB12A70" w14:textId="77777777" w:rsidR="007730EB" w:rsidRPr="002E0C7A" w:rsidRDefault="007730EB" w:rsidP="00014187">
            <w:pPr>
              <w:spacing w:after="0" w:line="240" w:lineRule="auto"/>
              <w:rPr>
                <w:rFonts w:ascii="Times New Roman" w:eastAsia="Arial Unicode MS" w:hAnsi="Times New Roman" w:cs="Times New Roman"/>
                <w:color w:val="000000"/>
                <w:sz w:val="28"/>
                <w:szCs w:val="28"/>
              </w:rPr>
            </w:pPr>
            <w:r w:rsidRPr="002E0C7A">
              <w:rPr>
                <w:rFonts w:ascii="Times New Roman" w:eastAsia="Arial Unicode MS" w:hAnsi="Times New Roman" w:cs="Times New Roman"/>
                <w:color w:val="000000"/>
                <w:sz w:val="28"/>
                <w:szCs w:val="28"/>
              </w:rPr>
              <w:t>4.</w:t>
            </w:r>
          </w:p>
        </w:tc>
        <w:tc>
          <w:tcPr>
            <w:tcW w:w="1305" w:type="pct"/>
            <w:tcBorders>
              <w:top w:val="outset" w:sz="6" w:space="0" w:color="auto"/>
              <w:left w:val="outset" w:sz="6" w:space="0" w:color="auto"/>
              <w:right w:val="outset" w:sz="6" w:space="0" w:color="auto"/>
            </w:tcBorders>
          </w:tcPr>
          <w:p w14:paraId="7DB5F1A3" w14:textId="77777777" w:rsidR="007730EB" w:rsidRPr="002E0C7A" w:rsidRDefault="007730EB" w:rsidP="00F366FD">
            <w:pPr>
              <w:spacing w:after="0" w:line="240" w:lineRule="auto"/>
              <w:jc w:val="both"/>
              <w:rPr>
                <w:rFonts w:ascii="Times New Roman" w:eastAsia="Times New Roman" w:hAnsi="Times New Roman" w:cs="Times New Roman"/>
                <w:color w:val="000000"/>
                <w:sz w:val="28"/>
                <w:szCs w:val="28"/>
              </w:rPr>
            </w:pPr>
            <w:r w:rsidRPr="002E0C7A">
              <w:rPr>
                <w:rFonts w:ascii="Times New Roman" w:eastAsia="Times New Roman" w:hAnsi="Times New Roman" w:cs="Times New Roman"/>
                <w:color w:val="000000"/>
                <w:sz w:val="28"/>
                <w:szCs w:val="28"/>
              </w:rPr>
              <w:t>Cita informācija</w:t>
            </w:r>
          </w:p>
        </w:tc>
        <w:tc>
          <w:tcPr>
            <w:tcW w:w="3414" w:type="pct"/>
            <w:tcBorders>
              <w:top w:val="outset" w:sz="6" w:space="0" w:color="auto"/>
              <w:left w:val="outset" w:sz="6" w:space="0" w:color="auto"/>
              <w:right w:val="outset" w:sz="6" w:space="0" w:color="auto"/>
            </w:tcBorders>
            <w:shd w:val="clear" w:color="auto" w:fill="auto"/>
          </w:tcPr>
          <w:p w14:paraId="4803EA15" w14:textId="05413C9E" w:rsidR="007730EB" w:rsidRPr="002E0C7A" w:rsidRDefault="007730EB" w:rsidP="00F366FD">
            <w:pPr>
              <w:widowControl w:val="0"/>
              <w:spacing w:after="0" w:line="240" w:lineRule="auto"/>
              <w:jc w:val="both"/>
              <w:rPr>
                <w:rFonts w:ascii="Times New Roman" w:eastAsia="Times New Roman" w:hAnsi="Times New Roman" w:cs="Times New Roman"/>
                <w:color w:val="000000"/>
                <w:sz w:val="28"/>
                <w:szCs w:val="28"/>
              </w:rPr>
            </w:pPr>
            <w:r w:rsidRPr="002E0C7A">
              <w:rPr>
                <w:rFonts w:ascii="Times New Roman" w:eastAsia="Times New Roman" w:hAnsi="Times New Roman" w:cs="Times New Roman"/>
                <w:color w:val="000000"/>
                <w:sz w:val="28"/>
                <w:szCs w:val="28"/>
              </w:rPr>
              <w:t>Nav</w:t>
            </w:r>
          </w:p>
        </w:tc>
      </w:tr>
    </w:tbl>
    <w:p w14:paraId="55B6DD97" w14:textId="77777777" w:rsidR="007D5C84" w:rsidRPr="002E0C7A" w:rsidRDefault="007D5C84" w:rsidP="00F366FD">
      <w:pPr>
        <w:spacing w:after="0" w:line="240" w:lineRule="auto"/>
        <w:rPr>
          <w:rFonts w:ascii="Times New Roman" w:eastAsia="Calibri" w:hAnsi="Times New Roman" w:cs="Times New Roman"/>
          <w:color w:val="000000"/>
          <w:sz w:val="28"/>
          <w:szCs w:val="28"/>
          <w:highlight w:val="yellow"/>
        </w:rPr>
      </w:pPr>
    </w:p>
    <w:tbl>
      <w:tblPr>
        <w:tblW w:w="5141"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2835"/>
        <w:gridCol w:w="1040"/>
        <w:gridCol w:w="1426"/>
        <w:gridCol w:w="1235"/>
        <w:gridCol w:w="1235"/>
        <w:gridCol w:w="1372"/>
      </w:tblGrid>
      <w:tr w:rsidR="007D5C84" w:rsidRPr="002E0C7A" w14:paraId="6E89B6D0" w14:textId="77777777" w:rsidTr="00282ADE">
        <w:trPr>
          <w:trHeight w:val="360"/>
        </w:trPr>
        <w:tc>
          <w:tcPr>
            <w:tcW w:w="5000" w:type="pct"/>
            <w:gridSpan w:val="6"/>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35FD560" w14:textId="77777777" w:rsidR="007D5C84" w:rsidRPr="002E0C7A" w:rsidRDefault="007D5C84" w:rsidP="007D5C84">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2E0C7A">
              <w:rPr>
                <w:rFonts w:ascii="Times New Roman" w:eastAsia="Times New Roman" w:hAnsi="Times New Roman" w:cs="Times New Roman"/>
                <w:b/>
                <w:bCs/>
                <w:sz w:val="28"/>
                <w:szCs w:val="28"/>
                <w:lang w:eastAsia="lv-LV"/>
              </w:rPr>
              <w:t>III. Tiesību akta projekta ietekme uz valsts budžetu un pašvaldību budžetiem</w:t>
            </w:r>
          </w:p>
        </w:tc>
      </w:tr>
      <w:tr w:rsidR="007D5C84" w:rsidRPr="002E0C7A" w14:paraId="1242F09C" w14:textId="77777777" w:rsidTr="00282ADE">
        <w:tc>
          <w:tcPr>
            <w:tcW w:w="1571"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4373BD4" w14:textId="77777777" w:rsidR="007D5C84" w:rsidRPr="002E0C7A" w:rsidRDefault="007D5C84" w:rsidP="007D5C84">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2E0C7A">
              <w:rPr>
                <w:rFonts w:ascii="Times New Roman" w:eastAsia="Times New Roman" w:hAnsi="Times New Roman" w:cs="Times New Roman"/>
                <w:b/>
                <w:bCs/>
                <w:sz w:val="28"/>
                <w:szCs w:val="28"/>
                <w:lang w:eastAsia="lv-LV"/>
              </w:rPr>
              <w:t>Rādītāji</w:t>
            </w:r>
          </w:p>
        </w:tc>
        <w:tc>
          <w:tcPr>
            <w:tcW w:w="1390" w:type="pct"/>
            <w:gridSpan w:val="2"/>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5FF0E01" w14:textId="77777777" w:rsidR="007D5C84" w:rsidRPr="002E0C7A" w:rsidRDefault="00C772A7" w:rsidP="007D5C84">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2E0C7A">
              <w:rPr>
                <w:rFonts w:ascii="Times New Roman" w:eastAsia="Times New Roman" w:hAnsi="Times New Roman" w:cs="Times New Roman"/>
                <w:b/>
                <w:bCs/>
                <w:sz w:val="28"/>
                <w:szCs w:val="28"/>
                <w:lang w:eastAsia="lv-LV"/>
              </w:rPr>
              <w:t>2015.gads</w:t>
            </w:r>
            <w:r w:rsidR="007D5C84" w:rsidRPr="002E0C7A">
              <w:rPr>
                <w:rFonts w:ascii="Times New Roman" w:eastAsia="Times New Roman" w:hAnsi="Times New Roman" w:cs="Times New Roman"/>
                <w:b/>
                <w:bCs/>
                <w:sz w:val="28"/>
                <w:szCs w:val="28"/>
                <w:lang w:eastAsia="lv-LV"/>
              </w:rPr>
              <w:t xml:space="preserve"> gads</w:t>
            </w:r>
          </w:p>
        </w:tc>
        <w:tc>
          <w:tcPr>
            <w:tcW w:w="2039" w:type="pct"/>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4C91BF8" w14:textId="77777777" w:rsidR="007D5C84" w:rsidRPr="002E0C7A" w:rsidRDefault="007D5C84" w:rsidP="007D5C84">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2E0C7A">
              <w:rPr>
                <w:rFonts w:ascii="Times New Roman" w:eastAsia="Times New Roman" w:hAnsi="Times New Roman" w:cs="Times New Roman"/>
                <w:sz w:val="28"/>
                <w:szCs w:val="28"/>
                <w:lang w:eastAsia="lv-LV"/>
              </w:rPr>
              <w:t>Turpmākie trīs gadi (</w:t>
            </w:r>
            <w:r w:rsidRPr="002E0C7A">
              <w:rPr>
                <w:rFonts w:ascii="Times New Roman" w:eastAsia="Times New Roman" w:hAnsi="Times New Roman" w:cs="Times New Roman"/>
                <w:i/>
                <w:iCs/>
                <w:sz w:val="28"/>
                <w:szCs w:val="28"/>
                <w:lang w:eastAsia="lv-LV"/>
              </w:rPr>
              <w:t>euro</w:t>
            </w:r>
            <w:r w:rsidRPr="002E0C7A">
              <w:rPr>
                <w:rFonts w:ascii="Times New Roman" w:eastAsia="Times New Roman" w:hAnsi="Times New Roman" w:cs="Times New Roman"/>
                <w:sz w:val="28"/>
                <w:szCs w:val="28"/>
                <w:lang w:eastAsia="lv-LV"/>
              </w:rPr>
              <w:t>)</w:t>
            </w:r>
          </w:p>
        </w:tc>
      </w:tr>
      <w:tr w:rsidR="007D5C84" w:rsidRPr="002E0C7A" w14:paraId="2E000EC0" w14:textId="77777777" w:rsidTr="00282ADE">
        <w:tc>
          <w:tcPr>
            <w:tcW w:w="1571"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D153949" w14:textId="77777777" w:rsidR="007D5C84" w:rsidRPr="002E0C7A" w:rsidRDefault="007D5C84" w:rsidP="007D5C84">
            <w:pPr>
              <w:spacing w:after="0" w:line="240" w:lineRule="auto"/>
              <w:rPr>
                <w:rFonts w:ascii="Times New Roman" w:eastAsia="Times New Roman" w:hAnsi="Times New Roman" w:cs="Times New Roman"/>
                <w:b/>
                <w:bCs/>
                <w:sz w:val="28"/>
                <w:szCs w:val="28"/>
                <w:lang w:eastAsia="lv-LV"/>
              </w:rPr>
            </w:pPr>
          </w:p>
        </w:tc>
        <w:tc>
          <w:tcPr>
            <w:tcW w:w="0" w:type="auto"/>
            <w:gridSpan w:val="2"/>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2436A3B" w14:textId="77777777" w:rsidR="007D5C84" w:rsidRPr="002E0C7A" w:rsidRDefault="007D5C84" w:rsidP="007D5C84">
            <w:pPr>
              <w:spacing w:after="0" w:line="240" w:lineRule="auto"/>
              <w:rPr>
                <w:rFonts w:ascii="Times New Roman" w:eastAsia="Times New Roman" w:hAnsi="Times New Roman" w:cs="Times New Roman"/>
                <w:b/>
                <w:bCs/>
                <w:sz w:val="28"/>
                <w:szCs w:val="28"/>
                <w:lang w:eastAsia="lv-LV"/>
              </w:rPr>
            </w:pPr>
          </w:p>
        </w:tc>
        <w:tc>
          <w:tcPr>
            <w:tcW w:w="63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F4F2291" w14:textId="77777777" w:rsidR="007D5C84" w:rsidRPr="002E0C7A" w:rsidRDefault="00C772A7" w:rsidP="007D5C84">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2E0C7A">
              <w:rPr>
                <w:rFonts w:ascii="Times New Roman" w:eastAsia="Times New Roman" w:hAnsi="Times New Roman" w:cs="Times New Roman"/>
                <w:b/>
                <w:bCs/>
                <w:sz w:val="28"/>
                <w:szCs w:val="28"/>
                <w:lang w:eastAsia="lv-LV"/>
              </w:rPr>
              <w:t>2016</w:t>
            </w:r>
          </w:p>
        </w:tc>
        <w:tc>
          <w:tcPr>
            <w:tcW w:w="63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9EDD2F0" w14:textId="77777777" w:rsidR="007D5C84" w:rsidRPr="002E0C7A" w:rsidRDefault="00C772A7" w:rsidP="007D5C84">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2E0C7A">
              <w:rPr>
                <w:rFonts w:ascii="Times New Roman" w:eastAsia="Times New Roman" w:hAnsi="Times New Roman" w:cs="Times New Roman"/>
                <w:b/>
                <w:bCs/>
                <w:sz w:val="28"/>
                <w:szCs w:val="28"/>
                <w:lang w:eastAsia="lv-LV"/>
              </w:rPr>
              <w:t>2017</w:t>
            </w:r>
          </w:p>
        </w:tc>
        <w:tc>
          <w:tcPr>
            <w:tcW w:w="77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3C23F37" w14:textId="77777777" w:rsidR="007D5C84" w:rsidRPr="002E0C7A" w:rsidRDefault="00C772A7" w:rsidP="007D5C84">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2E0C7A">
              <w:rPr>
                <w:rFonts w:ascii="Times New Roman" w:eastAsia="Times New Roman" w:hAnsi="Times New Roman" w:cs="Times New Roman"/>
                <w:b/>
                <w:bCs/>
                <w:sz w:val="28"/>
                <w:szCs w:val="28"/>
                <w:lang w:eastAsia="lv-LV"/>
              </w:rPr>
              <w:t>2018</w:t>
            </w:r>
          </w:p>
        </w:tc>
      </w:tr>
      <w:tr w:rsidR="007D5C84" w:rsidRPr="002E0C7A" w14:paraId="27A0532F" w14:textId="77777777" w:rsidTr="00282ADE">
        <w:tc>
          <w:tcPr>
            <w:tcW w:w="1571"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342B98F" w14:textId="77777777" w:rsidR="007D5C84" w:rsidRPr="002E0C7A" w:rsidRDefault="007D5C84" w:rsidP="007D5C84">
            <w:pPr>
              <w:spacing w:after="0" w:line="240" w:lineRule="auto"/>
              <w:rPr>
                <w:rFonts w:ascii="Times New Roman" w:eastAsia="Times New Roman" w:hAnsi="Times New Roman" w:cs="Times New Roman"/>
                <w:b/>
                <w:bCs/>
                <w:sz w:val="28"/>
                <w:szCs w:val="28"/>
                <w:lang w:eastAsia="lv-LV"/>
              </w:rPr>
            </w:pPr>
          </w:p>
        </w:tc>
        <w:tc>
          <w:tcPr>
            <w:tcW w:w="57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1D58CAC" w14:textId="77777777" w:rsidR="007D5C84" w:rsidRPr="002E0C7A" w:rsidRDefault="007D5C84" w:rsidP="007D5C84">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2E0C7A">
              <w:rPr>
                <w:rFonts w:ascii="Times New Roman" w:eastAsia="Times New Roman" w:hAnsi="Times New Roman" w:cs="Times New Roman"/>
                <w:sz w:val="28"/>
                <w:szCs w:val="28"/>
                <w:lang w:eastAsia="lv-LV"/>
              </w:rPr>
              <w:t xml:space="preserve">saskaņā ar valsts budžetu kārtējam </w:t>
            </w:r>
            <w:r w:rsidRPr="002E0C7A">
              <w:rPr>
                <w:rFonts w:ascii="Times New Roman" w:eastAsia="Times New Roman" w:hAnsi="Times New Roman" w:cs="Times New Roman"/>
                <w:sz w:val="28"/>
                <w:szCs w:val="28"/>
                <w:lang w:eastAsia="lv-LV"/>
              </w:rPr>
              <w:lastRenderedPageBreak/>
              <w:t>gadam</w:t>
            </w:r>
          </w:p>
        </w:tc>
        <w:tc>
          <w:tcPr>
            <w:tcW w:w="81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88287A3" w14:textId="77777777" w:rsidR="007D5C84" w:rsidRPr="002E0C7A" w:rsidRDefault="007D5C84" w:rsidP="007D5C84">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2E0C7A">
              <w:rPr>
                <w:rFonts w:ascii="Times New Roman" w:eastAsia="Times New Roman" w:hAnsi="Times New Roman" w:cs="Times New Roman"/>
                <w:sz w:val="28"/>
                <w:szCs w:val="28"/>
                <w:lang w:eastAsia="lv-LV"/>
              </w:rPr>
              <w:lastRenderedPageBreak/>
              <w:t xml:space="preserve">izmaiņas kārtējā gadā, salīdzinot </w:t>
            </w:r>
            <w:r w:rsidRPr="002E0C7A">
              <w:rPr>
                <w:rFonts w:ascii="Times New Roman" w:eastAsia="Times New Roman" w:hAnsi="Times New Roman" w:cs="Times New Roman"/>
                <w:sz w:val="28"/>
                <w:szCs w:val="28"/>
                <w:lang w:eastAsia="lv-LV"/>
              </w:rPr>
              <w:lastRenderedPageBreak/>
              <w:t>ar valsts budžetu kārtējam gadam</w:t>
            </w:r>
          </w:p>
        </w:tc>
        <w:tc>
          <w:tcPr>
            <w:tcW w:w="63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29A5A4D" w14:textId="72448574" w:rsidR="007D5C84" w:rsidRPr="002E0C7A" w:rsidRDefault="007D5C84" w:rsidP="00C273B4">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2E0C7A">
              <w:rPr>
                <w:rFonts w:ascii="Times New Roman" w:eastAsia="Times New Roman" w:hAnsi="Times New Roman" w:cs="Times New Roman"/>
                <w:sz w:val="28"/>
                <w:szCs w:val="28"/>
                <w:lang w:eastAsia="lv-LV"/>
              </w:rPr>
              <w:lastRenderedPageBreak/>
              <w:t xml:space="preserve">izmaiņas, salīdzinot ar kārtējo </w:t>
            </w:r>
            <w:r w:rsidR="00C273B4">
              <w:rPr>
                <w:rFonts w:ascii="Times New Roman" w:eastAsia="Times New Roman" w:hAnsi="Times New Roman" w:cs="Times New Roman"/>
                <w:sz w:val="28"/>
                <w:szCs w:val="28"/>
                <w:lang w:eastAsia="lv-LV"/>
              </w:rPr>
              <w:t>2015.</w:t>
            </w:r>
            <w:r w:rsidRPr="002E0C7A">
              <w:rPr>
                <w:rFonts w:ascii="Times New Roman" w:eastAsia="Times New Roman" w:hAnsi="Times New Roman" w:cs="Times New Roman"/>
                <w:sz w:val="28"/>
                <w:szCs w:val="28"/>
                <w:lang w:eastAsia="lv-LV"/>
              </w:rPr>
              <w:t>gadu</w:t>
            </w:r>
          </w:p>
        </w:tc>
        <w:tc>
          <w:tcPr>
            <w:tcW w:w="63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686E687" w14:textId="49C0AC26" w:rsidR="007D5C84" w:rsidRPr="002E0C7A" w:rsidRDefault="007D5C84" w:rsidP="00C273B4">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2E0C7A">
              <w:rPr>
                <w:rFonts w:ascii="Times New Roman" w:eastAsia="Times New Roman" w:hAnsi="Times New Roman" w:cs="Times New Roman"/>
                <w:sz w:val="28"/>
                <w:szCs w:val="28"/>
                <w:lang w:eastAsia="lv-LV"/>
              </w:rPr>
              <w:t xml:space="preserve">izmaiņas, salīdzinot ar kārtējo </w:t>
            </w:r>
            <w:r w:rsidR="00C273B4">
              <w:rPr>
                <w:rFonts w:ascii="Times New Roman" w:eastAsia="Times New Roman" w:hAnsi="Times New Roman" w:cs="Times New Roman"/>
                <w:sz w:val="28"/>
                <w:szCs w:val="28"/>
                <w:lang w:eastAsia="lv-LV"/>
              </w:rPr>
              <w:t>2015.</w:t>
            </w:r>
            <w:r w:rsidRPr="002E0C7A">
              <w:rPr>
                <w:rFonts w:ascii="Times New Roman" w:eastAsia="Times New Roman" w:hAnsi="Times New Roman" w:cs="Times New Roman"/>
                <w:sz w:val="28"/>
                <w:szCs w:val="28"/>
                <w:lang w:eastAsia="lv-LV"/>
              </w:rPr>
              <w:t>gadu</w:t>
            </w:r>
          </w:p>
        </w:tc>
        <w:tc>
          <w:tcPr>
            <w:tcW w:w="77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046CFD8" w14:textId="7F991521" w:rsidR="007D5C84" w:rsidRPr="002E0C7A" w:rsidRDefault="007D5C84" w:rsidP="00C273B4">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2E0C7A">
              <w:rPr>
                <w:rFonts w:ascii="Times New Roman" w:eastAsia="Times New Roman" w:hAnsi="Times New Roman" w:cs="Times New Roman"/>
                <w:sz w:val="28"/>
                <w:szCs w:val="28"/>
                <w:lang w:eastAsia="lv-LV"/>
              </w:rPr>
              <w:t xml:space="preserve">izmaiņas, salīdzinot ar kārtējo </w:t>
            </w:r>
            <w:r w:rsidR="00C273B4">
              <w:rPr>
                <w:rFonts w:ascii="Times New Roman" w:eastAsia="Times New Roman" w:hAnsi="Times New Roman" w:cs="Times New Roman"/>
                <w:sz w:val="28"/>
                <w:szCs w:val="28"/>
                <w:lang w:eastAsia="lv-LV"/>
              </w:rPr>
              <w:t>2015.</w:t>
            </w:r>
            <w:r w:rsidRPr="002E0C7A">
              <w:rPr>
                <w:rFonts w:ascii="Times New Roman" w:eastAsia="Times New Roman" w:hAnsi="Times New Roman" w:cs="Times New Roman"/>
                <w:sz w:val="28"/>
                <w:szCs w:val="28"/>
                <w:lang w:eastAsia="lv-LV"/>
              </w:rPr>
              <w:t>gadu</w:t>
            </w:r>
          </w:p>
        </w:tc>
      </w:tr>
      <w:tr w:rsidR="007D5C84" w:rsidRPr="002E0C7A" w14:paraId="6E454489" w14:textId="77777777" w:rsidTr="00282ADE">
        <w:tc>
          <w:tcPr>
            <w:tcW w:w="157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CA3F103" w14:textId="77777777" w:rsidR="007D5C84" w:rsidRPr="002E0C7A" w:rsidRDefault="007D5C84" w:rsidP="007D5C84">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2E0C7A">
              <w:rPr>
                <w:rFonts w:ascii="Times New Roman" w:eastAsia="Times New Roman" w:hAnsi="Times New Roman" w:cs="Times New Roman"/>
                <w:sz w:val="28"/>
                <w:szCs w:val="28"/>
                <w:lang w:eastAsia="lv-LV"/>
              </w:rPr>
              <w:lastRenderedPageBreak/>
              <w:t>1</w:t>
            </w:r>
          </w:p>
        </w:tc>
        <w:tc>
          <w:tcPr>
            <w:tcW w:w="57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861F01C" w14:textId="77777777" w:rsidR="007D5C84" w:rsidRPr="002E0C7A" w:rsidRDefault="007D5C84" w:rsidP="007D5C84">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2E0C7A">
              <w:rPr>
                <w:rFonts w:ascii="Times New Roman" w:eastAsia="Times New Roman" w:hAnsi="Times New Roman" w:cs="Times New Roman"/>
                <w:sz w:val="28"/>
                <w:szCs w:val="28"/>
                <w:lang w:eastAsia="lv-LV"/>
              </w:rPr>
              <w:t>2</w:t>
            </w:r>
          </w:p>
        </w:tc>
        <w:tc>
          <w:tcPr>
            <w:tcW w:w="81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0452ADA" w14:textId="77777777" w:rsidR="007D5C84" w:rsidRPr="002E0C7A" w:rsidRDefault="007D5C84" w:rsidP="007D5C84">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2E0C7A">
              <w:rPr>
                <w:rFonts w:ascii="Times New Roman" w:eastAsia="Times New Roman" w:hAnsi="Times New Roman" w:cs="Times New Roman"/>
                <w:sz w:val="28"/>
                <w:szCs w:val="28"/>
                <w:lang w:eastAsia="lv-LV"/>
              </w:rPr>
              <w:t>3</w:t>
            </w:r>
          </w:p>
        </w:tc>
        <w:tc>
          <w:tcPr>
            <w:tcW w:w="63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889CE61" w14:textId="77777777" w:rsidR="007D5C84" w:rsidRPr="002E0C7A" w:rsidRDefault="007D5C84" w:rsidP="007D5C84">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2E0C7A">
              <w:rPr>
                <w:rFonts w:ascii="Times New Roman" w:eastAsia="Times New Roman" w:hAnsi="Times New Roman" w:cs="Times New Roman"/>
                <w:sz w:val="28"/>
                <w:szCs w:val="28"/>
                <w:lang w:eastAsia="lv-LV"/>
              </w:rPr>
              <w:t>4</w:t>
            </w:r>
          </w:p>
        </w:tc>
        <w:tc>
          <w:tcPr>
            <w:tcW w:w="63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9BF2958" w14:textId="77777777" w:rsidR="007D5C84" w:rsidRPr="002E0C7A" w:rsidRDefault="007D5C84" w:rsidP="007D5C84">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2E0C7A">
              <w:rPr>
                <w:rFonts w:ascii="Times New Roman" w:eastAsia="Times New Roman" w:hAnsi="Times New Roman" w:cs="Times New Roman"/>
                <w:sz w:val="28"/>
                <w:szCs w:val="28"/>
                <w:lang w:eastAsia="lv-LV"/>
              </w:rPr>
              <w:t>5</w:t>
            </w:r>
          </w:p>
        </w:tc>
        <w:tc>
          <w:tcPr>
            <w:tcW w:w="77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5A1E119" w14:textId="77777777" w:rsidR="007D5C84" w:rsidRPr="002E0C7A" w:rsidRDefault="007D5C84" w:rsidP="007D5C84">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2E0C7A">
              <w:rPr>
                <w:rFonts w:ascii="Times New Roman" w:eastAsia="Times New Roman" w:hAnsi="Times New Roman" w:cs="Times New Roman"/>
                <w:sz w:val="28"/>
                <w:szCs w:val="28"/>
                <w:lang w:eastAsia="lv-LV"/>
              </w:rPr>
              <w:t>6</w:t>
            </w:r>
          </w:p>
        </w:tc>
      </w:tr>
      <w:tr w:rsidR="00E00803" w:rsidRPr="002E0C7A" w14:paraId="1E5CB4CA" w14:textId="77777777" w:rsidTr="00282ADE">
        <w:tc>
          <w:tcPr>
            <w:tcW w:w="1571" w:type="pct"/>
            <w:tcBorders>
              <w:top w:val="outset" w:sz="6" w:space="0" w:color="414142"/>
              <w:left w:val="outset" w:sz="6" w:space="0" w:color="414142"/>
              <w:bottom w:val="outset" w:sz="6" w:space="0" w:color="414142"/>
              <w:right w:val="outset" w:sz="6" w:space="0" w:color="414142"/>
            </w:tcBorders>
            <w:shd w:val="clear" w:color="auto" w:fill="FFFFFF"/>
            <w:hideMark/>
          </w:tcPr>
          <w:p w14:paraId="72632E68" w14:textId="77777777" w:rsidR="00E00803" w:rsidRPr="002E0C7A" w:rsidRDefault="00E00803" w:rsidP="00E00803">
            <w:pPr>
              <w:spacing w:after="0" w:line="240" w:lineRule="auto"/>
              <w:rPr>
                <w:rFonts w:ascii="Times New Roman" w:eastAsia="Times New Roman" w:hAnsi="Times New Roman" w:cs="Times New Roman"/>
                <w:sz w:val="28"/>
                <w:szCs w:val="28"/>
                <w:lang w:eastAsia="lv-LV"/>
              </w:rPr>
            </w:pPr>
            <w:r w:rsidRPr="002E0C7A">
              <w:rPr>
                <w:rFonts w:ascii="Times New Roman" w:eastAsia="Times New Roman" w:hAnsi="Times New Roman" w:cs="Times New Roman"/>
                <w:sz w:val="28"/>
                <w:szCs w:val="28"/>
                <w:lang w:eastAsia="lv-LV"/>
              </w:rPr>
              <w:t>1. Budžeta ieņēmumi:</w:t>
            </w:r>
          </w:p>
        </w:tc>
        <w:tc>
          <w:tcPr>
            <w:tcW w:w="574" w:type="pct"/>
            <w:tcBorders>
              <w:top w:val="outset" w:sz="6" w:space="0" w:color="414142"/>
              <w:left w:val="outset" w:sz="6" w:space="0" w:color="414142"/>
              <w:bottom w:val="outset" w:sz="6" w:space="0" w:color="414142"/>
              <w:right w:val="outset" w:sz="6" w:space="0" w:color="414142"/>
            </w:tcBorders>
            <w:shd w:val="clear" w:color="auto" w:fill="FFFFFF"/>
            <w:hideMark/>
          </w:tcPr>
          <w:p w14:paraId="61F848AF" w14:textId="02FF1169" w:rsidR="00E00803" w:rsidRPr="002E0C7A" w:rsidRDefault="00E00803" w:rsidP="00E00803">
            <w:pPr>
              <w:spacing w:after="0" w:line="240" w:lineRule="auto"/>
              <w:rPr>
                <w:rFonts w:ascii="Times New Roman" w:eastAsia="Times New Roman" w:hAnsi="Times New Roman" w:cs="Times New Roman"/>
                <w:b/>
                <w:sz w:val="28"/>
                <w:szCs w:val="28"/>
                <w:lang w:eastAsia="lv-LV"/>
              </w:rPr>
            </w:pPr>
            <w:r w:rsidRPr="002E0C7A">
              <w:rPr>
                <w:rFonts w:ascii="Times New Roman" w:eastAsia="Times New Roman" w:hAnsi="Times New Roman" w:cs="Times New Roman"/>
                <w:b/>
                <w:sz w:val="28"/>
                <w:szCs w:val="28"/>
                <w:lang w:eastAsia="lv-LV"/>
              </w:rPr>
              <w:t> </w:t>
            </w:r>
            <w:r>
              <w:rPr>
                <w:rFonts w:ascii="Times New Roman" w:eastAsia="Times New Roman" w:hAnsi="Times New Roman" w:cs="Times New Roman"/>
                <w:b/>
                <w:sz w:val="28"/>
                <w:szCs w:val="28"/>
                <w:lang w:eastAsia="lv-LV"/>
              </w:rPr>
              <w:t>810 825</w:t>
            </w:r>
          </w:p>
        </w:tc>
        <w:tc>
          <w:tcPr>
            <w:tcW w:w="816" w:type="pct"/>
            <w:tcBorders>
              <w:top w:val="outset" w:sz="6" w:space="0" w:color="414142"/>
              <w:left w:val="outset" w:sz="6" w:space="0" w:color="414142"/>
              <w:bottom w:val="outset" w:sz="6" w:space="0" w:color="414142"/>
              <w:right w:val="outset" w:sz="6" w:space="0" w:color="414142"/>
            </w:tcBorders>
            <w:shd w:val="clear" w:color="auto" w:fill="FFFFFF"/>
            <w:hideMark/>
          </w:tcPr>
          <w:p w14:paraId="0D0959FD" w14:textId="0798DC5C" w:rsidR="00E00803" w:rsidRPr="002E0C7A" w:rsidRDefault="00E00803" w:rsidP="00E00803">
            <w:pPr>
              <w:spacing w:after="0" w:line="240" w:lineRule="auto"/>
              <w:rPr>
                <w:rFonts w:ascii="Times New Roman" w:eastAsia="Times New Roman" w:hAnsi="Times New Roman" w:cs="Times New Roman"/>
                <w:b/>
                <w:sz w:val="28"/>
                <w:szCs w:val="28"/>
                <w:lang w:eastAsia="lv-LV"/>
              </w:rPr>
            </w:pPr>
            <w:r w:rsidRPr="002E0C7A">
              <w:rPr>
                <w:rFonts w:ascii="Times New Roman" w:eastAsia="Times New Roman" w:hAnsi="Times New Roman" w:cs="Times New Roman"/>
                <w:b/>
                <w:sz w:val="28"/>
                <w:szCs w:val="28"/>
                <w:lang w:eastAsia="lv-LV"/>
              </w:rPr>
              <w:t> 0</w:t>
            </w:r>
          </w:p>
        </w:tc>
        <w:tc>
          <w:tcPr>
            <w:tcW w:w="634" w:type="pct"/>
            <w:tcBorders>
              <w:top w:val="outset" w:sz="6" w:space="0" w:color="414142"/>
              <w:left w:val="outset" w:sz="6" w:space="0" w:color="414142"/>
              <w:bottom w:val="outset" w:sz="6" w:space="0" w:color="414142"/>
              <w:right w:val="outset" w:sz="6" w:space="0" w:color="414142"/>
            </w:tcBorders>
            <w:shd w:val="clear" w:color="auto" w:fill="FFFFFF"/>
            <w:hideMark/>
          </w:tcPr>
          <w:p w14:paraId="3ACDEE6A" w14:textId="581A0C0D" w:rsidR="00E00803" w:rsidRPr="002E0C7A" w:rsidRDefault="00E00803" w:rsidP="00E00803">
            <w:pPr>
              <w:spacing w:after="0" w:line="240" w:lineRule="auto"/>
              <w:rPr>
                <w:rFonts w:ascii="Times New Roman" w:eastAsia="Times New Roman" w:hAnsi="Times New Roman" w:cs="Times New Roman"/>
                <w:b/>
                <w:sz w:val="28"/>
                <w:szCs w:val="28"/>
                <w:lang w:eastAsia="lv-LV"/>
              </w:rPr>
            </w:pPr>
            <w:r w:rsidRPr="00F202D9">
              <w:rPr>
                <w:rFonts w:ascii="Times New Roman" w:eastAsia="Times New Roman" w:hAnsi="Times New Roman" w:cs="Times New Roman"/>
                <w:b/>
                <w:sz w:val="28"/>
                <w:szCs w:val="28"/>
                <w:lang w:eastAsia="lv-LV"/>
              </w:rPr>
              <w:t xml:space="preserve"> +14 225</w:t>
            </w:r>
          </w:p>
        </w:tc>
        <w:tc>
          <w:tcPr>
            <w:tcW w:w="634" w:type="pct"/>
            <w:tcBorders>
              <w:top w:val="outset" w:sz="6" w:space="0" w:color="414142"/>
              <w:left w:val="outset" w:sz="6" w:space="0" w:color="414142"/>
              <w:bottom w:val="outset" w:sz="6" w:space="0" w:color="414142"/>
              <w:right w:val="outset" w:sz="6" w:space="0" w:color="414142"/>
            </w:tcBorders>
            <w:shd w:val="clear" w:color="auto" w:fill="FFFFFF"/>
            <w:hideMark/>
          </w:tcPr>
          <w:p w14:paraId="0940387F" w14:textId="01138035" w:rsidR="00E00803" w:rsidRPr="002E0C7A" w:rsidRDefault="00E00803" w:rsidP="00E00803">
            <w:pPr>
              <w:spacing w:after="0" w:line="240" w:lineRule="auto"/>
              <w:rPr>
                <w:rFonts w:ascii="Times New Roman" w:eastAsia="Times New Roman" w:hAnsi="Times New Roman" w:cs="Times New Roman"/>
                <w:b/>
                <w:sz w:val="28"/>
                <w:szCs w:val="28"/>
                <w:lang w:eastAsia="lv-LV"/>
              </w:rPr>
            </w:pPr>
            <w:r>
              <w:rPr>
                <w:rFonts w:ascii="Times New Roman" w:eastAsia="Times New Roman" w:hAnsi="Times New Roman" w:cs="Times New Roman"/>
                <w:b/>
                <w:sz w:val="28"/>
                <w:szCs w:val="28"/>
                <w:lang w:eastAsia="lv-LV"/>
              </w:rPr>
              <w:t>+42 675</w:t>
            </w:r>
          </w:p>
        </w:tc>
        <w:tc>
          <w:tcPr>
            <w:tcW w:w="771" w:type="pct"/>
            <w:tcBorders>
              <w:top w:val="outset" w:sz="6" w:space="0" w:color="414142"/>
              <w:left w:val="outset" w:sz="6" w:space="0" w:color="414142"/>
              <w:bottom w:val="outset" w:sz="6" w:space="0" w:color="414142"/>
              <w:right w:val="outset" w:sz="6" w:space="0" w:color="414142"/>
            </w:tcBorders>
            <w:shd w:val="clear" w:color="auto" w:fill="FFFFFF"/>
            <w:hideMark/>
          </w:tcPr>
          <w:p w14:paraId="7FC40765" w14:textId="3F966E32" w:rsidR="00E00803" w:rsidRPr="002E0C7A" w:rsidRDefault="00E00803" w:rsidP="00E00803">
            <w:pPr>
              <w:spacing w:after="0" w:line="240" w:lineRule="auto"/>
              <w:rPr>
                <w:rFonts w:ascii="Times New Roman" w:eastAsia="Times New Roman" w:hAnsi="Times New Roman" w:cs="Times New Roman"/>
                <w:b/>
                <w:sz w:val="28"/>
                <w:szCs w:val="28"/>
                <w:lang w:eastAsia="lv-LV"/>
              </w:rPr>
            </w:pPr>
            <w:r w:rsidRPr="00F202D9">
              <w:rPr>
                <w:rFonts w:ascii="Times New Roman" w:eastAsia="Times New Roman" w:hAnsi="Times New Roman" w:cs="Times New Roman"/>
                <w:b/>
                <w:sz w:val="28"/>
                <w:szCs w:val="28"/>
                <w:lang w:eastAsia="lv-LV"/>
              </w:rPr>
              <w:t> +</w:t>
            </w:r>
            <w:r>
              <w:rPr>
                <w:rFonts w:ascii="Times New Roman" w:eastAsia="Times New Roman" w:hAnsi="Times New Roman" w:cs="Times New Roman"/>
                <w:b/>
                <w:sz w:val="28"/>
                <w:szCs w:val="28"/>
                <w:lang w:eastAsia="lv-LV"/>
              </w:rPr>
              <w:t>56</w:t>
            </w:r>
            <w:r w:rsidRPr="00F202D9">
              <w:rPr>
                <w:rFonts w:ascii="Times New Roman" w:eastAsia="Times New Roman" w:hAnsi="Times New Roman" w:cs="Times New Roman"/>
                <w:b/>
                <w:sz w:val="28"/>
                <w:szCs w:val="28"/>
                <w:lang w:eastAsia="lv-LV"/>
              </w:rPr>
              <w:t xml:space="preserve"> </w:t>
            </w:r>
            <w:r>
              <w:rPr>
                <w:rFonts w:ascii="Times New Roman" w:eastAsia="Times New Roman" w:hAnsi="Times New Roman" w:cs="Times New Roman"/>
                <w:b/>
                <w:sz w:val="28"/>
                <w:szCs w:val="28"/>
                <w:lang w:eastAsia="lv-LV"/>
              </w:rPr>
              <w:t>900</w:t>
            </w:r>
          </w:p>
        </w:tc>
      </w:tr>
      <w:tr w:rsidR="00E00803" w:rsidRPr="002E0C7A" w14:paraId="0C29C9ED" w14:textId="77777777" w:rsidTr="00282ADE">
        <w:tc>
          <w:tcPr>
            <w:tcW w:w="1571" w:type="pct"/>
            <w:tcBorders>
              <w:top w:val="outset" w:sz="6" w:space="0" w:color="414142"/>
              <w:left w:val="outset" w:sz="6" w:space="0" w:color="414142"/>
              <w:bottom w:val="outset" w:sz="6" w:space="0" w:color="414142"/>
              <w:right w:val="outset" w:sz="6" w:space="0" w:color="414142"/>
            </w:tcBorders>
            <w:shd w:val="clear" w:color="auto" w:fill="FFFFFF"/>
            <w:hideMark/>
          </w:tcPr>
          <w:p w14:paraId="6590700A" w14:textId="77777777" w:rsidR="00E00803" w:rsidRPr="002E0C7A" w:rsidRDefault="00E00803" w:rsidP="00E00803">
            <w:pPr>
              <w:spacing w:after="0" w:line="240" w:lineRule="auto"/>
              <w:rPr>
                <w:rFonts w:ascii="Times New Roman" w:eastAsia="Times New Roman" w:hAnsi="Times New Roman" w:cs="Times New Roman"/>
                <w:sz w:val="28"/>
                <w:szCs w:val="28"/>
                <w:lang w:eastAsia="lv-LV"/>
              </w:rPr>
            </w:pPr>
            <w:r w:rsidRPr="002E0C7A">
              <w:rPr>
                <w:rFonts w:ascii="Times New Roman" w:eastAsia="Times New Roman" w:hAnsi="Times New Roman" w:cs="Times New Roman"/>
                <w:sz w:val="28"/>
                <w:szCs w:val="28"/>
                <w:lang w:eastAsia="lv-LV"/>
              </w:rPr>
              <w:t>1.1. valsts pamatbudžets, tai skaitā ieņēmumi no maksas pakalpojumiem un citi pašu ieņēmumi</w:t>
            </w:r>
          </w:p>
        </w:tc>
        <w:tc>
          <w:tcPr>
            <w:tcW w:w="574" w:type="pct"/>
            <w:tcBorders>
              <w:top w:val="outset" w:sz="6" w:space="0" w:color="414142"/>
              <w:left w:val="outset" w:sz="6" w:space="0" w:color="414142"/>
              <w:bottom w:val="outset" w:sz="6" w:space="0" w:color="414142"/>
              <w:right w:val="outset" w:sz="6" w:space="0" w:color="414142"/>
            </w:tcBorders>
            <w:shd w:val="clear" w:color="auto" w:fill="FFFFFF"/>
            <w:hideMark/>
          </w:tcPr>
          <w:p w14:paraId="7127147C" w14:textId="0194936A" w:rsidR="00E00803" w:rsidRPr="002E0C7A" w:rsidRDefault="00E00803" w:rsidP="00E00803">
            <w:pPr>
              <w:spacing w:after="0" w:line="240" w:lineRule="auto"/>
              <w:rPr>
                <w:rFonts w:ascii="Times New Roman" w:eastAsia="Times New Roman" w:hAnsi="Times New Roman" w:cs="Times New Roman"/>
                <w:sz w:val="28"/>
                <w:szCs w:val="28"/>
                <w:lang w:eastAsia="lv-LV"/>
              </w:rPr>
            </w:pPr>
            <w:r w:rsidRPr="002E0C7A">
              <w:rPr>
                <w:rFonts w:ascii="Times New Roman" w:eastAsia="Times New Roman" w:hAnsi="Times New Roman" w:cs="Times New Roman"/>
                <w:sz w:val="28"/>
                <w:szCs w:val="28"/>
                <w:lang w:eastAsia="lv-LV"/>
              </w:rPr>
              <w:t> </w:t>
            </w:r>
            <w:r w:rsidRPr="00CF47E8">
              <w:rPr>
                <w:rFonts w:ascii="Times New Roman" w:eastAsia="Times New Roman" w:hAnsi="Times New Roman" w:cs="Times New Roman"/>
                <w:sz w:val="28"/>
                <w:szCs w:val="28"/>
                <w:lang w:eastAsia="lv-LV"/>
              </w:rPr>
              <w:t>810 825</w:t>
            </w:r>
          </w:p>
        </w:tc>
        <w:tc>
          <w:tcPr>
            <w:tcW w:w="816" w:type="pct"/>
            <w:tcBorders>
              <w:top w:val="outset" w:sz="6" w:space="0" w:color="414142"/>
              <w:left w:val="outset" w:sz="6" w:space="0" w:color="414142"/>
              <w:bottom w:val="outset" w:sz="6" w:space="0" w:color="414142"/>
              <w:right w:val="outset" w:sz="6" w:space="0" w:color="414142"/>
            </w:tcBorders>
            <w:shd w:val="clear" w:color="auto" w:fill="FFFFFF"/>
            <w:hideMark/>
          </w:tcPr>
          <w:p w14:paraId="0349C59F" w14:textId="4E11FF05" w:rsidR="00E00803" w:rsidRPr="002E0C7A" w:rsidRDefault="00E00803" w:rsidP="00E00803">
            <w:pPr>
              <w:spacing w:after="0" w:line="240" w:lineRule="auto"/>
              <w:rPr>
                <w:rFonts w:ascii="Times New Roman" w:eastAsia="Times New Roman" w:hAnsi="Times New Roman" w:cs="Times New Roman"/>
                <w:sz w:val="28"/>
                <w:szCs w:val="28"/>
                <w:lang w:eastAsia="lv-LV"/>
              </w:rPr>
            </w:pPr>
            <w:r w:rsidRPr="00F202D9">
              <w:rPr>
                <w:rFonts w:ascii="Times New Roman" w:eastAsia="Times New Roman" w:hAnsi="Times New Roman" w:cs="Times New Roman"/>
                <w:sz w:val="28"/>
                <w:szCs w:val="28"/>
                <w:lang w:eastAsia="lv-LV"/>
              </w:rPr>
              <w:t> 0</w:t>
            </w:r>
          </w:p>
        </w:tc>
        <w:tc>
          <w:tcPr>
            <w:tcW w:w="634" w:type="pct"/>
            <w:tcBorders>
              <w:top w:val="outset" w:sz="6" w:space="0" w:color="414142"/>
              <w:left w:val="outset" w:sz="6" w:space="0" w:color="414142"/>
              <w:bottom w:val="outset" w:sz="6" w:space="0" w:color="414142"/>
              <w:right w:val="outset" w:sz="6" w:space="0" w:color="414142"/>
            </w:tcBorders>
            <w:shd w:val="clear" w:color="auto" w:fill="FFFFFF"/>
            <w:hideMark/>
          </w:tcPr>
          <w:p w14:paraId="402F1FE1" w14:textId="4CD72C2F" w:rsidR="00E00803" w:rsidRPr="002E0C7A" w:rsidRDefault="00E00803" w:rsidP="00E00803">
            <w:pPr>
              <w:spacing w:after="0" w:line="240" w:lineRule="auto"/>
              <w:rPr>
                <w:rFonts w:ascii="Times New Roman" w:eastAsia="Times New Roman" w:hAnsi="Times New Roman" w:cs="Times New Roman"/>
                <w:sz w:val="28"/>
                <w:szCs w:val="28"/>
                <w:lang w:eastAsia="lv-LV"/>
              </w:rPr>
            </w:pPr>
            <w:r w:rsidRPr="00F202D9">
              <w:rPr>
                <w:rFonts w:ascii="Times New Roman" w:eastAsia="Times New Roman" w:hAnsi="Times New Roman" w:cs="Times New Roman"/>
                <w:sz w:val="28"/>
                <w:szCs w:val="28"/>
                <w:lang w:eastAsia="lv-LV"/>
              </w:rPr>
              <w:t>+14 225</w:t>
            </w:r>
          </w:p>
        </w:tc>
        <w:tc>
          <w:tcPr>
            <w:tcW w:w="634" w:type="pct"/>
            <w:tcBorders>
              <w:top w:val="outset" w:sz="6" w:space="0" w:color="414142"/>
              <w:left w:val="outset" w:sz="6" w:space="0" w:color="414142"/>
              <w:bottom w:val="outset" w:sz="6" w:space="0" w:color="414142"/>
              <w:right w:val="outset" w:sz="6" w:space="0" w:color="414142"/>
            </w:tcBorders>
            <w:shd w:val="clear" w:color="auto" w:fill="FFFFFF"/>
            <w:hideMark/>
          </w:tcPr>
          <w:p w14:paraId="6AE6E0A4" w14:textId="67989ABB" w:rsidR="00E00803" w:rsidRPr="002E0C7A" w:rsidRDefault="00E00803" w:rsidP="00E00803">
            <w:pPr>
              <w:spacing w:after="0" w:line="240" w:lineRule="auto"/>
              <w:rPr>
                <w:rFonts w:ascii="Times New Roman" w:eastAsia="Times New Roman" w:hAnsi="Times New Roman" w:cs="Times New Roman"/>
                <w:sz w:val="28"/>
                <w:szCs w:val="28"/>
                <w:lang w:eastAsia="lv-LV"/>
              </w:rPr>
            </w:pPr>
            <w:r w:rsidRPr="001D43C8">
              <w:rPr>
                <w:rFonts w:ascii="Times New Roman" w:eastAsia="Times New Roman" w:hAnsi="Times New Roman" w:cs="Times New Roman"/>
                <w:sz w:val="28"/>
                <w:szCs w:val="28"/>
                <w:lang w:eastAsia="lv-LV"/>
              </w:rPr>
              <w:t>+42 675</w:t>
            </w:r>
          </w:p>
        </w:tc>
        <w:tc>
          <w:tcPr>
            <w:tcW w:w="771" w:type="pct"/>
            <w:tcBorders>
              <w:top w:val="outset" w:sz="6" w:space="0" w:color="414142"/>
              <w:left w:val="outset" w:sz="6" w:space="0" w:color="414142"/>
              <w:bottom w:val="outset" w:sz="6" w:space="0" w:color="414142"/>
              <w:right w:val="outset" w:sz="6" w:space="0" w:color="414142"/>
            </w:tcBorders>
            <w:shd w:val="clear" w:color="auto" w:fill="FFFFFF"/>
            <w:hideMark/>
          </w:tcPr>
          <w:p w14:paraId="3644E59F" w14:textId="76322A74" w:rsidR="00E00803" w:rsidRPr="002E0C7A" w:rsidRDefault="00E00803" w:rsidP="00E00803">
            <w:pPr>
              <w:spacing w:after="0" w:line="240" w:lineRule="auto"/>
              <w:rPr>
                <w:rFonts w:ascii="Times New Roman" w:eastAsia="Times New Roman" w:hAnsi="Times New Roman" w:cs="Times New Roman"/>
                <w:sz w:val="28"/>
                <w:szCs w:val="28"/>
                <w:lang w:eastAsia="lv-LV"/>
              </w:rPr>
            </w:pPr>
            <w:r w:rsidRPr="00F202D9">
              <w:rPr>
                <w:rFonts w:ascii="Times New Roman" w:eastAsia="Times New Roman" w:hAnsi="Times New Roman" w:cs="Times New Roman"/>
                <w:sz w:val="28"/>
                <w:szCs w:val="28"/>
                <w:lang w:eastAsia="lv-LV"/>
              </w:rPr>
              <w:t> </w:t>
            </w:r>
            <w:r w:rsidRPr="001D43C8">
              <w:rPr>
                <w:rFonts w:ascii="Times New Roman" w:eastAsia="Times New Roman" w:hAnsi="Times New Roman" w:cs="Times New Roman"/>
                <w:sz w:val="28"/>
                <w:szCs w:val="28"/>
                <w:lang w:eastAsia="lv-LV"/>
              </w:rPr>
              <w:t>+56 900</w:t>
            </w:r>
          </w:p>
        </w:tc>
      </w:tr>
      <w:tr w:rsidR="00E00803" w:rsidRPr="002E0C7A" w14:paraId="3D70F127" w14:textId="77777777" w:rsidTr="00282ADE">
        <w:tc>
          <w:tcPr>
            <w:tcW w:w="1571" w:type="pct"/>
            <w:tcBorders>
              <w:top w:val="outset" w:sz="6" w:space="0" w:color="414142"/>
              <w:left w:val="outset" w:sz="6" w:space="0" w:color="414142"/>
              <w:bottom w:val="outset" w:sz="6" w:space="0" w:color="414142"/>
              <w:right w:val="outset" w:sz="6" w:space="0" w:color="414142"/>
            </w:tcBorders>
            <w:shd w:val="clear" w:color="auto" w:fill="FFFFFF"/>
            <w:hideMark/>
          </w:tcPr>
          <w:p w14:paraId="3A342F50" w14:textId="77777777" w:rsidR="00E00803" w:rsidRPr="002E0C7A" w:rsidRDefault="00E00803" w:rsidP="00E00803">
            <w:pPr>
              <w:spacing w:after="0" w:line="240" w:lineRule="auto"/>
              <w:rPr>
                <w:rFonts w:ascii="Times New Roman" w:eastAsia="Times New Roman" w:hAnsi="Times New Roman" w:cs="Times New Roman"/>
                <w:sz w:val="28"/>
                <w:szCs w:val="28"/>
                <w:lang w:eastAsia="lv-LV"/>
              </w:rPr>
            </w:pPr>
            <w:r w:rsidRPr="002E0C7A">
              <w:rPr>
                <w:rFonts w:ascii="Times New Roman" w:eastAsia="Times New Roman" w:hAnsi="Times New Roman" w:cs="Times New Roman"/>
                <w:sz w:val="28"/>
                <w:szCs w:val="28"/>
                <w:lang w:eastAsia="lv-LV"/>
              </w:rPr>
              <w:t>1.2. valsts speciālais budžets</w:t>
            </w:r>
          </w:p>
        </w:tc>
        <w:tc>
          <w:tcPr>
            <w:tcW w:w="574" w:type="pct"/>
            <w:tcBorders>
              <w:top w:val="outset" w:sz="6" w:space="0" w:color="414142"/>
              <w:left w:val="outset" w:sz="6" w:space="0" w:color="414142"/>
              <w:bottom w:val="outset" w:sz="6" w:space="0" w:color="414142"/>
              <w:right w:val="outset" w:sz="6" w:space="0" w:color="414142"/>
            </w:tcBorders>
            <w:shd w:val="clear" w:color="auto" w:fill="FFFFFF"/>
            <w:hideMark/>
          </w:tcPr>
          <w:p w14:paraId="7F07DBF6" w14:textId="2265691E" w:rsidR="00E00803" w:rsidRPr="002E0C7A" w:rsidRDefault="00E00803" w:rsidP="00E00803">
            <w:pPr>
              <w:spacing w:after="0" w:line="240" w:lineRule="auto"/>
              <w:rPr>
                <w:rFonts w:ascii="Times New Roman" w:eastAsia="Times New Roman" w:hAnsi="Times New Roman" w:cs="Times New Roman"/>
                <w:sz w:val="28"/>
                <w:szCs w:val="28"/>
                <w:lang w:eastAsia="lv-LV"/>
              </w:rPr>
            </w:pPr>
            <w:r w:rsidRPr="002E0C7A">
              <w:rPr>
                <w:rFonts w:ascii="Times New Roman" w:eastAsia="Times New Roman" w:hAnsi="Times New Roman" w:cs="Times New Roman"/>
                <w:sz w:val="28"/>
                <w:szCs w:val="28"/>
                <w:lang w:eastAsia="lv-LV"/>
              </w:rPr>
              <w:t> 0</w:t>
            </w:r>
          </w:p>
        </w:tc>
        <w:tc>
          <w:tcPr>
            <w:tcW w:w="816" w:type="pct"/>
            <w:tcBorders>
              <w:top w:val="outset" w:sz="6" w:space="0" w:color="414142"/>
              <w:left w:val="outset" w:sz="6" w:space="0" w:color="414142"/>
              <w:bottom w:val="outset" w:sz="6" w:space="0" w:color="414142"/>
              <w:right w:val="outset" w:sz="6" w:space="0" w:color="414142"/>
            </w:tcBorders>
            <w:shd w:val="clear" w:color="auto" w:fill="FFFFFF"/>
            <w:hideMark/>
          </w:tcPr>
          <w:p w14:paraId="6B8E6CA4" w14:textId="368E7CAB" w:rsidR="00E00803" w:rsidRPr="002E0C7A" w:rsidRDefault="00E00803" w:rsidP="00E00803">
            <w:pPr>
              <w:spacing w:after="0" w:line="240" w:lineRule="auto"/>
              <w:rPr>
                <w:rFonts w:ascii="Times New Roman" w:eastAsia="Times New Roman" w:hAnsi="Times New Roman" w:cs="Times New Roman"/>
                <w:sz w:val="28"/>
                <w:szCs w:val="28"/>
                <w:lang w:eastAsia="lv-LV"/>
              </w:rPr>
            </w:pPr>
            <w:r w:rsidRPr="002E0C7A">
              <w:rPr>
                <w:rFonts w:ascii="Times New Roman" w:eastAsia="Times New Roman" w:hAnsi="Times New Roman" w:cs="Times New Roman"/>
                <w:sz w:val="28"/>
                <w:szCs w:val="28"/>
                <w:lang w:eastAsia="lv-LV"/>
              </w:rPr>
              <w:t> 0</w:t>
            </w:r>
          </w:p>
        </w:tc>
        <w:tc>
          <w:tcPr>
            <w:tcW w:w="634" w:type="pct"/>
            <w:tcBorders>
              <w:top w:val="outset" w:sz="6" w:space="0" w:color="414142"/>
              <w:left w:val="outset" w:sz="6" w:space="0" w:color="414142"/>
              <w:bottom w:val="outset" w:sz="6" w:space="0" w:color="414142"/>
              <w:right w:val="outset" w:sz="6" w:space="0" w:color="414142"/>
            </w:tcBorders>
            <w:shd w:val="clear" w:color="auto" w:fill="FFFFFF"/>
            <w:hideMark/>
          </w:tcPr>
          <w:p w14:paraId="51EACE95" w14:textId="358DAE14" w:rsidR="00E00803" w:rsidRPr="002E0C7A" w:rsidRDefault="00E00803" w:rsidP="00E00803">
            <w:pPr>
              <w:spacing w:after="0" w:line="240" w:lineRule="auto"/>
              <w:rPr>
                <w:rFonts w:ascii="Times New Roman" w:eastAsia="Times New Roman" w:hAnsi="Times New Roman" w:cs="Times New Roman"/>
                <w:sz w:val="28"/>
                <w:szCs w:val="28"/>
                <w:lang w:eastAsia="lv-LV"/>
              </w:rPr>
            </w:pPr>
            <w:r w:rsidRPr="002E0C7A">
              <w:rPr>
                <w:rFonts w:ascii="Times New Roman" w:eastAsia="Times New Roman" w:hAnsi="Times New Roman" w:cs="Times New Roman"/>
                <w:sz w:val="28"/>
                <w:szCs w:val="28"/>
                <w:lang w:eastAsia="lv-LV"/>
              </w:rPr>
              <w:t> 0</w:t>
            </w:r>
          </w:p>
        </w:tc>
        <w:tc>
          <w:tcPr>
            <w:tcW w:w="634" w:type="pct"/>
            <w:tcBorders>
              <w:top w:val="outset" w:sz="6" w:space="0" w:color="414142"/>
              <w:left w:val="outset" w:sz="6" w:space="0" w:color="414142"/>
              <w:bottom w:val="outset" w:sz="6" w:space="0" w:color="414142"/>
              <w:right w:val="outset" w:sz="6" w:space="0" w:color="414142"/>
            </w:tcBorders>
            <w:shd w:val="clear" w:color="auto" w:fill="FFFFFF"/>
            <w:hideMark/>
          </w:tcPr>
          <w:p w14:paraId="3803FF79" w14:textId="430F8138" w:rsidR="00E00803" w:rsidRPr="002E0C7A" w:rsidRDefault="00E00803" w:rsidP="00E00803">
            <w:pPr>
              <w:spacing w:after="0" w:line="240" w:lineRule="auto"/>
              <w:rPr>
                <w:rFonts w:ascii="Times New Roman" w:eastAsia="Times New Roman" w:hAnsi="Times New Roman" w:cs="Times New Roman"/>
                <w:sz w:val="28"/>
                <w:szCs w:val="28"/>
                <w:lang w:eastAsia="lv-LV"/>
              </w:rPr>
            </w:pPr>
            <w:r w:rsidRPr="002E0C7A">
              <w:rPr>
                <w:rFonts w:ascii="Times New Roman" w:eastAsia="Times New Roman" w:hAnsi="Times New Roman" w:cs="Times New Roman"/>
                <w:sz w:val="28"/>
                <w:szCs w:val="28"/>
                <w:lang w:eastAsia="lv-LV"/>
              </w:rPr>
              <w:t> </w:t>
            </w:r>
          </w:p>
        </w:tc>
        <w:tc>
          <w:tcPr>
            <w:tcW w:w="771" w:type="pct"/>
            <w:tcBorders>
              <w:top w:val="outset" w:sz="6" w:space="0" w:color="414142"/>
              <w:left w:val="outset" w:sz="6" w:space="0" w:color="414142"/>
              <w:bottom w:val="outset" w:sz="6" w:space="0" w:color="414142"/>
              <w:right w:val="outset" w:sz="6" w:space="0" w:color="414142"/>
            </w:tcBorders>
            <w:shd w:val="clear" w:color="auto" w:fill="FFFFFF"/>
            <w:hideMark/>
          </w:tcPr>
          <w:p w14:paraId="0C6C9A87" w14:textId="7334970D" w:rsidR="00E00803" w:rsidRPr="002E0C7A" w:rsidRDefault="00E00803" w:rsidP="00E00803">
            <w:pPr>
              <w:spacing w:after="0" w:line="240" w:lineRule="auto"/>
              <w:rPr>
                <w:rFonts w:ascii="Times New Roman" w:eastAsia="Times New Roman" w:hAnsi="Times New Roman" w:cs="Times New Roman"/>
                <w:sz w:val="28"/>
                <w:szCs w:val="28"/>
                <w:lang w:eastAsia="lv-LV"/>
              </w:rPr>
            </w:pPr>
            <w:r w:rsidRPr="002E0C7A">
              <w:rPr>
                <w:rFonts w:ascii="Times New Roman" w:eastAsia="Times New Roman" w:hAnsi="Times New Roman" w:cs="Times New Roman"/>
                <w:sz w:val="28"/>
                <w:szCs w:val="28"/>
                <w:lang w:eastAsia="lv-LV"/>
              </w:rPr>
              <w:t> </w:t>
            </w:r>
          </w:p>
        </w:tc>
      </w:tr>
      <w:tr w:rsidR="00E00803" w:rsidRPr="002E0C7A" w14:paraId="6093983E" w14:textId="77777777" w:rsidTr="00282ADE">
        <w:tc>
          <w:tcPr>
            <w:tcW w:w="1571" w:type="pct"/>
            <w:tcBorders>
              <w:top w:val="outset" w:sz="6" w:space="0" w:color="414142"/>
              <w:left w:val="outset" w:sz="6" w:space="0" w:color="414142"/>
              <w:bottom w:val="outset" w:sz="6" w:space="0" w:color="414142"/>
              <w:right w:val="outset" w:sz="6" w:space="0" w:color="414142"/>
            </w:tcBorders>
            <w:shd w:val="clear" w:color="auto" w:fill="FFFFFF"/>
            <w:hideMark/>
          </w:tcPr>
          <w:p w14:paraId="30E04347" w14:textId="77777777" w:rsidR="00E00803" w:rsidRPr="002E0C7A" w:rsidRDefault="00E00803" w:rsidP="00E00803">
            <w:pPr>
              <w:spacing w:after="0" w:line="240" w:lineRule="auto"/>
              <w:rPr>
                <w:rFonts w:ascii="Times New Roman" w:eastAsia="Times New Roman" w:hAnsi="Times New Roman" w:cs="Times New Roman"/>
                <w:sz w:val="28"/>
                <w:szCs w:val="28"/>
                <w:lang w:eastAsia="lv-LV"/>
              </w:rPr>
            </w:pPr>
            <w:r w:rsidRPr="002E0C7A">
              <w:rPr>
                <w:rFonts w:ascii="Times New Roman" w:eastAsia="Times New Roman" w:hAnsi="Times New Roman" w:cs="Times New Roman"/>
                <w:sz w:val="28"/>
                <w:szCs w:val="28"/>
                <w:lang w:eastAsia="lv-LV"/>
              </w:rPr>
              <w:t>1.3. pašvaldību budžets</w:t>
            </w:r>
          </w:p>
        </w:tc>
        <w:tc>
          <w:tcPr>
            <w:tcW w:w="574" w:type="pct"/>
            <w:tcBorders>
              <w:top w:val="outset" w:sz="6" w:space="0" w:color="414142"/>
              <w:left w:val="outset" w:sz="6" w:space="0" w:color="414142"/>
              <w:bottom w:val="outset" w:sz="6" w:space="0" w:color="414142"/>
              <w:right w:val="outset" w:sz="6" w:space="0" w:color="414142"/>
            </w:tcBorders>
            <w:shd w:val="clear" w:color="auto" w:fill="FFFFFF"/>
            <w:hideMark/>
          </w:tcPr>
          <w:p w14:paraId="2681DA07" w14:textId="172A9C0A" w:rsidR="00E00803" w:rsidRPr="002E0C7A" w:rsidRDefault="00E00803" w:rsidP="00E00803">
            <w:pPr>
              <w:spacing w:after="0" w:line="240" w:lineRule="auto"/>
              <w:rPr>
                <w:rFonts w:ascii="Times New Roman" w:eastAsia="Times New Roman" w:hAnsi="Times New Roman" w:cs="Times New Roman"/>
                <w:sz w:val="28"/>
                <w:szCs w:val="28"/>
                <w:lang w:eastAsia="lv-LV"/>
              </w:rPr>
            </w:pPr>
            <w:r w:rsidRPr="002E0C7A">
              <w:rPr>
                <w:rFonts w:ascii="Times New Roman" w:eastAsia="Times New Roman" w:hAnsi="Times New Roman" w:cs="Times New Roman"/>
                <w:sz w:val="28"/>
                <w:szCs w:val="28"/>
                <w:lang w:eastAsia="lv-LV"/>
              </w:rPr>
              <w:t> 0</w:t>
            </w:r>
          </w:p>
        </w:tc>
        <w:tc>
          <w:tcPr>
            <w:tcW w:w="816" w:type="pct"/>
            <w:tcBorders>
              <w:top w:val="outset" w:sz="6" w:space="0" w:color="414142"/>
              <w:left w:val="outset" w:sz="6" w:space="0" w:color="414142"/>
              <w:bottom w:val="outset" w:sz="6" w:space="0" w:color="414142"/>
              <w:right w:val="outset" w:sz="6" w:space="0" w:color="414142"/>
            </w:tcBorders>
            <w:shd w:val="clear" w:color="auto" w:fill="FFFFFF"/>
            <w:hideMark/>
          </w:tcPr>
          <w:p w14:paraId="5E961336" w14:textId="1526DE71" w:rsidR="00E00803" w:rsidRPr="002E0C7A" w:rsidRDefault="00E00803" w:rsidP="00E00803">
            <w:pPr>
              <w:spacing w:after="0" w:line="240" w:lineRule="auto"/>
              <w:rPr>
                <w:rFonts w:ascii="Times New Roman" w:eastAsia="Times New Roman" w:hAnsi="Times New Roman" w:cs="Times New Roman"/>
                <w:sz w:val="28"/>
                <w:szCs w:val="28"/>
                <w:lang w:eastAsia="lv-LV"/>
              </w:rPr>
            </w:pPr>
            <w:r w:rsidRPr="002E0C7A">
              <w:rPr>
                <w:rFonts w:ascii="Times New Roman" w:eastAsia="Times New Roman" w:hAnsi="Times New Roman" w:cs="Times New Roman"/>
                <w:sz w:val="28"/>
                <w:szCs w:val="28"/>
                <w:lang w:eastAsia="lv-LV"/>
              </w:rPr>
              <w:t> 0</w:t>
            </w:r>
          </w:p>
        </w:tc>
        <w:tc>
          <w:tcPr>
            <w:tcW w:w="634" w:type="pct"/>
            <w:tcBorders>
              <w:top w:val="outset" w:sz="6" w:space="0" w:color="414142"/>
              <w:left w:val="outset" w:sz="6" w:space="0" w:color="414142"/>
              <w:bottom w:val="outset" w:sz="6" w:space="0" w:color="414142"/>
              <w:right w:val="outset" w:sz="6" w:space="0" w:color="414142"/>
            </w:tcBorders>
            <w:shd w:val="clear" w:color="auto" w:fill="FFFFFF"/>
            <w:hideMark/>
          </w:tcPr>
          <w:p w14:paraId="3E6BE233" w14:textId="4A63D454" w:rsidR="00E00803" w:rsidRPr="002E0C7A" w:rsidRDefault="00E00803" w:rsidP="00E00803">
            <w:pPr>
              <w:spacing w:after="0" w:line="240" w:lineRule="auto"/>
              <w:rPr>
                <w:rFonts w:ascii="Times New Roman" w:eastAsia="Times New Roman" w:hAnsi="Times New Roman" w:cs="Times New Roman"/>
                <w:sz w:val="28"/>
                <w:szCs w:val="28"/>
                <w:lang w:eastAsia="lv-LV"/>
              </w:rPr>
            </w:pPr>
            <w:r w:rsidRPr="002E0C7A">
              <w:rPr>
                <w:rFonts w:ascii="Times New Roman" w:eastAsia="Times New Roman" w:hAnsi="Times New Roman" w:cs="Times New Roman"/>
                <w:sz w:val="28"/>
                <w:szCs w:val="28"/>
                <w:lang w:eastAsia="lv-LV"/>
              </w:rPr>
              <w:t> 0</w:t>
            </w:r>
          </w:p>
        </w:tc>
        <w:tc>
          <w:tcPr>
            <w:tcW w:w="634" w:type="pct"/>
            <w:tcBorders>
              <w:top w:val="outset" w:sz="6" w:space="0" w:color="414142"/>
              <w:left w:val="outset" w:sz="6" w:space="0" w:color="414142"/>
              <w:bottom w:val="outset" w:sz="6" w:space="0" w:color="414142"/>
              <w:right w:val="outset" w:sz="6" w:space="0" w:color="414142"/>
            </w:tcBorders>
            <w:shd w:val="clear" w:color="auto" w:fill="FFFFFF"/>
            <w:hideMark/>
          </w:tcPr>
          <w:p w14:paraId="4BD1815D" w14:textId="7FF20ED7" w:rsidR="00E00803" w:rsidRPr="002E0C7A" w:rsidRDefault="00E00803" w:rsidP="00E00803">
            <w:pPr>
              <w:spacing w:after="0" w:line="240" w:lineRule="auto"/>
              <w:rPr>
                <w:rFonts w:ascii="Times New Roman" w:eastAsia="Times New Roman" w:hAnsi="Times New Roman" w:cs="Times New Roman"/>
                <w:sz w:val="28"/>
                <w:szCs w:val="28"/>
                <w:lang w:eastAsia="lv-LV"/>
              </w:rPr>
            </w:pPr>
            <w:r w:rsidRPr="002E0C7A">
              <w:rPr>
                <w:rFonts w:ascii="Times New Roman" w:eastAsia="Times New Roman" w:hAnsi="Times New Roman" w:cs="Times New Roman"/>
                <w:sz w:val="28"/>
                <w:szCs w:val="28"/>
                <w:lang w:eastAsia="lv-LV"/>
              </w:rPr>
              <w:t> </w:t>
            </w:r>
          </w:p>
        </w:tc>
        <w:tc>
          <w:tcPr>
            <w:tcW w:w="771" w:type="pct"/>
            <w:tcBorders>
              <w:top w:val="outset" w:sz="6" w:space="0" w:color="414142"/>
              <w:left w:val="outset" w:sz="6" w:space="0" w:color="414142"/>
              <w:bottom w:val="outset" w:sz="6" w:space="0" w:color="414142"/>
              <w:right w:val="outset" w:sz="6" w:space="0" w:color="414142"/>
            </w:tcBorders>
            <w:shd w:val="clear" w:color="auto" w:fill="FFFFFF"/>
            <w:hideMark/>
          </w:tcPr>
          <w:p w14:paraId="3F5CA786" w14:textId="4E49E6A6" w:rsidR="00E00803" w:rsidRPr="002E0C7A" w:rsidRDefault="00E00803" w:rsidP="00E00803">
            <w:pPr>
              <w:spacing w:after="0" w:line="240" w:lineRule="auto"/>
              <w:rPr>
                <w:rFonts w:ascii="Times New Roman" w:eastAsia="Times New Roman" w:hAnsi="Times New Roman" w:cs="Times New Roman"/>
                <w:sz w:val="28"/>
                <w:szCs w:val="28"/>
                <w:lang w:eastAsia="lv-LV"/>
              </w:rPr>
            </w:pPr>
            <w:r w:rsidRPr="002E0C7A">
              <w:rPr>
                <w:rFonts w:ascii="Times New Roman" w:eastAsia="Times New Roman" w:hAnsi="Times New Roman" w:cs="Times New Roman"/>
                <w:sz w:val="28"/>
                <w:szCs w:val="28"/>
                <w:lang w:eastAsia="lv-LV"/>
              </w:rPr>
              <w:t> </w:t>
            </w:r>
          </w:p>
        </w:tc>
      </w:tr>
      <w:tr w:rsidR="00E00803" w:rsidRPr="002E0C7A" w14:paraId="692DA4E6" w14:textId="77777777" w:rsidTr="00282ADE">
        <w:tc>
          <w:tcPr>
            <w:tcW w:w="1571" w:type="pct"/>
            <w:tcBorders>
              <w:top w:val="outset" w:sz="6" w:space="0" w:color="414142"/>
              <w:left w:val="outset" w:sz="6" w:space="0" w:color="414142"/>
              <w:bottom w:val="outset" w:sz="6" w:space="0" w:color="414142"/>
              <w:right w:val="outset" w:sz="6" w:space="0" w:color="414142"/>
            </w:tcBorders>
            <w:shd w:val="clear" w:color="auto" w:fill="FFFFFF"/>
            <w:hideMark/>
          </w:tcPr>
          <w:p w14:paraId="19447731" w14:textId="77777777" w:rsidR="00E00803" w:rsidRPr="002E0C7A" w:rsidRDefault="00E00803" w:rsidP="00E00803">
            <w:pPr>
              <w:spacing w:after="0" w:line="240" w:lineRule="auto"/>
              <w:rPr>
                <w:rFonts w:ascii="Times New Roman" w:eastAsia="Times New Roman" w:hAnsi="Times New Roman" w:cs="Times New Roman"/>
                <w:sz w:val="28"/>
                <w:szCs w:val="28"/>
                <w:lang w:eastAsia="lv-LV"/>
              </w:rPr>
            </w:pPr>
            <w:r w:rsidRPr="002E0C7A">
              <w:rPr>
                <w:rFonts w:ascii="Times New Roman" w:eastAsia="Times New Roman" w:hAnsi="Times New Roman" w:cs="Times New Roman"/>
                <w:sz w:val="28"/>
                <w:szCs w:val="28"/>
                <w:lang w:eastAsia="lv-LV"/>
              </w:rPr>
              <w:t>2. Budžeta izdevumi:</w:t>
            </w:r>
          </w:p>
        </w:tc>
        <w:tc>
          <w:tcPr>
            <w:tcW w:w="574" w:type="pct"/>
            <w:tcBorders>
              <w:top w:val="outset" w:sz="6" w:space="0" w:color="414142"/>
              <w:left w:val="outset" w:sz="6" w:space="0" w:color="414142"/>
              <w:bottom w:val="outset" w:sz="6" w:space="0" w:color="414142"/>
              <w:right w:val="outset" w:sz="6" w:space="0" w:color="414142"/>
            </w:tcBorders>
            <w:shd w:val="clear" w:color="auto" w:fill="FFFFFF"/>
          </w:tcPr>
          <w:p w14:paraId="729D3F28" w14:textId="34898A58" w:rsidR="00E00803" w:rsidRPr="002E0C7A" w:rsidRDefault="00E00803" w:rsidP="00E00803">
            <w:pPr>
              <w:spacing w:after="0" w:line="240" w:lineRule="auto"/>
              <w:rPr>
                <w:rFonts w:ascii="Times New Roman" w:eastAsia="Times New Roman" w:hAnsi="Times New Roman" w:cs="Times New Roman"/>
                <w:b/>
                <w:sz w:val="28"/>
                <w:szCs w:val="28"/>
                <w:lang w:eastAsia="lv-LV"/>
              </w:rPr>
            </w:pPr>
            <w:r>
              <w:rPr>
                <w:rFonts w:ascii="Times New Roman" w:eastAsia="Times New Roman" w:hAnsi="Times New Roman" w:cs="Times New Roman"/>
                <w:b/>
                <w:sz w:val="28"/>
                <w:szCs w:val="28"/>
                <w:lang w:eastAsia="lv-LV"/>
              </w:rPr>
              <w:t>183 800</w:t>
            </w:r>
          </w:p>
        </w:tc>
        <w:tc>
          <w:tcPr>
            <w:tcW w:w="816" w:type="pct"/>
            <w:tcBorders>
              <w:top w:val="outset" w:sz="6" w:space="0" w:color="414142"/>
              <w:left w:val="outset" w:sz="6" w:space="0" w:color="414142"/>
              <w:bottom w:val="outset" w:sz="6" w:space="0" w:color="414142"/>
              <w:right w:val="outset" w:sz="6" w:space="0" w:color="414142"/>
            </w:tcBorders>
            <w:shd w:val="clear" w:color="auto" w:fill="FFFFFF"/>
          </w:tcPr>
          <w:p w14:paraId="158CCFC1" w14:textId="1069664C" w:rsidR="00E00803" w:rsidRPr="002E0C7A" w:rsidRDefault="00E00803" w:rsidP="00E00803">
            <w:pPr>
              <w:spacing w:after="0" w:line="240" w:lineRule="auto"/>
              <w:rPr>
                <w:rFonts w:ascii="Times New Roman" w:eastAsia="Times New Roman" w:hAnsi="Times New Roman" w:cs="Times New Roman"/>
                <w:b/>
                <w:sz w:val="28"/>
                <w:szCs w:val="28"/>
                <w:lang w:eastAsia="lv-LV"/>
              </w:rPr>
            </w:pPr>
            <w:r w:rsidRPr="002E0C7A">
              <w:rPr>
                <w:rFonts w:ascii="Times New Roman" w:eastAsia="Times New Roman" w:hAnsi="Times New Roman" w:cs="Times New Roman"/>
                <w:b/>
                <w:sz w:val="28"/>
                <w:szCs w:val="28"/>
                <w:lang w:eastAsia="lv-LV"/>
              </w:rPr>
              <w:t>0</w:t>
            </w:r>
          </w:p>
        </w:tc>
        <w:tc>
          <w:tcPr>
            <w:tcW w:w="634" w:type="pct"/>
            <w:tcBorders>
              <w:top w:val="outset" w:sz="6" w:space="0" w:color="414142"/>
              <w:left w:val="outset" w:sz="6" w:space="0" w:color="414142"/>
              <w:bottom w:val="outset" w:sz="6" w:space="0" w:color="414142"/>
              <w:right w:val="outset" w:sz="6" w:space="0" w:color="414142"/>
            </w:tcBorders>
            <w:shd w:val="clear" w:color="auto" w:fill="FFFFFF"/>
          </w:tcPr>
          <w:p w14:paraId="560ADA15" w14:textId="56EA04E4" w:rsidR="00E00803" w:rsidRPr="002E0C7A" w:rsidRDefault="00E00803" w:rsidP="00E00803">
            <w:pPr>
              <w:spacing w:after="0" w:line="240" w:lineRule="auto"/>
              <w:rPr>
                <w:rFonts w:ascii="Times New Roman" w:eastAsia="Times New Roman" w:hAnsi="Times New Roman" w:cs="Times New Roman"/>
                <w:b/>
                <w:sz w:val="28"/>
                <w:szCs w:val="28"/>
                <w:lang w:eastAsia="lv-LV"/>
              </w:rPr>
            </w:pPr>
            <w:r>
              <w:rPr>
                <w:rFonts w:ascii="Times New Roman" w:eastAsia="Times New Roman" w:hAnsi="Times New Roman" w:cs="Times New Roman"/>
                <w:b/>
                <w:sz w:val="28"/>
                <w:szCs w:val="28"/>
                <w:lang w:eastAsia="lv-LV"/>
              </w:rPr>
              <w:t>0</w:t>
            </w:r>
          </w:p>
        </w:tc>
        <w:tc>
          <w:tcPr>
            <w:tcW w:w="634" w:type="pct"/>
            <w:tcBorders>
              <w:top w:val="outset" w:sz="6" w:space="0" w:color="414142"/>
              <w:left w:val="outset" w:sz="6" w:space="0" w:color="414142"/>
              <w:bottom w:val="outset" w:sz="6" w:space="0" w:color="414142"/>
              <w:right w:val="outset" w:sz="6" w:space="0" w:color="414142"/>
            </w:tcBorders>
            <w:shd w:val="clear" w:color="auto" w:fill="FFFFFF"/>
          </w:tcPr>
          <w:p w14:paraId="795D2F97" w14:textId="76305685" w:rsidR="00E00803" w:rsidRPr="002E0C7A" w:rsidRDefault="00E00803" w:rsidP="00E00803">
            <w:pPr>
              <w:spacing w:after="0" w:line="240" w:lineRule="auto"/>
              <w:rPr>
                <w:rFonts w:ascii="Times New Roman" w:eastAsia="Times New Roman" w:hAnsi="Times New Roman" w:cs="Times New Roman"/>
                <w:b/>
                <w:sz w:val="28"/>
                <w:szCs w:val="28"/>
                <w:lang w:eastAsia="lv-LV"/>
              </w:rPr>
            </w:pPr>
            <w:r>
              <w:rPr>
                <w:rFonts w:ascii="Times New Roman" w:eastAsia="Times New Roman" w:hAnsi="Times New Roman" w:cs="Times New Roman"/>
                <w:b/>
                <w:sz w:val="28"/>
                <w:szCs w:val="28"/>
                <w:lang w:eastAsia="lv-LV"/>
              </w:rPr>
              <w:t>0</w:t>
            </w:r>
          </w:p>
        </w:tc>
        <w:tc>
          <w:tcPr>
            <w:tcW w:w="771" w:type="pct"/>
            <w:tcBorders>
              <w:top w:val="outset" w:sz="6" w:space="0" w:color="414142"/>
              <w:left w:val="outset" w:sz="6" w:space="0" w:color="414142"/>
              <w:bottom w:val="outset" w:sz="6" w:space="0" w:color="414142"/>
              <w:right w:val="outset" w:sz="6" w:space="0" w:color="414142"/>
            </w:tcBorders>
            <w:shd w:val="clear" w:color="auto" w:fill="FFFFFF"/>
          </w:tcPr>
          <w:p w14:paraId="06F7BD81" w14:textId="7EC5BD18" w:rsidR="00E00803" w:rsidRPr="002E0C7A" w:rsidRDefault="00E00803" w:rsidP="00E00803">
            <w:pPr>
              <w:spacing w:after="0" w:line="240" w:lineRule="auto"/>
              <w:rPr>
                <w:rFonts w:ascii="Times New Roman" w:eastAsia="Times New Roman" w:hAnsi="Times New Roman" w:cs="Times New Roman"/>
                <w:b/>
                <w:sz w:val="28"/>
                <w:szCs w:val="28"/>
                <w:lang w:eastAsia="lv-LV"/>
              </w:rPr>
            </w:pPr>
            <w:r>
              <w:rPr>
                <w:rFonts w:ascii="Times New Roman" w:eastAsia="Times New Roman" w:hAnsi="Times New Roman" w:cs="Times New Roman"/>
                <w:b/>
                <w:sz w:val="28"/>
                <w:szCs w:val="28"/>
                <w:lang w:eastAsia="lv-LV"/>
              </w:rPr>
              <w:t>0</w:t>
            </w:r>
          </w:p>
        </w:tc>
      </w:tr>
      <w:tr w:rsidR="00E00803" w:rsidRPr="002E0C7A" w14:paraId="02BF7163" w14:textId="77777777" w:rsidTr="00282ADE">
        <w:tc>
          <w:tcPr>
            <w:tcW w:w="1571" w:type="pct"/>
            <w:tcBorders>
              <w:top w:val="outset" w:sz="6" w:space="0" w:color="414142"/>
              <w:left w:val="outset" w:sz="6" w:space="0" w:color="414142"/>
              <w:bottom w:val="outset" w:sz="6" w:space="0" w:color="414142"/>
              <w:right w:val="outset" w:sz="6" w:space="0" w:color="414142"/>
            </w:tcBorders>
            <w:shd w:val="clear" w:color="auto" w:fill="FFFFFF"/>
            <w:hideMark/>
          </w:tcPr>
          <w:p w14:paraId="171BFDC0" w14:textId="77777777" w:rsidR="00E00803" w:rsidRPr="002E0C7A" w:rsidRDefault="00E00803" w:rsidP="00E00803">
            <w:pPr>
              <w:spacing w:after="0" w:line="240" w:lineRule="auto"/>
              <w:rPr>
                <w:rFonts w:ascii="Times New Roman" w:eastAsia="Times New Roman" w:hAnsi="Times New Roman" w:cs="Times New Roman"/>
                <w:sz w:val="28"/>
                <w:szCs w:val="28"/>
                <w:lang w:eastAsia="lv-LV"/>
              </w:rPr>
            </w:pPr>
            <w:r w:rsidRPr="002E0C7A">
              <w:rPr>
                <w:rFonts w:ascii="Times New Roman" w:eastAsia="Times New Roman" w:hAnsi="Times New Roman" w:cs="Times New Roman"/>
                <w:sz w:val="28"/>
                <w:szCs w:val="28"/>
                <w:lang w:eastAsia="lv-LV"/>
              </w:rPr>
              <w:t>2.1. valsts pamatbudžets</w:t>
            </w:r>
          </w:p>
        </w:tc>
        <w:tc>
          <w:tcPr>
            <w:tcW w:w="574" w:type="pct"/>
            <w:tcBorders>
              <w:top w:val="outset" w:sz="6" w:space="0" w:color="414142"/>
              <w:left w:val="outset" w:sz="6" w:space="0" w:color="414142"/>
              <w:bottom w:val="outset" w:sz="6" w:space="0" w:color="414142"/>
              <w:right w:val="outset" w:sz="6" w:space="0" w:color="414142"/>
            </w:tcBorders>
            <w:shd w:val="clear" w:color="auto" w:fill="FFFFFF"/>
          </w:tcPr>
          <w:p w14:paraId="27E25B56" w14:textId="6FBCEA9D" w:rsidR="00E00803" w:rsidRPr="002E0C7A" w:rsidRDefault="00E00803" w:rsidP="00E00803">
            <w:pPr>
              <w:spacing w:after="0" w:line="240" w:lineRule="auto"/>
              <w:rPr>
                <w:rFonts w:ascii="Times New Roman" w:eastAsia="Times New Roman" w:hAnsi="Times New Roman" w:cs="Times New Roman"/>
                <w:sz w:val="28"/>
                <w:szCs w:val="28"/>
                <w:lang w:eastAsia="lv-LV"/>
              </w:rPr>
            </w:pPr>
            <w:r w:rsidRPr="00436EF0">
              <w:rPr>
                <w:rFonts w:ascii="Times New Roman" w:eastAsia="Times New Roman" w:hAnsi="Times New Roman" w:cs="Times New Roman"/>
                <w:sz w:val="28"/>
                <w:szCs w:val="28"/>
                <w:lang w:eastAsia="lv-LV"/>
              </w:rPr>
              <w:t>183 800</w:t>
            </w:r>
          </w:p>
        </w:tc>
        <w:tc>
          <w:tcPr>
            <w:tcW w:w="816" w:type="pct"/>
            <w:tcBorders>
              <w:top w:val="outset" w:sz="6" w:space="0" w:color="414142"/>
              <w:left w:val="outset" w:sz="6" w:space="0" w:color="414142"/>
              <w:bottom w:val="outset" w:sz="6" w:space="0" w:color="414142"/>
              <w:right w:val="outset" w:sz="6" w:space="0" w:color="414142"/>
            </w:tcBorders>
            <w:shd w:val="clear" w:color="auto" w:fill="FFFFFF"/>
          </w:tcPr>
          <w:p w14:paraId="31D6A8A4" w14:textId="2BFC831D" w:rsidR="00E00803" w:rsidRPr="002E0C7A" w:rsidRDefault="00E00803" w:rsidP="00E00803">
            <w:pPr>
              <w:spacing w:after="0" w:line="240" w:lineRule="auto"/>
              <w:rPr>
                <w:rFonts w:ascii="Times New Roman" w:eastAsia="Times New Roman" w:hAnsi="Times New Roman" w:cs="Times New Roman"/>
                <w:sz w:val="28"/>
                <w:szCs w:val="28"/>
                <w:lang w:eastAsia="lv-LV"/>
              </w:rPr>
            </w:pPr>
            <w:r w:rsidRPr="002E0C7A">
              <w:rPr>
                <w:rFonts w:ascii="Times New Roman" w:eastAsia="Times New Roman" w:hAnsi="Times New Roman" w:cs="Times New Roman"/>
                <w:sz w:val="28"/>
                <w:szCs w:val="28"/>
                <w:lang w:eastAsia="lv-LV"/>
              </w:rPr>
              <w:t>0</w:t>
            </w:r>
          </w:p>
        </w:tc>
        <w:tc>
          <w:tcPr>
            <w:tcW w:w="634" w:type="pct"/>
            <w:tcBorders>
              <w:top w:val="outset" w:sz="6" w:space="0" w:color="414142"/>
              <w:left w:val="outset" w:sz="6" w:space="0" w:color="414142"/>
              <w:bottom w:val="outset" w:sz="6" w:space="0" w:color="414142"/>
              <w:right w:val="outset" w:sz="6" w:space="0" w:color="414142"/>
            </w:tcBorders>
            <w:shd w:val="clear" w:color="auto" w:fill="FFFFFF"/>
          </w:tcPr>
          <w:p w14:paraId="1310707A" w14:textId="2C454D26" w:rsidR="00E00803" w:rsidRPr="002E0C7A" w:rsidRDefault="00E00803" w:rsidP="00E00803">
            <w:pPr>
              <w:spacing w:after="0" w:line="240" w:lineRule="auto"/>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0</w:t>
            </w:r>
          </w:p>
        </w:tc>
        <w:tc>
          <w:tcPr>
            <w:tcW w:w="634" w:type="pct"/>
            <w:tcBorders>
              <w:top w:val="outset" w:sz="6" w:space="0" w:color="414142"/>
              <w:left w:val="outset" w:sz="6" w:space="0" w:color="414142"/>
              <w:bottom w:val="outset" w:sz="6" w:space="0" w:color="414142"/>
              <w:right w:val="outset" w:sz="6" w:space="0" w:color="414142"/>
            </w:tcBorders>
            <w:shd w:val="clear" w:color="auto" w:fill="FFFFFF"/>
          </w:tcPr>
          <w:p w14:paraId="78B7A413" w14:textId="0FE92993" w:rsidR="00E00803" w:rsidRPr="002E0C7A" w:rsidRDefault="00E00803" w:rsidP="00E00803">
            <w:pPr>
              <w:spacing w:after="0" w:line="240" w:lineRule="auto"/>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0</w:t>
            </w:r>
          </w:p>
        </w:tc>
        <w:tc>
          <w:tcPr>
            <w:tcW w:w="771" w:type="pct"/>
            <w:tcBorders>
              <w:top w:val="outset" w:sz="6" w:space="0" w:color="414142"/>
              <w:left w:val="outset" w:sz="6" w:space="0" w:color="414142"/>
              <w:bottom w:val="outset" w:sz="6" w:space="0" w:color="414142"/>
              <w:right w:val="outset" w:sz="6" w:space="0" w:color="414142"/>
            </w:tcBorders>
            <w:shd w:val="clear" w:color="auto" w:fill="FFFFFF"/>
          </w:tcPr>
          <w:p w14:paraId="381E701A" w14:textId="583F7B14" w:rsidR="00E00803" w:rsidRPr="002E0C7A" w:rsidRDefault="00E00803" w:rsidP="00E00803">
            <w:pPr>
              <w:spacing w:after="0" w:line="240" w:lineRule="auto"/>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0</w:t>
            </w:r>
          </w:p>
        </w:tc>
      </w:tr>
      <w:tr w:rsidR="00E00803" w:rsidRPr="002E0C7A" w14:paraId="2F91204F" w14:textId="77777777" w:rsidTr="00282ADE">
        <w:tc>
          <w:tcPr>
            <w:tcW w:w="1571" w:type="pct"/>
            <w:tcBorders>
              <w:top w:val="outset" w:sz="6" w:space="0" w:color="414142"/>
              <w:left w:val="outset" w:sz="6" w:space="0" w:color="414142"/>
              <w:bottom w:val="outset" w:sz="6" w:space="0" w:color="414142"/>
              <w:right w:val="outset" w:sz="6" w:space="0" w:color="414142"/>
            </w:tcBorders>
            <w:shd w:val="clear" w:color="auto" w:fill="FFFFFF"/>
            <w:hideMark/>
          </w:tcPr>
          <w:p w14:paraId="056D9193" w14:textId="77777777" w:rsidR="00E00803" w:rsidRPr="002E0C7A" w:rsidRDefault="00E00803" w:rsidP="00E00803">
            <w:pPr>
              <w:spacing w:after="0" w:line="240" w:lineRule="auto"/>
              <w:rPr>
                <w:rFonts w:ascii="Times New Roman" w:eastAsia="Times New Roman" w:hAnsi="Times New Roman" w:cs="Times New Roman"/>
                <w:sz w:val="28"/>
                <w:szCs w:val="28"/>
                <w:lang w:eastAsia="lv-LV"/>
              </w:rPr>
            </w:pPr>
            <w:r w:rsidRPr="002E0C7A">
              <w:rPr>
                <w:rFonts w:ascii="Times New Roman" w:eastAsia="Times New Roman" w:hAnsi="Times New Roman" w:cs="Times New Roman"/>
                <w:sz w:val="28"/>
                <w:szCs w:val="28"/>
                <w:lang w:eastAsia="lv-LV"/>
              </w:rPr>
              <w:t>2.2. valsts speciālais budžets</w:t>
            </w:r>
          </w:p>
        </w:tc>
        <w:tc>
          <w:tcPr>
            <w:tcW w:w="574" w:type="pct"/>
            <w:tcBorders>
              <w:top w:val="outset" w:sz="6" w:space="0" w:color="414142"/>
              <w:left w:val="outset" w:sz="6" w:space="0" w:color="414142"/>
              <w:bottom w:val="outset" w:sz="6" w:space="0" w:color="414142"/>
              <w:right w:val="outset" w:sz="6" w:space="0" w:color="414142"/>
            </w:tcBorders>
            <w:shd w:val="clear" w:color="auto" w:fill="FFFFFF"/>
          </w:tcPr>
          <w:p w14:paraId="57766721" w14:textId="3A191E2B" w:rsidR="00E00803" w:rsidRPr="002E0C7A" w:rsidRDefault="00E00803" w:rsidP="00E00803">
            <w:pPr>
              <w:spacing w:after="0" w:line="240" w:lineRule="auto"/>
              <w:rPr>
                <w:rFonts w:ascii="Times New Roman" w:eastAsia="Times New Roman" w:hAnsi="Times New Roman" w:cs="Times New Roman"/>
                <w:sz w:val="28"/>
                <w:szCs w:val="28"/>
                <w:lang w:eastAsia="lv-LV"/>
              </w:rPr>
            </w:pPr>
            <w:r w:rsidRPr="002E0C7A">
              <w:rPr>
                <w:rFonts w:ascii="Times New Roman" w:eastAsia="Times New Roman" w:hAnsi="Times New Roman" w:cs="Times New Roman"/>
                <w:sz w:val="28"/>
                <w:szCs w:val="28"/>
                <w:lang w:eastAsia="lv-LV"/>
              </w:rPr>
              <w:t>0</w:t>
            </w:r>
          </w:p>
        </w:tc>
        <w:tc>
          <w:tcPr>
            <w:tcW w:w="816" w:type="pct"/>
            <w:tcBorders>
              <w:top w:val="outset" w:sz="6" w:space="0" w:color="414142"/>
              <w:left w:val="outset" w:sz="6" w:space="0" w:color="414142"/>
              <w:bottom w:val="outset" w:sz="6" w:space="0" w:color="414142"/>
              <w:right w:val="outset" w:sz="6" w:space="0" w:color="414142"/>
            </w:tcBorders>
            <w:shd w:val="clear" w:color="auto" w:fill="FFFFFF"/>
          </w:tcPr>
          <w:p w14:paraId="745F4CB2" w14:textId="554A39C4" w:rsidR="00E00803" w:rsidRPr="002E0C7A" w:rsidRDefault="00E00803" w:rsidP="00E00803">
            <w:pPr>
              <w:spacing w:after="0" w:line="240" w:lineRule="auto"/>
              <w:rPr>
                <w:rFonts w:ascii="Times New Roman" w:eastAsia="Times New Roman" w:hAnsi="Times New Roman" w:cs="Times New Roman"/>
                <w:sz w:val="28"/>
                <w:szCs w:val="28"/>
                <w:lang w:eastAsia="lv-LV"/>
              </w:rPr>
            </w:pPr>
            <w:r w:rsidRPr="002E0C7A">
              <w:rPr>
                <w:rFonts w:ascii="Times New Roman" w:eastAsia="Times New Roman" w:hAnsi="Times New Roman" w:cs="Times New Roman"/>
                <w:sz w:val="28"/>
                <w:szCs w:val="28"/>
                <w:lang w:eastAsia="lv-LV"/>
              </w:rPr>
              <w:t>0</w:t>
            </w:r>
          </w:p>
        </w:tc>
        <w:tc>
          <w:tcPr>
            <w:tcW w:w="634" w:type="pct"/>
            <w:tcBorders>
              <w:top w:val="outset" w:sz="6" w:space="0" w:color="414142"/>
              <w:left w:val="outset" w:sz="6" w:space="0" w:color="414142"/>
              <w:bottom w:val="outset" w:sz="6" w:space="0" w:color="414142"/>
              <w:right w:val="outset" w:sz="6" w:space="0" w:color="414142"/>
            </w:tcBorders>
            <w:shd w:val="clear" w:color="auto" w:fill="FFFFFF"/>
          </w:tcPr>
          <w:p w14:paraId="070E32EB" w14:textId="0C643D90" w:rsidR="00E00803" w:rsidRPr="002E0C7A" w:rsidRDefault="00E00803" w:rsidP="00E00803">
            <w:pPr>
              <w:spacing w:after="0" w:line="240" w:lineRule="auto"/>
              <w:rPr>
                <w:rFonts w:ascii="Times New Roman" w:eastAsia="Times New Roman" w:hAnsi="Times New Roman" w:cs="Times New Roman"/>
                <w:sz w:val="28"/>
                <w:szCs w:val="28"/>
                <w:lang w:eastAsia="lv-LV"/>
              </w:rPr>
            </w:pPr>
            <w:r w:rsidRPr="002E0C7A">
              <w:rPr>
                <w:rFonts w:ascii="Times New Roman" w:eastAsia="Times New Roman" w:hAnsi="Times New Roman" w:cs="Times New Roman"/>
                <w:sz w:val="28"/>
                <w:szCs w:val="28"/>
                <w:lang w:eastAsia="lv-LV"/>
              </w:rPr>
              <w:t>0</w:t>
            </w:r>
          </w:p>
        </w:tc>
        <w:tc>
          <w:tcPr>
            <w:tcW w:w="634" w:type="pct"/>
            <w:tcBorders>
              <w:top w:val="outset" w:sz="6" w:space="0" w:color="414142"/>
              <w:left w:val="outset" w:sz="6" w:space="0" w:color="414142"/>
              <w:bottom w:val="outset" w:sz="6" w:space="0" w:color="414142"/>
              <w:right w:val="outset" w:sz="6" w:space="0" w:color="414142"/>
            </w:tcBorders>
            <w:shd w:val="clear" w:color="auto" w:fill="FFFFFF"/>
          </w:tcPr>
          <w:p w14:paraId="46C4045D" w14:textId="4C0E053E" w:rsidR="00E00803" w:rsidRPr="002E0C7A" w:rsidRDefault="00E00803" w:rsidP="00E00803">
            <w:pPr>
              <w:spacing w:after="0" w:line="240" w:lineRule="auto"/>
              <w:rPr>
                <w:rFonts w:ascii="Times New Roman" w:eastAsia="Times New Roman" w:hAnsi="Times New Roman" w:cs="Times New Roman"/>
                <w:sz w:val="28"/>
                <w:szCs w:val="28"/>
                <w:lang w:eastAsia="lv-LV"/>
              </w:rPr>
            </w:pPr>
            <w:r w:rsidRPr="002E0C7A">
              <w:rPr>
                <w:rFonts w:ascii="Times New Roman" w:eastAsia="Times New Roman" w:hAnsi="Times New Roman" w:cs="Times New Roman"/>
                <w:sz w:val="28"/>
                <w:szCs w:val="28"/>
                <w:lang w:eastAsia="lv-LV"/>
              </w:rPr>
              <w:t>0</w:t>
            </w:r>
          </w:p>
        </w:tc>
        <w:tc>
          <w:tcPr>
            <w:tcW w:w="771" w:type="pct"/>
            <w:tcBorders>
              <w:top w:val="outset" w:sz="6" w:space="0" w:color="414142"/>
              <w:left w:val="outset" w:sz="6" w:space="0" w:color="414142"/>
              <w:bottom w:val="outset" w:sz="6" w:space="0" w:color="414142"/>
              <w:right w:val="outset" w:sz="6" w:space="0" w:color="414142"/>
            </w:tcBorders>
            <w:shd w:val="clear" w:color="auto" w:fill="FFFFFF"/>
          </w:tcPr>
          <w:p w14:paraId="68E836F4" w14:textId="09F9A263" w:rsidR="00E00803" w:rsidRPr="002E0C7A" w:rsidRDefault="00E00803" w:rsidP="00E00803">
            <w:pPr>
              <w:spacing w:after="0" w:line="240" w:lineRule="auto"/>
              <w:rPr>
                <w:rFonts w:ascii="Times New Roman" w:eastAsia="Times New Roman" w:hAnsi="Times New Roman" w:cs="Times New Roman"/>
                <w:sz w:val="28"/>
                <w:szCs w:val="28"/>
                <w:lang w:eastAsia="lv-LV"/>
              </w:rPr>
            </w:pPr>
            <w:r w:rsidRPr="002E0C7A">
              <w:rPr>
                <w:rFonts w:ascii="Times New Roman" w:eastAsia="Times New Roman" w:hAnsi="Times New Roman" w:cs="Times New Roman"/>
                <w:sz w:val="28"/>
                <w:szCs w:val="28"/>
                <w:lang w:eastAsia="lv-LV"/>
              </w:rPr>
              <w:t>0</w:t>
            </w:r>
          </w:p>
        </w:tc>
      </w:tr>
      <w:tr w:rsidR="00E00803" w:rsidRPr="002E0C7A" w14:paraId="28A03382" w14:textId="77777777" w:rsidTr="00282ADE">
        <w:tc>
          <w:tcPr>
            <w:tcW w:w="1571" w:type="pct"/>
            <w:tcBorders>
              <w:top w:val="outset" w:sz="6" w:space="0" w:color="414142"/>
              <w:left w:val="outset" w:sz="6" w:space="0" w:color="414142"/>
              <w:bottom w:val="outset" w:sz="6" w:space="0" w:color="414142"/>
              <w:right w:val="outset" w:sz="6" w:space="0" w:color="414142"/>
            </w:tcBorders>
            <w:shd w:val="clear" w:color="auto" w:fill="FFFFFF"/>
            <w:hideMark/>
          </w:tcPr>
          <w:p w14:paraId="6D913F3A" w14:textId="77777777" w:rsidR="00E00803" w:rsidRPr="002E0C7A" w:rsidRDefault="00E00803" w:rsidP="00E00803">
            <w:pPr>
              <w:spacing w:after="0" w:line="240" w:lineRule="auto"/>
              <w:rPr>
                <w:rFonts w:ascii="Times New Roman" w:eastAsia="Times New Roman" w:hAnsi="Times New Roman" w:cs="Times New Roman"/>
                <w:sz w:val="28"/>
                <w:szCs w:val="28"/>
                <w:lang w:eastAsia="lv-LV"/>
              </w:rPr>
            </w:pPr>
            <w:r w:rsidRPr="002E0C7A">
              <w:rPr>
                <w:rFonts w:ascii="Times New Roman" w:eastAsia="Times New Roman" w:hAnsi="Times New Roman" w:cs="Times New Roman"/>
                <w:sz w:val="28"/>
                <w:szCs w:val="28"/>
                <w:lang w:eastAsia="lv-LV"/>
              </w:rPr>
              <w:t>2.3. pašvaldību budžets</w:t>
            </w:r>
          </w:p>
        </w:tc>
        <w:tc>
          <w:tcPr>
            <w:tcW w:w="574" w:type="pct"/>
            <w:tcBorders>
              <w:top w:val="outset" w:sz="6" w:space="0" w:color="414142"/>
              <w:left w:val="outset" w:sz="6" w:space="0" w:color="414142"/>
              <w:bottom w:val="outset" w:sz="6" w:space="0" w:color="414142"/>
              <w:right w:val="outset" w:sz="6" w:space="0" w:color="414142"/>
            </w:tcBorders>
            <w:shd w:val="clear" w:color="auto" w:fill="FFFFFF"/>
          </w:tcPr>
          <w:p w14:paraId="78338DAD" w14:textId="0C0E60B5" w:rsidR="00E00803" w:rsidRPr="002E0C7A" w:rsidRDefault="00E00803" w:rsidP="00E00803">
            <w:pPr>
              <w:spacing w:after="0" w:line="240" w:lineRule="auto"/>
              <w:rPr>
                <w:rFonts w:ascii="Times New Roman" w:eastAsia="Times New Roman" w:hAnsi="Times New Roman" w:cs="Times New Roman"/>
                <w:sz w:val="28"/>
                <w:szCs w:val="28"/>
                <w:lang w:eastAsia="lv-LV"/>
              </w:rPr>
            </w:pPr>
            <w:r w:rsidRPr="002E0C7A">
              <w:rPr>
                <w:rFonts w:ascii="Times New Roman" w:eastAsia="Times New Roman" w:hAnsi="Times New Roman" w:cs="Times New Roman"/>
                <w:sz w:val="28"/>
                <w:szCs w:val="28"/>
                <w:lang w:eastAsia="lv-LV"/>
              </w:rPr>
              <w:t>0</w:t>
            </w:r>
          </w:p>
        </w:tc>
        <w:tc>
          <w:tcPr>
            <w:tcW w:w="816" w:type="pct"/>
            <w:tcBorders>
              <w:top w:val="outset" w:sz="6" w:space="0" w:color="414142"/>
              <w:left w:val="outset" w:sz="6" w:space="0" w:color="414142"/>
              <w:bottom w:val="outset" w:sz="6" w:space="0" w:color="414142"/>
              <w:right w:val="outset" w:sz="6" w:space="0" w:color="414142"/>
            </w:tcBorders>
            <w:shd w:val="clear" w:color="auto" w:fill="FFFFFF"/>
          </w:tcPr>
          <w:p w14:paraId="6CCF1E8E" w14:textId="154538E7" w:rsidR="00E00803" w:rsidRPr="002E0C7A" w:rsidRDefault="00E00803" w:rsidP="00E00803">
            <w:pPr>
              <w:spacing w:after="0" w:line="240" w:lineRule="auto"/>
              <w:rPr>
                <w:rFonts w:ascii="Times New Roman" w:eastAsia="Times New Roman" w:hAnsi="Times New Roman" w:cs="Times New Roman"/>
                <w:sz w:val="28"/>
                <w:szCs w:val="28"/>
                <w:lang w:eastAsia="lv-LV"/>
              </w:rPr>
            </w:pPr>
            <w:r w:rsidRPr="002E0C7A">
              <w:rPr>
                <w:rFonts w:ascii="Times New Roman" w:eastAsia="Times New Roman" w:hAnsi="Times New Roman" w:cs="Times New Roman"/>
                <w:sz w:val="28"/>
                <w:szCs w:val="28"/>
                <w:lang w:eastAsia="lv-LV"/>
              </w:rPr>
              <w:t>0</w:t>
            </w:r>
          </w:p>
        </w:tc>
        <w:tc>
          <w:tcPr>
            <w:tcW w:w="634" w:type="pct"/>
            <w:tcBorders>
              <w:top w:val="outset" w:sz="6" w:space="0" w:color="414142"/>
              <w:left w:val="outset" w:sz="6" w:space="0" w:color="414142"/>
              <w:bottom w:val="outset" w:sz="6" w:space="0" w:color="414142"/>
              <w:right w:val="outset" w:sz="6" w:space="0" w:color="414142"/>
            </w:tcBorders>
            <w:shd w:val="clear" w:color="auto" w:fill="FFFFFF"/>
          </w:tcPr>
          <w:p w14:paraId="60D41F66" w14:textId="18B285F8" w:rsidR="00E00803" w:rsidRPr="002E0C7A" w:rsidRDefault="00E00803" w:rsidP="00E00803">
            <w:pPr>
              <w:spacing w:after="0" w:line="240" w:lineRule="auto"/>
              <w:rPr>
                <w:rFonts w:ascii="Times New Roman" w:eastAsia="Times New Roman" w:hAnsi="Times New Roman" w:cs="Times New Roman"/>
                <w:sz w:val="28"/>
                <w:szCs w:val="28"/>
                <w:lang w:eastAsia="lv-LV"/>
              </w:rPr>
            </w:pPr>
            <w:r w:rsidRPr="002E0C7A">
              <w:rPr>
                <w:rFonts w:ascii="Times New Roman" w:eastAsia="Times New Roman" w:hAnsi="Times New Roman" w:cs="Times New Roman"/>
                <w:sz w:val="28"/>
                <w:szCs w:val="28"/>
                <w:lang w:eastAsia="lv-LV"/>
              </w:rPr>
              <w:t>0</w:t>
            </w:r>
          </w:p>
        </w:tc>
        <w:tc>
          <w:tcPr>
            <w:tcW w:w="634" w:type="pct"/>
            <w:tcBorders>
              <w:top w:val="outset" w:sz="6" w:space="0" w:color="414142"/>
              <w:left w:val="outset" w:sz="6" w:space="0" w:color="414142"/>
              <w:bottom w:val="outset" w:sz="6" w:space="0" w:color="414142"/>
              <w:right w:val="outset" w:sz="6" w:space="0" w:color="414142"/>
            </w:tcBorders>
            <w:shd w:val="clear" w:color="auto" w:fill="FFFFFF"/>
          </w:tcPr>
          <w:p w14:paraId="44C588F6" w14:textId="4DB170FD" w:rsidR="00E00803" w:rsidRPr="002E0C7A" w:rsidRDefault="00E00803" w:rsidP="00E00803">
            <w:pPr>
              <w:spacing w:after="0" w:line="240" w:lineRule="auto"/>
              <w:rPr>
                <w:rFonts w:ascii="Times New Roman" w:eastAsia="Times New Roman" w:hAnsi="Times New Roman" w:cs="Times New Roman"/>
                <w:sz w:val="28"/>
                <w:szCs w:val="28"/>
                <w:lang w:eastAsia="lv-LV"/>
              </w:rPr>
            </w:pPr>
            <w:r w:rsidRPr="002E0C7A">
              <w:rPr>
                <w:rFonts w:ascii="Times New Roman" w:eastAsia="Times New Roman" w:hAnsi="Times New Roman" w:cs="Times New Roman"/>
                <w:sz w:val="28"/>
                <w:szCs w:val="28"/>
                <w:lang w:eastAsia="lv-LV"/>
              </w:rPr>
              <w:t>0</w:t>
            </w:r>
          </w:p>
        </w:tc>
        <w:tc>
          <w:tcPr>
            <w:tcW w:w="771" w:type="pct"/>
            <w:tcBorders>
              <w:top w:val="outset" w:sz="6" w:space="0" w:color="414142"/>
              <w:left w:val="outset" w:sz="6" w:space="0" w:color="414142"/>
              <w:bottom w:val="outset" w:sz="6" w:space="0" w:color="414142"/>
              <w:right w:val="outset" w:sz="6" w:space="0" w:color="414142"/>
            </w:tcBorders>
            <w:shd w:val="clear" w:color="auto" w:fill="FFFFFF"/>
          </w:tcPr>
          <w:p w14:paraId="69241756" w14:textId="14C4277A" w:rsidR="00E00803" w:rsidRPr="002E0C7A" w:rsidRDefault="00E00803" w:rsidP="00E00803">
            <w:pPr>
              <w:spacing w:after="0" w:line="240" w:lineRule="auto"/>
              <w:rPr>
                <w:rFonts w:ascii="Times New Roman" w:eastAsia="Times New Roman" w:hAnsi="Times New Roman" w:cs="Times New Roman"/>
                <w:sz w:val="28"/>
                <w:szCs w:val="28"/>
                <w:lang w:eastAsia="lv-LV"/>
              </w:rPr>
            </w:pPr>
            <w:r w:rsidRPr="002E0C7A">
              <w:rPr>
                <w:rFonts w:ascii="Times New Roman" w:eastAsia="Times New Roman" w:hAnsi="Times New Roman" w:cs="Times New Roman"/>
                <w:sz w:val="28"/>
                <w:szCs w:val="28"/>
                <w:lang w:eastAsia="lv-LV"/>
              </w:rPr>
              <w:t>0</w:t>
            </w:r>
          </w:p>
        </w:tc>
      </w:tr>
      <w:tr w:rsidR="00E00803" w:rsidRPr="002E0C7A" w14:paraId="55027C64" w14:textId="77777777" w:rsidTr="00282ADE">
        <w:tc>
          <w:tcPr>
            <w:tcW w:w="1571" w:type="pct"/>
            <w:tcBorders>
              <w:top w:val="outset" w:sz="6" w:space="0" w:color="414142"/>
              <w:left w:val="outset" w:sz="6" w:space="0" w:color="414142"/>
              <w:bottom w:val="outset" w:sz="6" w:space="0" w:color="414142"/>
              <w:right w:val="outset" w:sz="6" w:space="0" w:color="414142"/>
            </w:tcBorders>
            <w:shd w:val="clear" w:color="auto" w:fill="FFFFFF"/>
            <w:hideMark/>
          </w:tcPr>
          <w:p w14:paraId="24E4BFF8" w14:textId="77777777" w:rsidR="00E00803" w:rsidRPr="002E0C7A" w:rsidRDefault="00E00803" w:rsidP="00E00803">
            <w:pPr>
              <w:spacing w:after="0" w:line="240" w:lineRule="auto"/>
              <w:rPr>
                <w:rFonts w:ascii="Times New Roman" w:eastAsia="Times New Roman" w:hAnsi="Times New Roman" w:cs="Times New Roman"/>
                <w:sz w:val="28"/>
                <w:szCs w:val="28"/>
                <w:lang w:eastAsia="lv-LV"/>
              </w:rPr>
            </w:pPr>
            <w:r w:rsidRPr="002E0C7A">
              <w:rPr>
                <w:rFonts w:ascii="Times New Roman" w:eastAsia="Times New Roman" w:hAnsi="Times New Roman" w:cs="Times New Roman"/>
                <w:sz w:val="28"/>
                <w:szCs w:val="28"/>
                <w:lang w:eastAsia="lv-LV"/>
              </w:rPr>
              <w:t>3. Finansiālā ietekme:</w:t>
            </w:r>
          </w:p>
        </w:tc>
        <w:tc>
          <w:tcPr>
            <w:tcW w:w="574"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76A55A58" w14:textId="49679028" w:rsidR="00E00803" w:rsidRPr="002E0C7A" w:rsidRDefault="00E00803" w:rsidP="00E00803">
            <w:pPr>
              <w:spacing w:after="0" w:line="240" w:lineRule="auto"/>
              <w:rPr>
                <w:rFonts w:ascii="Times New Roman" w:eastAsia="Times New Roman" w:hAnsi="Times New Roman" w:cs="Times New Roman"/>
                <w:b/>
                <w:sz w:val="28"/>
                <w:szCs w:val="28"/>
                <w:lang w:eastAsia="lv-LV"/>
              </w:rPr>
            </w:pPr>
            <w:r>
              <w:rPr>
                <w:rFonts w:ascii="Times New Roman" w:eastAsia="Times New Roman" w:hAnsi="Times New Roman" w:cs="Times New Roman"/>
                <w:b/>
                <w:sz w:val="28"/>
                <w:szCs w:val="28"/>
                <w:lang w:eastAsia="lv-LV"/>
              </w:rPr>
              <w:t>627 025</w:t>
            </w:r>
          </w:p>
        </w:tc>
        <w:tc>
          <w:tcPr>
            <w:tcW w:w="816" w:type="pct"/>
            <w:tcBorders>
              <w:top w:val="outset" w:sz="6" w:space="0" w:color="414142"/>
              <w:left w:val="outset" w:sz="6" w:space="0" w:color="414142"/>
              <w:bottom w:val="outset" w:sz="6" w:space="0" w:color="414142"/>
              <w:right w:val="outset" w:sz="6" w:space="0" w:color="414142"/>
            </w:tcBorders>
            <w:shd w:val="clear" w:color="auto" w:fill="FFFFFF"/>
          </w:tcPr>
          <w:p w14:paraId="4087C639" w14:textId="44F9D24E" w:rsidR="00E00803" w:rsidRPr="002E0C7A" w:rsidRDefault="00E00803" w:rsidP="00E00803">
            <w:pPr>
              <w:spacing w:after="0" w:line="240" w:lineRule="auto"/>
              <w:rPr>
                <w:rFonts w:ascii="Times New Roman" w:eastAsia="Times New Roman" w:hAnsi="Times New Roman" w:cs="Times New Roman"/>
                <w:b/>
                <w:sz w:val="28"/>
                <w:szCs w:val="28"/>
                <w:lang w:eastAsia="lv-LV"/>
              </w:rPr>
            </w:pPr>
            <w:r w:rsidRPr="002E0C7A">
              <w:rPr>
                <w:rFonts w:ascii="Times New Roman" w:eastAsia="Times New Roman" w:hAnsi="Times New Roman" w:cs="Times New Roman"/>
                <w:b/>
                <w:sz w:val="28"/>
                <w:szCs w:val="28"/>
                <w:lang w:eastAsia="lv-LV"/>
              </w:rPr>
              <w:t>0</w:t>
            </w:r>
          </w:p>
        </w:tc>
        <w:tc>
          <w:tcPr>
            <w:tcW w:w="634" w:type="pct"/>
            <w:tcBorders>
              <w:top w:val="outset" w:sz="6" w:space="0" w:color="414142"/>
              <w:left w:val="outset" w:sz="6" w:space="0" w:color="414142"/>
              <w:bottom w:val="outset" w:sz="6" w:space="0" w:color="414142"/>
              <w:right w:val="outset" w:sz="6" w:space="0" w:color="414142"/>
            </w:tcBorders>
            <w:shd w:val="clear" w:color="auto" w:fill="FFFFFF"/>
          </w:tcPr>
          <w:p w14:paraId="33CC540C" w14:textId="5C50A38A" w:rsidR="00E00803" w:rsidRPr="002E0C7A" w:rsidRDefault="00E00803" w:rsidP="00E00803">
            <w:pPr>
              <w:spacing w:after="0" w:line="240" w:lineRule="auto"/>
              <w:rPr>
                <w:rFonts w:ascii="Times New Roman" w:eastAsia="Times New Roman" w:hAnsi="Times New Roman" w:cs="Times New Roman"/>
                <w:b/>
                <w:sz w:val="28"/>
                <w:szCs w:val="28"/>
                <w:lang w:eastAsia="lv-LV"/>
              </w:rPr>
            </w:pPr>
            <w:r w:rsidRPr="00F202D9">
              <w:rPr>
                <w:rFonts w:ascii="Times New Roman" w:eastAsia="Times New Roman" w:hAnsi="Times New Roman" w:cs="Times New Roman"/>
                <w:b/>
                <w:sz w:val="28"/>
                <w:szCs w:val="28"/>
                <w:lang w:eastAsia="lv-LV"/>
              </w:rPr>
              <w:t xml:space="preserve"> +14 225</w:t>
            </w:r>
          </w:p>
        </w:tc>
        <w:tc>
          <w:tcPr>
            <w:tcW w:w="634" w:type="pct"/>
            <w:tcBorders>
              <w:top w:val="outset" w:sz="6" w:space="0" w:color="414142"/>
              <w:left w:val="outset" w:sz="6" w:space="0" w:color="414142"/>
              <w:bottom w:val="outset" w:sz="6" w:space="0" w:color="414142"/>
              <w:right w:val="outset" w:sz="6" w:space="0" w:color="414142"/>
            </w:tcBorders>
            <w:shd w:val="clear" w:color="auto" w:fill="FFFFFF"/>
          </w:tcPr>
          <w:p w14:paraId="40C113F2" w14:textId="105EF026" w:rsidR="00E00803" w:rsidRPr="002E0C7A" w:rsidRDefault="00E00803" w:rsidP="00E00803">
            <w:pPr>
              <w:spacing w:after="0" w:line="240" w:lineRule="auto"/>
              <w:rPr>
                <w:rFonts w:ascii="Times New Roman" w:eastAsia="Times New Roman" w:hAnsi="Times New Roman" w:cs="Times New Roman"/>
                <w:b/>
                <w:sz w:val="28"/>
                <w:szCs w:val="28"/>
                <w:lang w:eastAsia="lv-LV"/>
              </w:rPr>
            </w:pPr>
            <w:r>
              <w:rPr>
                <w:rFonts w:ascii="Times New Roman" w:eastAsia="Times New Roman" w:hAnsi="Times New Roman" w:cs="Times New Roman"/>
                <w:b/>
                <w:sz w:val="28"/>
                <w:szCs w:val="28"/>
                <w:lang w:eastAsia="lv-LV"/>
              </w:rPr>
              <w:t>+42 675</w:t>
            </w:r>
          </w:p>
        </w:tc>
        <w:tc>
          <w:tcPr>
            <w:tcW w:w="771" w:type="pct"/>
            <w:tcBorders>
              <w:top w:val="outset" w:sz="6" w:space="0" w:color="414142"/>
              <w:left w:val="outset" w:sz="6" w:space="0" w:color="414142"/>
              <w:bottom w:val="outset" w:sz="6" w:space="0" w:color="414142"/>
              <w:right w:val="outset" w:sz="6" w:space="0" w:color="414142"/>
            </w:tcBorders>
            <w:shd w:val="clear" w:color="auto" w:fill="FFFFFF"/>
          </w:tcPr>
          <w:p w14:paraId="4A26FE9C" w14:textId="313911E5" w:rsidR="00E00803" w:rsidRPr="002E0C7A" w:rsidRDefault="00E00803" w:rsidP="00E00803">
            <w:pPr>
              <w:spacing w:after="0" w:line="240" w:lineRule="auto"/>
              <w:rPr>
                <w:rFonts w:ascii="Times New Roman" w:eastAsia="Times New Roman" w:hAnsi="Times New Roman" w:cs="Times New Roman"/>
                <w:b/>
                <w:sz w:val="28"/>
                <w:szCs w:val="28"/>
                <w:lang w:eastAsia="lv-LV"/>
              </w:rPr>
            </w:pPr>
            <w:r w:rsidRPr="00F202D9">
              <w:rPr>
                <w:rFonts w:ascii="Times New Roman" w:eastAsia="Times New Roman" w:hAnsi="Times New Roman" w:cs="Times New Roman"/>
                <w:b/>
                <w:sz w:val="28"/>
                <w:szCs w:val="28"/>
                <w:lang w:eastAsia="lv-LV"/>
              </w:rPr>
              <w:t> +</w:t>
            </w:r>
            <w:r>
              <w:rPr>
                <w:rFonts w:ascii="Times New Roman" w:eastAsia="Times New Roman" w:hAnsi="Times New Roman" w:cs="Times New Roman"/>
                <w:b/>
                <w:sz w:val="28"/>
                <w:szCs w:val="28"/>
                <w:lang w:eastAsia="lv-LV"/>
              </w:rPr>
              <w:t>56</w:t>
            </w:r>
            <w:r w:rsidRPr="00F202D9">
              <w:rPr>
                <w:rFonts w:ascii="Times New Roman" w:eastAsia="Times New Roman" w:hAnsi="Times New Roman" w:cs="Times New Roman"/>
                <w:b/>
                <w:sz w:val="28"/>
                <w:szCs w:val="28"/>
                <w:lang w:eastAsia="lv-LV"/>
              </w:rPr>
              <w:t xml:space="preserve"> </w:t>
            </w:r>
            <w:r>
              <w:rPr>
                <w:rFonts w:ascii="Times New Roman" w:eastAsia="Times New Roman" w:hAnsi="Times New Roman" w:cs="Times New Roman"/>
                <w:b/>
                <w:sz w:val="28"/>
                <w:szCs w:val="28"/>
                <w:lang w:eastAsia="lv-LV"/>
              </w:rPr>
              <w:t>900</w:t>
            </w:r>
          </w:p>
        </w:tc>
      </w:tr>
      <w:tr w:rsidR="00E00803" w:rsidRPr="002E0C7A" w14:paraId="34EEFE88" w14:textId="77777777" w:rsidTr="00282ADE">
        <w:tc>
          <w:tcPr>
            <w:tcW w:w="1571" w:type="pct"/>
            <w:tcBorders>
              <w:top w:val="outset" w:sz="6" w:space="0" w:color="414142"/>
              <w:left w:val="outset" w:sz="6" w:space="0" w:color="414142"/>
              <w:bottom w:val="outset" w:sz="6" w:space="0" w:color="414142"/>
              <w:right w:val="outset" w:sz="6" w:space="0" w:color="414142"/>
            </w:tcBorders>
            <w:shd w:val="clear" w:color="auto" w:fill="FFFFFF"/>
            <w:hideMark/>
          </w:tcPr>
          <w:p w14:paraId="5B6ADA60" w14:textId="77777777" w:rsidR="00E00803" w:rsidRPr="002E0C7A" w:rsidRDefault="00E00803" w:rsidP="00E00803">
            <w:pPr>
              <w:spacing w:after="0" w:line="240" w:lineRule="auto"/>
              <w:rPr>
                <w:rFonts w:ascii="Times New Roman" w:eastAsia="Times New Roman" w:hAnsi="Times New Roman" w:cs="Times New Roman"/>
                <w:sz w:val="28"/>
                <w:szCs w:val="28"/>
                <w:lang w:eastAsia="lv-LV"/>
              </w:rPr>
            </w:pPr>
            <w:r w:rsidRPr="002E0C7A">
              <w:rPr>
                <w:rFonts w:ascii="Times New Roman" w:eastAsia="Times New Roman" w:hAnsi="Times New Roman" w:cs="Times New Roman"/>
                <w:sz w:val="28"/>
                <w:szCs w:val="28"/>
                <w:lang w:eastAsia="lv-LV"/>
              </w:rPr>
              <w:t>3.1. valsts pamatbudžets</w:t>
            </w:r>
          </w:p>
        </w:tc>
        <w:tc>
          <w:tcPr>
            <w:tcW w:w="574" w:type="pct"/>
            <w:tcBorders>
              <w:top w:val="outset" w:sz="6" w:space="0" w:color="414142"/>
              <w:left w:val="outset" w:sz="6" w:space="0" w:color="414142"/>
              <w:bottom w:val="outset" w:sz="6" w:space="0" w:color="414142"/>
              <w:right w:val="outset" w:sz="6" w:space="0" w:color="414142"/>
            </w:tcBorders>
            <w:shd w:val="clear" w:color="auto" w:fill="FFFFFF"/>
          </w:tcPr>
          <w:p w14:paraId="2D486ABF" w14:textId="6E0B6953" w:rsidR="00E00803" w:rsidRPr="002E0C7A" w:rsidRDefault="00E00803" w:rsidP="00E00803">
            <w:pPr>
              <w:spacing w:after="0" w:line="240" w:lineRule="auto"/>
              <w:rPr>
                <w:rFonts w:ascii="Times New Roman" w:eastAsia="Times New Roman" w:hAnsi="Times New Roman" w:cs="Times New Roman"/>
                <w:sz w:val="28"/>
                <w:szCs w:val="28"/>
                <w:lang w:eastAsia="lv-LV"/>
              </w:rPr>
            </w:pPr>
            <w:r w:rsidRPr="00CF47E8">
              <w:rPr>
                <w:rFonts w:ascii="Times New Roman" w:eastAsia="Times New Roman" w:hAnsi="Times New Roman" w:cs="Times New Roman"/>
                <w:sz w:val="28"/>
                <w:szCs w:val="28"/>
                <w:lang w:eastAsia="lv-LV"/>
              </w:rPr>
              <w:t>627 025</w:t>
            </w:r>
          </w:p>
        </w:tc>
        <w:tc>
          <w:tcPr>
            <w:tcW w:w="816" w:type="pct"/>
            <w:tcBorders>
              <w:top w:val="outset" w:sz="6" w:space="0" w:color="414142"/>
              <w:left w:val="outset" w:sz="6" w:space="0" w:color="414142"/>
              <w:bottom w:val="outset" w:sz="6" w:space="0" w:color="414142"/>
              <w:right w:val="outset" w:sz="6" w:space="0" w:color="414142"/>
            </w:tcBorders>
            <w:shd w:val="clear" w:color="auto" w:fill="FFFFFF"/>
          </w:tcPr>
          <w:p w14:paraId="4E33DB02" w14:textId="5F98CDAC" w:rsidR="00E00803" w:rsidRPr="002E0C7A" w:rsidRDefault="00E00803" w:rsidP="00E00803">
            <w:pPr>
              <w:spacing w:after="0" w:line="240" w:lineRule="auto"/>
              <w:rPr>
                <w:rFonts w:ascii="Times New Roman" w:eastAsia="Times New Roman" w:hAnsi="Times New Roman" w:cs="Times New Roman"/>
                <w:sz w:val="28"/>
                <w:szCs w:val="28"/>
                <w:lang w:eastAsia="lv-LV"/>
              </w:rPr>
            </w:pPr>
            <w:r w:rsidRPr="002E0C7A">
              <w:rPr>
                <w:rFonts w:ascii="Times New Roman" w:eastAsia="Times New Roman" w:hAnsi="Times New Roman" w:cs="Times New Roman"/>
                <w:sz w:val="28"/>
                <w:szCs w:val="28"/>
                <w:lang w:eastAsia="lv-LV"/>
              </w:rPr>
              <w:t>0</w:t>
            </w:r>
          </w:p>
        </w:tc>
        <w:tc>
          <w:tcPr>
            <w:tcW w:w="634" w:type="pct"/>
            <w:tcBorders>
              <w:top w:val="outset" w:sz="6" w:space="0" w:color="414142"/>
              <w:left w:val="outset" w:sz="6" w:space="0" w:color="414142"/>
              <w:bottom w:val="outset" w:sz="6" w:space="0" w:color="414142"/>
              <w:right w:val="outset" w:sz="6" w:space="0" w:color="414142"/>
            </w:tcBorders>
            <w:shd w:val="clear" w:color="auto" w:fill="FFFFFF"/>
          </w:tcPr>
          <w:p w14:paraId="3665A95A" w14:textId="088350AD" w:rsidR="00E00803" w:rsidRPr="002E0C7A" w:rsidRDefault="00E00803" w:rsidP="00E00803">
            <w:pPr>
              <w:spacing w:after="0" w:line="240" w:lineRule="auto"/>
              <w:rPr>
                <w:rFonts w:ascii="Times New Roman" w:eastAsia="Times New Roman" w:hAnsi="Times New Roman" w:cs="Times New Roman"/>
                <w:sz w:val="28"/>
                <w:szCs w:val="28"/>
                <w:lang w:eastAsia="lv-LV"/>
              </w:rPr>
            </w:pPr>
            <w:r w:rsidRPr="00F202D9">
              <w:rPr>
                <w:rFonts w:ascii="Times New Roman" w:eastAsia="Times New Roman" w:hAnsi="Times New Roman" w:cs="Times New Roman"/>
                <w:sz w:val="28"/>
                <w:szCs w:val="28"/>
                <w:lang w:eastAsia="lv-LV"/>
              </w:rPr>
              <w:t>+14 225</w:t>
            </w:r>
          </w:p>
        </w:tc>
        <w:tc>
          <w:tcPr>
            <w:tcW w:w="634" w:type="pct"/>
            <w:tcBorders>
              <w:top w:val="outset" w:sz="6" w:space="0" w:color="414142"/>
              <w:left w:val="outset" w:sz="6" w:space="0" w:color="414142"/>
              <w:bottom w:val="outset" w:sz="6" w:space="0" w:color="414142"/>
              <w:right w:val="outset" w:sz="6" w:space="0" w:color="414142"/>
            </w:tcBorders>
            <w:shd w:val="clear" w:color="auto" w:fill="FFFFFF"/>
          </w:tcPr>
          <w:p w14:paraId="751EC26D" w14:textId="06C2FE0B" w:rsidR="00E00803" w:rsidRPr="002E0C7A" w:rsidRDefault="00E00803" w:rsidP="00E00803">
            <w:pPr>
              <w:spacing w:after="0" w:line="240" w:lineRule="auto"/>
              <w:rPr>
                <w:rFonts w:ascii="Times New Roman" w:eastAsia="Times New Roman" w:hAnsi="Times New Roman" w:cs="Times New Roman"/>
                <w:sz w:val="28"/>
                <w:szCs w:val="28"/>
                <w:lang w:eastAsia="lv-LV"/>
              </w:rPr>
            </w:pPr>
            <w:r w:rsidRPr="001D43C8">
              <w:rPr>
                <w:rFonts w:ascii="Times New Roman" w:eastAsia="Times New Roman" w:hAnsi="Times New Roman" w:cs="Times New Roman"/>
                <w:sz w:val="28"/>
                <w:szCs w:val="28"/>
                <w:lang w:eastAsia="lv-LV"/>
              </w:rPr>
              <w:t>+42 675</w:t>
            </w:r>
          </w:p>
        </w:tc>
        <w:tc>
          <w:tcPr>
            <w:tcW w:w="771" w:type="pct"/>
            <w:tcBorders>
              <w:top w:val="outset" w:sz="6" w:space="0" w:color="414142"/>
              <w:left w:val="outset" w:sz="6" w:space="0" w:color="414142"/>
              <w:bottom w:val="outset" w:sz="6" w:space="0" w:color="414142"/>
              <w:right w:val="outset" w:sz="6" w:space="0" w:color="414142"/>
            </w:tcBorders>
            <w:shd w:val="clear" w:color="auto" w:fill="FFFFFF"/>
          </w:tcPr>
          <w:p w14:paraId="3815BC8B" w14:textId="5498743E" w:rsidR="00E00803" w:rsidRPr="002E0C7A" w:rsidRDefault="00E00803" w:rsidP="00E00803">
            <w:pPr>
              <w:spacing w:after="0" w:line="240" w:lineRule="auto"/>
              <w:rPr>
                <w:rFonts w:ascii="Times New Roman" w:eastAsia="Times New Roman" w:hAnsi="Times New Roman" w:cs="Times New Roman"/>
                <w:sz w:val="28"/>
                <w:szCs w:val="28"/>
                <w:lang w:eastAsia="lv-LV"/>
              </w:rPr>
            </w:pPr>
            <w:r w:rsidRPr="00F202D9">
              <w:rPr>
                <w:rFonts w:ascii="Times New Roman" w:eastAsia="Times New Roman" w:hAnsi="Times New Roman" w:cs="Times New Roman"/>
                <w:sz w:val="28"/>
                <w:szCs w:val="28"/>
                <w:lang w:eastAsia="lv-LV"/>
              </w:rPr>
              <w:t> </w:t>
            </w:r>
            <w:r w:rsidRPr="001D43C8">
              <w:rPr>
                <w:rFonts w:ascii="Times New Roman" w:eastAsia="Times New Roman" w:hAnsi="Times New Roman" w:cs="Times New Roman"/>
                <w:sz w:val="28"/>
                <w:szCs w:val="28"/>
                <w:lang w:eastAsia="lv-LV"/>
              </w:rPr>
              <w:t>+56 900</w:t>
            </w:r>
          </w:p>
        </w:tc>
      </w:tr>
      <w:tr w:rsidR="00E00803" w:rsidRPr="002E0C7A" w14:paraId="4D3ED3E5" w14:textId="77777777" w:rsidTr="00282ADE">
        <w:tc>
          <w:tcPr>
            <w:tcW w:w="1571" w:type="pct"/>
            <w:tcBorders>
              <w:top w:val="outset" w:sz="6" w:space="0" w:color="414142"/>
              <w:left w:val="outset" w:sz="6" w:space="0" w:color="414142"/>
              <w:bottom w:val="outset" w:sz="6" w:space="0" w:color="414142"/>
              <w:right w:val="outset" w:sz="6" w:space="0" w:color="414142"/>
            </w:tcBorders>
            <w:shd w:val="clear" w:color="auto" w:fill="FFFFFF"/>
            <w:hideMark/>
          </w:tcPr>
          <w:p w14:paraId="4FA77FAC" w14:textId="77777777" w:rsidR="00E00803" w:rsidRPr="002E0C7A" w:rsidRDefault="00E00803" w:rsidP="00E00803">
            <w:pPr>
              <w:spacing w:after="0" w:line="240" w:lineRule="auto"/>
              <w:rPr>
                <w:rFonts w:ascii="Times New Roman" w:eastAsia="Times New Roman" w:hAnsi="Times New Roman" w:cs="Times New Roman"/>
                <w:sz w:val="28"/>
                <w:szCs w:val="28"/>
                <w:lang w:eastAsia="lv-LV"/>
              </w:rPr>
            </w:pPr>
            <w:r w:rsidRPr="002E0C7A">
              <w:rPr>
                <w:rFonts w:ascii="Times New Roman" w:eastAsia="Times New Roman" w:hAnsi="Times New Roman" w:cs="Times New Roman"/>
                <w:sz w:val="28"/>
                <w:szCs w:val="28"/>
                <w:lang w:eastAsia="lv-LV"/>
              </w:rPr>
              <w:t>3.2. speciālais budžets</w:t>
            </w:r>
          </w:p>
        </w:tc>
        <w:tc>
          <w:tcPr>
            <w:tcW w:w="574" w:type="pct"/>
            <w:tcBorders>
              <w:top w:val="outset" w:sz="6" w:space="0" w:color="414142"/>
              <w:left w:val="outset" w:sz="6" w:space="0" w:color="414142"/>
              <w:bottom w:val="outset" w:sz="6" w:space="0" w:color="414142"/>
              <w:right w:val="outset" w:sz="6" w:space="0" w:color="414142"/>
            </w:tcBorders>
            <w:shd w:val="clear" w:color="auto" w:fill="FFFFFF"/>
          </w:tcPr>
          <w:p w14:paraId="67D9C246" w14:textId="44362DFE" w:rsidR="00E00803" w:rsidRPr="002E0C7A" w:rsidRDefault="00E00803" w:rsidP="00E00803">
            <w:pPr>
              <w:spacing w:after="0" w:line="240" w:lineRule="auto"/>
              <w:rPr>
                <w:rFonts w:ascii="Times New Roman" w:eastAsia="Times New Roman" w:hAnsi="Times New Roman" w:cs="Times New Roman"/>
                <w:sz w:val="28"/>
                <w:szCs w:val="28"/>
                <w:lang w:eastAsia="lv-LV"/>
              </w:rPr>
            </w:pPr>
            <w:r w:rsidRPr="002E0C7A">
              <w:rPr>
                <w:rFonts w:ascii="Times New Roman" w:eastAsia="Times New Roman" w:hAnsi="Times New Roman" w:cs="Times New Roman"/>
                <w:sz w:val="28"/>
                <w:szCs w:val="28"/>
                <w:lang w:eastAsia="lv-LV"/>
              </w:rPr>
              <w:t>0</w:t>
            </w:r>
          </w:p>
        </w:tc>
        <w:tc>
          <w:tcPr>
            <w:tcW w:w="816" w:type="pct"/>
            <w:tcBorders>
              <w:top w:val="outset" w:sz="6" w:space="0" w:color="414142"/>
              <w:left w:val="outset" w:sz="6" w:space="0" w:color="414142"/>
              <w:bottom w:val="outset" w:sz="6" w:space="0" w:color="414142"/>
              <w:right w:val="outset" w:sz="6" w:space="0" w:color="414142"/>
            </w:tcBorders>
            <w:shd w:val="clear" w:color="auto" w:fill="FFFFFF"/>
          </w:tcPr>
          <w:p w14:paraId="27FEDAA3" w14:textId="2E9DE3B9" w:rsidR="00E00803" w:rsidRPr="002E0C7A" w:rsidRDefault="00E00803" w:rsidP="00E00803">
            <w:pPr>
              <w:spacing w:after="0" w:line="240" w:lineRule="auto"/>
              <w:rPr>
                <w:rFonts w:ascii="Times New Roman" w:eastAsia="Times New Roman" w:hAnsi="Times New Roman" w:cs="Times New Roman"/>
                <w:sz w:val="28"/>
                <w:szCs w:val="28"/>
                <w:lang w:eastAsia="lv-LV"/>
              </w:rPr>
            </w:pPr>
            <w:r w:rsidRPr="002E0C7A">
              <w:rPr>
                <w:rFonts w:ascii="Times New Roman" w:eastAsia="Times New Roman" w:hAnsi="Times New Roman" w:cs="Times New Roman"/>
                <w:sz w:val="28"/>
                <w:szCs w:val="28"/>
                <w:lang w:eastAsia="lv-LV"/>
              </w:rPr>
              <w:t>0</w:t>
            </w:r>
          </w:p>
        </w:tc>
        <w:tc>
          <w:tcPr>
            <w:tcW w:w="634" w:type="pct"/>
            <w:tcBorders>
              <w:top w:val="outset" w:sz="6" w:space="0" w:color="414142"/>
              <w:left w:val="outset" w:sz="6" w:space="0" w:color="414142"/>
              <w:bottom w:val="outset" w:sz="6" w:space="0" w:color="414142"/>
              <w:right w:val="outset" w:sz="6" w:space="0" w:color="414142"/>
            </w:tcBorders>
            <w:shd w:val="clear" w:color="auto" w:fill="FFFFFF"/>
          </w:tcPr>
          <w:p w14:paraId="77166592" w14:textId="034C6125" w:rsidR="00E00803" w:rsidRPr="002E0C7A" w:rsidRDefault="00E00803" w:rsidP="00E00803">
            <w:pPr>
              <w:spacing w:after="0" w:line="240" w:lineRule="auto"/>
              <w:rPr>
                <w:rFonts w:ascii="Times New Roman" w:eastAsia="Times New Roman" w:hAnsi="Times New Roman" w:cs="Times New Roman"/>
                <w:sz w:val="28"/>
                <w:szCs w:val="28"/>
                <w:lang w:eastAsia="lv-LV"/>
              </w:rPr>
            </w:pPr>
            <w:r w:rsidRPr="002E0C7A">
              <w:rPr>
                <w:rFonts w:ascii="Times New Roman" w:eastAsia="Times New Roman" w:hAnsi="Times New Roman" w:cs="Times New Roman"/>
                <w:sz w:val="28"/>
                <w:szCs w:val="28"/>
                <w:lang w:eastAsia="lv-LV"/>
              </w:rPr>
              <w:t>0</w:t>
            </w:r>
          </w:p>
        </w:tc>
        <w:tc>
          <w:tcPr>
            <w:tcW w:w="634" w:type="pct"/>
            <w:tcBorders>
              <w:top w:val="outset" w:sz="6" w:space="0" w:color="414142"/>
              <w:left w:val="outset" w:sz="6" w:space="0" w:color="414142"/>
              <w:bottom w:val="outset" w:sz="6" w:space="0" w:color="414142"/>
              <w:right w:val="outset" w:sz="6" w:space="0" w:color="414142"/>
            </w:tcBorders>
            <w:shd w:val="clear" w:color="auto" w:fill="FFFFFF"/>
          </w:tcPr>
          <w:p w14:paraId="31438162" w14:textId="7CAE59AB" w:rsidR="00E00803" w:rsidRPr="002E0C7A" w:rsidRDefault="00E00803" w:rsidP="00E00803">
            <w:pPr>
              <w:spacing w:after="0" w:line="240" w:lineRule="auto"/>
              <w:rPr>
                <w:rFonts w:ascii="Times New Roman" w:eastAsia="Times New Roman" w:hAnsi="Times New Roman" w:cs="Times New Roman"/>
                <w:sz w:val="28"/>
                <w:szCs w:val="28"/>
                <w:lang w:eastAsia="lv-LV"/>
              </w:rPr>
            </w:pPr>
            <w:r w:rsidRPr="002E0C7A">
              <w:rPr>
                <w:rFonts w:ascii="Times New Roman" w:eastAsia="Times New Roman" w:hAnsi="Times New Roman" w:cs="Times New Roman"/>
                <w:sz w:val="28"/>
                <w:szCs w:val="28"/>
                <w:lang w:eastAsia="lv-LV"/>
              </w:rPr>
              <w:t>0</w:t>
            </w:r>
          </w:p>
        </w:tc>
        <w:tc>
          <w:tcPr>
            <w:tcW w:w="771" w:type="pct"/>
            <w:tcBorders>
              <w:top w:val="outset" w:sz="6" w:space="0" w:color="414142"/>
              <w:left w:val="outset" w:sz="6" w:space="0" w:color="414142"/>
              <w:bottom w:val="outset" w:sz="6" w:space="0" w:color="414142"/>
              <w:right w:val="outset" w:sz="6" w:space="0" w:color="414142"/>
            </w:tcBorders>
            <w:shd w:val="clear" w:color="auto" w:fill="FFFFFF"/>
          </w:tcPr>
          <w:p w14:paraId="05C76373" w14:textId="34B442C5" w:rsidR="00E00803" w:rsidRPr="002E0C7A" w:rsidRDefault="00E00803" w:rsidP="00E00803">
            <w:pPr>
              <w:spacing w:after="0" w:line="240" w:lineRule="auto"/>
              <w:rPr>
                <w:rFonts w:ascii="Times New Roman" w:eastAsia="Times New Roman" w:hAnsi="Times New Roman" w:cs="Times New Roman"/>
                <w:sz w:val="28"/>
                <w:szCs w:val="28"/>
                <w:lang w:eastAsia="lv-LV"/>
              </w:rPr>
            </w:pPr>
            <w:r w:rsidRPr="002E0C7A">
              <w:rPr>
                <w:rFonts w:ascii="Times New Roman" w:eastAsia="Times New Roman" w:hAnsi="Times New Roman" w:cs="Times New Roman"/>
                <w:sz w:val="28"/>
                <w:szCs w:val="28"/>
                <w:lang w:eastAsia="lv-LV"/>
              </w:rPr>
              <w:t>0</w:t>
            </w:r>
          </w:p>
        </w:tc>
      </w:tr>
      <w:tr w:rsidR="00E00803" w:rsidRPr="002E0C7A" w14:paraId="4FF2F1C8" w14:textId="77777777" w:rsidTr="00282ADE">
        <w:tc>
          <w:tcPr>
            <w:tcW w:w="1571" w:type="pct"/>
            <w:tcBorders>
              <w:top w:val="outset" w:sz="6" w:space="0" w:color="414142"/>
              <w:left w:val="outset" w:sz="6" w:space="0" w:color="414142"/>
              <w:bottom w:val="outset" w:sz="6" w:space="0" w:color="414142"/>
              <w:right w:val="outset" w:sz="6" w:space="0" w:color="414142"/>
            </w:tcBorders>
            <w:shd w:val="clear" w:color="auto" w:fill="FFFFFF"/>
            <w:hideMark/>
          </w:tcPr>
          <w:p w14:paraId="7E53DCF7" w14:textId="77777777" w:rsidR="00E00803" w:rsidRPr="002E0C7A" w:rsidRDefault="00E00803" w:rsidP="00E00803">
            <w:pPr>
              <w:spacing w:after="0" w:line="240" w:lineRule="auto"/>
              <w:rPr>
                <w:rFonts w:ascii="Times New Roman" w:eastAsia="Times New Roman" w:hAnsi="Times New Roman" w:cs="Times New Roman"/>
                <w:sz w:val="28"/>
                <w:szCs w:val="28"/>
                <w:lang w:eastAsia="lv-LV"/>
              </w:rPr>
            </w:pPr>
            <w:r w:rsidRPr="002E0C7A">
              <w:rPr>
                <w:rFonts w:ascii="Times New Roman" w:eastAsia="Times New Roman" w:hAnsi="Times New Roman" w:cs="Times New Roman"/>
                <w:sz w:val="28"/>
                <w:szCs w:val="28"/>
                <w:lang w:eastAsia="lv-LV"/>
              </w:rPr>
              <w:t>3.3. pašvaldību budžets</w:t>
            </w:r>
          </w:p>
        </w:tc>
        <w:tc>
          <w:tcPr>
            <w:tcW w:w="574" w:type="pct"/>
            <w:tcBorders>
              <w:top w:val="outset" w:sz="6" w:space="0" w:color="414142"/>
              <w:left w:val="outset" w:sz="6" w:space="0" w:color="414142"/>
              <w:bottom w:val="outset" w:sz="6" w:space="0" w:color="414142"/>
              <w:right w:val="outset" w:sz="6" w:space="0" w:color="414142"/>
            </w:tcBorders>
            <w:shd w:val="clear" w:color="auto" w:fill="FFFFFF"/>
          </w:tcPr>
          <w:p w14:paraId="7250FBB2" w14:textId="751C7C23" w:rsidR="00E00803" w:rsidRPr="002E0C7A" w:rsidRDefault="00E00803" w:rsidP="00E00803">
            <w:pPr>
              <w:spacing w:after="0" w:line="240" w:lineRule="auto"/>
              <w:rPr>
                <w:rFonts w:ascii="Times New Roman" w:eastAsia="Times New Roman" w:hAnsi="Times New Roman" w:cs="Times New Roman"/>
                <w:sz w:val="28"/>
                <w:szCs w:val="28"/>
                <w:lang w:eastAsia="lv-LV"/>
              </w:rPr>
            </w:pPr>
            <w:r w:rsidRPr="002E0C7A">
              <w:rPr>
                <w:rFonts w:ascii="Times New Roman" w:eastAsia="Times New Roman" w:hAnsi="Times New Roman" w:cs="Times New Roman"/>
                <w:sz w:val="28"/>
                <w:szCs w:val="28"/>
                <w:lang w:eastAsia="lv-LV"/>
              </w:rPr>
              <w:t>0</w:t>
            </w:r>
          </w:p>
        </w:tc>
        <w:tc>
          <w:tcPr>
            <w:tcW w:w="816" w:type="pct"/>
            <w:tcBorders>
              <w:top w:val="outset" w:sz="6" w:space="0" w:color="414142"/>
              <w:left w:val="outset" w:sz="6" w:space="0" w:color="414142"/>
              <w:bottom w:val="outset" w:sz="6" w:space="0" w:color="414142"/>
              <w:right w:val="outset" w:sz="6" w:space="0" w:color="414142"/>
            </w:tcBorders>
            <w:shd w:val="clear" w:color="auto" w:fill="FFFFFF"/>
          </w:tcPr>
          <w:p w14:paraId="27D4C132" w14:textId="20F19009" w:rsidR="00E00803" w:rsidRPr="002E0C7A" w:rsidRDefault="00E00803" w:rsidP="00E00803">
            <w:pPr>
              <w:spacing w:after="0" w:line="240" w:lineRule="auto"/>
              <w:rPr>
                <w:rFonts w:ascii="Times New Roman" w:eastAsia="Times New Roman" w:hAnsi="Times New Roman" w:cs="Times New Roman"/>
                <w:sz w:val="28"/>
                <w:szCs w:val="28"/>
                <w:lang w:eastAsia="lv-LV"/>
              </w:rPr>
            </w:pPr>
            <w:r w:rsidRPr="002E0C7A">
              <w:rPr>
                <w:rFonts w:ascii="Times New Roman" w:eastAsia="Times New Roman" w:hAnsi="Times New Roman" w:cs="Times New Roman"/>
                <w:sz w:val="28"/>
                <w:szCs w:val="28"/>
                <w:lang w:eastAsia="lv-LV"/>
              </w:rPr>
              <w:t>0</w:t>
            </w:r>
          </w:p>
        </w:tc>
        <w:tc>
          <w:tcPr>
            <w:tcW w:w="634" w:type="pct"/>
            <w:tcBorders>
              <w:top w:val="outset" w:sz="6" w:space="0" w:color="414142"/>
              <w:left w:val="outset" w:sz="6" w:space="0" w:color="414142"/>
              <w:bottom w:val="outset" w:sz="6" w:space="0" w:color="414142"/>
              <w:right w:val="outset" w:sz="6" w:space="0" w:color="414142"/>
            </w:tcBorders>
            <w:shd w:val="clear" w:color="auto" w:fill="FFFFFF"/>
          </w:tcPr>
          <w:p w14:paraId="28045370" w14:textId="2A6A7889" w:rsidR="00E00803" w:rsidRPr="002E0C7A" w:rsidRDefault="00E00803" w:rsidP="00E00803">
            <w:pPr>
              <w:spacing w:after="0" w:line="240" w:lineRule="auto"/>
              <w:rPr>
                <w:rFonts w:ascii="Times New Roman" w:eastAsia="Times New Roman" w:hAnsi="Times New Roman" w:cs="Times New Roman"/>
                <w:sz w:val="28"/>
                <w:szCs w:val="28"/>
                <w:lang w:eastAsia="lv-LV"/>
              </w:rPr>
            </w:pPr>
            <w:r w:rsidRPr="002E0C7A">
              <w:rPr>
                <w:rFonts w:ascii="Times New Roman" w:eastAsia="Times New Roman" w:hAnsi="Times New Roman" w:cs="Times New Roman"/>
                <w:sz w:val="28"/>
                <w:szCs w:val="28"/>
                <w:lang w:eastAsia="lv-LV"/>
              </w:rPr>
              <w:t>0</w:t>
            </w:r>
          </w:p>
        </w:tc>
        <w:tc>
          <w:tcPr>
            <w:tcW w:w="634" w:type="pct"/>
            <w:tcBorders>
              <w:top w:val="outset" w:sz="6" w:space="0" w:color="414142"/>
              <w:left w:val="outset" w:sz="6" w:space="0" w:color="414142"/>
              <w:bottom w:val="outset" w:sz="6" w:space="0" w:color="414142"/>
              <w:right w:val="outset" w:sz="6" w:space="0" w:color="414142"/>
            </w:tcBorders>
            <w:shd w:val="clear" w:color="auto" w:fill="FFFFFF"/>
          </w:tcPr>
          <w:p w14:paraId="4901B2F9" w14:textId="566E1A4C" w:rsidR="00E00803" w:rsidRPr="002E0C7A" w:rsidRDefault="00E00803" w:rsidP="00E00803">
            <w:pPr>
              <w:spacing w:after="0" w:line="240" w:lineRule="auto"/>
              <w:rPr>
                <w:rFonts w:ascii="Times New Roman" w:eastAsia="Times New Roman" w:hAnsi="Times New Roman" w:cs="Times New Roman"/>
                <w:sz w:val="28"/>
                <w:szCs w:val="28"/>
                <w:lang w:eastAsia="lv-LV"/>
              </w:rPr>
            </w:pPr>
            <w:r w:rsidRPr="002E0C7A">
              <w:rPr>
                <w:rFonts w:ascii="Times New Roman" w:eastAsia="Times New Roman" w:hAnsi="Times New Roman" w:cs="Times New Roman"/>
                <w:sz w:val="28"/>
                <w:szCs w:val="28"/>
                <w:lang w:eastAsia="lv-LV"/>
              </w:rPr>
              <w:t>0</w:t>
            </w:r>
          </w:p>
        </w:tc>
        <w:tc>
          <w:tcPr>
            <w:tcW w:w="771" w:type="pct"/>
            <w:tcBorders>
              <w:top w:val="outset" w:sz="6" w:space="0" w:color="414142"/>
              <w:left w:val="outset" w:sz="6" w:space="0" w:color="414142"/>
              <w:bottom w:val="outset" w:sz="6" w:space="0" w:color="414142"/>
              <w:right w:val="outset" w:sz="6" w:space="0" w:color="414142"/>
            </w:tcBorders>
            <w:shd w:val="clear" w:color="auto" w:fill="FFFFFF"/>
          </w:tcPr>
          <w:p w14:paraId="613BD8A4" w14:textId="196A8BC2" w:rsidR="00E00803" w:rsidRPr="002E0C7A" w:rsidRDefault="00E00803" w:rsidP="00E00803">
            <w:pPr>
              <w:spacing w:after="0" w:line="240" w:lineRule="auto"/>
              <w:rPr>
                <w:rFonts w:ascii="Times New Roman" w:eastAsia="Times New Roman" w:hAnsi="Times New Roman" w:cs="Times New Roman"/>
                <w:sz w:val="28"/>
                <w:szCs w:val="28"/>
                <w:lang w:eastAsia="lv-LV"/>
              </w:rPr>
            </w:pPr>
            <w:r w:rsidRPr="002E0C7A">
              <w:rPr>
                <w:rFonts w:ascii="Times New Roman" w:eastAsia="Times New Roman" w:hAnsi="Times New Roman" w:cs="Times New Roman"/>
                <w:sz w:val="28"/>
                <w:szCs w:val="28"/>
                <w:lang w:eastAsia="lv-LV"/>
              </w:rPr>
              <w:t>0</w:t>
            </w:r>
          </w:p>
        </w:tc>
      </w:tr>
      <w:tr w:rsidR="00E00803" w:rsidRPr="002E0C7A" w14:paraId="1743787F" w14:textId="77777777" w:rsidTr="00282ADE">
        <w:tc>
          <w:tcPr>
            <w:tcW w:w="1571" w:type="pct"/>
            <w:vMerge w:val="restart"/>
            <w:tcBorders>
              <w:top w:val="outset" w:sz="6" w:space="0" w:color="414142"/>
              <w:left w:val="outset" w:sz="6" w:space="0" w:color="414142"/>
              <w:bottom w:val="outset" w:sz="6" w:space="0" w:color="414142"/>
              <w:right w:val="outset" w:sz="6" w:space="0" w:color="414142"/>
            </w:tcBorders>
            <w:shd w:val="clear" w:color="auto" w:fill="FFFFFF"/>
            <w:hideMark/>
          </w:tcPr>
          <w:p w14:paraId="36325635" w14:textId="77777777" w:rsidR="00E00803" w:rsidRPr="002E0C7A" w:rsidRDefault="00E00803" w:rsidP="00E00803">
            <w:pPr>
              <w:spacing w:after="0" w:line="240" w:lineRule="auto"/>
              <w:rPr>
                <w:rFonts w:ascii="Times New Roman" w:eastAsia="Times New Roman" w:hAnsi="Times New Roman" w:cs="Times New Roman"/>
                <w:sz w:val="28"/>
                <w:szCs w:val="28"/>
                <w:lang w:eastAsia="lv-LV"/>
              </w:rPr>
            </w:pPr>
            <w:r w:rsidRPr="002E0C7A">
              <w:rPr>
                <w:rFonts w:ascii="Times New Roman" w:eastAsia="Times New Roman" w:hAnsi="Times New Roman" w:cs="Times New Roman"/>
                <w:sz w:val="28"/>
                <w:szCs w:val="28"/>
                <w:lang w:eastAsia="lv-LV"/>
              </w:rPr>
              <w:t>4. Finanšu līdzekļi papildu izdevumu finansēšanai (kompensējošu izdevumu samazinājumu norāda ar "+" zīmi)</w:t>
            </w:r>
          </w:p>
        </w:tc>
        <w:tc>
          <w:tcPr>
            <w:tcW w:w="574" w:type="pct"/>
            <w:vMerge w:val="restart"/>
            <w:tcBorders>
              <w:top w:val="outset" w:sz="6" w:space="0" w:color="414142"/>
              <w:left w:val="outset" w:sz="6" w:space="0" w:color="414142"/>
              <w:bottom w:val="outset" w:sz="6" w:space="0" w:color="414142"/>
              <w:right w:val="outset" w:sz="6" w:space="0" w:color="414142"/>
            </w:tcBorders>
            <w:shd w:val="clear" w:color="auto" w:fill="FFFFFF"/>
            <w:hideMark/>
          </w:tcPr>
          <w:p w14:paraId="4421ECD8" w14:textId="037CA14B" w:rsidR="00E00803" w:rsidRPr="002E0C7A" w:rsidRDefault="00E00803" w:rsidP="00E00803">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2E0C7A">
              <w:rPr>
                <w:rFonts w:ascii="Times New Roman" w:eastAsia="Times New Roman" w:hAnsi="Times New Roman" w:cs="Times New Roman"/>
                <w:sz w:val="28"/>
                <w:szCs w:val="28"/>
                <w:lang w:eastAsia="lv-LV"/>
              </w:rPr>
              <w:t>X</w:t>
            </w:r>
          </w:p>
        </w:tc>
        <w:tc>
          <w:tcPr>
            <w:tcW w:w="816" w:type="pct"/>
            <w:tcBorders>
              <w:top w:val="outset" w:sz="6" w:space="0" w:color="414142"/>
              <w:left w:val="outset" w:sz="6" w:space="0" w:color="414142"/>
              <w:bottom w:val="outset" w:sz="6" w:space="0" w:color="414142"/>
              <w:right w:val="outset" w:sz="6" w:space="0" w:color="414142"/>
            </w:tcBorders>
            <w:shd w:val="clear" w:color="auto" w:fill="FFFFFF"/>
            <w:hideMark/>
          </w:tcPr>
          <w:p w14:paraId="64880025" w14:textId="5EE1A780" w:rsidR="00E00803" w:rsidRPr="002E0C7A" w:rsidRDefault="00E00803" w:rsidP="00E00803">
            <w:pPr>
              <w:spacing w:after="0" w:line="240" w:lineRule="auto"/>
              <w:rPr>
                <w:rFonts w:ascii="Times New Roman" w:eastAsia="Times New Roman" w:hAnsi="Times New Roman" w:cs="Times New Roman"/>
                <w:sz w:val="28"/>
                <w:szCs w:val="28"/>
                <w:lang w:eastAsia="lv-LV"/>
              </w:rPr>
            </w:pPr>
            <w:r w:rsidRPr="002E0C7A">
              <w:rPr>
                <w:rFonts w:ascii="Times New Roman" w:eastAsia="Times New Roman" w:hAnsi="Times New Roman" w:cs="Times New Roman"/>
                <w:sz w:val="28"/>
                <w:szCs w:val="28"/>
                <w:lang w:eastAsia="lv-LV"/>
              </w:rPr>
              <w:t> 0</w:t>
            </w:r>
          </w:p>
        </w:tc>
        <w:tc>
          <w:tcPr>
            <w:tcW w:w="634" w:type="pct"/>
            <w:tcBorders>
              <w:top w:val="outset" w:sz="6" w:space="0" w:color="414142"/>
              <w:left w:val="outset" w:sz="6" w:space="0" w:color="414142"/>
              <w:bottom w:val="outset" w:sz="6" w:space="0" w:color="414142"/>
              <w:right w:val="outset" w:sz="6" w:space="0" w:color="414142"/>
            </w:tcBorders>
            <w:shd w:val="clear" w:color="auto" w:fill="FFFFFF"/>
            <w:hideMark/>
          </w:tcPr>
          <w:p w14:paraId="507A77F0" w14:textId="675E2289" w:rsidR="00E00803" w:rsidRPr="002E0C7A" w:rsidRDefault="00E00803" w:rsidP="00E00803">
            <w:pPr>
              <w:spacing w:after="0" w:line="240" w:lineRule="auto"/>
              <w:rPr>
                <w:rFonts w:ascii="Times New Roman" w:eastAsia="Times New Roman" w:hAnsi="Times New Roman" w:cs="Times New Roman"/>
                <w:sz w:val="28"/>
                <w:szCs w:val="28"/>
                <w:lang w:eastAsia="lv-LV"/>
              </w:rPr>
            </w:pPr>
            <w:r w:rsidRPr="002E0C7A">
              <w:rPr>
                <w:rFonts w:ascii="Times New Roman" w:eastAsia="Times New Roman" w:hAnsi="Times New Roman" w:cs="Times New Roman"/>
                <w:sz w:val="28"/>
                <w:szCs w:val="28"/>
                <w:lang w:eastAsia="lv-LV"/>
              </w:rPr>
              <w:t> 0</w:t>
            </w:r>
          </w:p>
        </w:tc>
        <w:tc>
          <w:tcPr>
            <w:tcW w:w="634" w:type="pct"/>
            <w:tcBorders>
              <w:top w:val="outset" w:sz="6" w:space="0" w:color="414142"/>
              <w:left w:val="outset" w:sz="6" w:space="0" w:color="414142"/>
              <w:bottom w:val="outset" w:sz="6" w:space="0" w:color="414142"/>
              <w:right w:val="outset" w:sz="6" w:space="0" w:color="414142"/>
            </w:tcBorders>
            <w:shd w:val="clear" w:color="auto" w:fill="FFFFFF"/>
            <w:hideMark/>
          </w:tcPr>
          <w:p w14:paraId="05580CA1" w14:textId="71D813E4" w:rsidR="00E00803" w:rsidRPr="002E0C7A" w:rsidRDefault="00E00803" w:rsidP="00E00803">
            <w:pPr>
              <w:spacing w:after="0" w:line="240" w:lineRule="auto"/>
              <w:rPr>
                <w:rFonts w:ascii="Times New Roman" w:eastAsia="Times New Roman" w:hAnsi="Times New Roman" w:cs="Times New Roman"/>
                <w:sz w:val="28"/>
                <w:szCs w:val="28"/>
                <w:lang w:eastAsia="lv-LV"/>
              </w:rPr>
            </w:pPr>
            <w:r w:rsidRPr="002E0C7A">
              <w:rPr>
                <w:rFonts w:ascii="Times New Roman" w:eastAsia="Times New Roman" w:hAnsi="Times New Roman" w:cs="Times New Roman"/>
                <w:sz w:val="28"/>
                <w:szCs w:val="28"/>
                <w:lang w:eastAsia="lv-LV"/>
              </w:rPr>
              <w:t> 0</w:t>
            </w:r>
          </w:p>
        </w:tc>
        <w:tc>
          <w:tcPr>
            <w:tcW w:w="771" w:type="pct"/>
            <w:tcBorders>
              <w:top w:val="outset" w:sz="6" w:space="0" w:color="414142"/>
              <w:left w:val="outset" w:sz="6" w:space="0" w:color="414142"/>
              <w:bottom w:val="outset" w:sz="6" w:space="0" w:color="414142"/>
              <w:right w:val="outset" w:sz="6" w:space="0" w:color="414142"/>
            </w:tcBorders>
            <w:shd w:val="clear" w:color="auto" w:fill="FFFFFF"/>
            <w:hideMark/>
          </w:tcPr>
          <w:p w14:paraId="1DE9392F" w14:textId="10325AD0" w:rsidR="00E00803" w:rsidRPr="002E0C7A" w:rsidRDefault="00E00803" w:rsidP="00E00803">
            <w:pPr>
              <w:spacing w:after="0" w:line="240" w:lineRule="auto"/>
              <w:rPr>
                <w:rFonts w:ascii="Times New Roman" w:eastAsia="Times New Roman" w:hAnsi="Times New Roman" w:cs="Times New Roman"/>
                <w:sz w:val="28"/>
                <w:szCs w:val="28"/>
                <w:lang w:eastAsia="lv-LV"/>
              </w:rPr>
            </w:pPr>
            <w:r w:rsidRPr="002E0C7A">
              <w:rPr>
                <w:rFonts w:ascii="Times New Roman" w:eastAsia="Times New Roman" w:hAnsi="Times New Roman" w:cs="Times New Roman"/>
                <w:sz w:val="28"/>
                <w:szCs w:val="28"/>
                <w:lang w:eastAsia="lv-LV"/>
              </w:rPr>
              <w:t>0 </w:t>
            </w:r>
          </w:p>
        </w:tc>
      </w:tr>
      <w:tr w:rsidR="00E00803" w:rsidRPr="002E0C7A" w14:paraId="48ABBFF9" w14:textId="77777777" w:rsidTr="00282ADE">
        <w:tc>
          <w:tcPr>
            <w:tcW w:w="1571"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272715D" w14:textId="77777777" w:rsidR="00E00803" w:rsidRPr="002E0C7A" w:rsidRDefault="00E00803" w:rsidP="00E00803">
            <w:pPr>
              <w:spacing w:after="0" w:line="240" w:lineRule="auto"/>
              <w:rPr>
                <w:rFonts w:ascii="Times New Roman" w:eastAsia="Times New Roman" w:hAnsi="Times New Roman" w:cs="Times New Roman"/>
                <w:sz w:val="28"/>
                <w:szCs w:val="28"/>
                <w:lang w:eastAsia="lv-LV"/>
              </w:rPr>
            </w:pPr>
          </w:p>
        </w:tc>
        <w:tc>
          <w:tcPr>
            <w:tcW w:w="574"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B73AC5D" w14:textId="77777777" w:rsidR="00E00803" w:rsidRPr="002E0C7A" w:rsidRDefault="00E00803" w:rsidP="00E00803">
            <w:pPr>
              <w:spacing w:after="0" w:line="240" w:lineRule="auto"/>
              <w:rPr>
                <w:rFonts w:ascii="Times New Roman" w:eastAsia="Times New Roman" w:hAnsi="Times New Roman" w:cs="Times New Roman"/>
                <w:sz w:val="28"/>
                <w:szCs w:val="28"/>
                <w:lang w:eastAsia="lv-LV"/>
              </w:rPr>
            </w:pPr>
          </w:p>
        </w:tc>
        <w:tc>
          <w:tcPr>
            <w:tcW w:w="816" w:type="pct"/>
            <w:tcBorders>
              <w:top w:val="outset" w:sz="6" w:space="0" w:color="414142"/>
              <w:left w:val="outset" w:sz="6" w:space="0" w:color="414142"/>
              <w:bottom w:val="outset" w:sz="6" w:space="0" w:color="414142"/>
              <w:right w:val="outset" w:sz="6" w:space="0" w:color="414142"/>
            </w:tcBorders>
            <w:shd w:val="clear" w:color="auto" w:fill="FFFFFF"/>
            <w:hideMark/>
          </w:tcPr>
          <w:p w14:paraId="2FA852BD" w14:textId="089CCC97" w:rsidR="00E00803" w:rsidRPr="002E0C7A" w:rsidRDefault="00E00803" w:rsidP="00E00803">
            <w:pPr>
              <w:spacing w:after="0" w:line="240" w:lineRule="auto"/>
              <w:rPr>
                <w:rFonts w:ascii="Times New Roman" w:eastAsia="Times New Roman" w:hAnsi="Times New Roman" w:cs="Times New Roman"/>
                <w:sz w:val="28"/>
                <w:szCs w:val="28"/>
                <w:lang w:eastAsia="lv-LV"/>
              </w:rPr>
            </w:pPr>
            <w:r w:rsidRPr="002E0C7A">
              <w:rPr>
                <w:rFonts w:ascii="Times New Roman" w:eastAsia="Times New Roman" w:hAnsi="Times New Roman" w:cs="Times New Roman"/>
                <w:sz w:val="28"/>
                <w:szCs w:val="28"/>
                <w:lang w:eastAsia="lv-LV"/>
              </w:rPr>
              <w:t> 0</w:t>
            </w:r>
          </w:p>
        </w:tc>
        <w:tc>
          <w:tcPr>
            <w:tcW w:w="634" w:type="pct"/>
            <w:tcBorders>
              <w:top w:val="outset" w:sz="6" w:space="0" w:color="414142"/>
              <w:left w:val="outset" w:sz="6" w:space="0" w:color="414142"/>
              <w:bottom w:val="outset" w:sz="6" w:space="0" w:color="414142"/>
              <w:right w:val="outset" w:sz="6" w:space="0" w:color="414142"/>
            </w:tcBorders>
            <w:shd w:val="clear" w:color="auto" w:fill="FFFFFF"/>
            <w:hideMark/>
          </w:tcPr>
          <w:p w14:paraId="677AE62A" w14:textId="70B1AC71" w:rsidR="00E00803" w:rsidRPr="002E0C7A" w:rsidRDefault="00E00803" w:rsidP="00E00803">
            <w:pPr>
              <w:spacing w:after="0" w:line="240" w:lineRule="auto"/>
              <w:rPr>
                <w:rFonts w:ascii="Times New Roman" w:eastAsia="Times New Roman" w:hAnsi="Times New Roman" w:cs="Times New Roman"/>
                <w:sz w:val="28"/>
                <w:szCs w:val="28"/>
                <w:lang w:eastAsia="lv-LV"/>
              </w:rPr>
            </w:pPr>
            <w:r w:rsidRPr="002E0C7A">
              <w:rPr>
                <w:rFonts w:ascii="Times New Roman" w:eastAsia="Times New Roman" w:hAnsi="Times New Roman" w:cs="Times New Roman"/>
                <w:sz w:val="28"/>
                <w:szCs w:val="28"/>
                <w:lang w:eastAsia="lv-LV"/>
              </w:rPr>
              <w:t> 0</w:t>
            </w:r>
          </w:p>
        </w:tc>
        <w:tc>
          <w:tcPr>
            <w:tcW w:w="634" w:type="pct"/>
            <w:tcBorders>
              <w:top w:val="outset" w:sz="6" w:space="0" w:color="414142"/>
              <w:left w:val="outset" w:sz="6" w:space="0" w:color="414142"/>
              <w:bottom w:val="outset" w:sz="6" w:space="0" w:color="414142"/>
              <w:right w:val="outset" w:sz="6" w:space="0" w:color="414142"/>
            </w:tcBorders>
            <w:shd w:val="clear" w:color="auto" w:fill="FFFFFF"/>
            <w:hideMark/>
          </w:tcPr>
          <w:p w14:paraId="70DCBA5D" w14:textId="61A1C8A6" w:rsidR="00E00803" w:rsidRPr="002E0C7A" w:rsidRDefault="00E00803" w:rsidP="00E00803">
            <w:pPr>
              <w:spacing w:after="0" w:line="240" w:lineRule="auto"/>
              <w:rPr>
                <w:rFonts w:ascii="Times New Roman" w:eastAsia="Times New Roman" w:hAnsi="Times New Roman" w:cs="Times New Roman"/>
                <w:sz w:val="28"/>
                <w:szCs w:val="28"/>
                <w:lang w:eastAsia="lv-LV"/>
              </w:rPr>
            </w:pPr>
            <w:r w:rsidRPr="002E0C7A">
              <w:rPr>
                <w:rFonts w:ascii="Times New Roman" w:eastAsia="Times New Roman" w:hAnsi="Times New Roman" w:cs="Times New Roman"/>
                <w:sz w:val="28"/>
                <w:szCs w:val="28"/>
                <w:lang w:eastAsia="lv-LV"/>
              </w:rPr>
              <w:t> 0</w:t>
            </w:r>
          </w:p>
        </w:tc>
        <w:tc>
          <w:tcPr>
            <w:tcW w:w="771" w:type="pct"/>
            <w:tcBorders>
              <w:top w:val="outset" w:sz="6" w:space="0" w:color="414142"/>
              <w:left w:val="outset" w:sz="6" w:space="0" w:color="414142"/>
              <w:bottom w:val="outset" w:sz="6" w:space="0" w:color="414142"/>
              <w:right w:val="outset" w:sz="6" w:space="0" w:color="414142"/>
            </w:tcBorders>
            <w:shd w:val="clear" w:color="auto" w:fill="FFFFFF"/>
            <w:hideMark/>
          </w:tcPr>
          <w:p w14:paraId="5EE66B35" w14:textId="6535D2E6" w:rsidR="00E00803" w:rsidRPr="002E0C7A" w:rsidRDefault="00E00803" w:rsidP="00E00803">
            <w:pPr>
              <w:spacing w:after="0" w:line="240" w:lineRule="auto"/>
              <w:rPr>
                <w:rFonts w:ascii="Times New Roman" w:eastAsia="Times New Roman" w:hAnsi="Times New Roman" w:cs="Times New Roman"/>
                <w:sz w:val="28"/>
                <w:szCs w:val="28"/>
                <w:lang w:eastAsia="lv-LV"/>
              </w:rPr>
            </w:pPr>
            <w:r w:rsidRPr="002E0C7A">
              <w:rPr>
                <w:rFonts w:ascii="Times New Roman" w:eastAsia="Times New Roman" w:hAnsi="Times New Roman" w:cs="Times New Roman"/>
                <w:sz w:val="28"/>
                <w:szCs w:val="28"/>
                <w:lang w:eastAsia="lv-LV"/>
              </w:rPr>
              <w:t> 0</w:t>
            </w:r>
          </w:p>
        </w:tc>
      </w:tr>
      <w:tr w:rsidR="00E00803" w:rsidRPr="002E0C7A" w14:paraId="52049E70" w14:textId="77777777" w:rsidTr="00282ADE">
        <w:tc>
          <w:tcPr>
            <w:tcW w:w="1571"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FF086A0" w14:textId="77777777" w:rsidR="00E00803" w:rsidRPr="002E0C7A" w:rsidRDefault="00E00803" w:rsidP="00E00803">
            <w:pPr>
              <w:spacing w:after="0" w:line="240" w:lineRule="auto"/>
              <w:rPr>
                <w:rFonts w:ascii="Times New Roman" w:eastAsia="Times New Roman" w:hAnsi="Times New Roman" w:cs="Times New Roman"/>
                <w:sz w:val="28"/>
                <w:szCs w:val="28"/>
                <w:lang w:eastAsia="lv-LV"/>
              </w:rPr>
            </w:pPr>
          </w:p>
        </w:tc>
        <w:tc>
          <w:tcPr>
            <w:tcW w:w="574"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96999CA" w14:textId="77777777" w:rsidR="00E00803" w:rsidRPr="002E0C7A" w:rsidRDefault="00E00803" w:rsidP="00E00803">
            <w:pPr>
              <w:spacing w:after="0" w:line="240" w:lineRule="auto"/>
              <w:rPr>
                <w:rFonts w:ascii="Times New Roman" w:eastAsia="Times New Roman" w:hAnsi="Times New Roman" w:cs="Times New Roman"/>
                <w:sz w:val="28"/>
                <w:szCs w:val="28"/>
                <w:lang w:eastAsia="lv-LV"/>
              </w:rPr>
            </w:pPr>
          </w:p>
        </w:tc>
        <w:tc>
          <w:tcPr>
            <w:tcW w:w="816" w:type="pct"/>
            <w:tcBorders>
              <w:top w:val="outset" w:sz="6" w:space="0" w:color="414142"/>
              <w:left w:val="outset" w:sz="6" w:space="0" w:color="414142"/>
              <w:bottom w:val="outset" w:sz="6" w:space="0" w:color="414142"/>
              <w:right w:val="outset" w:sz="6" w:space="0" w:color="414142"/>
            </w:tcBorders>
            <w:shd w:val="clear" w:color="auto" w:fill="FFFFFF"/>
            <w:hideMark/>
          </w:tcPr>
          <w:p w14:paraId="733DC959" w14:textId="67D9C718" w:rsidR="00E00803" w:rsidRPr="002E0C7A" w:rsidRDefault="00E00803" w:rsidP="00E00803">
            <w:pPr>
              <w:spacing w:after="0" w:line="240" w:lineRule="auto"/>
              <w:rPr>
                <w:rFonts w:ascii="Times New Roman" w:eastAsia="Times New Roman" w:hAnsi="Times New Roman" w:cs="Times New Roman"/>
                <w:sz w:val="28"/>
                <w:szCs w:val="28"/>
                <w:lang w:eastAsia="lv-LV"/>
              </w:rPr>
            </w:pPr>
            <w:r w:rsidRPr="002E0C7A">
              <w:rPr>
                <w:rFonts w:ascii="Times New Roman" w:eastAsia="Times New Roman" w:hAnsi="Times New Roman" w:cs="Times New Roman"/>
                <w:sz w:val="28"/>
                <w:szCs w:val="28"/>
                <w:lang w:eastAsia="lv-LV"/>
              </w:rPr>
              <w:t> 0</w:t>
            </w:r>
          </w:p>
        </w:tc>
        <w:tc>
          <w:tcPr>
            <w:tcW w:w="634" w:type="pct"/>
            <w:tcBorders>
              <w:top w:val="outset" w:sz="6" w:space="0" w:color="414142"/>
              <w:left w:val="outset" w:sz="6" w:space="0" w:color="414142"/>
              <w:bottom w:val="outset" w:sz="6" w:space="0" w:color="414142"/>
              <w:right w:val="outset" w:sz="6" w:space="0" w:color="414142"/>
            </w:tcBorders>
            <w:shd w:val="clear" w:color="auto" w:fill="FFFFFF"/>
            <w:hideMark/>
          </w:tcPr>
          <w:p w14:paraId="24625BE9" w14:textId="31482B10" w:rsidR="00E00803" w:rsidRPr="002E0C7A" w:rsidRDefault="00E00803" w:rsidP="00E00803">
            <w:pPr>
              <w:spacing w:after="0" w:line="240" w:lineRule="auto"/>
              <w:rPr>
                <w:rFonts w:ascii="Times New Roman" w:eastAsia="Times New Roman" w:hAnsi="Times New Roman" w:cs="Times New Roman"/>
                <w:sz w:val="28"/>
                <w:szCs w:val="28"/>
                <w:lang w:eastAsia="lv-LV"/>
              </w:rPr>
            </w:pPr>
            <w:r w:rsidRPr="002E0C7A">
              <w:rPr>
                <w:rFonts w:ascii="Times New Roman" w:eastAsia="Times New Roman" w:hAnsi="Times New Roman" w:cs="Times New Roman"/>
                <w:sz w:val="28"/>
                <w:szCs w:val="28"/>
                <w:lang w:eastAsia="lv-LV"/>
              </w:rPr>
              <w:t> 0</w:t>
            </w:r>
          </w:p>
        </w:tc>
        <w:tc>
          <w:tcPr>
            <w:tcW w:w="634" w:type="pct"/>
            <w:tcBorders>
              <w:top w:val="outset" w:sz="6" w:space="0" w:color="414142"/>
              <w:left w:val="outset" w:sz="6" w:space="0" w:color="414142"/>
              <w:bottom w:val="outset" w:sz="6" w:space="0" w:color="414142"/>
              <w:right w:val="outset" w:sz="6" w:space="0" w:color="414142"/>
            </w:tcBorders>
            <w:shd w:val="clear" w:color="auto" w:fill="FFFFFF"/>
            <w:hideMark/>
          </w:tcPr>
          <w:p w14:paraId="6C6CC7CB" w14:textId="409DC7E9" w:rsidR="00E00803" w:rsidRPr="002E0C7A" w:rsidRDefault="00E00803" w:rsidP="00E00803">
            <w:pPr>
              <w:spacing w:after="0" w:line="240" w:lineRule="auto"/>
              <w:rPr>
                <w:rFonts w:ascii="Times New Roman" w:eastAsia="Times New Roman" w:hAnsi="Times New Roman" w:cs="Times New Roman"/>
                <w:sz w:val="28"/>
                <w:szCs w:val="28"/>
                <w:lang w:eastAsia="lv-LV"/>
              </w:rPr>
            </w:pPr>
            <w:r w:rsidRPr="002E0C7A">
              <w:rPr>
                <w:rFonts w:ascii="Times New Roman" w:eastAsia="Times New Roman" w:hAnsi="Times New Roman" w:cs="Times New Roman"/>
                <w:sz w:val="28"/>
                <w:szCs w:val="28"/>
                <w:lang w:eastAsia="lv-LV"/>
              </w:rPr>
              <w:t> 0</w:t>
            </w:r>
          </w:p>
        </w:tc>
        <w:tc>
          <w:tcPr>
            <w:tcW w:w="771" w:type="pct"/>
            <w:tcBorders>
              <w:top w:val="outset" w:sz="6" w:space="0" w:color="414142"/>
              <w:left w:val="outset" w:sz="6" w:space="0" w:color="414142"/>
              <w:bottom w:val="outset" w:sz="6" w:space="0" w:color="414142"/>
              <w:right w:val="outset" w:sz="6" w:space="0" w:color="414142"/>
            </w:tcBorders>
            <w:shd w:val="clear" w:color="auto" w:fill="FFFFFF"/>
            <w:hideMark/>
          </w:tcPr>
          <w:p w14:paraId="2439A1E5" w14:textId="4301DDDB" w:rsidR="00E00803" w:rsidRPr="002E0C7A" w:rsidRDefault="00E00803" w:rsidP="00E00803">
            <w:pPr>
              <w:spacing w:after="0" w:line="240" w:lineRule="auto"/>
              <w:rPr>
                <w:rFonts w:ascii="Times New Roman" w:eastAsia="Times New Roman" w:hAnsi="Times New Roman" w:cs="Times New Roman"/>
                <w:sz w:val="28"/>
                <w:szCs w:val="28"/>
                <w:lang w:eastAsia="lv-LV"/>
              </w:rPr>
            </w:pPr>
            <w:r w:rsidRPr="002E0C7A">
              <w:rPr>
                <w:rFonts w:ascii="Times New Roman" w:eastAsia="Times New Roman" w:hAnsi="Times New Roman" w:cs="Times New Roman"/>
                <w:sz w:val="28"/>
                <w:szCs w:val="28"/>
                <w:lang w:eastAsia="lv-LV"/>
              </w:rPr>
              <w:t> 0</w:t>
            </w:r>
          </w:p>
        </w:tc>
      </w:tr>
      <w:tr w:rsidR="00E00803" w:rsidRPr="002E0C7A" w14:paraId="4855F7E8" w14:textId="77777777" w:rsidTr="00282ADE">
        <w:tc>
          <w:tcPr>
            <w:tcW w:w="1571" w:type="pct"/>
            <w:tcBorders>
              <w:top w:val="outset" w:sz="6" w:space="0" w:color="414142"/>
              <w:left w:val="outset" w:sz="6" w:space="0" w:color="414142"/>
              <w:bottom w:val="outset" w:sz="6" w:space="0" w:color="414142"/>
              <w:right w:val="outset" w:sz="6" w:space="0" w:color="414142"/>
            </w:tcBorders>
            <w:shd w:val="clear" w:color="auto" w:fill="FFFFFF"/>
            <w:hideMark/>
          </w:tcPr>
          <w:p w14:paraId="163F1D22" w14:textId="77777777" w:rsidR="00E00803" w:rsidRPr="002E0C7A" w:rsidRDefault="00E00803" w:rsidP="00E00803">
            <w:pPr>
              <w:spacing w:after="0" w:line="240" w:lineRule="auto"/>
              <w:rPr>
                <w:rFonts w:ascii="Times New Roman" w:eastAsia="Times New Roman" w:hAnsi="Times New Roman" w:cs="Times New Roman"/>
                <w:sz w:val="28"/>
                <w:szCs w:val="28"/>
                <w:lang w:eastAsia="lv-LV"/>
              </w:rPr>
            </w:pPr>
            <w:r w:rsidRPr="002E0C7A">
              <w:rPr>
                <w:rFonts w:ascii="Times New Roman" w:eastAsia="Times New Roman" w:hAnsi="Times New Roman" w:cs="Times New Roman"/>
                <w:sz w:val="28"/>
                <w:szCs w:val="28"/>
                <w:lang w:eastAsia="lv-LV"/>
              </w:rPr>
              <w:t>5. Precizēta finansiālā ietekme:</w:t>
            </w:r>
          </w:p>
        </w:tc>
        <w:tc>
          <w:tcPr>
            <w:tcW w:w="574" w:type="pct"/>
            <w:vMerge w:val="restart"/>
            <w:tcBorders>
              <w:top w:val="outset" w:sz="6" w:space="0" w:color="414142"/>
              <w:left w:val="outset" w:sz="6" w:space="0" w:color="414142"/>
              <w:bottom w:val="outset" w:sz="6" w:space="0" w:color="414142"/>
              <w:right w:val="outset" w:sz="6" w:space="0" w:color="414142"/>
            </w:tcBorders>
            <w:shd w:val="clear" w:color="auto" w:fill="FFFFFF"/>
            <w:hideMark/>
          </w:tcPr>
          <w:p w14:paraId="0E4D7127" w14:textId="2427702C" w:rsidR="00E00803" w:rsidRPr="002E0C7A" w:rsidRDefault="00E00803" w:rsidP="00E00803">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2E0C7A">
              <w:rPr>
                <w:rFonts w:ascii="Times New Roman" w:eastAsia="Times New Roman" w:hAnsi="Times New Roman" w:cs="Times New Roman"/>
                <w:sz w:val="28"/>
                <w:szCs w:val="28"/>
                <w:lang w:eastAsia="lv-LV"/>
              </w:rPr>
              <w:t>X</w:t>
            </w:r>
          </w:p>
        </w:tc>
        <w:tc>
          <w:tcPr>
            <w:tcW w:w="816" w:type="pct"/>
            <w:tcBorders>
              <w:top w:val="outset" w:sz="6" w:space="0" w:color="414142"/>
              <w:left w:val="outset" w:sz="6" w:space="0" w:color="414142"/>
              <w:bottom w:val="outset" w:sz="6" w:space="0" w:color="414142"/>
              <w:right w:val="outset" w:sz="6" w:space="0" w:color="414142"/>
            </w:tcBorders>
            <w:shd w:val="clear" w:color="auto" w:fill="FFFFFF"/>
            <w:hideMark/>
          </w:tcPr>
          <w:p w14:paraId="4BFAA9CD" w14:textId="628745E5" w:rsidR="00E00803" w:rsidRPr="002E0C7A" w:rsidRDefault="00E00803" w:rsidP="00E00803">
            <w:pPr>
              <w:spacing w:after="0" w:line="240" w:lineRule="auto"/>
              <w:rPr>
                <w:rFonts w:ascii="Times New Roman" w:eastAsia="Times New Roman" w:hAnsi="Times New Roman" w:cs="Times New Roman"/>
                <w:sz w:val="28"/>
                <w:szCs w:val="28"/>
                <w:lang w:eastAsia="lv-LV"/>
              </w:rPr>
            </w:pPr>
            <w:r w:rsidRPr="002E0C7A">
              <w:rPr>
                <w:rFonts w:ascii="Times New Roman" w:eastAsia="Times New Roman" w:hAnsi="Times New Roman" w:cs="Times New Roman"/>
                <w:sz w:val="28"/>
                <w:szCs w:val="28"/>
                <w:lang w:eastAsia="lv-LV"/>
              </w:rPr>
              <w:t> 0</w:t>
            </w:r>
          </w:p>
        </w:tc>
        <w:tc>
          <w:tcPr>
            <w:tcW w:w="634" w:type="pct"/>
            <w:tcBorders>
              <w:top w:val="outset" w:sz="6" w:space="0" w:color="414142"/>
              <w:left w:val="outset" w:sz="6" w:space="0" w:color="414142"/>
              <w:bottom w:val="outset" w:sz="6" w:space="0" w:color="414142"/>
              <w:right w:val="outset" w:sz="6" w:space="0" w:color="414142"/>
            </w:tcBorders>
            <w:shd w:val="clear" w:color="auto" w:fill="FFFFFF"/>
            <w:hideMark/>
          </w:tcPr>
          <w:p w14:paraId="6A5105FF" w14:textId="33033632" w:rsidR="00E00803" w:rsidRPr="002E0C7A" w:rsidRDefault="00E00803" w:rsidP="00E00803">
            <w:pPr>
              <w:spacing w:after="0" w:line="240" w:lineRule="auto"/>
              <w:rPr>
                <w:rFonts w:ascii="Times New Roman" w:eastAsia="Times New Roman" w:hAnsi="Times New Roman" w:cs="Times New Roman"/>
                <w:sz w:val="28"/>
                <w:szCs w:val="28"/>
                <w:lang w:eastAsia="lv-LV"/>
              </w:rPr>
            </w:pPr>
            <w:r w:rsidRPr="002E0C7A">
              <w:rPr>
                <w:rFonts w:ascii="Times New Roman" w:eastAsia="Times New Roman" w:hAnsi="Times New Roman" w:cs="Times New Roman"/>
                <w:sz w:val="28"/>
                <w:szCs w:val="28"/>
                <w:lang w:eastAsia="lv-LV"/>
              </w:rPr>
              <w:t> 0</w:t>
            </w:r>
          </w:p>
        </w:tc>
        <w:tc>
          <w:tcPr>
            <w:tcW w:w="634" w:type="pct"/>
            <w:tcBorders>
              <w:top w:val="outset" w:sz="6" w:space="0" w:color="414142"/>
              <w:left w:val="outset" w:sz="6" w:space="0" w:color="414142"/>
              <w:bottom w:val="outset" w:sz="6" w:space="0" w:color="414142"/>
              <w:right w:val="outset" w:sz="6" w:space="0" w:color="414142"/>
            </w:tcBorders>
            <w:shd w:val="clear" w:color="auto" w:fill="FFFFFF"/>
            <w:hideMark/>
          </w:tcPr>
          <w:p w14:paraId="415FF063" w14:textId="2D5750DD" w:rsidR="00E00803" w:rsidRPr="002E0C7A" w:rsidRDefault="00E00803" w:rsidP="00E00803">
            <w:pPr>
              <w:spacing w:after="0" w:line="240" w:lineRule="auto"/>
              <w:rPr>
                <w:rFonts w:ascii="Times New Roman" w:eastAsia="Times New Roman" w:hAnsi="Times New Roman" w:cs="Times New Roman"/>
                <w:sz w:val="28"/>
                <w:szCs w:val="28"/>
                <w:lang w:eastAsia="lv-LV"/>
              </w:rPr>
            </w:pPr>
            <w:r w:rsidRPr="002E0C7A">
              <w:rPr>
                <w:rFonts w:ascii="Times New Roman" w:eastAsia="Times New Roman" w:hAnsi="Times New Roman" w:cs="Times New Roman"/>
                <w:sz w:val="28"/>
                <w:szCs w:val="28"/>
                <w:lang w:eastAsia="lv-LV"/>
              </w:rPr>
              <w:t> 0</w:t>
            </w:r>
          </w:p>
        </w:tc>
        <w:tc>
          <w:tcPr>
            <w:tcW w:w="771" w:type="pct"/>
            <w:tcBorders>
              <w:top w:val="outset" w:sz="6" w:space="0" w:color="414142"/>
              <w:left w:val="outset" w:sz="6" w:space="0" w:color="414142"/>
              <w:bottom w:val="outset" w:sz="6" w:space="0" w:color="414142"/>
              <w:right w:val="outset" w:sz="6" w:space="0" w:color="414142"/>
            </w:tcBorders>
            <w:shd w:val="clear" w:color="auto" w:fill="FFFFFF"/>
            <w:hideMark/>
          </w:tcPr>
          <w:p w14:paraId="1895DD42" w14:textId="0B6C59BC" w:rsidR="00E00803" w:rsidRPr="002E0C7A" w:rsidRDefault="00E00803" w:rsidP="00E00803">
            <w:pPr>
              <w:spacing w:after="0" w:line="240" w:lineRule="auto"/>
              <w:rPr>
                <w:rFonts w:ascii="Times New Roman" w:eastAsia="Times New Roman" w:hAnsi="Times New Roman" w:cs="Times New Roman"/>
                <w:sz w:val="28"/>
                <w:szCs w:val="28"/>
                <w:lang w:eastAsia="lv-LV"/>
              </w:rPr>
            </w:pPr>
            <w:r w:rsidRPr="002E0C7A">
              <w:rPr>
                <w:rFonts w:ascii="Times New Roman" w:eastAsia="Times New Roman" w:hAnsi="Times New Roman" w:cs="Times New Roman"/>
                <w:sz w:val="28"/>
                <w:szCs w:val="28"/>
                <w:lang w:eastAsia="lv-LV"/>
              </w:rPr>
              <w:t> 0</w:t>
            </w:r>
          </w:p>
        </w:tc>
      </w:tr>
      <w:tr w:rsidR="00E00803" w:rsidRPr="002E0C7A" w14:paraId="5D6CAFCC" w14:textId="77777777" w:rsidTr="00282ADE">
        <w:tc>
          <w:tcPr>
            <w:tcW w:w="1571" w:type="pct"/>
            <w:tcBorders>
              <w:top w:val="outset" w:sz="6" w:space="0" w:color="414142"/>
              <w:left w:val="outset" w:sz="6" w:space="0" w:color="414142"/>
              <w:bottom w:val="outset" w:sz="6" w:space="0" w:color="414142"/>
              <w:right w:val="outset" w:sz="6" w:space="0" w:color="414142"/>
            </w:tcBorders>
            <w:shd w:val="clear" w:color="auto" w:fill="FFFFFF"/>
            <w:hideMark/>
          </w:tcPr>
          <w:p w14:paraId="25144B56" w14:textId="77777777" w:rsidR="00E00803" w:rsidRPr="002E0C7A" w:rsidRDefault="00E00803" w:rsidP="00E00803">
            <w:pPr>
              <w:spacing w:after="0" w:line="240" w:lineRule="auto"/>
              <w:rPr>
                <w:rFonts w:ascii="Times New Roman" w:eastAsia="Times New Roman" w:hAnsi="Times New Roman" w:cs="Times New Roman"/>
                <w:sz w:val="28"/>
                <w:szCs w:val="28"/>
                <w:lang w:eastAsia="lv-LV"/>
              </w:rPr>
            </w:pPr>
            <w:r w:rsidRPr="002E0C7A">
              <w:rPr>
                <w:rFonts w:ascii="Times New Roman" w:eastAsia="Times New Roman" w:hAnsi="Times New Roman" w:cs="Times New Roman"/>
                <w:sz w:val="28"/>
                <w:szCs w:val="28"/>
                <w:lang w:eastAsia="lv-LV"/>
              </w:rPr>
              <w:t>5.1. valsts pamatbudžets</w:t>
            </w:r>
          </w:p>
        </w:tc>
        <w:tc>
          <w:tcPr>
            <w:tcW w:w="574"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69AE3BB" w14:textId="77777777" w:rsidR="00E00803" w:rsidRPr="002E0C7A" w:rsidRDefault="00E00803" w:rsidP="00E00803">
            <w:pPr>
              <w:spacing w:after="0" w:line="240" w:lineRule="auto"/>
              <w:rPr>
                <w:rFonts w:ascii="Times New Roman" w:eastAsia="Times New Roman" w:hAnsi="Times New Roman" w:cs="Times New Roman"/>
                <w:sz w:val="28"/>
                <w:szCs w:val="28"/>
                <w:lang w:eastAsia="lv-LV"/>
              </w:rPr>
            </w:pPr>
          </w:p>
        </w:tc>
        <w:tc>
          <w:tcPr>
            <w:tcW w:w="816" w:type="pct"/>
            <w:tcBorders>
              <w:top w:val="outset" w:sz="6" w:space="0" w:color="414142"/>
              <w:left w:val="outset" w:sz="6" w:space="0" w:color="414142"/>
              <w:bottom w:val="outset" w:sz="6" w:space="0" w:color="414142"/>
              <w:right w:val="outset" w:sz="6" w:space="0" w:color="414142"/>
            </w:tcBorders>
            <w:shd w:val="clear" w:color="auto" w:fill="FFFFFF"/>
            <w:hideMark/>
          </w:tcPr>
          <w:p w14:paraId="4F1F4D55" w14:textId="66AAE430" w:rsidR="00E00803" w:rsidRPr="002E0C7A" w:rsidRDefault="00E00803" w:rsidP="00E00803">
            <w:pPr>
              <w:spacing w:after="0" w:line="240" w:lineRule="auto"/>
              <w:rPr>
                <w:rFonts w:ascii="Times New Roman" w:eastAsia="Times New Roman" w:hAnsi="Times New Roman" w:cs="Times New Roman"/>
                <w:sz w:val="28"/>
                <w:szCs w:val="28"/>
                <w:lang w:eastAsia="lv-LV"/>
              </w:rPr>
            </w:pPr>
            <w:r w:rsidRPr="002E0C7A">
              <w:rPr>
                <w:rFonts w:ascii="Times New Roman" w:eastAsia="Times New Roman" w:hAnsi="Times New Roman" w:cs="Times New Roman"/>
                <w:sz w:val="28"/>
                <w:szCs w:val="28"/>
                <w:lang w:eastAsia="lv-LV"/>
              </w:rPr>
              <w:t> 0</w:t>
            </w:r>
          </w:p>
        </w:tc>
        <w:tc>
          <w:tcPr>
            <w:tcW w:w="634" w:type="pct"/>
            <w:tcBorders>
              <w:top w:val="outset" w:sz="6" w:space="0" w:color="414142"/>
              <w:left w:val="outset" w:sz="6" w:space="0" w:color="414142"/>
              <w:bottom w:val="outset" w:sz="6" w:space="0" w:color="414142"/>
              <w:right w:val="outset" w:sz="6" w:space="0" w:color="414142"/>
            </w:tcBorders>
            <w:shd w:val="clear" w:color="auto" w:fill="FFFFFF"/>
            <w:hideMark/>
          </w:tcPr>
          <w:p w14:paraId="7EE68BE5" w14:textId="4E4BAF69" w:rsidR="00E00803" w:rsidRPr="002E0C7A" w:rsidRDefault="00E00803" w:rsidP="00E00803">
            <w:pPr>
              <w:spacing w:after="0" w:line="240" w:lineRule="auto"/>
              <w:rPr>
                <w:rFonts w:ascii="Times New Roman" w:eastAsia="Times New Roman" w:hAnsi="Times New Roman" w:cs="Times New Roman"/>
                <w:sz w:val="28"/>
                <w:szCs w:val="28"/>
                <w:lang w:eastAsia="lv-LV"/>
              </w:rPr>
            </w:pPr>
            <w:r w:rsidRPr="002E0C7A">
              <w:rPr>
                <w:rFonts w:ascii="Times New Roman" w:eastAsia="Times New Roman" w:hAnsi="Times New Roman" w:cs="Times New Roman"/>
                <w:sz w:val="28"/>
                <w:szCs w:val="28"/>
                <w:lang w:eastAsia="lv-LV"/>
              </w:rPr>
              <w:t> 0</w:t>
            </w:r>
          </w:p>
        </w:tc>
        <w:tc>
          <w:tcPr>
            <w:tcW w:w="634" w:type="pct"/>
            <w:tcBorders>
              <w:top w:val="outset" w:sz="6" w:space="0" w:color="414142"/>
              <w:left w:val="outset" w:sz="6" w:space="0" w:color="414142"/>
              <w:bottom w:val="outset" w:sz="6" w:space="0" w:color="414142"/>
              <w:right w:val="outset" w:sz="6" w:space="0" w:color="414142"/>
            </w:tcBorders>
            <w:shd w:val="clear" w:color="auto" w:fill="FFFFFF"/>
            <w:hideMark/>
          </w:tcPr>
          <w:p w14:paraId="6D91BE1C" w14:textId="2003FE2F" w:rsidR="00E00803" w:rsidRPr="002E0C7A" w:rsidRDefault="00E00803" w:rsidP="00E00803">
            <w:pPr>
              <w:spacing w:after="0" w:line="240" w:lineRule="auto"/>
              <w:rPr>
                <w:rFonts w:ascii="Times New Roman" w:eastAsia="Times New Roman" w:hAnsi="Times New Roman" w:cs="Times New Roman"/>
                <w:sz w:val="28"/>
                <w:szCs w:val="28"/>
                <w:lang w:eastAsia="lv-LV"/>
              </w:rPr>
            </w:pPr>
            <w:r w:rsidRPr="002E0C7A">
              <w:rPr>
                <w:rFonts w:ascii="Times New Roman" w:eastAsia="Times New Roman" w:hAnsi="Times New Roman" w:cs="Times New Roman"/>
                <w:sz w:val="28"/>
                <w:szCs w:val="28"/>
                <w:lang w:eastAsia="lv-LV"/>
              </w:rPr>
              <w:t> 0</w:t>
            </w:r>
          </w:p>
        </w:tc>
        <w:tc>
          <w:tcPr>
            <w:tcW w:w="771" w:type="pct"/>
            <w:tcBorders>
              <w:top w:val="outset" w:sz="6" w:space="0" w:color="414142"/>
              <w:left w:val="outset" w:sz="6" w:space="0" w:color="414142"/>
              <w:bottom w:val="outset" w:sz="6" w:space="0" w:color="414142"/>
              <w:right w:val="outset" w:sz="6" w:space="0" w:color="414142"/>
            </w:tcBorders>
            <w:shd w:val="clear" w:color="auto" w:fill="FFFFFF"/>
            <w:hideMark/>
          </w:tcPr>
          <w:p w14:paraId="0B3723FF" w14:textId="785B192F" w:rsidR="00E00803" w:rsidRPr="002E0C7A" w:rsidRDefault="00E00803" w:rsidP="00E00803">
            <w:pPr>
              <w:spacing w:after="0" w:line="240" w:lineRule="auto"/>
              <w:rPr>
                <w:rFonts w:ascii="Times New Roman" w:eastAsia="Times New Roman" w:hAnsi="Times New Roman" w:cs="Times New Roman"/>
                <w:sz w:val="28"/>
                <w:szCs w:val="28"/>
                <w:lang w:eastAsia="lv-LV"/>
              </w:rPr>
            </w:pPr>
            <w:r w:rsidRPr="002E0C7A">
              <w:rPr>
                <w:rFonts w:ascii="Times New Roman" w:eastAsia="Times New Roman" w:hAnsi="Times New Roman" w:cs="Times New Roman"/>
                <w:sz w:val="28"/>
                <w:szCs w:val="28"/>
                <w:lang w:eastAsia="lv-LV"/>
              </w:rPr>
              <w:t> 0</w:t>
            </w:r>
          </w:p>
        </w:tc>
      </w:tr>
      <w:tr w:rsidR="00E00803" w:rsidRPr="002E0C7A" w14:paraId="3511BCCA" w14:textId="77777777" w:rsidTr="00282ADE">
        <w:tc>
          <w:tcPr>
            <w:tcW w:w="1571" w:type="pct"/>
            <w:tcBorders>
              <w:top w:val="outset" w:sz="6" w:space="0" w:color="414142"/>
              <w:left w:val="outset" w:sz="6" w:space="0" w:color="414142"/>
              <w:bottom w:val="outset" w:sz="6" w:space="0" w:color="414142"/>
              <w:right w:val="outset" w:sz="6" w:space="0" w:color="414142"/>
            </w:tcBorders>
            <w:shd w:val="clear" w:color="auto" w:fill="FFFFFF"/>
            <w:hideMark/>
          </w:tcPr>
          <w:p w14:paraId="2DA10DDC" w14:textId="77777777" w:rsidR="00E00803" w:rsidRPr="002E0C7A" w:rsidRDefault="00E00803" w:rsidP="00E00803">
            <w:pPr>
              <w:spacing w:after="0" w:line="240" w:lineRule="auto"/>
              <w:rPr>
                <w:rFonts w:ascii="Times New Roman" w:eastAsia="Times New Roman" w:hAnsi="Times New Roman" w:cs="Times New Roman"/>
                <w:sz w:val="28"/>
                <w:szCs w:val="28"/>
                <w:lang w:eastAsia="lv-LV"/>
              </w:rPr>
            </w:pPr>
            <w:r w:rsidRPr="002E0C7A">
              <w:rPr>
                <w:rFonts w:ascii="Times New Roman" w:eastAsia="Times New Roman" w:hAnsi="Times New Roman" w:cs="Times New Roman"/>
                <w:sz w:val="28"/>
                <w:szCs w:val="28"/>
                <w:lang w:eastAsia="lv-LV"/>
              </w:rPr>
              <w:t>5.2. speciālais budžets</w:t>
            </w:r>
          </w:p>
        </w:tc>
        <w:tc>
          <w:tcPr>
            <w:tcW w:w="574"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69D8837" w14:textId="77777777" w:rsidR="00E00803" w:rsidRPr="002E0C7A" w:rsidRDefault="00E00803" w:rsidP="00E00803">
            <w:pPr>
              <w:spacing w:after="0" w:line="240" w:lineRule="auto"/>
              <w:rPr>
                <w:rFonts w:ascii="Times New Roman" w:eastAsia="Times New Roman" w:hAnsi="Times New Roman" w:cs="Times New Roman"/>
                <w:sz w:val="28"/>
                <w:szCs w:val="28"/>
                <w:lang w:eastAsia="lv-LV"/>
              </w:rPr>
            </w:pPr>
          </w:p>
        </w:tc>
        <w:tc>
          <w:tcPr>
            <w:tcW w:w="816" w:type="pct"/>
            <w:tcBorders>
              <w:top w:val="outset" w:sz="6" w:space="0" w:color="414142"/>
              <w:left w:val="outset" w:sz="6" w:space="0" w:color="414142"/>
              <w:bottom w:val="outset" w:sz="6" w:space="0" w:color="414142"/>
              <w:right w:val="outset" w:sz="6" w:space="0" w:color="414142"/>
            </w:tcBorders>
            <w:shd w:val="clear" w:color="auto" w:fill="FFFFFF"/>
            <w:hideMark/>
          </w:tcPr>
          <w:p w14:paraId="347F70E9" w14:textId="50B2AFEC" w:rsidR="00E00803" w:rsidRPr="002E0C7A" w:rsidRDefault="00E00803" w:rsidP="00E00803">
            <w:pPr>
              <w:spacing w:after="0" w:line="240" w:lineRule="auto"/>
              <w:rPr>
                <w:rFonts w:ascii="Times New Roman" w:eastAsia="Times New Roman" w:hAnsi="Times New Roman" w:cs="Times New Roman"/>
                <w:sz w:val="28"/>
                <w:szCs w:val="28"/>
                <w:lang w:eastAsia="lv-LV"/>
              </w:rPr>
            </w:pPr>
            <w:r w:rsidRPr="002E0C7A">
              <w:rPr>
                <w:rFonts w:ascii="Times New Roman" w:eastAsia="Times New Roman" w:hAnsi="Times New Roman" w:cs="Times New Roman"/>
                <w:sz w:val="28"/>
                <w:szCs w:val="28"/>
                <w:lang w:eastAsia="lv-LV"/>
              </w:rPr>
              <w:t> 0</w:t>
            </w:r>
          </w:p>
        </w:tc>
        <w:tc>
          <w:tcPr>
            <w:tcW w:w="634" w:type="pct"/>
            <w:tcBorders>
              <w:top w:val="outset" w:sz="6" w:space="0" w:color="414142"/>
              <w:left w:val="outset" w:sz="6" w:space="0" w:color="414142"/>
              <w:bottom w:val="outset" w:sz="6" w:space="0" w:color="414142"/>
              <w:right w:val="outset" w:sz="6" w:space="0" w:color="414142"/>
            </w:tcBorders>
            <w:shd w:val="clear" w:color="auto" w:fill="FFFFFF"/>
            <w:hideMark/>
          </w:tcPr>
          <w:p w14:paraId="181B66B3" w14:textId="7CCAD583" w:rsidR="00E00803" w:rsidRPr="002E0C7A" w:rsidRDefault="00E00803" w:rsidP="00E00803">
            <w:pPr>
              <w:spacing w:after="0" w:line="240" w:lineRule="auto"/>
              <w:rPr>
                <w:rFonts w:ascii="Times New Roman" w:eastAsia="Times New Roman" w:hAnsi="Times New Roman" w:cs="Times New Roman"/>
                <w:sz w:val="28"/>
                <w:szCs w:val="28"/>
                <w:lang w:eastAsia="lv-LV"/>
              </w:rPr>
            </w:pPr>
            <w:r w:rsidRPr="002E0C7A">
              <w:rPr>
                <w:rFonts w:ascii="Times New Roman" w:eastAsia="Times New Roman" w:hAnsi="Times New Roman" w:cs="Times New Roman"/>
                <w:sz w:val="28"/>
                <w:szCs w:val="28"/>
                <w:lang w:eastAsia="lv-LV"/>
              </w:rPr>
              <w:t> 0</w:t>
            </w:r>
          </w:p>
        </w:tc>
        <w:tc>
          <w:tcPr>
            <w:tcW w:w="634" w:type="pct"/>
            <w:tcBorders>
              <w:top w:val="outset" w:sz="6" w:space="0" w:color="414142"/>
              <w:left w:val="outset" w:sz="6" w:space="0" w:color="414142"/>
              <w:bottom w:val="outset" w:sz="6" w:space="0" w:color="414142"/>
              <w:right w:val="outset" w:sz="6" w:space="0" w:color="414142"/>
            </w:tcBorders>
            <w:shd w:val="clear" w:color="auto" w:fill="FFFFFF"/>
            <w:hideMark/>
          </w:tcPr>
          <w:p w14:paraId="6E3FA283" w14:textId="6FD06122" w:rsidR="00E00803" w:rsidRPr="002E0C7A" w:rsidRDefault="00E00803" w:rsidP="00E00803">
            <w:pPr>
              <w:spacing w:after="0" w:line="240" w:lineRule="auto"/>
              <w:rPr>
                <w:rFonts w:ascii="Times New Roman" w:eastAsia="Times New Roman" w:hAnsi="Times New Roman" w:cs="Times New Roman"/>
                <w:sz w:val="28"/>
                <w:szCs w:val="28"/>
                <w:lang w:eastAsia="lv-LV"/>
              </w:rPr>
            </w:pPr>
            <w:r w:rsidRPr="002E0C7A">
              <w:rPr>
                <w:rFonts w:ascii="Times New Roman" w:eastAsia="Times New Roman" w:hAnsi="Times New Roman" w:cs="Times New Roman"/>
                <w:sz w:val="28"/>
                <w:szCs w:val="28"/>
                <w:lang w:eastAsia="lv-LV"/>
              </w:rPr>
              <w:t> 0</w:t>
            </w:r>
          </w:p>
        </w:tc>
        <w:tc>
          <w:tcPr>
            <w:tcW w:w="771" w:type="pct"/>
            <w:tcBorders>
              <w:top w:val="outset" w:sz="6" w:space="0" w:color="414142"/>
              <w:left w:val="outset" w:sz="6" w:space="0" w:color="414142"/>
              <w:bottom w:val="outset" w:sz="6" w:space="0" w:color="414142"/>
              <w:right w:val="outset" w:sz="6" w:space="0" w:color="414142"/>
            </w:tcBorders>
            <w:shd w:val="clear" w:color="auto" w:fill="FFFFFF"/>
            <w:hideMark/>
          </w:tcPr>
          <w:p w14:paraId="1A4A725B" w14:textId="201C6A2B" w:rsidR="00E00803" w:rsidRPr="002E0C7A" w:rsidRDefault="00E00803" w:rsidP="00E00803">
            <w:pPr>
              <w:spacing w:after="0" w:line="240" w:lineRule="auto"/>
              <w:rPr>
                <w:rFonts w:ascii="Times New Roman" w:eastAsia="Times New Roman" w:hAnsi="Times New Roman" w:cs="Times New Roman"/>
                <w:sz w:val="28"/>
                <w:szCs w:val="28"/>
                <w:lang w:eastAsia="lv-LV"/>
              </w:rPr>
            </w:pPr>
            <w:r w:rsidRPr="002E0C7A">
              <w:rPr>
                <w:rFonts w:ascii="Times New Roman" w:eastAsia="Times New Roman" w:hAnsi="Times New Roman" w:cs="Times New Roman"/>
                <w:sz w:val="28"/>
                <w:szCs w:val="28"/>
                <w:lang w:eastAsia="lv-LV"/>
              </w:rPr>
              <w:t> 0</w:t>
            </w:r>
          </w:p>
        </w:tc>
      </w:tr>
      <w:tr w:rsidR="00E00803" w:rsidRPr="002E0C7A" w14:paraId="3B3F797D" w14:textId="77777777" w:rsidTr="00282ADE">
        <w:tc>
          <w:tcPr>
            <w:tcW w:w="1571" w:type="pct"/>
            <w:tcBorders>
              <w:top w:val="outset" w:sz="6" w:space="0" w:color="414142"/>
              <w:left w:val="outset" w:sz="6" w:space="0" w:color="414142"/>
              <w:bottom w:val="outset" w:sz="6" w:space="0" w:color="414142"/>
              <w:right w:val="outset" w:sz="6" w:space="0" w:color="414142"/>
            </w:tcBorders>
            <w:shd w:val="clear" w:color="auto" w:fill="FFFFFF"/>
            <w:hideMark/>
          </w:tcPr>
          <w:p w14:paraId="04845FE9" w14:textId="77777777" w:rsidR="00E00803" w:rsidRPr="002E0C7A" w:rsidRDefault="00E00803" w:rsidP="00E00803">
            <w:pPr>
              <w:spacing w:after="0" w:line="240" w:lineRule="auto"/>
              <w:rPr>
                <w:rFonts w:ascii="Times New Roman" w:eastAsia="Times New Roman" w:hAnsi="Times New Roman" w:cs="Times New Roman"/>
                <w:sz w:val="28"/>
                <w:szCs w:val="28"/>
                <w:lang w:eastAsia="lv-LV"/>
              </w:rPr>
            </w:pPr>
            <w:r w:rsidRPr="002E0C7A">
              <w:rPr>
                <w:rFonts w:ascii="Times New Roman" w:eastAsia="Times New Roman" w:hAnsi="Times New Roman" w:cs="Times New Roman"/>
                <w:sz w:val="28"/>
                <w:szCs w:val="28"/>
                <w:lang w:eastAsia="lv-LV"/>
              </w:rPr>
              <w:t>5.3. pašvaldību budžets</w:t>
            </w:r>
          </w:p>
        </w:tc>
        <w:tc>
          <w:tcPr>
            <w:tcW w:w="574"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5602EE8" w14:textId="77777777" w:rsidR="00E00803" w:rsidRPr="002E0C7A" w:rsidRDefault="00E00803" w:rsidP="00E00803">
            <w:pPr>
              <w:spacing w:after="0" w:line="240" w:lineRule="auto"/>
              <w:rPr>
                <w:rFonts w:ascii="Times New Roman" w:eastAsia="Times New Roman" w:hAnsi="Times New Roman" w:cs="Times New Roman"/>
                <w:sz w:val="28"/>
                <w:szCs w:val="28"/>
                <w:lang w:eastAsia="lv-LV"/>
              </w:rPr>
            </w:pPr>
          </w:p>
        </w:tc>
        <w:tc>
          <w:tcPr>
            <w:tcW w:w="816" w:type="pct"/>
            <w:tcBorders>
              <w:top w:val="outset" w:sz="6" w:space="0" w:color="414142"/>
              <w:left w:val="outset" w:sz="6" w:space="0" w:color="414142"/>
              <w:bottom w:val="outset" w:sz="6" w:space="0" w:color="414142"/>
              <w:right w:val="outset" w:sz="6" w:space="0" w:color="414142"/>
            </w:tcBorders>
            <w:shd w:val="clear" w:color="auto" w:fill="FFFFFF"/>
            <w:hideMark/>
          </w:tcPr>
          <w:p w14:paraId="35F45C23" w14:textId="103C4E70" w:rsidR="00E00803" w:rsidRPr="002E0C7A" w:rsidRDefault="00E00803" w:rsidP="00E00803">
            <w:pPr>
              <w:spacing w:after="0" w:line="240" w:lineRule="auto"/>
              <w:rPr>
                <w:rFonts w:ascii="Times New Roman" w:eastAsia="Times New Roman" w:hAnsi="Times New Roman" w:cs="Times New Roman"/>
                <w:sz w:val="28"/>
                <w:szCs w:val="28"/>
                <w:lang w:eastAsia="lv-LV"/>
              </w:rPr>
            </w:pPr>
            <w:r w:rsidRPr="002E0C7A">
              <w:rPr>
                <w:rFonts w:ascii="Times New Roman" w:eastAsia="Times New Roman" w:hAnsi="Times New Roman" w:cs="Times New Roman"/>
                <w:sz w:val="28"/>
                <w:szCs w:val="28"/>
                <w:lang w:eastAsia="lv-LV"/>
              </w:rPr>
              <w:t> 0</w:t>
            </w:r>
          </w:p>
        </w:tc>
        <w:tc>
          <w:tcPr>
            <w:tcW w:w="634" w:type="pct"/>
            <w:tcBorders>
              <w:top w:val="outset" w:sz="6" w:space="0" w:color="414142"/>
              <w:left w:val="outset" w:sz="6" w:space="0" w:color="414142"/>
              <w:bottom w:val="outset" w:sz="6" w:space="0" w:color="414142"/>
              <w:right w:val="outset" w:sz="6" w:space="0" w:color="414142"/>
            </w:tcBorders>
            <w:shd w:val="clear" w:color="auto" w:fill="FFFFFF"/>
            <w:hideMark/>
          </w:tcPr>
          <w:p w14:paraId="7A7F8D18" w14:textId="4BB32BD8" w:rsidR="00E00803" w:rsidRPr="002E0C7A" w:rsidRDefault="00E00803" w:rsidP="00E00803">
            <w:pPr>
              <w:spacing w:after="0" w:line="240" w:lineRule="auto"/>
              <w:rPr>
                <w:rFonts w:ascii="Times New Roman" w:eastAsia="Times New Roman" w:hAnsi="Times New Roman" w:cs="Times New Roman"/>
                <w:sz w:val="28"/>
                <w:szCs w:val="28"/>
                <w:lang w:eastAsia="lv-LV"/>
              </w:rPr>
            </w:pPr>
            <w:r w:rsidRPr="002E0C7A">
              <w:rPr>
                <w:rFonts w:ascii="Times New Roman" w:eastAsia="Times New Roman" w:hAnsi="Times New Roman" w:cs="Times New Roman"/>
                <w:sz w:val="28"/>
                <w:szCs w:val="28"/>
                <w:lang w:eastAsia="lv-LV"/>
              </w:rPr>
              <w:t> 0</w:t>
            </w:r>
          </w:p>
        </w:tc>
        <w:tc>
          <w:tcPr>
            <w:tcW w:w="634" w:type="pct"/>
            <w:tcBorders>
              <w:top w:val="outset" w:sz="6" w:space="0" w:color="414142"/>
              <w:left w:val="outset" w:sz="6" w:space="0" w:color="414142"/>
              <w:bottom w:val="outset" w:sz="6" w:space="0" w:color="414142"/>
              <w:right w:val="outset" w:sz="6" w:space="0" w:color="414142"/>
            </w:tcBorders>
            <w:shd w:val="clear" w:color="auto" w:fill="FFFFFF"/>
            <w:hideMark/>
          </w:tcPr>
          <w:p w14:paraId="0A54BE85" w14:textId="7CA93EB6" w:rsidR="00E00803" w:rsidRPr="002E0C7A" w:rsidRDefault="00E00803" w:rsidP="00E00803">
            <w:pPr>
              <w:spacing w:after="0" w:line="240" w:lineRule="auto"/>
              <w:rPr>
                <w:rFonts w:ascii="Times New Roman" w:eastAsia="Times New Roman" w:hAnsi="Times New Roman" w:cs="Times New Roman"/>
                <w:sz w:val="28"/>
                <w:szCs w:val="28"/>
                <w:lang w:eastAsia="lv-LV"/>
              </w:rPr>
            </w:pPr>
            <w:r w:rsidRPr="002E0C7A">
              <w:rPr>
                <w:rFonts w:ascii="Times New Roman" w:eastAsia="Times New Roman" w:hAnsi="Times New Roman" w:cs="Times New Roman"/>
                <w:sz w:val="28"/>
                <w:szCs w:val="28"/>
                <w:lang w:eastAsia="lv-LV"/>
              </w:rPr>
              <w:t> 0</w:t>
            </w:r>
          </w:p>
        </w:tc>
        <w:tc>
          <w:tcPr>
            <w:tcW w:w="771" w:type="pct"/>
            <w:tcBorders>
              <w:top w:val="outset" w:sz="6" w:space="0" w:color="414142"/>
              <w:left w:val="outset" w:sz="6" w:space="0" w:color="414142"/>
              <w:bottom w:val="outset" w:sz="6" w:space="0" w:color="414142"/>
              <w:right w:val="outset" w:sz="6" w:space="0" w:color="414142"/>
            </w:tcBorders>
            <w:shd w:val="clear" w:color="auto" w:fill="FFFFFF"/>
            <w:hideMark/>
          </w:tcPr>
          <w:p w14:paraId="701D9DE6" w14:textId="09786F85" w:rsidR="00E00803" w:rsidRPr="002E0C7A" w:rsidRDefault="00E00803" w:rsidP="00E00803">
            <w:pPr>
              <w:spacing w:after="0" w:line="240" w:lineRule="auto"/>
              <w:rPr>
                <w:rFonts w:ascii="Times New Roman" w:eastAsia="Times New Roman" w:hAnsi="Times New Roman" w:cs="Times New Roman"/>
                <w:sz w:val="28"/>
                <w:szCs w:val="28"/>
                <w:lang w:eastAsia="lv-LV"/>
              </w:rPr>
            </w:pPr>
            <w:r w:rsidRPr="002E0C7A">
              <w:rPr>
                <w:rFonts w:ascii="Times New Roman" w:eastAsia="Times New Roman" w:hAnsi="Times New Roman" w:cs="Times New Roman"/>
                <w:sz w:val="28"/>
                <w:szCs w:val="28"/>
                <w:lang w:eastAsia="lv-LV"/>
              </w:rPr>
              <w:t>0 </w:t>
            </w:r>
          </w:p>
        </w:tc>
      </w:tr>
      <w:tr w:rsidR="00F70BA7" w:rsidRPr="002E0C7A" w14:paraId="36DD94C1" w14:textId="77777777" w:rsidTr="00282ADE">
        <w:tc>
          <w:tcPr>
            <w:tcW w:w="1571" w:type="pct"/>
            <w:tcBorders>
              <w:top w:val="outset" w:sz="6" w:space="0" w:color="414142"/>
              <w:left w:val="outset" w:sz="6" w:space="0" w:color="414142"/>
              <w:bottom w:val="outset" w:sz="6" w:space="0" w:color="414142"/>
              <w:right w:val="outset" w:sz="6" w:space="0" w:color="414142"/>
            </w:tcBorders>
            <w:shd w:val="clear" w:color="auto" w:fill="FFFFFF"/>
            <w:hideMark/>
          </w:tcPr>
          <w:p w14:paraId="0D2490D9" w14:textId="77777777" w:rsidR="00F70BA7" w:rsidRPr="002E0C7A" w:rsidRDefault="00F70BA7" w:rsidP="00F70BA7">
            <w:pPr>
              <w:spacing w:after="0" w:line="240" w:lineRule="auto"/>
              <w:rPr>
                <w:rFonts w:ascii="Times New Roman" w:eastAsia="Times New Roman" w:hAnsi="Times New Roman" w:cs="Times New Roman"/>
                <w:sz w:val="28"/>
                <w:szCs w:val="28"/>
                <w:lang w:eastAsia="lv-LV"/>
              </w:rPr>
            </w:pPr>
            <w:r w:rsidRPr="002E0C7A">
              <w:rPr>
                <w:rFonts w:ascii="Times New Roman" w:eastAsia="Times New Roman" w:hAnsi="Times New Roman" w:cs="Times New Roman"/>
                <w:sz w:val="28"/>
                <w:szCs w:val="28"/>
                <w:lang w:eastAsia="lv-LV"/>
              </w:rPr>
              <w:t xml:space="preserve">6. Detalizēts ieņēmumu un izdevumu aprēķins </w:t>
            </w:r>
            <w:r w:rsidRPr="002E0C7A">
              <w:rPr>
                <w:rFonts w:ascii="Times New Roman" w:eastAsia="Times New Roman" w:hAnsi="Times New Roman" w:cs="Times New Roman"/>
                <w:sz w:val="28"/>
                <w:szCs w:val="28"/>
                <w:lang w:eastAsia="lv-LV"/>
              </w:rPr>
              <w:lastRenderedPageBreak/>
              <w:t>(ja nepieciešams, detalizētu ieņēmumu un izdevumu aprēķinu var pievienot anotācijas pielikumā):</w:t>
            </w:r>
          </w:p>
        </w:tc>
        <w:tc>
          <w:tcPr>
            <w:tcW w:w="3429" w:type="pct"/>
            <w:gridSpan w:val="5"/>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F8ABF80" w14:textId="77777777" w:rsidR="007F532F" w:rsidRPr="002E0C7A" w:rsidRDefault="007F532F" w:rsidP="007F532F">
            <w:pPr>
              <w:spacing w:after="0" w:line="240" w:lineRule="auto"/>
              <w:rPr>
                <w:rFonts w:ascii="Times New Roman" w:eastAsia="Times New Roman" w:hAnsi="Times New Roman" w:cs="Times New Roman"/>
                <w:sz w:val="28"/>
                <w:szCs w:val="28"/>
                <w:lang w:eastAsia="lv-LV"/>
              </w:rPr>
            </w:pPr>
            <w:r w:rsidRPr="002E0C7A">
              <w:rPr>
                <w:rFonts w:ascii="Times New Roman" w:eastAsia="Times New Roman" w:hAnsi="Times New Roman" w:cs="Times New Roman"/>
                <w:sz w:val="28"/>
                <w:szCs w:val="28"/>
                <w:lang w:eastAsia="lv-LV"/>
              </w:rPr>
              <w:lastRenderedPageBreak/>
              <w:t xml:space="preserve">Budžeta ieņēmumi aprēķināti, ņemot vērā plānoto nodevas maksātāju – patērētāju kreditēšanas </w:t>
            </w:r>
            <w:r w:rsidRPr="002E0C7A">
              <w:rPr>
                <w:rFonts w:ascii="Times New Roman" w:eastAsia="Times New Roman" w:hAnsi="Times New Roman" w:cs="Times New Roman"/>
                <w:sz w:val="28"/>
                <w:szCs w:val="28"/>
                <w:lang w:eastAsia="lv-LV"/>
              </w:rPr>
              <w:lastRenderedPageBreak/>
              <w:t>pakalpojumu sniedzēju, skaitu:</w:t>
            </w:r>
          </w:p>
          <w:p w14:paraId="38E180B2" w14:textId="319EA951" w:rsidR="007F532F" w:rsidRPr="002E0C7A" w:rsidRDefault="007F532F" w:rsidP="007F532F">
            <w:pPr>
              <w:spacing w:after="0" w:line="240" w:lineRule="auto"/>
              <w:rPr>
                <w:rFonts w:ascii="Times New Roman" w:eastAsia="Times New Roman" w:hAnsi="Times New Roman" w:cs="Times New Roman"/>
                <w:sz w:val="28"/>
                <w:szCs w:val="28"/>
                <w:lang w:eastAsia="lv-LV"/>
              </w:rPr>
            </w:pPr>
            <w:r w:rsidRPr="002E0C7A">
              <w:rPr>
                <w:rFonts w:ascii="Times New Roman" w:eastAsia="Times New Roman" w:hAnsi="Times New Roman" w:cs="Times New Roman"/>
                <w:sz w:val="28"/>
                <w:szCs w:val="28"/>
                <w:lang w:eastAsia="lv-LV"/>
              </w:rPr>
              <w:t xml:space="preserve">2016.gadā: </w:t>
            </w:r>
            <w:r w:rsidR="00BB7AC0">
              <w:rPr>
                <w:rFonts w:ascii="Times New Roman" w:eastAsia="Times New Roman" w:hAnsi="Times New Roman" w:cs="Times New Roman"/>
                <w:b/>
                <w:sz w:val="28"/>
                <w:szCs w:val="28"/>
                <w:lang w:eastAsia="lv-LV"/>
              </w:rPr>
              <w:t>825</w:t>
            </w:r>
            <w:r w:rsidRPr="002E0C7A">
              <w:rPr>
                <w:rFonts w:ascii="Times New Roman" w:eastAsia="Times New Roman" w:hAnsi="Times New Roman" w:cs="Times New Roman"/>
                <w:b/>
                <w:sz w:val="28"/>
                <w:szCs w:val="28"/>
                <w:lang w:eastAsia="lv-LV"/>
              </w:rPr>
              <w:t xml:space="preserve">050 </w:t>
            </w:r>
            <w:proofErr w:type="spellStart"/>
            <w:r w:rsidRPr="002E0C7A">
              <w:rPr>
                <w:rFonts w:ascii="Times New Roman" w:eastAsia="Times New Roman" w:hAnsi="Times New Roman" w:cs="Times New Roman"/>
                <w:b/>
                <w:i/>
                <w:sz w:val="28"/>
                <w:szCs w:val="28"/>
                <w:lang w:eastAsia="lv-LV"/>
              </w:rPr>
              <w:t>euro</w:t>
            </w:r>
            <w:proofErr w:type="spellEnd"/>
            <w:r w:rsidRPr="002E0C7A">
              <w:rPr>
                <w:rFonts w:ascii="Times New Roman" w:eastAsia="Times New Roman" w:hAnsi="Times New Roman" w:cs="Times New Roman"/>
                <w:sz w:val="28"/>
                <w:szCs w:val="28"/>
                <w:lang w:eastAsia="lv-LV"/>
              </w:rPr>
              <w:t xml:space="preserve"> (14225 </w:t>
            </w:r>
            <w:proofErr w:type="spellStart"/>
            <w:r w:rsidRPr="002E0C7A">
              <w:rPr>
                <w:rFonts w:ascii="Times New Roman" w:eastAsia="Times New Roman" w:hAnsi="Times New Roman" w:cs="Times New Roman"/>
                <w:i/>
                <w:sz w:val="28"/>
                <w:szCs w:val="28"/>
                <w:lang w:eastAsia="lv-LV"/>
              </w:rPr>
              <w:t>euro</w:t>
            </w:r>
            <w:proofErr w:type="spellEnd"/>
            <w:r w:rsidRPr="002E0C7A">
              <w:rPr>
                <w:rFonts w:ascii="Times New Roman" w:eastAsia="Times New Roman" w:hAnsi="Times New Roman" w:cs="Times New Roman"/>
                <w:sz w:val="28"/>
                <w:szCs w:val="28"/>
                <w:lang w:eastAsia="lv-LV"/>
              </w:rPr>
              <w:t xml:space="preserve"> x 58);</w:t>
            </w:r>
          </w:p>
          <w:p w14:paraId="3E12F56B" w14:textId="561F52BF" w:rsidR="007F532F" w:rsidRPr="002E0C7A" w:rsidRDefault="007F532F" w:rsidP="007F532F">
            <w:pPr>
              <w:spacing w:after="0" w:line="240" w:lineRule="auto"/>
              <w:rPr>
                <w:rFonts w:ascii="Times New Roman" w:eastAsia="Times New Roman" w:hAnsi="Times New Roman" w:cs="Times New Roman"/>
                <w:sz w:val="28"/>
                <w:szCs w:val="28"/>
                <w:lang w:eastAsia="lv-LV"/>
              </w:rPr>
            </w:pPr>
            <w:r w:rsidRPr="002E0C7A">
              <w:rPr>
                <w:rFonts w:ascii="Times New Roman" w:eastAsia="Times New Roman" w:hAnsi="Times New Roman" w:cs="Times New Roman"/>
                <w:sz w:val="28"/>
                <w:szCs w:val="28"/>
                <w:lang w:eastAsia="lv-LV"/>
              </w:rPr>
              <w:t xml:space="preserve">2017.gadā: </w:t>
            </w:r>
            <w:r w:rsidR="00BB7AC0">
              <w:rPr>
                <w:rFonts w:ascii="Times New Roman" w:eastAsia="Times New Roman" w:hAnsi="Times New Roman" w:cs="Times New Roman"/>
                <w:b/>
                <w:sz w:val="28"/>
                <w:szCs w:val="28"/>
                <w:lang w:eastAsia="lv-LV"/>
              </w:rPr>
              <w:t>853</w:t>
            </w:r>
            <w:r w:rsidRPr="002E0C7A">
              <w:rPr>
                <w:rFonts w:ascii="Times New Roman" w:eastAsia="Times New Roman" w:hAnsi="Times New Roman" w:cs="Times New Roman"/>
                <w:b/>
                <w:sz w:val="28"/>
                <w:szCs w:val="28"/>
                <w:lang w:eastAsia="lv-LV"/>
              </w:rPr>
              <w:t xml:space="preserve">500 </w:t>
            </w:r>
            <w:proofErr w:type="spellStart"/>
            <w:r w:rsidRPr="002E0C7A">
              <w:rPr>
                <w:rFonts w:ascii="Times New Roman" w:eastAsia="Times New Roman" w:hAnsi="Times New Roman" w:cs="Times New Roman"/>
                <w:b/>
                <w:i/>
                <w:sz w:val="28"/>
                <w:szCs w:val="28"/>
                <w:lang w:eastAsia="lv-LV"/>
              </w:rPr>
              <w:t>euro</w:t>
            </w:r>
            <w:proofErr w:type="spellEnd"/>
            <w:r w:rsidRPr="002E0C7A">
              <w:rPr>
                <w:rFonts w:ascii="Times New Roman" w:eastAsia="Times New Roman" w:hAnsi="Times New Roman" w:cs="Times New Roman"/>
                <w:sz w:val="28"/>
                <w:szCs w:val="28"/>
                <w:lang w:eastAsia="lv-LV"/>
              </w:rPr>
              <w:t xml:space="preserve"> (14225 </w:t>
            </w:r>
            <w:proofErr w:type="spellStart"/>
            <w:r w:rsidRPr="002E0C7A">
              <w:rPr>
                <w:rFonts w:ascii="Times New Roman" w:eastAsia="Times New Roman" w:hAnsi="Times New Roman" w:cs="Times New Roman"/>
                <w:i/>
                <w:sz w:val="28"/>
                <w:szCs w:val="28"/>
                <w:lang w:eastAsia="lv-LV"/>
              </w:rPr>
              <w:t>euro</w:t>
            </w:r>
            <w:proofErr w:type="spellEnd"/>
            <w:r w:rsidRPr="002E0C7A">
              <w:rPr>
                <w:rFonts w:ascii="Times New Roman" w:eastAsia="Times New Roman" w:hAnsi="Times New Roman" w:cs="Times New Roman"/>
                <w:sz w:val="28"/>
                <w:szCs w:val="28"/>
                <w:lang w:eastAsia="lv-LV"/>
              </w:rPr>
              <w:t xml:space="preserve"> x 60);</w:t>
            </w:r>
          </w:p>
          <w:p w14:paraId="61FCB5F6" w14:textId="108813DA" w:rsidR="00F70BA7" w:rsidRPr="002E0C7A" w:rsidRDefault="007F532F" w:rsidP="00C273B4">
            <w:pPr>
              <w:spacing w:after="0" w:line="240" w:lineRule="auto"/>
              <w:rPr>
                <w:rFonts w:ascii="Times New Roman" w:eastAsia="Times New Roman" w:hAnsi="Times New Roman" w:cs="Times New Roman"/>
                <w:sz w:val="28"/>
                <w:szCs w:val="28"/>
                <w:lang w:eastAsia="lv-LV"/>
              </w:rPr>
            </w:pPr>
            <w:r w:rsidRPr="002E0C7A">
              <w:rPr>
                <w:rFonts w:ascii="Times New Roman" w:eastAsia="Times New Roman" w:hAnsi="Times New Roman" w:cs="Times New Roman"/>
                <w:sz w:val="28"/>
                <w:szCs w:val="28"/>
                <w:lang w:eastAsia="lv-LV"/>
              </w:rPr>
              <w:t xml:space="preserve">2018.gadā: </w:t>
            </w:r>
            <w:r w:rsidR="00BB7AC0">
              <w:rPr>
                <w:rFonts w:ascii="Times New Roman" w:eastAsia="Times New Roman" w:hAnsi="Times New Roman" w:cs="Times New Roman"/>
                <w:b/>
                <w:sz w:val="28"/>
                <w:szCs w:val="28"/>
                <w:lang w:eastAsia="lv-LV"/>
              </w:rPr>
              <w:t>867</w:t>
            </w:r>
            <w:r w:rsidRPr="002E0C7A">
              <w:rPr>
                <w:rFonts w:ascii="Times New Roman" w:eastAsia="Times New Roman" w:hAnsi="Times New Roman" w:cs="Times New Roman"/>
                <w:b/>
                <w:sz w:val="28"/>
                <w:szCs w:val="28"/>
                <w:lang w:eastAsia="lv-LV"/>
              </w:rPr>
              <w:t xml:space="preserve">725 </w:t>
            </w:r>
            <w:proofErr w:type="spellStart"/>
            <w:r w:rsidRPr="002E0C7A">
              <w:rPr>
                <w:rFonts w:ascii="Times New Roman" w:eastAsia="Times New Roman" w:hAnsi="Times New Roman" w:cs="Times New Roman"/>
                <w:b/>
                <w:i/>
                <w:sz w:val="28"/>
                <w:szCs w:val="28"/>
                <w:lang w:eastAsia="lv-LV"/>
              </w:rPr>
              <w:t>euro</w:t>
            </w:r>
            <w:proofErr w:type="spellEnd"/>
            <w:r w:rsidRPr="002E0C7A">
              <w:rPr>
                <w:rFonts w:ascii="Times New Roman" w:eastAsia="Times New Roman" w:hAnsi="Times New Roman" w:cs="Times New Roman"/>
                <w:sz w:val="28"/>
                <w:szCs w:val="28"/>
                <w:lang w:eastAsia="lv-LV"/>
              </w:rPr>
              <w:t xml:space="preserve"> (14225 </w:t>
            </w:r>
            <w:proofErr w:type="spellStart"/>
            <w:r w:rsidRPr="002E0C7A">
              <w:rPr>
                <w:rFonts w:ascii="Times New Roman" w:eastAsia="Times New Roman" w:hAnsi="Times New Roman" w:cs="Times New Roman"/>
                <w:i/>
                <w:sz w:val="28"/>
                <w:szCs w:val="28"/>
                <w:lang w:eastAsia="lv-LV"/>
              </w:rPr>
              <w:t>euro</w:t>
            </w:r>
            <w:proofErr w:type="spellEnd"/>
            <w:r w:rsidRPr="002E0C7A">
              <w:rPr>
                <w:rFonts w:ascii="Times New Roman" w:eastAsia="Times New Roman" w:hAnsi="Times New Roman" w:cs="Times New Roman"/>
                <w:sz w:val="28"/>
                <w:szCs w:val="28"/>
                <w:lang w:eastAsia="lv-LV"/>
              </w:rPr>
              <w:t xml:space="preserve"> x 61).</w:t>
            </w:r>
          </w:p>
        </w:tc>
      </w:tr>
      <w:tr w:rsidR="00F70BA7" w:rsidRPr="002E0C7A" w14:paraId="66AC5A0A" w14:textId="77777777" w:rsidTr="00282ADE">
        <w:tc>
          <w:tcPr>
            <w:tcW w:w="1571" w:type="pct"/>
            <w:tcBorders>
              <w:top w:val="outset" w:sz="6" w:space="0" w:color="414142"/>
              <w:left w:val="outset" w:sz="6" w:space="0" w:color="414142"/>
              <w:bottom w:val="outset" w:sz="6" w:space="0" w:color="414142"/>
              <w:right w:val="outset" w:sz="6" w:space="0" w:color="414142"/>
            </w:tcBorders>
            <w:shd w:val="clear" w:color="auto" w:fill="FFFFFF"/>
            <w:hideMark/>
          </w:tcPr>
          <w:p w14:paraId="6DA089A6" w14:textId="77777777" w:rsidR="00F70BA7" w:rsidRPr="002E0C7A" w:rsidRDefault="00F70BA7" w:rsidP="00F70BA7">
            <w:pPr>
              <w:spacing w:after="0" w:line="240" w:lineRule="auto"/>
              <w:rPr>
                <w:rFonts w:ascii="Times New Roman" w:eastAsia="Times New Roman" w:hAnsi="Times New Roman" w:cs="Times New Roman"/>
                <w:sz w:val="28"/>
                <w:szCs w:val="28"/>
                <w:lang w:eastAsia="lv-LV"/>
              </w:rPr>
            </w:pPr>
            <w:r w:rsidRPr="002E0C7A">
              <w:rPr>
                <w:rFonts w:ascii="Times New Roman" w:eastAsia="Times New Roman" w:hAnsi="Times New Roman" w:cs="Times New Roman"/>
                <w:sz w:val="28"/>
                <w:szCs w:val="28"/>
                <w:lang w:eastAsia="lv-LV"/>
              </w:rPr>
              <w:lastRenderedPageBreak/>
              <w:t>6.1. detalizēts ieņēmumu aprēķins</w:t>
            </w:r>
          </w:p>
        </w:tc>
        <w:tc>
          <w:tcPr>
            <w:tcW w:w="3429" w:type="pct"/>
            <w:gridSpan w:val="5"/>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2CDA7D4" w14:textId="77777777" w:rsidR="00F70BA7" w:rsidRPr="002E0C7A" w:rsidRDefault="00F70BA7" w:rsidP="00F70BA7">
            <w:pPr>
              <w:spacing w:after="0" w:line="240" w:lineRule="auto"/>
              <w:rPr>
                <w:rFonts w:ascii="Times New Roman" w:eastAsia="Times New Roman" w:hAnsi="Times New Roman" w:cs="Times New Roman"/>
                <w:sz w:val="28"/>
                <w:szCs w:val="28"/>
                <w:lang w:eastAsia="lv-LV"/>
              </w:rPr>
            </w:pPr>
          </w:p>
        </w:tc>
      </w:tr>
      <w:tr w:rsidR="00F70BA7" w:rsidRPr="002E0C7A" w14:paraId="5D2270C0" w14:textId="77777777" w:rsidTr="00282ADE">
        <w:tc>
          <w:tcPr>
            <w:tcW w:w="1571" w:type="pct"/>
            <w:tcBorders>
              <w:top w:val="outset" w:sz="6" w:space="0" w:color="414142"/>
              <w:left w:val="outset" w:sz="6" w:space="0" w:color="414142"/>
              <w:bottom w:val="outset" w:sz="6" w:space="0" w:color="414142"/>
              <w:right w:val="outset" w:sz="6" w:space="0" w:color="414142"/>
            </w:tcBorders>
            <w:shd w:val="clear" w:color="auto" w:fill="FFFFFF"/>
            <w:hideMark/>
          </w:tcPr>
          <w:p w14:paraId="7D070C4B" w14:textId="77777777" w:rsidR="00F70BA7" w:rsidRPr="002E0C7A" w:rsidRDefault="00F70BA7" w:rsidP="00F70BA7">
            <w:pPr>
              <w:spacing w:after="0" w:line="240" w:lineRule="auto"/>
              <w:rPr>
                <w:rFonts w:ascii="Times New Roman" w:eastAsia="Times New Roman" w:hAnsi="Times New Roman" w:cs="Times New Roman"/>
                <w:sz w:val="28"/>
                <w:szCs w:val="28"/>
                <w:lang w:eastAsia="lv-LV"/>
              </w:rPr>
            </w:pPr>
            <w:r w:rsidRPr="002E0C7A">
              <w:rPr>
                <w:rFonts w:ascii="Times New Roman" w:eastAsia="Times New Roman" w:hAnsi="Times New Roman" w:cs="Times New Roman"/>
                <w:sz w:val="28"/>
                <w:szCs w:val="28"/>
                <w:lang w:eastAsia="lv-LV"/>
              </w:rPr>
              <w:t>6.2. detalizēts izdevumu aprēķins</w:t>
            </w:r>
          </w:p>
        </w:tc>
        <w:tc>
          <w:tcPr>
            <w:tcW w:w="3429" w:type="pct"/>
            <w:gridSpan w:val="5"/>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26F9136" w14:textId="77777777" w:rsidR="00F70BA7" w:rsidRPr="002E0C7A" w:rsidRDefault="00F70BA7" w:rsidP="00F70BA7">
            <w:pPr>
              <w:spacing w:after="0" w:line="240" w:lineRule="auto"/>
              <w:rPr>
                <w:rFonts w:ascii="Times New Roman" w:eastAsia="Times New Roman" w:hAnsi="Times New Roman" w:cs="Times New Roman"/>
                <w:sz w:val="28"/>
                <w:szCs w:val="28"/>
                <w:lang w:eastAsia="lv-LV"/>
              </w:rPr>
            </w:pPr>
          </w:p>
        </w:tc>
      </w:tr>
      <w:tr w:rsidR="00F70BA7" w:rsidRPr="002E0C7A" w14:paraId="6E3DA032" w14:textId="77777777" w:rsidTr="00282ADE">
        <w:trPr>
          <w:trHeight w:val="555"/>
        </w:trPr>
        <w:tc>
          <w:tcPr>
            <w:tcW w:w="1571" w:type="pct"/>
            <w:tcBorders>
              <w:top w:val="outset" w:sz="6" w:space="0" w:color="414142"/>
              <w:left w:val="outset" w:sz="6" w:space="0" w:color="414142"/>
              <w:bottom w:val="outset" w:sz="6" w:space="0" w:color="414142"/>
              <w:right w:val="outset" w:sz="6" w:space="0" w:color="414142"/>
            </w:tcBorders>
            <w:shd w:val="clear" w:color="auto" w:fill="FFFFFF"/>
            <w:hideMark/>
          </w:tcPr>
          <w:p w14:paraId="0D4C4F11" w14:textId="77777777" w:rsidR="00F70BA7" w:rsidRPr="002E0C7A" w:rsidRDefault="00F70BA7" w:rsidP="00F70BA7">
            <w:pPr>
              <w:spacing w:after="0" w:line="240" w:lineRule="auto"/>
              <w:rPr>
                <w:rFonts w:ascii="Times New Roman" w:eastAsia="Times New Roman" w:hAnsi="Times New Roman" w:cs="Times New Roman"/>
                <w:sz w:val="28"/>
                <w:szCs w:val="28"/>
                <w:lang w:eastAsia="lv-LV"/>
              </w:rPr>
            </w:pPr>
            <w:r w:rsidRPr="002E0C7A">
              <w:rPr>
                <w:rFonts w:ascii="Times New Roman" w:eastAsia="Times New Roman" w:hAnsi="Times New Roman" w:cs="Times New Roman"/>
                <w:sz w:val="28"/>
                <w:szCs w:val="28"/>
                <w:lang w:eastAsia="lv-LV"/>
              </w:rPr>
              <w:t>7. Cita informācija</w:t>
            </w:r>
          </w:p>
        </w:tc>
        <w:tc>
          <w:tcPr>
            <w:tcW w:w="3429" w:type="pct"/>
            <w:gridSpan w:val="5"/>
            <w:tcBorders>
              <w:top w:val="outset" w:sz="6" w:space="0" w:color="414142"/>
              <w:left w:val="outset" w:sz="6" w:space="0" w:color="414142"/>
              <w:bottom w:val="outset" w:sz="6" w:space="0" w:color="414142"/>
              <w:right w:val="outset" w:sz="6" w:space="0" w:color="414142"/>
            </w:tcBorders>
            <w:shd w:val="clear" w:color="auto" w:fill="FFFFFF"/>
            <w:hideMark/>
          </w:tcPr>
          <w:p w14:paraId="4382066F" w14:textId="25669AD8" w:rsidR="000B51C2" w:rsidRPr="004E29EE" w:rsidRDefault="00E00803" w:rsidP="00CE3997">
            <w:pPr>
              <w:spacing w:before="100" w:beforeAutospacing="1" w:after="100" w:afterAutospacing="1" w:line="293" w:lineRule="atLeast"/>
              <w:jc w:val="both"/>
              <w:rPr>
                <w:rFonts w:ascii="Times New Roman" w:eastAsia="Times New Roman" w:hAnsi="Times New Roman" w:cs="Times New Roman"/>
                <w:sz w:val="28"/>
                <w:szCs w:val="28"/>
                <w:lang w:eastAsia="lv-LV"/>
              </w:rPr>
            </w:pPr>
            <w:r w:rsidRPr="004E29EE">
              <w:rPr>
                <w:rFonts w:ascii="Times New Roman" w:eastAsia="Times New Roman" w:hAnsi="Times New Roman" w:cs="Times New Roman"/>
                <w:sz w:val="28"/>
                <w:szCs w:val="28"/>
                <w:lang w:eastAsia="lv-LV"/>
              </w:rPr>
              <w:t xml:space="preserve">Lai gan tiek noteikts jauns valsts nodevas objekts, finansiālā ietekme uz budžetu ir nemainīga attiecībā pret likumā “Par valsts budžetu 2015.gadam” un likumā par “Par vidēja termiņa budžeta ietvaru 2015., 2016. un 2017.gadam” apstiprināto, kā arī </w:t>
            </w:r>
            <w:r w:rsidR="00BB7AC0" w:rsidRPr="004E29EE">
              <w:rPr>
                <w:rFonts w:ascii="Times New Roman" w:eastAsia="Times New Roman" w:hAnsi="Times New Roman" w:cs="Times New Roman"/>
                <w:sz w:val="28"/>
                <w:szCs w:val="28"/>
                <w:lang w:eastAsia="lv-LV"/>
              </w:rPr>
              <w:t xml:space="preserve">2015.gada 30.novembrī  Saeimā otrajā lasījumā pieņemtajā </w:t>
            </w:r>
            <w:r w:rsidR="00C273B4" w:rsidRPr="004E29EE">
              <w:rPr>
                <w:rFonts w:ascii="Times New Roman" w:eastAsia="Times New Roman" w:hAnsi="Times New Roman" w:cs="Times New Roman"/>
                <w:sz w:val="28"/>
                <w:szCs w:val="28"/>
                <w:lang w:eastAsia="lv-LV"/>
              </w:rPr>
              <w:t>likumā “Par valsts budžetu 2016.gadam” un likumā “Par vidēja termiņa budžeta ietvaru 2016., 2017. un 2018. gadam” paredzēto</w:t>
            </w:r>
            <w:r w:rsidRPr="004E29EE">
              <w:rPr>
                <w:rFonts w:ascii="Times New Roman" w:eastAsia="Times New Roman" w:hAnsi="Times New Roman" w:cs="Times New Roman"/>
                <w:sz w:val="28"/>
                <w:szCs w:val="28"/>
                <w:lang w:eastAsia="lv-LV"/>
              </w:rPr>
              <w:t>, jo vienlaicīgi tiek izslēgts iepriekš pastāvējušais valsts nodevas objekts un jaunajam valsts nodevas objektam paredzēts noteikt iepriekš pastāvējušam valsts nodevas objektam identisku likmi.</w:t>
            </w:r>
            <w:r w:rsidR="006263D9" w:rsidRPr="004E29EE">
              <w:rPr>
                <w:rFonts w:ascii="Times New Roman" w:eastAsia="Times New Roman" w:hAnsi="Times New Roman" w:cs="Times New Roman"/>
                <w:sz w:val="28"/>
                <w:szCs w:val="28"/>
                <w:lang w:eastAsia="lv-LV"/>
              </w:rPr>
              <w:t xml:space="preserve">   Tādēļ norādītajam budžeta ieņēmumu un izdevumu apmēram ir tikai informatīvs raksturs.</w:t>
            </w:r>
          </w:p>
        </w:tc>
      </w:tr>
    </w:tbl>
    <w:p w14:paraId="4D379021" w14:textId="77777777" w:rsidR="007D5C84" w:rsidRPr="002E0C7A" w:rsidRDefault="007D5C84" w:rsidP="00F366FD">
      <w:pPr>
        <w:spacing w:after="0" w:line="240" w:lineRule="auto"/>
        <w:rPr>
          <w:rFonts w:ascii="Times New Roman" w:eastAsia="Calibri" w:hAnsi="Times New Roman" w:cs="Times New Roman"/>
          <w:color w:val="000000"/>
          <w:sz w:val="28"/>
          <w:szCs w:val="28"/>
          <w:highlight w:val="yellow"/>
        </w:rPr>
      </w:pPr>
    </w:p>
    <w:tbl>
      <w:tblPr>
        <w:tblW w:w="5141"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445"/>
        <w:gridCol w:w="2580"/>
        <w:gridCol w:w="6118"/>
      </w:tblGrid>
      <w:tr w:rsidR="007D5C84" w:rsidRPr="002E0C7A" w14:paraId="2C4D9353" w14:textId="77777777" w:rsidTr="00282ADE">
        <w:trPr>
          <w:trHeight w:val="450"/>
        </w:trPr>
        <w:tc>
          <w:tcPr>
            <w:tcW w:w="5000" w:type="pct"/>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7A12677" w14:textId="77777777" w:rsidR="007D5C84" w:rsidRPr="002E0C7A" w:rsidRDefault="007D5C84" w:rsidP="007D5C84">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2E0C7A">
              <w:rPr>
                <w:rFonts w:ascii="Times New Roman" w:eastAsia="Times New Roman" w:hAnsi="Times New Roman" w:cs="Times New Roman"/>
                <w:b/>
                <w:bCs/>
                <w:sz w:val="28"/>
                <w:szCs w:val="28"/>
                <w:lang w:eastAsia="lv-LV"/>
              </w:rPr>
              <w:t>IV. Tiesību akta projekta ietekme uz spēkā esošo tiesību normu sistēmu</w:t>
            </w:r>
          </w:p>
        </w:tc>
      </w:tr>
      <w:tr w:rsidR="007D5C84" w:rsidRPr="002E0C7A" w14:paraId="04C38510" w14:textId="77777777" w:rsidTr="00282ADE">
        <w:tc>
          <w:tcPr>
            <w:tcW w:w="243" w:type="pct"/>
            <w:tcBorders>
              <w:top w:val="outset" w:sz="6" w:space="0" w:color="414142"/>
              <w:left w:val="outset" w:sz="6" w:space="0" w:color="414142"/>
              <w:bottom w:val="outset" w:sz="6" w:space="0" w:color="414142"/>
              <w:right w:val="outset" w:sz="6" w:space="0" w:color="414142"/>
            </w:tcBorders>
            <w:shd w:val="clear" w:color="auto" w:fill="FFFFFF"/>
            <w:hideMark/>
          </w:tcPr>
          <w:p w14:paraId="3719A6CD" w14:textId="77777777" w:rsidR="007D5C84" w:rsidRPr="002E0C7A" w:rsidRDefault="007D5C84" w:rsidP="007D5C84">
            <w:pPr>
              <w:spacing w:after="0" w:line="240" w:lineRule="auto"/>
              <w:rPr>
                <w:rFonts w:ascii="Times New Roman" w:eastAsia="Times New Roman" w:hAnsi="Times New Roman" w:cs="Times New Roman"/>
                <w:sz w:val="28"/>
                <w:szCs w:val="28"/>
                <w:lang w:eastAsia="lv-LV"/>
              </w:rPr>
            </w:pPr>
            <w:r w:rsidRPr="002E0C7A">
              <w:rPr>
                <w:rFonts w:ascii="Times New Roman" w:eastAsia="Times New Roman" w:hAnsi="Times New Roman" w:cs="Times New Roman"/>
                <w:sz w:val="28"/>
                <w:szCs w:val="28"/>
                <w:lang w:eastAsia="lv-LV"/>
              </w:rPr>
              <w:t>1.</w:t>
            </w:r>
          </w:p>
        </w:tc>
        <w:tc>
          <w:tcPr>
            <w:tcW w:w="1411" w:type="pct"/>
            <w:tcBorders>
              <w:top w:val="outset" w:sz="6" w:space="0" w:color="414142"/>
              <w:left w:val="outset" w:sz="6" w:space="0" w:color="414142"/>
              <w:bottom w:val="outset" w:sz="6" w:space="0" w:color="414142"/>
              <w:right w:val="outset" w:sz="6" w:space="0" w:color="414142"/>
            </w:tcBorders>
            <w:shd w:val="clear" w:color="auto" w:fill="FFFFFF"/>
            <w:hideMark/>
          </w:tcPr>
          <w:p w14:paraId="6E20E388" w14:textId="77777777" w:rsidR="007D5C84" w:rsidRPr="002E0C7A" w:rsidRDefault="007D5C84" w:rsidP="007D5C84">
            <w:pPr>
              <w:spacing w:after="0" w:line="240" w:lineRule="auto"/>
              <w:rPr>
                <w:rFonts w:ascii="Times New Roman" w:eastAsia="Times New Roman" w:hAnsi="Times New Roman" w:cs="Times New Roman"/>
                <w:sz w:val="28"/>
                <w:szCs w:val="28"/>
                <w:lang w:eastAsia="lv-LV"/>
              </w:rPr>
            </w:pPr>
            <w:r w:rsidRPr="002E0C7A">
              <w:rPr>
                <w:rFonts w:ascii="Times New Roman" w:eastAsia="Times New Roman" w:hAnsi="Times New Roman" w:cs="Times New Roman"/>
                <w:sz w:val="28"/>
                <w:szCs w:val="28"/>
                <w:lang w:eastAsia="lv-LV"/>
              </w:rPr>
              <w:t>Nepieciešamie saistītie tiesību aktu projekti</w:t>
            </w:r>
          </w:p>
        </w:tc>
        <w:tc>
          <w:tcPr>
            <w:tcW w:w="3347" w:type="pct"/>
            <w:tcBorders>
              <w:top w:val="outset" w:sz="6" w:space="0" w:color="414142"/>
              <w:left w:val="outset" w:sz="6" w:space="0" w:color="414142"/>
              <w:bottom w:val="outset" w:sz="6" w:space="0" w:color="414142"/>
              <w:right w:val="outset" w:sz="6" w:space="0" w:color="414142"/>
            </w:tcBorders>
            <w:shd w:val="clear" w:color="auto" w:fill="FFFFFF"/>
            <w:hideMark/>
          </w:tcPr>
          <w:p w14:paraId="7EC5C92B" w14:textId="69B96F99" w:rsidR="007D5C84" w:rsidRPr="002E0C7A" w:rsidRDefault="00CA2F69" w:rsidP="00DE63C2">
            <w:pPr>
              <w:spacing w:after="0" w:line="240" w:lineRule="auto"/>
              <w:rPr>
                <w:rFonts w:ascii="Times New Roman" w:eastAsia="Times New Roman" w:hAnsi="Times New Roman" w:cs="Times New Roman"/>
                <w:sz w:val="28"/>
                <w:szCs w:val="28"/>
                <w:lang w:eastAsia="lv-LV"/>
              </w:rPr>
            </w:pPr>
            <w:r w:rsidRPr="00CA2F69">
              <w:rPr>
                <w:rFonts w:ascii="Times New Roman" w:hAnsi="Times New Roman" w:cs="Times New Roman"/>
                <w:sz w:val="28"/>
                <w:szCs w:val="28"/>
              </w:rPr>
              <w:t>Nav</w:t>
            </w:r>
          </w:p>
        </w:tc>
      </w:tr>
      <w:tr w:rsidR="007D5C84" w:rsidRPr="002E0C7A" w14:paraId="23435E46" w14:textId="77777777" w:rsidTr="00282ADE">
        <w:tc>
          <w:tcPr>
            <w:tcW w:w="243" w:type="pct"/>
            <w:tcBorders>
              <w:top w:val="outset" w:sz="6" w:space="0" w:color="414142"/>
              <w:left w:val="outset" w:sz="6" w:space="0" w:color="414142"/>
              <w:bottom w:val="outset" w:sz="6" w:space="0" w:color="414142"/>
              <w:right w:val="outset" w:sz="6" w:space="0" w:color="414142"/>
            </w:tcBorders>
            <w:shd w:val="clear" w:color="auto" w:fill="FFFFFF"/>
            <w:hideMark/>
          </w:tcPr>
          <w:p w14:paraId="5BD475D3" w14:textId="77777777" w:rsidR="007D5C84" w:rsidRPr="002E0C7A" w:rsidRDefault="007D5C84" w:rsidP="007D5C84">
            <w:pPr>
              <w:spacing w:after="0" w:line="240" w:lineRule="auto"/>
              <w:rPr>
                <w:rFonts w:ascii="Times New Roman" w:eastAsia="Times New Roman" w:hAnsi="Times New Roman" w:cs="Times New Roman"/>
                <w:sz w:val="28"/>
                <w:szCs w:val="28"/>
                <w:lang w:eastAsia="lv-LV"/>
              </w:rPr>
            </w:pPr>
            <w:r w:rsidRPr="002E0C7A">
              <w:rPr>
                <w:rFonts w:ascii="Times New Roman" w:eastAsia="Times New Roman" w:hAnsi="Times New Roman" w:cs="Times New Roman"/>
                <w:sz w:val="28"/>
                <w:szCs w:val="28"/>
                <w:lang w:eastAsia="lv-LV"/>
              </w:rPr>
              <w:t>2.</w:t>
            </w:r>
          </w:p>
        </w:tc>
        <w:tc>
          <w:tcPr>
            <w:tcW w:w="1411" w:type="pct"/>
            <w:tcBorders>
              <w:top w:val="outset" w:sz="6" w:space="0" w:color="414142"/>
              <w:left w:val="outset" w:sz="6" w:space="0" w:color="414142"/>
              <w:bottom w:val="outset" w:sz="6" w:space="0" w:color="414142"/>
              <w:right w:val="outset" w:sz="6" w:space="0" w:color="414142"/>
            </w:tcBorders>
            <w:shd w:val="clear" w:color="auto" w:fill="FFFFFF"/>
            <w:hideMark/>
          </w:tcPr>
          <w:p w14:paraId="00B916A5" w14:textId="77777777" w:rsidR="007D5C84" w:rsidRPr="002E0C7A" w:rsidRDefault="007D5C84" w:rsidP="007D5C84">
            <w:pPr>
              <w:spacing w:after="0" w:line="240" w:lineRule="auto"/>
              <w:rPr>
                <w:rFonts w:ascii="Times New Roman" w:eastAsia="Times New Roman" w:hAnsi="Times New Roman" w:cs="Times New Roman"/>
                <w:sz w:val="28"/>
                <w:szCs w:val="28"/>
                <w:lang w:eastAsia="lv-LV"/>
              </w:rPr>
            </w:pPr>
            <w:r w:rsidRPr="002E0C7A">
              <w:rPr>
                <w:rFonts w:ascii="Times New Roman" w:eastAsia="Times New Roman" w:hAnsi="Times New Roman" w:cs="Times New Roman"/>
                <w:sz w:val="28"/>
                <w:szCs w:val="28"/>
                <w:lang w:eastAsia="lv-LV"/>
              </w:rPr>
              <w:t>Atbildīgā institūcija</w:t>
            </w:r>
          </w:p>
        </w:tc>
        <w:tc>
          <w:tcPr>
            <w:tcW w:w="3347" w:type="pct"/>
            <w:tcBorders>
              <w:top w:val="outset" w:sz="6" w:space="0" w:color="414142"/>
              <w:left w:val="outset" w:sz="6" w:space="0" w:color="414142"/>
              <w:bottom w:val="outset" w:sz="6" w:space="0" w:color="414142"/>
              <w:right w:val="outset" w:sz="6" w:space="0" w:color="414142"/>
            </w:tcBorders>
            <w:shd w:val="clear" w:color="auto" w:fill="FFFFFF"/>
            <w:hideMark/>
          </w:tcPr>
          <w:p w14:paraId="57A65623" w14:textId="09FB36BF" w:rsidR="007D5C84" w:rsidRPr="002E0C7A" w:rsidRDefault="00DE63C2" w:rsidP="007D5C84">
            <w:pPr>
              <w:spacing w:after="0" w:line="240" w:lineRule="auto"/>
              <w:rPr>
                <w:rFonts w:ascii="Times New Roman" w:eastAsia="Times New Roman" w:hAnsi="Times New Roman" w:cs="Times New Roman"/>
                <w:sz w:val="28"/>
                <w:szCs w:val="28"/>
                <w:lang w:eastAsia="lv-LV"/>
              </w:rPr>
            </w:pPr>
            <w:r w:rsidRPr="002E0C7A">
              <w:rPr>
                <w:rFonts w:ascii="Times New Roman" w:eastAsia="Times New Roman" w:hAnsi="Times New Roman" w:cs="Times New Roman"/>
                <w:sz w:val="28"/>
                <w:szCs w:val="28"/>
                <w:lang w:eastAsia="lv-LV"/>
              </w:rPr>
              <w:t>Ekonomikas ministrija</w:t>
            </w:r>
          </w:p>
        </w:tc>
      </w:tr>
      <w:tr w:rsidR="007D5C84" w:rsidRPr="002E0C7A" w14:paraId="0E33B0A9" w14:textId="77777777" w:rsidTr="00282ADE">
        <w:tc>
          <w:tcPr>
            <w:tcW w:w="243" w:type="pct"/>
            <w:tcBorders>
              <w:top w:val="outset" w:sz="6" w:space="0" w:color="414142"/>
              <w:left w:val="outset" w:sz="6" w:space="0" w:color="414142"/>
              <w:bottom w:val="outset" w:sz="6" w:space="0" w:color="414142"/>
              <w:right w:val="outset" w:sz="6" w:space="0" w:color="414142"/>
            </w:tcBorders>
            <w:shd w:val="clear" w:color="auto" w:fill="FFFFFF"/>
            <w:hideMark/>
          </w:tcPr>
          <w:p w14:paraId="6A847566" w14:textId="77777777" w:rsidR="007D5C84" w:rsidRPr="002E0C7A" w:rsidRDefault="007D5C84" w:rsidP="007D5C84">
            <w:pPr>
              <w:spacing w:after="0" w:line="240" w:lineRule="auto"/>
              <w:rPr>
                <w:rFonts w:ascii="Times New Roman" w:eastAsia="Times New Roman" w:hAnsi="Times New Roman" w:cs="Times New Roman"/>
                <w:sz w:val="28"/>
                <w:szCs w:val="28"/>
                <w:lang w:eastAsia="lv-LV"/>
              </w:rPr>
            </w:pPr>
            <w:r w:rsidRPr="002E0C7A">
              <w:rPr>
                <w:rFonts w:ascii="Times New Roman" w:eastAsia="Times New Roman" w:hAnsi="Times New Roman" w:cs="Times New Roman"/>
                <w:sz w:val="28"/>
                <w:szCs w:val="28"/>
                <w:lang w:eastAsia="lv-LV"/>
              </w:rPr>
              <w:t>3.</w:t>
            </w:r>
          </w:p>
        </w:tc>
        <w:tc>
          <w:tcPr>
            <w:tcW w:w="1411" w:type="pct"/>
            <w:tcBorders>
              <w:top w:val="outset" w:sz="6" w:space="0" w:color="414142"/>
              <w:left w:val="outset" w:sz="6" w:space="0" w:color="414142"/>
              <w:bottom w:val="outset" w:sz="6" w:space="0" w:color="414142"/>
              <w:right w:val="outset" w:sz="6" w:space="0" w:color="414142"/>
            </w:tcBorders>
            <w:shd w:val="clear" w:color="auto" w:fill="FFFFFF"/>
            <w:hideMark/>
          </w:tcPr>
          <w:p w14:paraId="7698BF51" w14:textId="77777777" w:rsidR="007D5C84" w:rsidRPr="002E0C7A" w:rsidRDefault="007D5C84" w:rsidP="007D5C84">
            <w:pPr>
              <w:spacing w:after="0" w:line="240" w:lineRule="auto"/>
              <w:rPr>
                <w:rFonts w:ascii="Times New Roman" w:eastAsia="Times New Roman" w:hAnsi="Times New Roman" w:cs="Times New Roman"/>
                <w:sz w:val="28"/>
                <w:szCs w:val="28"/>
                <w:lang w:eastAsia="lv-LV"/>
              </w:rPr>
            </w:pPr>
            <w:r w:rsidRPr="002E0C7A">
              <w:rPr>
                <w:rFonts w:ascii="Times New Roman" w:eastAsia="Times New Roman" w:hAnsi="Times New Roman" w:cs="Times New Roman"/>
                <w:sz w:val="28"/>
                <w:szCs w:val="28"/>
                <w:lang w:eastAsia="lv-LV"/>
              </w:rPr>
              <w:t>Cita informācija</w:t>
            </w:r>
          </w:p>
        </w:tc>
        <w:tc>
          <w:tcPr>
            <w:tcW w:w="3347" w:type="pct"/>
            <w:tcBorders>
              <w:top w:val="outset" w:sz="6" w:space="0" w:color="414142"/>
              <w:left w:val="outset" w:sz="6" w:space="0" w:color="414142"/>
              <w:bottom w:val="outset" w:sz="6" w:space="0" w:color="414142"/>
              <w:right w:val="outset" w:sz="6" w:space="0" w:color="414142"/>
            </w:tcBorders>
            <w:shd w:val="clear" w:color="auto" w:fill="FFFFFF"/>
            <w:hideMark/>
          </w:tcPr>
          <w:p w14:paraId="5CF06A87" w14:textId="05700206" w:rsidR="007D5C84" w:rsidRPr="002E0C7A" w:rsidRDefault="00DE63C2" w:rsidP="007D5C84">
            <w:pPr>
              <w:spacing w:before="100" w:beforeAutospacing="1" w:after="100" w:afterAutospacing="1" w:line="293" w:lineRule="atLeast"/>
              <w:rPr>
                <w:rFonts w:ascii="Times New Roman" w:eastAsia="Times New Roman" w:hAnsi="Times New Roman" w:cs="Times New Roman"/>
                <w:sz w:val="28"/>
                <w:szCs w:val="28"/>
                <w:lang w:eastAsia="lv-LV"/>
              </w:rPr>
            </w:pPr>
            <w:r w:rsidRPr="002E0C7A">
              <w:rPr>
                <w:rFonts w:ascii="Times New Roman" w:eastAsia="Times New Roman" w:hAnsi="Times New Roman" w:cs="Times New Roman"/>
                <w:sz w:val="28"/>
                <w:szCs w:val="28"/>
                <w:lang w:eastAsia="lv-LV"/>
              </w:rPr>
              <w:t>Nav</w:t>
            </w:r>
          </w:p>
        </w:tc>
      </w:tr>
    </w:tbl>
    <w:p w14:paraId="6EB387B8" w14:textId="77777777" w:rsidR="00282ADE" w:rsidRPr="002E0C7A" w:rsidRDefault="00282ADE" w:rsidP="00F366FD">
      <w:pPr>
        <w:spacing w:after="0" w:line="240" w:lineRule="auto"/>
        <w:rPr>
          <w:rFonts w:ascii="Times New Roman" w:eastAsia="Calibri" w:hAnsi="Times New Roman" w:cs="Times New Roman"/>
          <w:vanish/>
          <w:color w:val="000000"/>
          <w:sz w:val="28"/>
          <w:szCs w:val="28"/>
          <w:highlight w:val="yellow"/>
        </w:rPr>
      </w:pPr>
    </w:p>
    <w:p w14:paraId="3DF728B5" w14:textId="77777777" w:rsidR="007730EB" w:rsidRPr="002E0C7A" w:rsidRDefault="007730EB" w:rsidP="00F366FD">
      <w:pPr>
        <w:spacing w:after="0" w:line="240" w:lineRule="auto"/>
        <w:rPr>
          <w:rFonts w:ascii="Times New Roman" w:eastAsia="Times New Roman" w:hAnsi="Times New Roman" w:cs="Times New Roman"/>
          <w:color w:val="000000"/>
          <w:sz w:val="28"/>
          <w:szCs w:val="28"/>
          <w:highlight w:val="yellow"/>
          <w:lang w:eastAsia="lv-LV"/>
        </w:rPr>
      </w:pPr>
    </w:p>
    <w:tbl>
      <w:tblPr>
        <w:tblW w:w="5124" w:type="pct"/>
        <w:tblInd w:w="29"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545"/>
        <w:gridCol w:w="2482"/>
        <w:gridCol w:w="6086"/>
      </w:tblGrid>
      <w:tr w:rsidR="007730EB" w:rsidRPr="002E0C7A" w14:paraId="5F8BB202" w14:textId="77777777" w:rsidTr="00282ADE">
        <w:trPr>
          <w:trHeight w:val="222"/>
        </w:trPr>
        <w:tc>
          <w:tcPr>
            <w:tcW w:w="5000" w:type="pct"/>
            <w:gridSpan w:val="3"/>
            <w:tcBorders>
              <w:top w:val="outset" w:sz="6" w:space="0" w:color="000000"/>
              <w:left w:val="outset" w:sz="6" w:space="0" w:color="000000"/>
              <w:bottom w:val="outset" w:sz="6" w:space="0" w:color="000000"/>
              <w:right w:val="outset" w:sz="6" w:space="0" w:color="000000"/>
            </w:tcBorders>
          </w:tcPr>
          <w:p w14:paraId="4DE183D7" w14:textId="77777777" w:rsidR="007730EB" w:rsidRPr="002E0C7A" w:rsidRDefault="00E4061F" w:rsidP="00F366FD">
            <w:pPr>
              <w:spacing w:after="0" w:line="240" w:lineRule="auto"/>
              <w:jc w:val="center"/>
              <w:rPr>
                <w:rFonts w:ascii="Times New Roman" w:eastAsia="Times New Roman" w:hAnsi="Times New Roman" w:cs="Times New Roman"/>
                <w:b/>
                <w:bCs/>
                <w:color w:val="000000"/>
                <w:sz w:val="28"/>
                <w:szCs w:val="28"/>
                <w:lang w:eastAsia="lv-LV"/>
              </w:rPr>
            </w:pPr>
            <w:r w:rsidRPr="002E0C7A">
              <w:rPr>
                <w:rFonts w:ascii="Times New Roman" w:eastAsia="Times New Roman" w:hAnsi="Times New Roman" w:cs="Times New Roman"/>
                <w:b/>
                <w:bCs/>
                <w:color w:val="000000"/>
                <w:sz w:val="28"/>
                <w:szCs w:val="28"/>
                <w:lang w:eastAsia="lv-LV"/>
              </w:rPr>
              <w:t xml:space="preserve">VI. Sabiedrības līdzdalība </w:t>
            </w:r>
            <w:r w:rsidR="007730EB" w:rsidRPr="002E0C7A">
              <w:rPr>
                <w:rFonts w:ascii="Times New Roman" w:eastAsia="Times New Roman" w:hAnsi="Times New Roman" w:cs="Times New Roman"/>
                <w:b/>
                <w:bCs/>
                <w:color w:val="000000"/>
                <w:sz w:val="28"/>
                <w:szCs w:val="28"/>
              </w:rPr>
              <w:t>un komunikācijas aktivitātes</w:t>
            </w:r>
          </w:p>
        </w:tc>
      </w:tr>
      <w:tr w:rsidR="007730EB" w:rsidRPr="002E0C7A" w14:paraId="608AB4B9" w14:textId="77777777" w:rsidTr="00282A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299" w:type="pct"/>
          </w:tcPr>
          <w:p w14:paraId="0D38EDF1" w14:textId="77777777" w:rsidR="007730EB" w:rsidRPr="002E0C7A" w:rsidRDefault="007730EB" w:rsidP="00014187">
            <w:pPr>
              <w:spacing w:after="0" w:line="240" w:lineRule="auto"/>
              <w:jc w:val="both"/>
              <w:rPr>
                <w:rFonts w:ascii="Times New Roman" w:eastAsia="Times New Roman" w:hAnsi="Times New Roman" w:cs="Times New Roman"/>
                <w:color w:val="000000"/>
                <w:sz w:val="28"/>
                <w:szCs w:val="28"/>
                <w:lang w:eastAsia="lv-LV"/>
              </w:rPr>
            </w:pPr>
            <w:r w:rsidRPr="002E0C7A">
              <w:rPr>
                <w:rFonts w:ascii="Times New Roman" w:eastAsia="Times New Roman" w:hAnsi="Times New Roman" w:cs="Times New Roman"/>
                <w:color w:val="000000"/>
                <w:sz w:val="28"/>
                <w:szCs w:val="28"/>
                <w:lang w:eastAsia="lv-LV"/>
              </w:rPr>
              <w:t>1.</w:t>
            </w:r>
          </w:p>
        </w:tc>
        <w:tc>
          <w:tcPr>
            <w:tcW w:w="1362" w:type="pct"/>
          </w:tcPr>
          <w:p w14:paraId="5C0CE9A7" w14:textId="77777777" w:rsidR="007730EB" w:rsidRPr="002E0C7A" w:rsidRDefault="007730EB" w:rsidP="00F366FD">
            <w:pPr>
              <w:spacing w:after="0" w:line="240" w:lineRule="auto"/>
              <w:jc w:val="both"/>
              <w:rPr>
                <w:rFonts w:ascii="Times New Roman" w:eastAsia="Times New Roman" w:hAnsi="Times New Roman" w:cs="Times New Roman"/>
                <w:color w:val="000000"/>
                <w:sz w:val="28"/>
                <w:szCs w:val="28"/>
                <w:lang w:eastAsia="lv-LV"/>
              </w:rPr>
            </w:pPr>
            <w:r w:rsidRPr="002E0C7A">
              <w:rPr>
                <w:rFonts w:ascii="Times New Roman" w:eastAsia="Times New Roman" w:hAnsi="Times New Roman" w:cs="Times New Roman"/>
                <w:color w:val="000000"/>
                <w:sz w:val="28"/>
                <w:szCs w:val="28"/>
                <w:lang w:eastAsia="lv-LV"/>
              </w:rPr>
              <w:t>Plānotās sabiedrības līdzdalības un komunikācijas aktivitātes saistībā ar projektu</w:t>
            </w:r>
          </w:p>
        </w:tc>
        <w:tc>
          <w:tcPr>
            <w:tcW w:w="3339" w:type="pct"/>
          </w:tcPr>
          <w:p w14:paraId="766C80DC" w14:textId="0FDD5E45" w:rsidR="00CA2F69" w:rsidRPr="00CA2F69" w:rsidRDefault="00CA2F69" w:rsidP="00CA2F69">
            <w:pPr>
              <w:spacing w:after="0" w:line="240" w:lineRule="auto"/>
              <w:ind w:firstLine="398"/>
              <w:jc w:val="both"/>
              <w:rPr>
                <w:rFonts w:ascii="Times New Roman" w:eastAsia="Times New Roman" w:hAnsi="Times New Roman" w:cs="Times New Roman"/>
                <w:color w:val="000000"/>
                <w:sz w:val="28"/>
                <w:szCs w:val="28"/>
                <w:lang w:eastAsia="lv-LV"/>
              </w:rPr>
            </w:pPr>
            <w:r w:rsidRPr="00CA2F69">
              <w:rPr>
                <w:rFonts w:ascii="Times New Roman" w:eastAsia="Times New Roman" w:hAnsi="Times New Roman" w:cs="Times New Roman"/>
                <w:color w:val="000000"/>
                <w:sz w:val="28"/>
                <w:szCs w:val="28"/>
                <w:lang w:eastAsia="lv-LV"/>
              </w:rPr>
              <w:t xml:space="preserve">Lai nodrošinātu sabiedrības līdzdalību Likumprojekta izstrādē saskaņā ar Ministru kabineta 2009.gada 25.augusta noteikumu Nr.970 „Sabiedrības līdzdalības kārtība attīstības plānošanas procesā” 13.punktu </w:t>
            </w:r>
            <w:r>
              <w:rPr>
                <w:rFonts w:ascii="Times New Roman" w:eastAsia="Times New Roman" w:hAnsi="Times New Roman" w:cs="Times New Roman"/>
                <w:color w:val="000000"/>
                <w:sz w:val="28"/>
                <w:szCs w:val="28"/>
                <w:lang w:eastAsia="lv-LV"/>
              </w:rPr>
              <w:t>Noteikumu projekts</w:t>
            </w:r>
            <w:r w:rsidRPr="00CA2F69">
              <w:rPr>
                <w:rFonts w:ascii="Times New Roman" w:eastAsia="Times New Roman" w:hAnsi="Times New Roman" w:cs="Times New Roman"/>
                <w:color w:val="000000"/>
                <w:sz w:val="28"/>
                <w:szCs w:val="28"/>
                <w:lang w:eastAsia="lv-LV"/>
              </w:rPr>
              <w:t xml:space="preserve"> 2015.gada </w:t>
            </w:r>
            <w:r w:rsidR="00FF1D9A" w:rsidRPr="008C5591">
              <w:rPr>
                <w:rFonts w:ascii="Times New Roman" w:eastAsia="Times New Roman" w:hAnsi="Times New Roman" w:cs="Times New Roman"/>
                <w:color w:val="000000"/>
                <w:sz w:val="28"/>
                <w:szCs w:val="28"/>
                <w:lang w:eastAsia="lv-LV"/>
              </w:rPr>
              <w:t>6</w:t>
            </w:r>
            <w:r w:rsidRPr="00CA2F69">
              <w:rPr>
                <w:rFonts w:ascii="Times New Roman" w:eastAsia="Times New Roman" w:hAnsi="Times New Roman" w:cs="Times New Roman"/>
                <w:color w:val="000000"/>
                <w:sz w:val="28"/>
                <w:szCs w:val="28"/>
                <w:lang w:eastAsia="lv-LV"/>
              </w:rPr>
              <w:t>.</w:t>
            </w:r>
            <w:r>
              <w:rPr>
                <w:rFonts w:ascii="Times New Roman" w:eastAsia="Times New Roman" w:hAnsi="Times New Roman" w:cs="Times New Roman"/>
                <w:color w:val="000000"/>
                <w:sz w:val="28"/>
                <w:szCs w:val="28"/>
                <w:lang w:eastAsia="lv-LV"/>
              </w:rPr>
              <w:t>augustā</w:t>
            </w:r>
            <w:r w:rsidRPr="00CA2F69">
              <w:rPr>
                <w:rFonts w:ascii="Times New Roman" w:eastAsia="Times New Roman" w:hAnsi="Times New Roman" w:cs="Times New Roman"/>
                <w:color w:val="000000"/>
                <w:sz w:val="28"/>
                <w:szCs w:val="28"/>
                <w:lang w:eastAsia="lv-LV"/>
              </w:rPr>
              <w:t xml:space="preserve"> </w:t>
            </w:r>
            <w:r w:rsidR="008C4F96">
              <w:rPr>
                <w:rFonts w:ascii="Times New Roman" w:eastAsia="Times New Roman" w:hAnsi="Times New Roman" w:cs="Times New Roman"/>
                <w:color w:val="000000"/>
                <w:sz w:val="28"/>
                <w:szCs w:val="28"/>
                <w:lang w:eastAsia="lv-LV"/>
              </w:rPr>
              <w:t>tika</w:t>
            </w:r>
            <w:r w:rsidR="008C4F96" w:rsidRPr="00CA2F69">
              <w:rPr>
                <w:rFonts w:ascii="Times New Roman" w:eastAsia="Times New Roman" w:hAnsi="Times New Roman" w:cs="Times New Roman"/>
                <w:color w:val="000000"/>
                <w:sz w:val="28"/>
                <w:szCs w:val="28"/>
                <w:lang w:eastAsia="lv-LV"/>
              </w:rPr>
              <w:t xml:space="preserve"> </w:t>
            </w:r>
            <w:r w:rsidRPr="00CA2F69">
              <w:rPr>
                <w:rFonts w:ascii="Times New Roman" w:eastAsia="Times New Roman" w:hAnsi="Times New Roman" w:cs="Times New Roman"/>
                <w:color w:val="000000"/>
                <w:sz w:val="28"/>
                <w:szCs w:val="28"/>
                <w:lang w:eastAsia="lv-LV"/>
              </w:rPr>
              <w:t>ievietot</w:t>
            </w:r>
            <w:r>
              <w:rPr>
                <w:rFonts w:ascii="Times New Roman" w:eastAsia="Times New Roman" w:hAnsi="Times New Roman" w:cs="Times New Roman"/>
                <w:color w:val="000000"/>
                <w:sz w:val="28"/>
                <w:szCs w:val="28"/>
                <w:lang w:eastAsia="lv-LV"/>
              </w:rPr>
              <w:t>s</w:t>
            </w:r>
            <w:r w:rsidRPr="00CA2F69">
              <w:rPr>
                <w:rFonts w:ascii="Times New Roman" w:eastAsia="Times New Roman" w:hAnsi="Times New Roman" w:cs="Times New Roman"/>
                <w:color w:val="000000"/>
                <w:sz w:val="28"/>
                <w:szCs w:val="28"/>
                <w:lang w:eastAsia="lv-LV"/>
              </w:rPr>
              <w:t xml:space="preserve"> Ekonomikas ministrijas mājas lapā www.em.gov.lv.  </w:t>
            </w:r>
          </w:p>
          <w:p w14:paraId="3B9865EB" w14:textId="135FBB8E" w:rsidR="007730EB" w:rsidRPr="002E0C7A" w:rsidRDefault="00CA2F69" w:rsidP="00B2091F">
            <w:pPr>
              <w:spacing w:after="0" w:line="240" w:lineRule="auto"/>
              <w:ind w:firstLine="398"/>
              <w:jc w:val="both"/>
              <w:rPr>
                <w:rFonts w:ascii="Times New Roman" w:eastAsia="Times New Roman" w:hAnsi="Times New Roman" w:cs="Times New Roman"/>
                <w:color w:val="000000"/>
                <w:sz w:val="28"/>
                <w:szCs w:val="28"/>
              </w:rPr>
            </w:pPr>
            <w:r w:rsidRPr="00CA2F69">
              <w:rPr>
                <w:rFonts w:ascii="Times New Roman" w:eastAsia="Times New Roman" w:hAnsi="Times New Roman" w:cs="Times New Roman"/>
                <w:color w:val="000000"/>
                <w:sz w:val="28"/>
                <w:szCs w:val="28"/>
                <w:lang w:eastAsia="lv-LV"/>
              </w:rPr>
              <w:lastRenderedPageBreak/>
              <w:t xml:space="preserve">Vienlaikus </w:t>
            </w:r>
            <w:r>
              <w:rPr>
                <w:rFonts w:ascii="Times New Roman" w:eastAsia="Times New Roman" w:hAnsi="Times New Roman" w:cs="Times New Roman"/>
                <w:color w:val="000000"/>
                <w:sz w:val="28"/>
                <w:szCs w:val="28"/>
                <w:lang w:eastAsia="lv-LV"/>
              </w:rPr>
              <w:t>Noteikumu projekts</w:t>
            </w:r>
            <w:r w:rsidRPr="00CA2F69">
              <w:rPr>
                <w:rFonts w:ascii="Times New Roman" w:eastAsia="Times New Roman" w:hAnsi="Times New Roman" w:cs="Times New Roman"/>
                <w:color w:val="000000"/>
                <w:sz w:val="28"/>
                <w:szCs w:val="28"/>
                <w:lang w:eastAsia="lv-LV"/>
              </w:rPr>
              <w:t xml:space="preserve"> tik</w:t>
            </w:r>
            <w:r w:rsidR="008E641A">
              <w:rPr>
                <w:rFonts w:ascii="Times New Roman" w:eastAsia="Times New Roman" w:hAnsi="Times New Roman" w:cs="Times New Roman"/>
                <w:color w:val="000000"/>
                <w:sz w:val="28"/>
                <w:szCs w:val="28"/>
                <w:lang w:eastAsia="lv-LV"/>
              </w:rPr>
              <w:t>a</w:t>
            </w:r>
            <w:r w:rsidRPr="00CA2F69">
              <w:rPr>
                <w:rFonts w:ascii="Times New Roman" w:eastAsia="Times New Roman" w:hAnsi="Times New Roman" w:cs="Times New Roman"/>
                <w:color w:val="000000"/>
                <w:sz w:val="28"/>
                <w:szCs w:val="28"/>
                <w:lang w:eastAsia="lv-LV"/>
              </w:rPr>
              <w:t xml:space="preserve"> nosūtīts saskaņošanai arī Latvijas Darba devēju konfederācijai, Latvijas Tirdzniecības un rūpniecības kamerai, Latvijas Lombardu asociācijai, Latvijas Nebanku kredītdevēju asociācijai, Latvijas Hipotekāro nebanku aizdevēju asociācijai.</w:t>
            </w:r>
          </w:p>
        </w:tc>
      </w:tr>
      <w:tr w:rsidR="007730EB" w:rsidRPr="00921627" w14:paraId="0E69285E" w14:textId="77777777" w:rsidTr="00282A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299" w:type="pct"/>
          </w:tcPr>
          <w:p w14:paraId="4443FA91" w14:textId="77777777" w:rsidR="007730EB" w:rsidRPr="00921627" w:rsidRDefault="007730EB" w:rsidP="00014187">
            <w:pPr>
              <w:spacing w:after="0" w:line="240" w:lineRule="auto"/>
              <w:jc w:val="both"/>
              <w:rPr>
                <w:rFonts w:ascii="Times New Roman" w:eastAsia="Times New Roman" w:hAnsi="Times New Roman" w:cs="Times New Roman"/>
                <w:color w:val="000000"/>
                <w:sz w:val="28"/>
                <w:szCs w:val="28"/>
                <w:lang w:eastAsia="lv-LV"/>
              </w:rPr>
            </w:pPr>
            <w:r w:rsidRPr="00921627">
              <w:rPr>
                <w:rFonts w:ascii="Times New Roman" w:eastAsia="Times New Roman" w:hAnsi="Times New Roman" w:cs="Times New Roman"/>
                <w:color w:val="000000"/>
                <w:sz w:val="28"/>
                <w:szCs w:val="28"/>
                <w:lang w:eastAsia="lv-LV"/>
              </w:rPr>
              <w:lastRenderedPageBreak/>
              <w:t>2.</w:t>
            </w:r>
          </w:p>
        </w:tc>
        <w:tc>
          <w:tcPr>
            <w:tcW w:w="1362" w:type="pct"/>
          </w:tcPr>
          <w:p w14:paraId="7EF072F3" w14:textId="77777777" w:rsidR="007730EB" w:rsidRPr="00921627" w:rsidRDefault="007730EB" w:rsidP="00F366FD">
            <w:pPr>
              <w:spacing w:after="0" w:line="240" w:lineRule="auto"/>
              <w:jc w:val="both"/>
              <w:rPr>
                <w:rFonts w:ascii="Times New Roman" w:eastAsia="Times New Roman" w:hAnsi="Times New Roman" w:cs="Times New Roman"/>
                <w:color w:val="000000"/>
                <w:sz w:val="28"/>
                <w:szCs w:val="28"/>
                <w:lang w:eastAsia="lv-LV"/>
              </w:rPr>
            </w:pPr>
            <w:r w:rsidRPr="00921627">
              <w:rPr>
                <w:rFonts w:ascii="Times New Roman" w:eastAsia="Times New Roman" w:hAnsi="Times New Roman" w:cs="Times New Roman"/>
                <w:color w:val="000000"/>
                <w:sz w:val="28"/>
                <w:szCs w:val="28"/>
                <w:lang w:eastAsia="lv-LV"/>
              </w:rPr>
              <w:t>Sabiedrības līdzdalība projekta izstrādē</w:t>
            </w:r>
          </w:p>
        </w:tc>
        <w:tc>
          <w:tcPr>
            <w:tcW w:w="3339" w:type="pct"/>
          </w:tcPr>
          <w:p w14:paraId="6976D228" w14:textId="38BC99B2" w:rsidR="007730EB" w:rsidRPr="00921627" w:rsidRDefault="00921627" w:rsidP="00E00803">
            <w:pPr>
              <w:spacing w:after="0" w:line="240" w:lineRule="auto"/>
              <w:ind w:firstLine="127"/>
              <w:jc w:val="both"/>
              <w:rPr>
                <w:rFonts w:ascii="Times New Roman" w:eastAsia="Times New Roman" w:hAnsi="Times New Roman" w:cs="Times New Roman"/>
                <w:color w:val="000000"/>
                <w:sz w:val="28"/>
                <w:szCs w:val="28"/>
                <w:lang w:eastAsia="lv-LV"/>
              </w:rPr>
            </w:pPr>
            <w:r w:rsidRPr="00921627">
              <w:rPr>
                <w:rFonts w:ascii="Times New Roman" w:eastAsia="Times New Roman" w:hAnsi="Times New Roman" w:cs="Times New Roman"/>
                <w:color w:val="000000"/>
                <w:sz w:val="28"/>
                <w:szCs w:val="28"/>
                <w:lang w:eastAsia="lv-LV"/>
              </w:rPr>
              <w:t xml:space="preserve">Visu publiskās apspriešanas laiku tika nodrošināta </w:t>
            </w:r>
            <w:r w:rsidR="00E00803">
              <w:rPr>
                <w:rFonts w:ascii="Times New Roman" w:eastAsia="Times New Roman" w:hAnsi="Times New Roman" w:cs="Times New Roman"/>
                <w:color w:val="000000"/>
                <w:sz w:val="28"/>
                <w:szCs w:val="28"/>
                <w:lang w:eastAsia="lv-LV"/>
              </w:rPr>
              <w:t>N</w:t>
            </w:r>
            <w:r w:rsidR="006D7BAF">
              <w:rPr>
                <w:rFonts w:ascii="Times New Roman" w:eastAsia="Times New Roman" w:hAnsi="Times New Roman" w:cs="Times New Roman"/>
                <w:color w:val="000000"/>
                <w:sz w:val="28"/>
                <w:szCs w:val="28"/>
                <w:lang w:eastAsia="lv-LV"/>
              </w:rPr>
              <w:t>oteikumu projekta</w:t>
            </w:r>
            <w:r w:rsidRPr="00921627">
              <w:rPr>
                <w:rFonts w:ascii="Times New Roman" w:eastAsia="Times New Roman" w:hAnsi="Times New Roman" w:cs="Times New Roman"/>
                <w:color w:val="000000"/>
                <w:sz w:val="28"/>
                <w:szCs w:val="28"/>
                <w:lang w:eastAsia="lv-LV"/>
              </w:rPr>
              <w:t xml:space="preserve"> pieejamība Ekonomikas ministrijas mājas lapā. Paziņojumā par līdzdalības iespējām tiesību akta izstrādes procesā sabiedrība tika aicināta rakstiski sniegt viedokli par </w:t>
            </w:r>
            <w:r w:rsidR="00E00803">
              <w:rPr>
                <w:rFonts w:ascii="Times New Roman" w:eastAsia="Times New Roman" w:hAnsi="Times New Roman" w:cs="Times New Roman"/>
                <w:color w:val="000000"/>
                <w:sz w:val="28"/>
                <w:szCs w:val="28"/>
                <w:lang w:eastAsia="lv-LV"/>
              </w:rPr>
              <w:t>N</w:t>
            </w:r>
            <w:r w:rsidR="006D7BAF">
              <w:rPr>
                <w:rFonts w:ascii="Times New Roman" w:eastAsia="Times New Roman" w:hAnsi="Times New Roman" w:cs="Times New Roman"/>
                <w:color w:val="000000"/>
                <w:sz w:val="28"/>
                <w:szCs w:val="28"/>
                <w:lang w:eastAsia="lv-LV"/>
              </w:rPr>
              <w:t>oteikumu projektu</w:t>
            </w:r>
            <w:r w:rsidRPr="00921627">
              <w:rPr>
                <w:rFonts w:ascii="Times New Roman" w:eastAsia="Times New Roman" w:hAnsi="Times New Roman" w:cs="Times New Roman"/>
                <w:color w:val="000000"/>
                <w:sz w:val="28"/>
                <w:szCs w:val="28"/>
                <w:lang w:eastAsia="lv-LV"/>
              </w:rPr>
              <w:t xml:space="preserve"> līdz 2015.gada 20.augustam vai pieteikties atzinuma sniegšanai pēc </w:t>
            </w:r>
            <w:r w:rsidR="006D7BAF">
              <w:rPr>
                <w:rFonts w:ascii="Times New Roman" w:eastAsia="Times New Roman" w:hAnsi="Times New Roman" w:cs="Times New Roman"/>
                <w:color w:val="000000"/>
                <w:sz w:val="28"/>
                <w:szCs w:val="28"/>
                <w:lang w:eastAsia="lv-LV"/>
              </w:rPr>
              <w:t>Noteikumu projekta</w:t>
            </w:r>
            <w:r w:rsidRPr="00921627">
              <w:rPr>
                <w:rFonts w:ascii="Times New Roman" w:eastAsia="Times New Roman" w:hAnsi="Times New Roman" w:cs="Times New Roman"/>
                <w:color w:val="000000"/>
                <w:sz w:val="28"/>
                <w:szCs w:val="28"/>
                <w:lang w:eastAsia="lv-LV"/>
              </w:rPr>
              <w:t xml:space="preserve"> izsludināšanas Valsts sekretāru sanāksmē. Latvijas Darba devēju konfederācija</w:t>
            </w:r>
            <w:r>
              <w:rPr>
                <w:rFonts w:ascii="Times New Roman" w:eastAsia="Times New Roman" w:hAnsi="Times New Roman" w:cs="Times New Roman"/>
                <w:color w:val="000000"/>
                <w:sz w:val="28"/>
                <w:szCs w:val="28"/>
                <w:lang w:eastAsia="lv-LV"/>
              </w:rPr>
              <w:t>i</w:t>
            </w:r>
            <w:r w:rsidRPr="00921627">
              <w:rPr>
                <w:rFonts w:ascii="Times New Roman" w:eastAsia="Times New Roman" w:hAnsi="Times New Roman" w:cs="Times New Roman"/>
                <w:color w:val="000000"/>
                <w:sz w:val="28"/>
                <w:szCs w:val="28"/>
                <w:lang w:eastAsia="lv-LV"/>
              </w:rPr>
              <w:t xml:space="preserve"> Latvijas Tird</w:t>
            </w:r>
            <w:r>
              <w:rPr>
                <w:rFonts w:ascii="Times New Roman" w:eastAsia="Times New Roman" w:hAnsi="Times New Roman" w:cs="Times New Roman"/>
                <w:color w:val="000000"/>
                <w:sz w:val="28"/>
                <w:szCs w:val="28"/>
                <w:lang w:eastAsia="lv-LV"/>
              </w:rPr>
              <w:t>zniecības un rūpniecības kamerai,</w:t>
            </w:r>
            <w:r w:rsidRPr="00921627">
              <w:rPr>
                <w:rFonts w:ascii="Times New Roman" w:eastAsia="Times New Roman" w:hAnsi="Times New Roman" w:cs="Times New Roman"/>
                <w:color w:val="000000"/>
                <w:sz w:val="28"/>
                <w:szCs w:val="28"/>
                <w:lang w:eastAsia="lv-LV"/>
              </w:rPr>
              <w:t xml:space="preserve"> Latvijas Lombardu asociācija</w:t>
            </w:r>
            <w:r>
              <w:rPr>
                <w:rFonts w:ascii="Times New Roman" w:eastAsia="Times New Roman" w:hAnsi="Times New Roman" w:cs="Times New Roman"/>
                <w:color w:val="000000"/>
                <w:sz w:val="28"/>
                <w:szCs w:val="28"/>
                <w:lang w:eastAsia="lv-LV"/>
              </w:rPr>
              <w:t>i,</w:t>
            </w:r>
            <w:r w:rsidRPr="00921627">
              <w:rPr>
                <w:rFonts w:ascii="Times New Roman" w:eastAsia="Times New Roman" w:hAnsi="Times New Roman" w:cs="Times New Roman"/>
                <w:color w:val="000000"/>
                <w:sz w:val="28"/>
                <w:szCs w:val="28"/>
                <w:lang w:eastAsia="lv-LV"/>
              </w:rPr>
              <w:t xml:space="preserve"> Latvijas Nebanku kredītdevēju asociācija</w:t>
            </w:r>
            <w:r>
              <w:rPr>
                <w:rFonts w:ascii="Times New Roman" w:eastAsia="Times New Roman" w:hAnsi="Times New Roman" w:cs="Times New Roman"/>
                <w:color w:val="000000"/>
                <w:sz w:val="28"/>
                <w:szCs w:val="28"/>
                <w:lang w:eastAsia="lv-LV"/>
              </w:rPr>
              <w:t>i,</w:t>
            </w:r>
            <w:r w:rsidRPr="00921627">
              <w:rPr>
                <w:rFonts w:ascii="Times New Roman" w:eastAsia="Times New Roman" w:hAnsi="Times New Roman" w:cs="Times New Roman"/>
                <w:color w:val="000000"/>
                <w:sz w:val="28"/>
                <w:szCs w:val="28"/>
                <w:lang w:eastAsia="lv-LV"/>
              </w:rPr>
              <w:t xml:space="preserve"> Latvijas Hipotekāro nebanku aizdevēju asociācija</w:t>
            </w:r>
            <w:r>
              <w:rPr>
                <w:rFonts w:ascii="Times New Roman" w:eastAsia="Times New Roman" w:hAnsi="Times New Roman" w:cs="Times New Roman"/>
                <w:color w:val="000000"/>
                <w:sz w:val="28"/>
                <w:szCs w:val="28"/>
                <w:lang w:eastAsia="lv-LV"/>
              </w:rPr>
              <w:t>i,</w:t>
            </w:r>
            <w:r w:rsidRPr="00921627">
              <w:rPr>
                <w:rFonts w:ascii="Times New Roman" w:eastAsia="Times New Roman" w:hAnsi="Times New Roman" w:cs="Times New Roman"/>
                <w:color w:val="000000"/>
                <w:sz w:val="28"/>
                <w:szCs w:val="28"/>
                <w:lang w:eastAsia="lv-LV"/>
              </w:rPr>
              <w:t xml:space="preserve"> Latvijas kolektīvās finansēšanas asociācija</w:t>
            </w:r>
            <w:r>
              <w:rPr>
                <w:rFonts w:ascii="Times New Roman" w:eastAsia="Times New Roman" w:hAnsi="Times New Roman" w:cs="Times New Roman"/>
                <w:color w:val="000000"/>
                <w:sz w:val="28"/>
                <w:szCs w:val="28"/>
                <w:lang w:eastAsia="lv-LV"/>
              </w:rPr>
              <w:t xml:space="preserve">i </w:t>
            </w:r>
            <w:r w:rsidRPr="00921627">
              <w:rPr>
                <w:rFonts w:ascii="Times New Roman" w:eastAsia="Times New Roman" w:hAnsi="Times New Roman" w:cs="Times New Roman"/>
                <w:color w:val="000000"/>
                <w:sz w:val="28"/>
                <w:szCs w:val="28"/>
                <w:lang w:eastAsia="lv-LV"/>
              </w:rPr>
              <w:t>nosūtītajā vēstulē tika aicināts sniegt rakstveida atzinumu līdz 2015.gada 20.augustam.</w:t>
            </w:r>
          </w:p>
        </w:tc>
      </w:tr>
      <w:tr w:rsidR="007730EB" w:rsidRPr="00921627" w14:paraId="26A3C4A6" w14:textId="77777777" w:rsidTr="00282A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299" w:type="pct"/>
            <w:tcBorders>
              <w:bottom w:val="single" w:sz="4" w:space="0" w:color="auto"/>
            </w:tcBorders>
          </w:tcPr>
          <w:p w14:paraId="733E5DD6" w14:textId="77777777" w:rsidR="007730EB" w:rsidRPr="00921627" w:rsidRDefault="007730EB" w:rsidP="00014187">
            <w:pPr>
              <w:spacing w:after="0" w:line="240" w:lineRule="auto"/>
              <w:jc w:val="both"/>
              <w:rPr>
                <w:rFonts w:ascii="Times New Roman" w:eastAsia="Times New Roman" w:hAnsi="Times New Roman" w:cs="Times New Roman"/>
                <w:color w:val="000000"/>
                <w:sz w:val="28"/>
                <w:szCs w:val="28"/>
                <w:lang w:eastAsia="lv-LV"/>
              </w:rPr>
            </w:pPr>
            <w:r w:rsidRPr="00921627">
              <w:rPr>
                <w:rFonts w:ascii="Times New Roman" w:eastAsia="Times New Roman" w:hAnsi="Times New Roman" w:cs="Times New Roman"/>
                <w:color w:val="000000"/>
                <w:sz w:val="28"/>
                <w:szCs w:val="28"/>
                <w:lang w:eastAsia="lv-LV"/>
              </w:rPr>
              <w:t>3.</w:t>
            </w:r>
          </w:p>
        </w:tc>
        <w:tc>
          <w:tcPr>
            <w:tcW w:w="1362" w:type="pct"/>
            <w:tcBorders>
              <w:bottom w:val="single" w:sz="4" w:space="0" w:color="auto"/>
            </w:tcBorders>
          </w:tcPr>
          <w:p w14:paraId="3AA2C3B8" w14:textId="77777777" w:rsidR="007730EB" w:rsidRPr="00921627" w:rsidRDefault="007730EB" w:rsidP="00F366FD">
            <w:pPr>
              <w:spacing w:after="0" w:line="240" w:lineRule="auto"/>
              <w:jc w:val="both"/>
              <w:rPr>
                <w:rFonts w:ascii="Times New Roman" w:eastAsia="Times New Roman" w:hAnsi="Times New Roman" w:cs="Times New Roman"/>
                <w:color w:val="000000"/>
                <w:sz w:val="28"/>
                <w:szCs w:val="28"/>
                <w:lang w:eastAsia="lv-LV"/>
              </w:rPr>
            </w:pPr>
            <w:r w:rsidRPr="00921627">
              <w:rPr>
                <w:rFonts w:ascii="Times New Roman" w:eastAsia="Times New Roman" w:hAnsi="Times New Roman" w:cs="Times New Roman"/>
                <w:color w:val="000000"/>
                <w:sz w:val="28"/>
                <w:szCs w:val="28"/>
                <w:lang w:eastAsia="lv-LV"/>
              </w:rPr>
              <w:t>Sabiedrības līdzdalības rezultāti</w:t>
            </w:r>
          </w:p>
        </w:tc>
        <w:tc>
          <w:tcPr>
            <w:tcW w:w="3339" w:type="pct"/>
            <w:tcBorders>
              <w:bottom w:val="single" w:sz="4" w:space="0" w:color="auto"/>
            </w:tcBorders>
          </w:tcPr>
          <w:p w14:paraId="1F0A813F" w14:textId="5AAAFF1D" w:rsidR="00783664" w:rsidRDefault="00921627" w:rsidP="00890FED">
            <w:pPr>
              <w:spacing w:after="0" w:line="240" w:lineRule="auto"/>
              <w:jc w:val="both"/>
              <w:rPr>
                <w:rFonts w:ascii="Times New Roman" w:hAnsi="Times New Roman"/>
                <w:color w:val="000000"/>
                <w:sz w:val="28"/>
                <w:szCs w:val="28"/>
                <w:lang w:eastAsia="lv-LV"/>
              </w:rPr>
            </w:pPr>
            <w:r w:rsidRPr="00921627">
              <w:rPr>
                <w:rFonts w:ascii="Times New Roman" w:hAnsi="Times New Roman" w:cs="Times New Roman"/>
                <w:sz w:val="28"/>
                <w:szCs w:val="28"/>
              </w:rPr>
              <w:t>Aicinot sabiedrīb</w:t>
            </w:r>
            <w:r w:rsidR="002F4DAF">
              <w:rPr>
                <w:rFonts w:ascii="Times New Roman" w:hAnsi="Times New Roman" w:cs="Times New Roman"/>
                <w:sz w:val="28"/>
                <w:szCs w:val="28"/>
              </w:rPr>
              <w:t>u</w:t>
            </w:r>
            <w:r w:rsidRPr="00921627">
              <w:rPr>
                <w:rFonts w:ascii="Times New Roman" w:hAnsi="Times New Roman" w:cs="Times New Roman"/>
                <w:sz w:val="28"/>
                <w:szCs w:val="28"/>
              </w:rPr>
              <w:t xml:space="preserve"> sniegt viedokli par Likumprojektu līdz 2015.gada 31.jūlijam, </w:t>
            </w:r>
            <w:r w:rsidRPr="00921627">
              <w:rPr>
                <w:rFonts w:ascii="Times New Roman" w:eastAsia="Arial Unicode MS" w:hAnsi="Times New Roman" w:cs="Times New Roman"/>
                <w:color w:val="000000"/>
                <w:sz w:val="28"/>
                <w:szCs w:val="28"/>
                <w:lang w:eastAsia="lv-LV"/>
              </w:rPr>
              <w:t xml:space="preserve">Ekonomikas ministrija saņēma </w:t>
            </w:r>
            <w:r w:rsidR="008E641A">
              <w:rPr>
                <w:rFonts w:ascii="Times New Roman" w:eastAsia="Arial Unicode MS" w:hAnsi="Times New Roman" w:cs="Times New Roman"/>
                <w:color w:val="000000"/>
                <w:sz w:val="28"/>
                <w:szCs w:val="28"/>
                <w:lang w:eastAsia="lv-LV"/>
              </w:rPr>
              <w:t>viedokli</w:t>
            </w:r>
            <w:r w:rsidR="008E641A" w:rsidRPr="00921627">
              <w:rPr>
                <w:rFonts w:ascii="Times New Roman" w:eastAsia="Arial Unicode MS" w:hAnsi="Times New Roman" w:cs="Times New Roman"/>
                <w:color w:val="000000"/>
                <w:sz w:val="28"/>
                <w:szCs w:val="28"/>
                <w:lang w:eastAsia="lv-LV"/>
              </w:rPr>
              <w:t xml:space="preserve"> </w:t>
            </w:r>
            <w:r w:rsidRPr="00921627">
              <w:rPr>
                <w:rFonts w:ascii="Times New Roman" w:eastAsia="Arial Unicode MS" w:hAnsi="Times New Roman" w:cs="Times New Roman"/>
                <w:color w:val="000000"/>
                <w:sz w:val="28"/>
                <w:szCs w:val="28"/>
                <w:lang w:eastAsia="lv-LV"/>
              </w:rPr>
              <w:t xml:space="preserve">no </w:t>
            </w:r>
            <w:r w:rsidR="002F4DAF">
              <w:rPr>
                <w:rFonts w:ascii="Times New Roman" w:eastAsia="Arial Unicode MS" w:hAnsi="Times New Roman" w:cs="Times New Roman"/>
                <w:color w:val="000000"/>
                <w:sz w:val="28"/>
                <w:szCs w:val="28"/>
                <w:lang w:eastAsia="lv-LV"/>
              </w:rPr>
              <w:t>Latvijas N</w:t>
            </w:r>
            <w:r w:rsidR="00783664">
              <w:rPr>
                <w:rFonts w:ascii="Times New Roman" w:eastAsia="Arial Unicode MS" w:hAnsi="Times New Roman" w:cs="Times New Roman"/>
                <w:color w:val="000000"/>
                <w:sz w:val="28"/>
                <w:szCs w:val="28"/>
                <w:lang w:eastAsia="lv-LV"/>
              </w:rPr>
              <w:t xml:space="preserve">ebanku kredītdevēju asociācijas un Latvijas Lombardu asociācijas. </w:t>
            </w:r>
            <w:r w:rsidR="00783664">
              <w:rPr>
                <w:rFonts w:ascii="Times New Roman" w:hAnsi="Times New Roman"/>
                <w:color w:val="000000"/>
                <w:sz w:val="28"/>
                <w:szCs w:val="28"/>
                <w:lang w:eastAsia="lv-LV"/>
              </w:rPr>
              <w:t>Latvijas Nebanku kredītdevēju asociācija atbalsta projektā paredzētās izmaiņas, vienlaikus izsakot iebildumus attiecībā uz:</w:t>
            </w:r>
          </w:p>
          <w:p w14:paraId="710CFFF0" w14:textId="77777777" w:rsidR="00783664" w:rsidRDefault="00783664" w:rsidP="00890FED">
            <w:pPr>
              <w:pStyle w:val="ListParagraph"/>
              <w:numPr>
                <w:ilvl w:val="0"/>
                <w:numId w:val="1"/>
              </w:numPr>
              <w:ind w:left="398"/>
              <w:jc w:val="both"/>
            </w:pPr>
            <w:r>
              <w:rPr>
                <w:rFonts w:ascii="Times New Roman" w:hAnsi="Times New Roman"/>
                <w:color w:val="000000"/>
                <w:sz w:val="28"/>
                <w:szCs w:val="28"/>
                <w:lang w:eastAsia="lv-LV"/>
              </w:rPr>
              <w:t>patērētāju kreditēšanas kapitālsabiedrību valdes un padomes locekļiem piemērojamo prasību attiecināšanu uz prokūristiem, komercpilnvarniekiem un personām, kas pilnvarotas pārstāvēt ārvalsts komersantu darbībās, kas saistītas ar filiāli;</w:t>
            </w:r>
          </w:p>
          <w:p w14:paraId="1AC380EB" w14:textId="00019C54" w:rsidR="00783664" w:rsidRDefault="00783664" w:rsidP="00890FED">
            <w:pPr>
              <w:pStyle w:val="ListParagraph"/>
              <w:numPr>
                <w:ilvl w:val="0"/>
                <w:numId w:val="1"/>
              </w:numPr>
              <w:ind w:left="398"/>
              <w:jc w:val="both"/>
            </w:pPr>
            <w:r>
              <w:rPr>
                <w:rFonts w:ascii="Times New Roman" w:hAnsi="Times New Roman"/>
                <w:color w:val="000000"/>
                <w:sz w:val="28"/>
                <w:szCs w:val="28"/>
                <w:lang w:eastAsia="lv-LV"/>
              </w:rPr>
              <w:t>informācijas iesniegšanu Patērētāju tiesību aizsardzības centram par valdes un padomes locekļiem, dalībniekiem utml.;</w:t>
            </w:r>
          </w:p>
          <w:p w14:paraId="59356C0B" w14:textId="77777777" w:rsidR="00783664" w:rsidRDefault="00783664" w:rsidP="00890FED">
            <w:pPr>
              <w:pStyle w:val="ListParagraph"/>
              <w:numPr>
                <w:ilvl w:val="0"/>
                <w:numId w:val="1"/>
              </w:numPr>
              <w:ind w:left="398"/>
              <w:jc w:val="both"/>
            </w:pPr>
            <w:r>
              <w:rPr>
                <w:rFonts w:ascii="Times New Roman" w:hAnsi="Times New Roman"/>
                <w:color w:val="000000"/>
                <w:sz w:val="28"/>
                <w:szCs w:val="28"/>
                <w:lang w:eastAsia="lv-LV"/>
              </w:rPr>
              <w:t>pienākumu iesniegt informāciju par dalībniekiem, kā arī par izmaiņām dalībnieku sastāvā;</w:t>
            </w:r>
          </w:p>
          <w:p w14:paraId="717ED66F" w14:textId="2C854B6B" w:rsidR="00783664" w:rsidRDefault="00783664" w:rsidP="00890FED">
            <w:pPr>
              <w:pStyle w:val="ListParagraph"/>
              <w:numPr>
                <w:ilvl w:val="0"/>
                <w:numId w:val="1"/>
              </w:numPr>
              <w:ind w:left="398"/>
              <w:jc w:val="both"/>
            </w:pPr>
            <w:r>
              <w:rPr>
                <w:rFonts w:ascii="Times New Roman" w:hAnsi="Times New Roman"/>
                <w:color w:val="000000"/>
                <w:sz w:val="28"/>
                <w:szCs w:val="28"/>
                <w:lang w:eastAsia="lv-LV"/>
              </w:rPr>
              <w:lastRenderedPageBreak/>
              <w:t>Patērētāju tiesību aizsardzības centra tiesībām apturēt speciālās atļaujas (licences) darbību uz laiku līdz sešiem mēnešiem;</w:t>
            </w:r>
          </w:p>
          <w:p w14:paraId="29F54481" w14:textId="77777777" w:rsidR="00783664" w:rsidRPr="00890FED" w:rsidRDefault="00783664" w:rsidP="00890FED">
            <w:pPr>
              <w:pStyle w:val="ListParagraph"/>
              <w:numPr>
                <w:ilvl w:val="0"/>
                <w:numId w:val="1"/>
              </w:numPr>
              <w:ind w:left="398"/>
              <w:jc w:val="both"/>
            </w:pPr>
            <w:r>
              <w:rPr>
                <w:rFonts w:ascii="Times New Roman" w:hAnsi="Times New Roman"/>
                <w:color w:val="000000"/>
                <w:sz w:val="28"/>
                <w:szCs w:val="28"/>
                <w:lang w:eastAsia="lv-LV"/>
              </w:rPr>
              <w:t>Pāreju uz nenoteiktu laiku izsniegtu licenci.</w:t>
            </w:r>
          </w:p>
          <w:p w14:paraId="3E6B1577" w14:textId="2D234AFA" w:rsidR="00953EA1" w:rsidRDefault="00783664" w:rsidP="00890FED">
            <w:pPr>
              <w:spacing w:before="240" w:after="0" w:line="240" w:lineRule="auto"/>
              <w:jc w:val="both"/>
              <w:rPr>
                <w:rFonts w:ascii="Times New Roman" w:eastAsia="Arial Unicode MS" w:hAnsi="Times New Roman" w:cs="Times New Roman"/>
                <w:color w:val="000000"/>
                <w:sz w:val="28"/>
                <w:szCs w:val="28"/>
                <w:lang w:eastAsia="lv-LV"/>
              </w:rPr>
            </w:pPr>
            <w:r>
              <w:rPr>
                <w:rFonts w:ascii="Times New Roman" w:eastAsia="Arial Unicode MS" w:hAnsi="Times New Roman" w:cs="Times New Roman"/>
                <w:color w:val="000000"/>
                <w:sz w:val="28"/>
                <w:szCs w:val="28"/>
                <w:lang w:eastAsia="lv-LV"/>
              </w:rPr>
              <w:t>Latvijas Lombardu asociācija ir izteikusi iebildumus attiecībā uz:</w:t>
            </w:r>
          </w:p>
          <w:p w14:paraId="465A04F4" w14:textId="2AA0B370" w:rsidR="00783664" w:rsidRDefault="00783664" w:rsidP="00783664">
            <w:pPr>
              <w:pStyle w:val="ListParagraph"/>
              <w:numPr>
                <w:ilvl w:val="0"/>
                <w:numId w:val="2"/>
              </w:numPr>
              <w:ind w:left="398"/>
              <w:jc w:val="both"/>
              <w:rPr>
                <w:rFonts w:ascii="Times New Roman" w:eastAsia="Arial Unicode MS" w:hAnsi="Times New Roman"/>
                <w:color w:val="000000"/>
                <w:sz w:val="28"/>
                <w:szCs w:val="28"/>
                <w:lang w:eastAsia="lv-LV"/>
              </w:rPr>
            </w:pPr>
            <w:r>
              <w:rPr>
                <w:rFonts w:ascii="Times New Roman" w:eastAsia="Arial Unicode MS" w:hAnsi="Times New Roman"/>
                <w:color w:val="000000"/>
                <w:sz w:val="28"/>
                <w:szCs w:val="28"/>
                <w:lang w:eastAsia="lv-LV"/>
              </w:rPr>
              <w:t>Patērētāju tiesību aizsardzības centram paredzētajām tiesībām licences darbības laikā sniegt norādījumus kapitālsabiedrībām;</w:t>
            </w:r>
            <w:r w:rsidR="00953EA1">
              <w:rPr>
                <w:rFonts w:ascii="Times New Roman" w:eastAsia="Arial Unicode MS" w:hAnsi="Times New Roman"/>
                <w:color w:val="000000"/>
                <w:sz w:val="28"/>
                <w:szCs w:val="28"/>
                <w:lang w:eastAsia="lv-LV"/>
              </w:rPr>
              <w:t xml:space="preserve"> </w:t>
            </w:r>
          </w:p>
          <w:p w14:paraId="6EDFAC34" w14:textId="585616C8" w:rsidR="00783664" w:rsidRDefault="00783664" w:rsidP="00783664">
            <w:pPr>
              <w:pStyle w:val="ListParagraph"/>
              <w:numPr>
                <w:ilvl w:val="0"/>
                <w:numId w:val="2"/>
              </w:numPr>
              <w:ind w:left="398"/>
              <w:jc w:val="both"/>
              <w:rPr>
                <w:rFonts w:ascii="Times New Roman" w:eastAsia="Arial Unicode MS" w:hAnsi="Times New Roman"/>
                <w:color w:val="000000"/>
                <w:sz w:val="28"/>
                <w:szCs w:val="28"/>
                <w:lang w:eastAsia="lv-LV"/>
              </w:rPr>
            </w:pPr>
            <w:r>
              <w:rPr>
                <w:rFonts w:ascii="Times New Roman" w:eastAsia="Arial Unicode MS" w:hAnsi="Times New Roman"/>
                <w:color w:val="000000"/>
                <w:sz w:val="28"/>
                <w:szCs w:val="28"/>
                <w:lang w:eastAsia="lv-LV"/>
              </w:rPr>
              <w:t>informācijas sniegšanu Patērētāju tiesību aizsardzības centram par kapitālsabiedrības padomes, valdes locekļiem, prokūristiem, komercpilnvarniekiem utm</w:t>
            </w:r>
            <w:r w:rsidR="00953EA1">
              <w:rPr>
                <w:rFonts w:ascii="Times New Roman" w:eastAsia="Arial Unicode MS" w:hAnsi="Times New Roman"/>
                <w:color w:val="000000"/>
                <w:sz w:val="28"/>
                <w:szCs w:val="28"/>
                <w:lang w:eastAsia="lv-LV"/>
              </w:rPr>
              <w:t>l</w:t>
            </w:r>
            <w:r>
              <w:rPr>
                <w:rFonts w:ascii="Times New Roman" w:eastAsia="Arial Unicode MS" w:hAnsi="Times New Roman"/>
                <w:color w:val="000000"/>
                <w:sz w:val="28"/>
                <w:szCs w:val="28"/>
                <w:lang w:eastAsia="lv-LV"/>
              </w:rPr>
              <w:t>.;</w:t>
            </w:r>
            <w:r w:rsidR="00953EA1">
              <w:rPr>
                <w:rFonts w:ascii="Times New Roman" w:eastAsia="Arial Unicode MS" w:hAnsi="Times New Roman"/>
                <w:color w:val="000000"/>
                <w:sz w:val="28"/>
                <w:szCs w:val="28"/>
                <w:lang w:eastAsia="lv-LV"/>
              </w:rPr>
              <w:t xml:space="preserve"> </w:t>
            </w:r>
          </w:p>
          <w:p w14:paraId="1381074E" w14:textId="4FB7C6E5" w:rsidR="00783664" w:rsidRDefault="00783664" w:rsidP="00783664">
            <w:pPr>
              <w:pStyle w:val="ListParagraph"/>
              <w:numPr>
                <w:ilvl w:val="0"/>
                <w:numId w:val="2"/>
              </w:numPr>
              <w:ind w:left="398"/>
              <w:jc w:val="both"/>
              <w:rPr>
                <w:rFonts w:ascii="Times New Roman" w:eastAsia="Arial Unicode MS" w:hAnsi="Times New Roman"/>
                <w:color w:val="000000"/>
                <w:sz w:val="28"/>
                <w:szCs w:val="28"/>
                <w:lang w:eastAsia="lv-LV"/>
              </w:rPr>
            </w:pPr>
            <w:r>
              <w:rPr>
                <w:rFonts w:ascii="Times New Roman" w:eastAsia="Arial Unicode MS" w:hAnsi="Times New Roman"/>
                <w:color w:val="000000"/>
                <w:sz w:val="28"/>
                <w:szCs w:val="28"/>
                <w:lang w:eastAsia="lv-LV"/>
              </w:rPr>
              <w:t>budžeta ieņēmumu aprēķiniem;</w:t>
            </w:r>
            <w:r w:rsidR="00953EA1">
              <w:rPr>
                <w:rFonts w:ascii="Times New Roman" w:eastAsia="Arial Unicode MS" w:hAnsi="Times New Roman"/>
                <w:color w:val="000000"/>
                <w:sz w:val="28"/>
                <w:szCs w:val="28"/>
                <w:lang w:eastAsia="lv-LV"/>
              </w:rPr>
              <w:t xml:space="preserve"> </w:t>
            </w:r>
          </w:p>
          <w:p w14:paraId="58EC8808" w14:textId="46011B18" w:rsidR="00783664" w:rsidRDefault="00783664" w:rsidP="00783664">
            <w:pPr>
              <w:pStyle w:val="ListParagraph"/>
              <w:numPr>
                <w:ilvl w:val="0"/>
                <w:numId w:val="2"/>
              </w:numPr>
              <w:ind w:left="398"/>
              <w:jc w:val="both"/>
              <w:rPr>
                <w:rFonts w:ascii="Times New Roman" w:eastAsia="Arial Unicode MS" w:hAnsi="Times New Roman"/>
                <w:color w:val="000000"/>
                <w:sz w:val="28"/>
                <w:szCs w:val="28"/>
                <w:lang w:eastAsia="lv-LV"/>
              </w:rPr>
            </w:pPr>
            <w:r>
              <w:rPr>
                <w:rFonts w:ascii="Times New Roman" w:eastAsia="Arial Unicode MS" w:hAnsi="Times New Roman"/>
                <w:color w:val="000000"/>
                <w:sz w:val="28"/>
                <w:szCs w:val="28"/>
                <w:lang w:eastAsia="lv-LV"/>
              </w:rPr>
              <w:t>maksas par licenci apmēru un valsts nodevas par uzraudzības maksu aprēķināšanas metodiku.</w:t>
            </w:r>
            <w:r w:rsidR="00953EA1">
              <w:rPr>
                <w:rFonts w:ascii="Times New Roman" w:eastAsia="Arial Unicode MS" w:hAnsi="Times New Roman"/>
                <w:color w:val="000000"/>
                <w:sz w:val="28"/>
                <w:szCs w:val="28"/>
                <w:lang w:eastAsia="lv-LV"/>
              </w:rPr>
              <w:t xml:space="preserve"> </w:t>
            </w:r>
          </w:p>
          <w:p w14:paraId="113B2FC1" w14:textId="08814A2A" w:rsidR="00953EA1" w:rsidRPr="00953EA1" w:rsidRDefault="00910CB6" w:rsidP="00910CB6">
            <w:pPr>
              <w:spacing w:before="240" w:after="0"/>
              <w:ind w:left="40"/>
              <w:jc w:val="both"/>
              <w:rPr>
                <w:rFonts w:ascii="Times New Roman" w:eastAsia="Arial Unicode MS" w:hAnsi="Times New Roman"/>
                <w:color w:val="000000"/>
                <w:sz w:val="28"/>
                <w:szCs w:val="28"/>
                <w:lang w:eastAsia="lv-LV"/>
              </w:rPr>
            </w:pPr>
            <w:r>
              <w:rPr>
                <w:rFonts w:ascii="Times New Roman" w:hAnsi="Times New Roman"/>
                <w:color w:val="000000"/>
                <w:sz w:val="28"/>
                <w:szCs w:val="28"/>
                <w:lang w:eastAsia="lv-LV"/>
              </w:rPr>
              <w:t>Asociāciju izteiktie i</w:t>
            </w:r>
            <w:r w:rsidR="00953EA1" w:rsidRPr="00890FED">
              <w:rPr>
                <w:rFonts w:ascii="Times New Roman" w:hAnsi="Times New Roman"/>
                <w:color w:val="000000"/>
                <w:sz w:val="28"/>
                <w:szCs w:val="28"/>
                <w:lang w:eastAsia="lv-LV"/>
              </w:rPr>
              <w:t>e</w:t>
            </w:r>
            <w:r w:rsidR="00953EA1">
              <w:rPr>
                <w:rFonts w:ascii="Times New Roman" w:hAnsi="Times New Roman"/>
                <w:color w:val="000000"/>
                <w:sz w:val="28"/>
                <w:szCs w:val="28"/>
                <w:lang w:eastAsia="lv-LV"/>
              </w:rPr>
              <w:t xml:space="preserve">bildumi </w:t>
            </w:r>
            <w:r>
              <w:rPr>
                <w:rFonts w:ascii="Times New Roman" w:hAnsi="Times New Roman"/>
                <w:color w:val="000000"/>
                <w:sz w:val="28"/>
                <w:szCs w:val="28"/>
                <w:lang w:eastAsia="lv-LV"/>
              </w:rPr>
              <w:t>iespēju robežās ir tikuši</w:t>
            </w:r>
            <w:r w:rsidR="00953EA1">
              <w:rPr>
                <w:rFonts w:ascii="Times New Roman" w:hAnsi="Times New Roman"/>
                <w:color w:val="000000"/>
                <w:sz w:val="28"/>
                <w:szCs w:val="28"/>
                <w:lang w:eastAsia="lv-LV"/>
              </w:rPr>
              <w:t xml:space="preserve"> ņemti vērā.</w:t>
            </w:r>
          </w:p>
        </w:tc>
      </w:tr>
      <w:tr w:rsidR="007730EB" w:rsidRPr="00921627" w14:paraId="0CA45CA6" w14:textId="77777777" w:rsidTr="00282A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299" w:type="pct"/>
            <w:tcBorders>
              <w:bottom w:val="single" w:sz="4" w:space="0" w:color="auto"/>
            </w:tcBorders>
          </w:tcPr>
          <w:p w14:paraId="73BBDD5B" w14:textId="4AEEE50C" w:rsidR="007730EB" w:rsidRPr="00921627" w:rsidRDefault="007730EB" w:rsidP="00014187">
            <w:pPr>
              <w:spacing w:after="0" w:line="240" w:lineRule="auto"/>
              <w:jc w:val="both"/>
              <w:rPr>
                <w:rFonts w:ascii="Times New Roman" w:eastAsia="Times New Roman" w:hAnsi="Times New Roman" w:cs="Times New Roman"/>
                <w:color w:val="000000"/>
                <w:sz w:val="28"/>
                <w:szCs w:val="28"/>
                <w:lang w:eastAsia="lv-LV"/>
              </w:rPr>
            </w:pPr>
            <w:r w:rsidRPr="00921627">
              <w:rPr>
                <w:rFonts w:ascii="Times New Roman" w:eastAsia="Times New Roman" w:hAnsi="Times New Roman" w:cs="Times New Roman"/>
                <w:color w:val="000000"/>
                <w:sz w:val="28"/>
                <w:szCs w:val="28"/>
                <w:lang w:eastAsia="lv-LV"/>
              </w:rPr>
              <w:lastRenderedPageBreak/>
              <w:t>4.</w:t>
            </w:r>
          </w:p>
        </w:tc>
        <w:tc>
          <w:tcPr>
            <w:tcW w:w="1362" w:type="pct"/>
            <w:tcBorders>
              <w:bottom w:val="single" w:sz="4" w:space="0" w:color="auto"/>
            </w:tcBorders>
          </w:tcPr>
          <w:p w14:paraId="0927F016" w14:textId="77777777" w:rsidR="007730EB" w:rsidRPr="00921627" w:rsidRDefault="007730EB" w:rsidP="00F366FD">
            <w:pPr>
              <w:spacing w:after="0" w:line="240" w:lineRule="auto"/>
              <w:jc w:val="both"/>
              <w:rPr>
                <w:rFonts w:ascii="Times New Roman" w:eastAsia="Times New Roman" w:hAnsi="Times New Roman" w:cs="Times New Roman"/>
                <w:color w:val="000000"/>
                <w:sz w:val="28"/>
                <w:szCs w:val="28"/>
                <w:lang w:eastAsia="lv-LV"/>
              </w:rPr>
            </w:pPr>
            <w:r w:rsidRPr="00921627">
              <w:rPr>
                <w:rFonts w:ascii="Times New Roman" w:eastAsia="Times New Roman" w:hAnsi="Times New Roman" w:cs="Times New Roman"/>
                <w:color w:val="000000"/>
                <w:sz w:val="28"/>
                <w:szCs w:val="28"/>
                <w:lang w:eastAsia="lv-LV"/>
              </w:rPr>
              <w:t>Cita informācija</w:t>
            </w:r>
          </w:p>
        </w:tc>
        <w:tc>
          <w:tcPr>
            <w:tcW w:w="3339" w:type="pct"/>
            <w:tcBorders>
              <w:bottom w:val="single" w:sz="4" w:space="0" w:color="auto"/>
            </w:tcBorders>
          </w:tcPr>
          <w:p w14:paraId="5C323191" w14:textId="350A6258" w:rsidR="007730EB" w:rsidRPr="00921627" w:rsidRDefault="002048DB" w:rsidP="00F366FD">
            <w:pPr>
              <w:spacing w:after="0" w:line="240" w:lineRule="auto"/>
              <w:rPr>
                <w:rFonts w:ascii="Times New Roman" w:eastAsia="Arial Unicode MS" w:hAnsi="Times New Roman" w:cs="Times New Roman"/>
                <w:color w:val="000000"/>
                <w:sz w:val="28"/>
                <w:szCs w:val="28"/>
              </w:rPr>
            </w:pPr>
            <w:r w:rsidRPr="00921627">
              <w:rPr>
                <w:rFonts w:ascii="Times New Roman" w:eastAsia="Arial Unicode MS" w:hAnsi="Times New Roman" w:cs="Times New Roman"/>
                <w:color w:val="000000"/>
                <w:sz w:val="28"/>
                <w:szCs w:val="28"/>
              </w:rPr>
              <w:t xml:space="preserve">  </w:t>
            </w:r>
            <w:r w:rsidR="007730EB" w:rsidRPr="00921627">
              <w:rPr>
                <w:rFonts w:ascii="Times New Roman" w:eastAsia="Arial Unicode MS" w:hAnsi="Times New Roman" w:cs="Times New Roman"/>
                <w:color w:val="000000"/>
                <w:sz w:val="28"/>
                <w:szCs w:val="28"/>
              </w:rPr>
              <w:t>Nav</w:t>
            </w:r>
          </w:p>
        </w:tc>
      </w:tr>
    </w:tbl>
    <w:p w14:paraId="432437AE" w14:textId="77777777" w:rsidR="00D57FE5" w:rsidRPr="00921627" w:rsidRDefault="00D57FE5" w:rsidP="00310F8F">
      <w:pPr>
        <w:spacing w:after="0"/>
        <w:rPr>
          <w:sz w:val="28"/>
          <w:szCs w:val="28"/>
        </w:rPr>
      </w:pPr>
    </w:p>
    <w:tbl>
      <w:tblPr>
        <w:tblW w:w="5124" w:type="pct"/>
        <w:tblInd w:w="29"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533"/>
        <w:gridCol w:w="2431"/>
        <w:gridCol w:w="6149"/>
      </w:tblGrid>
      <w:tr w:rsidR="007730EB" w:rsidRPr="00921627" w14:paraId="3AFDE600" w14:textId="77777777" w:rsidTr="00282ADE">
        <w:trPr>
          <w:trHeight w:val="222"/>
        </w:trPr>
        <w:tc>
          <w:tcPr>
            <w:tcW w:w="5000" w:type="pct"/>
            <w:gridSpan w:val="3"/>
            <w:tcBorders>
              <w:top w:val="single" w:sz="4" w:space="0" w:color="auto"/>
              <w:left w:val="outset" w:sz="6" w:space="0" w:color="000000"/>
              <w:bottom w:val="outset" w:sz="6" w:space="0" w:color="000000"/>
              <w:right w:val="outset" w:sz="6" w:space="0" w:color="000000"/>
            </w:tcBorders>
          </w:tcPr>
          <w:p w14:paraId="747EAE9E" w14:textId="77777777" w:rsidR="007730EB" w:rsidRPr="00921627" w:rsidRDefault="007730EB" w:rsidP="00F366FD">
            <w:pPr>
              <w:spacing w:after="0" w:line="240" w:lineRule="auto"/>
              <w:jc w:val="center"/>
              <w:rPr>
                <w:rFonts w:ascii="Times New Roman" w:eastAsia="Times New Roman" w:hAnsi="Times New Roman" w:cs="Times New Roman"/>
                <w:b/>
                <w:bCs/>
                <w:color w:val="000000"/>
                <w:sz w:val="28"/>
                <w:szCs w:val="28"/>
                <w:lang w:eastAsia="lv-LV"/>
              </w:rPr>
            </w:pPr>
            <w:r w:rsidRPr="00921627">
              <w:rPr>
                <w:rFonts w:ascii="Times New Roman" w:eastAsia="Times New Roman" w:hAnsi="Times New Roman" w:cs="Times New Roman"/>
                <w:b/>
                <w:bCs/>
                <w:color w:val="000000"/>
                <w:sz w:val="28"/>
                <w:szCs w:val="28"/>
                <w:lang w:eastAsia="lv-LV"/>
              </w:rPr>
              <w:t>VII. Tiesību akta projekta izpildes nodrošināšana un tās ietekme uz institūcijām</w:t>
            </w:r>
          </w:p>
        </w:tc>
      </w:tr>
      <w:tr w:rsidR="007730EB" w:rsidRPr="00921627" w14:paraId="77D5516F" w14:textId="77777777" w:rsidTr="00282ADE">
        <w:tc>
          <w:tcPr>
            <w:tcW w:w="0" w:type="auto"/>
            <w:tcBorders>
              <w:top w:val="outset" w:sz="6" w:space="0" w:color="000000"/>
              <w:left w:val="outset" w:sz="6" w:space="0" w:color="000000"/>
              <w:bottom w:val="outset" w:sz="6" w:space="0" w:color="000000"/>
              <w:right w:val="outset" w:sz="6" w:space="0" w:color="000000"/>
            </w:tcBorders>
          </w:tcPr>
          <w:p w14:paraId="396D588E" w14:textId="77777777" w:rsidR="007730EB" w:rsidRPr="00921627" w:rsidRDefault="007730EB" w:rsidP="00F366FD">
            <w:pPr>
              <w:spacing w:after="0" w:line="240" w:lineRule="auto"/>
              <w:rPr>
                <w:rFonts w:ascii="Times New Roman" w:eastAsia="Times New Roman" w:hAnsi="Times New Roman" w:cs="Times New Roman"/>
                <w:color w:val="000000"/>
                <w:sz w:val="28"/>
                <w:szCs w:val="28"/>
                <w:lang w:eastAsia="lv-LV"/>
              </w:rPr>
            </w:pPr>
            <w:r w:rsidRPr="00921627">
              <w:rPr>
                <w:rFonts w:ascii="Times New Roman" w:eastAsia="Times New Roman" w:hAnsi="Times New Roman" w:cs="Times New Roman"/>
                <w:color w:val="000000"/>
                <w:sz w:val="28"/>
                <w:szCs w:val="28"/>
                <w:lang w:eastAsia="lv-LV"/>
              </w:rPr>
              <w:t>1.</w:t>
            </w:r>
          </w:p>
        </w:tc>
        <w:tc>
          <w:tcPr>
            <w:tcW w:w="1334" w:type="pct"/>
            <w:tcBorders>
              <w:top w:val="outset" w:sz="6" w:space="0" w:color="000000"/>
              <w:left w:val="outset" w:sz="6" w:space="0" w:color="000000"/>
              <w:bottom w:val="outset" w:sz="6" w:space="0" w:color="000000"/>
              <w:right w:val="outset" w:sz="6" w:space="0" w:color="000000"/>
            </w:tcBorders>
          </w:tcPr>
          <w:p w14:paraId="32EB0F29" w14:textId="77777777" w:rsidR="007730EB" w:rsidRPr="00921627" w:rsidRDefault="007730EB" w:rsidP="00F366FD">
            <w:pPr>
              <w:spacing w:after="0" w:line="240" w:lineRule="auto"/>
              <w:jc w:val="both"/>
              <w:rPr>
                <w:rFonts w:ascii="Times New Roman" w:eastAsia="Times New Roman" w:hAnsi="Times New Roman" w:cs="Times New Roman"/>
                <w:color w:val="000000"/>
                <w:sz w:val="28"/>
                <w:szCs w:val="28"/>
                <w:lang w:eastAsia="lv-LV"/>
              </w:rPr>
            </w:pPr>
            <w:r w:rsidRPr="00921627">
              <w:rPr>
                <w:rFonts w:ascii="Times New Roman" w:eastAsia="Times New Roman" w:hAnsi="Times New Roman" w:cs="Times New Roman"/>
                <w:color w:val="000000"/>
                <w:sz w:val="28"/>
                <w:szCs w:val="28"/>
                <w:lang w:eastAsia="lv-LV"/>
              </w:rPr>
              <w:t>Projekta izpildē iesaistītās institūcijas</w:t>
            </w:r>
          </w:p>
        </w:tc>
        <w:tc>
          <w:tcPr>
            <w:tcW w:w="3374" w:type="pct"/>
            <w:tcBorders>
              <w:top w:val="outset" w:sz="6" w:space="0" w:color="000000"/>
              <w:left w:val="outset" w:sz="6" w:space="0" w:color="000000"/>
              <w:bottom w:val="outset" w:sz="6" w:space="0" w:color="000000"/>
              <w:right w:val="outset" w:sz="6" w:space="0" w:color="000000"/>
            </w:tcBorders>
          </w:tcPr>
          <w:p w14:paraId="7EB16DFC" w14:textId="77777777" w:rsidR="007730EB" w:rsidRPr="00921627" w:rsidRDefault="009C35D3" w:rsidP="00233FB2">
            <w:pPr>
              <w:spacing w:after="0" w:line="240" w:lineRule="auto"/>
              <w:ind w:firstLine="193"/>
              <w:jc w:val="both"/>
              <w:rPr>
                <w:rFonts w:ascii="Times New Roman" w:eastAsia="Times New Roman" w:hAnsi="Times New Roman" w:cs="Times New Roman"/>
                <w:color w:val="000000"/>
                <w:sz w:val="28"/>
                <w:szCs w:val="28"/>
              </w:rPr>
            </w:pPr>
            <w:r w:rsidRPr="00921627">
              <w:rPr>
                <w:rFonts w:ascii="Times New Roman" w:hAnsi="Times New Roman" w:cs="Times New Roman"/>
                <w:sz w:val="28"/>
                <w:szCs w:val="28"/>
              </w:rPr>
              <w:t>Projekta izpildi nodrošinās Patērētāju tiesību aizsardzības centrs.</w:t>
            </w:r>
          </w:p>
        </w:tc>
      </w:tr>
      <w:tr w:rsidR="007730EB" w:rsidRPr="002E0C7A" w14:paraId="177AAC16" w14:textId="77777777" w:rsidTr="00282ADE">
        <w:tc>
          <w:tcPr>
            <w:tcW w:w="0" w:type="auto"/>
            <w:tcBorders>
              <w:top w:val="outset" w:sz="6" w:space="0" w:color="000000"/>
              <w:left w:val="outset" w:sz="6" w:space="0" w:color="000000"/>
              <w:bottom w:val="outset" w:sz="6" w:space="0" w:color="000000"/>
              <w:right w:val="outset" w:sz="6" w:space="0" w:color="000000"/>
            </w:tcBorders>
          </w:tcPr>
          <w:p w14:paraId="4DA1F6F3" w14:textId="77777777" w:rsidR="007730EB" w:rsidRPr="00921627" w:rsidRDefault="007730EB" w:rsidP="00F366FD">
            <w:pPr>
              <w:spacing w:after="0" w:line="240" w:lineRule="auto"/>
              <w:rPr>
                <w:rFonts w:ascii="Times New Roman" w:eastAsia="Times New Roman" w:hAnsi="Times New Roman" w:cs="Times New Roman"/>
                <w:color w:val="000000"/>
                <w:sz w:val="28"/>
                <w:szCs w:val="28"/>
                <w:lang w:eastAsia="lv-LV"/>
              </w:rPr>
            </w:pPr>
            <w:r w:rsidRPr="00921627">
              <w:rPr>
                <w:rFonts w:ascii="Times New Roman" w:eastAsia="Times New Roman" w:hAnsi="Times New Roman" w:cs="Times New Roman"/>
                <w:color w:val="000000"/>
                <w:sz w:val="28"/>
                <w:szCs w:val="28"/>
                <w:lang w:eastAsia="lv-LV"/>
              </w:rPr>
              <w:t>2.</w:t>
            </w:r>
          </w:p>
        </w:tc>
        <w:tc>
          <w:tcPr>
            <w:tcW w:w="1334" w:type="pct"/>
            <w:tcBorders>
              <w:top w:val="outset" w:sz="6" w:space="0" w:color="000000"/>
              <w:left w:val="outset" w:sz="6" w:space="0" w:color="000000"/>
              <w:bottom w:val="outset" w:sz="6" w:space="0" w:color="000000"/>
              <w:right w:val="outset" w:sz="6" w:space="0" w:color="000000"/>
            </w:tcBorders>
          </w:tcPr>
          <w:p w14:paraId="598BAA35" w14:textId="77777777" w:rsidR="007730EB" w:rsidRPr="00921627" w:rsidRDefault="007730EB" w:rsidP="00F366FD">
            <w:pPr>
              <w:spacing w:after="0" w:line="240" w:lineRule="auto"/>
              <w:jc w:val="both"/>
              <w:rPr>
                <w:rFonts w:ascii="Times New Roman" w:eastAsia="Times New Roman" w:hAnsi="Times New Roman" w:cs="Times New Roman"/>
                <w:color w:val="000000"/>
                <w:sz w:val="28"/>
                <w:szCs w:val="28"/>
              </w:rPr>
            </w:pPr>
            <w:r w:rsidRPr="00921627">
              <w:rPr>
                <w:rFonts w:ascii="Times New Roman" w:eastAsia="Times New Roman" w:hAnsi="Times New Roman" w:cs="Times New Roman"/>
                <w:color w:val="000000"/>
                <w:sz w:val="28"/>
                <w:szCs w:val="28"/>
              </w:rPr>
              <w:t xml:space="preserve">Projekta izpildes ietekme uz pārvaldes funkcijām un institucionālo struktūru. </w:t>
            </w:r>
          </w:p>
          <w:p w14:paraId="5E0D9C9A" w14:textId="77777777" w:rsidR="007730EB" w:rsidRPr="00921627" w:rsidRDefault="007730EB" w:rsidP="00F366FD">
            <w:pPr>
              <w:spacing w:after="0" w:line="240" w:lineRule="auto"/>
              <w:ind w:firstLine="300"/>
              <w:jc w:val="both"/>
              <w:rPr>
                <w:rFonts w:ascii="Times New Roman" w:eastAsia="Times New Roman" w:hAnsi="Times New Roman" w:cs="Times New Roman"/>
                <w:color w:val="000000"/>
                <w:sz w:val="28"/>
                <w:szCs w:val="28"/>
              </w:rPr>
            </w:pPr>
            <w:r w:rsidRPr="00921627">
              <w:rPr>
                <w:rFonts w:ascii="Times New Roman" w:eastAsia="Times New Roman" w:hAnsi="Times New Roman" w:cs="Times New Roman"/>
                <w:color w:val="000000"/>
                <w:sz w:val="28"/>
                <w:szCs w:val="28"/>
              </w:rPr>
              <w:t>Jaunu institūciju izveide, esošu institūciju likvidācija vai reorganizācija, to ietekme uz institūcijas cilvēkresursiem</w:t>
            </w:r>
          </w:p>
        </w:tc>
        <w:tc>
          <w:tcPr>
            <w:tcW w:w="3374" w:type="pct"/>
            <w:tcBorders>
              <w:top w:val="outset" w:sz="6" w:space="0" w:color="000000"/>
              <w:left w:val="outset" w:sz="6" w:space="0" w:color="000000"/>
              <w:bottom w:val="outset" w:sz="6" w:space="0" w:color="000000"/>
              <w:right w:val="outset" w:sz="6" w:space="0" w:color="000000"/>
            </w:tcBorders>
          </w:tcPr>
          <w:p w14:paraId="4B3DA89F" w14:textId="77777777" w:rsidR="007730EB" w:rsidRPr="002E0C7A" w:rsidRDefault="004F27C6" w:rsidP="00D061BC">
            <w:pPr>
              <w:spacing w:after="0" w:line="240" w:lineRule="auto"/>
              <w:jc w:val="both"/>
              <w:rPr>
                <w:rFonts w:ascii="Times New Roman" w:eastAsia="Times New Roman" w:hAnsi="Times New Roman" w:cs="Times New Roman"/>
                <w:color w:val="000000"/>
                <w:sz w:val="28"/>
                <w:szCs w:val="28"/>
                <w:lang w:eastAsia="lv-LV"/>
              </w:rPr>
            </w:pPr>
            <w:r w:rsidRPr="00921627">
              <w:rPr>
                <w:rFonts w:ascii="Times New Roman" w:eastAsia="Times New Roman" w:hAnsi="Times New Roman" w:cs="Times New Roman"/>
                <w:color w:val="000000"/>
                <w:sz w:val="28"/>
                <w:szCs w:val="28"/>
                <w:lang w:eastAsia="lv-LV"/>
              </w:rPr>
              <w:t>Tiek mainīts PTAC uzraudzības veids. Līdz ar ikgadējās pārreģistrācijas atcelšanu PTAC pien</w:t>
            </w:r>
            <w:r w:rsidR="00D061BC" w:rsidRPr="00921627">
              <w:rPr>
                <w:rFonts w:ascii="Times New Roman" w:eastAsia="Times New Roman" w:hAnsi="Times New Roman" w:cs="Times New Roman"/>
                <w:color w:val="000000"/>
                <w:sz w:val="28"/>
                <w:szCs w:val="28"/>
                <w:lang w:eastAsia="lv-LV"/>
              </w:rPr>
              <w:t xml:space="preserve">ākumos </w:t>
            </w:r>
            <w:r w:rsidR="008C4F96" w:rsidRPr="00921627">
              <w:rPr>
                <w:rFonts w:ascii="Times New Roman" w:eastAsia="Times New Roman" w:hAnsi="Times New Roman" w:cs="Times New Roman"/>
                <w:color w:val="000000"/>
                <w:sz w:val="28"/>
                <w:szCs w:val="28"/>
                <w:lang w:eastAsia="lv-LV"/>
              </w:rPr>
              <w:t xml:space="preserve">vairs </w:t>
            </w:r>
            <w:r w:rsidR="00D061BC" w:rsidRPr="00921627">
              <w:rPr>
                <w:rFonts w:ascii="Times New Roman" w:eastAsia="Times New Roman" w:hAnsi="Times New Roman" w:cs="Times New Roman"/>
                <w:color w:val="000000"/>
                <w:sz w:val="28"/>
                <w:szCs w:val="28"/>
                <w:lang w:eastAsia="lv-LV"/>
              </w:rPr>
              <w:t>neietilps</w:t>
            </w:r>
            <w:r w:rsidRPr="00921627">
              <w:rPr>
                <w:rFonts w:ascii="Times New Roman" w:eastAsia="Times New Roman" w:hAnsi="Times New Roman" w:cs="Times New Roman"/>
                <w:color w:val="000000"/>
                <w:sz w:val="28"/>
                <w:szCs w:val="28"/>
                <w:lang w:eastAsia="lv-LV"/>
              </w:rPr>
              <w:t xml:space="preserve"> </w:t>
            </w:r>
            <w:r w:rsidR="00D061BC" w:rsidRPr="00921627">
              <w:rPr>
                <w:rFonts w:ascii="Times New Roman" w:eastAsia="Times New Roman" w:hAnsi="Times New Roman" w:cs="Times New Roman"/>
                <w:color w:val="000000"/>
                <w:sz w:val="28"/>
                <w:szCs w:val="28"/>
                <w:lang w:eastAsia="lv-LV"/>
              </w:rPr>
              <w:t xml:space="preserve">pieteikumu izskatīšana par </w:t>
            </w:r>
            <w:r w:rsidRPr="00921627">
              <w:rPr>
                <w:rFonts w:ascii="Times New Roman" w:eastAsia="Times New Roman" w:hAnsi="Times New Roman" w:cs="Times New Roman"/>
                <w:color w:val="000000"/>
                <w:sz w:val="28"/>
                <w:szCs w:val="28"/>
                <w:lang w:eastAsia="lv-LV"/>
              </w:rPr>
              <w:t>licences pagarinā</w:t>
            </w:r>
            <w:r w:rsidR="00D061BC" w:rsidRPr="00921627">
              <w:rPr>
                <w:rFonts w:ascii="Times New Roman" w:eastAsia="Times New Roman" w:hAnsi="Times New Roman" w:cs="Times New Roman"/>
                <w:color w:val="000000"/>
                <w:sz w:val="28"/>
                <w:szCs w:val="28"/>
                <w:lang w:eastAsia="lv-LV"/>
              </w:rPr>
              <w:t>šanu</w:t>
            </w:r>
            <w:r w:rsidRPr="00921627">
              <w:rPr>
                <w:rFonts w:ascii="Times New Roman" w:eastAsia="Times New Roman" w:hAnsi="Times New Roman" w:cs="Times New Roman"/>
                <w:color w:val="000000"/>
                <w:sz w:val="28"/>
                <w:szCs w:val="28"/>
                <w:lang w:eastAsia="lv-LV"/>
              </w:rPr>
              <w:t xml:space="preserve"> un </w:t>
            </w:r>
            <w:r w:rsidR="00D061BC" w:rsidRPr="00921627">
              <w:rPr>
                <w:rFonts w:ascii="Times New Roman" w:eastAsia="Times New Roman" w:hAnsi="Times New Roman" w:cs="Times New Roman"/>
                <w:color w:val="000000"/>
                <w:sz w:val="28"/>
                <w:szCs w:val="28"/>
                <w:lang w:eastAsia="lv-LV"/>
              </w:rPr>
              <w:t xml:space="preserve">citas </w:t>
            </w:r>
            <w:r w:rsidRPr="00921627">
              <w:rPr>
                <w:rFonts w:ascii="Times New Roman" w:eastAsia="Times New Roman" w:hAnsi="Times New Roman" w:cs="Times New Roman"/>
                <w:color w:val="000000"/>
                <w:sz w:val="28"/>
                <w:szCs w:val="28"/>
                <w:lang w:eastAsia="lv-LV"/>
              </w:rPr>
              <w:t xml:space="preserve">ar to saistītās darbības, </w:t>
            </w:r>
            <w:r w:rsidR="00E40749" w:rsidRPr="00921627">
              <w:rPr>
                <w:rFonts w:ascii="Times New Roman" w:eastAsia="Times New Roman" w:hAnsi="Times New Roman" w:cs="Times New Roman"/>
                <w:color w:val="000000"/>
                <w:sz w:val="28"/>
                <w:szCs w:val="28"/>
                <w:lang w:eastAsia="lv-LV"/>
              </w:rPr>
              <w:t>līdz ar to</w:t>
            </w:r>
            <w:r w:rsidRPr="00921627">
              <w:rPr>
                <w:rFonts w:ascii="Times New Roman" w:eastAsia="Times New Roman" w:hAnsi="Times New Roman" w:cs="Times New Roman"/>
                <w:color w:val="000000"/>
                <w:sz w:val="28"/>
                <w:szCs w:val="28"/>
                <w:lang w:eastAsia="lv-LV"/>
              </w:rPr>
              <w:t xml:space="preserve"> iestādes resursi tiks </w:t>
            </w:r>
            <w:r w:rsidR="00E40749" w:rsidRPr="00921627">
              <w:rPr>
                <w:rFonts w:ascii="Times New Roman" w:eastAsia="Times New Roman" w:hAnsi="Times New Roman" w:cs="Times New Roman"/>
                <w:color w:val="000000"/>
                <w:sz w:val="28"/>
                <w:szCs w:val="28"/>
                <w:lang w:eastAsia="lv-LV"/>
              </w:rPr>
              <w:t>novirzīti</w:t>
            </w:r>
            <w:r w:rsidRPr="00921627">
              <w:rPr>
                <w:rFonts w:ascii="Times New Roman" w:eastAsia="Times New Roman" w:hAnsi="Times New Roman" w:cs="Times New Roman"/>
                <w:color w:val="000000"/>
                <w:sz w:val="28"/>
                <w:szCs w:val="28"/>
                <w:lang w:eastAsia="lv-LV"/>
              </w:rPr>
              <w:t xml:space="preserve"> </w:t>
            </w:r>
            <w:r w:rsidR="00E40749" w:rsidRPr="00921627">
              <w:rPr>
                <w:rFonts w:ascii="Times New Roman" w:eastAsia="Times New Roman" w:hAnsi="Times New Roman" w:cs="Times New Roman"/>
                <w:color w:val="000000"/>
                <w:sz w:val="28"/>
                <w:szCs w:val="28"/>
                <w:lang w:eastAsia="lv-LV"/>
              </w:rPr>
              <w:t>pastiprinātai nebanku kreditēšanas pakalpojumu sniedzēju uzraudzībai.</w:t>
            </w:r>
          </w:p>
        </w:tc>
      </w:tr>
      <w:tr w:rsidR="007730EB" w:rsidRPr="002E0C7A" w14:paraId="5108AF90" w14:textId="77777777" w:rsidTr="00282ADE">
        <w:tc>
          <w:tcPr>
            <w:tcW w:w="0" w:type="auto"/>
            <w:tcBorders>
              <w:top w:val="outset" w:sz="6" w:space="0" w:color="000000"/>
              <w:left w:val="outset" w:sz="6" w:space="0" w:color="000000"/>
              <w:bottom w:val="outset" w:sz="6" w:space="0" w:color="000000"/>
              <w:right w:val="outset" w:sz="6" w:space="0" w:color="000000"/>
            </w:tcBorders>
          </w:tcPr>
          <w:p w14:paraId="5828970A" w14:textId="77777777" w:rsidR="007730EB" w:rsidRPr="002E0C7A" w:rsidRDefault="007730EB" w:rsidP="00F366FD">
            <w:pPr>
              <w:spacing w:after="0" w:line="240" w:lineRule="auto"/>
              <w:rPr>
                <w:rFonts w:ascii="Times New Roman" w:eastAsia="Times New Roman" w:hAnsi="Times New Roman" w:cs="Times New Roman"/>
                <w:color w:val="000000"/>
                <w:sz w:val="28"/>
                <w:szCs w:val="28"/>
                <w:lang w:eastAsia="lv-LV"/>
              </w:rPr>
            </w:pPr>
            <w:r w:rsidRPr="002E0C7A">
              <w:rPr>
                <w:rFonts w:ascii="Times New Roman" w:eastAsia="Times New Roman" w:hAnsi="Times New Roman" w:cs="Times New Roman"/>
                <w:color w:val="000000"/>
                <w:sz w:val="28"/>
                <w:szCs w:val="28"/>
                <w:lang w:eastAsia="lv-LV"/>
              </w:rPr>
              <w:t>3.</w:t>
            </w:r>
          </w:p>
        </w:tc>
        <w:tc>
          <w:tcPr>
            <w:tcW w:w="1334" w:type="pct"/>
            <w:tcBorders>
              <w:top w:val="outset" w:sz="6" w:space="0" w:color="000000"/>
              <w:left w:val="outset" w:sz="6" w:space="0" w:color="000000"/>
              <w:bottom w:val="outset" w:sz="6" w:space="0" w:color="000000"/>
              <w:right w:val="outset" w:sz="6" w:space="0" w:color="000000"/>
            </w:tcBorders>
          </w:tcPr>
          <w:p w14:paraId="28374CAD" w14:textId="77777777" w:rsidR="007730EB" w:rsidRPr="002E0C7A" w:rsidRDefault="007730EB" w:rsidP="00F366FD">
            <w:pPr>
              <w:spacing w:after="0" w:line="240" w:lineRule="auto"/>
              <w:jc w:val="both"/>
              <w:rPr>
                <w:rFonts w:ascii="Times New Roman" w:eastAsia="Times New Roman" w:hAnsi="Times New Roman" w:cs="Times New Roman"/>
                <w:color w:val="000000"/>
                <w:sz w:val="28"/>
                <w:szCs w:val="28"/>
                <w:lang w:eastAsia="lv-LV"/>
              </w:rPr>
            </w:pPr>
            <w:r w:rsidRPr="002E0C7A">
              <w:rPr>
                <w:rFonts w:ascii="Times New Roman" w:eastAsia="Times New Roman" w:hAnsi="Times New Roman" w:cs="Times New Roman"/>
                <w:color w:val="000000"/>
                <w:sz w:val="28"/>
                <w:szCs w:val="28"/>
                <w:lang w:eastAsia="lv-LV"/>
              </w:rPr>
              <w:t>Cita informācija</w:t>
            </w:r>
          </w:p>
        </w:tc>
        <w:tc>
          <w:tcPr>
            <w:tcW w:w="3374" w:type="pct"/>
            <w:tcBorders>
              <w:top w:val="outset" w:sz="6" w:space="0" w:color="000000"/>
              <w:left w:val="outset" w:sz="6" w:space="0" w:color="000000"/>
              <w:bottom w:val="outset" w:sz="6" w:space="0" w:color="000000"/>
              <w:right w:val="outset" w:sz="6" w:space="0" w:color="000000"/>
            </w:tcBorders>
          </w:tcPr>
          <w:p w14:paraId="6C854DDB" w14:textId="6A6B8C5A" w:rsidR="007730EB" w:rsidRPr="002E0C7A" w:rsidRDefault="007730EB" w:rsidP="00F366FD">
            <w:pPr>
              <w:spacing w:after="0" w:line="240" w:lineRule="auto"/>
              <w:jc w:val="both"/>
              <w:rPr>
                <w:rFonts w:ascii="Times New Roman" w:eastAsia="Times New Roman" w:hAnsi="Times New Roman" w:cs="Times New Roman"/>
                <w:color w:val="000000"/>
                <w:sz w:val="28"/>
                <w:szCs w:val="28"/>
              </w:rPr>
            </w:pPr>
            <w:r w:rsidRPr="002E0C7A">
              <w:rPr>
                <w:rFonts w:ascii="Times New Roman" w:eastAsia="Times New Roman" w:hAnsi="Times New Roman" w:cs="Times New Roman"/>
                <w:color w:val="000000"/>
                <w:sz w:val="28"/>
                <w:szCs w:val="28"/>
              </w:rPr>
              <w:t>Nav</w:t>
            </w:r>
          </w:p>
        </w:tc>
      </w:tr>
    </w:tbl>
    <w:p w14:paraId="5543FB75" w14:textId="77777777" w:rsidR="007730EB" w:rsidRPr="002E0C7A" w:rsidRDefault="007730EB" w:rsidP="00F366FD">
      <w:pPr>
        <w:keepNext/>
        <w:spacing w:after="0" w:line="240" w:lineRule="auto"/>
        <w:jc w:val="both"/>
        <w:outlineLvl w:val="0"/>
        <w:rPr>
          <w:rFonts w:ascii="Times New Roman" w:eastAsia="Times New Roman" w:hAnsi="Times New Roman" w:cs="Times New Roman"/>
          <w:sz w:val="28"/>
          <w:szCs w:val="28"/>
          <w:lang w:eastAsia="lv-LV"/>
        </w:rPr>
      </w:pPr>
    </w:p>
    <w:p w14:paraId="2C1290AC" w14:textId="77777777" w:rsidR="005F2034" w:rsidRPr="002E0C7A" w:rsidRDefault="007D5C84" w:rsidP="005F2034">
      <w:pPr>
        <w:spacing w:after="0" w:line="240" w:lineRule="auto"/>
        <w:jc w:val="both"/>
        <w:rPr>
          <w:rFonts w:ascii="Times New Roman" w:eastAsia="Times New Roman" w:hAnsi="Times New Roman" w:cs="Times New Roman"/>
          <w:i/>
          <w:color w:val="000000"/>
          <w:sz w:val="28"/>
          <w:szCs w:val="28"/>
          <w:lang w:eastAsia="lv-LV"/>
        </w:rPr>
      </w:pPr>
      <w:r w:rsidRPr="002E0C7A">
        <w:rPr>
          <w:rFonts w:ascii="Times New Roman" w:eastAsia="Times New Roman" w:hAnsi="Times New Roman" w:cs="Times New Roman"/>
          <w:i/>
          <w:color w:val="000000"/>
          <w:sz w:val="28"/>
          <w:szCs w:val="28"/>
          <w:lang w:eastAsia="lv-LV"/>
        </w:rPr>
        <w:t xml:space="preserve">Anotācijas </w:t>
      </w:r>
      <w:r w:rsidR="00D10B6D" w:rsidRPr="002E0C7A">
        <w:rPr>
          <w:rFonts w:ascii="Times New Roman" w:eastAsia="Times New Roman" w:hAnsi="Times New Roman" w:cs="Times New Roman"/>
          <w:i/>
          <w:color w:val="000000"/>
          <w:sz w:val="28"/>
          <w:szCs w:val="28"/>
          <w:lang w:eastAsia="lv-LV"/>
        </w:rPr>
        <w:t>V</w:t>
      </w:r>
      <w:r w:rsidR="005F2034" w:rsidRPr="002E0C7A">
        <w:rPr>
          <w:rFonts w:ascii="Times New Roman" w:eastAsia="Times New Roman" w:hAnsi="Times New Roman" w:cs="Times New Roman"/>
          <w:i/>
          <w:color w:val="000000"/>
          <w:sz w:val="28"/>
          <w:szCs w:val="28"/>
          <w:lang w:eastAsia="lv-LV"/>
        </w:rPr>
        <w:t xml:space="preserve"> sadaļa – projekts </w:t>
      </w:r>
      <w:r w:rsidRPr="002E0C7A">
        <w:rPr>
          <w:rFonts w:ascii="Times New Roman" w:eastAsia="Times New Roman" w:hAnsi="Times New Roman" w:cs="Times New Roman"/>
          <w:i/>
          <w:color w:val="000000"/>
          <w:sz w:val="28"/>
          <w:szCs w:val="28"/>
          <w:lang w:eastAsia="lv-LV"/>
        </w:rPr>
        <w:t>šo jomu</w:t>
      </w:r>
      <w:r w:rsidR="005F2034" w:rsidRPr="002E0C7A">
        <w:rPr>
          <w:rFonts w:ascii="Times New Roman" w:eastAsia="Times New Roman" w:hAnsi="Times New Roman" w:cs="Times New Roman"/>
          <w:i/>
          <w:color w:val="000000"/>
          <w:sz w:val="28"/>
          <w:szCs w:val="28"/>
          <w:lang w:eastAsia="lv-LV"/>
        </w:rPr>
        <w:t xml:space="preserve"> neskar.</w:t>
      </w:r>
    </w:p>
    <w:p w14:paraId="6DE4E9F3" w14:textId="77777777" w:rsidR="002A0C96" w:rsidRDefault="002A0C96" w:rsidP="00F366FD">
      <w:pPr>
        <w:keepNext/>
        <w:spacing w:after="0" w:line="240" w:lineRule="auto"/>
        <w:jc w:val="both"/>
        <w:outlineLvl w:val="0"/>
        <w:rPr>
          <w:rFonts w:ascii="Times New Roman" w:eastAsia="Times New Roman" w:hAnsi="Times New Roman" w:cs="Times New Roman"/>
          <w:sz w:val="28"/>
          <w:szCs w:val="28"/>
          <w:lang w:eastAsia="lv-LV"/>
        </w:rPr>
      </w:pPr>
    </w:p>
    <w:p w14:paraId="01F00080" w14:textId="77777777" w:rsidR="007730EB" w:rsidRPr="003C0CFB" w:rsidRDefault="00D10B6D" w:rsidP="00F366FD">
      <w:pPr>
        <w:keepNext/>
        <w:spacing w:after="0" w:line="240" w:lineRule="auto"/>
        <w:jc w:val="both"/>
        <w:outlineLvl w:val="0"/>
        <w:rPr>
          <w:rFonts w:ascii="Times New Roman" w:eastAsia="Times New Roman" w:hAnsi="Times New Roman" w:cs="Times New Roman"/>
          <w:sz w:val="26"/>
          <w:szCs w:val="26"/>
          <w:lang w:eastAsia="lv-LV"/>
        </w:rPr>
      </w:pPr>
      <w:r w:rsidRPr="003C0CFB">
        <w:rPr>
          <w:rFonts w:ascii="Times New Roman" w:eastAsia="Times New Roman" w:hAnsi="Times New Roman" w:cs="Times New Roman"/>
          <w:sz w:val="26"/>
          <w:szCs w:val="26"/>
          <w:lang w:eastAsia="lv-LV"/>
        </w:rPr>
        <w:t>Ekon</w:t>
      </w:r>
      <w:r w:rsidR="009B702E" w:rsidRPr="003C0CFB">
        <w:rPr>
          <w:rFonts w:ascii="Times New Roman" w:eastAsia="Times New Roman" w:hAnsi="Times New Roman" w:cs="Times New Roman"/>
          <w:sz w:val="26"/>
          <w:szCs w:val="26"/>
          <w:lang w:eastAsia="lv-LV"/>
        </w:rPr>
        <w:t>omikas ministre</w:t>
      </w:r>
      <w:r w:rsidR="009B702E" w:rsidRPr="003C0CFB">
        <w:rPr>
          <w:rFonts w:ascii="Times New Roman" w:eastAsia="Times New Roman" w:hAnsi="Times New Roman" w:cs="Times New Roman"/>
          <w:sz w:val="26"/>
          <w:szCs w:val="26"/>
          <w:lang w:eastAsia="lv-LV"/>
        </w:rPr>
        <w:tab/>
        <w:t xml:space="preserve">            </w:t>
      </w:r>
      <w:r w:rsidR="009B702E" w:rsidRPr="003C0CFB">
        <w:rPr>
          <w:rFonts w:ascii="Times New Roman" w:eastAsia="Times New Roman" w:hAnsi="Times New Roman" w:cs="Times New Roman"/>
          <w:sz w:val="26"/>
          <w:szCs w:val="26"/>
          <w:lang w:eastAsia="lv-LV"/>
        </w:rPr>
        <w:tab/>
      </w:r>
      <w:r w:rsidR="009B702E" w:rsidRPr="003C0CFB">
        <w:rPr>
          <w:rFonts w:ascii="Times New Roman" w:eastAsia="Times New Roman" w:hAnsi="Times New Roman" w:cs="Times New Roman"/>
          <w:sz w:val="26"/>
          <w:szCs w:val="26"/>
          <w:lang w:eastAsia="lv-LV"/>
        </w:rPr>
        <w:tab/>
      </w:r>
      <w:r w:rsidR="009B702E" w:rsidRPr="003C0CFB">
        <w:rPr>
          <w:rFonts w:ascii="Times New Roman" w:eastAsia="Times New Roman" w:hAnsi="Times New Roman" w:cs="Times New Roman"/>
          <w:sz w:val="26"/>
          <w:szCs w:val="26"/>
          <w:lang w:eastAsia="lv-LV"/>
        </w:rPr>
        <w:tab/>
        <w:t xml:space="preserve">        </w:t>
      </w:r>
      <w:r w:rsidRPr="003C0CFB">
        <w:rPr>
          <w:rFonts w:ascii="Times New Roman" w:eastAsia="Times New Roman" w:hAnsi="Times New Roman" w:cs="Times New Roman"/>
          <w:sz w:val="26"/>
          <w:szCs w:val="26"/>
          <w:lang w:eastAsia="lv-LV"/>
        </w:rPr>
        <w:t xml:space="preserve">    </w:t>
      </w:r>
      <w:r w:rsidR="007730EB" w:rsidRPr="003C0CFB">
        <w:rPr>
          <w:rFonts w:ascii="Times New Roman" w:eastAsia="Times New Roman" w:hAnsi="Times New Roman" w:cs="Times New Roman"/>
          <w:sz w:val="26"/>
          <w:szCs w:val="26"/>
          <w:lang w:eastAsia="lv-LV"/>
        </w:rPr>
        <w:t xml:space="preserve"> </w:t>
      </w:r>
      <w:r w:rsidR="009B702E" w:rsidRPr="003C0CFB">
        <w:rPr>
          <w:rFonts w:ascii="Times New Roman" w:eastAsia="Times New Roman" w:hAnsi="Times New Roman" w:cs="Times New Roman"/>
          <w:sz w:val="26"/>
          <w:szCs w:val="26"/>
          <w:lang w:eastAsia="lv-LV"/>
        </w:rPr>
        <w:t>D.Reizniece-</w:t>
      </w:r>
      <w:r w:rsidRPr="003C0CFB">
        <w:rPr>
          <w:rFonts w:ascii="Times New Roman" w:eastAsia="Times New Roman" w:hAnsi="Times New Roman" w:cs="Times New Roman"/>
          <w:sz w:val="26"/>
          <w:szCs w:val="26"/>
          <w:lang w:eastAsia="lv-LV"/>
        </w:rPr>
        <w:t>Ozola</w:t>
      </w:r>
    </w:p>
    <w:p w14:paraId="6F4FCD4B" w14:textId="77777777" w:rsidR="007730EB" w:rsidRPr="003C0CFB" w:rsidRDefault="007730EB" w:rsidP="00F366FD">
      <w:pPr>
        <w:tabs>
          <w:tab w:val="left" w:pos="6237"/>
        </w:tabs>
        <w:spacing w:after="0" w:line="240" w:lineRule="auto"/>
        <w:rPr>
          <w:rFonts w:ascii="Times New Roman" w:eastAsia="Times New Roman" w:hAnsi="Times New Roman" w:cs="Times New Roman"/>
          <w:bCs/>
          <w:color w:val="000000"/>
          <w:sz w:val="26"/>
          <w:szCs w:val="26"/>
        </w:rPr>
      </w:pPr>
    </w:p>
    <w:p w14:paraId="6383A930" w14:textId="77777777" w:rsidR="00F447F3" w:rsidRPr="003C0CFB" w:rsidRDefault="007730EB" w:rsidP="00F366FD">
      <w:pPr>
        <w:rPr>
          <w:rFonts w:ascii="Times New Roman" w:eastAsia="Times New Roman" w:hAnsi="Times New Roman" w:cs="Times New Roman"/>
          <w:bCs/>
          <w:color w:val="000000"/>
          <w:sz w:val="26"/>
          <w:szCs w:val="26"/>
        </w:rPr>
      </w:pPr>
      <w:r w:rsidRPr="003C0CFB">
        <w:rPr>
          <w:rFonts w:ascii="Times New Roman" w:eastAsia="Times New Roman" w:hAnsi="Times New Roman" w:cs="Times New Roman"/>
          <w:bCs/>
          <w:color w:val="000000"/>
          <w:sz w:val="26"/>
          <w:szCs w:val="26"/>
        </w:rPr>
        <w:t xml:space="preserve">Vīza: </w:t>
      </w:r>
    </w:p>
    <w:p w14:paraId="047D4E5D" w14:textId="3FE050F4" w:rsidR="00084D02" w:rsidRDefault="009C35D3" w:rsidP="00783664">
      <w:pPr>
        <w:spacing w:after="0" w:line="240" w:lineRule="auto"/>
        <w:rPr>
          <w:rFonts w:ascii="Times New Roman" w:eastAsia="Times New Roman" w:hAnsi="Times New Roman" w:cs="Times New Roman"/>
          <w:bCs/>
          <w:color w:val="000000"/>
          <w:sz w:val="26"/>
          <w:szCs w:val="26"/>
        </w:rPr>
      </w:pPr>
      <w:r w:rsidRPr="003C0CFB">
        <w:rPr>
          <w:rFonts w:ascii="Times New Roman" w:eastAsia="Times New Roman" w:hAnsi="Times New Roman" w:cs="Times New Roman"/>
          <w:bCs/>
          <w:color w:val="000000"/>
          <w:sz w:val="26"/>
          <w:szCs w:val="26"/>
        </w:rPr>
        <w:t>V</w:t>
      </w:r>
      <w:r w:rsidR="009C40CB" w:rsidRPr="003C0CFB">
        <w:rPr>
          <w:rFonts w:ascii="Times New Roman" w:eastAsia="Times New Roman" w:hAnsi="Times New Roman" w:cs="Times New Roman"/>
          <w:bCs/>
          <w:color w:val="000000"/>
          <w:sz w:val="26"/>
          <w:szCs w:val="26"/>
        </w:rPr>
        <w:t>alsts sekretār</w:t>
      </w:r>
      <w:r w:rsidR="00084D02">
        <w:rPr>
          <w:rFonts w:ascii="Times New Roman" w:eastAsia="Times New Roman" w:hAnsi="Times New Roman" w:cs="Times New Roman"/>
          <w:bCs/>
          <w:color w:val="000000"/>
          <w:sz w:val="26"/>
          <w:szCs w:val="26"/>
        </w:rPr>
        <w:t>a</w:t>
      </w:r>
      <w:r w:rsidR="00ED23DE" w:rsidRPr="00ED23DE">
        <w:rPr>
          <w:rFonts w:ascii="Times New Roman" w:eastAsia="Times New Roman" w:hAnsi="Times New Roman" w:cs="Times New Roman"/>
          <w:bCs/>
          <w:color w:val="000000"/>
          <w:sz w:val="26"/>
          <w:szCs w:val="26"/>
        </w:rPr>
        <w:t xml:space="preserve"> </w:t>
      </w:r>
      <w:r w:rsidR="00ED23DE">
        <w:rPr>
          <w:rFonts w:ascii="Times New Roman" w:eastAsia="Times New Roman" w:hAnsi="Times New Roman" w:cs="Times New Roman"/>
          <w:bCs/>
          <w:color w:val="000000"/>
          <w:sz w:val="26"/>
          <w:szCs w:val="26"/>
        </w:rPr>
        <w:t>pienākumu izpildītājs</w:t>
      </w:r>
      <w:r w:rsidR="003D06F3">
        <w:rPr>
          <w:rFonts w:ascii="Times New Roman" w:eastAsia="Times New Roman" w:hAnsi="Times New Roman" w:cs="Times New Roman"/>
          <w:bCs/>
          <w:color w:val="000000"/>
          <w:sz w:val="26"/>
          <w:szCs w:val="26"/>
        </w:rPr>
        <w:t>,</w:t>
      </w:r>
    </w:p>
    <w:p w14:paraId="15292E0D" w14:textId="7288C15D" w:rsidR="00783664" w:rsidRDefault="00ED23DE" w:rsidP="00783664">
      <w:pPr>
        <w:spacing w:after="0" w:line="240" w:lineRule="auto"/>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6"/>
          <w:szCs w:val="26"/>
        </w:rPr>
        <w:t>valsts sekretāra vietnieks</w:t>
      </w:r>
      <w:r w:rsidR="00862F13" w:rsidRPr="003C0CFB">
        <w:rPr>
          <w:rFonts w:ascii="Times New Roman" w:eastAsia="Times New Roman" w:hAnsi="Times New Roman" w:cs="Times New Roman"/>
          <w:bCs/>
          <w:color w:val="000000"/>
          <w:sz w:val="26"/>
          <w:szCs w:val="26"/>
        </w:rPr>
        <w:tab/>
      </w:r>
      <w:r w:rsidR="007730EB" w:rsidRPr="003C0CFB">
        <w:rPr>
          <w:rFonts w:ascii="Times New Roman" w:eastAsia="Times New Roman" w:hAnsi="Times New Roman" w:cs="Times New Roman"/>
          <w:bCs/>
          <w:color w:val="000000"/>
          <w:sz w:val="26"/>
          <w:szCs w:val="26"/>
        </w:rPr>
        <w:tab/>
      </w:r>
      <w:r w:rsidR="00921627" w:rsidRPr="003C0CFB">
        <w:rPr>
          <w:rFonts w:ascii="Times New Roman" w:eastAsia="Times New Roman" w:hAnsi="Times New Roman" w:cs="Times New Roman"/>
          <w:bCs/>
          <w:color w:val="000000"/>
          <w:sz w:val="26"/>
          <w:szCs w:val="26"/>
        </w:rPr>
        <w:tab/>
      </w:r>
      <w:r w:rsidR="00921627" w:rsidRPr="003C0CFB">
        <w:rPr>
          <w:rFonts w:ascii="Times New Roman" w:eastAsia="Times New Roman" w:hAnsi="Times New Roman" w:cs="Times New Roman"/>
          <w:bCs/>
          <w:color w:val="000000"/>
          <w:sz w:val="26"/>
          <w:szCs w:val="26"/>
        </w:rPr>
        <w:tab/>
      </w:r>
      <w:r w:rsidR="00921627" w:rsidRPr="003C0CFB">
        <w:rPr>
          <w:rFonts w:ascii="Times New Roman" w:eastAsia="Times New Roman" w:hAnsi="Times New Roman" w:cs="Times New Roman"/>
          <w:bCs/>
          <w:color w:val="000000"/>
          <w:sz w:val="26"/>
          <w:szCs w:val="26"/>
        </w:rPr>
        <w:tab/>
      </w:r>
      <w:r w:rsidR="00921627" w:rsidRPr="003C0CFB">
        <w:rPr>
          <w:rFonts w:ascii="Times New Roman" w:eastAsia="Times New Roman" w:hAnsi="Times New Roman" w:cs="Times New Roman"/>
          <w:bCs/>
          <w:color w:val="000000"/>
          <w:sz w:val="26"/>
          <w:szCs w:val="26"/>
        </w:rPr>
        <w:tab/>
      </w:r>
      <w:r w:rsidR="00921627" w:rsidRPr="003C0CFB">
        <w:rPr>
          <w:rFonts w:ascii="Times New Roman" w:eastAsia="Times New Roman" w:hAnsi="Times New Roman" w:cs="Times New Roman"/>
          <w:bCs/>
          <w:color w:val="000000"/>
          <w:sz w:val="26"/>
          <w:szCs w:val="26"/>
        </w:rPr>
        <w:tab/>
      </w:r>
      <w:proofErr w:type="spellStart"/>
      <w:r w:rsidR="00084D02">
        <w:rPr>
          <w:rFonts w:ascii="Times New Roman" w:eastAsia="Times New Roman" w:hAnsi="Times New Roman" w:cs="Times New Roman"/>
          <w:bCs/>
          <w:color w:val="000000"/>
          <w:sz w:val="26"/>
          <w:szCs w:val="26"/>
        </w:rPr>
        <w:t>J.Spiridonovs</w:t>
      </w:r>
      <w:proofErr w:type="spellEnd"/>
      <w:r w:rsidR="009C40CB" w:rsidRPr="002E0C7A">
        <w:rPr>
          <w:rFonts w:ascii="Times New Roman" w:eastAsia="Times New Roman" w:hAnsi="Times New Roman" w:cs="Times New Roman"/>
          <w:bCs/>
          <w:color w:val="000000"/>
          <w:sz w:val="28"/>
          <w:szCs w:val="28"/>
        </w:rPr>
        <w:tab/>
      </w:r>
    </w:p>
    <w:p w14:paraId="670C1B7E" w14:textId="77777777" w:rsidR="00084D02" w:rsidRDefault="00084D02" w:rsidP="00783664">
      <w:pPr>
        <w:spacing w:after="0" w:line="240" w:lineRule="auto"/>
        <w:rPr>
          <w:rFonts w:ascii="Times New Roman" w:eastAsia="Times New Roman" w:hAnsi="Times New Roman" w:cs="Times New Roman"/>
          <w:bCs/>
          <w:color w:val="000000"/>
          <w:sz w:val="28"/>
          <w:szCs w:val="28"/>
        </w:rPr>
      </w:pPr>
    </w:p>
    <w:p w14:paraId="56878D9C" w14:textId="77777777" w:rsidR="00084D02" w:rsidRDefault="00084D02" w:rsidP="00783664">
      <w:pPr>
        <w:spacing w:after="0" w:line="240" w:lineRule="auto"/>
        <w:rPr>
          <w:rFonts w:ascii="Times New Roman" w:eastAsia="Times New Roman" w:hAnsi="Times New Roman" w:cs="Times New Roman"/>
          <w:bCs/>
          <w:color w:val="000000"/>
          <w:sz w:val="28"/>
          <w:szCs w:val="28"/>
        </w:rPr>
      </w:pPr>
    </w:p>
    <w:p w14:paraId="0FC01DBA" w14:textId="50003F7E" w:rsidR="00F447F3" w:rsidRPr="00783664" w:rsidRDefault="006034EE" w:rsidP="00783664">
      <w:pPr>
        <w:spacing w:after="0" w:line="240" w:lineRule="auto"/>
        <w:rPr>
          <w:rFonts w:ascii="Times New Roman" w:eastAsia="Times New Roman" w:hAnsi="Times New Roman" w:cs="Times New Roman"/>
          <w:bCs/>
          <w:color w:val="000000"/>
          <w:sz w:val="20"/>
          <w:szCs w:val="20"/>
        </w:rPr>
      </w:pPr>
      <w:r>
        <w:rPr>
          <w:rFonts w:ascii="Times New Roman" w:eastAsia="Times New Roman" w:hAnsi="Times New Roman" w:cs="Times New Roman"/>
          <w:color w:val="000000"/>
          <w:sz w:val="20"/>
          <w:szCs w:val="20"/>
          <w:lang w:eastAsia="lv-LV"/>
        </w:rPr>
        <w:fldChar w:fldCharType="begin"/>
      </w:r>
      <w:r>
        <w:rPr>
          <w:rFonts w:ascii="Times New Roman" w:eastAsia="Times New Roman" w:hAnsi="Times New Roman" w:cs="Times New Roman"/>
          <w:color w:val="000000"/>
          <w:sz w:val="20"/>
          <w:szCs w:val="20"/>
          <w:lang w:eastAsia="lv-LV"/>
        </w:rPr>
        <w:instrText xml:space="preserve"> TIME  \@ "dd.MM.yyyy HH:mm"  \* MERGEFORMAT </w:instrText>
      </w:r>
      <w:r>
        <w:rPr>
          <w:rFonts w:ascii="Times New Roman" w:eastAsia="Times New Roman" w:hAnsi="Times New Roman" w:cs="Times New Roman"/>
          <w:color w:val="000000"/>
          <w:sz w:val="20"/>
          <w:szCs w:val="20"/>
          <w:lang w:eastAsia="lv-LV"/>
        </w:rPr>
        <w:fldChar w:fldCharType="separate"/>
      </w:r>
      <w:r w:rsidR="0061357A">
        <w:rPr>
          <w:rFonts w:ascii="Times New Roman" w:eastAsia="Times New Roman" w:hAnsi="Times New Roman" w:cs="Times New Roman"/>
          <w:noProof/>
          <w:color w:val="000000"/>
          <w:sz w:val="20"/>
          <w:szCs w:val="20"/>
          <w:lang w:eastAsia="lv-LV"/>
        </w:rPr>
        <w:t>21.12.2015 14:39</w:t>
      </w:r>
      <w:r>
        <w:rPr>
          <w:rFonts w:ascii="Times New Roman" w:eastAsia="Times New Roman" w:hAnsi="Times New Roman" w:cs="Times New Roman"/>
          <w:color w:val="000000"/>
          <w:sz w:val="20"/>
          <w:szCs w:val="20"/>
          <w:lang w:eastAsia="lv-LV"/>
        </w:rPr>
        <w:fldChar w:fldCharType="end"/>
      </w:r>
      <w:r w:rsidR="008C5591" w:rsidRPr="00783664">
        <w:rPr>
          <w:rFonts w:ascii="Times New Roman" w:eastAsia="Times New Roman" w:hAnsi="Times New Roman" w:cs="Times New Roman"/>
          <w:color w:val="000000"/>
          <w:sz w:val="20"/>
          <w:szCs w:val="20"/>
          <w:lang w:eastAsia="lv-LV"/>
        </w:rPr>
        <w:tab/>
      </w:r>
    </w:p>
    <w:p w14:paraId="58412CAE" w14:textId="63D397EA" w:rsidR="0058450B" w:rsidRPr="00080114" w:rsidRDefault="0099189C" w:rsidP="0058450B">
      <w:pPr>
        <w:tabs>
          <w:tab w:val="left" w:pos="0"/>
        </w:tabs>
        <w:spacing w:after="0" w:line="240" w:lineRule="auto"/>
        <w:jc w:val="both"/>
        <w:rPr>
          <w:rFonts w:ascii="Times New Roman" w:eastAsia="Times New Roman" w:hAnsi="Times New Roman" w:cs="Times New Roman"/>
          <w:color w:val="000000"/>
          <w:sz w:val="20"/>
          <w:szCs w:val="20"/>
          <w:lang w:eastAsia="lv-LV"/>
        </w:rPr>
      </w:pPr>
      <w:r w:rsidRPr="00080114">
        <w:rPr>
          <w:rFonts w:ascii="Times New Roman" w:hAnsi="Times New Roman" w:cs="Times New Roman"/>
          <w:sz w:val="20"/>
          <w:szCs w:val="20"/>
        </w:rPr>
        <w:fldChar w:fldCharType="begin"/>
      </w:r>
      <w:r w:rsidRPr="00080114">
        <w:rPr>
          <w:rFonts w:ascii="Times New Roman" w:hAnsi="Times New Roman" w:cs="Times New Roman"/>
          <w:sz w:val="20"/>
          <w:szCs w:val="20"/>
        </w:rPr>
        <w:instrText xml:space="preserve"> NUMWORDS  \* MERGEFORMAT </w:instrText>
      </w:r>
      <w:r w:rsidRPr="00080114">
        <w:rPr>
          <w:rFonts w:ascii="Times New Roman" w:hAnsi="Times New Roman" w:cs="Times New Roman"/>
          <w:sz w:val="20"/>
          <w:szCs w:val="20"/>
        </w:rPr>
        <w:fldChar w:fldCharType="separate"/>
      </w:r>
      <w:r w:rsidR="0061357A" w:rsidRPr="0061357A">
        <w:rPr>
          <w:rFonts w:ascii="Times New Roman" w:eastAsia="Times New Roman" w:hAnsi="Times New Roman" w:cs="Times New Roman"/>
          <w:noProof/>
          <w:color w:val="000000"/>
          <w:sz w:val="20"/>
          <w:szCs w:val="20"/>
          <w:lang w:eastAsia="lv-LV"/>
        </w:rPr>
        <w:t>1985</w:t>
      </w:r>
      <w:r w:rsidRPr="00080114">
        <w:rPr>
          <w:rFonts w:ascii="Times New Roman" w:eastAsia="Times New Roman" w:hAnsi="Times New Roman" w:cs="Times New Roman"/>
          <w:noProof/>
          <w:color w:val="000000"/>
          <w:sz w:val="20"/>
          <w:szCs w:val="20"/>
          <w:lang w:eastAsia="lv-LV"/>
        </w:rPr>
        <w:fldChar w:fldCharType="end"/>
      </w:r>
      <w:bookmarkStart w:id="0" w:name="_GoBack"/>
      <w:bookmarkEnd w:id="0"/>
    </w:p>
    <w:p w14:paraId="575BED52" w14:textId="0481C8B3" w:rsidR="00080114" w:rsidRPr="00080114" w:rsidRDefault="003905CB" w:rsidP="00080114">
      <w:pPr>
        <w:pStyle w:val="BodyText"/>
        <w:spacing w:before="0" w:after="0" w:line="240" w:lineRule="auto"/>
        <w:ind w:firstLine="0"/>
        <w:jc w:val="left"/>
        <w:rPr>
          <w:sz w:val="20"/>
        </w:rPr>
      </w:pPr>
      <w:r>
        <w:rPr>
          <w:sz w:val="20"/>
        </w:rPr>
        <w:t>D.</w:t>
      </w:r>
      <w:r w:rsidR="00B64A36">
        <w:rPr>
          <w:sz w:val="20"/>
        </w:rPr>
        <w:t>B</w:t>
      </w:r>
      <w:r>
        <w:rPr>
          <w:sz w:val="20"/>
        </w:rPr>
        <w:t>rūklī</w:t>
      </w:r>
      <w:r w:rsidR="00B64A36">
        <w:rPr>
          <w:sz w:val="20"/>
        </w:rPr>
        <w:t>tis</w:t>
      </w:r>
      <w:r w:rsidR="00080114" w:rsidRPr="00080114">
        <w:rPr>
          <w:sz w:val="20"/>
        </w:rPr>
        <w:t>, 67013</w:t>
      </w:r>
      <w:r w:rsidR="00B64A36">
        <w:rPr>
          <w:sz w:val="20"/>
        </w:rPr>
        <w:t>274</w:t>
      </w:r>
      <w:r w:rsidR="00080114" w:rsidRPr="00080114">
        <w:rPr>
          <w:sz w:val="20"/>
        </w:rPr>
        <w:br/>
      </w:r>
      <w:r w:rsidR="00B64A36">
        <w:rPr>
          <w:sz w:val="20"/>
        </w:rPr>
        <w:t>Didzis.Bruklitis</w:t>
      </w:r>
      <w:r w:rsidR="00080114" w:rsidRPr="00080114">
        <w:rPr>
          <w:sz w:val="20"/>
        </w:rPr>
        <w:t>@em.gov.lv</w:t>
      </w:r>
    </w:p>
    <w:sectPr w:rsidR="00080114" w:rsidRPr="00080114" w:rsidSect="00A534A8">
      <w:headerReference w:type="default" r:id="rId9"/>
      <w:footerReference w:type="default" r:id="rId10"/>
      <w:footerReference w:type="first" r:id="rId11"/>
      <w:pgSz w:w="11906" w:h="16838"/>
      <w:pgMar w:top="1135" w:right="1274"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C85E4B" w14:textId="77777777" w:rsidR="002D6E94" w:rsidRDefault="002D6E94" w:rsidP="007730EB">
      <w:pPr>
        <w:spacing w:after="0" w:line="240" w:lineRule="auto"/>
      </w:pPr>
      <w:r>
        <w:separator/>
      </w:r>
    </w:p>
  </w:endnote>
  <w:endnote w:type="continuationSeparator" w:id="0">
    <w:p w14:paraId="032B161E" w14:textId="77777777" w:rsidR="002D6E94" w:rsidRDefault="002D6E94" w:rsidP="007730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BBF27E" w14:textId="2CB66742" w:rsidR="003C0CFB" w:rsidRPr="00D10B6D" w:rsidRDefault="00D57FE5" w:rsidP="003C0CFB">
    <w:pPr>
      <w:spacing w:after="0"/>
      <w:jc w:val="both"/>
      <w:rPr>
        <w:rFonts w:ascii="Times New Roman" w:hAnsi="Times New Roman" w:cs="Times New Roman"/>
        <w:sz w:val="20"/>
        <w:szCs w:val="20"/>
      </w:rPr>
    </w:pPr>
    <w:r>
      <w:rPr>
        <w:rFonts w:ascii="Times New Roman" w:eastAsia="Calibri" w:hAnsi="Times New Roman" w:cs="Times New Roman"/>
        <w:sz w:val="20"/>
        <w:szCs w:val="20"/>
      </w:rPr>
      <w:fldChar w:fldCharType="begin"/>
    </w:r>
    <w:r>
      <w:rPr>
        <w:rFonts w:ascii="Times New Roman" w:eastAsia="Calibri" w:hAnsi="Times New Roman" w:cs="Times New Roman"/>
        <w:sz w:val="20"/>
        <w:szCs w:val="20"/>
      </w:rPr>
      <w:instrText xml:space="preserve"> FILENAME   \* MERGEFORMAT </w:instrText>
    </w:r>
    <w:r>
      <w:rPr>
        <w:rFonts w:ascii="Times New Roman" w:eastAsia="Calibri" w:hAnsi="Times New Roman" w:cs="Times New Roman"/>
        <w:sz w:val="20"/>
        <w:szCs w:val="20"/>
      </w:rPr>
      <w:fldChar w:fldCharType="separate"/>
    </w:r>
    <w:r w:rsidR="007A5D5C">
      <w:rPr>
        <w:rFonts w:ascii="Times New Roman" w:eastAsia="Calibri" w:hAnsi="Times New Roman" w:cs="Times New Roman"/>
        <w:noProof/>
        <w:sz w:val="20"/>
        <w:szCs w:val="20"/>
      </w:rPr>
      <w:t>EManot_211215_mk245</w:t>
    </w:r>
    <w:r>
      <w:rPr>
        <w:rFonts w:ascii="Times New Roman" w:eastAsia="Calibri" w:hAnsi="Times New Roman" w:cs="Times New Roman"/>
        <w:sz w:val="20"/>
        <w:szCs w:val="20"/>
      </w:rPr>
      <w:fldChar w:fldCharType="end"/>
    </w:r>
    <w:r w:rsidR="003C0CFB" w:rsidRPr="00D10B6D">
      <w:rPr>
        <w:rFonts w:ascii="Times New Roman" w:eastAsia="Calibri" w:hAnsi="Times New Roman" w:cs="Times New Roman"/>
        <w:sz w:val="20"/>
        <w:szCs w:val="20"/>
      </w:rPr>
      <w:t xml:space="preserve">; </w:t>
    </w:r>
    <w:r w:rsidR="003C0CFB" w:rsidRPr="0010559C">
      <w:rPr>
        <w:rFonts w:ascii="Times New Roman" w:eastAsia="Calibri" w:hAnsi="Times New Roman" w:cs="Times New Roman"/>
        <w:sz w:val="20"/>
        <w:szCs w:val="20"/>
      </w:rPr>
      <w:t>Ministru kabineta noteikumu projekta „Grozījumi Ministru kabineta 2011.gada 29.marta noteikumos Nr.245 „Noteikumi par kārtību, kādā izsniedz, pārreģistrē, aptur un anulē speciālo atļauju (licenci) patērētāju kreditēšanas pakalpojumu sniegšanai un maksā valsts nodevu par speciālās atļaujas (licences) izsniegšanu un pārreģistrāciju, kā arī prasībām kapitālsabiedrībai speciālās atļaujas (licences) saņemšanai”” 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400F13" w14:textId="6CA42345" w:rsidR="000B3B07" w:rsidRPr="00D10B6D" w:rsidRDefault="00D57FE5" w:rsidP="00D10B6D">
    <w:pPr>
      <w:spacing w:after="0"/>
      <w:jc w:val="both"/>
      <w:rPr>
        <w:rFonts w:ascii="Times New Roman" w:hAnsi="Times New Roman" w:cs="Times New Roman"/>
        <w:sz w:val="20"/>
        <w:szCs w:val="20"/>
      </w:rPr>
    </w:pPr>
    <w:r>
      <w:rPr>
        <w:rFonts w:ascii="Times New Roman" w:eastAsia="Calibri" w:hAnsi="Times New Roman" w:cs="Times New Roman"/>
        <w:sz w:val="20"/>
        <w:szCs w:val="20"/>
      </w:rPr>
      <w:fldChar w:fldCharType="begin"/>
    </w:r>
    <w:r>
      <w:rPr>
        <w:rFonts w:ascii="Times New Roman" w:eastAsia="Calibri" w:hAnsi="Times New Roman" w:cs="Times New Roman"/>
        <w:sz w:val="20"/>
        <w:szCs w:val="20"/>
      </w:rPr>
      <w:instrText xml:space="preserve"> FILENAME   \* MERGEFORMAT </w:instrText>
    </w:r>
    <w:r>
      <w:rPr>
        <w:rFonts w:ascii="Times New Roman" w:eastAsia="Calibri" w:hAnsi="Times New Roman" w:cs="Times New Roman"/>
        <w:sz w:val="20"/>
        <w:szCs w:val="20"/>
      </w:rPr>
      <w:fldChar w:fldCharType="separate"/>
    </w:r>
    <w:r w:rsidR="007A5D5C">
      <w:rPr>
        <w:rFonts w:ascii="Times New Roman" w:eastAsia="Calibri" w:hAnsi="Times New Roman" w:cs="Times New Roman"/>
        <w:noProof/>
        <w:sz w:val="20"/>
        <w:szCs w:val="20"/>
      </w:rPr>
      <w:t>EManot_211215_mk245</w:t>
    </w:r>
    <w:r>
      <w:rPr>
        <w:rFonts w:ascii="Times New Roman" w:eastAsia="Calibri" w:hAnsi="Times New Roman" w:cs="Times New Roman"/>
        <w:sz w:val="20"/>
        <w:szCs w:val="20"/>
      </w:rPr>
      <w:fldChar w:fldCharType="end"/>
    </w:r>
    <w:r w:rsidR="000B3B07" w:rsidRPr="00D10B6D">
      <w:rPr>
        <w:rFonts w:ascii="Times New Roman" w:eastAsia="Calibri" w:hAnsi="Times New Roman" w:cs="Times New Roman"/>
        <w:sz w:val="20"/>
        <w:szCs w:val="20"/>
      </w:rPr>
      <w:t xml:space="preserve">; </w:t>
    </w:r>
    <w:r w:rsidR="000B3B07" w:rsidRPr="0010559C">
      <w:rPr>
        <w:rFonts w:ascii="Times New Roman" w:eastAsia="Calibri" w:hAnsi="Times New Roman" w:cs="Times New Roman"/>
        <w:sz w:val="20"/>
        <w:szCs w:val="20"/>
      </w:rPr>
      <w:t>Ministru kabineta noteikumu projekta „Grozījumi Ministru kabineta 2011.gada 29.marta noteikumos Nr.245 „Noteikumi par kārtību, kādā izsniedz, pārreģistrē, aptur un anulē speciālo atļauju (licenci) patērētāju kreditēšanas pakalpojumu sniegšanai un maksā valsts nodevu par speciālās atļaujas (licences) izsniegšanu un pārreģistrāciju, kā arī prasībām kapitālsabiedrībai speciālās atļaujas (licences) saņemšanai””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8A368D" w14:textId="77777777" w:rsidR="002D6E94" w:rsidRDefault="002D6E94" w:rsidP="007730EB">
      <w:pPr>
        <w:spacing w:after="0" w:line="240" w:lineRule="auto"/>
      </w:pPr>
      <w:r>
        <w:separator/>
      </w:r>
    </w:p>
  </w:footnote>
  <w:footnote w:type="continuationSeparator" w:id="0">
    <w:p w14:paraId="26A90BD3" w14:textId="77777777" w:rsidR="002D6E94" w:rsidRDefault="002D6E94" w:rsidP="007730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0824060"/>
      <w:docPartObj>
        <w:docPartGallery w:val="Page Numbers (Top of Page)"/>
        <w:docPartUnique/>
      </w:docPartObj>
    </w:sdtPr>
    <w:sdtEndPr>
      <w:rPr>
        <w:noProof/>
      </w:rPr>
    </w:sdtEndPr>
    <w:sdtContent>
      <w:p w14:paraId="21E73320" w14:textId="77777777" w:rsidR="000B3B07" w:rsidRDefault="000B3B07">
        <w:pPr>
          <w:pStyle w:val="Header"/>
          <w:jc w:val="center"/>
        </w:pPr>
        <w:r>
          <w:fldChar w:fldCharType="begin"/>
        </w:r>
        <w:r>
          <w:instrText xml:space="preserve"> PAGE   \* MERGEFORMAT </w:instrText>
        </w:r>
        <w:r>
          <w:fldChar w:fldCharType="separate"/>
        </w:r>
        <w:r w:rsidR="0061357A">
          <w:rPr>
            <w:noProof/>
          </w:rPr>
          <w:t>10</w:t>
        </w:r>
        <w:r>
          <w:rPr>
            <w:noProof/>
          </w:rPr>
          <w:fldChar w:fldCharType="end"/>
        </w:r>
      </w:p>
    </w:sdtContent>
  </w:sdt>
  <w:p w14:paraId="3DA1286B" w14:textId="77777777" w:rsidR="000B3B07" w:rsidRDefault="000B3B0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752E3"/>
    <w:multiLevelType w:val="hybridMultilevel"/>
    <w:tmpl w:val="BF662470"/>
    <w:lvl w:ilvl="0" w:tplc="0D028354">
      <w:start w:val="1"/>
      <w:numFmt w:val="decimal"/>
      <w:lvlText w:val="%1)"/>
      <w:lvlJc w:val="left"/>
      <w:pPr>
        <w:ind w:left="720" w:hanging="360"/>
      </w:pPr>
      <w:rPr>
        <w:rFonts w:ascii="Times New Roman" w:hAnsi="Times New Roman" w:cs="Times New Roman" w:hint="default"/>
        <w:color w:val="000000"/>
        <w:sz w:val="28"/>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
    <w:nsid w:val="57E40EDD"/>
    <w:multiLevelType w:val="hybridMultilevel"/>
    <w:tmpl w:val="0A7A39F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0EB"/>
    <w:rsid w:val="000027CA"/>
    <w:rsid w:val="00003ECB"/>
    <w:rsid w:val="00010431"/>
    <w:rsid w:val="0001173A"/>
    <w:rsid w:val="000122DC"/>
    <w:rsid w:val="00014187"/>
    <w:rsid w:val="00017D12"/>
    <w:rsid w:val="0003522B"/>
    <w:rsid w:val="00051FEA"/>
    <w:rsid w:val="000579CD"/>
    <w:rsid w:val="000710B4"/>
    <w:rsid w:val="00080114"/>
    <w:rsid w:val="00084D02"/>
    <w:rsid w:val="00090EDB"/>
    <w:rsid w:val="000A4024"/>
    <w:rsid w:val="000B0854"/>
    <w:rsid w:val="000B3B07"/>
    <w:rsid w:val="000B51C2"/>
    <w:rsid w:val="000B5736"/>
    <w:rsid w:val="000C1A68"/>
    <w:rsid w:val="000E29AB"/>
    <w:rsid w:val="000E3E23"/>
    <w:rsid w:val="000E5A68"/>
    <w:rsid w:val="000E7971"/>
    <w:rsid w:val="000F3039"/>
    <w:rsid w:val="000F6C54"/>
    <w:rsid w:val="00104BF3"/>
    <w:rsid w:val="0010559C"/>
    <w:rsid w:val="00107261"/>
    <w:rsid w:val="00112CF6"/>
    <w:rsid w:val="00116F56"/>
    <w:rsid w:val="0012740A"/>
    <w:rsid w:val="00127D00"/>
    <w:rsid w:val="00142F08"/>
    <w:rsid w:val="00162DC0"/>
    <w:rsid w:val="00164D2B"/>
    <w:rsid w:val="00184012"/>
    <w:rsid w:val="0018624D"/>
    <w:rsid w:val="001864B6"/>
    <w:rsid w:val="00192640"/>
    <w:rsid w:val="001941C4"/>
    <w:rsid w:val="001B4A1C"/>
    <w:rsid w:val="001D57A1"/>
    <w:rsid w:val="001D6AFB"/>
    <w:rsid w:val="001E1EC7"/>
    <w:rsid w:val="001E248F"/>
    <w:rsid w:val="001F3339"/>
    <w:rsid w:val="002048DB"/>
    <w:rsid w:val="002108B4"/>
    <w:rsid w:val="002173DB"/>
    <w:rsid w:val="002212E0"/>
    <w:rsid w:val="00233809"/>
    <w:rsid w:val="00233FB2"/>
    <w:rsid w:val="002431E6"/>
    <w:rsid w:val="002515A8"/>
    <w:rsid w:val="0025656B"/>
    <w:rsid w:val="0025680C"/>
    <w:rsid w:val="002633A0"/>
    <w:rsid w:val="00266A5E"/>
    <w:rsid w:val="002677FC"/>
    <w:rsid w:val="00282ADE"/>
    <w:rsid w:val="002A0C96"/>
    <w:rsid w:val="002A6C2C"/>
    <w:rsid w:val="002C24E4"/>
    <w:rsid w:val="002D6E94"/>
    <w:rsid w:val="002E02ED"/>
    <w:rsid w:val="002E0C7A"/>
    <w:rsid w:val="002E1023"/>
    <w:rsid w:val="002F39A5"/>
    <w:rsid w:val="002F4DAF"/>
    <w:rsid w:val="002F5EC6"/>
    <w:rsid w:val="003012E9"/>
    <w:rsid w:val="00307713"/>
    <w:rsid w:val="00310F8F"/>
    <w:rsid w:val="003111ED"/>
    <w:rsid w:val="00342FEE"/>
    <w:rsid w:val="00347257"/>
    <w:rsid w:val="0035147C"/>
    <w:rsid w:val="00356A4E"/>
    <w:rsid w:val="0035701D"/>
    <w:rsid w:val="00362B29"/>
    <w:rsid w:val="00365E22"/>
    <w:rsid w:val="00373C79"/>
    <w:rsid w:val="00384557"/>
    <w:rsid w:val="003879C2"/>
    <w:rsid w:val="003905CB"/>
    <w:rsid w:val="003A3D80"/>
    <w:rsid w:val="003A45F9"/>
    <w:rsid w:val="003A7DB8"/>
    <w:rsid w:val="003B3EF5"/>
    <w:rsid w:val="003B6B89"/>
    <w:rsid w:val="003C0CFB"/>
    <w:rsid w:val="003C68F0"/>
    <w:rsid w:val="003D06F3"/>
    <w:rsid w:val="003D3F8C"/>
    <w:rsid w:val="003E2B57"/>
    <w:rsid w:val="003E4040"/>
    <w:rsid w:val="003E4086"/>
    <w:rsid w:val="003E4CAE"/>
    <w:rsid w:val="003F351C"/>
    <w:rsid w:val="0040447E"/>
    <w:rsid w:val="00414C8A"/>
    <w:rsid w:val="004166CF"/>
    <w:rsid w:val="00420786"/>
    <w:rsid w:val="004236D5"/>
    <w:rsid w:val="0042372D"/>
    <w:rsid w:val="00424EA4"/>
    <w:rsid w:val="00431DD7"/>
    <w:rsid w:val="00432A45"/>
    <w:rsid w:val="0044550C"/>
    <w:rsid w:val="00445832"/>
    <w:rsid w:val="004528BA"/>
    <w:rsid w:val="00457768"/>
    <w:rsid w:val="00486A41"/>
    <w:rsid w:val="00491B1D"/>
    <w:rsid w:val="00492D26"/>
    <w:rsid w:val="004A6258"/>
    <w:rsid w:val="004A677C"/>
    <w:rsid w:val="004B595D"/>
    <w:rsid w:val="004E0DDF"/>
    <w:rsid w:val="004E1DDE"/>
    <w:rsid w:val="004E21AB"/>
    <w:rsid w:val="004E29EE"/>
    <w:rsid w:val="004E3AC3"/>
    <w:rsid w:val="004E70F4"/>
    <w:rsid w:val="004F27C6"/>
    <w:rsid w:val="0051274E"/>
    <w:rsid w:val="005377C4"/>
    <w:rsid w:val="00554FD8"/>
    <w:rsid w:val="00557DC9"/>
    <w:rsid w:val="005600A6"/>
    <w:rsid w:val="005633E5"/>
    <w:rsid w:val="00570E43"/>
    <w:rsid w:val="00576CB1"/>
    <w:rsid w:val="00583C2C"/>
    <w:rsid w:val="0058450B"/>
    <w:rsid w:val="005907C2"/>
    <w:rsid w:val="005A0588"/>
    <w:rsid w:val="005A66E9"/>
    <w:rsid w:val="005A75FA"/>
    <w:rsid w:val="005B08C9"/>
    <w:rsid w:val="005D183D"/>
    <w:rsid w:val="005D213D"/>
    <w:rsid w:val="005D4369"/>
    <w:rsid w:val="005E215C"/>
    <w:rsid w:val="005F2034"/>
    <w:rsid w:val="005F2A22"/>
    <w:rsid w:val="006007AA"/>
    <w:rsid w:val="006034EE"/>
    <w:rsid w:val="00605B28"/>
    <w:rsid w:val="0061357A"/>
    <w:rsid w:val="006263D9"/>
    <w:rsid w:val="006328D7"/>
    <w:rsid w:val="006449C1"/>
    <w:rsid w:val="00646E81"/>
    <w:rsid w:val="006522FA"/>
    <w:rsid w:val="00662523"/>
    <w:rsid w:val="006655CE"/>
    <w:rsid w:val="006672EE"/>
    <w:rsid w:val="006816DE"/>
    <w:rsid w:val="00683901"/>
    <w:rsid w:val="00695286"/>
    <w:rsid w:val="006A0418"/>
    <w:rsid w:val="006A235A"/>
    <w:rsid w:val="006A3A9F"/>
    <w:rsid w:val="006A4F2D"/>
    <w:rsid w:val="006C757D"/>
    <w:rsid w:val="006D4F77"/>
    <w:rsid w:val="006D7BAF"/>
    <w:rsid w:val="006E2C84"/>
    <w:rsid w:val="006F02A9"/>
    <w:rsid w:val="006F0D31"/>
    <w:rsid w:val="006F5620"/>
    <w:rsid w:val="006F72D1"/>
    <w:rsid w:val="007161E9"/>
    <w:rsid w:val="00730E41"/>
    <w:rsid w:val="00732194"/>
    <w:rsid w:val="00740F06"/>
    <w:rsid w:val="0074172F"/>
    <w:rsid w:val="007444D3"/>
    <w:rsid w:val="00770366"/>
    <w:rsid w:val="00772CDC"/>
    <w:rsid w:val="007730EB"/>
    <w:rsid w:val="00783664"/>
    <w:rsid w:val="007A1AF9"/>
    <w:rsid w:val="007A5D5C"/>
    <w:rsid w:val="007C6688"/>
    <w:rsid w:val="007D0DDC"/>
    <w:rsid w:val="007D5C84"/>
    <w:rsid w:val="007E3E84"/>
    <w:rsid w:val="007E3F36"/>
    <w:rsid w:val="007E4D38"/>
    <w:rsid w:val="007F532F"/>
    <w:rsid w:val="00816920"/>
    <w:rsid w:val="00832C11"/>
    <w:rsid w:val="00836ADC"/>
    <w:rsid w:val="00837F80"/>
    <w:rsid w:val="00843621"/>
    <w:rsid w:val="00846DD6"/>
    <w:rsid w:val="008531BC"/>
    <w:rsid w:val="00860BD6"/>
    <w:rsid w:val="00862F13"/>
    <w:rsid w:val="00872562"/>
    <w:rsid w:val="0088033F"/>
    <w:rsid w:val="00883F98"/>
    <w:rsid w:val="00890FED"/>
    <w:rsid w:val="00896480"/>
    <w:rsid w:val="008A46EE"/>
    <w:rsid w:val="008B0598"/>
    <w:rsid w:val="008B19F8"/>
    <w:rsid w:val="008C3108"/>
    <w:rsid w:val="008C4F96"/>
    <w:rsid w:val="008C5591"/>
    <w:rsid w:val="008E0EA8"/>
    <w:rsid w:val="008E641A"/>
    <w:rsid w:val="008F147B"/>
    <w:rsid w:val="0090089A"/>
    <w:rsid w:val="00904521"/>
    <w:rsid w:val="00910CB6"/>
    <w:rsid w:val="009132B6"/>
    <w:rsid w:val="00921627"/>
    <w:rsid w:val="00922650"/>
    <w:rsid w:val="00927BD8"/>
    <w:rsid w:val="00935EA9"/>
    <w:rsid w:val="00953EA1"/>
    <w:rsid w:val="00956BE6"/>
    <w:rsid w:val="0096249B"/>
    <w:rsid w:val="009674F2"/>
    <w:rsid w:val="009703DB"/>
    <w:rsid w:val="009736F6"/>
    <w:rsid w:val="009757E3"/>
    <w:rsid w:val="0099189C"/>
    <w:rsid w:val="009B2B1A"/>
    <w:rsid w:val="009B3FE2"/>
    <w:rsid w:val="009B702E"/>
    <w:rsid w:val="009C35D3"/>
    <w:rsid w:val="009C40CB"/>
    <w:rsid w:val="009D53B7"/>
    <w:rsid w:val="009E780F"/>
    <w:rsid w:val="00A208ED"/>
    <w:rsid w:val="00A22E18"/>
    <w:rsid w:val="00A26FEC"/>
    <w:rsid w:val="00A32C39"/>
    <w:rsid w:val="00A45F89"/>
    <w:rsid w:val="00A534A8"/>
    <w:rsid w:val="00A61510"/>
    <w:rsid w:val="00A85149"/>
    <w:rsid w:val="00A96536"/>
    <w:rsid w:val="00AA480B"/>
    <w:rsid w:val="00AA5C73"/>
    <w:rsid w:val="00AB58C0"/>
    <w:rsid w:val="00AB7B0E"/>
    <w:rsid w:val="00AE1B9A"/>
    <w:rsid w:val="00AE258E"/>
    <w:rsid w:val="00AE5A68"/>
    <w:rsid w:val="00B01698"/>
    <w:rsid w:val="00B2091F"/>
    <w:rsid w:val="00B245D9"/>
    <w:rsid w:val="00B24AB0"/>
    <w:rsid w:val="00B32A0B"/>
    <w:rsid w:val="00B40BB0"/>
    <w:rsid w:val="00B45F50"/>
    <w:rsid w:val="00B4717C"/>
    <w:rsid w:val="00B472E6"/>
    <w:rsid w:val="00B64A36"/>
    <w:rsid w:val="00B65C4A"/>
    <w:rsid w:val="00B84A7B"/>
    <w:rsid w:val="00B84F14"/>
    <w:rsid w:val="00B85529"/>
    <w:rsid w:val="00B90701"/>
    <w:rsid w:val="00B95572"/>
    <w:rsid w:val="00B9644E"/>
    <w:rsid w:val="00BA0A2D"/>
    <w:rsid w:val="00BB0026"/>
    <w:rsid w:val="00BB1A69"/>
    <w:rsid w:val="00BB7AC0"/>
    <w:rsid w:val="00BD3933"/>
    <w:rsid w:val="00BE450E"/>
    <w:rsid w:val="00BF73C3"/>
    <w:rsid w:val="00C0086F"/>
    <w:rsid w:val="00C062D7"/>
    <w:rsid w:val="00C07753"/>
    <w:rsid w:val="00C12D96"/>
    <w:rsid w:val="00C15611"/>
    <w:rsid w:val="00C17B20"/>
    <w:rsid w:val="00C273B4"/>
    <w:rsid w:val="00C503F0"/>
    <w:rsid w:val="00C6208E"/>
    <w:rsid w:val="00C675F0"/>
    <w:rsid w:val="00C73855"/>
    <w:rsid w:val="00C772A7"/>
    <w:rsid w:val="00C929C9"/>
    <w:rsid w:val="00C942DA"/>
    <w:rsid w:val="00CA1496"/>
    <w:rsid w:val="00CA2F69"/>
    <w:rsid w:val="00CA30FC"/>
    <w:rsid w:val="00CC5144"/>
    <w:rsid w:val="00CE3997"/>
    <w:rsid w:val="00CE7589"/>
    <w:rsid w:val="00D061BC"/>
    <w:rsid w:val="00D102B0"/>
    <w:rsid w:val="00D10B6D"/>
    <w:rsid w:val="00D221FA"/>
    <w:rsid w:val="00D25EBC"/>
    <w:rsid w:val="00D3025E"/>
    <w:rsid w:val="00D3294E"/>
    <w:rsid w:val="00D33359"/>
    <w:rsid w:val="00D547E7"/>
    <w:rsid w:val="00D57FE5"/>
    <w:rsid w:val="00D77A8E"/>
    <w:rsid w:val="00D84666"/>
    <w:rsid w:val="00D85D13"/>
    <w:rsid w:val="00D91FAF"/>
    <w:rsid w:val="00DA6935"/>
    <w:rsid w:val="00DB2657"/>
    <w:rsid w:val="00DB41C6"/>
    <w:rsid w:val="00DC15E9"/>
    <w:rsid w:val="00DE30FD"/>
    <w:rsid w:val="00DE395D"/>
    <w:rsid w:val="00DE63C2"/>
    <w:rsid w:val="00DE6720"/>
    <w:rsid w:val="00DE7D3C"/>
    <w:rsid w:val="00DF1551"/>
    <w:rsid w:val="00E00803"/>
    <w:rsid w:val="00E009A5"/>
    <w:rsid w:val="00E15C21"/>
    <w:rsid w:val="00E25528"/>
    <w:rsid w:val="00E31D1A"/>
    <w:rsid w:val="00E4061F"/>
    <w:rsid w:val="00E40749"/>
    <w:rsid w:val="00E44B08"/>
    <w:rsid w:val="00E675B1"/>
    <w:rsid w:val="00E713A6"/>
    <w:rsid w:val="00E7180E"/>
    <w:rsid w:val="00E74B1B"/>
    <w:rsid w:val="00E82602"/>
    <w:rsid w:val="00E96EC6"/>
    <w:rsid w:val="00EA1292"/>
    <w:rsid w:val="00EB7E79"/>
    <w:rsid w:val="00EC550C"/>
    <w:rsid w:val="00EC782D"/>
    <w:rsid w:val="00ED23DE"/>
    <w:rsid w:val="00ED702D"/>
    <w:rsid w:val="00EE620E"/>
    <w:rsid w:val="00F20FC5"/>
    <w:rsid w:val="00F24381"/>
    <w:rsid w:val="00F35AFD"/>
    <w:rsid w:val="00F36491"/>
    <w:rsid w:val="00F366FD"/>
    <w:rsid w:val="00F42E19"/>
    <w:rsid w:val="00F43A94"/>
    <w:rsid w:val="00F447F3"/>
    <w:rsid w:val="00F46AA6"/>
    <w:rsid w:val="00F65EB2"/>
    <w:rsid w:val="00F70BA7"/>
    <w:rsid w:val="00F71B52"/>
    <w:rsid w:val="00F71F9E"/>
    <w:rsid w:val="00F76957"/>
    <w:rsid w:val="00F9447A"/>
    <w:rsid w:val="00F950E3"/>
    <w:rsid w:val="00FA249B"/>
    <w:rsid w:val="00FA4BD9"/>
    <w:rsid w:val="00FB1E60"/>
    <w:rsid w:val="00FB471C"/>
    <w:rsid w:val="00FC1943"/>
    <w:rsid w:val="00FC3300"/>
    <w:rsid w:val="00FC485C"/>
    <w:rsid w:val="00FC582F"/>
    <w:rsid w:val="00FD7C9C"/>
    <w:rsid w:val="00FE5CC8"/>
    <w:rsid w:val="00FF1D9A"/>
    <w:rsid w:val="00FF4296"/>
    <w:rsid w:val="00FF50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4A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30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7730EB"/>
    <w:pPr>
      <w:spacing w:before="69" w:after="69" w:line="240" w:lineRule="auto"/>
      <w:ind w:firstLine="346"/>
      <w:jc w:val="both"/>
    </w:pPr>
    <w:rPr>
      <w:rFonts w:ascii="Times New Roman" w:eastAsia="Times New Roman" w:hAnsi="Times New Roman" w:cs="Times New Roman"/>
      <w:color w:val="000000"/>
      <w:sz w:val="24"/>
      <w:szCs w:val="24"/>
      <w:lang w:eastAsia="lv-LV"/>
    </w:rPr>
  </w:style>
  <w:style w:type="paragraph" w:styleId="Header">
    <w:name w:val="header"/>
    <w:basedOn w:val="Normal"/>
    <w:link w:val="HeaderChar"/>
    <w:uiPriority w:val="99"/>
    <w:unhideWhenUsed/>
    <w:rsid w:val="007730EB"/>
    <w:pPr>
      <w:tabs>
        <w:tab w:val="center" w:pos="4153"/>
        <w:tab w:val="right" w:pos="8306"/>
      </w:tabs>
      <w:spacing w:after="0" w:line="240" w:lineRule="auto"/>
    </w:pPr>
  </w:style>
  <w:style w:type="character" w:customStyle="1" w:styleId="HeaderChar">
    <w:name w:val="Header Char"/>
    <w:basedOn w:val="DefaultParagraphFont"/>
    <w:link w:val="Header"/>
    <w:uiPriority w:val="99"/>
    <w:rsid w:val="007730EB"/>
  </w:style>
  <w:style w:type="paragraph" w:styleId="Footer">
    <w:name w:val="footer"/>
    <w:basedOn w:val="Normal"/>
    <w:link w:val="FooterChar"/>
    <w:uiPriority w:val="99"/>
    <w:unhideWhenUsed/>
    <w:rsid w:val="007730EB"/>
    <w:pPr>
      <w:tabs>
        <w:tab w:val="center" w:pos="4153"/>
        <w:tab w:val="right" w:pos="8306"/>
      </w:tabs>
      <w:spacing w:after="0" w:line="240" w:lineRule="auto"/>
    </w:pPr>
  </w:style>
  <w:style w:type="character" w:customStyle="1" w:styleId="FooterChar">
    <w:name w:val="Footer Char"/>
    <w:basedOn w:val="DefaultParagraphFont"/>
    <w:link w:val="Footer"/>
    <w:uiPriority w:val="99"/>
    <w:rsid w:val="007730EB"/>
  </w:style>
  <w:style w:type="character" w:styleId="Emphasis">
    <w:name w:val="Emphasis"/>
    <w:basedOn w:val="DefaultParagraphFont"/>
    <w:uiPriority w:val="20"/>
    <w:qFormat/>
    <w:rsid w:val="001D6AFB"/>
    <w:rPr>
      <w:i/>
      <w:iCs/>
    </w:rPr>
  </w:style>
  <w:style w:type="paragraph" w:styleId="BalloonText">
    <w:name w:val="Balloon Text"/>
    <w:basedOn w:val="Normal"/>
    <w:link w:val="BalloonTextChar"/>
    <w:uiPriority w:val="99"/>
    <w:semiHidden/>
    <w:unhideWhenUsed/>
    <w:rsid w:val="00A96536"/>
    <w:pPr>
      <w:spacing w:after="0" w:line="240" w:lineRule="auto"/>
    </w:pPr>
    <w:rPr>
      <w:rFonts w:ascii="Arial" w:hAnsi="Arial" w:cs="Arial"/>
      <w:sz w:val="16"/>
      <w:szCs w:val="16"/>
    </w:rPr>
  </w:style>
  <w:style w:type="character" w:customStyle="1" w:styleId="BalloonTextChar">
    <w:name w:val="Balloon Text Char"/>
    <w:basedOn w:val="DefaultParagraphFont"/>
    <w:link w:val="BalloonText"/>
    <w:uiPriority w:val="99"/>
    <w:semiHidden/>
    <w:rsid w:val="00A96536"/>
    <w:rPr>
      <w:rFonts w:ascii="Arial" w:hAnsi="Arial" w:cs="Arial"/>
      <w:sz w:val="16"/>
      <w:szCs w:val="16"/>
    </w:rPr>
  </w:style>
  <w:style w:type="character" w:styleId="Hyperlink">
    <w:name w:val="Hyperlink"/>
    <w:basedOn w:val="DefaultParagraphFont"/>
    <w:uiPriority w:val="99"/>
    <w:unhideWhenUsed/>
    <w:rsid w:val="00BD3933"/>
    <w:rPr>
      <w:color w:val="0000FF" w:themeColor="hyperlink"/>
      <w:u w:val="single"/>
    </w:rPr>
  </w:style>
  <w:style w:type="paragraph" w:styleId="BodyText">
    <w:name w:val="Body Text"/>
    <w:basedOn w:val="Normal"/>
    <w:link w:val="BodyTextChar"/>
    <w:semiHidden/>
    <w:unhideWhenUsed/>
    <w:rsid w:val="00080114"/>
    <w:pPr>
      <w:widowControl w:val="0"/>
      <w:spacing w:before="60" w:after="120" w:line="360" w:lineRule="auto"/>
      <w:ind w:firstLine="720"/>
      <w:jc w:val="both"/>
    </w:pPr>
    <w:rPr>
      <w:rFonts w:ascii="Times New Roman" w:eastAsia="Times New Roman" w:hAnsi="Times New Roman" w:cs="Times New Roman"/>
      <w:sz w:val="26"/>
      <w:szCs w:val="20"/>
    </w:rPr>
  </w:style>
  <w:style w:type="character" w:customStyle="1" w:styleId="BodyTextChar">
    <w:name w:val="Body Text Char"/>
    <w:basedOn w:val="DefaultParagraphFont"/>
    <w:link w:val="BodyText"/>
    <w:semiHidden/>
    <w:rsid w:val="00080114"/>
    <w:rPr>
      <w:rFonts w:ascii="Times New Roman" w:eastAsia="Times New Roman" w:hAnsi="Times New Roman" w:cs="Times New Roman"/>
      <w:sz w:val="26"/>
      <w:szCs w:val="20"/>
    </w:rPr>
  </w:style>
  <w:style w:type="character" w:customStyle="1" w:styleId="apple-converted-space">
    <w:name w:val="apple-converted-space"/>
    <w:basedOn w:val="DefaultParagraphFont"/>
    <w:rsid w:val="006F02A9"/>
  </w:style>
  <w:style w:type="paragraph" w:customStyle="1" w:styleId="tvhtml">
    <w:name w:val="tv_html"/>
    <w:basedOn w:val="Normal"/>
    <w:rsid w:val="007D5C84"/>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6449C1"/>
    <w:rPr>
      <w:sz w:val="16"/>
      <w:szCs w:val="16"/>
    </w:rPr>
  </w:style>
  <w:style w:type="paragraph" w:styleId="CommentText">
    <w:name w:val="annotation text"/>
    <w:basedOn w:val="Normal"/>
    <w:link w:val="CommentTextChar"/>
    <w:uiPriority w:val="99"/>
    <w:semiHidden/>
    <w:unhideWhenUsed/>
    <w:rsid w:val="006449C1"/>
    <w:pPr>
      <w:spacing w:line="240" w:lineRule="auto"/>
    </w:pPr>
    <w:rPr>
      <w:sz w:val="20"/>
      <w:szCs w:val="20"/>
    </w:rPr>
  </w:style>
  <w:style w:type="character" w:customStyle="1" w:styleId="CommentTextChar">
    <w:name w:val="Comment Text Char"/>
    <w:basedOn w:val="DefaultParagraphFont"/>
    <w:link w:val="CommentText"/>
    <w:uiPriority w:val="99"/>
    <w:semiHidden/>
    <w:rsid w:val="006449C1"/>
    <w:rPr>
      <w:sz w:val="20"/>
      <w:szCs w:val="20"/>
    </w:rPr>
  </w:style>
  <w:style w:type="paragraph" w:styleId="CommentSubject">
    <w:name w:val="annotation subject"/>
    <w:basedOn w:val="CommentText"/>
    <w:next w:val="CommentText"/>
    <w:link w:val="CommentSubjectChar"/>
    <w:uiPriority w:val="99"/>
    <w:semiHidden/>
    <w:unhideWhenUsed/>
    <w:rsid w:val="006449C1"/>
    <w:rPr>
      <w:b/>
      <w:bCs/>
    </w:rPr>
  </w:style>
  <w:style w:type="character" w:customStyle="1" w:styleId="CommentSubjectChar">
    <w:name w:val="Comment Subject Char"/>
    <w:basedOn w:val="CommentTextChar"/>
    <w:link w:val="CommentSubject"/>
    <w:uiPriority w:val="99"/>
    <w:semiHidden/>
    <w:rsid w:val="006449C1"/>
    <w:rPr>
      <w:b/>
      <w:bCs/>
      <w:sz w:val="20"/>
      <w:szCs w:val="20"/>
    </w:rPr>
  </w:style>
  <w:style w:type="paragraph" w:styleId="ListParagraph">
    <w:name w:val="List Paragraph"/>
    <w:basedOn w:val="Normal"/>
    <w:uiPriority w:val="34"/>
    <w:qFormat/>
    <w:rsid w:val="00783664"/>
    <w:pPr>
      <w:spacing w:after="0" w:line="240" w:lineRule="auto"/>
      <w:ind w:left="720"/>
    </w:pPr>
    <w:rPr>
      <w:rFonts w:ascii="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30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7730EB"/>
    <w:pPr>
      <w:spacing w:before="69" w:after="69" w:line="240" w:lineRule="auto"/>
      <w:ind w:firstLine="346"/>
      <w:jc w:val="both"/>
    </w:pPr>
    <w:rPr>
      <w:rFonts w:ascii="Times New Roman" w:eastAsia="Times New Roman" w:hAnsi="Times New Roman" w:cs="Times New Roman"/>
      <w:color w:val="000000"/>
      <w:sz w:val="24"/>
      <w:szCs w:val="24"/>
      <w:lang w:eastAsia="lv-LV"/>
    </w:rPr>
  </w:style>
  <w:style w:type="paragraph" w:styleId="Header">
    <w:name w:val="header"/>
    <w:basedOn w:val="Normal"/>
    <w:link w:val="HeaderChar"/>
    <w:uiPriority w:val="99"/>
    <w:unhideWhenUsed/>
    <w:rsid w:val="007730EB"/>
    <w:pPr>
      <w:tabs>
        <w:tab w:val="center" w:pos="4153"/>
        <w:tab w:val="right" w:pos="8306"/>
      </w:tabs>
      <w:spacing w:after="0" w:line="240" w:lineRule="auto"/>
    </w:pPr>
  </w:style>
  <w:style w:type="character" w:customStyle="1" w:styleId="HeaderChar">
    <w:name w:val="Header Char"/>
    <w:basedOn w:val="DefaultParagraphFont"/>
    <w:link w:val="Header"/>
    <w:uiPriority w:val="99"/>
    <w:rsid w:val="007730EB"/>
  </w:style>
  <w:style w:type="paragraph" w:styleId="Footer">
    <w:name w:val="footer"/>
    <w:basedOn w:val="Normal"/>
    <w:link w:val="FooterChar"/>
    <w:uiPriority w:val="99"/>
    <w:unhideWhenUsed/>
    <w:rsid w:val="007730EB"/>
    <w:pPr>
      <w:tabs>
        <w:tab w:val="center" w:pos="4153"/>
        <w:tab w:val="right" w:pos="8306"/>
      </w:tabs>
      <w:spacing w:after="0" w:line="240" w:lineRule="auto"/>
    </w:pPr>
  </w:style>
  <w:style w:type="character" w:customStyle="1" w:styleId="FooterChar">
    <w:name w:val="Footer Char"/>
    <w:basedOn w:val="DefaultParagraphFont"/>
    <w:link w:val="Footer"/>
    <w:uiPriority w:val="99"/>
    <w:rsid w:val="007730EB"/>
  </w:style>
  <w:style w:type="character" w:styleId="Emphasis">
    <w:name w:val="Emphasis"/>
    <w:basedOn w:val="DefaultParagraphFont"/>
    <w:uiPriority w:val="20"/>
    <w:qFormat/>
    <w:rsid w:val="001D6AFB"/>
    <w:rPr>
      <w:i/>
      <w:iCs/>
    </w:rPr>
  </w:style>
  <w:style w:type="paragraph" w:styleId="BalloonText">
    <w:name w:val="Balloon Text"/>
    <w:basedOn w:val="Normal"/>
    <w:link w:val="BalloonTextChar"/>
    <w:uiPriority w:val="99"/>
    <w:semiHidden/>
    <w:unhideWhenUsed/>
    <w:rsid w:val="00A96536"/>
    <w:pPr>
      <w:spacing w:after="0" w:line="240" w:lineRule="auto"/>
    </w:pPr>
    <w:rPr>
      <w:rFonts w:ascii="Arial" w:hAnsi="Arial" w:cs="Arial"/>
      <w:sz w:val="16"/>
      <w:szCs w:val="16"/>
    </w:rPr>
  </w:style>
  <w:style w:type="character" w:customStyle="1" w:styleId="BalloonTextChar">
    <w:name w:val="Balloon Text Char"/>
    <w:basedOn w:val="DefaultParagraphFont"/>
    <w:link w:val="BalloonText"/>
    <w:uiPriority w:val="99"/>
    <w:semiHidden/>
    <w:rsid w:val="00A96536"/>
    <w:rPr>
      <w:rFonts w:ascii="Arial" w:hAnsi="Arial" w:cs="Arial"/>
      <w:sz w:val="16"/>
      <w:szCs w:val="16"/>
    </w:rPr>
  </w:style>
  <w:style w:type="character" w:styleId="Hyperlink">
    <w:name w:val="Hyperlink"/>
    <w:basedOn w:val="DefaultParagraphFont"/>
    <w:uiPriority w:val="99"/>
    <w:unhideWhenUsed/>
    <w:rsid w:val="00BD3933"/>
    <w:rPr>
      <w:color w:val="0000FF" w:themeColor="hyperlink"/>
      <w:u w:val="single"/>
    </w:rPr>
  </w:style>
  <w:style w:type="paragraph" w:styleId="BodyText">
    <w:name w:val="Body Text"/>
    <w:basedOn w:val="Normal"/>
    <w:link w:val="BodyTextChar"/>
    <w:semiHidden/>
    <w:unhideWhenUsed/>
    <w:rsid w:val="00080114"/>
    <w:pPr>
      <w:widowControl w:val="0"/>
      <w:spacing w:before="60" w:after="120" w:line="360" w:lineRule="auto"/>
      <w:ind w:firstLine="720"/>
      <w:jc w:val="both"/>
    </w:pPr>
    <w:rPr>
      <w:rFonts w:ascii="Times New Roman" w:eastAsia="Times New Roman" w:hAnsi="Times New Roman" w:cs="Times New Roman"/>
      <w:sz w:val="26"/>
      <w:szCs w:val="20"/>
    </w:rPr>
  </w:style>
  <w:style w:type="character" w:customStyle="1" w:styleId="BodyTextChar">
    <w:name w:val="Body Text Char"/>
    <w:basedOn w:val="DefaultParagraphFont"/>
    <w:link w:val="BodyText"/>
    <w:semiHidden/>
    <w:rsid w:val="00080114"/>
    <w:rPr>
      <w:rFonts w:ascii="Times New Roman" w:eastAsia="Times New Roman" w:hAnsi="Times New Roman" w:cs="Times New Roman"/>
      <w:sz w:val="26"/>
      <w:szCs w:val="20"/>
    </w:rPr>
  </w:style>
  <w:style w:type="character" w:customStyle="1" w:styleId="apple-converted-space">
    <w:name w:val="apple-converted-space"/>
    <w:basedOn w:val="DefaultParagraphFont"/>
    <w:rsid w:val="006F02A9"/>
  </w:style>
  <w:style w:type="paragraph" w:customStyle="1" w:styleId="tvhtml">
    <w:name w:val="tv_html"/>
    <w:basedOn w:val="Normal"/>
    <w:rsid w:val="007D5C84"/>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6449C1"/>
    <w:rPr>
      <w:sz w:val="16"/>
      <w:szCs w:val="16"/>
    </w:rPr>
  </w:style>
  <w:style w:type="paragraph" w:styleId="CommentText">
    <w:name w:val="annotation text"/>
    <w:basedOn w:val="Normal"/>
    <w:link w:val="CommentTextChar"/>
    <w:uiPriority w:val="99"/>
    <w:semiHidden/>
    <w:unhideWhenUsed/>
    <w:rsid w:val="006449C1"/>
    <w:pPr>
      <w:spacing w:line="240" w:lineRule="auto"/>
    </w:pPr>
    <w:rPr>
      <w:sz w:val="20"/>
      <w:szCs w:val="20"/>
    </w:rPr>
  </w:style>
  <w:style w:type="character" w:customStyle="1" w:styleId="CommentTextChar">
    <w:name w:val="Comment Text Char"/>
    <w:basedOn w:val="DefaultParagraphFont"/>
    <w:link w:val="CommentText"/>
    <w:uiPriority w:val="99"/>
    <w:semiHidden/>
    <w:rsid w:val="006449C1"/>
    <w:rPr>
      <w:sz w:val="20"/>
      <w:szCs w:val="20"/>
    </w:rPr>
  </w:style>
  <w:style w:type="paragraph" w:styleId="CommentSubject">
    <w:name w:val="annotation subject"/>
    <w:basedOn w:val="CommentText"/>
    <w:next w:val="CommentText"/>
    <w:link w:val="CommentSubjectChar"/>
    <w:uiPriority w:val="99"/>
    <w:semiHidden/>
    <w:unhideWhenUsed/>
    <w:rsid w:val="006449C1"/>
    <w:rPr>
      <w:b/>
      <w:bCs/>
    </w:rPr>
  </w:style>
  <w:style w:type="character" w:customStyle="1" w:styleId="CommentSubjectChar">
    <w:name w:val="Comment Subject Char"/>
    <w:basedOn w:val="CommentTextChar"/>
    <w:link w:val="CommentSubject"/>
    <w:uiPriority w:val="99"/>
    <w:semiHidden/>
    <w:rsid w:val="006449C1"/>
    <w:rPr>
      <w:b/>
      <w:bCs/>
      <w:sz w:val="20"/>
      <w:szCs w:val="20"/>
    </w:rPr>
  </w:style>
  <w:style w:type="paragraph" w:styleId="ListParagraph">
    <w:name w:val="List Paragraph"/>
    <w:basedOn w:val="Normal"/>
    <w:uiPriority w:val="34"/>
    <w:qFormat/>
    <w:rsid w:val="00783664"/>
    <w:pPr>
      <w:spacing w:after="0" w:line="240" w:lineRule="auto"/>
      <w:ind w:left="720"/>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630296">
      <w:bodyDiv w:val="1"/>
      <w:marLeft w:val="0"/>
      <w:marRight w:val="0"/>
      <w:marTop w:val="0"/>
      <w:marBottom w:val="0"/>
      <w:divBdr>
        <w:top w:val="none" w:sz="0" w:space="0" w:color="auto"/>
        <w:left w:val="none" w:sz="0" w:space="0" w:color="auto"/>
        <w:bottom w:val="none" w:sz="0" w:space="0" w:color="auto"/>
        <w:right w:val="none" w:sz="0" w:space="0" w:color="auto"/>
      </w:divBdr>
    </w:div>
    <w:div w:id="403767853">
      <w:bodyDiv w:val="1"/>
      <w:marLeft w:val="0"/>
      <w:marRight w:val="0"/>
      <w:marTop w:val="0"/>
      <w:marBottom w:val="0"/>
      <w:divBdr>
        <w:top w:val="none" w:sz="0" w:space="0" w:color="auto"/>
        <w:left w:val="none" w:sz="0" w:space="0" w:color="auto"/>
        <w:bottom w:val="none" w:sz="0" w:space="0" w:color="auto"/>
        <w:right w:val="none" w:sz="0" w:space="0" w:color="auto"/>
      </w:divBdr>
    </w:div>
    <w:div w:id="556474570">
      <w:bodyDiv w:val="1"/>
      <w:marLeft w:val="0"/>
      <w:marRight w:val="0"/>
      <w:marTop w:val="0"/>
      <w:marBottom w:val="0"/>
      <w:divBdr>
        <w:top w:val="none" w:sz="0" w:space="0" w:color="auto"/>
        <w:left w:val="none" w:sz="0" w:space="0" w:color="auto"/>
        <w:bottom w:val="none" w:sz="0" w:space="0" w:color="auto"/>
        <w:right w:val="none" w:sz="0" w:space="0" w:color="auto"/>
      </w:divBdr>
    </w:div>
    <w:div w:id="973365317">
      <w:bodyDiv w:val="1"/>
      <w:marLeft w:val="0"/>
      <w:marRight w:val="0"/>
      <w:marTop w:val="0"/>
      <w:marBottom w:val="0"/>
      <w:divBdr>
        <w:top w:val="none" w:sz="0" w:space="0" w:color="auto"/>
        <w:left w:val="none" w:sz="0" w:space="0" w:color="auto"/>
        <w:bottom w:val="none" w:sz="0" w:space="0" w:color="auto"/>
        <w:right w:val="none" w:sz="0" w:space="0" w:color="auto"/>
      </w:divBdr>
    </w:div>
    <w:div w:id="1026246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B42ADB-15A1-417C-93F7-D099FC860E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10</Pages>
  <Words>2016</Words>
  <Characters>14199</Characters>
  <Application>Microsoft Office Word</Application>
  <DocSecurity>0</DocSecurity>
  <Lines>591</Lines>
  <Paragraphs>253</Paragraphs>
  <ScaleCrop>false</ScaleCrop>
  <HeadingPairs>
    <vt:vector size="2" baseType="variant">
      <vt:variant>
        <vt:lpstr>Title</vt:lpstr>
      </vt:variant>
      <vt:variant>
        <vt:i4>1</vt:i4>
      </vt:variant>
    </vt:vector>
  </HeadingPairs>
  <TitlesOfParts>
    <vt:vector size="1" baseType="lpstr">
      <vt:lpstr>Ministru kabineta noteikumu projekta „Grozījumi Ministru kabineta 2004.gada 9.novembra noteikumos Nr.911 „Tirgus uzraudzības padomes nolikums””</vt:lpstr>
    </vt:vector>
  </TitlesOfParts>
  <Company/>
  <LinksUpToDate>false</LinksUpToDate>
  <CharactersWithSpaces>15962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2004.gada 9.novembra noteikumos Nr.911 „Tirgus uzraudzības padomes nolikums””</dc:title>
  <dc:subject>Anotācija</dc:subject>
  <dc:creator>Dana Ločmele</dc:creator>
  <dc:description>Dana.Locmele@em.gov.lv;
t. 67013107</dc:description>
  <cp:lastModifiedBy>Linda Duntava</cp:lastModifiedBy>
  <cp:revision>11</cp:revision>
  <cp:lastPrinted>2015-08-20T13:32:00Z</cp:lastPrinted>
  <dcterms:created xsi:type="dcterms:W3CDTF">2015-12-21T11:17:00Z</dcterms:created>
  <dcterms:modified xsi:type="dcterms:W3CDTF">2015-12-21T12:39:00Z</dcterms:modified>
</cp:coreProperties>
</file>