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B6" w:rsidRDefault="006846B6" w:rsidP="00183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32F7" w:rsidRPr="002A0DAB" w:rsidRDefault="001832F7" w:rsidP="00183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DAB">
        <w:rPr>
          <w:rFonts w:ascii="Times New Roman" w:hAnsi="Times New Roman"/>
          <w:b/>
          <w:sz w:val="24"/>
          <w:szCs w:val="24"/>
        </w:rPr>
        <w:t xml:space="preserve">Ministru kabineta noteikumu projekta </w:t>
      </w:r>
      <w:bookmarkStart w:id="0" w:name="OLE_LINK1"/>
      <w:bookmarkStart w:id="1" w:name="OLE_LINK2"/>
      <w:bookmarkStart w:id="2" w:name="OLE_LINK3"/>
      <w:r w:rsidRPr="002A0DAB">
        <w:rPr>
          <w:rFonts w:ascii="Times New Roman" w:hAnsi="Times New Roman"/>
          <w:b/>
          <w:sz w:val="24"/>
          <w:szCs w:val="24"/>
        </w:rPr>
        <w:t>“Grozījum</w:t>
      </w:r>
      <w:r w:rsidR="005966B7">
        <w:rPr>
          <w:rFonts w:ascii="Times New Roman" w:hAnsi="Times New Roman"/>
          <w:b/>
          <w:sz w:val="24"/>
          <w:szCs w:val="24"/>
        </w:rPr>
        <w:t>s</w:t>
      </w:r>
      <w:r w:rsidRPr="002A0DAB">
        <w:rPr>
          <w:rFonts w:ascii="Times New Roman" w:hAnsi="Times New Roman"/>
          <w:b/>
          <w:sz w:val="24"/>
          <w:szCs w:val="24"/>
        </w:rPr>
        <w:t xml:space="preserve"> Ministru kabineta 2010.gada </w:t>
      </w:r>
      <w:r w:rsidR="0066388F">
        <w:rPr>
          <w:rFonts w:ascii="Times New Roman" w:hAnsi="Times New Roman"/>
          <w:b/>
          <w:sz w:val="24"/>
          <w:szCs w:val="24"/>
        </w:rPr>
        <w:t>8.jūnija</w:t>
      </w:r>
      <w:r w:rsidRPr="002A0DAB">
        <w:rPr>
          <w:rFonts w:ascii="Times New Roman" w:hAnsi="Times New Roman"/>
          <w:b/>
          <w:sz w:val="24"/>
          <w:szCs w:val="24"/>
        </w:rPr>
        <w:t xml:space="preserve"> noteikumos Nr.</w:t>
      </w:r>
      <w:r w:rsidR="0066388F">
        <w:rPr>
          <w:rFonts w:ascii="Times New Roman" w:hAnsi="Times New Roman"/>
          <w:b/>
          <w:sz w:val="24"/>
          <w:szCs w:val="24"/>
        </w:rPr>
        <w:t>519</w:t>
      </w:r>
      <w:r w:rsidRPr="002A0DAB">
        <w:rPr>
          <w:rFonts w:ascii="Times New Roman" w:hAnsi="Times New Roman"/>
          <w:b/>
          <w:sz w:val="24"/>
          <w:szCs w:val="24"/>
        </w:rPr>
        <w:t xml:space="preserve"> “Noteikumi par </w:t>
      </w:r>
      <w:r w:rsidR="0066388F">
        <w:rPr>
          <w:rFonts w:ascii="Times New Roman" w:hAnsi="Times New Roman"/>
          <w:b/>
          <w:sz w:val="24"/>
          <w:szCs w:val="24"/>
        </w:rPr>
        <w:t>publisko</w:t>
      </w:r>
      <w:r w:rsidRPr="002A0DAB">
        <w:rPr>
          <w:rFonts w:ascii="Times New Roman" w:hAnsi="Times New Roman"/>
          <w:b/>
          <w:sz w:val="24"/>
          <w:szCs w:val="24"/>
        </w:rPr>
        <w:t xml:space="preserve"> iepirkumu līgumcenu robežām””</w:t>
      </w:r>
      <w:bookmarkEnd w:id="0"/>
      <w:bookmarkEnd w:id="1"/>
      <w:bookmarkEnd w:id="2"/>
      <w:r w:rsidRPr="002A0DAB">
        <w:rPr>
          <w:rFonts w:ascii="Times New Roman" w:hAnsi="Times New Roman"/>
          <w:b/>
          <w:sz w:val="24"/>
          <w:szCs w:val="24"/>
        </w:rPr>
        <w:t xml:space="preserve"> sākotnējās ietekmes novērtējuma ziņojums</w:t>
      </w:r>
    </w:p>
    <w:p w:rsidR="001832F7" w:rsidRPr="002A0DAB" w:rsidRDefault="001832F7" w:rsidP="001832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DAB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2A0DAB">
        <w:rPr>
          <w:rFonts w:ascii="Times New Roman" w:hAnsi="Times New Roman"/>
          <w:b/>
          <w:sz w:val="24"/>
          <w:szCs w:val="24"/>
        </w:rPr>
        <w:t>anotācija</w:t>
      </w:r>
      <w:proofErr w:type="gramEnd"/>
      <w:r w:rsidRPr="002A0DAB">
        <w:rPr>
          <w:rFonts w:ascii="Times New Roman" w:hAnsi="Times New Roman"/>
          <w:b/>
          <w:sz w:val="24"/>
          <w:szCs w:val="24"/>
        </w:rPr>
        <w:t>)</w:t>
      </w:r>
    </w:p>
    <w:p w:rsidR="006B2EB6" w:rsidRPr="002A0DAB" w:rsidRDefault="006B2EB6" w:rsidP="00237EE6">
      <w:pPr>
        <w:widowControl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</w:pPr>
    </w:p>
    <w:p w:rsidR="006846B6" w:rsidRPr="002A0DAB" w:rsidRDefault="006846B6" w:rsidP="006B2EB6">
      <w:pPr>
        <w:widowControl/>
        <w:spacing w:after="0" w:line="240" w:lineRule="auto"/>
        <w:ind w:firstLine="30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lv-LV" w:eastAsia="lv-LV"/>
        </w:rPr>
      </w:pPr>
    </w:p>
    <w:tbl>
      <w:tblPr>
        <w:tblW w:w="94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1"/>
        <w:gridCol w:w="2923"/>
        <w:gridCol w:w="6035"/>
      </w:tblGrid>
      <w:tr w:rsidR="00244C96" w:rsidRPr="002A0DAB" w:rsidTr="005533E2">
        <w:trPr>
          <w:trHeight w:val="405"/>
        </w:trPr>
        <w:tc>
          <w:tcPr>
            <w:tcW w:w="94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I. Tiesību akta projekta izstrādes nepieciešamība</w:t>
            </w:r>
          </w:p>
        </w:tc>
      </w:tr>
      <w:tr w:rsidR="00244C96" w:rsidRPr="002A0DAB" w:rsidTr="005533E2">
        <w:trPr>
          <w:trHeight w:val="40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Pamatojums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5544E4" w:rsidRDefault="005544E4" w:rsidP="00257A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Saskaņā ar</w:t>
            </w:r>
            <w:r w:rsidRPr="0062168C">
              <w:rPr>
                <w:rFonts w:ascii="Times New Roman" w:hAnsi="Times New Roman"/>
                <w:sz w:val="24"/>
              </w:rPr>
              <w:t xml:space="preserve"> </w:t>
            </w:r>
            <w:r w:rsidR="0062168C" w:rsidRPr="0062168C">
              <w:rPr>
                <w:rFonts w:ascii="Times New Roman" w:hAnsi="Times New Roman"/>
                <w:sz w:val="24"/>
              </w:rPr>
              <w:t xml:space="preserve">Eiropas Parlamenta un Padomes 2004.gada 31.marta direktīva 2004/18/EK par to, kā koordinēt būvdarbu valsts līgumu, piegādes valsts līgumu un pakalpojumu valsts līgumu slēgšanas tiesību piešķiršanas procedūru </w:t>
            </w:r>
            <w:r w:rsidRPr="0062168C">
              <w:rPr>
                <w:rFonts w:ascii="Times New Roman" w:hAnsi="Times New Roman"/>
                <w:sz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.pantu Eiropas Komisija reizi divos gados pārskata Direktīvas 2004/18/EK 7.pantā minētās līgumcenu robežvērtības.</w:t>
            </w:r>
          </w:p>
          <w:p w:rsidR="00803513" w:rsidRPr="0066388F" w:rsidRDefault="005544E4" w:rsidP="00257AD8">
            <w:pPr>
              <w:spacing w:before="2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 </w:t>
            </w:r>
            <w:r w:rsidRPr="0066388F">
              <w:rPr>
                <w:rFonts w:ascii="Times New Roman" w:hAnsi="Times New Roman"/>
                <w:sz w:val="24"/>
                <w:szCs w:val="24"/>
              </w:rPr>
              <w:t>Komisijas 2015.gada 15.decembra regul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66388F">
              <w:rPr>
                <w:rFonts w:ascii="Times New Roman" w:hAnsi="Times New Roman"/>
                <w:sz w:val="24"/>
                <w:szCs w:val="24"/>
              </w:rPr>
              <w:t xml:space="preserve"> Nr.2015/2342 ar ko groza Eiropas Parlamenta un Padomes Direktīvu 2004/18/EK attiecībā uz tās piemērošanas robežvērtībām līgumu slēgšanas tiesību piešķiršanas procedūrās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grozītas </w:t>
            </w:r>
            <w:r w:rsidRPr="0066388F">
              <w:rPr>
                <w:rFonts w:ascii="Times New Roman" w:hAnsi="Times New Roman"/>
                <w:sz w:val="24"/>
                <w:szCs w:val="24"/>
              </w:rPr>
              <w:t>Eiropas Parlamenta un Padomes Direktīv</w:t>
            </w:r>
            <w:r>
              <w:rPr>
                <w:rFonts w:ascii="Times New Roman" w:hAnsi="Times New Roman"/>
                <w:sz w:val="24"/>
                <w:szCs w:val="24"/>
              </w:rPr>
              <w:t>as</w:t>
            </w:r>
            <w:r w:rsidRPr="0066388F">
              <w:rPr>
                <w:rFonts w:ascii="Times New Roman" w:hAnsi="Times New Roman"/>
                <w:sz w:val="24"/>
                <w:szCs w:val="24"/>
              </w:rPr>
              <w:t xml:space="preserve"> 2004/18/EK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7.pantā minētās līgumcenu robežvērtības. </w:t>
            </w:r>
            <w:r w:rsidRPr="00C27032">
              <w:rPr>
                <w:rFonts w:ascii="Times New Roman" w:hAnsi="Times New Roman"/>
                <w:iCs/>
                <w:sz w:val="24"/>
                <w:szCs w:val="24"/>
              </w:rPr>
              <w:t xml:space="preserve">Publisko iepirkumu likuma </w:t>
            </w:r>
            <w:r w:rsidRPr="00C270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.pantā ir noteikts deleģējums Ministru kabinetam noteikt līgumcenu </w:t>
            </w:r>
            <w:r w:rsidRPr="0045508B">
              <w:rPr>
                <w:rFonts w:ascii="Times New Roman" w:hAnsi="Times New Roman"/>
                <w:sz w:val="24"/>
                <w:szCs w:val="24"/>
              </w:rPr>
              <w:t xml:space="preserve">robežvērtības pamatojoties uz Eiropas Savienības starptautiskajām saistībām attiecībā uz līgumcenu </w:t>
            </w:r>
            <w:r>
              <w:rPr>
                <w:rFonts w:ascii="Times New Roman" w:hAnsi="Times New Roman"/>
                <w:sz w:val="24"/>
                <w:szCs w:val="24"/>
              </w:rPr>
              <w:t>robežvērtībām</w:t>
            </w:r>
            <w:r w:rsidRPr="0045508B">
              <w:rPr>
                <w:rFonts w:ascii="Times New Roman" w:hAnsi="Times New Roman"/>
                <w:sz w:val="24"/>
                <w:szCs w:val="24"/>
              </w:rPr>
              <w:t>, kas jāievēro pasūtītājam.</w:t>
            </w: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Pašreizējā situācija un problēmas, kuru risināšanai tiesību akta projekts izstrādāts, tiesiskā regulējuma mērķis un būtība</w:t>
            </w:r>
          </w:p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CF1D6C" w:rsidRPr="00C27032" w:rsidRDefault="0066388F" w:rsidP="002A0DAB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032">
              <w:rPr>
                <w:rFonts w:ascii="Times New Roman" w:hAnsi="Times New Roman"/>
                <w:iCs/>
                <w:sz w:val="24"/>
                <w:szCs w:val="24"/>
              </w:rPr>
              <w:t xml:space="preserve">Publisko iepirkumu likuma </w:t>
            </w:r>
            <w:r w:rsidRPr="00C270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.pantā ir noteikts pilnvarojums Ministru kabinetam noteikt publisko </w:t>
            </w:r>
            <w:r w:rsidRPr="00C27032">
              <w:rPr>
                <w:rFonts w:ascii="Times New Roman" w:eastAsia="EUAlbertina_Bold" w:hAnsi="Times New Roman"/>
                <w:sz w:val="24"/>
                <w:szCs w:val="24"/>
              </w:rPr>
              <w:t xml:space="preserve">iepirkumu 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līgumcenu </w:t>
            </w:r>
            <w:r w:rsidR="00B827C8">
              <w:rPr>
                <w:rFonts w:ascii="Times New Roman" w:hAnsi="Times New Roman"/>
                <w:sz w:val="24"/>
                <w:szCs w:val="24"/>
              </w:rPr>
              <w:t>robežvērtības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, pamatojoties uz Eiropas Savienības starptautiskajām saistībām attiecībā uz līgumcenu robežām, kas jāievēro pasūtītājam. </w:t>
            </w:r>
            <w:r w:rsidRPr="00C27032">
              <w:rPr>
                <w:rFonts w:ascii="Times New Roman" w:hAnsi="Times New Roman"/>
                <w:iCs/>
                <w:sz w:val="24"/>
                <w:szCs w:val="24"/>
              </w:rPr>
              <w:t xml:space="preserve">Publisko iepirkumu likuma </w:t>
            </w:r>
            <w:r w:rsidRPr="00C27032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.pants arī paredz, ka Ministru kabinets nosaka minētās līgumcenu </w:t>
            </w:r>
            <w:r w:rsidR="00B827C8">
              <w:rPr>
                <w:rFonts w:ascii="Times New Roman" w:hAnsi="Times New Roman"/>
                <w:sz w:val="24"/>
                <w:szCs w:val="24"/>
              </w:rPr>
              <w:t>robežvērtības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 vismaz reizi divos gados mēneša laikā pēc tam, kad Eiropas Komisija ir paziņojusi Eiropas Savienības Oficiālajā Vēstnesī attiecīgās līgumcenu </w:t>
            </w:r>
            <w:r w:rsidR="00B827C8">
              <w:rPr>
                <w:rFonts w:ascii="Times New Roman" w:hAnsi="Times New Roman"/>
                <w:sz w:val="24"/>
                <w:szCs w:val="24"/>
              </w:rPr>
              <w:t>robežvērtības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388F" w:rsidRPr="00C27032" w:rsidRDefault="0066388F" w:rsidP="00466292">
            <w:pPr>
              <w:widowControl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032">
              <w:rPr>
                <w:rFonts w:ascii="Times New Roman" w:hAnsi="Times New Roman"/>
                <w:sz w:val="24"/>
                <w:szCs w:val="24"/>
              </w:rPr>
              <w:t xml:space="preserve">Šobrīd </w:t>
            </w:r>
            <w:r w:rsidRPr="00C27032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piemērojamās 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publisko </w:t>
            </w:r>
            <w:r w:rsidRPr="00C27032">
              <w:rPr>
                <w:rFonts w:ascii="Times New Roman" w:eastAsia="EUAlbertina_Bold" w:hAnsi="Times New Roman"/>
                <w:sz w:val="24"/>
                <w:szCs w:val="24"/>
              </w:rPr>
              <w:t xml:space="preserve">iepirkumu 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līgumcenu </w:t>
            </w:r>
            <w:r w:rsidR="00B827C8">
              <w:rPr>
                <w:rFonts w:ascii="Times New Roman" w:hAnsi="Times New Roman"/>
                <w:sz w:val="24"/>
                <w:szCs w:val="24"/>
              </w:rPr>
              <w:t>robežvērtības</w:t>
            </w:r>
            <w:r w:rsidRPr="00C27032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 noteiktas atbilstoši 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>Eiropas Parlamenta un Padomes 2004.gada 31.marta Direktīvai 2004/18/EK par to, kā koordinēt būvdarbu valsts līgumu, piegādes valsts līgumu un pakalpojumu valsts līgumu slēgšanas tiesību piešķiršanas procedūru</w:t>
            </w:r>
            <w:r w:rsidR="0071240C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un</w:t>
            </w:r>
            <w:r w:rsidRPr="00C27032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</w:t>
            </w:r>
            <w:r w:rsidR="0071240C" w:rsidRPr="002A0DAB">
              <w:rPr>
                <w:rFonts w:ascii="Times New Roman" w:hAnsi="Times New Roman"/>
                <w:bCs/>
                <w:sz w:val="24"/>
                <w:szCs w:val="24"/>
              </w:rPr>
              <w:t>Komisijas 2013.gada 13.decembra regula</w:t>
            </w:r>
            <w:r w:rsidR="0055339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="0071240C" w:rsidRPr="002A0DAB">
              <w:rPr>
                <w:rFonts w:ascii="Times New Roman" w:hAnsi="Times New Roman"/>
                <w:bCs/>
                <w:sz w:val="24"/>
                <w:szCs w:val="24"/>
              </w:rPr>
              <w:t xml:space="preserve"> Nr.1336/2013, </w:t>
            </w:r>
            <w:r w:rsidR="0071240C" w:rsidRPr="002A0DAB">
              <w:rPr>
                <w:rFonts w:ascii="Times New Roman" w:hAnsi="Times New Roman"/>
                <w:sz w:val="24"/>
                <w:szCs w:val="24"/>
              </w:rPr>
              <w:t>ar ko groza Eiropas Parlamenta un Padomes Direktīvas 2004/17/EK, 2004/18/EK un 2009/81/EK attiecībā uz to piemērošanas robežvērtībām līgumu slēgšanas tiesību piešķiršanas procedūrās.</w:t>
            </w:r>
          </w:p>
          <w:p w:rsidR="002A0DAB" w:rsidRPr="00C27032" w:rsidRDefault="007A34E4" w:rsidP="00466292">
            <w:pPr>
              <w:widowControl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27032">
              <w:rPr>
                <w:rFonts w:ascii="Times New Roman" w:hAnsi="Times New Roman"/>
                <w:sz w:val="24"/>
                <w:szCs w:val="24"/>
              </w:rPr>
              <w:t xml:space="preserve">2015.gada 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1</w:t>
            </w:r>
            <w:r w:rsidR="00466292">
              <w:rPr>
                <w:rFonts w:ascii="Times New Roman" w:hAnsi="Times New Roman"/>
                <w:sz w:val="24"/>
                <w:szCs w:val="24"/>
              </w:rPr>
              <w:t>6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.decembrī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 Eiropas Savienības Oficiālajā Vēstnesī L daļā (3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30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.numurā) 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publicēta Komisijas 2015.gada 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15.decembra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 regula Nr.2015/</w:t>
            </w:r>
            <w:r w:rsidR="00FF4D98" w:rsidRPr="00C27032">
              <w:rPr>
                <w:rFonts w:ascii="Times New Roman" w:hAnsi="Times New Roman"/>
                <w:sz w:val="24"/>
                <w:szCs w:val="24"/>
              </w:rPr>
              <w:t>234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>2</w:t>
            </w:r>
            <w:r w:rsidRPr="00C270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ar ko groza Eiropas Parlamenta un Padomes Direktīvu 2004/18/EK attiecībā uz tās piemērošanas robežvērtībām līgumu slēgšanas tiesību 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lastRenderedPageBreak/>
              <w:t>piešķiršanas procedūrās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. Ņemot vērā, ka </w:t>
            </w:r>
            <w:r w:rsidR="00CF1D6C" w:rsidRPr="00C27032">
              <w:rPr>
                <w:rStyle w:val="spelle"/>
                <w:rFonts w:ascii="Times New Roman" w:hAnsi="Times New Roman"/>
                <w:sz w:val="24"/>
                <w:szCs w:val="24"/>
              </w:rPr>
              <w:t xml:space="preserve">piemērojamās 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 xml:space="preserve">publisko 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>iepirkumu</w:t>
            </w:r>
            <w:r w:rsidR="00CF1D6C" w:rsidRPr="00C27032">
              <w:rPr>
                <w:rFonts w:ascii="Times New Roman" w:eastAsia="EUAlbertina_Bold" w:hAnsi="Times New Roman"/>
                <w:sz w:val="24"/>
                <w:szCs w:val="24"/>
              </w:rPr>
              <w:t xml:space="preserve"> 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līgumcenu </w:t>
            </w:r>
            <w:r w:rsidR="00B827C8">
              <w:rPr>
                <w:rFonts w:ascii="Times New Roman" w:hAnsi="Times New Roman"/>
                <w:sz w:val="24"/>
                <w:szCs w:val="24"/>
              </w:rPr>
              <w:t>robežvērtības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ir mainītas, nepieciešams veikt </w:t>
            </w:r>
            <w:r w:rsidR="00F63E33">
              <w:rPr>
                <w:rFonts w:ascii="Times New Roman" w:hAnsi="Times New Roman"/>
                <w:sz w:val="24"/>
                <w:szCs w:val="24"/>
              </w:rPr>
              <w:t>grozījumus</w:t>
            </w:r>
            <w:r w:rsidR="00CF1D6C" w:rsidRPr="00C27032">
              <w:rPr>
                <w:rFonts w:ascii="Times New Roman" w:hAnsi="Times New Roman"/>
                <w:sz w:val="24"/>
                <w:szCs w:val="24"/>
              </w:rPr>
              <w:t xml:space="preserve"> arī Ministru kabineta </w:t>
            </w:r>
            <w:r w:rsidR="0066388F" w:rsidRPr="00C27032">
              <w:rPr>
                <w:rFonts w:ascii="Times New Roman" w:hAnsi="Times New Roman"/>
                <w:sz w:val="24"/>
                <w:szCs w:val="24"/>
              </w:rPr>
              <w:t>2010.gada 8.jūnija noteikumos Nr.519 “Noteikumi par publisko iepirkumu līgumcenu robežām”</w:t>
            </w:r>
            <w:r w:rsidR="00CF1D6C" w:rsidRPr="00C270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F1D6C" w:rsidRDefault="002A0DAB" w:rsidP="00257AD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851C1">
              <w:rPr>
                <w:rFonts w:ascii="Times New Roman" w:hAnsi="Times New Roman"/>
                <w:sz w:val="24"/>
                <w:szCs w:val="24"/>
              </w:rPr>
              <w:t>Atbils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>toši</w:t>
            </w:r>
            <w:r w:rsidR="005544E4" w:rsidRPr="00A851C1">
              <w:rPr>
                <w:rFonts w:ascii="Times New Roman" w:hAnsi="Times New Roman"/>
                <w:sz w:val="24"/>
                <w:szCs w:val="24"/>
              </w:rPr>
              <w:t xml:space="preserve"> Ministru kabineta noteikumu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 xml:space="preserve"> projekta tiesiskais regulējums paredz </w:t>
            </w:r>
            <w:r w:rsidR="00CF1D6C" w:rsidRPr="00A851C1">
              <w:rPr>
                <w:rFonts w:ascii="Times New Roman" w:eastAsia="EUAlbertina_Bold" w:hAnsi="Times New Roman"/>
                <w:sz w:val="24"/>
                <w:szCs w:val="24"/>
              </w:rPr>
              <w:t xml:space="preserve">precizēt </w:t>
            </w:r>
            <w:r w:rsidR="0066388F" w:rsidRPr="00A851C1">
              <w:rPr>
                <w:rFonts w:ascii="Times New Roman" w:hAnsi="Times New Roman"/>
                <w:sz w:val="24"/>
                <w:szCs w:val="24"/>
              </w:rPr>
              <w:t>publisko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 xml:space="preserve"> iepirkumu līgumcenu </w:t>
            </w:r>
            <w:r w:rsidR="00FF4D98" w:rsidRPr="00A851C1">
              <w:rPr>
                <w:rFonts w:ascii="Times New Roman" w:hAnsi="Times New Roman"/>
                <w:sz w:val="24"/>
                <w:szCs w:val="24"/>
              </w:rPr>
              <w:t>robežvērtības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>, kas noteikta</w:t>
            </w:r>
            <w:r w:rsidR="0066388F" w:rsidRPr="00A851C1">
              <w:rPr>
                <w:rFonts w:ascii="Times New Roman" w:hAnsi="Times New Roman"/>
                <w:sz w:val="24"/>
                <w:szCs w:val="24"/>
              </w:rPr>
              <w:t>s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388F" w:rsidRPr="00A851C1">
              <w:rPr>
                <w:rFonts w:ascii="Times New Roman" w:hAnsi="Times New Roman"/>
                <w:iCs/>
                <w:sz w:val="24"/>
                <w:szCs w:val="24"/>
              </w:rPr>
              <w:t>Publisko i</w:t>
            </w:r>
            <w:r w:rsidR="00CF1D6C" w:rsidRPr="00A851C1">
              <w:rPr>
                <w:rFonts w:ascii="Times New Roman" w:hAnsi="Times New Roman"/>
                <w:iCs/>
                <w:sz w:val="24"/>
                <w:szCs w:val="24"/>
              </w:rPr>
              <w:t xml:space="preserve">epirkumu likuma </w:t>
            </w:r>
            <w:r w:rsidR="00DF5F9F" w:rsidRPr="00A851C1">
              <w:rPr>
                <w:rFonts w:ascii="Times New Roman" w:hAnsi="Times New Roman"/>
                <w:sz w:val="24"/>
                <w:szCs w:val="24"/>
              </w:rPr>
              <w:t>10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>.panta minētajos gadījumos – 5 </w:t>
            </w:r>
            <w:r w:rsidR="00FF4D98" w:rsidRPr="00A851C1">
              <w:rPr>
                <w:rFonts w:ascii="Times New Roman" w:hAnsi="Times New Roman"/>
                <w:sz w:val="24"/>
                <w:szCs w:val="24"/>
              </w:rPr>
              <w:t>225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> 000 </w:t>
            </w:r>
            <w:r w:rsidR="00CF1D6C" w:rsidRPr="00A851C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 xml:space="preserve"> (šobrīd </w:t>
            </w:r>
            <w:r w:rsidR="00FF4D98" w:rsidRPr="00A851C1">
              <w:rPr>
                <w:rFonts w:ascii="Times New Roman" w:hAnsi="Times New Roman"/>
                <w:sz w:val="24"/>
                <w:szCs w:val="24"/>
              </w:rPr>
              <w:t>5 186 000 </w:t>
            </w:r>
            <w:r w:rsidR="00FF4D98" w:rsidRPr="00A851C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 xml:space="preserve">) būvdarbu līgumiem un </w:t>
            </w:r>
            <w:r w:rsidR="00A851C1" w:rsidRPr="00A851C1">
              <w:rPr>
                <w:rFonts w:ascii="Times New Roman" w:hAnsi="Times New Roman"/>
                <w:sz w:val="24"/>
                <w:szCs w:val="24"/>
              </w:rPr>
              <w:t>135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> 000 </w:t>
            </w:r>
            <w:r w:rsidR="00CF1D6C" w:rsidRPr="00A851C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 xml:space="preserve"> (šobrīd </w:t>
            </w:r>
            <w:r w:rsidR="00553399">
              <w:rPr>
                <w:rFonts w:ascii="Times New Roman" w:hAnsi="Times New Roman"/>
                <w:sz w:val="24"/>
                <w:szCs w:val="24"/>
              </w:rPr>
              <w:t>134</w:t>
            </w:r>
            <w:r w:rsidR="00FF4D98" w:rsidRPr="00A851C1">
              <w:rPr>
                <w:rFonts w:ascii="Times New Roman" w:hAnsi="Times New Roman"/>
                <w:sz w:val="24"/>
                <w:szCs w:val="24"/>
              </w:rPr>
              <w:t> 000 </w:t>
            </w:r>
            <w:r w:rsidR="00FF4D98" w:rsidRPr="00A851C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CF1D6C" w:rsidRPr="00A851C1">
              <w:rPr>
                <w:rFonts w:ascii="Times New Roman" w:hAnsi="Times New Roman"/>
                <w:sz w:val="24"/>
                <w:szCs w:val="24"/>
              </w:rPr>
              <w:t>) pi</w:t>
            </w:r>
            <w:r w:rsidR="00A851C1" w:rsidRPr="00A851C1">
              <w:rPr>
                <w:rFonts w:ascii="Times New Roman" w:hAnsi="Times New Roman"/>
                <w:sz w:val="24"/>
                <w:szCs w:val="24"/>
              </w:rPr>
              <w:t>egādes un pakalpojumu līgumiem Publisko iepirkumu likuma 6.panta 2.punktā minētajā gadījumā – 209 000 </w:t>
            </w:r>
            <w:r w:rsidR="00A851C1" w:rsidRPr="00A851C1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851C1" w:rsidRPr="00A851C1">
              <w:rPr>
                <w:rFonts w:ascii="Times New Roman" w:hAnsi="Times New Roman"/>
                <w:sz w:val="24"/>
                <w:szCs w:val="24"/>
              </w:rPr>
              <w:t xml:space="preserve"> (šobrīd 207 000 </w:t>
            </w:r>
            <w:r w:rsidR="00A851C1" w:rsidRPr="003E380B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="00A851C1" w:rsidRPr="00A851C1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257AD8" w:rsidRPr="00257AD8" w:rsidRDefault="00257AD8" w:rsidP="00257AD8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3.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Projekta izstrādē iesaistītās institūcijas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Default="00FF4D98" w:rsidP="00244C96">
            <w:pPr>
              <w:widowControl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Finanšu ministrija.</w:t>
            </w:r>
          </w:p>
          <w:p w:rsidR="006846B6" w:rsidRDefault="006846B6" w:rsidP="00244C96">
            <w:pPr>
              <w:widowControl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46B6" w:rsidRPr="006846B6" w:rsidRDefault="006846B6" w:rsidP="00244C96">
            <w:pPr>
              <w:widowControl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96" w:rsidRPr="002A0DAB" w:rsidTr="005533E2"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FF4D98" w:rsidP="00FF4D98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Nav.</w:t>
            </w:r>
          </w:p>
        </w:tc>
      </w:tr>
      <w:tr w:rsidR="00244C96" w:rsidRPr="002A0DAB" w:rsidTr="005533E2">
        <w:trPr>
          <w:trHeight w:val="128"/>
        </w:trPr>
        <w:tc>
          <w:tcPr>
            <w:tcW w:w="9429" w:type="dxa"/>
            <w:gridSpan w:val="3"/>
            <w:tcBorders>
              <w:top w:val="outset" w:sz="6" w:space="0" w:color="414142"/>
              <w:left w:val="nil"/>
              <w:bottom w:val="outset" w:sz="6" w:space="0" w:color="414142"/>
              <w:right w:val="nil"/>
            </w:tcBorders>
          </w:tcPr>
          <w:p w:rsidR="006B2EB6" w:rsidRPr="002A0DAB" w:rsidRDefault="006B2EB6" w:rsidP="00244C96">
            <w:pPr>
              <w:widowControl/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ab/>
            </w:r>
          </w:p>
        </w:tc>
      </w:tr>
      <w:tr w:rsidR="00244C96" w:rsidRPr="002A0DAB" w:rsidTr="005533E2">
        <w:trPr>
          <w:trHeight w:val="555"/>
        </w:trPr>
        <w:tc>
          <w:tcPr>
            <w:tcW w:w="9429" w:type="dxa"/>
            <w:gridSpan w:val="3"/>
            <w:tcBorders>
              <w:top w:val="nil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244C96" w:rsidRPr="002A0DAB" w:rsidTr="005533E2">
        <w:trPr>
          <w:trHeight w:val="46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DF5F9F" w:rsidP="0055339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2335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pasūtītāji Publisko iepirkumu likuma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 xml:space="preserve"> izpratnē un </w:t>
            </w:r>
            <w:r w:rsidR="00FF4D98" w:rsidRPr="002A0DAB">
              <w:rPr>
                <w:rFonts w:ascii="Times New Roman" w:hAnsi="Times New Roman"/>
                <w:iCs/>
                <w:sz w:val="24"/>
                <w:szCs w:val="24"/>
              </w:rPr>
              <w:t>juridiskas un fiziskas personas, kas piedāvā tirgū pakalpojumus, preces un būvdarbus un kas piedalās publiskajos iepirkumos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 xml:space="preserve"> (to precīz</w:t>
            </w:r>
            <w:r w:rsidR="00553399">
              <w:rPr>
                <w:rFonts w:ascii="Times New Roman" w:hAnsi="Times New Roman"/>
                <w:sz w:val="24"/>
                <w:szCs w:val="24"/>
              </w:rPr>
              <w:t>u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 xml:space="preserve"> skait</w:t>
            </w:r>
            <w:r w:rsidR="00553399">
              <w:rPr>
                <w:rFonts w:ascii="Times New Roman" w:hAnsi="Times New Roman"/>
                <w:sz w:val="24"/>
                <w:szCs w:val="24"/>
              </w:rPr>
              <w:t>u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 xml:space="preserve"> nav iespējams </w:t>
            </w:r>
            <w:r w:rsidR="00553399">
              <w:rPr>
                <w:rFonts w:ascii="Times New Roman" w:hAnsi="Times New Roman"/>
                <w:sz w:val="24"/>
                <w:szCs w:val="24"/>
              </w:rPr>
              <w:t>noteikt</w:t>
            </w:r>
            <w:r w:rsidR="00FF4D98" w:rsidRPr="002A0DA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244C96" w:rsidRPr="002A0DAB" w:rsidTr="005533E2">
        <w:trPr>
          <w:trHeight w:val="510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9562FB" w:rsidRPr="002A0DAB" w:rsidRDefault="00FF4D98" w:rsidP="00B827C8">
            <w:pPr>
              <w:widowControl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Jāi</w:t>
            </w:r>
            <w:r w:rsidR="00B827C8">
              <w:rPr>
                <w:rFonts w:ascii="Times New Roman" w:hAnsi="Times New Roman"/>
                <w:sz w:val="24"/>
                <w:szCs w:val="24"/>
              </w:rPr>
              <w:t>evēro nosacījumi par attiecīgo pasūtītāju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iepirkumu</w:t>
            </w:r>
            <w:r w:rsidRPr="002A0DAB">
              <w:rPr>
                <w:rFonts w:ascii="Times New Roman" w:eastAsia="EUAlbertina_Bold" w:hAnsi="Times New Roman"/>
                <w:sz w:val="24"/>
                <w:szCs w:val="24"/>
              </w:rPr>
              <w:t xml:space="preserve"> procedūras 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paziņojumu nosūtīšanu Iepirkumu uzraudzības birojam publicēšanai Eiropas Savienības Oficiālajā Vēstnesī, kā arī periodisko informatīvo ziņojumu, statistikas pārskatu sniegšanā Iepirkumu uzraudzības birojam.</w:t>
            </w:r>
            <w:r w:rsidR="00553399">
              <w:rPr>
                <w:rFonts w:ascii="Times New Roman" w:hAnsi="Times New Roman"/>
                <w:sz w:val="24"/>
                <w:szCs w:val="24"/>
              </w:rPr>
              <w:t xml:space="preserve"> Administratīvais slogs nemainās.</w:t>
            </w:r>
          </w:p>
        </w:tc>
      </w:tr>
      <w:tr w:rsidR="00244C96" w:rsidRPr="002A0DAB" w:rsidTr="005533E2">
        <w:trPr>
          <w:trHeight w:val="510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Administratīvo izmaksu monetārs novērtējums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131565" w:rsidP="00EB3F20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44C96" w:rsidRPr="002A0DAB" w:rsidTr="005533E2">
        <w:trPr>
          <w:trHeight w:val="345"/>
        </w:trPr>
        <w:tc>
          <w:tcPr>
            <w:tcW w:w="47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923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03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9364" w:type="dxa"/>
        <w:tblInd w:w="-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2"/>
        <w:gridCol w:w="8"/>
        <w:gridCol w:w="466"/>
        <w:gridCol w:w="644"/>
        <w:gridCol w:w="1269"/>
        <w:gridCol w:w="621"/>
        <w:gridCol w:w="1364"/>
        <w:gridCol w:w="2410"/>
        <w:gridCol w:w="2552"/>
      </w:tblGrid>
      <w:tr w:rsidR="00244C96" w:rsidRPr="002A0DAB" w:rsidTr="00496AEA">
        <w:trPr>
          <w:gridBefore w:val="1"/>
          <w:wBefore w:w="8" w:type="dxa"/>
        </w:trPr>
        <w:tc>
          <w:tcPr>
            <w:tcW w:w="9356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ind w:left="77" w:hanging="77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V. Tiesību akta projekta atbilstība Latvijas Republikas starptautiskajām saistībām</w:t>
            </w:r>
          </w:p>
        </w:tc>
      </w:tr>
      <w:tr w:rsidR="00244C96" w:rsidRPr="002A0DAB" w:rsidTr="00496AEA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Saistības pret Eiropas Savienību</w:t>
            </w:r>
          </w:p>
        </w:tc>
        <w:tc>
          <w:tcPr>
            <w:tcW w:w="6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6837" w:rsidRPr="00136837" w:rsidRDefault="00DF5F9F" w:rsidP="00257AD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36837">
              <w:rPr>
                <w:rFonts w:ascii="Times New Roman" w:hAnsi="Times New Roman"/>
                <w:color w:val="000000" w:themeColor="text1"/>
                <w:sz w:val="24"/>
              </w:rPr>
              <w:t>Eiropas Parlamenta un Padomes 2004.gada 31.marta direktīva 2004/18/EK par to, kā koordinēt būvdarbu valsts līgumu, piegādes valsts līgumu un pakalpojumu valsts līgumu slēgšanas tiesību piešķiršanas procedūru</w:t>
            </w:r>
            <w:r w:rsidR="00136837" w:rsidRPr="00136837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  <w:r w:rsidR="00131565" w:rsidRPr="00136837">
              <w:rPr>
                <w:rFonts w:ascii="Times New Roman" w:hAnsi="Times New Roman"/>
                <w:color w:val="000000" w:themeColor="text1"/>
                <w:sz w:val="24"/>
              </w:rPr>
              <w:t xml:space="preserve"> Minētā Direktīva pārņemta ar </w:t>
            </w:r>
            <w:r w:rsidR="00136837" w:rsidRPr="00136837">
              <w:rPr>
                <w:rFonts w:ascii="Times New Roman" w:hAnsi="Times New Roman"/>
                <w:color w:val="000000" w:themeColor="text1"/>
                <w:sz w:val="24"/>
              </w:rPr>
              <w:t>Publisko iepirkumu likumu,</w:t>
            </w:r>
            <w:r w:rsidR="00496AEA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131565" w:rsidRPr="00136837">
              <w:rPr>
                <w:rFonts w:ascii="Times New Roman" w:hAnsi="Times New Roman"/>
                <w:color w:val="000000" w:themeColor="text1"/>
                <w:sz w:val="24"/>
              </w:rPr>
              <w:t>Ministru kabineta 201</w:t>
            </w:r>
            <w:r w:rsidR="00136837" w:rsidRPr="00136837">
              <w:rPr>
                <w:rFonts w:ascii="Times New Roman" w:hAnsi="Times New Roman"/>
                <w:color w:val="000000" w:themeColor="text1"/>
                <w:sz w:val="24"/>
              </w:rPr>
              <w:t>4</w:t>
            </w:r>
            <w:r w:rsidR="00131565" w:rsidRPr="00136837">
              <w:rPr>
                <w:rFonts w:ascii="Times New Roman" w:hAnsi="Times New Roman"/>
                <w:color w:val="000000" w:themeColor="text1"/>
                <w:sz w:val="24"/>
              </w:rPr>
              <w:t xml:space="preserve">.gada </w:t>
            </w:r>
            <w:r w:rsidR="00136837" w:rsidRPr="00136837">
              <w:rPr>
                <w:rFonts w:ascii="Times New Roman" w:hAnsi="Times New Roman"/>
                <w:color w:val="000000" w:themeColor="text1"/>
                <w:sz w:val="24"/>
              </w:rPr>
              <w:t>14.janvāra</w:t>
            </w:r>
            <w:r w:rsidR="00131565" w:rsidRPr="00136837">
              <w:rPr>
                <w:rFonts w:ascii="Times New Roman" w:hAnsi="Times New Roman"/>
                <w:color w:val="000000" w:themeColor="text1"/>
                <w:sz w:val="24"/>
              </w:rPr>
              <w:t xml:space="preserve"> noteikumiem Nr.</w:t>
            </w:r>
            <w:r w:rsidR="00136837" w:rsidRPr="00136837">
              <w:rPr>
                <w:rFonts w:ascii="Times New Roman" w:hAnsi="Times New Roman"/>
                <w:color w:val="000000" w:themeColor="text1"/>
                <w:sz w:val="24"/>
              </w:rPr>
              <w:t>21</w:t>
            </w:r>
            <w:r w:rsidR="00131565" w:rsidRPr="00136837">
              <w:rPr>
                <w:rFonts w:ascii="Times New Roman" w:hAnsi="Times New Roman"/>
                <w:color w:val="000000" w:themeColor="text1"/>
                <w:sz w:val="24"/>
              </w:rPr>
              <w:t xml:space="preserve"> „</w:t>
            </w:r>
            <w:hyperlink r:id="rId8" w:tgtFrame="_blank" w:history="1">
              <w:r w:rsidR="00136837" w:rsidRPr="00136837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u w:val="none"/>
                </w:rPr>
                <w:t>Noteikumi par publisko iepirkumu paziņojumu saturu un sagatavošanas kārtību</w:t>
              </w:r>
            </w:hyperlink>
            <w:r w:rsidR="005544E4">
              <w:rPr>
                <w:rFonts w:ascii="Times New Roman" w:hAnsi="Times New Roman"/>
                <w:color w:val="000000" w:themeColor="text1"/>
                <w:sz w:val="24"/>
              </w:rPr>
              <w:t xml:space="preserve">”, </w:t>
            </w:r>
            <w:r w:rsidR="00131565" w:rsidRPr="00136837">
              <w:rPr>
                <w:rFonts w:ascii="Times New Roman" w:hAnsi="Times New Roman"/>
                <w:color w:val="000000" w:themeColor="text1"/>
                <w:sz w:val="24"/>
              </w:rPr>
              <w:t xml:space="preserve">Ministru kabineta 2010.gada </w:t>
            </w:r>
            <w:r w:rsidR="00136837" w:rsidRPr="00136837">
              <w:rPr>
                <w:rFonts w:ascii="Times New Roman" w:hAnsi="Times New Roman"/>
                <w:color w:val="000000" w:themeColor="text1"/>
                <w:sz w:val="24"/>
              </w:rPr>
              <w:t>8.jūnija</w:t>
            </w:r>
            <w:r w:rsidR="00131565" w:rsidRPr="00136837">
              <w:rPr>
                <w:rFonts w:ascii="Times New Roman" w:hAnsi="Times New Roman"/>
                <w:color w:val="000000" w:themeColor="text1"/>
                <w:sz w:val="24"/>
              </w:rPr>
              <w:t xml:space="preserve"> noteikumiem Nr.</w:t>
            </w:r>
            <w:r w:rsidR="00136837" w:rsidRPr="00136837">
              <w:rPr>
                <w:rFonts w:ascii="Times New Roman" w:hAnsi="Times New Roman"/>
                <w:color w:val="000000" w:themeColor="text1"/>
                <w:sz w:val="24"/>
              </w:rPr>
              <w:t>519</w:t>
            </w:r>
            <w:r w:rsidR="00131565" w:rsidRPr="00136837">
              <w:rPr>
                <w:rFonts w:ascii="Times New Roman" w:hAnsi="Times New Roman"/>
                <w:color w:val="000000" w:themeColor="text1"/>
                <w:sz w:val="24"/>
              </w:rPr>
              <w:t xml:space="preserve"> “</w:t>
            </w:r>
            <w:hyperlink r:id="rId9" w:tgtFrame="_blank" w:history="1">
              <w:r w:rsidR="00136837" w:rsidRPr="00136837">
                <w:rPr>
                  <w:rStyle w:val="Hyperlink"/>
                  <w:rFonts w:ascii="Times New Roman" w:hAnsi="Times New Roman"/>
                  <w:color w:val="000000" w:themeColor="text1"/>
                  <w:sz w:val="24"/>
                  <w:u w:val="none"/>
                </w:rPr>
                <w:t>Noteikumi par publisko iepirkumu līgumcenu robežām</w:t>
              </w:r>
            </w:hyperlink>
            <w:r w:rsidR="0062168C">
              <w:rPr>
                <w:rFonts w:ascii="Times New Roman" w:hAnsi="Times New Roman"/>
                <w:color w:val="000000" w:themeColor="text1"/>
                <w:sz w:val="24"/>
              </w:rPr>
              <w:t>”.</w:t>
            </w:r>
          </w:p>
          <w:p w:rsidR="00EB3F20" w:rsidRPr="002A0DAB" w:rsidRDefault="00131565" w:rsidP="00257AD8">
            <w:pPr>
              <w:widowControl/>
              <w:spacing w:before="240"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Komisijas 2013.gada 13.decembra </w:t>
            </w:r>
            <w:r w:rsidR="009D77CE">
              <w:rPr>
                <w:rFonts w:ascii="Times New Roman" w:hAnsi="Times New Roman"/>
                <w:sz w:val="24"/>
                <w:szCs w:val="24"/>
              </w:rPr>
              <w:t>r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egula Nr.1336/2013, </w:t>
            </w:r>
            <w:r w:rsidRPr="002A0DAB">
              <w:rPr>
                <w:rFonts w:ascii="Times New Roman" w:hAnsi="Times New Roman"/>
                <w:bCs/>
                <w:sz w:val="24"/>
                <w:szCs w:val="24"/>
              </w:rPr>
              <w:t>ar ko groza Eiropas Parlamenta un Padomes Direktīvas 2004/17/EK, 2004/18/EK un 2009/81/EK attiecībā uz to piemērošanas robežvērtībām līgumu slēgšanas tiesību piešķiršanas procedūrās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, kas stājas spēkā 2014.gada 1.janvārī. Minētā </w:t>
            </w:r>
            <w:r w:rsidR="0033316B">
              <w:rPr>
                <w:rFonts w:ascii="Times New Roman" w:hAnsi="Times New Roman"/>
                <w:sz w:val="24"/>
                <w:szCs w:val="24"/>
              </w:rPr>
              <w:t>Regula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 xml:space="preserve"> pārņemta ar </w:t>
            </w:r>
            <w:r w:rsidR="00B827C8">
              <w:rPr>
                <w:rFonts w:ascii="Times New Roman" w:hAnsi="Times New Roman"/>
                <w:iCs/>
                <w:sz w:val="24"/>
                <w:szCs w:val="24"/>
              </w:rPr>
              <w:t>Publisko iepirkumu likumu</w:t>
            </w:r>
            <w:r w:rsidRPr="002A0DAB">
              <w:rPr>
                <w:rFonts w:ascii="Times New Roman" w:hAnsi="Times New Roman"/>
                <w:sz w:val="24"/>
                <w:szCs w:val="24"/>
                <w:lang w:eastAsia="lo-LA" w:bidi="lo-LA"/>
              </w:rPr>
              <w:t xml:space="preserve"> un </w:t>
            </w:r>
            <w:r w:rsidR="00B827C8" w:rsidRPr="00C27032">
              <w:rPr>
                <w:rFonts w:ascii="Times New Roman" w:hAnsi="Times New Roman"/>
                <w:sz w:val="24"/>
                <w:szCs w:val="24"/>
              </w:rPr>
              <w:t>Ministru kabineta 2010.gada 8.jūnija noteikumos Nr.519 “Noteikumi par publisko iepirkumu līgumcenu robežām”</w:t>
            </w:r>
            <w:r w:rsidR="00B827C8" w:rsidRPr="00C2703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31565" w:rsidRDefault="00136837" w:rsidP="00257AD8">
            <w:pPr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388F">
              <w:rPr>
                <w:rFonts w:ascii="Times New Roman" w:hAnsi="Times New Roman"/>
                <w:sz w:val="24"/>
                <w:szCs w:val="24"/>
              </w:rPr>
              <w:t>Komisijas 2015.gada 15.decembra regula Nr.2015/2342 ar ko groza Eiropas Parlamenta un Padomes Direktīvu 2004/18/EK attiecībā uz tās piemērošanas robežvērtībām līgumu slēgšanas tiesību piešķiršanas procedūrās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927EF" w:rsidRPr="002A0DAB" w:rsidRDefault="00C927EF" w:rsidP="000F1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C96" w:rsidRPr="002A0DAB" w:rsidTr="00496AEA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lastRenderedPageBreak/>
              <w:t> 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Citas starptautiskās saistības</w:t>
            </w:r>
          </w:p>
        </w:tc>
        <w:tc>
          <w:tcPr>
            <w:tcW w:w="6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ind w:right="815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Projekts šo jomu neskar.</w:t>
            </w:r>
          </w:p>
        </w:tc>
      </w:tr>
      <w:tr w:rsidR="00244C96" w:rsidRPr="002A0DAB" w:rsidTr="00496AEA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5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3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  <w:tr w:rsidR="00244C96" w:rsidRPr="002A0DAB" w:rsidTr="00496AEA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26" w:type="dxa"/>
            <w:gridSpan w:val="7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46B6" w:rsidRDefault="00244C96" w:rsidP="006846B6">
            <w:pPr>
              <w:widowControl/>
              <w:spacing w:after="0" w:line="26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1.tabula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Tiesību akta projekta atbilstība ES tiesību aktiem</w:t>
            </w:r>
          </w:p>
          <w:p w:rsidR="006846B6" w:rsidRPr="006846B6" w:rsidRDefault="006846B6" w:rsidP="006846B6">
            <w:pPr>
              <w:widowControl/>
              <w:spacing w:after="0" w:line="265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244C96" w:rsidRPr="002A0DAB" w:rsidTr="00496AEA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C96" w:rsidRPr="002A0DAB" w:rsidRDefault="00244C9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Attiecīgā ES tiesību akta datums, numurs un nosaukums</w:t>
            </w:r>
          </w:p>
        </w:tc>
        <w:tc>
          <w:tcPr>
            <w:tcW w:w="6947" w:type="dxa"/>
            <w:gridSpan w:val="4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4C96" w:rsidRPr="002A0DAB" w:rsidRDefault="00136837" w:rsidP="0046480D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66388F">
              <w:rPr>
                <w:rFonts w:ascii="Times New Roman" w:hAnsi="Times New Roman"/>
                <w:sz w:val="24"/>
                <w:szCs w:val="24"/>
              </w:rPr>
              <w:t>Komisijas 2015.gada 15.decembra regula Nr.2015/2342 ar ko groza Eiropas Parlamenta un Padomes Direktīvu 2004/18/EK attiecībā uz tās piemērošanas robežvērtībām līgumu slēgšanas tiesību piešķiršanas procedūrās</w:t>
            </w:r>
          </w:p>
        </w:tc>
      </w:tr>
      <w:tr w:rsidR="00244C96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44C96" w:rsidRPr="002A0DAB" w:rsidRDefault="00244C96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B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44C96" w:rsidRPr="002A0DAB" w:rsidRDefault="00244C96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D</w:t>
            </w:r>
          </w:p>
        </w:tc>
      </w:tr>
      <w:tr w:rsidR="00803513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03513" w:rsidRPr="002A0DAB" w:rsidRDefault="00803513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Attiecīgā ES tiesību akta panta numurs (uzskaitot katru tiesību akta vienību – pantu, daļu, punktu, apakšpunktu).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Projekta vienība, kas pārņem vai ievieš katru šīs tabulas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ailē minēto ES tiesību akta vienību, vai tiesību akts, kur attiecīgā ES tiesību akta vienība pārņemta vai ieviesta.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Informācija par to, vai šīs tabulas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ailē minētās ES tiesību akta vienības tiek pārņemtas vai ieviestas pilnībā vai daļēji.</w:t>
            </w:r>
          </w:p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Norāda institūciju, kas ir atbildīga par šo saistību izpildi pilnībā.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Informācija par to, vai šīs tabulas B ailē minētās projekta vienības paredz stingrākas prasības nekā šīs tabulas </w:t>
            </w:r>
            <w:proofErr w:type="gramStart"/>
            <w:r w:rsidRPr="002A0DAB">
              <w:rPr>
                <w:rFonts w:ascii="Times New Roman" w:hAnsi="Times New Roman"/>
                <w:sz w:val="24"/>
                <w:szCs w:val="24"/>
              </w:rPr>
              <w:t>A</w:t>
            </w:r>
            <w:proofErr w:type="gramEnd"/>
            <w:r w:rsidRPr="002A0DAB">
              <w:rPr>
                <w:rFonts w:ascii="Times New Roman" w:hAnsi="Times New Roman"/>
                <w:sz w:val="24"/>
                <w:szCs w:val="24"/>
              </w:rPr>
              <w:t xml:space="preserve"> ailē minētās ES tiesību akta vienības. </w:t>
            </w:r>
          </w:p>
          <w:p w:rsidR="00131565" w:rsidRPr="002A0DAB" w:rsidRDefault="00131565" w:rsidP="001315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Ja projekts satur stingrākas prasības nekā attiecīgais ES tiesību akts, norāda pamatojumu un samērīgumu.</w:t>
            </w:r>
          </w:p>
          <w:p w:rsidR="00803513" w:rsidRPr="002A0DAB" w:rsidRDefault="00131565" w:rsidP="00131565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Norāda iespējamās alternatīvas (t.sk. alternatīvas, kas neparedz tiesiskā regulējuma izstrādi) – kādos gadījumos būtu iespējams izvairīties no stingrāku prasību noteikšanas, nekā </w:t>
            </w:r>
            <w:r w:rsidRPr="002A0DAB">
              <w:rPr>
                <w:rFonts w:ascii="Times New Roman" w:hAnsi="Times New Roman"/>
                <w:sz w:val="24"/>
                <w:szCs w:val="24"/>
              </w:rPr>
              <w:lastRenderedPageBreak/>
              <w:t>paredzēts attiecīgajos ES tiesību aktos.</w:t>
            </w:r>
          </w:p>
        </w:tc>
      </w:tr>
      <w:tr w:rsidR="00131565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131565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1.panta</w:t>
            </w:r>
          </w:p>
        </w:tc>
        <w:tc>
          <w:tcPr>
            <w:tcW w:w="1269" w:type="dxa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131565" w:rsidP="0046480D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1.punkta “a” apakšpunkts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0C6798" w:rsidP="007E6D60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Grozījumi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 kabineta 2010.gada 8.jūnija noteikumos Nr.519 “Noteikumi par publisko iepirkumu līgumcenu robežām”</w:t>
            </w:r>
            <w:r w:rsidR="007E6D60" w:rsidRPr="00DA754A">
              <w:rPr>
                <w:rFonts w:ascii="Times New Roman" w:hAnsi="Times New Roman"/>
                <w:sz w:val="24"/>
                <w:szCs w:val="24"/>
              </w:rPr>
              <w:t xml:space="preserve"> 2.</w:t>
            </w:r>
            <w:r w:rsidR="007E6D60">
              <w:rPr>
                <w:rFonts w:ascii="Times New Roman" w:hAnsi="Times New Roman"/>
                <w:sz w:val="24"/>
                <w:szCs w:val="24"/>
              </w:rPr>
              <w:t>7</w:t>
            </w:r>
            <w:r w:rsidR="007E6D60" w:rsidRPr="00DA754A">
              <w:rPr>
                <w:rFonts w:ascii="Times New Roman" w:hAnsi="Times New Roman"/>
                <w:sz w:val="24"/>
                <w:szCs w:val="24"/>
              </w:rPr>
              <w:t>.</w:t>
            </w:r>
            <w:r w:rsidR="007E6D60">
              <w:rPr>
                <w:rFonts w:ascii="Times New Roman" w:hAnsi="Times New Roman"/>
                <w:sz w:val="24"/>
                <w:szCs w:val="24"/>
              </w:rPr>
              <w:t>apakš</w:t>
            </w:r>
            <w:r w:rsidR="007E6D60" w:rsidRPr="00DA754A">
              <w:rPr>
                <w:rFonts w:ascii="Times New Roman" w:hAnsi="Times New Roman"/>
                <w:sz w:val="24"/>
                <w:szCs w:val="24"/>
              </w:rPr>
              <w:t>punkt</w:t>
            </w:r>
            <w:r w:rsidR="007E6D60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0C6798" w:rsidP="003F78BD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FC58C0" w:rsidP="005259A4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 stingrākas prasības neparedz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31565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9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46480D" w:rsidP="0046480D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1.punkta </w:t>
            </w:r>
            <w:r w:rsidR="00131565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“b”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0C6798" w:rsidP="007E6D60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Grozījumi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 kabineta 2010.gada 8.jūnija noteikumos Nr.519 “Noteikumi par publisko iepirkumu līgumcenu robežām” 2.2.</w:t>
            </w:r>
            <w:r w:rsidR="007E6D60">
              <w:rPr>
                <w:rFonts w:ascii="Times New Roman" w:hAnsi="Times New Roman"/>
                <w:sz w:val="24"/>
                <w:szCs w:val="24"/>
              </w:rPr>
              <w:t>apakš</w:t>
            </w:r>
            <w:r w:rsidR="0046480D" w:rsidRPr="00DA754A">
              <w:rPr>
                <w:rFonts w:ascii="Times New Roman" w:hAnsi="Times New Roman"/>
                <w:sz w:val="24"/>
                <w:szCs w:val="24"/>
              </w:rPr>
              <w:t>punkt</w:t>
            </w:r>
            <w:r w:rsidR="007E6D60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3F78BD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</w:t>
            </w:r>
            <w:r w:rsidR="003F7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ību akta vienība tiek pārņemta </w:t>
            </w: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pilnībā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FC58C0" w:rsidP="005259A4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A754A">
              <w:rPr>
                <w:rFonts w:ascii="Times New Roman" w:hAnsi="Times New Roman"/>
                <w:sz w:val="24"/>
                <w:szCs w:val="24"/>
              </w:rPr>
              <w:t>Līgumcenu robežu diferencēšana atkarībā no pasūtītāja vai līguma priekšmeta veida netika pārņemta Publisko iepirkumu likumā, līdz ar to šāda līgumcenu robeža netiek noteikta šajos noteikumos.</w:t>
            </w:r>
          </w:p>
        </w:tc>
      </w:tr>
      <w:tr w:rsidR="0046480D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480D" w:rsidRPr="002A0DAB" w:rsidRDefault="0046480D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80D" w:rsidRPr="002A0DAB" w:rsidRDefault="0046480D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9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46480D" w:rsidRPr="002A0DAB" w:rsidRDefault="0046480D" w:rsidP="007E6D60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1.punkta “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</w:t>
            </w: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DA754A" w:rsidRDefault="000C6798" w:rsidP="007E6D60">
            <w:pPr>
              <w:widowControl/>
              <w:spacing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Grozījumi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 kabineta 2010.gada 8.jūnija noteikumos Nr.519 “Noteikumi par publisko iepirkumu līgumcenu robežām” 2.1.</w:t>
            </w:r>
            <w:r w:rsidR="007E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6D60">
              <w:rPr>
                <w:rFonts w:ascii="Times New Roman" w:hAnsi="Times New Roman"/>
                <w:sz w:val="24"/>
                <w:szCs w:val="24"/>
              </w:rPr>
              <w:t>un</w:t>
            </w:r>
            <w:proofErr w:type="gramEnd"/>
            <w:r w:rsidR="007E6D60">
              <w:rPr>
                <w:rFonts w:ascii="Times New Roman" w:hAnsi="Times New Roman"/>
                <w:sz w:val="24"/>
                <w:szCs w:val="24"/>
              </w:rPr>
              <w:t xml:space="preserve"> 2.7.apakš</w:t>
            </w:r>
            <w:r w:rsidR="007E6D60" w:rsidRPr="00DA754A">
              <w:rPr>
                <w:rFonts w:ascii="Times New Roman" w:hAnsi="Times New Roman"/>
                <w:sz w:val="24"/>
                <w:szCs w:val="24"/>
              </w:rPr>
              <w:t>punkt</w:t>
            </w:r>
            <w:r w:rsidR="007E6D60">
              <w:rPr>
                <w:rFonts w:ascii="Times New Roman" w:hAnsi="Times New Roman"/>
                <w:sz w:val="24"/>
                <w:szCs w:val="24"/>
              </w:rPr>
              <w:t>s.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2A0DAB" w:rsidRDefault="000C6798" w:rsidP="003F78BD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DA754A" w:rsidRDefault="0046480D" w:rsidP="005259A4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 stingrākas prasības neparedz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31565" w:rsidRPr="002A0DAB" w:rsidTr="006846B6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9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7E6D60" w:rsidP="007E6D60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.punkta “a”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0C6798" w:rsidP="005259A4">
            <w:pPr>
              <w:widowControl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Grozījumi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 kabineta 2010.gada 8.jūnija noteikumos Nr.519 “Noteikumi par publisko iepirkumu līgumcenu robežām”</w:t>
            </w:r>
          </w:p>
          <w:p w:rsidR="00DA754A" w:rsidRPr="00DA754A" w:rsidRDefault="00DA754A" w:rsidP="005259A4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A754A">
              <w:rPr>
                <w:rFonts w:ascii="Times New Roman" w:hAnsi="Times New Roman"/>
                <w:sz w:val="24"/>
                <w:szCs w:val="24"/>
              </w:rPr>
              <w:t>2.1.</w:t>
            </w:r>
            <w:r w:rsidR="007E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6D60">
              <w:rPr>
                <w:rFonts w:ascii="Times New Roman" w:hAnsi="Times New Roman"/>
                <w:sz w:val="24"/>
                <w:szCs w:val="24"/>
              </w:rPr>
              <w:t>apakš</w:t>
            </w:r>
            <w:r w:rsidR="007E6D60" w:rsidRPr="00DA754A">
              <w:rPr>
                <w:rFonts w:ascii="Times New Roman" w:hAnsi="Times New Roman"/>
                <w:sz w:val="24"/>
                <w:szCs w:val="24"/>
              </w:rPr>
              <w:t>punkt</w:t>
            </w:r>
            <w:r w:rsidR="007E6D60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="007E6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3F78BD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2A0DAB" w:rsidP="005259A4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 stingrākas prasības neparedz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31565" w:rsidRPr="002A0DAB" w:rsidTr="006846B6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131565" w:rsidRPr="002A0DAB" w:rsidRDefault="00131565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2"/>
            <w:tcBorders>
              <w:top w:val="outset" w:sz="8" w:space="0" w:color="414142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1565" w:rsidRPr="002A0DAB" w:rsidRDefault="00131565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9" w:type="dxa"/>
            <w:tcBorders>
              <w:top w:val="outset" w:sz="8" w:space="0" w:color="414142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vAlign w:val="center"/>
          </w:tcPr>
          <w:p w:rsidR="00131565" w:rsidRPr="002A0DAB" w:rsidRDefault="007E6D60" w:rsidP="007E6D60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.punkta </w:t>
            </w:r>
            <w:r w:rsidR="00131565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“b” apakšpunkts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DA754A" w:rsidRDefault="000C6798" w:rsidP="005259A4">
            <w:pPr>
              <w:widowControl/>
              <w:spacing w:after="0"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 kabineta 2010.gada 8.jūnija noteikumos Nr.519 “Noteikumi par publisko iepirkumu līgumcenu robežām”</w:t>
            </w:r>
          </w:p>
          <w:p w:rsidR="00DA754A" w:rsidRPr="00DA754A" w:rsidRDefault="00DA754A" w:rsidP="005259A4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A754A">
              <w:rPr>
                <w:rFonts w:ascii="Times New Roman" w:hAnsi="Times New Roman"/>
                <w:sz w:val="24"/>
                <w:szCs w:val="24"/>
              </w:rPr>
              <w:lastRenderedPageBreak/>
              <w:t>2.2.</w:t>
            </w:r>
            <w:r w:rsidR="007E6D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E6D60">
              <w:rPr>
                <w:rFonts w:ascii="Times New Roman" w:hAnsi="Times New Roman"/>
                <w:sz w:val="24"/>
                <w:szCs w:val="24"/>
              </w:rPr>
              <w:t>apakš</w:t>
            </w:r>
            <w:r w:rsidR="007E6D60" w:rsidRPr="00DA754A">
              <w:rPr>
                <w:rFonts w:ascii="Times New Roman" w:hAnsi="Times New Roman"/>
                <w:sz w:val="24"/>
                <w:szCs w:val="24"/>
              </w:rPr>
              <w:t>punkt</w:t>
            </w:r>
            <w:r w:rsidR="007E6D60">
              <w:rPr>
                <w:rFonts w:ascii="Times New Roman" w:hAnsi="Times New Roman"/>
                <w:sz w:val="24"/>
                <w:szCs w:val="24"/>
              </w:rPr>
              <w:t>s</w:t>
            </w:r>
            <w:proofErr w:type="gramEnd"/>
            <w:r w:rsidR="007E6D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outset" w:sz="8" w:space="0" w:color="414142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1565" w:rsidRPr="002A0DAB" w:rsidRDefault="002A0DAB" w:rsidP="003F78BD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ES tiesību akta vienība tiek pārņemta pilnībā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outset" w:sz="8" w:space="0" w:color="414142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A0DAB" w:rsidRPr="00DA754A" w:rsidRDefault="002A0DAB" w:rsidP="005259A4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 stingrākas prasības neparedz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2A0DAB" w:rsidRPr="00DA754A" w:rsidRDefault="002A0DAB" w:rsidP="005259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  <w:p w:rsidR="00131565" w:rsidRPr="00DA754A" w:rsidRDefault="00131565" w:rsidP="005259A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136837" w:rsidRPr="002A0DAB" w:rsidTr="006846B6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837" w:rsidRPr="002A0DAB" w:rsidRDefault="00136837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6837" w:rsidRPr="002A0DAB" w:rsidRDefault="00136837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vAlign w:val="center"/>
          </w:tcPr>
          <w:p w:rsidR="00136837" w:rsidRPr="002A0DAB" w:rsidRDefault="007E6D60" w:rsidP="007E6D60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.punkt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outset" w:sz="8" w:space="0" w:color="414142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A754A" w:rsidRPr="00BF4D30" w:rsidRDefault="00BF4D30" w:rsidP="003F78BD">
            <w:pPr>
              <w:widowControl/>
              <w:spacing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D30">
              <w:rPr>
                <w:rFonts w:ascii="Times New Roman" w:hAnsi="Times New Roman"/>
                <w:sz w:val="24"/>
              </w:rPr>
              <w:t xml:space="preserve">Tiks </w:t>
            </w:r>
            <w:r w:rsidR="003F78BD">
              <w:rPr>
                <w:rFonts w:ascii="Times New Roman" w:hAnsi="Times New Roman"/>
                <w:sz w:val="24"/>
              </w:rPr>
              <w:t>pārņemts</w:t>
            </w:r>
            <w:r w:rsidRPr="00BF4D30">
              <w:rPr>
                <w:rFonts w:ascii="Times New Roman" w:hAnsi="Times New Roman"/>
                <w:sz w:val="24"/>
              </w:rPr>
              <w:t xml:space="preserve"> ar Ministru kabineta noteikumiem „</w:t>
            </w:r>
            <w:r w:rsidRPr="00BF4D30">
              <w:rPr>
                <w:rFonts w:ascii="Times New Roman" w:hAnsi="Times New Roman"/>
                <w:bCs/>
                <w:sz w:val="24"/>
              </w:rPr>
              <w:t>Grozījums Ministru kabineta 2009.gada 22.septembra noteikumos Nr.1068 „Noteikumi par būvdarbu koncesiju līgumcenu robežām”</w:t>
            </w:r>
            <w:r w:rsidRPr="00BF4D30">
              <w:rPr>
                <w:rFonts w:ascii="Times New Roman" w:hAnsi="Times New Roman"/>
                <w:sz w:val="24"/>
              </w:rPr>
              <w:t>”.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2A0DAB" w:rsidRDefault="000C6798" w:rsidP="003F78BD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6798" w:rsidRPr="00DA754A" w:rsidRDefault="000C6798" w:rsidP="000C6798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 stingrākas prasības neparedz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6837" w:rsidRPr="00DA754A" w:rsidRDefault="00136837" w:rsidP="005259A4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6837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837" w:rsidRPr="002A0DAB" w:rsidRDefault="00136837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6837" w:rsidRPr="002A0DAB" w:rsidRDefault="00136837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6837" w:rsidRPr="002A0DAB" w:rsidRDefault="007E6D60" w:rsidP="007E6D60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.punkt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BF4D30" w:rsidRDefault="003F78BD" w:rsidP="003F78BD">
            <w:pPr>
              <w:widowControl/>
              <w:spacing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Tiks pārņemts</w:t>
            </w:r>
            <w:r w:rsidR="00BF4D30" w:rsidRPr="00BF4D30">
              <w:rPr>
                <w:rFonts w:ascii="Times New Roman" w:hAnsi="Times New Roman"/>
                <w:sz w:val="24"/>
              </w:rPr>
              <w:t xml:space="preserve"> ar Ministru kabineta noteikumiem „</w:t>
            </w:r>
            <w:r w:rsidR="00BF4D30" w:rsidRPr="00BF4D30">
              <w:rPr>
                <w:rFonts w:ascii="Times New Roman" w:hAnsi="Times New Roman"/>
                <w:bCs/>
                <w:sz w:val="24"/>
              </w:rPr>
              <w:t>Grozījums Ministru kabineta 2009.gada 22.septembra noteikumos Nr.1068 „Noteikumi par būvdarbu koncesiju līgumcenu robežām”</w:t>
            </w:r>
            <w:r w:rsidR="00BF4D30" w:rsidRPr="00BF4D30">
              <w:rPr>
                <w:rFonts w:ascii="Times New Roman" w:hAnsi="Times New Roman"/>
                <w:sz w:val="24"/>
              </w:rPr>
              <w:t>”.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2A0DAB" w:rsidRDefault="000C6798" w:rsidP="003F78BD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6798" w:rsidRPr="00DA754A" w:rsidRDefault="000C6798" w:rsidP="000C6798">
            <w:pPr>
              <w:widowControl/>
              <w:spacing w:line="265" w:lineRule="atLeast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DA754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Likumprojekts stingrākas prasības neparedz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136837" w:rsidRPr="00DA754A" w:rsidRDefault="00136837" w:rsidP="005259A4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36837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837" w:rsidRPr="002A0DAB" w:rsidRDefault="00136837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6837" w:rsidRPr="002A0DAB" w:rsidRDefault="00136837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9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6837" w:rsidRPr="002A0DAB" w:rsidRDefault="007E6D60" w:rsidP="007E6D60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5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.punkta “a”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DA754A" w:rsidRDefault="000C6798" w:rsidP="005259A4">
            <w:pPr>
              <w:widowControl/>
              <w:spacing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 kabineta 2010.gada 8.jūnija noteikumos Nr.519 “Noteikumi par publisko iepirkumu līgumcenu robežām”</w:t>
            </w:r>
            <w:r w:rsidR="008C5D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754A" w:rsidRPr="00DA754A" w:rsidRDefault="00DA754A" w:rsidP="005259A4">
            <w:pPr>
              <w:widowControl/>
              <w:spacing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2A0DAB" w:rsidRDefault="0046480D" w:rsidP="003F78BD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DA754A" w:rsidRDefault="00DA754A" w:rsidP="005259A4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4A">
              <w:rPr>
                <w:rFonts w:ascii="Times New Roman" w:hAnsi="Times New Roman"/>
                <w:sz w:val="24"/>
                <w:szCs w:val="24"/>
              </w:rPr>
              <w:t>Saskaņā ar Publisko iepirkumu likuma 71.panta pirmo daļu metu konkursu piemēro nevis no Direktīvas 2004/18/EK 67.panta 1.punktā minētajām līgumcenu robežām, bet tad, ja paredzamā līgumcena ir 28 000 </w:t>
            </w:r>
            <w:r w:rsidRPr="00DA75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6837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36837" w:rsidRPr="002A0DAB" w:rsidRDefault="00136837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36837" w:rsidRPr="002A0DAB" w:rsidRDefault="00136837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9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136837" w:rsidRPr="002A0DAB" w:rsidRDefault="007E6D60" w:rsidP="007E6D60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5.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punkta “</w:t>
            </w:r>
            <w:r w:rsidR="004648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b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DA754A" w:rsidRDefault="000C6798" w:rsidP="005259A4">
            <w:pPr>
              <w:widowControl/>
              <w:spacing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 kabineta 2010.gada 8.jūnija noteikumos Nr.519 “Noteikumi par publisko iepirkumu līgumcenu robežām”</w:t>
            </w:r>
            <w:r w:rsidR="008C5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2A0DAB" w:rsidRDefault="0046480D" w:rsidP="003F78BD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36837" w:rsidRPr="00DA754A" w:rsidRDefault="00DA754A" w:rsidP="005259A4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4A">
              <w:rPr>
                <w:rFonts w:ascii="Times New Roman" w:hAnsi="Times New Roman"/>
                <w:sz w:val="24"/>
                <w:szCs w:val="24"/>
              </w:rPr>
              <w:t>Saskaņā ar Publisko iepirkumu likuma 71.panta pirmo daļu metu konkursu piemēro nevis no Direktīvas 2004/18/EK 67.panta 1.punktā minētajām līgumcenu robežām, bet tad, ja paredzamā līgumcena ir 28 000 </w:t>
            </w:r>
            <w:r w:rsidRPr="00DA75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6480D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6480D" w:rsidRPr="002A0DAB" w:rsidRDefault="0046480D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6480D" w:rsidRPr="002A0DAB" w:rsidRDefault="0046480D" w:rsidP="00244C96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1269" w:type="dxa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vAlign w:val="center"/>
          </w:tcPr>
          <w:p w:rsidR="0046480D" w:rsidRPr="002A0DAB" w:rsidRDefault="007E6D60" w:rsidP="007E6D60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5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.punkta “</w:t>
            </w:r>
            <w:r w:rsidR="004648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</w:t>
            </w:r>
            <w:r w:rsidR="0046480D"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” apakšpunkts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DA754A" w:rsidRDefault="000C6798" w:rsidP="005259A4">
            <w:pPr>
              <w:widowControl/>
              <w:spacing w:line="265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Grozījumi </w:t>
            </w:r>
            <w:r w:rsidR="0046480D" w:rsidRPr="00DA754A">
              <w:rPr>
                <w:rFonts w:ascii="Times New Roman" w:hAnsi="Times New Roman"/>
                <w:sz w:val="24"/>
                <w:szCs w:val="24"/>
              </w:rPr>
              <w:t>Ministru kabineta 2010.gada 8.jūnija noteikumos Nr.519 “Noteikumi par publisko iepirkumu līgumcenu robežām”</w:t>
            </w:r>
            <w:r w:rsidR="008C5D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2A0DAB" w:rsidRDefault="0046480D" w:rsidP="003F78BD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 tiesību akta vienība tiek pārņemta pilnībā</w:t>
            </w:r>
            <w:r w:rsidR="00FC58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6480D" w:rsidRPr="00DA754A" w:rsidRDefault="00DA754A" w:rsidP="005259A4">
            <w:pPr>
              <w:widowControl/>
              <w:spacing w:line="265" w:lineRule="atLeast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A754A">
              <w:rPr>
                <w:rFonts w:ascii="Times New Roman" w:hAnsi="Times New Roman"/>
                <w:sz w:val="24"/>
                <w:szCs w:val="24"/>
              </w:rPr>
              <w:t>Saskaņā ar Publisko iepirkumu likuma 71.panta pirmo daļu metu konkursu piemēro nevis no Direktīvas 2004/18/EK 67.panta 1.punktā minētajām līgumcenu robežām, bet tad, ja paredzamā līgumcena ir 28 000 </w:t>
            </w:r>
            <w:r w:rsidRPr="00DA754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DA75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AEA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6AEA" w:rsidRPr="002A0DAB" w:rsidRDefault="00496AEA" w:rsidP="00964A82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379" w:type="dxa"/>
            <w:gridSpan w:val="3"/>
            <w:tcBorders>
              <w:top w:val="nil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6AEA" w:rsidRPr="002A0DAB" w:rsidRDefault="00496AEA" w:rsidP="00964A82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2.pants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6AEA" w:rsidRPr="002A0DAB" w:rsidRDefault="00496AEA" w:rsidP="00964A82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Netiek pārņemts.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6AEA" w:rsidRPr="002A0DAB" w:rsidRDefault="00496AEA" w:rsidP="00964A82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6AEA" w:rsidRPr="00DA754A" w:rsidRDefault="00496AEA" w:rsidP="00964A82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496AEA" w:rsidRPr="002A0DAB" w:rsidTr="00496AEA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96AEA" w:rsidRPr="002A0DAB" w:rsidRDefault="00496AEA" w:rsidP="00964A82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AEA" w:rsidRPr="002A0DAB" w:rsidRDefault="00496AEA" w:rsidP="00964A82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96AEA" w:rsidRDefault="00496AEA" w:rsidP="00964A82">
            <w:pPr>
              <w:widowControl/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</w:pPr>
            <w:r w:rsidRPr="000F156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  <w:p w:rsidR="006846B6" w:rsidRPr="000F156F" w:rsidRDefault="006846B6" w:rsidP="00964A82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496AEA" w:rsidRPr="002A0DAB" w:rsidTr="00AC66DB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96AEA" w:rsidRPr="002A0DAB" w:rsidRDefault="00496AEA" w:rsidP="00244C96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9326" w:type="dxa"/>
            <w:gridSpan w:val="7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496AEA" w:rsidRPr="00DA754A" w:rsidRDefault="00496AEA" w:rsidP="00DA754A">
            <w:pPr>
              <w:widowControl/>
              <w:spacing w:line="265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6AEA" w:rsidRPr="00496AEA" w:rsidTr="00496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</w:tcPr>
          <w:p w:rsidR="00496AEA" w:rsidRPr="00496AEA" w:rsidRDefault="00496AEA" w:rsidP="00964A82">
            <w:pPr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Attiecīgā ES tiesību akta datums, numurs un nosaukums</w:t>
            </w:r>
          </w:p>
        </w:tc>
        <w:tc>
          <w:tcPr>
            <w:tcW w:w="6947" w:type="dxa"/>
            <w:gridSpan w:val="4"/>
          </w:tcPr>
          <w:p w:rsidR="00496AEA" w:rsidRPr="000C6798" w:rsidRDefault="000C6798" w:rsidP="000C6798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0C6798">
              <w:rPr>
                <w:rFonts w:ascii="Times New Roman" w:hAnsi="Times New Roman"/>
                <w:sz w:val="24"/>
              </w:rPr>
              <w:t>Eiropas Parlamenta un Padomes 2004.gada 31.marta direktīva 2004/18/EK par to, kā koordinēt būvdarbu valsts līgumu, piegādes valsts līgumu un pakalpojumu valsts līgumu slēgšanas tiesību piešķiršanas procedūru</w:t>
            </w:r>
          </w:p>
        </w:tc>
      </w:tr>
      <w:tr w:rsidR="00496AEA" w:rsidRPr="00496AEA" w:rsidTr="00496A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</w:tcPr>
          <w:p w:rsidR="00496AEA" w:rsidRPr="00496AEA" w:rsidRDefault="00496AEA" w:rsidP="00964A82">
            <w:pPr>
              <w:jc w:val="center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A</w:t>
            </w:r>
          </w:p>
        </w:tc>
        <w:tc>
          <w:tcPr>
            <w:tcW w:w="1985" w:type="dxa"/>
            <w:gridSpan w:val="2"/>
          </w:tcPr>
          <w:p w:rsidR="00496AEA" w:rsidRPr="00496AEA" w:rsidRDefault="00496AEA" w:rsidP="00964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10" w:type="dxa"/>
          </w:tcPr>
          <w:p w:rsidR="00496AEA" w:rsidRPr="00496AEA" w:rsidRDefault="00496AEA" w:rsidP="00964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552" w:type="dxa"/>
            <w:vAlign w:val="center"/>
          </w:tcPr>
          <w:p w:rsidR="00496AEA" w:rsidRPr="00496AEA" w:rsidRDefault="00496AEA" w:rsidP="00964A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884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6AEA" w:rsidRPr="00496AEA" w:rsidRDefault="00496AEA" w:rsidP="00964A82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1.-6.pants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6AEA" w:rsidRPr="00496AEA" w:rsidRDefault="00496AEA" w:rsidP="003F78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3F78BD">
              <w:rPr>
                <w:rFonts w:ascii="Times New Roman" w:hAnsi="Times New Roman"/>
                <w:sz w:val="24"/>
                <w:szCs w:val="24"/>
              </w:rPr>
              <w:t>Ieviesti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496AEA">
              <w:rPr>
                <w:rFonts w:ascii="Times New Roman" w:hAnsi="Times New Roman"/>
                <w:iCs/>
                <w:sz w:val="24"/>
                <w:szCs w:val="24"/>
              </w:rPr>
              <w:t>Publisko iepirkumu likumu</w:t>
            </w:r>
            <w:r w:rsidRPr="00496AEA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  <w:trHeight w:val="1951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6AEA" w:rsidRPr="00496AEA" w:rsidRDefault="00496AEA" w:rsidP="007E6D60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7.panta pirmā ievilkuma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a” apakšpunkts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Ministru kabineta 2010.gada 8.jūnija noteikumu Nr.519 „Noteikumi par publisko iepirkumu līgumcenu robežām” 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2.7.apakšpunkts.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Līgumcenu robeža atbilst pilnībā, ņemot vērā līgumcenu robežu grozījumus.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Pārņemts plašāk, šo līgumcenu robežu attiecinot uz visiem pasūtītājiem neatkarīgi no </w:t>
            </w:r>
            <w:proofErr w:type="gramStart"/>
            <w:r w:rsidRPr="00496AEA">
              <w:rPr>
                <w:rFonts w:ascii="Times New Roman" w:hAnsi="Times New Roman"/>
                <w:sz w:val="24"/>
                <w:szCs w:val="24"/>
              </w:rPr>
              <w:t>pasūtītāja  vai</w:t>
            </w:r>
            <w:proofErr w:type="gramEnd"/>
            <w:r w:rsidRPr="00496AEA">
              <w:rPr>
                <w:rFonts w:ascii="Times New Roman" w:hAnsi="Times New Roman"/>
                <w:sz w:val="24"/>
                <w:szCs w:val="24"/>
              </w:rPr>
              <w:t xml:space="preserve"> līguma priekšmeta veida.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7E6D60">
            <w:pPr>
              <w:rPr>
                <w:rFonts w:ascii="Times New Roman" w:eastAsia="EUAlbertina_Bold" w:hAnsi="Times New Roman"/>
                <w:sz w:val="24"/>
                <w:szCs w:val="24"/>
                <w:highlight w:val="yellow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7.panta pirmā ievilkuma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b” apakšpunkts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3F78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Netiek </w:t>
            </w:r>
            <w:r w:rsidR="003F78BD">
              <w:rPr>
                <w:rFonts w:ascii="Times New Roman" w:hAnsi="Times New Roman"/>
                <w:sz w:val="24"/>
                <w:szCs w:val="24"/>
              </w:rPr>
              <w:t>ieviests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Līgumcenu robežu diferencēšana atkarībā no pasūtītāja vai līguma priekšmeta veida netika pārņemta Publisko iepirkumu likumā, līdz ar to šāda līgumcenu robeža netiek noteikta šajos noteikumos.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7E6D60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7.panta pirmā ievilkuma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c” apakšpunkts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Ministru kabineta 2010.gada 8.jūnija noteikumu Nr.519 „Noteikumi par </w:t>
            </w:r>
            <w:r w:rsidRPr="00496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publisko iepirkumu līgumcenu robežām” 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2.7.apakšpunkts.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Līgumcenu robeža atbilst pilnībā, ņemot vērā līgumcenu robežu </w:t>
            </w:r>
            <w:r w:rsidRPr="00496AEA">
              <w:rPr>
                <w:rFonts w:ascii="Times New Roman" w:hAnsi="Times New Roman"/>
                <w:sz w:val="24"/>
                <w:szCs w:val="24"/>
              </w:rPr>
              <w:lastRenderedPageBreak/>
              <w:t>grozījumus.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7E6D60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lastRenderedPageBreak/>
              <w:t xml:space="preserve">8.panta pirmā ievilkuma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a” apakšpunkts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Ministru kabineta 2010.gada 8.jūnija noteikumu Nr.519 „Noteikumi par publisko iepirkumu līgumcenu robežām” 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2.1.apakšpunkts.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Līgumcenu robeža atbilst pilnībā, ņemot vērā līgumcenu robežu grozījumus.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7E6D60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8.panta pirmā ievilkuma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b” apakšpunkts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Ministru kabineta 2010.gada 8.jūnija noteikumu Nr.519 „Noteikumi par publisko iepirkumu līgumcenu robežām” 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2.2.apakšpunkts.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Līgumcenu robeža atbilst pilnībā, ņemot vērā līgumcenu robežu grozījumus.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964A82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8.panta otrais ievilkums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3F78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3F78BD">
              <w:rPr>
                <w:rFonts w:ascii="Times New Roman" w:hAnsi="Times New Roman"/>
                <w:sz w:val="24"/>
                <w:szCs w:val="24"/>
              </w:rPr>
              <w:t>Ieviešami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496AEA">
              <w:rPr>
                <w:rFonts w:ascii="Times New Roman" w:hAnsi="Times New Roman"/>
                <w:iCs/>
                <w:sz w:val="24"/>
                <w:szCs w:val="24"/>
              </w:rPr>
              <w:t>Publisko iepirkumu likumu</w:t>
            </w:r>
            <w:r w:rsidRPr="00496AEA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7E6D60">
            <w:pPr>
              <w:spacing w:after="60"/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9.panta 1.-4.punkts, 6.-9.punkts un 5.punkta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a” apakšpunkta pirmais, otrais ievilkums un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b” apakšpunkta pirmais, otrais ievilkums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3F78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3F78BD">
              <w:rPr>
                <w:rFonts w:ascii="Times New Roman" w:hAnsi="Times New Roman"/>
                <w:sz w:val="24"/>
                <w:szCs w:val="24"/>
              </w:rPr>
              <w:t>Ieviešami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496AEA">
              <w:rPr>
                <w:rFonts w:ascii="Times New Roman" w:hAnsi="Times New Roman"/>
                <w:iCs/>
                <w:sz w:val="24"/>
                <w:szCs w:val="24"/>
              </w:rPr>
              <w:t>Publisko iepirkumu likumu</w:t>
            </w:r>
            <w:r w:rsidRPr="00496AEA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7E6D60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9.panta 5.punkta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a” apakšpunkta trešais ievilkums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Ministru kabineta 2010.gada 8.jūnija noteikumu Nr.519 „Noteikumi par publisko iepirkumu līgumcenu robežām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” 2.3</w:t>
            </w:r>
            <w:r w:rsidR="005259A4">
              <w:rPr>
                <w:rFonts w:ascii="Times New Roman" w:hAnsi="Times New Roman"/>
                <w:bCs/>
                <w:sz w:val="24"/>
                <w:szCs w:val="24"/>
              </w:rPr>
              <w:t>.apakšpunkts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Līgumcenu robeža atbilst pilnībā.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7E6D60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9.panta 5.punkta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b” apakšpunkta trešais ievilkums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Ministru kabineta 2010.gada 8.jūnija noteikumu Nr.519 „Noteikumi par </w:t>
            </w:r>
            <w:r w:rsidRPr="00496AEA">
              <w:rPr>
                <w:rFonts w:ascii="Times New Roman" w:hAnsi="Times New Roman"/>
                <w:sz w:val="24"/>
                <w:szCs w:val="24"/>
              </w:rPr>
              <w:lastRenderedPageBreak/>
              <w:t>publisko iepirkumu līgumcenu robežām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” 2.4</w:t>
            </w:r>
            <w:r w:rsidR="005259A4">
              <w:rPr>
                <w:rFonts w:ascii="Times New Roman" w:hAnsi="Times New Roman"/>
                <w:bCs/>
                <w:sz w:val="24"/>
                <w:szCs w:val="24"/>
              </w:rPr>
              <w:t>.apakšpunkts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lastRenderedPageBreak/>
              <w:t>Līgumcenu robeža atbilst pilnībā.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964A82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lastRenderedPageBreak/>
              <w:t>10.-34.pants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3F78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3F78BD">
              <w:rPr>
                <w:rFonts w:ascii="Times New Roman" w:hAnsi="Times New Roman"/>
                <w:sz w:val="24"/>
                <w:szCs w:val="24"/>
              </w:rPr>
              <w:t>Ieviešami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496AEA">
              <w:rPr>
                <w:rFonts w:ascii="Times New Roman" w:hAnsi="Times New Roman"/>
                <w:iCs/>
                <w:sz w:val="24"/>
                <w:szCs w:val="24"/>
              </w:rPr>
              <w:t>Publisko iepirkumu likumu</w:t>
            </w:r>
            <w:r w:rsidRPr="00496AEA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7E6D60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35.panta 1.punkta pirmā ievilkuma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a”,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b” apakšpunkts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Ministru kabineta 2010.gada 8.jūnija noteikumu Nr.519 „Noteikumi par publisko iepirkumu līgumcenu robežām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” 2.5</w:t>
            </w:r>
            <w:r w:rsidR="005259A4">
              <w:rPr>
                <w:rFonts w:ascii="Times New Roman" w:hAnsi="Times New Roman"/>
                <w:bCs/>
                <w:sz w:val="24"/>
                <w:szCs w:val="24"/>
              </w:rPr>
              <w:t>.apakšpunkts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Līgumcenu robeža atbilst pilnībā.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7E6D60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 xml:space="preserve">35.panta 1.punkta pirmā ievilkuma </w:t>
            </w:r>
            <w:r w:rsidR="007E6D60">
              <w:rPr>
                <w:rFonts w:ascii="Times New Roman" w:eastAsia="EUAlbertina_Bold" w:hAnsi="Times New Roman"/>
                <w:sz w:val="24"/>
                <w:szCs w:val="24"/>
              </w:rPr>
              <w:t>“</w:t>
            </w: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c” apakšpunkts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Ministru kabineta 2010.gada 8.jūnija noteikumu Nr.519 „Noteikumi par publisko iepirkumu līgumcenu robežām</w:t>
            </w:r>
            <w:r w:rsidRPr="00496AEA">
              <w:rPr>
                <w:rFonts w:ascii="Times New Roman" w:hAnsi="Times New Roman"/>
                <w:bCs/>
                <w:sz w:val="24"/>
                <w:szCs w:val="24"/>
              </w:rPr>
              <w:t>” 2.6.apakšpunkts.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Līgumcenu robeža atbilst pilnībā, ņemot vērā līgumcenu robežu grozījumus.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964A82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35.panta 1.punkta otrais-sestais ievilkums, 2.-4.punkts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3F78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3F78BD">
              <w:rPr>
                <w:rFonts w:ascii="Times New Roman" w:hAnsi="Times New Roman"/>
                <w:sz w:val="24"/>
                <w:szCs w:val="24"/>
              </w:rPr>
              <w:t>Ieviešami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496AEA">
              <w:rPr>
                <w:rFonts w:ascii="Times New Roman" w:hAnsi="Times New Roman"/>
                <w:iCs/>
                <w:sz w:val="24"/>
                <w:szCs w:val="24"/>
              </w:rPr>
              <w:t>Publisko iepirkumu likumu</w:t>
            </w:r>
            <w:r w:rsidRPr="00496AEA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964A82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36.-66.pants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3F78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3F78BD">
              <w:rPr>
                <w:rFonts w:ascii="Times New Roman" w:hAnsi="Times New Roman"/>
                <w:sz w:val="24"/>
                <w:szCs w:val="24"/>
              </w:rPr>
              <w:t>Ieviešami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496AEA">
              <w:rPr>
                <w:rFonts w:ascii="Times New Roman" w:hAnsi="Times New Roman"/>
                <w:iCs/>
                <w:sz w:val="24"/>
                <w:szCs w:val="24"/>
              </w:rPr>
              <w:t>Publisko iepirkumu likumu</w:t>
            </w:r>
            <w:r w:rsidRPr="00496AEA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964A82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66.pants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3F78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Netiek </w:t>
            </w:r>
            <w:r w:rsidR="003F78BD">
              <w:rPr>
                <w:rFonts w:ascii="Times New Roman" w:hAnsi="Times New Roman"/>
                <w:sz w:val="24"/>
                <w:szCs w:val="24"/>
              </w:rPr>
              <w:t>ieviests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Saskaņā ar Publisko iepirkumu likuma 71.panta pirmo daļu metu konkursu piemēro nevis no Direktīvas 2004/18/EK 67.panta 1.punktā minētajām līgumcenu robežām, bet tad, ja paredzamā līgumcena ir </w:t>
            </w:r>
            <w:r w:rsidR="005259A4">
              <w:rPr>
                <w:rFonts w:ascii="Times New Roman" w:hAnsi="Times New Roman"/>
                <w:sz w:val="24"/>
                <w:szCs w:val="24"/>
              </w:rPr>
              <w:t>2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>8 000 </w:t>
            </w:r>
            <w:r w:rsidRPr="00496AEA">
              <w:rPr>
                <w:rFonts w:ascii="Times New Roman" w:hAnsi="Times New Roman"/>
                <w:i/>
                <w:sz w:val="24"/>
                <w:szCs w:val="24"/>
              </w:rPr>
              <w:t>euro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964A82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t>67.-83.pants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3F78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3F78BD">
              <w:rPr>
                <w:rFonts w:ascii="Times New Roman" w:hAnsi="Times New Roman"/>
                <w:sz w:val="24"/>
                <w:szCs w:val="24"/>
              </w:rPr>
              <w:lastRenderedPageBreak/>
              <w:t>Ieviešami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496AEA">
              <w:rPr>
                <w:rFonts w:ascii="Times New Roman" w:hAnsi="Times New Roman"/>
                <w:iCs/>
                <w:sz w:val="24"/>
                <w:szCs w:val="24"/>
              </w:rPr>
              <w:t>Publisko iepirkumu likumu</w:t>
            </w:r>
            <w:r w:rsidRPr="00496AEA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496AEA" w:rsidRPr="00496AEA" w:rsidTr="00496A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left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wBefore w:w="8" w:type="dxa"/>
        </w:trPr>
        <w:tc>
          <w:tcPr>
            <w:tcW w:w="240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964A82">
            <w:pPr>
              <w:rPr>
                <w:rFonts w:ascii="Times New Roman" w:eastAsia="EUAlbertina_Bold" w:hAnsi="Times New Roman"/>
                <w:sz w:val="24"/>
                <w:szCs w:val="24"/>
              </w:rPr>
            </w:pPr>
            <w:r w:rsidRPr="00496AEA">
              <w:rPr>
                <w:rFonts w:ascii="Times New Roman" w:eastAsia="EUAlbertina_Bold" w:hAnsi="Times New Roman"/>
                <w:sz w:val="24"/>
                <w:szCs w:val="24"/>
              </w:rPr>
              <w:lastRenderedPageBreak/>
              <w:t>1.-12.pielikums</w:t>
            </w:r>
          </w:p>
        </w:tc>
        <w:tc>
          <w:tcPr>
            <w:tcW w:w="19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3F78BD">
            <w:pPr>
              <w:spacing w:after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 xml:space="preserve">Nav ieviešams. </w:t>
            </w:r>
            <w:r w:rsidR="003F78BD">
              <w:rPr>
                <w:rFonts w:ascii="Times New Roman" w:hAnsi="Times New Roman"/>
                <w:sz w:val="24"/>
                <w:szCs w:val="24"/>
              </w:rPr>
              <w:t>Ieviešami</w:t>
            </w:r>
            <w:r w:rsidRPr="00496AEA">
              <w:rPr>
                <w:rFonts w:ascii="Times New Roman" w:hAnsi="Times New Roman"/>
                <w:sz w:val="24"/>
                <w:szCs w:val="24"/>
              </w:rPr>
              <w:t xml:space="preserve"> ar </w:t>
            </w:r>
            <w:r w:rsidRPr="00496AEA">
              <w:rPr>
                <w:rFonts w:ascii="Times New Roman" w:hAnsi="Times New Roman"/>
                <w:iCs/>
                <w:sz w:val="24"/>
                <w:szCs w:val="24"/>
              </w:rPr>
              <w:t>Publisko iepirkumu likumu</w:t>
            </w:r>
            <w:r w:rsidRPr="00496AEA">
              <w:rPr>
                <w:rFonts w:ascii="Times New Roman" w:hAnsi="Times New Roman"/>
                <w:sz w:val="24"/>
                <w:szCs w:val="24"/>
                <w:lang w:eastAsia="lo-LA" w:bidi="lo-LA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AEA" w:rsidRPr="00496AEA" w:rsidRDefault="00496AEA" w:rsidP="005259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AEA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C927EF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927EF" w:rsidRPr="002A0DAB" w:rsidRDefault="00C927EF" w:rsidP="00A10537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.</w:t>
            </w:r>
          </w:p>
        </w:tc>
        <w:tc>
          <w:tcPr>
            <w:tcW w:w="2379" w:type="dxa"/>
            <w:gridSpan w:val="3"/>
            <w:tcBorders>
              <w:top w:val="nil"/>
              <w:left w:val="outset" w:sz="8" w:space="0" w:color="414142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7EF" w:rsidRPr="002A0DAB" w:rsidRDefault="00C927EF" w:rsidP="00A10537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2.pants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7EF" w:rsidRPr="002A0DAB" w:rsidRDefault="00C927EF" w:rsidP="003F78BD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 xml:space="preserve">Netiek </w:t>
            </w:r>
            <w:r w:rsidR="003F78BD">
              <w:rPr>
                <w:rFonts w:ascii="Times New Roman" w:hAnsi="Times New Roman"/>
                <w:sz w:val="24"/>
                <w:szCs w:val="24"/>
              </w:rPr>
              <w:t>ieviests</w:t>
            </w:r>
            <w:r w:rsidRPr="002A0D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7EF" w:rsidRPr="002A0DAB" w:rsidRDefault="00C927EF" w:rsidP="00A10537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927EF" w:rsidRPr="00DA754A" w:rsidRDefault="00C927EF" w:rsidP="00A10537">
            <w:pPr>
              <w:widowControl/>
              <w:spacing w:line="265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C927EF" w:rsidRPr="002A0DAB" w:rsidTr="005259A4">
        <w:trPr>
          <w:gridBefore w:val="1"/>
          <w:wBefore w:w="8" w:type="dxa"/>
        </w:trPr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EF" w:rsidRPr="002A0DAB" w:rsidRDefault="00C927EF" w:rsidP="00A10537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27EF" w:rsidRPr="002A0DAB" w:rsidRDefault="00C927EF" w:rsidP="00A10537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947" w:type="dxa"/>
            <w:gridSpan w:val="4"/>
            <w:tcBorders>
              <w:top w:val="single" w:sz="4" w:space="0" w:color="auto"/>
              <w:left w:val="nil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27EF" w:rsidRPr="000F156F" w:rsidRDefault="00C927EF" w:rsidP="00A10537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0F156F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Nav</w:t>
            </w:r>
          </w:p>
        </w:tc>
      </w:tr>
      <w:tr w:rsidR="00C927EF" w:rsidTr="00496AEA"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927EF" w:rsidRDefault="00C927EF">
            <w:pPr>
              <w:widowControl/>
              <w:spacing w:line="253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9334" w:type="dxa"/>
            <w:gridSpan w:val="8"/>
            <w:tcBorders>
              <w:top w:val="nil"/>
              <w:left w:val="outset" w:sz="8" w:space="0" w:color="414142"/>
              <w:bottom w:val="outset" w:sz="8" w:space="0" w:color="414142"/>
              <w:right w:val="outset" w:sz="8" w:space="0" w:color="414142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6846B6" w:rsidRDefault="006846B6" w:rsidP="00C927EF">
            <w:pPr>
              <w:widowControl/>
              <w:spacing w:line="265" w:lineRule="atLeast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244C96" w:rsidRPr="002A0DAB" w:rsidTr="00496AEA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</w:trPr>
        <w:tc>
          <w:tcPr>
            <w:tcW w:w="9356" w:type="dxa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6846B6" w:rsidRDefault="00244C96" w:rsidP="006846B6">
            <w:pPr>
              <w:widowControl/>
              <w:spacing w:before="100" w:beforeAutospacing="1" w:after="0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2.tabula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br/>
              <w:t>Pasākumi šo saistību izpildei</w:t>
            </w:r>
          </w:p>
          <w:p w:rsidR="006846B6" w:rsidRPr="002A0DAB" w:rsidRDefault="006846B6" w:rsidP="006846B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F816B2" w:rsidRPr="002A0DAB" w:rsidTr="00496AEA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8" w:type="dxa"/>
        </w:trPr>
        <w:tc>
          <w:tcPr>
            <w:tcW w:w="9356" w:type="dxa"/>
            <w:gridSpan w:val="9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:rsidR="00F816B2" w:rsidRDefault="00F816B2" w:rsidP="006846B6">
            <w:pPr>
              <w:widowControl/>
              <w:spacing w:before="100" w:beforeAutospacing="1" w:after="0" w:line="293" w:lineRule="atLeast"/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iCs/>
                <w:color w:val="000000" w:themeColor="text1"/>
                <w:sz w:val="24"/>
                <w:szCs w:val="24"/>
                <w:lang w:val="lv-LV" w:eastAsia="lv-LV"/>
              </w:rPr>
              <w:t>Projekts šo jomu neskar.</w:t>
            </w:r>
          </w:p>
          <w:p w:rsidR="006846B6" w:rsidRPr="002A0DAB" w:rsidRDefault="006846B6" w:rsidP="00244C96">
            <w:pPr>
              <w:widowControl/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</w:tbl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5533E2" w:rsidRPr="002A0DAB" w:rsidRDefault="005533E2" w:rsidP="006B2EB6">
      <w:pPr>
        <w:widowControl/>
        <w:spacing w:after="0" w:line="240" w:lineRule="auto"/>
        <w:rPr>
          <w:rFonts w:ascii="Times New Roman" w:eastAsia="Times New Roman" w:hAnsi="Times New Roman"/>
          <w:vanish/>
          <w:color w:val="000000" w:themeColor="text1"/>
          <w:sz w:val="24"/>
          <w:szCs w:val="24"/>
          <w:lang w:val="lv-LV" w:eastAsia="lv-LV"/>
        </w:rPr>
      </w:pPr>
    </w:p>
    <w:p w:rsidR="006B2EB6" w:rsidRPr="002A0DAB" w:rsidRDefault="006B2E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94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2"/>
        <w:gridCol w:w="2828"/>
        <w:gridCol w:w="6129"/>
      </w:tblGrid>
      <w:tr w:rsidR="00244C96" w:rsidRPr="002A0DAB" w:rsidTr="0046480D">
        <w:trPr>
          <w:trHeight w:val="392"/>
        </w:trPr>
        <w:tc>
          <w:tcPr>
            <w:tcW w:w="9072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lv-LV" w:eastAsia="lv-LV"/>
              </w:rPr>
              <w:t>VI. Sabiedrības līdzdalība un komunikācijas aktivitātes</w:t>
            </w:r>
          </w:p>
        </w:tc>
      </w:tr>
      <w:tr w:rsidR="00244C96" w:rsidRPr="002A0DAB" w:rsidTr="00244C96">
        <w:trPr>
          <w:trHeight w:val="540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1.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Plānotās sabiedrības līdzdalības un komunikācijas aktivitātes saistībā ar projektu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46B6" w:rsidRPr="006846B6" w:rsidRDefault="002A0DAB" w:rsidP="00433404">
            <w:pPr>
              <w:widowControl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Sabiedrības līdzdalība projekta izstrādē nav nepieciešama, jo projekts nemaina pastāvošo tiesisko regulējumu pēc būtības. Līgumcenu robežvērtības nosaka Eiropas Savienība, līdz ar to projekts paredz tehniska rakstura precizējumus.</w:t>
            </w:r>
          </w:p>
        </w:tc>
      </w:tr>
      <w:tr w:rsidR="00244C96" w:rsidRPr="002A0DAB" w:rsidTr="00244C96">
        <w:trPr>
          <w:trHeight w:val="2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2.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Sabiedrības līdzdalība projekta izstrādē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Default="002A0DAB" w:rsidP="00244C9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6846B6" w:rsidRPr="002A0DAB" w:rsidRDefault="006846B6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244C96" w:rsidRPr="002A0DAB" w:rsidTr="00244C96">
        <w:trPr>
          <w:trHeight w:val="46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3.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Sabiedrības līdzdalības rezultāti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Default="002A0DAB" w:rsidP="00244C96">
            <w:pPr>
              <w:widowControl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  <w:p w:rsidR="006846B6" w:rsidRPr="002A0DAB" w:rsidRDefault="006846B6" w:rsidP="00244C96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</w:tc>
      </w:tr>
      <w:tr w:rsidR="006B2EB6" w:rsidRPr="002A0DAB" w:rsidTr="00244C96">
        <w:trPr>
          <w:trHeight w:val="465"/>
        </w:trPr>
        <w:tc>
          <w:tcPr>
            <w:tcW w:w="47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4.</w:t>
            </w:r>
          </w:p>
        </w:tc>
        <w:tc>
          <w:tcPr>
            <w:tcW w:w="28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B2E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Cita informācija</w:t>
            </w:r>
          </w:p>
        </w:tc>
        <w:tc>
          <w:tcPr>
            <w:tcW w:w="612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46B6" w:rsidRPr="002A0DAB" w:rsidRDefault="006B2EB6" w:rsidP="00244C96">
            <w:pPr>
              <w:widowControl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6846B6" w:rsidRDefault="006846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846B6" w:rsidRPr="002A0DAB" w:rsidRDefault="006846B6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35"/>
        <w:gridCol w:w="5603"/>
      </w:tblGrid>
      <w:tr w:rsidR="00E266F9" w:rsidRPr="002A0DAB" w:rsidTr="007B582E">
        <w:trPr>
          <w:trHeight w:val="375"/>
        </w:trPr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E266F9" w:rsidRPr="002A0DAB" w:rsidRDefault="00E266F9" w:rsidP="007B582E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VII. Tiesību akta projekta izpildes nodrošināšana un tās ietekme uz institūcijām</w:t>
            </w:r>
          </w:p>
        </w:tc>
      </w:tr>
      <w:tr w:rsidR="00E266F9" w:rsidRPr="002A0DAB" w:rsidTr="007B582E">
        <w:trPr>
          <w:trHeight w:val="42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Projekta izpildē iesaistītās institūcijas</w:t>
            </w:r>
          </w:p>
          <w:p w:rsidR="006846B6" w:rsidRPr="002A0DAB" w:rsidRDefault="006846B6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2A0DAB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Finanšu ministrija.</w:t>
            </w:r>
          </w:p>
        </w:tc>
      </w:tr>
      <w:tr w:rsidR="00E266F9" w:rsidRPr="002A0DAB" w:rsidTr="007B582E">
        <w:trPr>
          <w:trHeight w:val="450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Projekta izpildes ietekme uz pārvaldes funkcijām un institucionālo struktūru. </w:t>
            </w:r>
          </w:p>
          <w:p w:rsidR="00E266F9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Jaunu institūciju izveide, esošu institūciju likvidācija vai reorganizācija, to ietekme uz </w:t>
            </w: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institūcijas cilvēkresursiem</w:t>
            </w:r>
          </w:p>
          <w:p w:rsidR="006846B6" w:rsidRPr="002A0DAB" w:rsidRDefault="006846B6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2A0DAB" w:rsidP="007B58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hAnsi="Times New Roman"/>
                <w:sz w:val="24"/>
                <w:szCs w:val="24"/>
              </w:rPr>
              <w:lastRenderedPageBreak/>
              <w:t>Projekts šo jomu neskar.</w:t>
            </w:r>
          </w:p>
        </w:tc>
      </w:tr>
      <w:tr w:rsidR="00E266F9" w:rsidRPr="002A0DAB" w:rsidTr="007B582E">
        <w:trPr>
          <w:trHeight w:val="138"/>
        </w:trPr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E266F9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lastRenderedPageBreak/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846B6" w:rsidRPr="002A0DAB" w:rsidRDefault="00E266F9" w:rsidP="007B58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r w:rsidRPr="002A0DAB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Nav.</w:t>
            </w:r>
          </w:p>
        </w:tc>
      </w:tr>
    </w:tbl>
    <w:p w:rsidR="00E266F9" w:rsidRPr="002A0DAB" w:rsidRDefault="00E266F9" w:rsidP="006B2EB6">
      <w:pPr>
        <w:widowControl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2A0DAB" w:rsidRPr="002A0DAB" w:rsidRDefault="002A0DAB" w:rsidP="002A0DAB">
      <w:pPr>
        <w:rPr>
          <w:rFonts w:ascii="Times New Roman" w:hAnsi="Times New Roman"/>
          <w:sz w:val="24"/>
          <w:szCs w:val="24"/>
        </w:rPr>
      </w:pPr>
      <w:r w:rsidRPr="002A0DAB">
        <w:rPr>
          <w:rFonts w:ascii="Times New Roman" w:hAnsi="Times New Roman"/>
          <w:sz w:val="24"/>
          <w:szCs w:val="24"/>
        </w:rPr>
        <w:t xml:space="preserve">Anotācijas III </w:t>
      </w:r>
      <w:proofErr w:type="gramStart"/>
      <w:r w:rsidRPr="002A0DAB">
        <w:rPr>
          <w:rFonts w:ascii="Times New Roman" w:hAnsi="Times New Roman"/>
          <w:sz w:val="24"/>
          <w:szCs w:val="24"/>
        </w:rPr>
        <w:t>un</w:t>
      </w:r>
      <w:proofErr w:type="gramEnd"/>
      <w:r w:rsidRPr="002A0DAB">
        <w:rPr>
          <w:rFonts w:ascii="Times New Roman" w:hAnsi="Times New Roman"/>
          <w:sz w:val="24"/>
          <w:szCs w:val="24"/>
        </w:rPr>
        <w:t xml:space="preserve"> IV sadaļa - projekts šīs jomas neskar.</w:t>
      </w:r>
    </w:p>
    <w:p w:rsidR="00EB3F20" w:rsidRDefault="00EB3F20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A0DAB" w:rsidRPr="002A0DAB" w:rsidRDefault="002A0DAB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266F9" w:rsidRPr="002A0DAB" w:rsidRDefault="00E266F9" w:rsidP="00E266F9">
      <w:pPr>
        <w:pStyle w:val="NoSpacing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A0DAB">
        <w:rPr>
          <w:rFonts w:ascii="Times New Roman" w:hAnsi="Times New Roman"/>
          <w:color w:val="000000" w:themeColor="text1"/>
          <w:sz w:val="24"/>
          <w:szCs w:val="24"/>
        </w:rPr>
        <w:t>Finanšu ministrs</w:t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A0DAB">
        <w:rPr>
          <w:rFonts w:ascii="Times New Roman" w:hAnsi="Times New Roman"/>
          <w:color w:val="000000" w:themeColor="text1"/>
          <w:sz w:val="24"/>
          <w:szCs w:val="24"/>
        </w:rPr>
        <w:tab/>
        <w:t>J.Reirs</w:t>
      </w:r>
    </w:p>
    <w:p w:rsidR="00E266F9" w:rsidRDefault="00E266F9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846B6" w:rsidRDefault="006846B6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846B6" w:rsidRDefault="006846B6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846B6" w:rsidRDefault="006846B6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6846B6" w:rsidRPr="002A0DAB" w:rsidRDefault="006846B6" w:rsidP="00E266F9">
      <w:pPr>
        <w:rPr>
          <w:rFonts w:ascii="Times New Roman" w:eastAsia="Times New Roman" w:hAnsi="Times New Roman"/>
          <w:color w:val="000000" w:themeColor="text1"/>
          <w:sz w:val="24"/>
          <w:szCs w:val="24"/>
          <w:lang w:val="lv-LV" w:eastAsia="lv-LV"/>
        </w:rPr>
      </w:pPr>
    </w:p>
    <w:p w:rsidR="00E266F9" w:rsidRPr="002A0DAB" w:rsidRDefault="003F78BD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07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.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01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.201</w:t>
      </w:r>
      <w:r w:rsidR="007610F9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6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 xml:space="preserve">. </w:t>
      </w:r>
      <w:r w:rsidR="002A0DAB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1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0</w:t>
      </w:r>
      <w:r w:rsidR="00E266F9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:</w:t>
      </w: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32</w:t>
      </w:r>
    </w:p>
    <w:p w:rsidR="00E266F9" w:rsidRPr="002A0DAB" w:rsidRDefault="0046480D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r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1</w:t>
      </w:r>
      <w:r w:rsidR="00346DE0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8</w:t>
      </w:r>
      <w:r w:rsidR="003F78BD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4</w:t>
      </w:r>
      <w:r w:rsidR="005623DF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2</w:t>
      </w:r>
    </w:p>
    <w:p w:rsidR="00E266F9" w:rsidRPr="002A0DAB" w:rsidRDefault="002A0DAB" w:rsidP="00E266F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</w:pPr>
      <w:bookmarkStart w:id="3" w:name="_GoBack"/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E.Matulis</w:t>
      </w:r>
    </w:p>
    <w:p w:rsidR="006B2EB6" w:rsidRPr="002A0DAB" w:rsidRDefault="00E266F9" w:rsidP="000E1EC8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lv-LV"/>
        </w:rPr>
      </w:pP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67095</w:t>
      </w:r>
      <w:r w:rsidR="00CB6F61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457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 xml:space="preserve">, </w:t>
      </w:r>
      <w:r w:rsidR="002A0DAB"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edgars.matulis</w:t>
      </w:r>
      <w:r w:rsidRPr="002A0DAB">
        <w:rPr>
          <w:rFonts w:ascii="Times New Roman" w:eastAsia="Times New Roman" w:hAnsi="Times New Roman"/>
          <w:color w:val="000000" w:themeColor="text1"/>
          <w:sz w:val="20"/>
          <w:szCs w:val="24"/>
          <w:lang w:val="lv-LV" w:eastAsia="lv-LV"/>
        </w:rPr>
        <w:t>@fm.gov.lv</w:t>
      </w:r>
      <w:bookmarkEnd w:id="3"/>
    </w:p>
    <w:sectPr w:rsidR="006B2EB6" w:rsidRPr="002A0DAB" w:rsidSect="00E266F9">
      <w:headerReference w:type="default" r:id="rId10"/>
      <w:footerReference w:type="default" r:id="rId11"/>
      <w:footerReference w:type="first" r:id="rId12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37" w:rsidRDefault="00E70737" w:rsidP="00E266F9">
      <w:pPr>
        <w:spacing w:after="0" w:line="240" w:lineRule="auto"/>
      </w:pPr>
      <w:r>
        <w:separator/>
      </w:r>
    </w:p>
  </w:endnote>
  <w:endnote w:type="continuationSeparator" w:id="0">
    <w:p w:rsidR="00E70737" w:rsidRDefault="00E70737" w:rsidP="00E2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_Bold">
    <w:altName w:val="Times New Roman"/>
    <w:charset w:val="00"/>
    <w:family w:val="roman"/>
    <w:pitch w:val="default"/>
    <w:sig w:usb0="00000007" w:usb1="00000000" w:usb2="00000000" w:usb3="00000000" w:csb0="0000008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F7" w:rsidRPr="002A0DAB" w:rsidRDefault="001832F7" w:rsidP="00557BCE">
    <w:pPr>
      <w:pStyle w:val="Footer"/>
      <w:jc w:val="both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FMAnot_161</w:t>
    </w:r>
    <w:r w:rsidR="002A0DAB" w:rsidRPr="002A0DAB">
      <w:rPr>
        <w:rFonts w:ascii="Times New Roman" w:hAnsi="Times New Roman"/>
        <w:sz w:val="20"/>
        <w:szCs w:val="20"/>
      </w:rPr>
      <w:t>2</w:t>
    </w:r>
    <w:r w:rsidRPr="002A0DAB">
      <w:rPr>
        <w:rFonts w:ascii="Times New Roman" w:hAnsi="Times New Roman"/>
        <w:sz w:val="20"/>
        <w:szCs w:val="20"/>
      </w:rPr>
      <w:t>15_</w:t>
    </w:r>
    <w:r w:rsidR="00C27032">
      <w:rPr>
        <w:rFonts w:ascii="Times New Roman" w:hAnsi="Times New Roman"/>
        <w:sz w:val="20"/>
        <w:szCs w:val="20"/>
      </w:rPr>
      <w:t>PIL;</w:t>
    </w:r>
    <w:r w:rsidRPr="002A0DAB">
      <w:rPr>
        <w:rFonts w:ascii="Times New Roman" w:hAnsi="Times New Roman"/>
        <w:sz w:val="20"/>
        <w:szCs w:val="20"/>
      </w:rPr>
      <w:t xml:space="preserve"> </w:t>
    </w:r>
    <w:r w:rsidR="002A0DAB" w:rsidRPr="002A0DAB">
      <w:rPr>
        <w:rFonts w:ascii="Times New Roman" w:hAnsi="Times New Roman"/>
        <w:color w:val="000000" w:themeColor="text1"/>
        <w:sz w:val="20"/>
        <w:szCs w:val="20"/>
      </w:rPr>
      <w:t xml:space="preserve">Noteikumu </w:t>
    </w:r>
    <w:r w:rsidR="002A0DAB" w:rsidRPr="0046480D">
      <w:rPr>
        <w:rFonts w:ascii="Times New Roman" w:hAnsi="Times New Roman"/>
        <w:color w:val="000000" w:themeColor="text1"/>
        <w:sz w:val="20"/>
        <w:szCs w:val="20"/>
      </w:rPr>
      <w:t>projekts</w:t>
    </w:r>
    <w:r w:rsidR="000E1EC8">
      <w:rPr>
        <w:rFonts w:ascii="Times New Roman" w:hAnsi="Times New Roman"/>
        <w:color w:val="000000" w:themeColor="text1"/>
        <w:sz w:val="20"/>
        <w:szCs w:val="20"/>
      </w:rPr>
      <w:t xml:space="preserve"> “</w:t>
    </w:r>
    <w:r w:rsidR="0046480D" w:rsidRPr="0046480D">
      <w:rPr>
        <w:rFonts w:ascii="Times New Roman" w:hAnsi="Times New Roman"/>
        <w:sz w:val="20"/>
        <w:szCs w:val="20"/>
      </w:rPr>
      <w:t>Noteikumi par publisko iepirkumu līgumcenu robežām</w:t>
    </w:r>
    <w:r w:rsidRPr="0046480D">
      <w:rPr>
        <w:rFonts w:ascii="Times New Roman" w:hAnsi="Times New Roman"/>
        <w:color w:val="000000" w:themeColor="text1"/>
        <w:sz w:val="20"/>
        <w:szCs w:val="20"/>
      </w:rPr>
      <w:t xml:space="preserve">” </w:t>
    </w:r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sākotnējās ietekmes novērtējuma ziņojums (anotācija</w:t>
    </w:r>
    <w:r w:rsidRPr="002A0DAB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F7" w:rsidRPr="002A0DAB" w:rsidRDefault="002A0DAB" w:rsidP="00557BCE">
    <w:pPr>
      <w:pStyle w:val="Footer"/>
      <w:jc w:val="both"/>
      <w:rPr>
        <w:rFonts w:ascii="Times New Roman" w:hAnsi="Times New Roman"/>
        <w:sz w:val="20"/>
        <w:szCs w:val="20"/>
      </w:rPr>
    </w:pPr>
    <w:r w:rsidRPr="002A0DAB">
      <w:rPr>
        <w:rFonts w:ascii="Times New Roman" w:hAnsi="Times New Roman"/>
        <w:sz w:val="20"/>
        <w:szCs w:val="20"/>
      </w:rPr>
      <w:t>FMAnot_161215_</w:t>
    </w:r>
    <w:r w:rsidR="00C27032">
      <w:rPr>
        <w:rFonts w:ascii="Times New Roman" w:hAnsi="Times New Roman"/>
        <w:sz w:val="20"/>
        <w:szCs w:val="20"/>
      </w:rPr>
      <w:t>PIL</w:t>
    </w:r>
    <w:r w:rsidRPr="002A0DAB">
      <w:rPr>
        <w:rFonts w:ascii="Times New Roman" w:hAnsi="Times New Roman"/>
        <w:sz w:val="20"/>
        <w:szCs w:val="20"/>
      </w:rPr>
      <w:t xml:space="preserve">; </w:t>
    </w:r>
    <w:r w:rsidR="000E1EC8">
      <w:rPr>
        <w:rFonts w:ascii="Times New Roman" w:hAnsi="Times New Roman"/>
        <w:color w:val="000000" w:themeColor="text1"/>
        <w:sz w:val="20"/>
        <w:szCs w:val="20"/>
      </w:rPr>
      <w:t>Noteikumu projekts “</w:t>
    </w:r>
    <w:r w:rsidR="0046480D" w:rsidRPr="0046480D">
      <w:rPr>
        <w:rFonts w:ascii="Times New Roman" w:hAnsi="Times New Roman"/>
        <w:sz w:val="20"/>
        <w:szCs w:val="20"/>
      </w:rPr>
      <w:t>Noteikumi par publisko iepirkumu līgumcenu robežām</w:t>
    </w:r>
    <w:r w:rsidRPr="0046480D">
      <w:rPr>
        <w:rFonts w:ascii="Times New Roman" w:hAnsi="Times New Roman"/>
        <w:color w:val="000000" w:themeColor="text1"/>
        <w:sz w:val="20"/>
        <w:szCs w:val="20"/>
      </w:rPr>
      <w:t xml:space="preserve">” </w:t>
    </w:r>
    <w:r w:rsidRPr="0046480D">
      <w:rPr>
        <w:rFonts w:ascii="Times New Roman" w:eastAsia="Times New Roman" w:hAnsi="Times New Roman"/>
        <w:bCs/>
        <w:color w:val="000000" w:themeColor="text1"/>
        <w:sz w:val="20"/>
        <w:szCs w:val="20"/>
        <w:lang w:eastAsia="lv-LV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37" w:rsidRDefault="00E70737" w:rsidP="00E266F9">
      <w:pPr>
        <w:spacing w:after="0" w:line="240" w:lineRule="auto"/>
      </w:pPr>
      <w:r>
        <w:separator/>
      </w:r>
    </w:p>
  </w:footnote>
  <w:footnote w:type="continuationSeparator" w:id="0">
    <w:p w:rsidR="00E70737" w:rsidRDefault="00E70737" w:rsidP="00E2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02473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832F7" w:rsidRDefault="001832F7">
        <w:pPr>
          <w:pStyle w:val="Header"/>
          <w:jc w:val="center"/>
        </w:pPr>
        <w:r w:rsidRPr="00E266F9">
          <w:rPr>
            <w:rFonts w:ascii="Times New Roman" w:hAnsi="Times New Roman"/>
            <w:sz w:val="24"/>
            <w:szCs w:val="24"/>
          </w:rPr>
          <w:fldChar w:fldCharType="begin"/>
        </w:r>
        <w:r w:rsidRPr="00E266F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266F9">
          <w:rPr>
            <w:rFonts w:ascii="Times New Roman" w:hAnsi="Times New Roman"/>
            <w:sz w:val="24"/>
            <w:szCs w:val="24"/>
          </w:rPr>
          <w:fldChar w:fldCharType="separate"/>
        </w:r>
        <w:r w:rsidR="009A3C16">
          <w:rPr>
            <w:rFonts w:ascii="Times New Roman" w:hAnsi="Times New Roman"/>
            <w:noProof/>
            <w:sz w:val="24"/>
            <w:szCs w:val="24"/>
          </w:rPr>
          <w:t>9</w:t>
        </w:r>
        <w:r w:rsidRPr="00E266F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832F7" w:rsidRDefault="00183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B63"/>
    <w:multiLevelType w:val="hybridMultilevel"/>
    <w:tmpl w:val="84CAC79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7A9E6B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E1517"/>
    <w:multiLevelType w:val="hybridMultilevel"/>
    <w:tmpl w:val="F7B09F2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7495"/>
    <w:multiLevelType w:val="hybridMultilevel"/>
    <w:tmpl w:val="90EEA5F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A6A"/>
    <w:multiLevelType w:val="hybridMultilevel"/>
    <w:tmpl w:val="908A7956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15593"/>
    <w:multiLevelType w:val="hybridMultilevel"/>
    <w:tmpl w:val="50C860E6"/>
    <w:lvl w:ilvl="0" w:tplc="CC9616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168DD"/>
    <w:multiLevelType w:val="hybridMultilevel"/>
    <w:tmpl w:val="AD32E3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449B7"/>
    <w:multiLevelType w:val="hybridMultilevel"/>
    <w:tmpl w:val="7C6CB5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001D7"/>
    <w:multiLevelType w:val="hybridMultilevel"/>
    <w:tmpl w:val="C1E62F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D151B"/>
    <w:multiLevelType w:val="hybridMultilevel"/>
    <w:tmpl w:val="F9167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30C25"/>
    <w:multiLevelType w:val="hybridMultilevel"/>
    <w:tmpl w:val="E2A09856"/>
    <w:lvl w:ilvl="0" w:tplc="CE7C01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DB0C56"/>
    <w:multiLevelType w:val="hybridMultilevel"/>
    <w:tmpl w:val="850A526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0500B"/>
    <w:multiLevelType w:val="hybridMultilevel"/>
    <w:tmpl w:val="0AEC4F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D63CF"/>
    <w:multiLevelType w:val="hybridMultilevel"/>
    <w:tmpl w:val="7702E6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76B5C"/>
    <w:multiLevelType w:val="hybridMultilevel"/>
    <w:tmpl w:val="F9167F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A875F1"/>
    <w:multiLevelType w:val="hybridMultilevel"/>
    <w:tmpl w:val="7BF838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06343A"/>
    <w:multiLevelType w:val="hybridMultilevel"/>
    <w:tmpl w:val="044046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42144"/>
    <w:multiLevelType w:val="hybridMultilevel"/>
    <w:tmpl w:val="B34E47E0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C69EB"/>
    <w:multiLevelType w:val="hybridMultilevel"/>
    <w:tmpl w:val="2B025AB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F7EC9"/>
    <w:multiLevelType w:val="hybridMultilevel"/>
    <w:tmpl w:val="54C47E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A67AF"/>
    <w:multiLevelType w:val="hybridMultilevel"/>
    <w:tmpl w:val="23B2E8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0B3501"/>
    <w:multiLevelType w:val="hybridMultilevel"/>
    <w:tmpl w:val="F0FC7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20"/>
  </w:num>
  <w:num w:numId="8">
    <w:abstractNumId w:val="9"/>
  </w:num>
  <w:num w:numId="9">
    <w:abstractNumId w:val="15"/>
  </w:num>
  <w:num w:numId="10">
    <w:abstractNumId w:val="4"/>
  </w:num>
  <w:num w:numId="11">
    <w:abstractNumId w:val="6"/>
  </w:num>
  <w:num w:numId="12">
    <w:abstractNumId w:val="16"/>
  </w:num>
  <w:num w:numId="13">
    <w:abstractNumId w:val="18"/>
  </w:num>
  <w:num w:numId="14">
    <w:abstractNumId w:val="14"/>
  </w:num>
  <w:num w:numId="15">
    <w:abstractNumId w:val="0"/>
  </w:num>
  <w:num w:numId="16">
    <w:abstractNumId w:val="1"/>
  </w:num>
  <w:num w:numId="17">
    <w:abstractNumId w:val="17"/>
  </w:num>
  <w:num w:numId="18">
    <w:abstractNumId w:val="19"/>
  </w:num>
  <w:num w:numId="19">
    <w:abstractNumId w:val="12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7B"/>
    <w:rsid w:val="00012DC1"/>
    <w:rsid w:val="000144DE"/>
    <w:rsid w:val="000352BD"/>
    <w:rsid w:val="00044D5E"/>
    <w:rsid w:val="00064823"/>
    <w:rsid w:val="00072BA0"/>
    <w:rsid w:val="00085ED0"/>
    <w:rsid w:val="000C2F91"/>
    <w:rsid w:val="000C3B95"/>
    <w:rsid w:val="000C3F7D"/>
    <w:rsid w:val="000C6798"/>
    <w:rsid w:val="000C6C54"/>
    <w:rsid w:val="000D6B2E"/>
    <w:rsid w:val="000E1EC8"/>
    <w:rsid w:val="000E3389"/>
    <w:rsid w:val="000E7C35"/>
    <w:rsid w:val="000F156F"/>
    <w:rsid w:val="001037C4"/>
    <w:rsid w:val="00104145"/>
    <w:rsid w:val="00113A3E"/>
    <w:rsid w:val="0011641E"/>
    <w:rsid w:val="001170F4"/>
    <w:rsid w:val="00131565"/>
    <w:rsid w:val="00136837"/>
    <w:rsid w:val="00147B92"/>
    <w:rsid w:val="001534E3"/>
    <w:rsid w:val="001559B7"/>
    <w:rsid w:val="00160ADA"/>
    <w:rsid w:val="00172917"/>
    <w:rsid w:val="00181F8B"/>
    <w:rsid w:val="001832F7"/>
    <w:rsid w:val="001868E4"/>
    <w:rsid w:val="00191562"/>
    <w:rsid w:val="00192D7E"/>
    <w:rsid w:val="001B678D"/>
    <w:rsid w:val="001C5486"/>
    <w:rsid w:val="001C7692"/>
    <w:rsid w:val="001D36B9"/>
    <w:rsid w:val="001E2E74"/>
    <w:rsid w:val="001E41A1"/>
    <w:rsid w:val="001E6781"/>
    <w:rsid w:val="001E78DF"/>
    <w:rsid w:val="002005B5"/>
    <w:rsid w:val="00202485"/>
    <w:rsid w:val="00206330"/>
    <w:rsid w:val="00212C5C"/>
    <w:rsid w:val="00215548"/>
    <w:rsid w:val="002361D7"/>
    <w:rsid w:val="00237EE6"/>
    <w:rsid w:val="00244C96"/>
    <w:rsid w:val="0025295E"/>
    <w:rsid w:val="00257AD8"/>
    <w:rsid w:val="00261F75"/>
    <w:rsid w:val="00282D84"/>
    <w:rsid w:val="00284BEC"/>
    <w:rsid w:val="00295244"/>
    <w:rsid w:val="002963E0"/>
    <w:rsid w:val="002A0DAB"/>
    <w:rsid w:val="002B3481"/>
    <w:rsid w:val="002D6E95"/>
    <w:rsid w:val="002E4242"/>
    <w:rsid w:val="002F21B6"/>
    <w:rsid w:val="002F3B9E"/>
    <w:rsid w:val="00302076"/>
    <w:rsid w:val="0031061A"/>
    <w:rsid w:val="00311B4E"/>
    <w:rsid w:val="00326673"/>
    <w:rsid w:val="0033316B"/>
    <w:rsid w:val="00333A62"/>
    <w:rsid w:val="00336258"/>
    <w:rsid w:val="00341ABD"/>
    <w:rsid w:val="00346DE0"/>
    <w:rsid w:val="00353DF3"/>
    <w:rsid w:val="00355740"/>
    <w:rsid w:val="00370E76"/>
    <w:rsid w:val="00371A12"/>
    <w:rsid w:val="00394B01"/>
    <w:rsid w:val="003B469A"/>
    <w:rsid w:val="003B62BC"/>
    <w:rsid w:val="003C40B7"/>
    <w:rsid w:val="003E380B"/>
    <w:rsid w:val="003F78BD"/>
    <w:rsid w:val="00400F1C"/>
    <w:rsid w:val="004070D8"/>
    <w:rsid w:val="00410E69"/>
    <w:rsid w:val="00433404"/>
    <w:rsid w:val="00435EED"/>
    <w:rsid w:val="004417E1"/>
    <w:rsid w:val="004459C7"/>
    <w:rsid w:val="00447E70"/>
    <w:rsid w:val="004573DA"/>
    <w:rsid w:val="004617A5"/>
    <w:rsid w:val="00463DC9"/>
    <w:rsid w:val="0046480D"/>
    <w:rsid w:val="00466292"/>
    <w:rsid w:val="004811CB"/>
    <w:rsid w:val="0048782D"/>
    <w:rsid w:val="00496AEA"/>
    <w:rsid w:val="004A3315"/>
    <w:rsid w:val="004B6EC8"/>
    <w:rsid w:val="004E1674"/>
    <w:rsid w:val="004E613B"/>
    <w:rsid w:val="004F017D"/>
    <w:rsid w:val="004F7735"/>
    <w:rsid w:val="00504800"/>
    <w:rsid w:val="00507243"/>
    <w:rsid w:val="00512635"/>
    <w:rsid w:val="0051422C"/>
    <w:rsid w:val="005259A4"/>
    <w:rsid w:val="0054195C"/>
    <w:rsid w:val="00553399"/>
    <w:rsid w:val="005533E2"/>
    <w:rsid w:val="005544E4"/>
    <w:rsid w:val="00557BCE"/>
    <w:rsid w:val="005623DF"/>
    <w:rsid w:val="0057605F"/>
    <w:rsid w:val="005909D6"/>
    <w:rsid w:val="00590C9F"/>
    <w:rsid w:val="0059291A"/>
    <w:rsid w:val="00595F26"/>
    <w:rsid w:val="005966B7"/>
    <w:rsid w:val="005A17D7"/>
    <w:rsid w:val="005A7912"/>
    <w:rsid w:val="005B3322"/>
    <w:rsid w:val="005C5846"/>
    <w:rsid w:val="005D6E74"/>
    <w:rsid w:val="005F0FA6"/>
    <w:rsid w:val="005F2358"/>
    <w:rsid w:val="005F45BF"/>
    <w:rsid w:val="0062168C"/>
    <w:rsid w:val="00640043"/>
    <w:rsid w:val="00650AC5"/>
    <w:rsid w:val="00657A94"/>
    <w:rsid w:val="0066180E"/>
    <w:rsid w:val="0066388F"/>
    <w:rsid w:val="00667BFC"/>
    <w:rsid w:val="00680506"/>
    <w:rsid w:val="00684561"/>
    <w:rsid w:val="006846B6"/>
    <w:rsid w:val="00692C91"/>
    <w:rsid w:val="006A73C5"/>
    <w:rsid w:val="006B0CF1"/>
    <w:rsid w:val="006B2EB6"/>
    <w:rsid w:val="006C4E40"/>
    <w:rsid w:val="006E1610"/>
    <w:rsid w:val="006E2A07"/>
    <w:rsid w:val="006F3F63"/>
    <w:rsid w:val="006F4A6D"/>
    <w:rsid w:val="00701A21"/>
    <w:rsid w:val="007046DC"/>
    <w:rsid w:val="00706AC6"/>
    <w:rsid w:val="00707269"/>
    <w:rsid w:val="0071240C"/>
    <w:rsid w:val="00726A35"/>
    <w:rsid w:val="007335F7"/>
    <w:rsid w:val="0073518A"/>
    <w:rsid w:val="0074126D"/>
    <w:rsid w:val="007604FB"/>
    <w:rsid w:val="007610F9"/>
    <w:rsid w:val="0076236B"/>
    <w:rsid w:val="007A3206"/>
    <w:rsid w:val="007A34E4"/>
    <w:rsid w:val="007A5779"/>
    <w:rsid w:val="007B40E4"/>
    <w:rsid w:val="007B42AD"/>
    <w:rsid w:val="007B582E"/>
    <w:rsid w:val="007D170F"/>
    <w:rsid w:val="007D457F"/>
    <w:rsid w:val="007E6D60"/>
    <w:rsid w:val="00803513"/>
    <w:rsid w:val="008048F3"/>
    <w:rsid w:val="008134C9"/>
    <w:rsid w:val="00820053"/>
    <w:rsid w:val="00822D05"/>
    <w:rsid w:val="00825192"/>
    <w:rsid w:val="008336C0"/>
    <w:rsid w:val="00844376"/>
    <w:rsid w:val="008846C5"/>
    <w:rsid w:val="00885F96"/>
    <w:rsid w:val="00891AFB"/>
    <w:rsid w:val="008A1BB6"/>
    <w:rsid w:val="008A1C24"/>
    <w:rsid w:val="008A6275"/>
    <w:rsid w:val="008C5D85"/>
    <w:rsid w:val="008C701B"/>
    <w:rsid w:val="008E7FC1"/>
    <w:rsid w:val="00904756"/>
    <w:rsid w:val="00912900"/>
    <w:rsid w:val="0091389B"/>
    <w:rsid w:val="00940742"/>
    <w:rsid w:val="009466CD"/>
    <w:rsid w:val="0095225A"/>
    <w:rsid w:val="009532D1"/>
    <w:rsid w:val="00954557"/>
    <w:rsid w:val="009562FB"/>
    <w:rsid w:val="00957840"/>
    <w:rsid w:val="00970367"/>
    <w:rsid w:val="009946F0"/>
    <w:rsid w:val="0099511F"/>
    <w:rsid w:val="009A3C16"/>
    <w:rsid w:val="009A4B8A"/>
    <w:rsid w:val="009A4C84"/>
    <w:rsid w:val="009C19A7"/>
    <w:rsid w:val="009C351B"/>
    <w:rsid w:val="009C779B"/>
    <w:rsid w:val="009D7039"/>
    <w:rsid w:val="009D77CE"/>
    <w:rsid w:val="009E5A5B"/>
    <w:rsid w:val="009E6094"/>
    <w:rsid w:val="00A0548D"/>
    <w:rsid w:val="00A162C3"/>
    <w:rsid w:val="00A40F02"/>
    <w:rsid w:val="00A47426"/>
    <w:rsid w:val="00A53BE4"/>
    <w:rsid w:val="00A704F7"/>
    <w:rsid w:val="00A72BD3"/>
    <w:rsid w:val="00A851C1"/>
    <w:rsid w:val="00A95D5A"/>
    <w:rsid w:val="00A960CF"/>
    <w:rsid w:val="00AB1C02"/>
    <w:rsid w:val="00AD23A9"/>
    <w:rsid w:val="00AD36B9"/>
    <w:rsid w:val="00AD4557"/>
    <w:rsid w:val="00AE2B75"/>
    <w:rsid w:val="00AE4488"/>
    <w:rsid w:val="00AE485F"/>
    <w:rsid w:val="00B0008A"/>
    <w:rsid w:val="00B02B68"/>
    <w:rsid w:val="00B07F1F"/>
    <w:rsid w:val="00B170C9"/>
    <w:rsid w:val="00B2029A"/>
    <w:rsid w:val="00B2304C"/>
    <w:rsid w:val="00B238AD"/>
    <w:rsid w:val="00B5376F"/>
    <w:rsid w:val="00B53EC4"/>
    <w:rsid w:val="00B564ED"/>
    <w:rsid w:val="00B725FA"/>
    <w:rsid w:val="00B813D9"/>
    <w:rsid w:val="00B827C8"/>
    <w:rsid w:val="00B82800"/>
    <w:rsid w:val="00B8615D"/>
    <w:rsid w:val="00B9130E"/>
    <w:rsid w:val="00BB6EFF"/>
    <w:rsid w:val="00BD2D5A"/>
    <w:rsid w:val="00BD66DC"/>
    <w:rsid w:val="00BE5622"/>
    <w:rsid w:val="00BF4D30"/>
    <w:rsid w:val="00BF536D"/>
    <w:rsid w:val="00BF63B8"/>
    <w:rsid w:val="00BF70A6"/>
    <w:rsid w:val="00C22691"/>
    <w:rsid w:val="00C230D9"/>
    <w:rsid w:val="00C2622F"/>
    <w:rsid w:val="00C27032"/>
    <w:rsid w:val="00C35193"/>
    <w:rsid w:val="00C36787"/>
    <w:rsid w:val="00C42E48"/>
    <w:rsid w:val="00C47F58"/>
    <w:rsid w:val="00C50A46"/>
    <w:rsid w:val="00C575F6"/>
    <w:rsid w:val="00C62BD7"/>
    <w:rsid w:val="00C927EF"/>
    <w:rsid w:val="00C96B34"/>
    <w:rsid w:val="00CA0861"/>
    <w:rsid w:val="00CA5B66"/>
    <w:rsid w:val="00CB1645"/>
    <w:rsid w:val="00CB6F61"/>
    <w:rsid w:val="00CC1F20"/>
    <w:rsid w:val="00CD4A5D"/>
    <w:rsid w:val="00CF1C23"/>
    <w:rsid w:val="00CF1D6C"/>
    <w:rsid w:val="00D018D4"/>
    <w:rsid w:val="00D020A9"/>
    <w:rsid w:val="00D40429"/>
    <w:rsid w:val="00D45A7F"/>
    <w:rsid w:val="00D5217B"/>
    <w:rsid w:val="00D572F8"/>
    <w:rsid w:val="00D61EE3"/>
    <w:rsid w:val="00D704BB"/>
    <w:rsid w:val="00D75D0D"/>
    <w:rsid w:val="00D80402"/>
    <w:rsid w:val="00D81E31"/>
    <w:rsid w:val="00D90A6D"/>
    <w:rsid w:val="00D9306E"/>
    <w:rsid w:val="00D94E10"/>
    <w:rsid w:val="00DA39DA"/>
    <w:rsid w:val="00DA65F4"/>
    <w:rsid w:val="00DA754A"/>
    <w:rsid w:val="00DB3361"/>
    <w:rsid w:val="00DB3639"/>
    <w:rsid w:val="00DC5AED"/>
    <w:rsid w:val="00DF5F9F"/>
    <w:rsid w:val="00E015F1"/>
    <w:rsid w:val="00E11AEB"/>
    <w:rsid w:val="00E12C78"/>
    <w:rsid w:val="00E238BF"/>
    <w:rsid w:val="00E266F9"/>
    <w:rsid w:val="00E301D1"/>
    <w:rsid w:val="00E458E1"/>
    <w:rsid w:val="00E506A2"/>
    <w:rsid w:val="00E546F8"/>
    <w:rsid w:val="00E54FF7"/>
    <w:rsid w:val="00E70737"/>
    <w:rsid w:val="00E71C42"/>
    <w:rsid w:val="00E74BC1"/>
    <w:rsid w:val="00E760C8"/>
    <w:rsid w:val="00E7717B"/>
    <w:rsid w:val="00E93965"/>
    <w:rsid w:val="00E94CB9"/>
    <w:rsid w:val="00E969D5"/>
    <w:rsid w:val="00EA3C5D"/>
    <w:rsid w:val="00EB2C34"/>
    <w:rsid w:val="00EB3F20"/>
    <w:rsid w:val="00ED06C8"/>
    <w:rsid w:val="00EF4052"/>
    <w:rsid w:val="00EF55E1"/>
    <w:rsid w:val="00EF643A"/>
    <w:rsid w:val="00F01729"/>
    <w:rsid w:val="00F157C3"/>
    <w:rsid w:val="00F231C4"/>
    <w:rsid w:val="00F27980"/>
    <w:rsid w:val="00F31C4B"/>
    <w:rsid w:val="00F51050"/>
    <w:rsid w:val="00F52251"/>
    <w:rsid w:val="00F57CD4"/>
    <w:rsid w:val="00F61F69"/>
    <w:rsid w:val="00F63E33"/>
    <w:rsid w:val="00F816B2"/>
    <w:rsid w:val="00FA2696"/>
    <w:rsid w:val="00FB075F"/>
    <w:rsid w:val="00FB5F37"/>
    <w:rsid w:val="00FC58C0"/>
    <w:rsid w:val="00FC78F0"/>
    <w:rsid w:val="00FD5F71"/>
    <w:rsid w:val="00FD66C1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31FBB-81CA-41BD-A3C7-CEB603F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EB6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50A4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820053"/>
    <w:pPr>
      <w:ind w:left="720"/>
      <w:contextualSpacing/>
    </w:pPr>
  </w:style>
  <w:style w:type="paragraph" w:customStyle="1" w:styleId="naisf">
    <w:name w:val="naisf"/>
    <w:basedOn w:val="Normal"/>
    <w:rsid w:val="00553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htmlmktable">
    <w:name w:val="tv_html mk_table"/>
    <w:basedOn w:val="Normal"/>
    <w:rsid w:val="005533E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NoSpacing">
    <w:name w:val="No Spacing"/>
    <w:basedOn w:val="Normal"/>
    <w:uiPriority w:val="1"/>
    <w:qFormat/>
    <w:rsid w:val="005533E2"/>
    <w:pPr>
      <w:widowControl/>
      <w:spacing w:after="0" w:line="240" w:lineRule="auto"/>
    </w:pPr>
    <w:rPr>
      <w:lang w:val="lv-LV"/>
    </w:rPr>
  </w:style>
  <w:style w:type="numbering" w:customStyle="1" w:styleId="NoList1">
    <w:name w:val="No List1"/>
    <w:next w:val="NoList"/>
    <w:uiPriority w:val="99"/>
    <w:semiHidden/>
    <w:unhideWhenUsed/>
    <w:rsid w:val="00244C96"/>
  </w:style>
  <w:style w:type="character" w:customStyle="1" w:styleId="apple-converted-space">
    <w:name w:val="apple-converted-space"/>
    <w:basedOn w:val="DefaultParagraphFont"/>
    <w:rsid w:val="00244C96"/>
  </w:style>
  <w:style w:type="paragraph" w:customStyle="1" w:styleId="tvhtml">
    <w:name w:val="tv_html"/>
    <w:basedOn w:val="Normal"/>
    <w:rsid w:val="00244C9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244C9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6F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6F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6F9"/>
    <w:rPr>
      <w:rFonts w:ascii="Calibri" w:eastAsia="Calibri" w:hAnsi="Calibri" w:cs="Times New Roman"/>
      <w:lang w:val="en-US"/>
    </w:rPr>
  </w:style>
  <w:style w:type="paragraph" w:customStyle="1" w:styleId="naiskr">
    <w:name w:val="naiskr"/>
    <w:basedOn w:val="Normal"/>
    <w:rsid w:val="00B170C9"/>
    <w:pPr>
      <w:widowControl/>
      <w:spacing w:before="75" w:after="75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customStyle="1" w:styleId="tv213">
    <w:name w:val="tv213"/>
    <w:basedOn w:val="Normal"/>
    <w:rsid w:val="006B0CF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CD"/>
    <w:rPr>
      <w:rFonts w:ascii="Segoe UI" w:eastAsia="Calibri" w:hAnsi="Segoe UI" w:cs="Segoe UI"/>
      <w:sz w:val="18"/>
      <w:szCs w:val="18"/>
      <w:lang w:val="en-US"/>
    </w:rPr>
  </w:style>
  <w:style w:type="character" w:customStyle="1" w:styleId="spelle">
    <w:name w:val="spelle"/>
    <w:rsid w:val="00CF1D6C"/>
  </w:style>
  <w:style w:type="character" w:customStyle="1" w:styleId="apple-style-span">
    <w:name w:val="apple-style-span"/>
    <w:basedOn w:val="DefaultParagraphFont"/>
    <w:rsid w:val="0013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5815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263877-noteikumi-par-publisko-iepirkumu-pazinojumu-saturu-un-sagatavosanas-kartib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ikumi.lv/ta/id/211791-noteikumi-par-publisko-iepirkumu-ligumcenu-robez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6F884-309F-4E92-8542-407C650E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9905</Words>
  <Characters>5646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"Publisko iepirkumu likums" sākotnējās ietekmes novērtējuma ziņojums (anotācija)</vt:lpstr>
    </vt:vector>
  </TitlesOfParts>
  <Company>Finanšu ministrija</Company>
  <LinksUpToDate>false</LinksUpToDate>
  <CharactersWithSpaces>15520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"Publisko iepirkumu likums" sākotnējās ietekmes novērtējuma ziņojums (anotācija)</dc:title>
  <dc:subject>Likumprojekta anotācija</dc:subject>
  <dc:creator>Edgars Matulis</dc:creator>
  <cp:keywords/>
  <dc:description>E.Matulis
67095457, edgars.matulis@fm.gov.lv</dc:description>
  <cp:lastModifiedBy>Gunta Puidīte</cp:lastModifiedBy>
  <cp:revision>44</cp:revision>
  <cp:lastPrinted>2016-01-07T15:34:00Z</cp:lastPrinted>
  <dcterms:created xsi:type="dcterms:W3CDTF">2015-12-16T12:37:00Z</dcterms:created>
  <dcterms:modified xsi:type="dcterms:W3CDTF">2016-01-08T10:41:00Z</dcterms:modified>
</cp:coreProperties>
</file>