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1D" w:rsidRDefault="007665CF" w:rsidP="006D0922">
      <w:pPr>
        <w:pStyle w:val="naislab"/>
        <w:spacing w:before="0" w:after="0"/>
        <w:jc w:val="center"/>
        <w:rPr>
          <w:b/>
          <w:sz w:val="26"/>
          <w:szCs w:val="26"/>
        </w:rPr>
      </w:pPr>
      <w:r w:rsidRPr="007665CF">
        <w:rPr>
          <w:b/>
          <w:sz w:val="26"/>
          <w:szCs w:val="26"/>
        </w:rPr>
        <w:t xml:space="preserve">Ministru kabineta </w:t>
      </w:r>
      <w:r w:rsidR="00F40347">
        <w:rPr>
          <w:b/>
          <w:sz w:val="26"/>
          <w:szCs w:val="26"/>
        </w:rPr>
        <w:t>noteikumu</w:t>
      </w:r>
      <w:r w:rsidRPr="007665CF">
        <w:rPr>
          <w:b/>
          <w:sz w:val="26"/>
          <w:szCs w:val="26"/>
        </w:rPr>
        <w:t xml:space="preserve"> projekta „</w:t>
      </w:r>
      <w:r w:rsidR="00F40347">
        <w:rPr>
          <w:b/>
          <w:sz w:val="26"/>
          <w:szCs w:val="26"/>
        </w:rPr>
        <w:t>Noteikumi par neapliekamā minimuma un nodokļa atvieglojuma apmēru iedzīvotāju ienākuma nodokļa aprēķināšanai</w:t>
      </w:r>
      <w:r w:rsidRPr="007665CF">
        <w:rPr>
          <w:b/>
          <w:sz w:val="26"/>
          <w:szCs w:val="26"/>
        </w:rPr>
        <w:t>” sākotnējās ietekmes novērtējuma ziņojums (anotācija)</w:t>
      </w:r>
    </w:p>
    <w:p w:rsidR="009F30B3" w:rsidRPr="007E6F4C" w:rsidRDefault="009F30B3" w:rsidP="006D0922">
      <w:pPr>
        <w:pStyle w:val="naislab"/>
        <w:spacing w:before="0" w:after="0"/>
        <w:jc w:val="center"/>
        <w:rPr>
          <w:b/>
          <w:sz w:val="28"/>
          <w:szCs w:val="28"/>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3024"/>
        <w:gridCol w:w="6085"/>
      </w:tblGrid>
      <w:tr w:rsidR="009A0027" w:rsidRPr="009656DE" w:rsidTr="00D36916">
        <w:tc>
          <w:tcPr>
            <w:tcW w:w="9786" w:type="dxa"/>
            <w:gridSpan w:val="3"/>
            <w:vAlign w:val="center"/>
          </w:tcPr>
          <w:p w:rsidR="00852042" w:rsidRPr="009656DE" w:rsidRDefault="00852042" w:rsidP="00097549">
            <w:pPr>
              <w:pStyle w:val="naisnod"/>
              <w:spacing w:before="0" w:after="60"/>
            </w:pPr>
            <w:r w:rsidRPr="009656DE">
              <w:t>I</w:t>
            </w:r>
            <w:r w:rsidR="000941C5" w:rsidRPr="009656DE">
              <w:t>.</w:t>
            </w:r>
            <w:r w:rsidRPr="009656DE">
              <w:t xml:space="preserve"> Tiesību akta </w:t>
            </w:r>
            <w:r w:rsidR="002E3FF4" w:rsidRPr="009656DE">
              <w:t xml:space="preserve">projekta </w:t>
            </w:r>
            <w:r w:rsidRPr="009656DE">
              <w:t>izstrādes nepieciešamība</w:t>
            </w:r>
          </w:p>
        </w:tc>
      </w:tr>
      <w:tr w:rsidR="009A0027" w:rsidRPr="009656DE" w:rsidTr="00D36916">
        <w:trPr>
          <w:trHeight w:val="267"/>
        </w:trPr>
        <w:tc>
          <w:tcPr>
            <w:tcW w:w="677" w:type="dxa"/>
          </w:tcPr>
          <w:p w:rsidR="00262E2B" w:rsidRPr="009656DE" w:rsidRDefault="00262E2B" w:rsidP="006D0922">
            <w:pPr>
              <w:pStyle w:val="naiskr"/>
              <w:spacing w:before="0" w:after="0"/>
              <w:jc w:val="center"/>
            </w:pPr>
            <w:r w:rsidRPr="009656DE">
              <w:t>1.</w:t>
            </w:r>
          </w:p>
        </w:tc>
        <w:tc>
          <w:tcPr>
            <w:tcW w:w="3024" w:type="dxa"/>
          </w:tcPr>
          <w:p w:rsidR="00262E2B" w:rsidRPr="009656DE" w:rsidRDefault="002D7F54" w:rsidP="00AD6596">
            <w:pPr>
              <w:pStyle w:val="naiskr"/>
              <w:spacing w:before="0" w:after="0"/>
            </w:pPr>
            <w:r w:rsidRPr="009656DE">
              <w:t>Pamatojums</w:t>
            </w:r>
          </w:p>
        </w:tc>
        <w:tc>
          <w:tcPr>
            <w:tcW w:w="6085" w:type="dxa"/>
          </w:tcPr>
          <w:p w:rsidR="00D920E7" w:rsidRDefault="002B64B6" w:rsidP="002B64B6">
            <w:pPr>
              <w:pStyle w:val="naiskr"/>
              <w:spacing w:before="0" w:after="120"/>
              <w:jc w:val="both"/>
            </w:pPr>
            <w:r w:rsidRPr="002B64B6">
              <w:t xml:space="preserve">Ministru kabineta 2015.gada </w:t>
            </w:r>
            <w:r>
              <w:t>22.septembra</w:t>
            </w:r>
            <w:r w:rsidRPr="002B64B6">
              <w:t xml:space="preserve"> sēdes protokola Nr.</w:t>
            </w:r>
            <w:r>
              <w:t>50</w:t>
            </w:r>
            <w:r w:rsidRPr="002B64B6">
              <w:t xml:space="preserve"> 4</w:t>
            </w:r>
            <w:r>
              <w:t>2</w:t>
            </w:r>
            <w:r w:rsidRPr="002B64B6">
              <w:t>.§ „</w:t>
            </w:r>
            <w:r>
              <w:t>Likumprojekts</w:t>
            </w:r>
            <w:r w:rsidRPr="002B64B6">
              <w:t xml:space="preserve"> “</w:t>
            </w:r>
            <w:r>
              <w:t>Grozījumi likumā “Par iedzīvotāju ienākuma nodokli”</w:t>
            </w:r>
            <w:r w:rsidRPr="002B64B6">
              <w:t>” 5.punkts.</w:t>
            </w:r>
          </w:p>
          <w:p w:rsidR="00235520" w:rsidRPr="009656DE" w:rsidRDefault="00235520" w:rsidP="002B64B6">
            <w:pPr>
              <w:pStyle w:val="naiskr"/>
              <w:spacing w:before="0" w:after="120"/>
              <w:jc w:val="both"/>
            </w:pPr>
            <w:r>
              <w:t>Likuma “Par iedzīvotāju ienākuma nodokli” 12.panta 1.</w:t>
            </w:r>
            <w:r>
              <w:rPr>
                <w:vertAlign w:val="superscript"/>
              </w:rPr>
              <w:t>1</w:t>
            </w:r>
            <w:r>
              <w:t>, 1.</w:t>
            </w:r>
            <w:r>
              <w:rPr>
                <w:vertAlign w:val="superscript"/>
              </w:rPr>
              <w:t>3</w:t>
            </w:r>
            <w:r>
              <w:t xml:space="preserve"> un 4.</w:t>
            </w:r>
            <w:r>
              <w:rPr>
                <w:vertAlign w:val="superscript"/>
              </w:rPr>
              <w:t>2</w:t>
            </w:r>
            <w:r>
              <w:t xml:space="preserve"> daļa un 13.panta pirmās daļas 1.punkts.</w:t>
            </w:r>
          </w:p>
        </w:tc>
      </w:tr>
      <w:tr w:rsidR="009A0027" w:rsidRPr="009656DE" w:rsidTr="00D36916">
        <w:trPr>
          <w:trHeight w:val="472"/>
        </w:trPr>
        <w:tc>
          <w:tcPr>
            <w:tcW w:w="677" w:type="dxa"/>
          </w:tcPr>
          <w:p w:rsidR="00262E2B" w:rsidRPr="009656DE" w:rsidRDefault="00262E2B" w:rsidP="006D0922">
            <w:pPr>
              <w:pStyle w:val="naiskr"/>
              <w:spacing w:before="0" w:after="0"/>
              <w:jc w:val="center"/>
            </w:pPr>
            <w:r w:rsidRPr="009656DE">
              <w:t>2.</w:t>
            </w:r>
          </w:p>
        </w:tc>
        <w:tc>
          <w:tcPr>
            <w:tcW w:w="3024" w:type="dxa"/>
          </w:tcPr>
          <w:p w:rsidR="00262E2B" w:rsidRPr="00FB331B" w:rsidRDefault="003A3C61" w:rsidP="00F16CC4">
            <w:pPr>
              <w:pStyle w:val="naiskr"/>
              <w:spacing w:before="0" w:after="0"/>
            </w:pPr>
            <w:r w:rsidRPr="009656DE">
              <w:t>Pašreizējā situācija un problēmas, kuru risināšanai tiesību akta projekts izstrādāts, tiesiskā regulējuma mērķis un būtība</w:t>
            </w:r>
          </w:p>
        </w:tc>
        <w:tc>
          <w:tcPr>
            <w:tcW w:w="6085" w:type="dxa"/>
          </w:tcPr>
          <w:p w:rsidR="00FE0122" w:rsidRPr="00FE0122" w:rsidRDefault="007665CF" w:rsidP="000B72EA">
            <w:pPr>
              <w:ind w:firstLine="490"/>
              <w:jc w:val="both"/>
              <w:rPr>
                <w:iCs/>
              </w:rPr>
            </w:pPr>
            <w:r>
              <w:t>Atbilstoši likuma “Par</w:t>
            </w:r>
            <w:r w:rsidR="00FE0122">
              <w:t xml:space="preserve"> iedzīvotāju ienākuma nodokli” 12.panta </w:t>
            </w:r>
            <w:r w:rsidR="00FE0122" w:rsidRPr="00FE0122">
              <w:t>1.</w:t>
            </w:r>
            <w:r w:rsidR="00FE0122" w:rsidRPr="00FE0122">
              <w:rPr>
                <w:vertAlign w:val="superscript"/>
              </w:rPr>
              <w:t>1</w:t>
            </w:r>
            <w:r w:rsidR="00235520">
              <w:t>, 1.</w:t>
            </w:r>
            <w:r w:rsidR="00235520">
              <w:rPr>
                <w:vertAlign w:val="superscript"/>
              </w:rPr>
              <w:t>3</w:t>
            </w:r>
            <w:r w:rsidR="00235520">
              <w:t xml:space="preserve"> un 4.</w:t>
            </w:r>
            <w:r w:rsidR="00235520">
              <w:rPr>
                <w:vertAlign w:val="superscript"/>
              </w:rPr>
              <w:t>2</w:t>
            </w:r>
            <w:r w:rsidR="00FE0122" w:rsidRPr="00FE0122">
              <w:t xml:space="preserve"> </w:t>
            </w:r>
            <w:r w:rsidR="00FE0122">
              <w:t>daļai (stāsies spēkā 2016.gada 1.janvārī)</w:t>
            </w:r>
            <w:r w:rsidR="00FE0122">
              <w:rPr>
                <w:iCs/>
              </w:rPr>
              <w:t>, m</w:t>
            </w:r>
            <w:r w:rsidR="00FE0122" w:rsidRPr="00FE0122">
              <w:rPr>
                <w:iCs/>
              </w:rPr>
              <w:t>aksātāja gada diferencēto neapliekamo minimumu aprēķina saskaņā ar formulu, ko nosaka Ministru kabinets. Formulā ņem vērā maksātāja gada apliekamos ienākumus, kā arī šādus lielumus</w:t>
            </w:r>
            <w:r w:rsidR="00FE0122">
              <w:rPr>
                <w:iCs/>
              </w:rPr>
              <w:t xml:space="preserve"> (</w:t>
            </w:r>
            <w:r w:rsidR="00FE0122" w:rsidRPr="00FE0122">
              <w:rPr>
                <w:iCs/>
              </w:rPr>
              <w:t>minimālo mēneša neapliekamo minimumu;</w:t>
            </w:r>
            <w:r w:rsidR="00FE0122">
              <w:rPr>
                <w:iCs/>
              </w:rPr>
              <w:t xml:space="preserve"> </w:t>
            </w:r>
            <w:r w:rsidR="00FE0122" w:rsidRPr="00FE0122">
              <w:rPr>
                <w:iCs/>
              </w:rPr>
              <w:t>maksimālo gada neapliekamo minimumu;</w:t>
            </w:r>
            <w:r w:rsidR="00FE0122">
              <w:rPr>
                <w:iCs/>
              </w:rPr>
              <w:t xml:space="preserve"> </w:t>
            </w:r>
            <w:r w:rsidR="00FE0122" w:rsidRPr="00FE0122">
              <w:rPr>
                <w:iCs/>
              </w:rPr>
              <w:t>gada apliekamā ienākuma apmēru, līdz kuram piemēro maksimālo gada neapliekamo minimumu;</w:t>
            </w:r>
            <w:r w:rsidR="00FE0122">
              <w:rPr>
                <w:iCs/>
              </w:rPr>
              <w:t xml:space="preserve"> </w:t>
            </w:r>
            <w:r w:rsidR="00FE0122" w:rsidRPr="00FE0122">
              <w:rPr>
                <w:iCs/>
              </w:rPr>
              <w:t>gada apliekamā ienākuma apmēru, virs kura piemēro tikai min</w:t>
            </w:r>
            <w:r w:rsidR="00FE0122">
              <w:rPr>
                <w:iCs/>
              </w:rPr>
              <w:t>imālo gada neapliekamo minimumu)</w:t>
            </w:r>
            <w:r w:rsidR="00FE0122" w:rsidRPr="00FE0122">
              <w:rPr>
                <w:iCs/>
              </w:rPr>
              <w:t>, kurus nosaka Ministru kabinet</w:t>
            </w:r>
            <w:r w:rsidR="00FE0122">
              <w:rPr>
                <w:iCs/>
              </w:rPr>
              <w:t>s.</w:t>
            </w:r>
          </w:p>
          <w:p w:rsidR="00567A35" w:rsidRDefault="00567A35" w:rsidP="000B72EA">
            <w:pPr>
              <w:ind w:firstLine="490"/>
              <w:jc w:val="both"/>
            </w:pPr>
            <w:r>
              <w:t xml:space="preserve">Šobrīd neapliekamā minimuma apmēru un nodokļa atvieglojuma apmēru nosaka Ministru kabineta 2013.gada 29.oktobra noteikumi Nr.1210 “Noteikumi par mēneša neapliekamā minimuma un nodokļa atvieglojuma apmēru iedzīvotāju ienākuma nodokļa aprēķināšanai”  (turpmāk – Noteikumi Nr.1210). Neapliekamā minimuma apmērs ir noteikts 75 </w:t>
            </w:r>
            <w:r w:rsidRPr="00567A35">
              <w:rPr>
                <w:i/>
              </w:rPr>
              <w:t>euro</w:t>
            </w:r>
            <w:r>
              <w:t xml:space="preserve"> mēnesī, bet atvieglojuma apmērs par apgādībā esošo personu – 165 </w:t>
            </w:r>
            <w:r w:rsidRPr="00567A35">
              <w:rPr>
                <w:i/>
              </w:rPr>
              <w:t xml:space="preserve">euro </w:t>
            </w:r>
            <w:r>
              <w:t>mēnesī.</w:t>
            </w:r>
          </w:p>
          <w:p w:rsidR="00FA7BA5" w:rsidRDefault="00567A35" w:rsidP="000B72EA">
            <w:pPr>
              <w:ind w:firstLine="490"/>
              <w:jc w:val="both"/>
            </w:pPr>
            <w:r>
              <w:t>Sakarā ar to, ka grozījumu apjoms Noteikumos Nr.1210 pārsniedz pusi no spēkā esošo noteikumu normu apjoma, tad normatīvā akta projekts tika sagatavots jaunā redakcijā.</w:t>
            </w:r>
          </w:p>
          <w:p w:rsidR="00AD77B1" w:rsidRDefault="00235520" w:rsidP="000B72EA">
            <w:pPr>
              <w:ind w:firstLine="490"/>
              <w:jc w:val="both"/>
            </w:pPr>
            <w:r w:rsidRPr="00E46B6D">
              <w:t>Mini</w:t>
            </w:r>
            <w:r>
              <w:t>stru kabineta noteikumu projekts</w:t>
            </w:r>
            <w:r w:rsidRPr="00E46B6D">
              <w:t xml:space="preserve"> „Noteikumi par neapliekamā minimuma un nodokļa atvieglojuma apmēru iedzīvotāju ienākuma nodokļa aprēķināšanai”</w:t>
            </w:r>
            <w:r>
              <w:t xml:space="preserve"> (turpmāk – noteikumu projekts) </w:t>
            </w:r>
            <w:r w:rsidR="00AD77B1" w:rsidRPr="00AD77B1">
              <w:t>p</w:t>
            </w:r>
            <w:r w:rsidR="00AD77B1">
              <w:t xml:space="preserve">aredz ar 2016.gadu ieviest </w:t>
            </w:r>
            <w:r w:rsidR="00AD77B1" w:rsidRPr="00AD77B1">
              <w:t>diferencēto neapliekamo minimumu. Tādējādi turpmāk visām personām tiks piemērots nevis vienāds neapliekamais minimums, bet gan tiks piemērots gada diferencētais neapliekamais minimums, kura apmērs atšķirsies atkarībā no maksātāja gūto ar nodokli apliekamo ienākumu apmēra</w:t>
            </w:r>
            <w:r w:rsidR="00655504">
              <w:t>.</w:t>
            </w:r>
            <w:r w:rsidR="00AD77B1" w:rsidRPr="00AD77B1">
              <w:t xml:space="preserve"> </w:t>
            </w:r>
            <w:r w:rsidR="00655504">
              <w:t>A</w:t>
            </w:r>
            <w:r w:rsidR="00AD77B1" w:rsidRPr="00AD77B1">
              <w:t>pliekamo ienākumu kopsummā tiks ieskaitīti gan ar vispārējo likmi apliekamie ienākumi, gan arī ienākumi, kurus ar nodokli apliek pēc samazinātas likmes</w:t>
            </w:r>
            <w:r w:rsidR="00655504">
              <w:t>, kā arī no nodokļa atbrīvotie ienākumi, kuri nav minēti likuma “Par iedzīvotāju ienākuma nodokli” 9.pantā kā ar nodokli neapliekami ienākumi</w:t>
            </w:r>
            <w:r w:rsidR="00AD77B1" w:rsidRPr="00AD77B1">
              <w:t>.</w:t>
            </w:r>
            <w:r w:rsidR="00655504">
              <w:t xml:space="preserve"> Apliekamo ienākumu kopsummā neieskaita patentmaksas maksātāju gūtos </w:t>
            </w:r>
            <w:r w:rsidR="00655504">
              <w:lastRenderedPageBreak/>
              <w:t xml:space="preserve">ieņēmumus, jo </w:t>
            </w:r>
            <w:r w:rsidR="00B330CE">
              <w:t xml:space="preserve">šajā gadījumā tiek uzskaitīti tikai bruto ieņēmumi, bet nav zināmi ienākumi un attiecīgi – gūtais ienākums. Tāpat apliekamo ienākumu kopsummā nav uzskaitāmi ienākumi, kurus maksātājs gūst no mikrouzņēmuma, jo šajā gadījumā maksāts tiek cits nodoklis </w:t>
            </w:r>
            <w:r w:rsidR="002F7155">
              <w:t xml:space="preserve">– mikrouzņēmumu nodoklis </w:t>
            </w:r>
            <w:r>
              <w:t>–</w:t>
            </w:r>
            <w:r w:rsidR="002F7155">
              <w:t xml:space="preserve"> </w:t>
            </w:r>
            <w:r w:rsidR="00B330CE">
              <w:t>no citas nodokļa bāzes.</w:t>
            </w:r>
            <w:r w:rsidR="00AD77B1" w:rsidRPr="00AD77B1">
              <w:t xml:space="preserve"> Personām, kuru gada apliekamā ienākuma apmērs nepārsniegs Ministru kabineta noteikt</w:t>
            </w:r>
            <w:r w:rsidR="005A12A9">
              <w:t>o</w:t>
            </w:r>
            <w:r w:rsidR="00AD77B1" w:rsidRPr="00AD77B1">
              <w:t xml:space="preserve"> slieksni, tiks piemērots maksimālais ar nodokli neapliekamais minimums, savukārt gada apliekamajam ienākumam pārsniedzot maksimālo Ministru kabineta noteikto slieksni, maksātājam tiks piemērots tikai minimālais ar nodokli neapliekamais minimums. Maksātājiem, kuru gada apliekamie ienākumi iekļausies intervālā starp abiem Ministru kabineta noteiktajiem gada apliekamā ienākuma sliekšņiem, tiks piemērots gada diferencētais neapliekamais minimums, kura apmēru noteiks </w:t>
            </w:r>
            <w:r w:rsidR="00FC7973">
              <w:t>noteikumu projektā noteikta</w:t>
            </w:r>
            <w:r w:rsidR="00AD77B1" w:rsidRPr="00AD77B1">
              <w:t xml:space="preserve"> </w:t>
            </w:r>
            <w:r w:rsidR="00FC7973">
              <w:t>formula</w:t>
            </w:r>
            <w:r w:rsidR="00AD77B1" w:rsidRPr="00AD77B1">
              <w:t>. Gada diferencētais neapliekamais minimums tiks aprēķināts un piemērots rezumējošā kārtībā, maksātājam iesniedzot taksācijas gada ienākumu deklarāciju.</w:t>
            </w:r>
          </w:p>
          <w:p w:rsidR="00B81033" w:rsidRPr="00AF66CA" w:rsidRDefault="00B81033" w:rsidP="00B81033">
            <w:pPr>
              <w:ind w:firstLine="490"/>
              <w:jc w:val="both"/>
            </w:pPr>
            <w:r w:rsidRPr="00AF66CA">
              <w:rPr>
                <w:rFonts w:eastAsia="Calibri"/>
                <w:lang w:eastAsia="en-US"/>
              </w:rPr>
              <w:t>Pamatojoties uz likuma “Par iedzīvotāju ienākuma nodokli” 19.panta 1.</w:t>
            </w:r>
            <w:r w:rsidRPr="00AF66CA">
              <w:rPr>
                <w:rFonts w:eastAsia="Calibri"/>
                <w:vertAlign w:val="superscript"/>
                <w:lang w:eastAsia="en-US"/>
              </w:rPr>
              <w:t>1</w:t>
            </w:r>
            <w:r w:rsidRPr="00AF66CA">
              <w:rPr>
                <w:rFonts w:eastAsia="Calibri"/>
                <w:lang w:eastAsia="en-US"/>
              </w:rPr>
              <w:t xml:space="preserve">daļā noteikto, gada diferencēto neapliekamo minimumu nodokļa maksātājam piemēro reizi gadā, iesniedzot gada ienākumu deklarāciju, jo tikai taksācijas gada beigās ir iespējams noteikt nodokļa maksātāja gada kopējos apliekamos ienākumus, kuri ietekmē gada diferencētā neapliekamā minimuma apmēru. Gada diferencētā neapliekamā minimuma piemērošana rezumējošā kārtībā, iesniedzot gada ienākumu deklarāciju, atbilst likumā noteiktajiem principiem, ka nodokļa maksātājam papildus individuāli piemērojamos nodokli samazinošos atvieglojumus (piemēram, attaisnotos izdevumus par izglītību un medicīnas pakalpojumiem) piemēro rezumējošā kārtībā, iesniedzot gada ienākumu deklarāciju. </w:t>
            </w:r>
          </w:p>
          <w:p w:rsidR="00F66B0E" w:rsidRDefault="00AD77B1" w:rsidP="000B72EA">
            <w:pPr>
              <w:ind w:firstLine="490"/>
              <w:jc w:val="both"/>
            </w:pPr>
            <w:r w:rsidRPr="00AD77B1">
              <w:t>Savukārt taksācijas gada laikā maksātājiem ienākuma gūšanas vietā, kur iesniegta algas nodokļa grāmatiņa (VID EDS izdarīta atzīme), tiks piemērots minimālais mēneša neapliekamais ienākums.</w:t>
            </w:r>
          </w:p>
          <w:p w:rsidR="00AD77B1" w:rsidRPr="00AD77B1" w:rsidRDefault="00F66B0E" w:rsidP="000B72EA">
            <w:pPr>
              <w:ind w:firstLine="490"/>
              <w:jc w:val="both"/>
              <w:rPr>
                <w:b/>
              </w:rPr>
            </w:pPr>
            <w:r w:rsidRPr="0073176A">
              <w:t xml:space="preserve">Noteikumu projekts paredz, </w:t>
            </w:r>
            <w:r>
              <w:t>ka iedzīvotāju ienākuma nodokļa maksātāja minimālais mēneša neapliekamais minimums</w:t>
            </w:r>
            <w:r w:rsidR="00DD0637">
              <w:t xml:space="preserve"> 2016.gadā ir</w:t>
            </w:r>
            <w:r>
              <w:t xml:space="preserve"> 75 </w:t>
            </w:r>
            <w:r w:rsidRPr="00C46699">
              <w:rPr>
                <w:i/>
              </w:rPr>
              <w:t>euro</w:t>
            </w:r>
            <w:r w:rsidR="00DD0637">
              <w:t xml:space="preserve">; 2017.gadā – 60 </w:t>
            </w:r>
            <w:r w:rsidR="00DD0637" w:rsidRPr="005A12A9">
              <w:rPr>
                <w:i/>
              </w:rPr>
              <w:t>euro</w:t>
            </w:r>
            <w:r w:rsidR="00DD0637">
              <w:t xml:space="preserve">; 2018.gadā -  40 </w:t>
            </w:r>
            <w:r w:rsidR="00DD0637" w:rsidRPr="005A12A9">
              <w:rPr>
                <w:i/>
              </w:rPr>
              <w:t>euro</w:t>
            </w:r>
            <w:r w:rsidR="00DD0637">
              <w:t>;</w:t>
            </w:r>
            <w:r>
              <w:t xml:space="preserve"> </w:t>
            </w:r>
            <w:r w:rsidR="00DD0637">
              <w:t xml:space="preserve">2019.gadā – 20 euro, savukārt 2020.gadā – 0 </w:t>
            </w:r>
            <w:r w:rsidR="00DD0637" w:rsidRPr="005A12A9">
              <w:rPr>
                <w:i/>
              </w:rPr>
              <w:t>euro</w:t>
            </w:r>
            <w:r w:rsidR="00DD0637">
              <w:t>. N</w:t>
            </w:r>
            <w:r>
              <w:t>odokļa atvieglojuma apmērs par apgādībā esošu personu</w:t>
            </w:r>
            <w:r w:rsidR="00DD0637">
              <w:t xml:space="preserve"> no 2016.gada</w:t>
            </w:r>
            <w:r>
              <w:t xml:space="preserve"> tiek </w:t>
            </w:r>
            <w:r w:rsidRPr="0073176A">
              <w:t xml:space="preserve">paaugstināts par </w:t>
            </w:r>
            <w:r>
              <w:t xml:space="preserve">10 </w:t>
            </w:r>
            <w:r w:rsidRPr="00C46699">
              <w:rPr>
                <w:i/>
              </w:rPr>
              <w:t>euro</w:t>
            </w:r>
            <w:r w:rsidRPr="0073176A">
              <w:t xml:space="preserve"> līdz </w:t>
            </w:r>
            <w:r>
              <w:t>175</w:t>
            </w:r>
            <w:r w:rsidRPr="0073176A">
              <w:t xml:space="preserve"> </w:t>
            </w:r>
            <w:r w:rsidRPr="0073176A">
              <w:rPr>
                <w:i/>
              </w:rPr>
              <w:t>euro</w:t>
            </w:r>
            <w:r>
              <w:rPr>
                <w:i/>
              </w:rPr>
              <w:t>.</w:t>
            </w:r>
            <w:r w:rsidR="00AD77B1" w:rsidRPr="00AD77B1">
              <w:t xml:space="preserve"> </w:t>
            </w:r>
          </w:p>
          <w:p w:rsidR="00CE2A3A" w:rsidRPr="00CF2486" w:rsidRDefault="00CE2A3A" w:rsidP="0073176A">
            <w:pPr>
              <w:jc w:val="both"/>
            </w:pPr>
          </w:p>
        </w:tc>
      </w:tr>
      <w:tr w:rsidR="009A0027" w:rsidRPr="009656DE" w:rsidTr="00D36916">
        <w:trPr>
          <w:trHeight w:val="476"/>
        </w:trPr>
        <w:tc>
          <w:tcPr>
            <w:tcW w:w="677" w:type="dxa"/>
          </w:tcPr>
          <w:p w:rsidR="00262E2B" w:rsidRPr="009656DE" w:rsidRDefault="003A3C61" w:rsidP="006D0922">
            <w:pPr>
              <w:pStyle w:val="naiskr"/>
              <w:spacing w:before="0" w:after="0"/>
              <w:jc w:val="center"/>
            </w:pPr>
            <w:r w:rsidRPr="009656DE">
              <w:lastRenderedPageBreak/>
              <w:t>3</w:t>
            </w:r>
            <w:r w:rsidR="00262E2B" w:rsidRPr="009656DE">
              <w:t>.</w:t>
            </w:r>
          </w:p>
        </w:tc>
        <w:tc>
          <w:tcPr>
            <w:tcW w:w="3024" w:type="dxa"/>
          </w:tcPr>
          <w:p w:rsidR="00262E2B" w:rsidRPr="009656DE" w:rsidRDefault="001A4066" w:rsidP="00B84642">
            <w:pPr>
              <w:pStyle w:val="naiskr"/>
              <w:spacing w:before="0" w:after="60"/>
            </w:pPr>
            <w:r w:rsidRPr="009656DE">
              <w:t>Projekta i</w:t>
            </w:r>
            <w:r w:rsidR="00262E2B" w:rsidRPr="009656DE">
              <w:t>zstrād</w:t>
            </w:r>
            <w:r w:rsidR="00420870" w:rsidRPr="009656DE">
              <w:t xml:space="preserve">ē </w:t>
            </w:r>
            <w:r w:rsidR="00262E2B" w:rsidRPr="009656DE">
              <w:t>iesaistītās institūcijas</w:t>
            </w:r>
          </w:p>
        </w:tc>
        <w:tc>
          <w:tcPr>
            <w:tcW w:w="6085" w:type="dxa"/>
          </w:tcPr>
          <w:p w:rsidR="009C5659" w:rsidRPr="00233198" w:rsidRDefault="00CE2A3A" w:rsidP="00506F1D">
            <w:pPr>
              <w:pStyle w:val="naiskr"/>
              <w:spacing w:before="0" w:after="120"/>
              <w:jc w:val="both"/>
            </w:pPr>
            <w:r>
              <w:t>Projekts šo jomu neskar.</w:t>
            </w:r>
          </w:p>
        </w:tc>
      </w:tr>
      <w:tr w:rsidR="009A0027" w:rsidRPr="009656DE" w:rsidTr="00D36916">
        <w:tc>
          <w:tcPr>
            <w:tcW w:w="677" w:type="dxa"/>
          </w:tcPr>
          <w:p w:rsidR="00262E2B" w:rsidRPr="009656DE" w:rsidRDefault="003A3C61" w:rsidP="006D0922">
            <w:pPr>
              <w:pStyle w:val="naiskr"/>
              <w:spacing w:before="0" w:after="0"/>
              <w:jc w:val="center"/>
            </w:pPr>
            <w:r w:rsidRPr="009656DE">
              <w:t>4</w:t>
            </w:r>
            <w:r w:rsidR="00262E2B" w:rsidRPr="009656DE">
              <w:t>.</w:t>
            </w:r>
          </w:p>
        </w:tc>
        <w:tc>
          <w:tcPr>
            <w:tcW w:w="3024" w:type="dxa"/>
          </w:tcPr>
          <w:p w:rsidR="00262E2B" w:rsidRPr="009656DE" w:rsidRDefault="00262E2B" w:rsidP="00FB5BAF">
            <w:pPr>
              <w:pStyle w:val="naiskr"/>
              <w:spacing w:before="0" w:after="0"/>
            </w:pPr>
            <w:r w:rsidRPr="009656DE">
              <w:t>Cita informācija</w:t>
            </w:r>
          </w:p>
        </w:tc>
        <w:tc>
          <w:tcPr>
            <w:tcW w:w="6085" w:type="dxa"/>
          </w:tcPr>
          <w:p w:rsidR="00262E2B" w:rsidRPr="009656DE" w:rsidRDefault="004E6B86" w:rsidP="00506F1D">
            <w:pPr>
              <w:pStyle w:val="naiskr"/>
              <w:spacing w:before="0" w:after="120"/>
              <w:jc w:val="both"/>
            </w:pPr>
            <w:r>
              <w:t>Nav.</w:t>
            </w:r>
          </w:p>
        </w:tc>
      </w:tr>
    </w:tbl>
    <w:p w:rsidR="00852042" w:rsidRDefault="00852042" w:rsidP="006D0922">
      <w:pPr>
        <w:pStyle w:val="naisf"/>
        <w:spacing w:before="0" w:after="0"/>
        <w:ind w:firstLine="0"/>
      </w:pPr>
    </w:p>
    <w:p w:rsidR="009D4EF6" w:rsidRPr="009656DE" w:rsidRDefault="009D4EF6" w:rsidP="006D0922">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9656DE" w:rsidTr="00D36916">
        <w:trPr>
          <w:jc w:val="center"/>
        </w:trPr>
        <w:tc>
          <w:tcPr>
            <w:tcW w:w="9786" w:type="dxa"/>
            <w:gridSpan w:val="3"/>
          </w:tcPr>
          <w:p w:rsidR="00FE4973" w:rsidRPr="009656DE" w:rsidRDefault="00FE4973" w:rsidP="00097549">
            <w:pPr>
              <w:pStyle w:val="naisnod"/>
              <w:spacing w:before="0" w:after="60"/>
            </w:pPr>
            <w:r w:rsidRPr="009656DE">
              <w:lastRenderedPageBreak/>
              <w:t>II.</w:t>
            </w:r>
            <w:r w:rsidRPr="009656DE">
              <w:rPr>
                <w:bCs w:val="0"/>
              </w:rPr>
              <w:t xml:space="preserve"> Tiesību akta projekta ietekme uz sabiedrību, tautsaimniecības attīstību un administratīvo slogu</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1.</w:t>
            </w:r>
          </w:p>
        </w:tc>
        <w:tc>
          <w:tcPr>
            <w:tcW w:w="3010" w:type="dxa"/>
          </w:tcPr>
          <w:p w:rsidR="00FE4973" w:rsidRPr="009656DE" w:rsidRDefault="00FE4973" w:rsidP="006D0922">
            <w:pPr>
              <w:pStyle w:val="naiskr"/>
              <w:spacing w:before="0" w:after="0"/>
              <w:rPr>
                <w:iCs/>
              </w:rPr>
            </w:pPr>
            <w:r w:rsidRPr="009656DE">
              <w:t>Sabiedrības mērķgrupas, kuras tiesiskais regulējums ietekmē vai varētu ietekmēt</w:t>
            </w:r>
          </w:p>
        </w:tc>
        <w:tc>
          <w:tcPr>
            <w:tcW w:w="6082" w:type="dxa"/>
          </w:tcPr>
          <w:p w:rsidR="004F304C" w:rsidRPr="00197064" w:rsidRDefault="00C60766" w:rsidP="00AA2D6D">
            <w:pPr>
              <w:pStyle w:val="naiskr"/>
              <w:tabs>
                <w:tab w:val="left" w:pos="2628"/>
              </w:tabs>
              <w:spacing w:before="0" w:after="120"/>
              <w:jc w:val="both"/>
            </w:pPr>
            <w:r>
              <w:rPr>
                <w:sz w:val="23"/>
                <w:szCs w:val="23"/>
              </w:rPr>
              <w:t>Iedzīvotāju ienākuma nodokļa maksātāji.</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2.</w:t>
            </w:r>
          </w:p>
        </w:tc>
        <w:tc>
          <w:tcPr>
            <w:tcW w:w="3010" w:type="dxa"/>
          </w:tcPr>
          <w:p w:rsidR="00FE4973" w:rsidRPr="009656DE" w:rsidRDefault="00FE4973" w:rsidP="006D0922">
            <w:pPr>
              <w:pStyle w:val="naiskr"/>
              <w:spacing w:before="0" w:after="0"/>
            </w:pPr>
            <w:r w:rsidRPr="009656DE">
              <w:t>Tiesiskā regulējuma ietekme uz tautsaimniecību un administratīvo slogu</w:t>
            </w:r>
          </w:p>
        </w:tc>
        <w:tc>
          <w:tcPr>
            <w:tcW w:w="6082" w:type="dxa"/>
          </w:tcPr>
          <w:p w:rsidR="00B9193F" w:rsidRPr="009656DE" w:rsidRDefault="00C17C11" w:rsidP="00506F1D">
            <w:pPr>
              <w:pStyle w:val="naiskr"/>
              <w:tabs>
                <w:tab w:val="left" w:pos="2628"/>
              </w:tabs>
              <w:spacing w:before="0" w:after="120"/>
              <w:jc w:val="both"/>
            </w:pPr>
            <w:r>
              <w:t>Pieaugs nodokļa maksātāju skaits, kuriem būs jāiesniedz iedzīvotāju ienākuma nodokļa deklarācija, lai izmantotu gada neapliekamā minimuma taksācijas gada laikā neizmantoto daļu.</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3.</w:t>
            </w:r>
          </w:p>
        </w:tc>
        <w:tc>
          <w:tcPr>
            <w:tcW w:w="3010" w:type="dxa"/>
          </w:tcPr>
          <w:p w:rsidR="00FE4973" w:rsidRPr="009656DE" w:rsidRDefault="00FE4973" w:rsidP="006D0922">
            <w:pPr>
              <w:pStyle w:val="naiskr"/>
              <w:tabs>
                <w:tab w:val="left" w:pos="2628"/>
              </w:tabs>
              <w:spacing w:before="0" w:after="0"/>
              <w:rPr>
                <w:iCs/>
              </w:rPr>
            </w:pPr>
            <w:r w:rsidRPr="009656DE">
              <w:t>Administratīvo izmaksu monetārs novērtējums</w:t>
            </w:r>
          </w:p>
        </w:tc>
        <w:tc>
          <w:tcPr>
            <w:tcW w:w="6082" w:type="dxa"/>
          </w:tcPr>
          <w:p w:rsidR="00FE4973" w:rsidRPr="001679AF" w:rsidRDefault="00303F8C" w:rsidP="00506F1D">
            <w:pPr>
              <w:pStyle w:val="naiskr"/>
              <w:tabs>
                <w:tab w:val="left" w:pos="2628"/>
              </w:tabs>
              <w:spacing w:before="0" w:after="120"/>
              <w:jc w:val="both"/>
              <w:rPr>
                <w:iCs/>
              </w:rPr>
            </w:pPr>
            <w:r>
              <w:rPr>
                <w:iCs/>
              </w:rPr>
              <w:t>Projekts šo jomu neskar.</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4.</w:t>
            </w:r>
          </w:p>
        </w:tc>
        <w:tc>
          <w:tcPr>
            <w:tcW w:w="3010" w:type="dxa"/>
          </w:tcPr>
          <w:p w:rsidR="00FE4973" w:rsidRPr="009656DE" w:rsidRDefault="00FE4973" w:rsidP="006D0922">
            <w:pPr>
              <w:pStyle w:val="naiskr"/>
              <w:tabs>
                <w:tab w:val="left" w:pos="2628"/>
              </w:tabs>
              <w:spacing w:before="0" w:after="0"/>
            </w:pPr>
            <w:r w:rsidRPr="009656DE">
              <w:t>Cita informācija</w:t>
            </w:r>
          </w:p>
        </w:tc>
        <w:tc>
          <w:tcPr>
            <w:tcW w:w="6082" w:type="dxa"/>
          </w:tcPr>
          <w:p w:rsidR="00FE4973" w:rsidRPr="009656DE" w:rsidRDefault="00F64A42" w:rsidP="00506F1D">
            <w:pPr>
              <w:pStyle w:val="naiskr"/>
              <w:tabs>
                <w:tab w:val="left" w:pos="2628"/>
              </w:tabs>
              <w:spacing w:before="0" w:after="120"/>
              <w:jc w:val="both"/>
            </w:pPr>
            <w:r w:rsidRPr="009656DE">
              <w:t>Nav.</w:t>
            </w:r>
          </w:p>
        </w:tc>
      </w:tr>
    </w:tbl>
    <w:p w:rsidR="00E62175" w:rsidRDefault="00E62175" w:rsidP="006D0922">
      <w:pPr>
        <w:pStyle w:val="naisf"/>
        <w:spacing w:before="0" w:after="0"/>
        <w:ind w:firstLine="0"/>
      </w:pPr>
    </w:p>
    <w:tbl>
      <w:tblPr>
        <w:tblpPr w:leftFromText="180" w:rightFromText="180" w:vertAnchor="text" w:tblpX="-262" w:tblpY="348"/>
        <w:tblW w:w="532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82"/>
        <w:gridCol w:w="867"/>
        <w:gridCol w:w="1419"/>
        <w:gridCol w:w="1309"/>
        <w:gridCol w:w="1309"/>
        <w:gridCol w:w="1554"/>
      </w:tblGrid>
      <w:tr w:rsidR="00C66859" w:rsidRPr="00C66859" w:rsidTr="00FE1592">
        <w:tc>
          <w:tcPr>
            <w:tcW w:w="5000" w:type="pct"/>
            <w:gridSpan w:val="6"/>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jc w:val="both"/>
              <w:rPr>
                <w:b/>
                <w:bCs/>
                <w:sz w:val="23"/>
                <w:szCs w:val="23"/>
                <w:lang w:eastAsia="ru-RU"/>
              </w:rPr>
            </w:pPr>
            <w:r w:rsidRPr="00C66859">
              <w:rPr>
                <w:b/>
                <w:bCs/>
                <w:sz w:val="23"/>
                <w:szCs w:val="23"/>
                <w:lang w:eastAsia="ru-RU"/>
              </w:rPr>
              <w:t>III. Tiesību akta projekta ietekme uz valsts budžetu un pašvaldību budžetiem</w:t>
            </w:r>
          </w:p>
        </w:tc>
      </w:tr>
      <w:tr w:rsidR="00C66859" w:rsidRPr="00C66859" w:rsidTr="00FE1592">
        <w:tc>
          <w:tcPr>
            <w:tcW w:w="1650" w:type="pct"/>
            <w:vMerge w:val="restar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both"/>
              <w:rPr>
                <w:b/>
                <w:bCs/>
                <w:sz w:val="23"/>
                <w:szCs w:val="23"/>
                <w:lang w:eastAsia="ru-RU"/>
              </w:rPr>
            </w:pPr>
            <w:r w:rsidRPr="00C66859">
              <w:rPr>
                <w:b/>
                <w:bCs/>
                <w:sz w:val="23"/>
                <w:szCs w:val="23"/>
                <w:lang w:eastAsia="ru-RU"/>
              </w:rPr>
              <w:t>Rādītāji</w:t>
            </w:r>
          </w:p>
        </w:tc>
        <w:tc>
          <w:tcPr>
            <w:tcW w:w="1185" w:type="pct"/>
            <w:gridSpan w:val="2"/>
            <w:vMerge w:val="restar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b/>
                <w:bCs/>
                <w:sz w:val="23"/>
                <w:szCs w:val="23"/>
                <w:lang w:eastAsia="ru-RU"/>
              </w:rPr>
            </w:pPr>
            <w:r w:rsidRPr="00C66859">
              <w:rPr>
                <w:b/>
                <w:bCs/>
                <w:sz w:val="23"/>
                <w:szCs w:val="23"/>
                <w:lang w:eastAsia="ru-RU"/>
              </w:rPr>
              <w:t>201</w:t>
            </w:r>
            <w:r>
              <w:rPr>
                <w:b/>
                <w:bCs/>
                <w:sz w:val="23"/>
                <w:szCs w:val="23"/>
                <w:lang w:eastAsia="ru-RU"/>
              </w:rPr>
              <w:t>5</w:t>
            </w:r>
          </w:p>
        </w:tc>
        <w:tc>
          <w:tcPr>
            <w:tcW w:w="2165" w:type="pct"/>
            <w:gridSpan w:val="3"/>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both"/>
              <w:rPr>
                <w:sz w:val="23"/>
                <w:szCs w:val="23"/>
                <w:lang w:eastAsia="ru-RU"/>
              </w:rPr>
            </w:pPr>
            <w:r w:rsidRPr="00C66859">
              <w:rPr>
                <w:sz w:val="23"/>
                <w:szCs w:val="23"/>
                <w:lang w:eastAsia="ru-RU"/>
              </w:rPr>
              <w:t>Turpmākie trīs gadi (tūkst. latu)</w:t>
            </w:r>
          </w:p>
        </w:tc>
      </w:tr>
      <w:tr w:rsidR="00C66859" w:rsidRPr="00C66859" w:rsidTr="00FE1592">
        <w:tc>
          <w:tcPr>
            <w:tcW w:w="1650"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both"/>
              <w:rPr>
                <w:b/>
                <w:bCs/>
                <w:sz w:val="23"/>
                <w:szCs w:val="23"/>
                <w:lang w:eastAsia="ru-RU"/>
              </w:rPr>
            </w:pPr>
          </w:p>
        </w:tc>
        <w:tc>
          <w:tcPr>
            <w:tcW w:w="1185" w:type="pct"/>
            <w:gridSpan w:val="2"/>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both"/>
              <w:rPr>
                <w:b/>
                <w:bCs/>
                <w:sz w:val="23"/>
                <w:szCs w:val="23"/>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b/>
                <w:bCs/>
                <w:sz w:val="23"/>
                <w:szCs w:val="23"/>
                <w:lang w:eastAsia="ru-RU"/>
              </w:rPr>
            </w:pPr>
            <w:r w:rsidRPr="00C66859">
              <w:rPr>
                <w:b/>
                <w:bCs/>
                <w:sz w:val="23"/>
                <w:szCs w:val="23"/>
                <w:lang w:eastAsia="ru-RU"/>
              </w:rPr>
              <w:t>201</w:t>
            </w:r>
            <w:r>
              <w:rPr>
                <w:b/>
                <w:bCs/>
                <w:sz w:val="23"/>
                <w:szCs w:val="23"/>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b/>
                <w:bCs/>
                <w:sz w:val="23"/>
                <w:szCs w:val="23"/>
                <w:lang w:eastAsia="ru-RU"/>
              </w:rPr>
            </w:pPr>
            <w:r w:rsidRPr="00C66859">
              <w:rPr>
                <w:b/>
                <w:bCs/>
                <w:sz w:val="23"/>
                <w:szCs w:val="23"/>
                <w:lang w:eastAsia="ru-RU"/>
              </w:rPr>
              <w:t>201</w:t>
            </w:r>
            <w:r>
              <w:rPr>
                <w:b/>
                <w:bCs/>
                <w:sz w:val="23"/>
                <w:szCs w:val="23"/>
                <w:lang w:eastAsia="ru-RU"/>
              </w:rPr>
              <w:t>7</w:t>
            </w:r>
          </w:p>
        </w:tc>
        <w:tc>
          <w:tcPr>
            <w:tcW w:w="806"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b/>
                <w:bCs/>
                <w:sz w:val="23"/>
                <w:szCs w:val="23"/>
                <w:lang w:eastAsia="ru-RU"/>
              </w:rPr>
            </w:pPr>
            <w:r w:rsidRPr="00C66859">
              <w:rPr>
                <w:b/>
                <w:bCs/>
                <w:sz w:val="23"/>
                <w:szCs w:val="23"/>
                <w:lang w:eastAsia="ru-RU"/>
              </w:rPr>
              <w:t>201</w:t>
            </w:r>
            <w:r>
              <w:rPr>
                <w:b/>
                <w:bCs/>
                <w:sz w:val="23"/>
                <w:szCs w:val="23"/>
                <w:lang w:eastAsia="ru-RU"/>
              </w:rPr>
              <w:t>8</w:t>
            </w:r>
          </w:p>
        </w:tc>
      </w:tr>
      <w:tr w:rsidR="00C66859" w:rsidRPr="00C66859" w:rsidTr="00FE1592">
        <w:tc>
          <w:tcPr>
            <w:tcW w:w="1650"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both"/>
              <w:rPr>
                <w:b/>
                <w:bCs/>
                <w:sz w:val="23"/>
                <w:szCs w:val="23"/>
                <w:lang w:eastAsia="ru-RU"/>
              </w:rPr>
            </w:pPr>
          </w:p>
        </w:tc>
        <w:tc>
          <w:tcPr>
            <w:tcW w:w="449"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Izmaiņas, salīdzinot ar kārtējo (n) gadu</w:t>
            </w:r>
          </w:p>
        </w:tc>
        <w:tc>
          <w:tcPr>
            <w:tcW w:w="806"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Izmaiņas, salīdzinot ar kārtējo (n) gadu</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1</w:t>
            </w:r>
          </w:p>
        </w:tc>
        <w:tc>
          <w:tcPr>
            <w:tcW w:w="449"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2</w:t>
            </w:r>
          </w:p>
        </w:tc>
        <w:tc>
          <w:tcPr>
            <w:tcW w:w="735"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5</w:t>
            </w:r>
          </w:p>
        </w:tc>
        <w:tc>
          <w:tcPr>
            <w:tcW w:w="806"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6</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jc w:val="both"/>
              <w:rPr>
                <w:sz w:val="23"/>
                <w:szCs w:val="23"/>
                <w:lang w:eastAsia="ru-RU"/>
              </w:rPr>
            </w:pPr>
            <w:r w:rsidRPr="00C66859">
              <w:rPr>
                <w:sz w:val="23"/>
                <w:szCs w:val="23"/>
                <w:lang w:eastAsia="ru-RU"/>
              </w:rPr>
              <w:t>1. Budžeta ieņēmumi:</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1.1. valsts pamatbudžets, tai skaitā ieņēmumi no maksas pakalpojumiem un citi pašu ieņēmumi</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1.2. valsts speciālais 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1.3. pašvaldību 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2. Budžeta izdevumi:</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ind w:left="95" w:hanging="27"/>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2.1. valsts pamatbudžets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2.2. valsts speciālais 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2.3. pašvaldību 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3. Finansiālā ietekme:</w:t>
            </w:r>
          </w:p>
        </w:tc>
        <w:tc>
          <w:tcPr>
            <w:tcW w:w="449" w:type="pct"/>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3.1. valsts pamatbudžets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3.2. speciālais 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3.3. pašvaldību budžets</w:t>
            </w:r>
          </w:p>
        </w:tc>
        <w:tc>
          <w:tcPr>
            <w:tcW w:w="449"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vMerge w:val="restar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lastRenderedPageBreak/>
              <w:t>4. Finanšu līdzekļi papildu izde</w:t>
            </w:r>
            <w:r w:rsidRPr="00C66859">
              <w:rPr>
                <w:sz w:val="23"/>
                <w:szCs w:val="23"/>
                <w:lang w:eastAsia="ru-RU"/>
              </w:rPr>
              <w:softHyphen/>
              <w:t>vumu finansēšanai (kompensējošu izdevumu samazinājumu norāda ar "+" zīmi)</w:t>
            </w:r>
          </w:p>
        </w:tc>
        <w:tc>
          <w:tcPr>
            <w:tcW w:w="449" w:type="pct"/>
            <w:vMerge w:val="restar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X</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rPr>
                <w:sz w:val="23"/>
                <w:szCs w:val="23"/>
                <w:lang w:eastAsia="ru-RU"/>
              </w:rPr>
            </w:pPr>
          </w:p>
        </w:tc>
        <w:tc>
          <w:tcPr>
            <w:tcW w:w="449"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center"/>
              <w:rPr>
                <w:sz w:val="23"/>
                <w:szCs w:val="23"/>
                <w:lang w:eastAsia="ru-RU"/>
              </w:rPr>
            </w:pP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rPr>
                <w:sz w:val="23"/>
                <w:szCs w:val="23"/>
                <w:lang w:eastAsia="ru-RU"/>
              </w:rPr>
            </w:pPr>
          </w:p>
        </w:tc>
        <w:tc>
          <w:tcPr>
            <w:tcW w:w="449"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center"/>
              <w:rPr>
                <w:sz w:val="23"/>
                <w:szCs w:val="23"/>
                <w:lang w:eastAsia="ru-RU"/>
              </w:rPr>
            </w:pP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5. Precizēta finansiālā ietekme:</w:t>
            </w:r>
          </w:p>
        </w:tc>
        <w:tc>
          <w:tcPr>
            <w:tcW w:w="449" w:type="pct"/>
            <w:vMerge w:val="restar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jc w:val="center"/>
              <w:rPr>
                <w:sz w:val="23"/>
                <w:szCs w:val="23"/>
                <w:lang w:eastAsia="ru-RU"/>
              </w:rPr>
            </w:pPr>
            <w:r w:rsidRPr="00C66859">
              <w:rPr>
                <w:sz w:val="23"/>
                <w:szCs w:val="23"/>
                <w:lang w:eastAsia="ru-RU"/>
              </w:rPr>
              <w:t>X</w:t>
            </w: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5.1. valsts pamatbudžets</w:t>
            </w:r>
          </w:p>
        </w:tc>
        <w:tc>
          <w:tcPr>
            <w:tcW w:w="449"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center"/>
              <w:rPr>
                <w:sz w:val="23"/>
                <w:szCs w:val="23"/>
                <w:lang w:eastAsia="ru-RU"/>
              </w:rPr>
            </w:pP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5.2. speciālais budžets</w:t>
            </w:r>
          </w:p>
        </w:tc>
        <w:tc>
          <w:tcPr>
            <w:tcW w:w="449"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center"/>
              <w:rPr>
                <w:sz w:val="23"/>
                <w:szCs w:val="23"/>
                <w:lang w:eastAsia="ru-RU"/>
              </w:rPr>
            </w:pP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5.3. pašvaldību budžets</w:t>
            </w:r>
          </w:p>
        </w:tc>
        <w:tc>
          <w:tcPr>
            <w:tcW w:w="449" w:type="pct"/>
            <w:vMerge/>
            <w:tcBorders>
              <w:top w:val="outset" w:sz="6" w:space="0" w:color="000000"/>
              <w:left w:val="outset" w:sz="6" w:space="0" w:color="000000"/>
              <w:bottom w:val="outset" w:sz="6" w:space="0" w:color="000000"/>
              <w:right w:val="outset" w:sz="6" w:space="0" w:color="000000"/>
            </w:tcBorders>
            <w:vAlign w:val="center"/>
          </w:tcPr>
          <w:p w:rsidR="00C66859" w:rsidRPr="00C66859" w:rsidRDefault="00C66859" w:rsidP="00B956A0">
            <w:pPr>
              <w:jc w:val="center"/>
              <w:rPr>
                <w:sz w:val="23"/>
                <w:szCs w:val="23"/>
                <w:lang w:eastAsia="ru-RU"/>
              </w:rPr>
            </w:pPr>
          </w:p>
        </w:tc>
        <w:tc>
          <w:tcPr>
            <w:tcW w:w="735"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c>
          <w:tcPr>
            <w:tcW w:w="806"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line="360" w:lineRule="auto"/>
              <w:jc w:val="center"/>
              <w:rPr>
                <w:sz w:val="23"/>
                <w:szCs w:val="23"/>
                <w:lang w:eastAsia="ru-RU"/>
              </w:rPr>
            </w:pPr>
            <w:r w:rsidRPr="00C66859">
              <w:rPr>
                <w:sz w:val="23"/>
                <w:szCs w:val="23"/>
                <w:lang w:eastAsia="ru-RU"/>
              </w:rPr>
              <w:t>0</w:t>
            </w: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6. Detalizēts ieņēmumu un izdevu</w:t>
            </w:r>
            <w:r w:rsidRPr="00C66859">
              <w:rPr>
                <w:sz w:val="23"/>
                <w:szCs w:val="23"/>
                <w:lang w:eastAsia="ru-RU"/>
              </w:rPr>
              <w:softHyphen/>
              <w:t>mu aprēķins (ja nepieciešams, detalizētu ieņēmumu un izdevumu aprēķinu var pievienot anotācijas pielikumā):</w:t>
            </w:r>
          </w:p>
        </w:tc>
        <w:tc>
          <w:tcPr>
            <w:tcW w:w="3350" w:type="pct"/>
            <w:gridSpan w:val="5"/>
            <w:vMerge w:val="restart"/>
            <w:tcBorders>
              <w:top w:val="outset" w:sz="6" w:space="0" w:color="000000"/>
              <w:left w:val="outset" w:sz="6" w:space="0" w:color="000000"/>
              <w:right w:val="outset" w:sz="6" w:space="0" w:color="000000"/>
            </w:tcBorders>
            <w:vAlign w:val="center"/>
          </w:tcPr>
          <w:p w:rsidR="00B956A0" w:rsidRPr="00A66B0C" w:rsidRDefault="00B956A0" w:rsidP="00B956A0">
            <w:pPr>
              <w:jc w:val="both"/>
              <w:rPr>
                <w:b/>
              </w:rPr>
            </w:pPr>
            <w:r w:rsidRPr="00A66B0C">
              <w:rPr>
                <w:b/>
              </w:rPr>
              <w:t>Kopējā fiskālā ietekme</w:t>
            </w:r>
            <w:r>
              <w:rPr>
                <w:b/>
              </w:rPr>
              <w:t xml:space="preserve"> tūkst.</w:t>
            </w:r>
            <w:r w:rsidRPr="00DF5D27">
              <w:rPr>
                <w:b/>
                <w:i/>
              </w:rPr>
              <w:t>euro</w:t>
            </w:r>
            <w:r>
              <w:rPr>
                <w:b/>
              </w:rPr>
              <w:t xml:space="preserve"> no noteikumu projekta izmaiņām</w:t>
            </w:r>
            <w:r w:rsidRPr="00A66B0C">
              <w:rPr>
                <w:b/>
              </w:rPr>
              <w:t>*</w:t>
            </w:r>
          </w:p>
          <w:tbl>
            <w:tblPr>
              <w:tblpPr w:leftFromText="180" w:rightFromText="180" w:vertAnchor="text" w:tblpX="-112" w:tblpY="348"/>
              <w:tblW w:w="502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55"/>
              <w:gridCol w:w="1166"/>
              <w:gridCol w:w="1053"/>
              <w:gridCol w:w="1053"/>
            </w:tblGrid>
            <w:tr w:rsidR="00B956A0" w:rsidRPr="00C66859" w:rsidTr="004B4070">
              <w:tc>
                <w:tcPr>
                  <w:tcW w:w="1746" w:type="pct"/>
                  <w:tcBorders>
                    <w:top w:val="outset" w:sz="6" w:space="0" w:color="000000"/>
                    <w:left w:val="outset" w:sz="6" w:space="0" w:color="000000"/>
                    <w:bottom w:val="outset" w:sz="6" w:space="0" w:color="000000"/>
                    <w:right w:val="outset" w:sz="6" w:space="0" w:color="000000"/>
                  </w:tcBorders>
                  <w:vAlign w:val="center"/>
                </w:tcPr>
                <w:p w:rsidR="00B956A0" w:rsidRPr="007E7EBA" w:rsidRDefault="00B956A0" w:rsidP="00B956A0">
                  <w:pPr>
                    <w:jc w:val="both"/>
                    <w:rPr>
                      <w:b/>
                      <w:bCs/>
                      <w:sz w:val="16"/>
                      <w:szCs w:val="16"/>
                      <w:lang w:eastAsia="ru-RU"/>
                    </w:rPr>
                  </w:pPr>
                  <w:r>
                    <w:rPr>
                      <w:b/>
                      <w:bCs/>
                      <w:sz w:val="16"/>
                      <w:szCs w:val="16"/>
                      <w:lang w:eastAsia="ru-RU"/>
                    </w:rPr>
                    <w:t>IIN</w:t>
                  </w:r>
                </w:p>
              </w:tc>
              <w:tc>
                <w:tcPr>
                  <w:tcW w:w="0" w:type="auto"/>
                  <w:tcBorders>
                    <w:top w:val="outset" w:sz="6" w:space="0" w:color="000000"/>
                    <w:left w:val="outset" w:sz="6" w:space="0" w:color="000000"/>
                    <w:bottom w:val="outset" w:sz="6" w:space="0" w:color="000000"/>
                    <w:right w:val="outset" w:sz="6" w:space="0" w:color="000000"/>
                  </w:tcBorders>
                  <w:vAlign w:val="center"/>
                </w:tcPr>
                <w:p w:rsidR="00B956A0" w:rsidRPr="007E7EBA" w:rsidRDefault="00B956A0" w:rsidP="00B956A0">
                  <w:pPr>
                    <w:spacing w:before="100" w:beforeAutospacing="1" w:after="100" w:afterAutospacing="1"/>
                    <w:jc w:val="center"/>
                    <w:rPr>
                      <w:b/>
                      <w:bCs/>
                      <w:sz w:val="16"/>
                      <w:szCs w:val="16"/>
                      <w:lang w:eastAsia="ru-RU"/>
                    </w:rPr>
                  </w:pPr>
                  <w:r w:rsidRPr="007E7EBA">
                    <w:rPr>
                      <w:b/>
                      <w:bCs/>
                      <w:sz w:val="16"/>
                      <w:szCs w:val="16"/>
                      <w:lang w:eastAsia="ru-RU"/>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B956A0" w:rsidRPr="007E7EBA" w:rsidRDefault="00B956A0" w:rsidP="00B956A0">
                  <w:pPr>
                    <w:spacing w:before="100" w:beforeAutospacing="1" w:after="100" w:afterAutospacing="1"/>
                    <w:jc w:val="center"/>
                    <w:rPr>
                      <w:b/>
                      <w:bCs/>
                      <w:sz w:val="16"/>
                      <w:szCs w:val="16"/>
                      <w:lang w:eastAsia="ru-RU"/>
                    </w:rPr>
                  </w:pPr>
                  <w:r w:rsidRPr="007E7EBA">
                    <w:rPr>
                      <w:b/>
                      <w:bCs/>
                      <w:sz w:val="16"/>
                      <w:szCs w:val="16"/>
                      <w:lang w:eastAsia="ru-RU"/>
                    </w:rPr>
                    <w:t>2017</w:t>
                  </w:r>
                </w:p>
              </w:tc>
              <w:tc>
                <w:tcPr>
                  <w:tcW w:w="1047" w:type="pct"/>
                  <w:tcBorders>
                    <w:top w:val="outset" w:sz="6" w:space="0" w:color="000000"/>
                    <w:left w:val="outset" w:sz="6" w:space="0" w:color="000000"/>
                    <w:bottom w:val="outset" w:sz="6" w:space="0" w:color="000000"/>
                    <w:right w:val="outset" w:sz="6" w:space="0" w:color="000000"/>
                  </w:tcBorders>
                  <w:vAlign w:val="center"/>
                </w:tcPr>
                <w:p w:rsidR="00B956A0" w:rsidRPr="007E7EBA" w:rsidRDefault="00B956A0" w:rsidP="00B956A0">
                  <w:pPr>
                    <w:spacing w:before="100" w:beforeAutospacing="1" w:after="100" w:afterAutospacing="1"/>
                    <w:jc w:val="center"/>
                    <w:rPr>
                      <w:b/>
                      <w:bCs/>
                      <w:sz w:val="16"/>
                      <w:szCs w:val="16"/>
                      <w:lang w:eastAsia="ru-RU"/>
                    </w:rPr>
                  </w:pPr>
                  <w:r w:rsidRPr="007E7EBA">
                    <w:rPr>
                      <w:b/>
                      <w:bCs/>
                      <w:sz w:val="16"/>
                      <w:szCs w:val="16"/>
                      <w:lang w:eastAsia="ru-RU"/>
                    </w:rPr>
                    <w:t>2018</w:t>
                  </w:r>
                </w:p>
              </w:tc>
            </w:tr>
            <w:tr w:rsidR="00B956A0" w:rsidRPr="00C66859" w:rsidTr="004B4070">
              <w:tc>
                <w:tcPr>
                  <w:tcW w:w="1746"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before="100" w:beforeAutospacing="1" w:after="100" w:afterAutospacing="1"/>
                    <w:rPr>
                      <w:sz w:val="16"/>
                      <w:szCs w:val="16"/>
                      <w:lang w:eastAsia="ru-RU"/>
                    </w:rPr>
                  </w:pPr>
                  <w:r w:rsidRPr="007E7EBA">
                    <w:rPr>
                      <w:sz w:val="16"/>
                      <w:szCs w:val="16"/>
                      <w:lang w:eastAsia="ru-RU"/>
                    </w:rPr>
                    <w:t>3. Finansiālā ietekme:</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+11527,460</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+8357,460</w:t>
                  </w:r>
                </w:p>
              </w:tc>
              <w:tc>
                <w:tcPr>
                  <w:tcW w:w="1047"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+7537,460</w:t>
                  </w:r>
                </w:p>
              </w:tc>
            </w:tr>
            <w:tr w:rsidR="00B956A0" w:rsidRPr="00C66859" w:rsidTr="004B4070">
              <w:tc>
                <w:tcPr>
                  <w:tcW w:w="1746"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before="100" w:beforeAutospacing="1" w:after="100" w:afterAutospacing="1"/>
                    <w:rPr>
                      <w:sz w:val="16"/>
                      <w:szCs w:val="16"/>
                      <w:lang w:eastAsia="ru-RU"/>
                    </w:rPr>
                  </w:pPr>
                  <w:r w:rsidRPr="007E7EBA">
                    <w:rPr>
                      <w:sz w:val="16"/>
                      <w:szCs w:val="16"/>
                      <w:lang w:eastAsia="ru-RU"/>
                    </w:rPr>
                    <w:t>3.1. valsts pamatbudžets</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+2305,492</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+1671,492</w:t>
                  </w:r>
                </w:p>
              </w:tc>
              <w:tc>
                <w:tcPr>
                  <w:tcW w:w="1047"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+1507,492</w:t>
                  </w:r>
                </w:p>
              </w:tc>
            </w:tr>
            <w:tr w:rsidR="00B956A0" w:rsidRPr="00C66859" w:rsidTr="004B4070">
              <w:tc>
                <w:tcPr>
                  <w:tcW w:w="1746"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before="100" w:beforeAutospacing="1" w:after="100" w:afterAutospacing="1"/>
                    <w:rPr>
                      <w:sz w:val="16"/>
                      <w:szCs w:val="16"/>
                      <w:lang w:eastAsia="ru-RU"/>
                    </w:rPr>
                  </w:pPr>
                  <w:r w:rsidRPr="007E7EBA">
                    <w:rPr>
                      <w:sz w:val="16"/>
                      <w:szCs w:val="16"/>
                      <w:lang w:eastAsia="ru-RU"/>
                    </w:rPr>
                    <w:t>3.2. speciālais budžets</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0</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0</w:t>
                  </w:r>
                </w:p>
              </w:tc>
              <w:tc>
                <w:tcPr>
                  <w:tcW w:w="1047"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0</w:t>
                  </w:r>
                </w:p>
              </w:tc>
            </w:tr>
            <w:tr w:rsidR="00B956A0" w:rsidRPr="00C66859" w:rsidTr="004B4070">
              <w:tc>
                <w:tcPr>
                  <w:tcW w:w="1746"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before="100" w:beforeAutospacing="1" w:after="100" w:afterAutospacing="1"/>
                    <w:rPr>
                      <w:sz w:val="16"/>
                      <w:szCs w:val="16"/>
                      <w:lang w:eastAsia="ru-RU"/>
                    </w:rPr>
                  </w:pPr>
                  <w:r w:rsidRPr="007E7EBA">
                    <w:rPr>
                      <w:sz w:val="16"/>
                      <w:szCs w:val="16"/>
                      <w:lang w:eastAsia="ru-RU"/>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+9221,968</w:t>
                  </w:r>
                </w:p>
              </w:tc>
              <w:tc>
                <w:tcPr>
                  <w:tcW w:w="0" w:type="auto"/>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+6685,968</w:t>
                  </w:r>
                </w:p>
              </w:tc>
              <w:tc>
                <w:tcPr>
                  <w:tcW w:w="1047" w:type="pct"/>
                  <w:tcBorders>
                    <w:top w:val="outset" w:sz="6" w:space="0" w:color="000000"/>
                    <w:left w:val="outset" w:sz="6" w:space="0" w:color="000000"/>
                    <w:bottom w:val="outset" w:sz="6" w:space="0" w:color="000000"/>
                    <w:right w:val="outset" w:sz="6" w:space="0" w:color="000000"/>
                  </w:tcBorders>
                </w:tcPr>
                <w:p w:rsidR="00B956A0" w:rsidRPr="007E7EBA" w:rsidRDefault="00B956A0" w:rsidP="00B956A0">
                  <w:pPr>
                    <w:spacing w:line="360" w:lineRule="auto"/>
                    <w:jc w:val="center"/>
                    <w:rPr>
                      <w:sz w:val="16"/>
                      <w:szCs w:val="16"/>
                      <w:lang w:eastAsia="ru-RU"/>
                    </w:rPr>
                  </w:pPr>
                  <w:r w:rsidRPr="007E7EBA">
                    <w:rPr>
                      <w:sz w:val="16"/>
                      <w:szCs w:val="16"/>
                      <w:lang w:eastAsia="ru-RU"/>
                    </w:rPr>
                    <w:t>+6029,968</w:t>
                  </w:r>
                </w:p>
              </w:tc>
            </w:tr>
          </w:tbl>
          <w:p w:rsidR="00B956A0" w:rsidRDefault="00B956A0" w:rsidP="00B956A0">
            <w:pPr>
              <w:jc w:val="both"/>
            </w:pPr>
          </w:p>
          <w:p w:rsidR="00B956A0" w:rsidRDefault="00B956A0" w:rsidP="00B956A0">
            <w:pPr>
              <w:jc w:val="both"/>
            </w:pPr>
          </w:p>
          <w:p w:rsidR="00B956A0" w:rsidRDefault="00B956A0" w:rsidP="00B956A0">
            <w:pPr>
              <w:jc w:val="both"/>
            </w:pPr>
          </w:p>
          <w:p w:rsidR="00B956A0" w:rsidRDefault="00B956A0" w:rsidP="00B956A0">
            <w:pPr>
              <w:ind w:firstLine="360"/>
              <w:jc w:val="both"/>
            </w:pPr>
            <w:r w:rsidRPr="00A66B0C">
              <w:t>*</w:t>
            </w:r>
            <w:r w:rsidRPr="007E7EBA">
              <w:rPr>
                <w:color w:val="000000" w:themeColor="text1"/>
              </w:rPr>
              <w:t>Pamatojoties Saeimas 2015.gada 30.novembra sēdē atbalstīto  likumprojektu “</w:t>
            </w:r>
            <w:r w:rsidRPr="007E7EBA">
              <w:rPr>
                <w:bCs/>
                <w:color w:val="000000" w:themeColor="text1"/>
              </w:rPr>
              <w:t>Par valsts budžetu 2016.gadam”</w:t>
            </w:r>
            <w:r w:rsidRPr="007E7EBA">
              <w:rPr>
                <w:color w:val="000000" w:themeColor="text1"/>
              </w:rPr>
              <w:t xml:space="preserve"> un  likumprojektu “</w:t>
            </w:r>
            <w:r w:rsidRPr="007E7EBA">
              <w:rPr>
                <w:bCs/>
                <w:color w:val="000000" w:themeColor="text1"/>
              </w:rPr>
              <w:t>Par vidēja termiņa budžeta ietvaru 2016., 2017. un 2018.gadam”</w:t>
            </w:r>
            <w:r w:rsidRPr="007E7EBA">
              <w:rPr>
                <w:color w:val="000000" w:themeColor="text1"/>
              </w:rPr>
              <w:t>, noteikumu projekta fiskālā ietekme ir iekļauta bāzes prognozēs.</w:t>
            </w:r>
          </w:p>
          <w:p w:rsidR="00B956A0" w:rsidRDefault="00B956A0" w:rsidP="00B956A0">
            <w:pPr>
              <w:ind w:firstLine="360"/>
              <w:jc w:val="both"/>
            </w:pPr>
          </w:p>
          <w:p w:rsidR="00790965" w:rsidRPr="00790965" w:rsidRDefault="00790965" w:rsidP="00B956A0">
            <w:pPr>
              <w:ind w:firstLine="360"/>
              <w:jc w:val="both"/>
            </w:pPr>
            <w:r w:rsidRPr="00790965">
              <w:t>Valsts ieņēmumu dienestam, lai ieviestu plānotos grozījumus likumprojektā „Par iedzīvotāju ienākuma nodokli” un veiktu izmaiņas informācijas sistēmās, paredzamās izmaksas plānotas 59 979 EUR, tajā skaitā:</w:t>
            </w:r>
          </w:p>
          <w:p w:rsidR="00790965" w:rsidRPr="00790965" w:rsidRDefault="00790965" w:rsidP="00B956A0">
            <w:pPr>
              <w:ind w:firstLine="360"/>
              <w:jc w:val="both"/>
            </w:pPr>
            <w:r w:rsidRPr="00790965">
              <w:t>•</w:t>
            </w:r>
            <w:r w:rsidRPr="00790965">
              <w:tab/>
              <w:t>Nodokļu informācijas sistēmā 20 297 EUR;</w:t>
            </w:r>
          </w:p>
          <w:p w:rsidR="00790965" w:rsidRPr="00790965" w:rsidRDefault="00790965" w:rsidP="00B956A0">
            <w:pPr>
              <w:ind w:firstLine="360"/>
              <w:jc w:val="both"/>
            </w:pPr>
            <w:r w:rsidRPr="00790965">
              <w:t>•</w:t>
            </w:r>
            <w:r w:rsidRPr="00790965">
              <w:tab/>
              <w:t>Elektroniskās deklarēšanas sistēmā 15 428 EUR;</w:t>
            </w:r>
          </w:p>
          <w:p w:rsidR="00790965" w:rsidRPr="00790965" w:rsidRDefault="00790965" w:rsidP="00B956A0">
            <w:pPr>
              <w:ind w:firstLine="360"/>
              <w:jc w:val="both"/>
            </w:pPr>
            <w:r w:rsidRPr="00790965">
              <w:t>•</w:t>
            </w:r>
            <w:r w:rsidRPr="00790965">
              <w:tab/>
              <w:t>Datu noliktavas sistēmā 7 892 EUR;</w:t>
            </w:r>
          </w:p>
          <w:p w:rsidR="00790965" w:rsidRPr="00790965" w:rsidRDefault="00790965" w:rsidP="00B956A0">
            <w:pPr>
              <w:ind w:firstLine="360"/>
              <w:jc w:val="both"/>
            </w:pPr>
            <w:r w:rsidRPr="00790965">
              <w:t>•</w:t>
            </w:r>
            <w:r w:rsidRPr="00790965">
              <w:tab/>
              <w:t xml:space="preserve">Audita atbalsta informācijas sistēmā 16 362 EUR. </w:t>
            </w:r>
          </w:p>
          <w:p w:rsidR="00790965" w:rsidRPr="00A24486" w:rsidRDefault="00790965" w:rsidP="00B956A0">
            <w:pPr>
              <w:jc w:val="both"/>
            </w:pPr>
            <w:r w:rsidRPr="00A24486">
              <w:t>VID IS realizācijas izmaksas ir aptuvenas un prasību precizēšanas gaitā var būtiski mainīties. Ņemot vērā Nodokļu pārvaldes viedokli, ka nodokļu maksātājam (NM), lai saņemtu diferencēto gada neapliekamo minimumu (GNM), Gada ienākumu deklarācija  būs jāsniedz pēc savas iniciatīvas, izmaksu vērtējumā nav iekļauta NM apziņošanas un automātiskās atmaksas iespējas, kā arī nav vērtēta iespēja Gada ienākumu deklarāciju papildināt ar pielikumu diferencētā minimuma aprēķināšanai. Vērtējumā nav iekļautas arī nodokļa maksātāju apziņošanas un automatizācijas iespējas.</w:t>
            </w:r>
          </w:p>
          <w:p w:rsidR="00C66859" w:rsidRPr="00C66859" w:rsidRDefault="00C66859" w:rsidP="00B956A0">
            <w:pPr>
              <w:jc w:val="both"/>
              <w:rPr>
                <w:rFonts w:ascii="Calibri" w:eastAsia="Calibri" w:hAnsi="Calibri" w:cs="Calibri"/>
                <w:sz w:val="23"/>
                <w:szCs w:val="23"/>
              </w:rPr>
            </w:pP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6.1. detalizēts ieņēmumu aprēķins</w:t>
            </w:r>
          </w:p>
        </w:tc>
        <w:tc>
          <w:tcPr>
            <w:tcW w:w="3350" w:type="pct"/>
            <w:gridSpan w:val="5"/>
            <w:vMerge/>
            <w:tcBorders>
              <w:left w:val="outset" w:sz="6" w:space="0" w:color="000000"/>
              <w:right w:val="outset" w:sz="6" w:space="0" w:color="000000"/>
            </w:tcBorders>
            <w:vAlign w:val="center"/>
          </w:tcPr>
          <w:p w:rsidR="00C66859" w:rsidRPr="00C66859" w:rsidRDefault="00C66859" w:rsidP="00B956A0">
            <w:pPr>
              <w:jc w:val="both"/>
              <w:rPr>
                <w:sz w:val="23"/>
                <w:szCs w:val="23"/>
                <w:lang w:eastAsia="ru-RU"/>
              </w:rPr>
            </w:pP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6.2. detalizēts izdevumu aprēķins</w:t>
            </w:r>
          </w:p>
        </w:tc>
        <w:tc>
          <w:tcPr>
            <w:tcW w:w="3350" w:type="pct"/>
            <w:gridSpan w:val="5"/>
            <w:vMerge/>
            <w:tcBorders>
              <w:left w:val="outset" w:sz="6" w:space="0" w:color="000000"/>
              <w:bottom w:val="outset" w:sz="6" w:space="0" w:color="000000"/>
              <w:right w:val="outset" w:sz="6" w:space="0" w:color="000000"/>
            </w:tcBorders>
            <w:vAlign w:val="center"/>
          </w:tcPr>
          <w:p w:rsidR="00C66859" w:rsidRPr="00C66859" w:rsidRDefault="00C66859" w:rsidP="00B956A0">
            <w:pPr>
              <w:jc w:val="both"/>
              <w:rPr>
                <w:sz w:val="23"/>
                <w:szCs w:val="23"/>
                <w:lang w:eastAsia="ru-RU"/>
              </w:rPr>
            </w:pPr>
          </w:p>
        </w:tc>
      </w:tr>
      <w:tr w:rsidR="00C66859" w:rsidRPr="00C66859" w:rsidTr="00FE1592">
        <w:tc>
          <w:tcPr>
            <w:tcW w:w="1650" w:type="pct"/>
            <w:tcBorders>
              <w:top w:val="outset" w:sz="6" w:space="0" w:color="000000"/>
              <w:left w:val="outset" w:sz="6" w:space="0" w:color="000000"/>
              <w:bottom w:val="outset" w:sz="6" w:space="0" w:color="000000"/>
              <w:right w:val="outset" w:sz="6" w:space="0" w:color="000000"/>
            </w:tcBorders>
          </w:tcPr>
          <w:p w:rsidR="00C66859" w:rsidRPr="00C66859" w:rsidRDefault="00C66859" w:rsidP="00B956A0">
            <w:pPr>
              <w:spacing w:before="100" w:beforeAutospacing="1" w:after="100" w:afterAutospacing="1"/>
              <w:rPr>
                <w:sz w:val="23"/>
                <w:szCs w:val="23"/>
                <w:lang w:eastAsia="ru-RU"/>
              </w:rPr>
            </w:pPr>
            <w:r w:rsidRPr="00C66859">
              <w:rPr>
                <w:sz w:val="23"/>
                <w:szCs w:val="23"/>
                <w:lang w:eastAsia="ru-RU"/>
              </w:rPr>
              <w:t>7. Cita informācija</w:t>
            </w:r>
          </w:p>
        </w:tc>
        <w:tc>
          <w:tcPr>
            <w:tcW w:w="3350" w:type="pct"/>
            <w:gridSpan w:val="5"/>
            <w:tcBorders>
              <w:top w:val="outset" w:sz="6" w:space="0" w:color="000000"/>
              <w:left w:val="outset" w:sz="6" w:space="0" w:color="000000"/>
              <w:bottom w:val="outset" w:sz="6" w:space="0" w:color="000000"/>
              <w:right w:val="outset" w:sz="6" w:space="0" w:color="000000"/>
            </w:tcBorders>
          </w:tcPr>
          <w:p w:rsidR="00B956A0" w:rsidRDefault="00B956A0" w:rsidP="00B956A0">
            <w:pPr>
              <w:jc w:val="both"/>
            </w:pPr>
            <w:r w:rsidRPr="00B6024A">
              <w:t xml:space="preserve">Kopējās izmaiņas iedzīvotāju ienākuma nodokļa ieņēmumos ir saistītas ar neapliekamā minimuma saglabāšanu esošajā apmērā, atvieglojuma par apgādībā esošu personu paaugstināšanu par 10 </w:t>
            </w:r>
            <w:r w:rsidRPr="00B6024A">
              <w:rPr>
                <w:i/>
              </w:rPr>
              <w:t>euro</w:t>
            </w:r>
            <w:r w:rsidRPr="00B6024A">
              <w:t xml:space="preserve"> mēnesī un diferencētā neapliekamā minimuma ieviešanu. Fiskālās ietekmes aprēķinu pamatā izmantots nodokļu maksātāju </w:t>
            </w:r>
            <w:r w:rsidRPr="00B6024A">
              <w:lastRenderedPageBreak/>
              <w:t>skaits, kuriem tiks piemērots neapliekamais minimums un atvieglojums par apgādībā esošu personu</w:t>
            </w:r>
            <w:r>
              <w:t>.</w:t>
            </w:r>
            <w:r w:rsidRPr="00B6024A">
              <w:t xml:space="preserve"> Diferencētā neapliekamā minimuma ieviešanas fiskālā aprēķina pamatā ņemts vērā pakāpenisks gada laikā piemērojamā neapliekamā minimuma samazinājums, kā arī </w:t>
            </w:r>
            <w:r>
              <w:t xml:space="preserve">tiešā </w:t>
            </w:r>
            <w:r w:rsidRPr="00B6024A">
              <w:t>neapliekamā minimuma diferencēšanas ietekme.</w:t>
            </w:r>
          </w:p>
          <w:p w:rsidR="00B956A0" w:rsidRDefault="00B956A0" w:rsidP="00B956A0">
            <w:pPr>
              <w:jc w:val="both"/>
            </w:pPr>
          </w:p>
          <w:p w:rsidR="00C66859" w:rsidRPr="00C66859" w:rsidRDefault="00790965" w:rsidP="00B956A0">
            <w:pPr>
              <w:jc w:val="both"/>
              <w:rPr>
                <w:sz w:val="23"/>
                <w:szCs w:val="23"/>
                <w:lang w:eastAsia="ru-RU"/>
              </w:rPr>
            </w:pPr>
            <w:r w:rsidRPr="00790965">
              <w:t>Grozījumu likumprojektā „Par iedzīvotāju ienākuma nodokli” 2016.gadā īstenošana tiks nodrošināta Finanšu ministrijas programmas 33.00.00 „Valsts ieņēmumu un muitas politikas nodrošināšana” esošo valsts budžeta līdzekļu ietvaros</w:t>
            </w:r>
            <w:r w:rsidRPr="00790965">
              <w:rPr>
                <w:rFonts w:ascii="Verdana" w:hAnsi="Verdana"/>
                <w:sz w:val="20"/>
                <w:szCs w:val="20"/>
              </w:rPr>
              <w:t>.</w:t>
            </w:r>
          </w:p>
        </w:tc>
      </w:tr>
    </w:tbl>
    <w:p w:rsidR="00C66859" w:rsidRDefault="00C66859" w:rsidP="006D0922">
      <w:pPr>
        <w:pStyle w:val="naisf"/>
        <w:spacing w:before="0" w:after="0"/>
        <w:ind w:firstLine="0"/>
      </w:pPr>
    </w:p>
    <w:p w:rsidR="00904019" w:rsidRPr="009656DE" w:rsidRDefault="00904019" w:rsidP="006D0922">
      <w:pPr>
        <w:pStyle w:val="naisf"/>
        <w:spacing w:before="0" w:after="0"/>
        <w:ind w:firstLine="0"/>
      </w:pPr>
      <w:r>
        <w:t>IV.</w:t>
      </w:r>
      <w:r w:rsidR="009D4CF3">
        <w:t xml:space="preserve"> un</w:t>
      </w:r>
      <w:r>
        <w:t xml:space="preserve"> V. sadaļa – projekts šīs jomas neskar</w:t>
      </w:r>
    </w:p>
    <w:p w:rsidR="00DB264F" w:rsidRPr="009656DE" w:rsidRDefault="00DB264F" w:rsidP="006D0922">
      <w:pPr>
        <w:pStyle w:val="naisf"/>
        <w:spacing w:before="0" w:after="0"/>
        <w:ind w:firstLine="0"/>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154"/>
        <w:gridCol w:w="6925"/>
      </w:tblGrid>
      <w:tr w:rsidR="002F7155" w:rsidRPr="007F7755" w:rsidTr="00FE1592">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2F7155" w:rsidRPr="007F7755" w:rsidRDefault="002F7155" w:rsidP="004B4070">
            <w:pPr>
              <w:spacing w:before="100" w:beforeAutospacing="1" w:after="100" w:afterAutospacing="1"/>
              <w:jc w:val="center"/>
              <w:rPr>
                <w:b/>
                <w:bCs/>
                <w:sz w:val="26"/>
                <w:szCs w:val="26"/>
              </w:rPr>
            </w:pPr>
            <w:r w:rsidRPr="007F7755">
              <w:rPr>
                <w:b/>
                <w:bCs/>
                <w:sz w:val="26"/>
                <w:szCs w:val="26"/>
              </w:rPr>
              <w:t>VI. Sabiedrības līdzdalība un komunikācijas aktivitātes</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jc w:val="both"/>
            </w:pPr>
            <w:r w:rsidRPr="00A41F50">
              <w:t>1.</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Plānotās sabiedrības līdzdalības un komunikācijas aktivitātes saistībā ar projektu</w:t>
            </w:r>
          </w:p>
        </w:tc>
        <w:tc>
          <w:tcPr>
            <w:tcW w:w="3591" w:type="pct"/>
            <w:tcBorders>
              <w:top w:val="outset" w:sz="6" w:space="0" w:color="000000"/>
              <w:left w:val="outset" w:sz="6" w:space="0" w:color="000000"/>
              <w:bottom w:val="outset" w:sz="6" w:space="0" w:color="000000"/>
              <w:right w:val="outset" w:sz="6" w:space="0" w:color="000000"/>
            </w:tcBorders>
            <w:vAlign w:val="center"/>
          </w:tcPr>
          <w:p w:rsidR="005A12A9" w:rsidRPr="00A41F50" w:rsidRDefault="005A12A9">
            <w:pPr>
              <w:jc w:val="both"/>
            </w:pPr>
            <w:r w:rsidRPr="00A41F50">
              <w:t>Saskaņošana ar sabiedrības pārstāvjiem nav notikusi, jo sabiedrība par gada diferencētā neapliekamā minimuma ieviešanu bija informēta iepriekš. Nacionālās trīspusējās sadarbības padomes pārstāvji tika iepazīstināti ar gada diferencētā neapliekamā minimuma ieviešanas konceptu un savus atzinumus sniedz jau līdz likuma “Grozījumi likumā “Par iedzīvotāju ienākuma nodokli”” grozījumu veikšanai. Savukārt Ministru kabineta noteikumu projekts tikai nosaka aprēķinam nepieciešamos lielumus, formulu, kā arī tehniski apraksta šo procesu.</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jc w:val="both"/>
            </w:pPr>
            <w:r w:rsidRPr="00A41F50">
              <w:t>2.</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Sabiedrības līdzdalība projekta izstrādē</w:t>
            </w:r>
          </w:p>
        </w:tc>
        <w:tc>
          <w:tcPr>
            <w:tcW w:w="3591" w:type="pct"/>
            <w:tcBorders>
              <w:top w:val="outset" w:sz="6" w:space="0" w:color="000000"/>
              <w:left w:val="outset" w:sz="6" w:space="0" w:color="000000"/>
              <w:bottom w:val="outset" w:sz="6" w:space="0" w:color="000000"/>
              <w:right w:val="outset" w:sz="6" w:space="0" w:color="000000"/>
            </w:tcBorders>
            <w:vAlign w:val="center"/>
          </w:tcPr>
          <w:p w:rsidR="002F7155" w:rsidRPr="00AD6596" w:rsidRDefault="002F7155" w:rsidP="004B4070">
            <w:pPr>
              <w:spacing w:before="100" w:beforeAutospacing="1" w:after="100" w:afterAutospacing="1"/>
              <w:jc w:val="both"/>
            </w:pPr>
            <w:r w:rsidRPr="00AD6596">
              <w:rPr>
                <w:iCs/>
              </w:rPr>
              <w:t>Projekts šo jomu neskar.</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jc w:val="both"/>
            </w:pPr>
            <w:r w:rsidRPr="00A41F50">
              <w:t>3.</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Sabiedrības līdzdalības rezultāti</w:t>
            </w:r>
          </w:p>
        </w:tc>
        <w:tc>
          <w:tcPr>
            <w:tcW w:w="3591" w:type="pct"/>
            <w:tcBorders>
              <w:top w:val="outset" w:sz="6" w:space="0" w:color="000000"/>
              <w:left w:val="outset" w:sz="6" w:space="0" w:color="000000"/>
              <w:bottom w:val="outset" w:sz="6" w:space="0" w:color="000000"/>
              <w:right w:val="outset" w:sz="6" w:space="0" w:color="000000"/>
            </w:tcBorders>
            <w:vAlign w:val="center"/>
          </w:tcPr>
          <w:p w:rsidR="002F7155" w:rsidRPr="007F7755" w:rsidRDefault="00CF7362" w:rsidP="005A12A9">
            <w:pPr>
              <w:spacing w:before="100" w:beforeAutospacing="1" w:after="100" w:afterAutospacing="1"/>
              <w:jc w:val="both"/>
              <w:rPr>
                <w:sz w:val="26"/>
                <w:szCs w:val="26"/>
              </w:rPr>
            </w:pPr>
            <w:r w:rsidRPr="00A41F50">
              <w:t xml:space="preserve">Nacionālā trīspusējā sadarbības padome daļēji atbalsta plānotos pasākumus saistībā ar diferencētā neapliekamā minimuma ieviešanu. </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DA3E49" w:rsidRDefault="002F7155" w:rsidP="004B4070">
            <w:pPr>
              <w:spacing w:before="100" w:beforeAutospacing="1" w:after="100" w:afterAutospacing="1"/>
              <w:jc w:val="both"/>
            </w:pPr>
            <w:r w:rsidRPr="00DA3E49">
              <w:t>4.</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Cita informācija</w:t>
            </w:r>
          </w:p>
        </w:tc>
        <w:tc>
          <w:tcPr>
            <w:tcW w:w="3591" w:type="pct"/>
            <w:tcBorders>
              <w:top w:val="outset" w:sz="6" w:space="0" w:color="000000"/>
              <w:left w:val="outset" w:sz="6" w:space="0" w:color="000000"/>
              <w:bottom w:val="outset" w:sz="6" w:space="0" w:color="000000"/>
              <w:right w:val="outset" w:sz="6" w:space="0" w:color="000000"/>
            </w:tcBorders>
            <w:vAlign w:val="center"/>
          </w:tcPr>
          <w:p w:rsidR="002F7155" w:rsidRPr="00DA3E49" w:rsidRDefault="002F7155" w:rsidP="004B4070">
            <w:r w:rsidRPr="00DA3E49">
              <w:t>Nav.</w:t>
            </w:r>
          </w:p>
        </w:tc>
      </w:tr>
    </w:tbl>
    <w:p w:rsidR="00E62175" w:rsidRPr="009656DE" w:rsidRDefault="00E62175" w:rsidP="006D0922">
      <w:pPr>
        <w:pStyle w:val="naisf"/>
        <w:spacing w:before="0" w:after="0"/>
        <w:ind w:firstLine="0"/>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90"/>
        <w:gridCol w:w="4365"/>
        <w:gridCol w:w="4505"/>
      </w:tblGrid>
      <w:tr w:rsidR="000844FE" w:rsidRPr="000844FE" w:rsidTr="000844FE">
        <w:tc>
          <w:tcPr>
            <w:tcW w:w="5000" w:type="pct"/>
            <w:gridSpan w:val="3"/>
            <w:tcBorders>
              <w:top w:val="outset" w:sz="6" w:space="0" w:color="000000"/>
              <w:left w:val="outset" w:sz="6" w:space="0" w:color="000000"/>
              <w:bottom w:val="outset" w:sz="6" w:space="0" w:color="000000"/>
              <w:right w:val="outset" w:sz="6" w:space="0" w:color="000000"/>
            </w:tcBorders>
            <w:hideMark/>
          </w:tcPr>
          <w:p w:rsidR="000844FE" w:rsidRPr="000844FE" w:rsidRDefault="000844FE" w:rsidP="000844FE">
            <w:pPr>
              <w:jc w:val="center"/>
              <w:rPr>
                <w:b/>
                <w:bCs/>
                <w:sz w:val="26"/>
                <w:szCs w:val="26"/>
              </w:rPr>
            </w:pPr>
            <w:r w:rsidRPr="000844FE">
              <w:rPr>
                <w:b/>
                <w:bCs/>
                <w:sz w:val="26"/>
                <w:szCs w:val="26"/>
              </w:rPr>
              <w:t>VII. Tiesību akta projekta izpildes nodrošināšana un tās ietekme uz institūcijām</w:t>
            </w:r>
          </w:p>
        </w:tc>
      </w:tr>
      <w:tr w:rsidR="000844FE" w:rsidRPr="000844FE" w:rsidTr="000844FE">
        <w:tc>
          <w:tcPr>
            <w:tcW w:w="361"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1.</w:t>
            </w:r>
          </w:p>
        </w:tc>
        <w:tc>
          <w:tcPr>
            <w:tcW w:w="2283"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pPr>
              <w:jc w:val="both"/>
            </w:pPr>
            <w:r w:rsidRPr="00DA3E49">
              <w:t>Valsts ieņēmumu dienests.</w:t>
            </w:r>
          </w:p>
        </w:tc>
      </w:tr>
      <w:tr w:rsidR="000844FE" w:rsidRPr="000844FE" w:rsidTr="000844FE">
        <w:tc>
          <w:tcPr>
            <w:tcW w:w="361"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2.</w:t>
            </w:r>
          </w:p>
        </w:tc>
        <w:tc>
          <w:tcPr>
            <w:tcW w:w="2283"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Projekta izpildes ietekme uz pārvaldes funkcijām un institucionālo struktūru.</w:t>
            </w:r>
          </w:p>
          <w:p w:rsidR="000844FE" w:rsidRPr="00DA3E49" w:rsidRDefault="000844FE" w:rsidP="000844FE">
            <w:r w:rsidRPr="00DA3E49">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Funkcijas un uzdevumi netiek grozīti.</w:t>
            </w:r>
          </w:p>
        </w:tc>
      </w:tr>
      <w:tr w:rsidR="000844FE" w:rsidRPr="000844FE" w:rsidTr="000844FE">
        <w:tc>
          <w:tcPr>
            <w:tcW w:w="361"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3.</w:t>
            </w:r>
          </w:p>
        </w:tc>
        <w:tc>
          <w:tcPr>
            <w:tcW w:w="2283"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Nav.</w:t>
            </w:r>
          </w:p>
        </w:tc>
      </w:tr>
    </w:tbl>
    <w:p w:rsidR="00080AD1" w:rsidRPr="00FA6F8A" w:rsidRDefault="00080AD1" w:rsidP="006D0922">
      <w:pPr>
        <w:pStyle w:val="naisf"/>
        <w:tabs>
          <w:tab w:val="left" w:pos="6804"/>
        </w:tabs>
        <w:spacing w:before="0" w:after="0"/>
        <w:ind w:firstLine="0"/>
        <w:rPr>
          <w:sz w:val="40"/>
          <w:szCs w:val="40"/>
        </w:rPr>
      </w:pPr>
    </w:p>
    <w:p w:rsidR="00FA6F8A" w:rsidRDefault="00081E26" w:rsidP="006D0922">
      <w:pPr>
        <w:pStyle w:val="naisf"/>
        <w:tabs>
          <w:tab w:val="left" w:pos="6804"/>
        </w:tabs>
        <w:spacing w:before="0" w:after="0"/>
        <w:ind w:firstLine="0"/>
        <w:rPr>
          <w:sz w:val="28"/>
          <w:szCs w:val="28"/>
        </w:rPr>
      </w:pPr>
      <w:r>
        <w:rPr>
          <w:sz w:val="28"/>
          <w:szCs w:val="28"/>
        </w:rPr>
        <w:t>Finanšu ministr</w:t>
      </w:r>
      <w:r w:rsidR="00FA6F8A">
        <w:rPr>
          <w:sz w:val="28"/>
          <w:szCs w:val="28"/>
        </w:rPr>
        <w:t>a vietā –</w:t>
      </w:r>
    </w:p>
    <w:p w:rsidR="00F74C18" w:rsidRPr="00081E26" w:rsidRDefault="00FA6F8A" w:rsidP="006D0922">
      <w:pPr>
        <w:pStyle w:val="naisf"/>
        <w:tabs>
          <w:tab w:val="left" w:pos="6804"/>
        </w:tabs>
        <w:spacing w:before="0" w:after="0"/>
        <w:ind w:firstLine="0"/>
        <w:rPr>
          <w:sz w:val="28"/>
          <w:szCs w:val="28"/>
        </w:rPr>
      </w:pPr>
      <w:r>
        <w:rPr>
          <w:sz w:val="28"/>
          <w:szCs w:val="28"/>
        </w:rPr>
        <w:t>ārlietu ministrs</w:t>
      </w:r>
      <w:r>
        <w:rPr>
          <w:sz w:val="28"/>
          <w:szCs w:val="28"/>
        </w:rPr>
        <w:tab/>
      </w:r>
      <w:r>
        <w:rPr>
          <w:sz w:val="28"/>
          <w:szCs w:val="28"/>
        </w:rPr>
        <w:tab/>
        <w:t>E.Rinkēvičs</w:t>
      </w:r>
      <w:r w:rsidR="00081E26">
        <w:rPr>
          <w:sz w:val="28"/>
          <w:szCs w:val="28"/>
        </w:rPr>
        <w:tab/>
      </w:r>
      <w:r w:rsidR="00081E26">
        <w:rPr>
          <w:sz w:val="28"/>
          <w:szCs w:val="28"/>
        </w:rPr>
        <w:tab/>
      </w:r>
      <w:r w:rsidR="00081E26">
        <w:rPr>
          <w:sz w:val="28"/>
          <w:szCs w:val="28"/>
        </w:rPr>
        <w:tab/>
      </w:r>
    </w:p>
    <w:p w:rsidR="007A66D8" w:rsidRDefault="007A66D8" w:rsidP="006D0922">
      <w:pPr>
        <w:pStyle w:val="naisf"/>
        <w:tabs>
          <w:tab w:val="left" w:pos="6804"/>
        </w:tabs>
        <w:spacing w:before="0" w:after="0"/>
        <w:ind w:firstLine="0"/>
      </w:pPr>
    </w:p>
    <w:p w:rsidR="00FE1592" w:rsidRDefault="00411F66" w:rsidP="00081E26">
      <w:pPr>
        <w:tabs>
          <w:tab w:val="center" w:pos="4153"/>
          <w:tab w:val="right" w:pos="8306"/>
        </w:tabs>
        <w:rPr>
          <w:sz w:val="20"/>
        </w:rPr>
      </w:pPr>
      <w:r>
        <w:rPr>
          <w:sz w:val="20"/>
        </w:rPr>
        <w:t>18.12.2015</w:t>
      </w:r>
      <w:bookmarkStart w:id="0" w:name="_GoBack"/>
      <w:bookmarkEnd w:id="0"/>
    </w:p>
    <w:p w:rsidR="00081E26" w:rsidRPr="00081E26" w:rsidRDefault="00081E26" w:rsidP="00081E26">
      <w:pPr>
        <w:tabs>
          <w:tab w:val="center" w:pos="4153"/>
          <w:tab w:val="right" w:pos="8306"/>
        </w:tabs>
        <w:rPr>
          <w:sz w:val="20"/>
        </w:rPr>
      </w:pPr>
      <w:r w:rsidRPr="00081E26">
        <w:rPr>
          <w:sz w:val="20"/>
        </w:rPr>
        <w:fldChar w:fldCharType="begin"/>
      </w:r>
      <w:r w:rsidRPr="00081E26">
        <w:rPr>
          <w:sz w:val="20"/>
        </w:rPr>
        <w:instrText xml:space="preserve"> NUMWORDS  \* MERGEFORMAT </w:instrText>
      </w:r>
      <w:r w:rsidRPr="00081E26">
        <w:rPr>
          <w:sz w:val="20"/>
        </w:rPr>
        <w:fldChar w:fldCharType="separate"/>
      </w:r>
      <w:r w:rsidR="00FA6F8A">
        <w:rPr>
          <w:noProof/>
          <w:sz w:val="20"/>
        </w:rPr>
        <w:t>1402</w:t>
      </w:r>
      <w:r w:rsidRPr="00081E26">
        <w:rPr>
          <w:sz w:val="20"/>
        </w:rPr>
        <w:fldChar w:fldCharType="end"/>
      </w:r>
    </w:p>
    <w:p w:rsidR="00F66B0E" w:rsidRDefault="00F66B0E" w:rsidP="00081E26">
      <w:pPr>
        <w:tabs>
          <w:tab w:val="center" w:pos="4153"/>
          <w:tab w:val="right" w:pos="8306"/>
        </w:tabs>
        <w:rPr>
          <w:sz w:val="20"/>
        </w:rPr>
      </w:pPr>
      <w:r>
        <w:rPr>
          <w:sz w:val="20"/>
        </w:rPr>
        <w:t>Bērziņ</w:t>
      </w:r>
      <w:r w:rsidR="00081E26" w:rsidRPr="00081E26">
        <w:rPr>
          <w:sz w:val="20"/>
        </w:rPr>
        <w:t>a, 670</w:t>
      </w:r>
      <w:r>
        <w:rPr>
          <w:sz w:val="20"/>
        </w:rPr>
        <w:t>95644</w:t>
      </w:r>
    </w:p>
    <w:p w:rsidR="007A66D8" w:rsidRPr="009656DE" w:rsidRDefault="001718DE" w:rsidP="00AF66CA">
      <w:pPr>
        <w:tabs>
          <w:tab w:val="center" w:pos="4153"/>
          <w:tab w:val="right" w:pos="8306"/>
        </w:tabs>
      </w:pPr>
      <w:hyperlink r:id="rId11" w:history="1">
        <w:r w:rsidR="00F66B0E" w:rsidRPr="000A0CE3">
          <w:rPr>
            <w:rStyle w:val="Hyperlink"/>
            <w:sz w:val="20"/>
          </w:rPr>
          <w:t>Inese.Berzina@fm.gov.lv</w:t>
        </w:r>
      </w:hyperlink>
      <w:r w:rsidR="00F66B0E">
        <w:rPr>
          <w:sz w:val="20"/>
        </w:rPr>
        <w:t xml:space="preserve"> </w:t>
      </w:r>
    </w:p>
    <w:sectPr w:rsidR="007A66D8" w:rsidRPr="009656DE" w:rsidSect="00F62F43">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DE" w:rsidRDefault="001718DE">
      <w:r>
        <w:separator/>
      </w:r>
    </w:p>
  </w:endnote>
  <w:endnote w:type="continuationSeparator" w:id="0">
    <w:p w:rsidR="001718DE" w:rsidRDefault="0017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D805F0" w:rsidRDefault="00A70C12" w:rsidP="002542DA">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FA6F8A">
      <w:rPr>
        <w:noProof/>
        <w:sz w:val="20"/>
        <w:szCs w:val="20"/>
      </w:rPr>
      <w:t>FMAnot_181215_DFNM.docx</w:t>
    </w:r>
    <w:r>
      <w:rPr>
        <w:sz w:val="20"/>
        <w:szCs w:val="20"/>
      </w:rPr>
      <w:fldChar w:fldCharType="end"/>
    </w:r>
    <w:r w:rsidR="00D805F0" w:rsidRPr="002542DA">
      <w:rPr>
        <w:sz w:val="20"/>
        <w:szCs w:val="20"/>
      </w:rPr>
      <w:t xml:space="preserve">; </w:t>
    </w:r>
    <w:r w:rsidRPr="00A70C12">
      <w:rPr>
        <w:sz w:val="20"/>
        <w:szCs w:val="20"/>
      </w:rPr>
      <w:t>Ministru kabineta noteikumu projekta „Noteikumi par neapliekamā minimuma un nodokļa atvieglojuma apmēru iedzīvotāju ienākuma nodokļa aprēķināšanai”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2542DA" w:rsidRDefault="00A70C12" w:rsidP="002542DA">
    <w:pPr>
      <w:pStyle w:val="Footer"/>
      <w:jc w:val="both"/>
      <w:rPr>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FA6F8A">
      <w:rPr>
        <w:noProof/>
        <w:sz w:val="20"/>
        <w:szCs w:val="20"/>
      </w:rPr>
      <w:t>FMAnot_181215_DFNM.docx</w:t>
    </w:r>
    <w:r>
      <w:rPr>
        <w:sz w:val="20"/>
        <w:szCs w:val="20"/>
      </w:rPr>
      <w:fldChar w:fldCharType="end"/>
    </w:r>
    <w:r w:rsidR="002542DA" w:rsidRPr="002542DA">
      <w:rPr>
        <w:sz w:val="20"/>
        <w:szCs w:val="20"/>
      </w:rPr>
      <w:t xml:space="preserve">; </w:t>
    </w:r>
    <w:r w:rsidRPr="00A70C12">
      <w:rPr>
        <w:sz w:val="20"/>
        <w:szCs w:val="20"/>
      </w:rPr>
      <w:t>Ministru kabineta noteikumu projekta „Noteikumi par neapliekamā minimuma un nodokļa atvieglojuma apmēru iedzīvotāju ienākuma nodokļa aprēķināšanai”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DE" w:rsidRDefault="001718DE">
      <w:r>
        <w:separator/>
      </w:r>
    </w:p>
  </w:footnote>
  <w:footnote w:type="continuationSeparator" w:id="0">
    <w:p w:rsidR="001718DE" w:rsidRDefault="00171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F66">
      <w:rPr>
        <w:rStyle w:val="PageNumber"/>
        <w:noProof/>
      </w:rPr>
      <w:t>5</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5"/>
  </w:num>
  <w:num w:numId="3">
    <w:abstractNumId w:val="4"/>
  </w:num>
  <w:num w:numId="4">
    <w:abstractNumId w:val="2"/>
  </w:num>
  <w:num w:numId="5">
    <w:abstractNumId w:val="1"/>
  </w:num>
  <w:num w:numId="6">
    <w:abstractNumId w:val="11"/>
  </w:num>
  <w:num w:numId="7">
    <w:abstractNumId w:val="16"/>
  </w:num>
  <w:num w:numId="8">
    <w:abstractNumId w:val="8"/>
  </w:num>
  <w:num w:numId="9">
    <w:abstractNumId w:val="3"/>
  </w:num>
  <w:num w:numId="10">
    <w:abstractNumId w:val="9"/>
  </w:num>
  <w:num w:numId="11">
    <w:abstractNumId w:val="10"/>
  </w:num>
  <w:num w:numId="12">
    <w:abstractNumId w:val="12"/>
  </w:num>
  <w:num w:numId="13">
    <w:abstractNumId w:val="14"/>
  </w:num>
  <w:num w:numId="14">
    <w:abstractNumId w:val="0"/>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2FEA"/>
    <w:rsid w:val="0000308F"/>
    <w:rsid w:val="00003517"/>
    <w:rsid w:val="00005687"/>
    <w:rsid w:val="0000641C"/>
    <w:rsid w:val="00011C00"/>
    <w:rsid w:val="00011D24"/>
    <w:rsid w:val="00013FF4"/>
    <w:rsid w:val="00015213"/>
    <w:rsid w:val="00017EAF"/>
    <w:rsid w:val="00020FE1"/>
    <w:rsid w:val="00022E13"/>
    <w:rsid w:val="0002627A"/>
    <w:rsid w:val="00027394"/>
    <w:rsid w:val="00032388"/>
    <w:rsid w:val="000347CE"/>
    <w:rsid w:val="00035CE2"/>
    <w:rsid w:val="00035DDF"/>
    <w:rsid w:val="00037AB9"/>
    <w:rsid w:val="00037DAC"/>
    <w:rsid w:val="0004312D"/>
    <w:rsid w:val="00053EE5"/>
    <w:rsid w:val="0005553B"/>
    <w:rsid w:val="000604D2"/>
    <w:rsid w:val="00061587"/>
    <w:rsid w:val="00065241"/>
    <w:rsid w:val="000675A9"/>
    <w:rsid w:val="000705EA"/>
    <w:rsid w:val="000709EC"/>
    <w:rsid w:val="00070D7A"/>
    <w:rsid w:val="00071B43"/>
    <w:rsid w:val="00074B12"/>
    <w:rsid w:val="00074E47"/>
    <w:rsid w:val="00080AD1"/>
    <w:rsid w:val="00081E26"/>
    <w:rsid w:val="000844FE"/>
    <w:rsid w:val="0009005E"/>
    <w:rsid w:val="00090BFB"/>
    <w:rsid w:val="00090DFB"/>
    <w:rsid w:val="000941C5"/>
    <w:rsid w:val="00096453"/>
    <w:rsid w:val="000971F9"/>
    <w:rsid w:val="00097549"/>
    <w:rsid w:val="000A6451"/>
    <w:rsid w:val="000B064E"/>
    <w:rsid w:val="000B0C7C"/>
    <w:rsid w:val="000B69CF"/>
    <w:rsid w:val="000B72EA"/>
    <w:rsid w:val="000B7357"/>
    <w:rsid w:val="000C1E30"/>
    <w:rsid w:val="000C5398"/>
    <w:rsid w:val="000C6DD5"/>
    <w:rsid w:val="000C788D"/>
    <w:rsid w:val="000C790C"/>
    <w:rsid w:val="000D3AED"/>
    <w:rsid w:val="000D452C"/>
    <w:rsid w:val="000D49E4"/>
    <w:rsid w:val="000D5A7F"/>
    <w:rsid w:val="000E0375"/>
    <w:rsid w:val="000F061D"/>
    <w:rsid w:val="000F1982"/>
    <w:rsid w:val="000F4794"/>
    <w:rsid w:val="00100EF9"/>
    <w:rsid w:val="001010FC"/>
    <w:rsid w:val="00102C2B"/>
    <w:rsid w:val="00105059"/>
    <w:rsid w:val="00115838"/>
    <w:rsid w:val="00117E30"/>
    <w:rsid w:val="00124F12"/>
    <w:rsid w:val="001347F7"/>
    <w:rsid w:val="00141024"/>
    <w:rsid w:val="001417B4"/>
    <w:rsid w:val="0014222F"/>
    <w:rsid w:val="00142604"/>
    <w:rsid w:val="00144E3A"/>
    <w:rsid w:val="00146F25"/>
    <w:rsid w:val="0015060C"/>
    <w:rsid w:val="00155FF1"/>
    <w:rsid w:val="0016018A"/>
    <w:rsid w:val="00161F0E"/>
    <w:rsid w:val="00165810"/>
    <w:rsid w:val="00165B11"/>
    <w:rsid w:val="0016758D"/>
    <w:rsid w:val="001679AF"/>
    <w:rsid w:val="00170E2A"/>
    <w:rsid w:val="001713F3"/>
    <w:rsid w:val="001717AD"/>
    <w:rsid w:val="001718DE"/>
    <w:rsid w:val="00177394"/>
    <w:rsid w:val="00182C18"/>
    <w:rsid w:val="00183CC2"/>
    <w:rsid w:val="001900E4"/>
    <w:rsid w:val="00190F88"/>
    <w:rsid w:val="001917DF"/>
    <w:rsid w:val="00192DDB"/>
    <w:rsid w:val="00197064"/>
    <w:rsid w:val="001A2E25"/>
    <w:rsid w:val="001A4066"/>
    <w:rsid w:val="001A6AE4"/>
    <w:rsid w:val="001A769D"/>
    <w:rsid w:val="001B01FD"/>
    <w:rsid w:val="001B4A71"/>
    <w:rsid w:val="001B6497"/>
    <w:rsid w:val="001C16D8"/>
    <w:rsid w:val="001C2FB7"/>
    <w:rsid w:val="001C612F"/>
    <w:rsid w:val="001D166B"/>
    <w:rsid w:val="001D1780"/>
    <w:rsid w:val="001D390F"/>
    <w:rsid w:val="001D5B54"/>
    <w:rsid w:val="001D79C3"/>
    <w:rsid w:val="001E1DBF"/>
    <w:rsid w:val="001E3070"/>
    <w:rsid w:val="001E4639"/>
    <w:rsid w:val="001E4A7D"/>
    <w:rsid w:val="001F229D"/>
    <w:rsid w:val="001F4209"/>
    <w:rsid w:val="001F43A8"/>
    <w:rsid w:val="001F5CD6"/>
    <w:rsid w:val="00200CC7"/>
    <w:rsid w:val="00202D9C"/>
    <w:rsid w:val="00204489"/>
    <w:rsid w:val="00206600"/>
    <w:rsid w:val="0020681D"/>
    <w:rsid w:val="00210D0B"/>
    <w:rsid w:val="0021263D"/>
    <w:rsid w:val="00213F0C"/>
    <w:rsid w:val="00214094"/>
    <w:rsid w:val="0021592D"/>
    <w:rsid w:val="00215A98"/>
    <w:rsid w:val="00222D76"/>
    <w:rsid w:val="00223EB1"/>
    <w:rsid w:val="002257D7"/>
    <w:rsid w:val="002259E6"/>
    <w:rsid w:val="00231344"/>
    <w:rsid w:val="00233198"/>
    <w:rsid w:val="0023436E"/>
    <w:rsid w:val="002347C0"/>
    <w:rsid w:val="00235520"/>
    <w:rsid w:val="00241A6C"/>
    <w:rsid w:val="0024252D"/>
    <w:rsid w:val="00242D2B"/>
    <w:rsid w:val="00247D3C"/>
    <w:rsid w:val="00250B39"/>
    <w:rsid w:val="00251ADB"/>
    <w:rsid w:val="00252AAD"/>
    <w:rsid w:val="002542DA"/>
    <w:rsid w:val="00262E2B"/>
    <w:rsid w:val="00263A6B"/>
    <w:rsid w:val="00263BEA"/>
    <w:rsid w:val="002640EA"/>
    <w:rsid w:val="00270429"/>
    <w:rsid w:val="002723E9"/>
    <w:rsid w:val="00277929"/>
    <w:rsid w:val="002818DF"/>
    <w:rsid w:val="002820A2"/>
    <w:rsid w:val="002824DE"/>
    <w:rsid w:val="00283255"/>
    <w:rsid w:val="00283B82"/>
    <w:rsid w:val="002846E9"/>
    <w:rsid w:val="00284C34"/>
    <w:rsid w:val="002875A2"/>
    <w:rsid w:val="0029066C"/>
    <w:rsid w:val="00294B19"/>
    <w:rsid w:val="00297969"/>
    <w:rsid w:val="002A3E3E"/>
    <w:rsid w:val="002A50A8"/>
    <w:rsid w:val="002B04AE"/>
    <w:rsid w:val="002B0982"/>
    <w:rsid w:val="002B10D4"/>
    <w:rsid w:val="002B50DB"/>
    <w:rsid w:val="002B64B6"/>
    <w:rsid w:val="002C10A7"/>
    <w:rsid w:val="002C12AB"/>
    <w:rsid w:val="002C5C60"/>
    <w:rsid w:val="002C69D8"/>
    <w:rsid w:val="002C7CAC"/>
    <w:rsid w:val="002D3306"/>
    <w:rsid w:val="002D3418"/>
    <w:rsid w:val="002D4244"/>
    <w:rsid w:val="002D48AA"/>
    <w:rsid w:val="002D7875"/>
    <w:rsid w:val="002D7BAA"/>
    <w:rsid w:val="002D7DC7"/>
    <w:rsid w:val="002D7F54"/>
    <w:rsid w:val="002E2AC3"/>
    <w:rsid w:val="002E37E7"/>
    <w:rsid w:val="002E3FF4"/>
    <w:rsid w:val="002E4126"/>
    <w:rsid w:val="002F5FDC"/>
    <w:rsid w:val="002F7078"/>
    <w:rsid w:val="002F7155"/>
    <w:rsid w:val="002F759C"/>
    <w:rsid w:val="002F78C8"/>
    <w:rsid w:val="003006CA"/>
    <w:rsid w:val="00301CF3"/>
    <w:rsid w:val="003032C1"/>
    <w:rsid w:val="00303F8C"/>
    <w:rsid w:val="003040EA"/>
    <w:rsid w:val="00306656"/>
    <w:rsid w:val="00321247"/>
    <w:rsid w:val="0032715C"/>
    <w:rsid w:val="00334E28"/>
    <w:rsid w:val="00336B3B"/>
    <w:rsid w:val="00337CA5"/>
    <w:rsid w:val="0034270B"/>
    <w:rsid w:val="00351F16"/>
    <w:rsid w:val="00362478"/>
    <w:rsid w:val="00363EF3"/>
    <w:rsid w:val="00375B25"/>
    <w:rsid w:val="003807FF"/>
    <w:rsid w:val="0038132C"/>
    <w:rsid w:val="003878A9"/>
    <w:rsid w:val="003907B8"/>
    <w:rsid w:val="00390D8B"/>
    <w:rsid w:val="00396542"/>
    <w:rsid w:val="0039685B"/>
    <w:rsid w:val="003A31A6"/>
    <w:rsid w:val="003A3C61"/>
    <w:rsid w:val="003A6A3C"/>
    <w:rsid w:val="003A7F0C"/>
    <w:rsid w:val="003A7F79"/>
    <w:rsid w:val="003B426E"/>
    <w:rsid w:val="003B6404"/>
    <w:rsid w:val="003B67A2"/>
    <w:rsid w:val="003B6BD1"/>
    <w:rsid w:val="003B787E"/>
    <w:rsid w:val="003C3028"/>
    <w:rsid w:val="003C35C6"/>
    <w:rsid w:val="003C449B"/>
    <w:rsid w:val="003C6409"/>
    <w:rsid w:val="003D21FF"/>
    <w:rsid w:val="003D698A"/>
    <w:rsid w:val="003D6A77"/>
    <w:rsid w:val="003E37A0"/>
    <w:rsid w:val="003F0112"/>
    <w:rsid w:val="003F071A"/>
    <w:rsid w:val="003F160B"/>
    <w:rsid w:val="003F1E50"/>
    <w:rsid w:val="003F4D77"/>
    <w:rsid w:val="003F7754"/>
    <w:rsid w:val="00400032"/>
    <w:rsid w:val="00400B5B"/>
    <w:rsid w:val="004056ED"/>
    <w:rsid w:val="00405A00"/>
    <w:rsid w:val="00410246"/>
    <w:rsid w:val="00411F66"/>
    <w:rsid w:val="00413396"/>
    <w:rsid w:val="004179DE"/>
    <w:rsid w:val="00420870"/>
    <w:rsid w:val="004268F6"/>
    <w:rsid w:val="00427C10"/>
    <w:rsid w:val="00430EF6"/>
    <w:rsid w:val="00432422"/>
    <w:rsid w:val="00432D0C"/>
    <w:rsid w:val="0043791B"/>
    <w:rsid w:val="00440107"/>
    <w:rsid w:val="00440FC7"/>
    <w:rsid w:val="00441187"/>
    <w:rsid w:val="00441483"/>
    <w:rsid w:val="00441BCB"/>
    <w:rsid w:val="00443644"/>
    <w:rsid w:val="0045176A"/>
    <w:rsid w:val="0045202F"/>
    <w:rsid w:val="00456332"/>
    <w:rsid w:val="00456663"/>
    <w:rsid w:val="00456A48"/>
    <w:rsid w:val="004579B8"/>
    <w:rsid w:val="00461826"/>
    <w:rsid w:val="00467DD9"/>
    <w:rsid w:val="004704CE"/>
    <w:rsid w:val="0047358D"/>
    <w:rsid w:val="00475AF2"/>
    <w:rsid w:val="004800F9"/>
    <w:rsid w:val="00486FDD"/>
    <w:rsid w:val="0049134A"/>
    <w:rsid w:val="00491694"/>
    <w:rsid w:val="004918A5"/>
    <w:rsid w:val="004A58CB"/>
    <w:rsid w:val="004B1795"/>
    <w:rsid w:val="004B4070"/>
    <w:rsid w:val="004B56DD"/>
    <w:rsid w:val="004B5B0C"/>
    <w:rsid w:val="004C020F"/>
    <w:rsid w:val="004C1AFD"/>
    <w:rsid w:val="004C49D2"/>
    <w:rsid w:val="004C558B"/>
    <w:rsid w:val="004C7A0E"/>
    <w:rsid w:val="004D492F"/>
    <w:rsid w:val="004D526B"/>
    <w:rsid w:val="004D564C"/>
    <w:rsid w:val="004D5C7F"/>
    <w:rsid w:val="004E2E8D"/>
    <w:rsid w:val="004E6B86"/>
    <w:rsid w:val="004F1F88"/>
    <w:rsid w:val="004F304C"/>
    <w:rsid w:val="004F5F1B"/>
    <w:rsid w:val="00502374"/>
    <w:rsid w:val="005026E7"/>
    <w:rsid w:val="005037C5"/>
    <w:rsid w:val="005060A1"/>
    <w:rsid w:val="00506F1D"/>
    <w:rsid w:val="0051005B"/>
    <w:rsid w:val="005156F3"/>
    <w:rsid w:val="00516072"/>
    <w:rsid w:val="00527517"/>
    <w:rsid w:val="00530649"/>
    <w:rsid w:val="0053070D"/>
    <w:rsid w:val="00531404"/>
    <w:rsid w:val="005332EC"/>
    <w:rsid w:val="00534418"/>
    <w:rsid w:val="005353AB"/>
    <w:rsid w:val="00535E98"/>
    <w:rsid w:val="00546B39"/>
    <w:rsid w:val="005542A6"/>
    <w:rsid w:val="00554F08"/>
    <w:rsid w:val="00555391"/>
    <w:rsid w:val="005560BC"/>
    <w:rsid w:val="005573BE"/>
    <w:rsid w:val="00562633"/>
    <w:rsid w:val="00567A35"/>
    <w:rsid w:val="00572700"/>
    <w:rsid w:val="005739B0"/>
    <w:rsid w:val="00580468"/>
    <w:rsid w:val="00582231"/>
    <w:rsid w:val="00583F9F"/>
    <w:rsid w:val="0058603B"/>
    <w:rsid w:val="0059431B"/>
    <w:rsid w:val="005A07CD"/>
    <w:rsid w:val="005A12A9"/>
    <w:rsid w:val="005A38C3"/>
    <w:rsid w:val="005A39CC"/>
    <w:rsid w:val="005A44ED"/>
    <w:rsid w:val="005A6055"/>
    <w:rsid w:val="005B0D8F"/>
    <w:rsid w:val="005B4730"/>
    <w:rsid w:val="005C0006"/>
    <w:rsid w:val="005C6979"/>
    <w:rsid w:val="005E05D7"/>
    <w:rsid w:val="005E41E7"/>
    <w:rsid w:val="005E450F"/>
    <w:rsid w:val="005F0C0D"/>
    <w:rsid w:val="005F126D"/>
    <w:rsid w:val="005F3D9B"/>
    <w:rsid w:val="005F5FD1"/>
    <w:rsid w:val="006135BC"/>
    <w:rsid w:val="006161B7"/>
    <w:rsid w:val="00616C55"/>
    <w:rsid w:val="00622101"/>
    <w:rsid w:val="0062298A"/>
    <w:rsid w:val="00622BB8"/>
    <w:rsid w:val="00625C4A"/>
    <w:rsid w:val="00626514"/>
    <w:rsid w:val="00626589"/>
    <w:rsid w:val="00627C9A"/>
    <w:rsid w:val="00630F37"/>
    <w:rsid w:val="00632064"/>
    <w:rsid w:val="006339A0"/>
    <w:rsid w:val="00637F83"/>
    <w:rsid w:val="00640460"/>
    <w:rsid w:val="00640806"/>
    <w:rsid w:val="006408AC"/>
    <w:rsid w:val="006413A8"/>
    <w:rsid w:val="00641ECC"/>
    <w:rsid w:val="00642E56"/>
    <w:rsid w:val="00644238"/>
    <w:rsid w:val="006447FA"/>
    <w:rsid w:val="00651E00"/>
    <w:rsid w:val="006538D4"/>
    <w:rsid w:val="00655110"/>
    <w:rsid w:val="00655504"/>
    <w:rsid w:val="006566C8"/>
    <w:rsid w:val="0066093B"/>
    <w:rsid w:val="00661D25"/>
    <w:rsid w:val="00662220"/>
    <w:rsid w:val="00664480"/>
    <w:rsid w:val="0067450E"/>
    <w:rsid w:val="00674572"/>
    <w:rsid w:val="00687763"/>
    <w:rsid w:val="006910E3"/>
    <w:rsid w:val="00692B0D"/>
    <w:rsid w:val="00692E1D"/>
    <w:rsid w:val="00693C78"/>
    <w:rsid w:val="00693E0E"/>
    <w:rsid w:val="00695BB7"/>
    <w:rsid w:val="006A1AE3"/>
    <w:rsid w:val="006A73C1"/>
    <w:rsid w:val="006B042F"/>
    <w:rsid w:val="006B37E9"/>
    <w:rsid w:val="006B6062"/>
    <w:rsid w:val="006C30E1"/>
    <w:rsid w:val="006C3DE1"/>
    <w:rsid w:val="006C4607"/>
    <w:rsid w:val="006D0440"/>
    <w:rsid w:val="006D0922"/>
    <w:rsid w:val="006D2766"/>
    <w:rsid w:val="006D45B8"/>
    <w:rsid w:val="006D48F1"/>
    <w:rsid w:val="006D7E24"/>
    <w:rsid w:val="006E3B6A"/>
    <w:rsid w:val="006E5AF5"/>
    <w:rsid w:val="006F0F87"/>
    <w:rsid w:val="006F45BE"/>
    <w:rsid w:val="007004FC"/>
    <w:rsid w:val="00704104"/>
    <w:rsid w:val="00706670"/>
    <w:rsid w:val="00710D2A"/>
    <w:rsid w:val="00711F59"/>
    <w:rsid w:val="007213B1"/>
    <w:rsid w:val="00724001"/>
    <w:rsid w:val="0072417C"/>
    <w:rsid w:val="0072626E"/>
    <w:rsid w:val="0073176A"/>
    <w:rsid w:val="007319F1"/>
    <w:rsid w:val="00731DD6"/>
    <w:rsid w:val="007335CA"/>
    <w:rsid w:val="00734450"/>
    <w:rsid w:val="00741006"/>
    <w:rsid w:val="00745F67"/>
    <w:rsid w:val="0075039E"/>
    <w:rsid w:val="00752D9D"/>
    <w:rsid w:val="00754784"/>
    <w:rsid w:val="00757C6E"/>
    <w:rsid w:val="00762BDA"/>
    <w:rsid w:val="00765346"/>
    <w:rsid w:val="007665CF"/>
    <w:rsid w:val="007736F1"/>
    <w:rsid w:val="00774AE2"/>
    <w:rsid w:val="007805FD"/>
    <w:rsid w:val="00780855"/>
    <w:rsid w:val="00783474"/>
    <w:rsid w:val="007839BC"/>
    <w:rsid w:val="00784422"/>
    <w:rsid w:val="0079000A"/>
    <w:rsid w:val="00790965"/>
    <w:rsid w:val="00793C37"/>
    <w:rsid w:val="007964D6"/>
    <w:rsid w:val="00796DA2"/>
    <w:rsid w:val="007A2008"/>
    <w:rsid w:val="007A23BE"/>
    <w:rsid w:val="007A28B9"/>
    <w:rsid w:val="007A3846"/>
    <w:rsid w:val="007A3BCF"/>
    <w:rsid w:val="007A440B"/>
    <w:rsid w:val="007A4E59"/>
    <w:rsid w:val="007A5B7B"/>
    <w:rsid w:val="007A66D8"/>
    <w:rsid w:val="007B3B54"/>
    <w:rsid w:val="007B3FA0"/>
    <w:rsid w:val="007B4BC6"/>
    <w:rsid w:val="007C0F2C"/>
    <w:rsid w:val="007C2BCC"/>
    <w:rsid w:val="007C35B2"/>
    <w:rsid w:val="007C4EF0"/>
    <w:rsid w:val="007D099D"/>
    <w:rsid w:val="007D7BA1"/>
    <w:rsid w:val="007E2664"/>
    <w:rsid w:val="007E3ABF"/>
    <w:rsid w:val="007E44C5"/>
    <w:rsid w:val="007E5BFA"/>
    <w:rsid w:val="007E6689"/>
    <w:rsid w:val="007E6F4C"/>
    <w:rsid w:val="007E731C"/>
    <w:rsid w:val="007F0A03"/>
    <w:rsid w:val="007F2F05"/>
    <w:rsid w:val="007F7EAD"/>
    <w:rsid w:val="00804E90"/>
    <w:rsid w:val="00810040"/>
    <w:rsid w:val="008201D2"/>
    <w:rsid w:val="0082023A"/>
    <w:rsid w:val="00821A7A"/>
    <w:rsid w:val="008253F8"/>
    <w:rsid w:val="00826B74"/>
    <w:rsid w:val="00826C67"/>
    <w:rsid w:val="00826F98"/>
    <w:rsid w:val="008325E4"/>
    <w:rsid w:val="00832A2B"/>
    <w:rsid w:val="00833C82"/>
    <w:rsid w:val="0083777F"/>
    <w:rsid w:val="00842B02"/>
    <w:rsid w:val="008433E8"/>
    <w:rsid w:val="00843A2D"/>
    <w:rsid w:val="00845811"/>
    <w:rsid w:val="00846994"/>
    <w:rsid w:val="00847023"/>
    <w:rsid w:val="00850451"/>
    <w:rsid w:val="00852042"/>
    <w:rsid w:val="008534C9"/>
    <w:rsid w:val="0085599D"/>
    <w:rsid w:val="00855FF4"/>
    <w:rsid w:val="00866D0A"/>
    <w:rsid w:val="0087510C"/>
    <w:rsid w:val="00881B32"/>
    <w:rsid w:val="00890442"/>
    <w:rsid w:val="00893E73"/>
    <w:rsid w:val="008968D2"/>
    <w:rsid w:val="0089738E"/>
    <w:rsid w:val="008B4465"/>
    <w:rsid w:val="008B5FDB"/>
    <w:rsid w:val="008B6B16"/>
    <w:rsid w:val="008C2F07"/>
    <w:rsid w:val="008C50F4"/>
    <w:rsid w:val="008C5649"/>
    <w:rsid w:val="008E44A2"/>
    <w:rsid w:val="008E697D"/>
    <w:rsid w:val="008F1276"/>
    <w:rsid w:val="008F1A6E"/>
    <w:rsid w:val="008F6168"/>
    <w:rsid w:val="008F6857"/>
    <w:rsid w:val="0090267E"/>
    <w:rsid w:val="00903263"/>
    <w:rsid w:val="009032AB"/>
    <w:rsid w:val="00904019"/>
    <w:rsid w:val="00906A21"/>
    <w:rsid w:val="009079C3"/>
    <w:rsid w:val="00910462"/>
    <w:rsid w:val="00915AB1"/>
    <w:rsid w:val="00917532"/>
    <w:rsid w:val="00917600"/>
    <w:rsid w:val="009202D1"/>
    <w:rsid w:val="00920E7B"/>
    <w:rsid w:val="009235BA"/>
    <w:rsid w:val="00924023"/>
    <w:rsid w:val="00924CE2"/>
    <w:rsid w:val="00925B9F"/>
    <w:rsid w:val="009309EB"/>
    <w:rsid w:val="00931AED"/>
    <w:rsid w:val="00945766"/>
    <w:rsid w:val="009476A3"/>
    <w:rsid w:val="0095334F"/>
    <w:rsid w:val="0095423D"/>
    <w:rsid w:val="00956C8B"/>
    <w:rsid w:val="009656DE"/>
    <w:rsid w:val="00965897"/>
    <w:rsid w:val="0096765C"/>
    <w:rsid w:val="00967848"/>
    <w:rsid w:val="009714D2"/>
    <w:rsid w:val="009727E4"/>
    <w:rsid w:val="009864BB"/>
    <w:rsid w:val="0098773B"/>
    <w:rsid w:val="00987B16"/>
    <w:rsid w:val="00992222"/>
    <w:rsid w:val="00992E99"/>
    <w:rsid w:val="009934C5"/>
    <w:rsid w:val="009945B8"/>
    <w:rsid w:val="00994C0F"/>
    <w:rsid w:val="009A0027"/>
    <w:rsid w:val="009A33ED"/>
    <w:rsid w:val="009B118C"/>
    <w:rsid w:val="009B22D7"/>
    <w:rsid w:val="009B2A92"/>
    <w:rsid w:val="009B4270"/>
    <w:rsid w:val="009B72ED"/>
    <w:rsid w:val="009C30E0"/>
    <w:rsid w:val="009C5659"/>
    <w:rsid w:val="009C6DEB"/>
    <w:rsid w:val="009D27A6"/>
    <w:rsid w:val="009D4CF3"/>
    <w:rsid w:val="009D4EF6"/>
    <w:rsid w:val="009D6504"/>
    <w:rsid w:val="009E12D7"/>
    <w:rsid w:val="009E159A"/>
    <w:rsid w:val="009E1B42"/>
    <w:rsid w:val="009E242E"/>
    <w:rsid w:val="009E4B8E"/>
    <w:rsid w:val="009E4BD1"/>
    <w:rsid w:val="009E661A"/>
    <w:rsid w:val="009E6C0C"/>
    <w:rsid w:val="009F0513"/>
    <w:rsid w:val="009F1276"/>
    <w:rsid w:val="009F2566"/>
    <w:rsid w:val="009F30B3"/>
    <w:rsid w:val="009F5710"/>
    <w:rsid w:val="009F7D7D"/>
    <w:rsid w:val="00A01467"/>
    <w:rsid w:val="00A01B80"/>
    <w:rsid w:val="00A05E77"/>
    <w:rsid w:val="00A06077"/>
    <w:rsid w:val="00A06781"/>
    <w:rsid w:val="00A074C3"/>
    <w:rsid w:val="00A100ED"/>
    <w:rsid w:val="00A102CE"/>
    <w:rsid w:val="00A1367E"/>
    <w:rsid w:val="00A1509C"/>
    <w:rsid w:val="00A238AE"/>
    <w:rsid w:val="00A24486"/>
    <w:rsid w:val="00A249B9"/>
    <w:rsid w:val="00A26187"/>
    <w:rsid w:val="00A31F77"/>
    <w:rsid w:val="00A34260"/>
    <w:rsid w:val="00A41F50"/>
    <w:rsid w:val="00A43390"/>
    <w:rsid w:val="00A513CA"/>
    <w:rsid w:val="00A51E31"/>
    <w:rsid w:val="00A523F9"/>
    <w:rsid w:val="00A6048E"/>
    <w:rsid w:val="00A648A4"/>
    <w:rsid w:val="00A65338"/>
    <w:rsid w:val="00A70C12"/>
    <w:rsid w:val="00A70CFD"/>
    <w:rsid w:val="00A72A0B"/>
    <w:rsid w:val="00A72CAB"/>
    <w:rsid w:val="00A77110"/>
    <w:rsid w:val="00A77DBB"/>
    <w:rsid w:val="00A77F80"/>
    <w:rsid w:val="00A8123C"/>
    <w:rsid w:val="00A81E42"/>
    <w:rsid w:val="00A82F8D"/>
    <w:rsid w:val="00A84592"/>
    <w:rsid w:val="00A864FE"/>
    <w:rsid w:val="00A86F41"/>
    <w:rsid w:val="00A8776B"/>
    <w:rsid w:val="00A87D04"/>
    <w:rsid w:val="00A950C5"/>
    <w:rsid w:val="00A95777"/>
    <w:rsid w:val="00AA056C"/>
    <w:rsid w:val="00AA16DE"/>
    <w:rsid w:val="00AA1BF0"/>
    <w:rsid w:val="00AA1D25"/>
    <w:rsid w:val="00AA2D6D"/>
    <w:rsid w:val="00AA7FE5"/>
    <w:rsid w:val="00AB2916"/>
    <w:rsid w:val="00AB2B1A"/>
    <w:rsid w:val="00AB397F"/>
    <w:rsid w:val="00AB5832"/>
    <w:rsid w:val="00AC19C6"/>
    <w:rsid w:val="00AC51F2"/>
    <w:rsid w:val="00AD104F"/>
    <w:rsid w:val="00AD3269"/>
    <w:rsid w:val="00AD3936"/>
    <w:rsid w:val="00AD64BC"/>
    <w:rsid w:val="00AD6596"/>
    <w:rsid w:val="00AD77B1"/>
    <w:rsid w:val="00AE040B"/>
    <w:rsid w:val="00AE0B4B"/>
    <w:rsid w:val="00AE5066"/>
    <w:rsid w:val="00AE5E24"/>
    <w:rsid w:val="00AE61B7"/>
    <w:rsid w:val="00AE6CBA"/>
    <w:rsid w:val="00AE79AD"/>
    <w:rsid w:val="00AF2549"/>
    <w:rsid w:val="00AF35E4"/>
    <w:rsid w:val="00AF5CDE"/>
    <w:rsid w:val="00AF66CA"/>
    <w:rsid w:val="00AF6A09"/>
    <w:rsid w:val="00B032F8"/>
    <w:rsid w:val="00B11A57"/>
    <w:rsid w:val="00B211C3"/>
    <w:rsid w:val="00B25597"/>
    <w:rsid w:val="00B25658"/>
    <w:rsid w:val="00B267B9"/>
    <w:rsid w:val="00B330CE"/>
    <w:rsid w:val="00B336A7"/>
    <w:rsid w:val="00B33E09"/>
    <w:rsid w:val="00B406E8"/>
    <w:rsid w:val="00B40D37"/>
    <w:rsid w:val="00B4248B"/>
    <w:rsid w:val="00B50708"/>
    <w:rsid w:val="00B50C68"/>
    <w:rsid w:val="00B51293"/>
    <w:rsid w:val="00B52488"/>
    <w:rsid w:val="00B52B1E"/>
    <w:rsid w:val="00B53473"/>
    <w:rsid w:val="00B54828"/>
    <w:rsid w:val="00B55481"/>
    <w:rsid w:val="00B56C32"/>
    <w:rsid w:val="00B56D61"/>
    <w:rsid w:val="00B57ACF"/>
    <w:rsid w:val="00B60AAA"/>
    <w:rsid w:val="00B61E4D"/>
    <w:rsid w:val="00B64BB1"/>
    <w:rsid w:val="00B64DD7"/>
    <w:rsid w:val="00B7276F"/>
    <w:rsid w:val="00B7287E"/>
    <w:rsid w:val="00B73166"/>
    <w:rsid w:val="00B73D56"/>
    <w:rsid w:val="00B81033"/>
    <w:rsid w:val="00B8426C"/>
    <w:rsid w:val="00B84642"/>
    <w:rsid w:val="00B84FCF"/>
    <w:rsid w:val="00B85104"/>
    <w:rsid w:val="00B86462"/>
    <w:rsid w:val="00B9193F"/>
    <w:rsid w:val="00B91B8D"/>
    <w:rsid w:val="00B945F6"/>
    <w:rsid w:val="00B94E90"/>
    <w:rsid w:val="00B956A0"/>
    <w:rsid w:val="00BA569A"/>
    <w:rsid w:val="00BA64D3"/>
    <w:rsid w:val="00BA757B"/>
    <w:rsid w:val="00BA7CAD"/>
    <w:rsid w:val="00BB0A82"/>
    <w:rsid w:val="00BB7C94"/>
    <w:rsid w:val="00BC0A9D"/>
    <w:rsid w:val="00BC54D5"/>
    <w:rsid w:val="00BD02BB"/>
    <w:rsid w:val="00BD0A16"/>
    <w:rsid w:val="00BD0F53"/>
    <w:rsid w:val="00BD3D8C"/>
    <w:rsid w:val="00BD494D"/>
    <w:rsid w:val="00BD4D26"/>
    <w:rsid w:val="00BD5A4C"/>
    <w:rsid w:val="00BD7A1F"/>
    <w:rsid w:val="00BE1763"/>
    <w:rsid w:val="00BF40ED"/>
    <w:rsid w:val="00BF51D7"/>
    <w:rsid w:val="00BF5BC2"/>
    <w:rsid w:val="00BF75BE"/>
    <w:rsid w:val="00C03530"/>
    <w:rsid w:val="00C10939"/>
    <w:rsid w:val="00C109F4"/>
    <w:rsid w:val="00C10EA6"/>
    <w:rsid w:val="00C1133D"/>
    <w:rsid w:val="00C16414"/>
    <w:rsid w:val="00C17C11"/>
    <w:rsid w:val="00C27A08"/>
    <w:rsid w:val="00C31312"/>
    <w:rsid w:val="00C31E36"/>
    <w:rsid w:val="00C326C6"/>
    <w:rsid w:val="00C35295"/>
    <w:rsid w:val="00C368D6"/>
    <w:rsid w:val="00C36ADD"/>
    <w:rsid w:val="00C36E74"/>
    <w:rsid w:val="00C372BC"/>
    <w:rsid w:val="00C3741D"/>
    <w:rsid w:val="00C40595"/>
    <w:rsid w:val="00C41621"/>
    <w:rsid w:val="00C41B7C"/>
    <w:rsid w:val="00C449FA"/>
    <w:rsid w:val="00C5384F"/>
    <w:rsid w:val="00C53D75"/>
    <w:rsid w:val="00C56964"/>
    <w:rsid w:val="00C60766"/>
    <w:rsid w:val="00C61FFE"/>
    <w:rsid w:val="00C656D5"/>
    <w:rsid w:val="00C66859"/>
    <w:rsid w:val="00C67103"/>
    <w:rsid w:val="00C71BB9"/>
    <w:rsid w:val="00C736FB"/>
    <w:rsid w:val="00C74DEE"/>
    <w:rsid w:val="00C82A12"/>
    <w:rsid w:val="00C835B4"/>
    <w:rsid w:val="00C945FA"/>
    <w:rsid w:val="00C94C28"/>
    <w:rsid w:val="00C95F30"/>
    <w:rsid w:val="00CA15AA"/>
    <w:rsid w:val="00CB0247"/>
    <w:rsid w:val="00CB0A64"/>
    <w:rsid w:val="00CB3440"/>
    <w:rsid w:val="00CB3FC2"/>
    <w:rsid w:val="00CB4084"/>
    <w:rsid w:val="00CB616A"/>
    <w:rsid w:val="00CC1692"/>
    <w:rsid w:val="00CC7AC4"/>
    <w:rsid w:val="00CD138B"/>
    <w:rsid w:val="00CD3E31"/>
    <w:rsid w:val="00CD617D"/>
    <w:rsid w:val="00CD7117"/>
    <w:rsid w:val="00CD74A3"/>
    <w:rsid w:val="00CE0527"/>
    <w:rsid w:val="00CE1DEE"/>
    <w:rsid w:val="00CE27C5"/>
    <w:rsid w:val="00CE2A3A"/>
    <w:rsid w:val="00CE30D0"/>
    <w:rsid w:val="00CE3A78"/>
    <w:rsid w:val="00CE594C"/>
    <w:rsid w:val="00CE5B23"/>
    <w:rsid w:val="00CF2486"/>
    <w:rsid w:val="00CF573B"/>
    <w:rsid w:val="00CF70AD"/>
    <w:rsid w:val="00CF7362"/>
    <w:rsid w:val="00CF7729"/>
    <w:rsid w:val="00D00059"/>
    <w:rsid w:val="00D009CE"/>
    <w:rsid w:val="00D02F34"/>
    <w:rsid w:val="00D0487F"/>
    <w:rsid w:val="00D06BC9"/>
    <w:rsid w:val="00D107FA"/>
    <w:rsid w:val="00D11555"/>
    <w:rsid w:val="00D11770"/>
    <w:rsid w:val="00D12275"/>
    <w:rsid w:val="00D12766"/>
    <w:rsid w:val="00D12AB6"/>
    <w:rsid w:val="00D20E4E"/>
    <w:rsid w:val="00D20FF4"/>
    <w:rsid w:val="00D212D8"/>
    <w:rsid w:val="00D22B0E"/>
    <w:rsid w:val="00D24D2C"/>
    <w:rsid w:val="00D34B3F"/>
    <w:rsid w:val="00D35881"/>
    <w:rsid w:val="00D36916"/>
    <w:rsid w:val="00D442BD"/>
    <w:rsid w:val="00D44A23"/>
    <w:rsid w:val="00D46B02"/>
    <w:rsid w:val="00D479AF"/>
    <w:rsid w:val="00D55399"/>
    <w:rsid w:val="00D55859"/>
    <w:rsid w:val="00D71E21"/>
    <w:rsid w:val="00D73C93"/>
    <w:rsid w:val="00D805F0"/>
    <w:rsid w:val="00D83214"/>
    <w:rsid w:val="00D83E21"/>
    <w:rsid w:val="00D85692"/>
    <w:rsid w:val="00D901A0"/>
    <w:rsid w:val="00D905FD"/>
    <w:rsid w:val="00D920E7"/>
    <w:rsid w:val="00DA3E49"/>
    <w:rsid w:val="00DA664C"/>
    <w:rsid w:val="00DA78A7"/>
    <w:rsid w:val="00DA7DA5"/>
    <w:rsid w:val="00DB0440"/>
    <w:rsid w:val="00DB073B"/>
    <w:rsid w:val="00DB1DDA"/>
    <w:rsid w:val="00DB264F"/>
    <w:rsid w:val="00DB6360"/>
    <w:rsid w:val="00DB7308"/>
    <w:rsid w:val="00DB78F0"/>
    <w:rsid w:val="00DB7D89"/>
    <w:rsid w:val="00DC0CEA"/>
    <w:rsid w:val="00DC2E43"/>
    <w:rsid w:val="00DC34AC"/>
    <w:rsid w:val="00DC55A3"/>
    <w:rsid w:val="00DD0637"/>
    <w:rsid w:val="00DD095C"/>
    <w:rsid w:val="00DD0A7A"/>
    <w:rsid w:val="00DD1020"/>
    <w:rsid w:val="00DD1330"/>
    <w:rsid w:val="00DD28E0"/>
    <w:rsid w:val="00DD3231"/>
    <w:rsid w:val="00DE0B83"/>
    <w:rsid w:val="00DE0D0F"/>
    <w:rsid w:val="00DE1A81"/>
    <w:rsid w:val="00DE1C13"/>
    <w:rsid w:val="00DE2677"/>
    <w:rsid w:val="00DE4D02"/>
    <w:rsid w:val="00DE4E10"/>
    <w:rsid w:val="00DE7083"/>
    <w:rsid w:val="00DE7949"/>
    <w:rsid w:val="00DF4689"/>
    <w:rsid w:val="00DF6797"/>
    <w:rsid w:val="00DF6A1A"/>
    <w:rsid w:val="00E00353"/>
    <w:rsid w:val="00E02ABF"/>
    <w:rsid w:val="00E03AE5"/>
    <w:rsid w:val="00E0557E"/>
    <w:rsid w:val="00E14995"/>
    <w:rsid w:val="00E166B0"/>
    <w:rsid w:val="00E179CD"/>
    <w:rsid w:val="00E23250"/>
    <w:rsid w:val="00E232AD"/>
    <w:rsid w:val="00E23E8D"/>
    <w:rsid w:val="00E246E3"/>
    <w:rsid w:val="00E253EB"/>
    <w:rsid w:val="00E30E9F"/>
    <w:rsid w:val="00E311A3"/>
    <w:rsid w:val="00E37F98"/>
    <w:rsid w:val="00E46559"/>
    <w:rsid w:val="00E62175"/>
    <w:rsid w:val="00E65202"/>
    <w:rsid w:val="00E6670C"/>
    <w:rsid w:val="00E744B2"/>
    <w:rsid w:val="00E776E8"/>
    <w:rsid w:val="00E831C0"/>
    <w:rsid w:val="00E83AD7"/>
    <w:rsid w:val="00E90647"/>
    <w:rsid w:val="00E92C1F"/>
    <w:rsid w:val="00E95D4B"/>
    <w:rsid w:val="00EA20DE"/>
    <w:rsid w:val="00EA5176"/>
    <w:rsid w:val="00EA6728"/>
    <w:rsid w:val="00EA76B8"/>
    <w:rsid w:val="00EB0D3C"/>
    <w:rsid w:val="00EB199F"/>
    <w:rsid w:val="00EC23F7"/>
    <w:rsid w:val="00EC4BD8"/>
    <w:rsid w:val="00EC54B2"/>
    <w:rsid w:val="00EC63EB"/>
    <w:rsid w:val="00ED23A9"/>
    <w:rsid w:val="00ED3684"/>
    <w:rsid w:val="00ED412F"/>
    <w:rsid w:val="00EE20B3"/>
    <w:rsid w:val="00EF0186"/>
    <w:rsid w:val="00EF0B43"/>
    <w:rsid w:val="00EF0E3C"/>
    <w:rsid w:val="00EF2877"/>
    <w:rsid w:val="00EF36B2"/>
    <w:rsid w:val="00EF5800"/>
    <w:rsid w:val="00EF77F9"/>
    <w:rsid w:val="00F068C5"/>
    <w:rsid w:val="00F06D5A"/>
    <w:rsid w:val="00F1231C"/>
    <w:rsid w:val="00F1246B"/>
    <w:rsid w:val="00F16CC4"/>
    <w:rsid w:val="00F17B35"/>
    <w:rsid w:val="00F201EC"/>
    <w:rsid w:val="00F208A9"/>
    <w:rsid w:val="00F2102F"/>
    <w:rsid w:val="00F22CAF"/>
    <w:rsid w:val="00F23DB4"/>
    <w:rsid w:val="00F314E8"/>
    <w:rsid w:val="00F37796"/>
    <w:rsid w:val="00F40347"/>
    <w:rsid w:val="00F41D75"/>
    <w:rsid w:val="00F508C7"/>
    <w:rsid w:val="00F5139D"/>
    <w:rsid w:val="00F5498A"/>
    <w:rsid w:val="00F55314"/>
    <w:rsid w:val="00F55977"/>
    <w:rsid w:val="00F5770B"/>
    <w:rsid w:val="00F62F43"/>
    <w:rsid w:val="00F63DAC"/>
    <w:rsid w:val="00F64A42"/>
    <w:rsid w:val="00F66B0E"/>
    <w:rsid w:val="00F66DA3"/>
    <w:rsid w:val="00F70F07"/>
    <w:rsid w:val="00F71B07"/>
    <w:rsid w:val="00F7454F"/>
    <w:rsid w:val="00F745ED"/>
    <w:rsid w:val="00F74C18"/>
    <w:rsid w:val="00F77511"/>
    <w:rsid w:val="00F77988"/>
    <w:rsid w:val="00F77F48"/>
    <w:rsid w:val="00F81BFC"/>
    <w:rsid w:val="00F82FD3"/>
    <w:rsid w:val="00F846BB"/>
    <w:rsid w:val="00F91AB2"/>
    <w:rsid w:val="00F95719"/>
    <w:rsid w:val="00F96858"/>
    <w:rsid w:val="00FA0FD5"/>
    <w:rsid w:val="00FA56DF"/>
    <w:rsid w:val="00FA6DD0"/>
    <w:rsid w:val="00FA6F8A"/>
    <w:rsid w:val="00FA7BA5"/>
    <w:rsid w:val="00FB2884"/>
    <w:rsid w:val="00FB2B33"/>
    <w:rsid w:val="00FB30F1"/>
    <w:rsid w:val="00FB331B"/>
    <w:rsid w:val="00FB37FF"/>
    <w:rsid w:val="00FB3AD8"/>
    <w:rsid w:val="00FB53E7"/>
    <w:rsid w:val="00FB5BAF"/>
    <w:rsid w:val="00FB69DD"/>
    <w:rsid w:val="00FC7973"/>
    <w:rsid w:val="00FD2476"/>
    <w:rsid w:val="00FD2A8A"/>
    <w:rsid w:val="00FD5301"/>
    <w:rsid w:val="00FE0122"/>
    <w:rsid w:val="00FE1592"/>
    <w:rsid w:val="00FE2265"/>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57899-3728-4651-998F-07EA014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Berzin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I.Lipovska</Vad_x012b_t_x0101_js>
    <Kategorija xmlns="2e5bb04e-596e-45bd-9003-43ca78b1ba16">Likumprojekts</Kategorija>
    <DKP xmlns="2e5bb04e-596e-45bd-9003-43ca78b1ba16">5</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964DA03-A2AA-4F7D-B042-BDBF9C6E1EA3}">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19EC6282-E8B9-4E66-B08E-756084B375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7007</Words>
  <Characters>3994</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"Noteikumi par neapliekamā minimuma un nodokļa atvieglojuma apmēru iedzīvotāju ienākuma nodokļa aprēķināšanai"</vt:lpstr>
      <vt:lpstr>Likumprojekta „Grozījumi Publiskas personas mantas atsavināšanas likumā” sākotnējās ietekmes novērtējuma ziņojums (anotācija)</vt:lpstr>
    </vt:vector>
  </TitlesOfParts>
  <Company>Finanšu ministrija</Company>
  <LinksUpToDate>false</LinksUpToDate>
  <CharactersWithSpaces>10980</CharactersWithSpaces>
  <SharedDoc>false</SharedDoc>
  <HLinks>
    <vt:vector size="6" baseType="variant">
      <vt:variant>
        <vt:i4>5308512</vt:i4>
      </vt:variant>
      <vt:variant>
        <vt:i4>3</vt:i4>
      </vt:variant>
      <vt:variant>
        <vt:i4>0</vt:i4>
      </vt:variant>
      <vt:variant>
        <vt:i4>5</vt:i4>
      </vt:variant>
      <vt:variant>
        <vt:lpwstr>mailto:Irina.Smirnova@fm.gov.lv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neapliekamā minimuma un nodokļa atvieglojuma apmēru iedzīvotāju ienākuma nodokļa aprēķināšanai"</dc:title>
  <dc:subject>Anotācija</dc:subject>
  <dc:creator>I.Bērziņa</dc:creator>
  <cp:keywords/>
  <dc:description>67095644, fakss 67095497,
Inese.Berzina@fm.gov.lv </dc:description>
  <cp:lastModifiedBy>Finanšu ministrija</cp:lastModifiedBy>
  <cp:revision>8</cp:revision>
  <cp:lastPrinted>2015-12-21T12:40:00Z</cp:lastPrinted>
  <dcterms:created xsi:type="dcterms:W3CDTF">2015-12-18T08:19:00Z</dcterms:created>
  <dcterms:modified xsi:type="dcterms:W3CDTF">2015-12-22T12:02:00Z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