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E38A9" w14:textId="77777777" w:rsidR="00933191" w:rsidRDefault="00F25315" w:rsidP="00F25315">
      <w:pPr>
        <w:pStyle w:val="naisc"/>
        <w:tabs>
          <w:tab w:val="left" w:pos="2630"/>
          <w:tab w:val="center" w:pos="4535"/>
        </w:tabs>
        <w:spacing w:before="0" w:after="0"/>
        <w:jc w:val="left"/>
      </w:pPr>
      <w:r>
        <w:tab/>
      </w:r>
    </w:p>
    <w:p w14:paraId="3767D115" w14:textId="47857F0D" w:rsidR="00F02ADC" w:rsidRPr="00C512FF" w:rsidRDefault="00F02ADC" w:rsidP="00933191">
      <w:pPr>
        <w:pStyle w:val="naisc"/>
        <w:tabs>
          <w:tab w:val="left" w:pos="2630"/>
          <w:tab w:val="center" w:pos="4535"/>
        </w:tabs>
        <w:spacing w:before="0" w:after="0"/>
      </w:pPr>
      <w:r w:rsidRPr="00C512FF">
        <w:t>Ministru kabineta rīkojuma projekta</w:t>
      </w:r>
    </w:p>
    <w:p w14:paraId="24CCF1F1" w14:textId="77777777" w:rsidR="00F02ADC" w:rsidRPr="00C512FF" w:rsidRDefault="001A4BC0" w:rsidP="00087866">
      <w:pPr>
        <w:pStyle w:val="naisf"/>
        <w:spacing w:after="40"/>
        <w:jc w:val="center"/>
        <w:rPr>
          <w:b/>
          <w:bCs/>
        </w:rPr>
      </w:pPr>
      <w:r>
        <w:rPr>
          <w:b/>
          <w:bCs/>
        </w:rPr>
        <w:t xml:space="preserve">Grozījums </w:t>
      </w:r>
      <w:r w:rsidRPr="00A037A5">
        <w:rPr>
          <w:b/>
          <w:bCs/>
        </w:rPr>
        <w:t xml:space="preserve">Ministru kabineta 2012.gada 24.augusta </w:t>
      </w:r>
      <w:r>
        <w:rPr>
          <w:b/>
          <w:bCs/>
        </w:rPr>
        <w:t>rīkojumā</w:t>
      </w:r>
      <w:r w:rsidRPr="00A037A5">
        <w:rPr>
          <w:b/>
          <w:bCs/>
        </w:rPr>
        <w:t xml:space="preserve"> Nr.411 „Par finansējuma piešķiršanu Fin</w:t>
      </w:r>
      <w:r w:rsidR="00131424">
        <w:rPr>
          <w:b/>
          <w:bCs/>
        </w:rPr>
        <w:t>anšu ministrijai Valsts ieņēmumu</w:t>
      </w:r>
      <w:r w:rsidRPr="00A037A5">
        <w:rPr>
          <w:b/>
          <w:bCs/>
        </w:rPr>
        <w:t xml:space="preserve"> dienesta administratīvās ēkas Talejas ielā 1, Rīgā, telpu nomas maksas, aprīkojuma iegādes, pārcelšanās un uzturēšanas izdevumu segšanai”</w:t>
      </w:r>
      <w:r w:rsidR="008C57BD" w:rsidRPr="00C512FF">
        <w:rPr>
          <w:bCs/>
        </w:rPr>
        <w:t xml:space="preserve"> </w:t>
      </w:r>
      <w:r w:rsidR="00F02ADC" w:rsidRPr="00C512FF">
        <w:t>sākotnējās ietekmes novērtējuma ziņojums (anotācija)</w:t>
      </w:r>
    </w:p>
    <w:p w14:paraId="656A5FD3" w14:textId="77777777" w:rsidR="00F02ADC" w:rsidRDefault="00F02ADC" w:rsidP="00F02ADC">
      <w:pPr>
        <w:pStyle w:val="naisc"/>
        <w:spacing w:before="0" w:after="0"/>
        <w:jc w:val="left"/>
        <w:rPr>
          <w:bCs/>
          <w:caps/>
        </w:rPr>
      </w:pPr>
    </w:p>
    <w:p w14:paraId="0D1CDC13" w14:textId="77777777" w:rsidR="00933191" w:rsidRPr="00C512FF" w:rsidRDefault="00933191" w:rsidP="00F02ADC">
      <w:pPr>
        <w:pStyle w:val="naisc"/>
        <w:spacing w:before="0" w:after="0"/>
        <w:jc w:val="left"/>
        <w:rPr>
          <w:bCs/>
          <w:caps/>
        </w:rPr>
      </w:pPr>
    </w:p>
    <w:tbl>
      <w:tblPr>
        <w:tblStyle w:val="TableGrid"/>
        <w:tblW w:w="0" w:type="auto"/>
        <w:tblLook w:val="04A0" w:firstRow="1" w:lastRow="0" w:firstColumn="1" w:lastColumn="0" w:noHBand="0" w:noVBand="1"/>
      </w:tblPr>
      <w:tblGrid>
        <w:gridCol w:w="534"/>
        <w:gridCol w:w="1559"/>
        <w:gridCol w:w="7194"/>
      </w:tblGrid>
      <w:tr w:rsidR="008C57BD" w:rsidRPr="00C512FF" w14:paraId="1E9678C0" w14:textId="77777777" w:rsidTr="001E5481">
        <w:tc>
          <w:tcPr>
            <w:tcW w:w="9287" w:type="dxa"/>
            <w:gridSpan w:val="3"/>
          </w:tcPr>
          <w:p w14:paraId="3CEB011D" w14:textId="77777777" w:rsidR="008C57BD" w:rsidRPr="00C512FF" w:rsidRDefault="008C57BD" w:rsidP="008C57BD">
            <w:pPr>
              <w:pStyle w:val="naisc"/>
              <w:spacing w:before="0" w:after="0"/>
              <w:rPr>
                <w:bCs/>
                <w:caps/>
              </w:rPr>
            </w:pPr>
            <w:r w:rsidRPr="00C512FF">
              <w:rPr>
                <w:b/>
                <w:bCs/>
              </w:rPr>
              <w:t>I. Tiesību akta projekta izstrādes nepieciešamība</w:t>
            </w:r>
          </w:p>
        </w:tc>
      </w:tr>
      <w:tr w:rsidR="008C57BD" w:rsidRPr="00C512FF" w14:paraId="7730EAA2" w14:textId="77777777" w:rsidTr="008C57BD">
        <w:tc>
          <w:tcPr>
            <w:tcW w:w="534" w:type="dxa"/>
          </w:tcPr>
          <w:p w14:paraId="0DA30E9B" w14:textId="77777777" w:rsidR="008C57BD" w:rsidRPr="00C512FF" w:rsidRDefault="008C57BD" w:rsidP="00F02ADC">
            <w:pPr>
              <w:pStyle w:val="naisc"/>
              <w:spacing w:before="0" w:after="0"/>
              <w:jc w:val="left"/>
              <w:rPr>
                <w:bCs/>
                <w:caps/>
              </w:rPr>
            </w:pPr>
            <w:r w:rsidRPr="00C512FF">
              <w:t>1.</w:t>
            </w:r>
          </w:p>
        </w:tc>
        <w:tc>
          <w:tcPr>
            <w:tcW w:w="1559" w:type="dxa"/>
          </w:tcPr>
          <w:p w14:paraId="43741445" w14:textId="77777777" w:rsidR="008C57BD" w:rsidRPr="00C512FF" w:rsidRDefault="008C57BD" w:rsidP="00F02ADC">
            <w:pPr>
              <w:pStyle w:val="naisc"/>
              <w:spacing w:before="0" w:after="0"/>
              <w:jc w:val="left"/>
              <w:rPr>
                <w:bCs/>
                <w:caps/>
              </w:rPr>
            </w:pPr>
            <w:r w:rsidRPr="00C512FF">
              <w:t>Pamatojums</w:t>
            </w:r>
          </w:p>
        </w:tc>
        <w:tc>
          <w:tcPr>
            <w:tcW w:w="7194" w:type="dxa"/>
          </w:tcPr>
          <w:p w14:paraId="573A6B3D" w14:textId="77777777" w:rsidR="008C57BD" w:rsidRPr="00C512FF" w:rsidRDefault="003E3070" w:rsidP="004C5265">
            <w:pPr>
              <w:pStyle w:val="naisc"/>
              <w:spacing w:before="0" w:after="0"/>
              <w:jc w:val="both"/>
              <w:rPr>
                <w:bCs/>
              </w:rPr>
            </w:pPr>
            <w:r w:rsidRPr="00C512FF">
              <w:rPr>
                <w:bCs/>
              </w:rPr>
              <w:t>Ministru kabineta 2012.gada 24.augusta rīkojuma Nr.411 „Par finansējuma piešķiršanu Fin</w:t>
            </w:r>
            <w:r w:rsidR="00131424">
              <w:rPr>
                <w:bCs/>
              </w:rPr>
              <w:t>anšu ministrijai Valsts ieņēmumu</w:t>
            </w:r>
            <w:r w:rsidRPr="00C512FF">
              <w:rPr>
                <w:bCs/>
              </w:rPr>
              <w:t xml:space="preserve"> dienesta administratīvās ēkas Talejas ielā 1, Rīgā, telpu nomas maksas, aprīkojuma iegādes, pārcelšanās un uzturēšanas izdevumu segšanai” (turpmāk – MK </w:t>
            </w:r>
            <w:smartTag w:uri="schemas-tilde-lv/tildestengine" w:element="veidnes">
              <w:smartTagPr>
                <w:attr w:name="text" w:val="rīkojums"/>
                <w:attr w:name="baseform" w:val="rīkojums"/>
                <w:attr w:name="id" w:val="-1"/>
              </w:smartTagPr>
              <w:r w:rsidRPr="00C512FF">
                <w:rPr>
                  <w:bCs/>
                </w:rPr>
                <w:t>rīkojums</w:t>
              </w:r>
            </w:smartTag>
            <w:r w:rsidRPr="00C512FF">
              <w:rPr>
                <w:bCs/>
              </w:rPr>
              <w:t xml:space="preserve"> Nr.411) 3.punkts.</w:t>
            </w:r>
          </w:p>
        </w:tc>
      </w:tr>
      <w:tr w:rsidR="008C57BD" w:rsidRPr="00C512FF" w14:paraId="33D9CFAE" w14:textId="77777777" w:rsidTr="008C57BD">
        <w:tc>
          <w:tcPr>
            <w:tcW w:w="534" w:type="dxa"/>
          </w:tcPr>
          <w:p w14:paraId="2AA64323" w14:textId="77777777" w:rsidR="008C57BD" w:rsidRPr="00C512FF" w:rsidRDefault="008C57BD" w:rsidP="001E5481">
            <w:pPr>
              <w:spacing w:before="100" w:beforeAutospacing="1" w:after="100" w:afterAutospacing="1"/>
              <w:rPr>
                <w:sz w:val="24"/>
                <w:szCs w:val="24"/>
                <w:lang w:eastAsia="lv-LV"/>
              </w:rPr>
            </w:pPr>
            <w:r w:rsidRPr="00C512FF">
              <w:rPr>
                <w:sz w:val="24"/>
                <w:szCs w:val="24"/>
                <w:lang w:eastAsia="lv-LV"/>
              </w:rPr>
              <w:t>2.</w:t>
            </w:r>
          </w:p>
        </w:tc>
        <w:tc>
          <w:tcPr>
            <w:tcW w:w="1559" w:type="dxa"/>
          </w:tcPr>
          <w:p w14:paraId="476A59F9" w14:textId="77777777" w:rsidR="008C57BD" w:rsidRPr="00C512FF" w:rsidRDefault="008C57BD" w:rsidP="00F02ADC">
            <w:pPr>
              <w:pStyle w:val="naisc"/>
              <w:spacing w:before="0" w:after="0"/>
              <w:jc w:val="left"/>
              <w:rPr>
                <w:bCs/>
                <w:caps/>
              </w:rPr>
            </w:pPr>
            <w:r w:rsidRPr="00C512FF">
              <w:t>Pašreizējā situācija un problēmas, kuru risināšanai tiesību akta projekts izstrādāts, tiesiskā regulējuma mērķis un būtība</w:t>
            </w:r>
          </w:p>
        </w:tc>
        <w:tc>
          <w:tcPr>
            <w:tcW w:w="7194" w:type="dxa"/>
          </w:tcPr>
          <w:p w14:paraId="318E4FAF" w14:textId="77777777" w:rsidR="00933191" w:rsidRPr="00933191" w:rsidRDefault="003E3070" w:rsidP="0008444E">
            <w:pPr>
              <w:spacing w:before="120" w:after="120"/>
              <w:jc w:val="both"/>
              <w:rPr>
                <w:bCs/>
                <w:sz w:val="24"/>
                <w:szCs w:val="24"/>
              </w:rPr>
            </w:pPr>
            <w:r w:rsidRPr="00933191">
              <w:rPr>
                <w:bCs/>
                <w:sz w:val="24"/>
                <w:szCs w:val="24"/>
              </w:rPr>
              <w:t>MK rīkojuma Nr.411 3.punktā Finanšu ministrijai (turpmāk – FM) (valsts akciju sabiedrībai „Valsts nekustami</w:t>
            </w:r>
            <w:r w:rsidR="00D9044E" w:rsidRPr="00933191">
              <w:rPr>
                <w:bCs/>
                <w:sz w:val="24"/>
                <w:szCs w:val="24"/>
              </w:rPr>
              <w:t>e īpašumi” (turpmāk – VNĪ)) dots uzdevums</w:t>
            </w:r>
            <w:r w:rsidRPr="00933191">
              <w:rPr>
                <w:bCs/>
                <w:sz w:val="24"/>
                <w:szCs w:val="24"/>
              </w:rPr>
              <w:t xml:space="preserve"> </w:t>
            </w:r>
            <w:r w:rsidRPr="00933191">
              <w:rPr>
                <w:sz w:val="24"/>
                <w:szCs w:val="24"/>
              </w:rPr>
              <w:t>līdz 2015.gada 1.aprīlim precizēt</w:t>
            </w:r>
            <w:r w:rsidR="00C524B9" w:rsidRPr="00933191">
              <w:rPr>
                <w:bCs/>
                <w:sz w:val="24"/>
                <w:szCs w:val="24"/>
              </w:rPr>
              <w:t xml:space="preserve"> nomas maksas apmēru</w:t>
            </w:r>
            <w:r w:rsidRPr="00933191">
              <w:rPr>
                <w:bCs/>
                <w:sz w:val="24"/>
                <w:szCs w:val="24"/>
              </w:rPr>
              <w:t xml:space="preserve"> atbilstoši faktiskajām būvniecības un piesaistītā kapitāla izmaksām, un uzt</w:t>
            </w:r>
            <w:r w:rsidR="00C524B9" w:rsidRPr="00933191">
              <w:rPr>
                <w:bCs/>
                <w:sz w:val="24"/>
                <w:szCs w:val="24"/>
              </w:rPr>
              <w:t>urēšanas izdevumu apmēru</w:t>
            </w:r>
            <w:r w:rsidRPr="00933191">
              <w:rPr>
                <w:bCs/>
                <w:sz w:val="24"/>
                <w:szCs w:val="24"/>
              </w:rPr>
              <w:t xml:space="preserve"> atbilstoši faktiskajām nekustamā īpašuma apsaimnie</w:t>
            </w:r>
            <w:r w:rsidR="00C524B9" w:rsidRPr="00933191">
              <w:rPr>
                <w:bCs/>
                <w:sz w:val="24"/>
                <w:szCs w:val="24"/>
              </w:rPr>
              <w:t>košanas un uzturēšanas izmaksām</w:t>
            </w:r>
            <w:r w:rsidRPr="00933191">
              <w:rPr>
                <w:bCs/>
                <w:sz w:val="24"/>
                <w:szCs w:val="24"/>
              </w:rPr>
              <w:t xml:space="preserve"> un normatīvajos aktos noteiktā kārtībā iesniegt Ministru kabinetā rīkojuma projektu par MK rīkojuma Nr.411 1.punktā minēto valsts budžeta ilgtermiņa saistību un pamatbud</w:t>
            </w:r>
            <w:r w:rsidR="00933191" w:rsidRPr="00933191">
              <w:rPr>
                <w:bCs/>
                <w:sz w:val="24"/>
                <w:szCs w:val="24"/>
              </w:rPr>
              <w:t>žeta bāzes izdevumu precizēšanu.</w:t>
            </w:r>
          </w:p>
          <w:p w14:paraId="454920A1" w14:textId="3B93A90B" w:rsidR="0008444E" w:rsidRPr="00C512FF" w:rsidRDefault="0008444E" w:rsidP="0008444E">
            <w:pPr>
              <w:spacing w:before="120" w:after="120"/>
              <w:jc w:val="both"/>
              <w:rPr>
                <w:bCs/>
                <w:sz w:val="24"/>
                <w:szCs w:val="24"/>
                <w:lang w:eastAsia="lv-LV"/>
              </w:rPr>
            </w:pPr>
            <w:r w:rsidRPr="00C512FF">
              <w:rPr>
                <w:bCs/>
                <w:sz w:val="24"/>
                <w:szCs w:val="24"/>
                <w:lang w:eastAsia="lv-LV"/>
              </w:rPr>
              <w:t>Būvobjekts „Latvijas Republikas Valsts ieņēmumu dienesta admin</w:t>
            </w:r>
            <w:r w:rsidR="00F1017A" w:rsidRPr="00C512FF">
              <w:rPr>
                <w:bCs/>
                <w:sz w:val="24"/>
                <w:szCs w:val="24"/>
                <w:lang w:eastAsia="lv-LV"/>
              </w:rPr>
              <w:t>istratīvo ēku komplekss</w:t>
            </w:r>
            <w:r w:rsidRPr="00C512FF">
              <w:rPr>
                <w:bCs/>
                <w:sz w:val="24"/>
                <w:szCs w:val="24"/>
                <w:lang w:eastAsia="lv-LV"/>
              </w:rPr>
              <w:t xml:space="preserve"> Rīgā, Talejas ielā 1 (2.kārta)”</w:t>
            </w:r>
            <w:r w:rsidR="00731368" w:rsidRPr="00C512FF">
              <w:rPr>
                <w:bCs/>
                <w:sz w:val="24"/>
                <w:szCs w:val="24"/>
                <w:lang w:eastAsia="lv-LV"/>
              </w:rPr>
              <w:t xml:space="preserve"> </w:t>
            </w:r>
            <w:r w:rsidRPr="00C512FF">
              <w:rPr>
                <w:bCs/>
                <w:sz w:val="24"/>
                <w:szCs w:val="24"/>
                <w:lang w:eastAsia="lv-LV"/>
              </w:rPr>
              <w:t>tika nodots ekspluatācijā 2014.gada 17.aprīlī.</w:t>
            </w:r>
          </w:p>
          <w:p w14:paraId="21759C34" w14:textId="158473C8" w:rsidR="0008444E" w:rsidRPr="00C512FF" w:rsidRDefault="00F1017A" w:rsidP="0008444E">
            <w:pPr>
              <w:pStyle w:val="naiskr"/>
              <w:tabs>
                <w:tab w:val="left" w:pos="366"/>
              </w:tabs>
              <w:spacing w:before="120" w:beforeAutospacing="0" w:after="120" w:afterAutospacing="0"/>
              <w:ind w:right="113"/>
              <w:jc w:val="both"/>
            </w:pPr>
            <w:r w:rsidRPr="00C512FF">
              <w:t xml:space="preserve">2014.gada 30.aprīlī </w:t>
            </w:r>
            <w:r w:rsidR="0008444E" w:rsidRPr="00C512FF">
              <w:t xml:space="preserve">starp sabiedrību ar ierobežotu atbildību „Biroju centrs EZERPARKS” un </w:t>
            </w:r>
            <w:r w:rsidR="0008444E" w:rsidRPr="00C512FF">
              <w:rPr>
                <w:bCs/>
              </w:rPr>
              <w:t>VNĪ</w:t>
            </w:r>
            <w:r w:rsidR="0008444E" w:rsidRPr="00C512FF">
              <w:t xml:space="preserve"> noslēgts nekustamā īpašuma Rīgā, Talejas ielā 1, nomas līgums Nr.03-04/14</w:t>
            </w:r>
            <w:r w:rsidR="00FC3D66">
              <w:t>.</w:t>
            </w:r>
            <w:r w:rsidR="0008444E" w:rsidRPr="00C512FF">
              <w:t xml:space="preserve"> </w:t>
            </w:r>
          </w:p>
          <w:p w14:paraId="7FA8ED4C" w14:textId="6A1BAA36" w:rsidR="00CF19D7" w:rsidRPr="006455FF" w:rsidRDefault="0008444E" w:rsidP="006455FF">
            <w:pPr>
              <w:pStyle w:val="naiskr"/>
              <w:tabs>
                <w:tab w:val="left" w:pos="366"/>
              </w:tabs>
              <w:spacing w:before="0" w:beforeAutospacing="0" w:after="0" w:afterAutospacing="0"/>
              <w:ind w:right="140"/>
              <w:jc w:val="both"/>
              <w:rPr>
                <w:bCs/>
              </w:rPr>
            </w:pPr>
            <w:r w:rsidRPr="00C512FF">
              <w:rPr>
                <w:bCs/>
              </w:rPr>
              <w:t>Vienlaikus 2014.gada 30.aprīlī starp VNĪ un VID noslēgts Telpu Talejas ielā 1, Rīgā, apakšnomas līgums Nr.7-2-14-1/818</w:t>
            </w:r>
            <w:r w:rsidR="009A73B9" w:rsidRPr="00C512FF">
              <w:rPr>
                <w:bCs/>
              </w:rPr>
              <w:t xml:space="preserve"> </w:t>
            </w:r>
            <w:r w:rsidRPr="00C512FF">
              <w:rPr>
                <w:bCs/>
              </w:rPr>
              <w:t>(turpmāk – Apakšnomas līgums)</w:t>
            </w:r>
            <w:r w:rsidR="00F1017A" w:rsidRPr="00C512FF">
              <w:rPr>
                <w:bCs/>
              </w:rPr>
              <w:t>.</w:t>
            </w:r>
            <w:r w:rsidR="00EF4C4F" w:rsidRPr="00C512FF">
              <w:rPr>
                <w:bCs/>
              </w:rPr>
              <w:t xml:space="preserve"> S</w:t>
            </w:r>
            <w:r w:rsidRPr="00C512FF">
              <w:rPr>
                <w:bCs/>
              </w:rPr>
              <w:t xml:space="preserve">askaņā </w:t>
            </w:r>
            <w:r w:rsidR="00486437" w:rsidRPr="00C512FF">
              <w:rPr>
                <w:bCs/>
              </w:rPr>
              <w:t xml:space="preserve">ar </w:t>
            </w:r>
            <w:r w:rsidR="00EF4C4F" w:rsidRPr="00C512FF">
              <w:rPr>
                <w:bCs/>
              </w:rPr>
              <w:t xml:space="preserve">Apakšnomas līguma nosacījumiem </w:t>
            </w:r>
            <w:r w:rsidRPr="00C512FF">
              <w:rPr>
                <w:bCs/>
              </w:rPr>
              <w:t xml:space="preserve">VID pieņem lietošanā par maksu telpas, kas atrodas </w:t>
            </w:r>
            <w:proofErr w:type="spellStart"/>
            <w:r w:rsidRPr="00C512FF">
              <w:rPr>
                <w:bCs/>
              </w:rPr>
              <w:t>Talejas</w:t>
            </w:r>
            <w:proofErr w:type="spellEnd"/>
            <w:r w:rsidRPr="00C512FF">
              <w:rPr>
                <w:bCs/>
              </w:rPr>
              <w:t xml:space="preserve"> ielā 1, Rīgā, </w:t>
            </w:r>
            <w:r w:rsidR="00847653" w:rsidRPr="00C512FF">
              <w:rPr>
                <w:bCs/>
              </w:rPr>
              <w:t xml:space="preserve">no 2014.gada 30.aprīļa līdz 2014.gada 29.decembrim  un no 2016.gada 1.janvāra </w:t>
            </w:r>
            <w:r w:rsidR="00951199" w:rsidRPr="00C512FF">
              <w:rPr>
                <w:bCs/>
              </w:rPr>
              <w:t xml:space="preserve">ar platību </w:t>
            </w:r>
            <w:r w:rsidR="00847653" w:rsidRPr="00C512FF">
              <w:rPr>
                <w:bCs/>
              </w:rPr>
              <w:t>39 589,44 m</w:t>
            </w:r>
            <w:r w:rsidR="00847653" w:rsidRPr="00C512FF">
              <w:rPr>
                <w:bCs/>
                <w:vertAlign w:val="superscript"/>
              </w:rPr>
              <w:t>2</w:t>
            </w:r>
            <w:r w:rsidR="00847653" w:rsidRPr="00C512FF">
              <w:rPr>
                <w:bCs/>
              </w:rPr>
              <w:t xml:space="preserve">, bet </w:t>
            </w:r>
            <w:r w:rsidR="00714FA1" w:rsidRPr="00C512FF">
              <w:rPr>
                <w:bCs/>
              </w:rPr>
              <w:t>vienotā valsts klientu apkalpošanas centra (turpmāk – VVKAC)</w:t>
            </w:r>
            <w:r w:rsidR="00847653" w:rsidRPr="00C512FF">
              <w:rPr>
                <w:bCs/>
              </w:rPr>
              <w:t xml:space="preserve"> pilotprojekta īstenošanas laikā (no 2014.gada 30.decembra līdz 2015.gada 31.decembrim) 39 509,88 m</w:t>
            </w:r>
            <w:r w:rsidR="00847653" w:rsidRPr="00C512FF">
              <w:rPr>
                <w:bCs/>
                <w:vertAlign w:val="superscript"/>
              </w:rPr>
              <w:t>2</w:t>
            </w:r>
            <w:r w:rsidRPr="00C512FF">
              <w:rPr>
                <w:bCs/>
              </w:rPr>
              <w:t>, un VID vajadzībām atvēlētās autostāvvietas</w:t>
            </w:r>
            <w:r w:rsidR="00D241DB" w:rsidRPr="00C512FF">
              <w:rPr>
                <w:bCs/>
              </w:rPr>
              <w:t xml:space="preserve">. </w:t>
            </w:r>
            <w:r w:rsidR="00EF4C4F" w:rsidRPr="00C512FF">
              <w:rPr>
                <w:bCs/>
              </w:rPr>
              <w:t>Apakšnomas l</w:t>
            </w:r>
            <w:r w:rsidRPr="00C512FF">
              <w:rPr>
                <w:bCs/>
              </w:rPr>
              <w:t>īguma termiņš – 30 gadi.</w:t>
            </w:r>
            <w:r w:rsidR="00CF19D7" w:rsidRPr="00C512FF">
              <w:rPr>
                <w:bCs/>
              </w:rPr>
              <w:t xml:space="preserve"> </w:t>
            </w:r>
            <w:r w:rsidR="00CF19D7" w:rsidRPr="006455FF">
              <w:rPr>
                <w:bCs/>
              </w:rPr>
              <w:t>Saskaņā ar Apakšnomas līguma nosacījumiem papildus nomas maksai maksājami apsaimnie</w:t>
            </w:r>
            <w:r w:rsidR="006455FF">
              <w:rPr>
                <w:bCs/>
              </w:rPr>
              <w:t xml:space="preserve">košanas un uzturēšanas izdevumi, </w:t>
            </w:r>
            <w:r w:rsidR="00CF19D7" w:rsidRPr="006455FF">
              <w:rPr>
                <w:bCs/>
              </w:rPr>
              <w:t xml:space="preserve">izdevumi par faktiski saņemtajiem komunālajiem pakalpojumiem, t.i., izdevumi par elektrību, siltumu, ūdeni, kanalizāciju un atkritumu </w:t>
            </w:r>
            <w:r w:rsidR="006455FF">
              <w:rPr>
                <w:bCs/>
              </w:rPr>
              <w:t xml:space="preserve">apsaimniekošanu, izdevumi par apdrošināšanu un </w:t>
            </w:r>
            <w:r w:rsidR="00CF19D7" w:rsidRPr="006455FF">
              <w:rPr>
                <w:bCs/>
              </w:rPr>
              <w:t>uzkrājumi kārtējiem remontiem, sākot ar nomas trešo gadu</w:t>
            </w:r>
            <w:r w:rsidR="000C772C">
              <w:rPr>
                <w:bCs/>
              </w:rPr>
              <w:t xml:space="preserve"> (</w:t>
            </w:r>
            <w:r w:rsidR="000C772C" w:rsidRPr="00477E63">
              <w:rPr>
                <w:bCs/>
              </w:rPr>
              <w:t>no 2016.gada</w:t>
            </w:r>
            <w:r w:rsidR="000C772C">
              <w:rPr>
                <w:bCs/>
              </w:rPr>
              <w:t xml:space="preserve"> 30.aprīļa)</w:t>
            </w:r>
            <w:r w:rsidR="00CF19D7" w:rsidRPr="006455FF">
              <w:rPr>
                <w:bCs/>
              </w:rPr>
              <w:t>.</w:t>
            </w:r>
          </w:p>
          <w:p w14:paraId="0EA48834" w14:textId="77777777" w:rsidR="00CF19D7" w:rsidRPr="00C512FF" w:rsidRDefault="00CF19D7" w:rsidP="00CF19D7">
            <w:pPr>
              <w:pStyle w:val="naiskr"/>
              <w:tabs>
                <w:tab w:val="left" w:pos="366"/>
              </w:tabs>
              <w:spacing w:before="0" w:beforeAutospacing="0" w:after="0" w:afterAutospacing="0"/>
              <w:ind w:right="140"/>
              <w:jc w:val="both"/>
              <w:rPr>
                <w:bCs/>
              </w:rPr>
            </w:pPr>
            <w:r w:rsidRPr="00C512FF">
              <w:rPr>
                <w:bCs/>
              </w:rPr>
              <w:t>Saskaņā ar Apakšnomas līguma nosacījumiem:</w:t>
            </w:r>
          </w:p>
          <w:p w14:paraId="5909F5A7" w14:textId="77777777" w:rsidR="00CF19D7" w:rsidRPr="00C512FF" w:rsidRDefault="00CF19D7" w:rsidP="002C23FE">
            <w:pPr>
              <w:jc w:val="both"/>
              <w:rPr>
                <w:bCs/>
                <w:sz w:val="24"/>
                <w:szCs w:val="24"/>
                <w:lang w:eastAsia="lv-LV"/>
              </w:rPr>
            </w:pPr>
            <w:r w:rsidRPr="00C512FF">
              <w:rPr>
                <w:bCs/>
                <w:sz w:val="24"/>
                <w:szCs w:val="24"/>
              </w:rPr>
              <w:t xml:space="preserve"> – </w:t>
            </w:r>
            <w:r w:rsidRPr="00C512FF">
              <w:rPr>
                <w:bCs/>
                <w:sz w:val="24"/>
                <w:szCs w:val="24"/>
                <w:lang w:eastAsia="lv-LV"/>
              </w:rPr>
              <w:t>ja līdz 2016.gada 1.janvārim aprēķinātā nomas maksa, apsaimniekošanas un uzturēšanas maksa un/vai citi ar iznomātā īpašuma uzturēšanu saistīti maksājumi pārsniedz šim mērķim piešķirtā finansējuma apjomu</w:t>
            </w:r>
            <w:r w:rsidR="005B2EF9" w:rsidRPr="00C512FF">
              <w:rPr>
                <w:bCs/>
                <w:sz w:val="24"/>
                <w:szCs w:val="24"/>
                <w:lang w:eastAsia="lv-LV"/>
              </w:rPr>
              <w:t>,</w:t>
            </w:r>
            <w:r w:rsidRPr="00C512FF">
              <w:rPr>
                <w:bCs/>
                <w:sz w:val="24"/>
                <w:szCs w:val="24"/>
                <w:lang w:eastAsia="lv-LV"/>
              </w:rPr>
              <w:t xml:space="preserve"> iznomātājs (VNĪ) un apakšnomnieks (VID) apņemas nekavējoties veikt nepieciešamās darbības papildu finansējuma </w:t>
            </w:r>
            <w:r w:rsidRPr="00C512FF">
              <w:rPr>
                <w:bCs/>
                <w:sz w:val="24"/>
                <w:szCs w:val="24"/>
                <w:lang w:eastAsia="lv-LV"/>
              </w:rPr>
              <w:lastRenderedPageBreak/>
              <w:t>pieprasīšanai no valsts budžeta;</w:t>
            </w:r>
          </w:p>
          <w:p w14:paraId="6E21DB6F" w14:textId="77777777" w:rsidR="00BB4C1E" w:rsidRPr="00C512FF" w:rsidRDefault="00CF19D7" w:rsidP="002C23FE">
            <w:pPr>
              <w:jc w:val="both"/>
              <w:rPr>
                <w:bCs/>
                <w:sz w:val="24"/>
                <w:szCs w:val="24"/>
                <w:lang w:eastAsia="lv-LV"/>
              </w:rPr>
            </w:pPr>
            <w:r w:rsidRPr="00C512FF">
              <w:rPr>
                <w:bCs/>
                <w:sz w:val="24"/>
                <w:szCs w:val="24"/>
                <w:lang w:eastAsia="lv-LV"/>
              </w:rPr>
              <w:t xml:space="preserve"> – </w:t>
            </w:r>
            <w:r w:rsidR="00171B4A" w:rsidRPr="00C512FF">
              <w:rPr>
                <w:bCs/>
                <w:sz w:val="24"/>
                <w:szCs w:val="24"/>
                <w:lang w:eastAsia="lv-LV"/>
              </w:rPr>
              <w:t xml:space="preserve">sākot no 2016.gada telpu Talejas ielā 1, Rīgā, iznomātājam (VNĪ) ir tiesības ik gadu paaugstināt, savukārt apakšnomniekam (VID) samazināt noteiktās nomas maksas apmēru atbilstoši EUROSTAT sniegtajam Latvijas patēriņa cenu indeksam par iepriekšējo kalendāro gadu. Izmaiņas tiek piemērotas, ja Puse par to rakstiski paziņojusi otrai Pusei nomas maksas paaugstināšanas gadījumā līdz kārtējā gada 1.aprīlim, bet samazināšanas gadījumā līdz 1.martam. Nomas maksas izmaiņas tiek apstiprinātas ar Pušu rakstisku vienošanos pie </w:t>
            </w:r>
            <w:r w:rsidR="00D72409" w:rsidRPr="00C512FF">
              <w:rPr>
                <w:bCs/>
                <w:sz w:val="24"/>
                <w:szCs w:val="24"/>
                <w:lang w:eastAsia="lv-LV"/>
              </w:rPr>
              <w:t>A</w:t>
            </w:r>
            <w:r w:rsidR="00171B4A" w:rsidRPr="00C512FF">
              <w:rPr>
                <w:bCs/>
                <w:sz w:val="24"/>
                <w:szCs w:val="24"/>
                <w:lang w:eastAsia="lv-LV"/>
              </w:rPr>
              <w:t xml:space="preserve">pakšnomas līgums. Apakšnomnieks (VID) apņemas nekavējoties veikt nepieciešamās darbības papildu finansējuma pieprasīšanai no valsts budžeta, ja nomas maksa pārsniedz VID šim mērķim piešķirtā finansējuma apjomu. </w:t>
            </w:r>
          </w:p>
          <w:p w14:paraId="23EC3460" w14:textId="605E9F9C" w:rsidR="00D241DB" w:rsidRPr="00477E63" w:rsidRDefault="00027FDA" w:rsidP="001D5858">
            <w:pPr>
              <w:spacing w:before="120" w:after="120"/>
              <w:jc w:val="both"/>
              <w:rPr>
                <w:bCs/>
                <w:sz w:val="24"/>
                <w:szCs w:val="24"/>
                <w:lang w:eastAsia="lv-LV"/>
              </w:rPr>
            </w:pPr>
            <w:r w:rsidRPr="00C512FF">
              <w:rPr>
                <w:bCs/>
                <w:sz w:val="24"/>
                <w:szCs w:val="24"/>
                <w:lang w:eastAsia="lv-LV"/>
              </w:rPr>
              <w:t xml:space="preserve">Tā kā VID apakšnomā </w:t>
            </w:r>
            <w:r w:rsidR="000F103F" w:rsidRPr="00C512FF">
              <w:rPr>
                <w:bCs/>
                <w:sz w:val="24"/>
                <w:szCs w:val="24"/>
                <w:lang w:eastAsia="lv-LV"/>
              </w:rPr>
              <w:t xml:space="preserve">tika </w:t>
            </w:r>
            <w:r w:rsidRPr="00C512FF">
              <w:rPr>
                <w:bCs/>
                <w:sz w:val="24"/>
                <w:szCs w:val="24"/>
                <w:lang w:eastAsia="lv-LV"/>
              </w:rPr>
              <w:t>nodota mazāka platība nekā sākotnēji plānot</w:t>
            </w:r>
            <w:r w:rsidR="000F103F" w:rsidRPr="00C512FF">
              <w:rPr>
                <w:bCs/>
                <w:sz w:val="24"/>
                <w:szCs w:val="24"/>
                <w:lang w:eastAsia="lv-LV"/>
              </w:rPr>
              <w:t>s</w:t>
            </w:r>
            <w:r w:rsidR="00EE7894">
              <w:rPr>
                <w:bCs/>
                <w:sz w:val="24"/>
                <w:szCs w:val="24"/>
                <w:lang w:eastAsia="lv-LV"/>
              </w:rPr>
              <w:t>,</w:t>
            </w:r>
            <w:r w:rsidR="0039271F" w:rsidRPr="00C512FF">
              <w:rPr>
                <w:bCs/>
                <w:sz w:val="24"/>
                <w:szCs w:val="24"/>
                <w:lang w:eastAsia="lv-LV"/>
              </w:rPr>
              <w:t xml:space="preserve"> </w:t>
            </w:r>
            <w:r w:rsidR="00D241DB" w:rsidRPr="006455FF">
              <w:rPr>
                <w:bCs/>
                <w:sz w:val="24"/>
                <w:szCs w:val="24"/>
                <w:lang w:eastAsia="lv-LV"/>
              </w:rPr>
              <w:t xml:space="preserve">faktiski </w:t>
            </w:r>
            <w:r w:rsidR="000F59A6" w:rsidRPr="006455FF">
              <w:rPr>
                <w:bCs/>
                <w:sz w:val="24"/>
                <w:szCs w:val="24"/>
                <w:lang w:eastAsia="lv-LV"/>
              </w:rPr>
              <w:t>nepieciešamais finansējum</w:t>
            </w:r>
            <w:r w:rsidR="00702310" w:rsidRPr="006455FF">
              <w:rPr>
                <w:bCs/>
                <w:sz w:val="24"/>
                <w:szCs w:val="24"/>
                <w:lang w:eastAsia="lv-LV"/>
              </w:rPr>
              <w:t>a apmērs</w:t>
            </w:r>
            <w:r w:rsidR="00EE7894">
              <w:rPr>
                <w:bCs/>
                <w:sz w:val="24"/>
                <w:szCs w:val="24"/>
                <w:lang w:eastAsia="lv-LV"/>
              </w:rPr>
              <w:t xml:space="preserve"> nomas maksas izdevumu segšanai</w:t>
            </w:r>
            <w:r w:rsidR="00702310" w:rsidRPr="006455FF">
              <w:rPr>
                <w:bCs/>
                <w:sz w:val="24"/>
                <w:szCs w:val="24"/>
                <w:lang w:eastAsia="lv-LV"/>
              </w:rPr>
              <w:t xml:space="preserve"> </w:t>
            </w:r>
            <w:r w:rsidR="0039271F" w:rsidRPr="006455FF">
              <w:rPr>
                <w:bCs/>
                <w:sz w:val="24"/>
                <w:szCs w:val="24"/>
                <w:lang w:eastAsia="lv-LV"/>
              </w:rPr>
              <w:t xml:space="preserve">atbilstoši apakšnomas platībai </w:t>
            </w:r>
            <w:r w:rsidR="0062766F" w:rsidRPr="006455FF">
              <w:rPr>
                <w:bCs/>
                <w:sz w:val="24"/>
                <w:szCs w:val="24"/>
                <w:lang w:eastAsia="lv-LV"/>
              </w:rPr>
              <w:t>ir</w:t>
            </w:r>
            <w:r w:rsidR="0039271F" w:rsidRPr="006455FF">
              <w:rPr>
                <w:bCs/>
                <w:sz w:val="24"/>
                <w:szCs w:val="24"/>
                <w:lang w:eastAsia="lv-LV"/>
              </w:rPr>
              <w:t xml:space="preserve"> </w:t>
            </w:r>
            <w:r w:rsidR="007958CD" w:rsidRPr="006455FF">
              <w:rPr>
                <w:bCs/>
                <w:sz w:val="24"/>
                <w:szCs w:val="24"/>
                <w:lang w:eastAsia="lv-LV"/>
              </w:rPr>
              <w:t>7</w:t>
            </w:r>
            <w:r w:rsidR="00AA5F31" w:rsidRPr="006455FF">
              <w:rPr>
                <w:bCs/>
                <w:sz w:val="24"/>
                <w:szCs w:val="24"/>
                <w:lang w:eastAsia="lv-LV"/>
              </w:rPr>
              <w:t> </w:t>
            </w:r>
            <w:r w:rsidR="007958CD" w:rsidRPr="006455FF">
              <w:rPr>
                <w:bCs/>
                <w:sz w:val="24"/>
                <w:szCs w:val="24"/>
                <w:lang w:eastAsia="lv-LV"/>
              </w:rPr>
              <w:t>645</w:t>
            </w:r>
            <w:r w:rsidR="00AA5F31" w:rsidRPr="006455FF">
              <w:rPr>
                <w:bCs/>
                <w:sz w:val="24"/>
                <w:szCs w:val="24"/>
                <w:lang w:eastAsia="lv-LV"/>
              </w:rPr>
              <w:t> </w:t>
            </w:r>
            <w:r w:rsidR="007958CD" w:rsidRPr="006455FF">
              <w:rPr>
                <w:bCs/>
                <w:sz w:val="24"/>
                <w:szCs w:val="24"/>
                <w:lang w:eastAsia="lv-LV"/>
              </w:rPr>
              <w:t xml:space="preserve">355 </w:t>
            </w:r>
            <w:proofErr w:type="spellStart"/>
            <w:r w:rsidR="007958CD" w:rsidRPr="006455FF">
              <w:rPr>
                <w:bCs/>
                <w:i/>
                <w:sz w:val="24"/>
                <w:szCs w:val="24"/>
                <w:lang w:eastAsia="lv-LV"/>
              </w:rPr>
              <w:t>euro</w:t>
            </w:r>
            <w:proofErr w:type="spellEnd"/>
            <w:r w:rsidR="007958CD" w:rsidRPr="006455FF">
              <w:rPr>
                <w:bCs/>
                <w:sz w:val="24"/>
                <w:szCs w:val="24"/>
                <w:lang w:eastAsia="lv-LV"/>
              </w:rPr>
              <w:t xml:space="preserve"> (</w:t>
            </w:r>
            <w:r w:rsidR="0039271F" w:rsidRPr="006455FF">
              <w:rPr>
                <w:bCs/>
                <w:sz w:val="24"/>
                <w:szCs w:val="24"/>
                <w:lang w:eastAsia="lv-LV"/>
              </w:rPr>
              <w:t xml:space="preserve">aprēķins: </w:t>
            </w:r>
            <w:r w:rsidR="007958CD" w:rsidRPr="006455FF">
              <w:rPr>
                <w:bCs/>
                <w:sz w:val="24"/>
                <w:szCs w:val="24"/>
                <w:lang w:eastAsia="lv-LV"/>
              </w:rPr>
              <w:t xml:space="preserve">nomas maksa 13,30 </w:t>
            </w:r>
            <w:proofErr w:type="spellStart"/>
            <w:r w:rsidR="007958CD" w:rsidRPr="006455FF">
              <w:rPr>
                <w:bCs/>
                <w:i/>
                <w:sz w:val="24"/>
                <w:szCs w:val="24"/>
                <w:lang w:eastAsia="lv-LV"/>
              </w:rPr>
              <w:t>euro</w:t>
            </w:r>
            <w:proofErr w:type="spellEnd"/>
            <w:r w:rsidR="007958CD" w:rsidRPr="006455FF">
              <w:rPr>
                <w:bCs/>
                <w:sz w:val="24"/>
                <w:szCs w:val="24"/>
                <w:lang w:eastAsia="lv-LV"/>
              </w:rPr>
              <w:t>/m</w:t>
            </w:r>
            <w:r w:rsidR="007958CD" w:rsidRPr="006455FF">
              <w:rPr>
                <w:bCs/>
                <w:sz w:val="24"/>
                <w:szCs w:val="24"/>
                <w:vertAlign w:val="superscript"/>
                <w:lang w:eastAsia="lv-LV"/>
              </w:rPr>
              <w:t>2</w:t>
            </w:r>
            <w:r w:rsidR="007958CD" w:rsidRPr="006455FF">
              <w:rPr>
                <w:bCs/>
                <w:sz w:val="24"/>
                <w:szCs w:val="24"/>
                <w:lang w:eastAsia="lv-LV"/>
              </w:rPr>
              <w:t xml:space="preserve"> mēnesī x 39 589,44 m</w:t>
            </w:r>
            <w:r w:rsidR="007958CD" w:rsidRPr="006455FF">
              <w:rPr>
                <w:bCs/>
                <w:sz w:val="24"/>
                <w:szCs w:val="24"/>
                <w:vertAlign w:val="superscript"/>
                <w:lang w:eastAsia="lv-LV"/>
              </w:rPr>
              <w:t>2</w:t>
            </w:r>
            <w:r w:rsidR="007958CD" w:rsidRPr="006455FF">
              <w:rPr>
                <w:bCs/>
                <w:sz w:val="24"/>
                <w:szCs w:val="24"/>
                <w:lang w:eastAsia="lv-LV"/>
              </w:rPr>
              <w:t xml:space="preserve"> </w:t>
            </w:r>
            <w:r w:rsidR="00321E05" w:rsidRPr="006455FF">
              <w:rPr>
                <w:bCs/>
                <w:sz w:val="24"/>
                <w:szCs w:val="24"/>
                <w:lang w:eastAsia="lv-LV"/>
              </w:rPr>
              <w:t xml:space="preserve">(platība saskaņā ar Apakšnomas līgumu) </w:t>
            </w:r>
            <w:r w:rsidR="007958CD" w:rsidRPr="006455FF">
              <w:rPr>
                <w:bCs/>
                <w:sz w:val="24"/>
                <w:szCs w:val="24"/>
                <w:lang w:eastAsia="lv-LV"/>
              </w:rPr>
              <w:t>x</w:t>
            </w:r>
            <w:r w:rsidR="000F59A6" w:rsidRPr="006455FF">
              <w:rPr>
                <w:bCs/>
                <w:sz w:val="24"/>
                <w:szCs w:val="24"/>
                <w:lang w:eastAsia="lv-LV"/>
              </w:rPr>
              <w:t xml:space="preserve"> </w:t>
            </w:r>
            <w:r w:rsidR="007958CD" w:rsidRPr="006455FF">
              <w:rPr>
                <w:bCs/>
                <w:sz w:val="24"/>
                <w:szCs w:val="24"/>
                <w:lang w:eastAsia="lv-LV"/>
              </w:rPr>
              <w:t>12 mēneši x</w:t>
            </w:r>
            <w:r w:rsidR="000F59A6" w:rsidRPr="006455FF">
              <w:rPr>
                <w:bCs/>
                <w:sz w:val="24"/>
                <w:szCs w:val="24"/>
                <w:lang w:eastAsia="lv-LV"/>
              </w:rPr>
              <w:t xml:space="preserve"> </w:t>
            </w:r>
            <w:r w:rsidR="007958CD" w:rsidRPr="006455FF">
              <w:rPr>
                <w:bCs/>
                <w:sz w:val="24"/>
                <w:szCs w:val="24"/>
                <w:lang w:eastAsia="lv-LV"/>
              </w:rPr>
              <w:t>21% (pievienotās vērtības nodokļa likme (turpmāk – PVN))</w:t>
            </w:r>
            <w:r w:rsidR="00D241DB" w:rsidRPr="006455FF">
              <w:rPr>
                <w:bCs/>
                <w:sz w:val="24"/>
                <w:szCs w:val="24"/>
                <w:lang w:eastAsia="lv-LV"/>
              </w:rPr>
              <w:t>.</w:t>
            </w:r>
            <w:r w:rsidR="00D241DB" w:rsidRPr="00477E63">
              <w:rPr>
                <w:bCs/>
                <w:sz w:val="24"/>
                <w:szCs w:val="24"/>
                <w:lang w:eastAsia="lv-LV"/>
              </w:rPr>
              <w:t xml:space="preserve"> </w:t>
            </w:r>
          </w:p>
          <w:p w14:paraId="37A214E0" w14:textId="35F4EB35" w:rsidR="00862A24" w:rsidRPr="00477E63" w:rsidRDefault="00E86B2B" w:rsidP="00E86B2B">
            <w:pPr>
              <w:spacing w:before="120" w:after="120"/>
              <w:jc w:val="both"/>
              <w:rPr>
                <w:bCs/>
                <w:sz w:val="24"/>
                <w:szCs w:val="24"/>
              </w:rPr>
            </w:pPr>
            <w:r w:rsidRPr="006455FF">
              <w:rPr>
                <w:bCs/>
                <w:sz w:val="24"/>
                <w:szCs w:val="24"/>
              </w:rPr>
              <w:t xml:space="preserve">VID </w:t>
            </w:r>
            <w:r w:rsidR="00962879" w:rsidRPr="006455FF">
              <w:rPr>
                <w:bCs/>
                <w:sz w:val="24"/>
                <w:szCs w:val="24"/>
              </w:rPr>
              <w:t>ir</w:t>
            </w:r>
            <w:r w:rsidRPr="006455FF">
              <w:rPr>
                <w:bCs/>
                <w:sz w:val="24"/>
                <w:szCs w:val="24"/>
              </w:rPr>
              <w:t xml:space="preserve"> sniedzis informāciju, ka,</w:t>
            </w:r>
            <w:r w:rsidRPr="00477E63">
              <w:rPr>
                <w:bCs/>
                <w:sz w:val="24"/>
                <w:szCs w:val="24"/>
              </w:rPr>
              <w:t xml:space="preserve"> ņemot vērā VID faktisko telpu Talejas ielā 1, Rīgā, komunālo pakalpojumu izdevumu apjomu, kā arī iespējamos ārējos faktorus (zi</w:t>
            </w:r>
            <w:r w:rsidR="006455FF">
              <w:rPr>
                <w:bCs/>
                <w:sz w:val="24"/>
                <w:szCs w:val="24"/>
              </w:rPr>
              <w:t xml:space="preserve">emas vidējā gaisa temperatūra; </w:t>
            </w:r>
            <w:r w:rsidRPr="00477E63">
              <w:rPr>
                <w:bCs/>
                <w:sz w:val="24"/>
                <w:szCs w:val="24"/>
              </w:rPr>
              <w:t>laika posmā no 2015.gada 1.janvāra līdz 2015.gada 30.</w:t>
            </w:r>
            <w:r w:rsidR="00E721D0" w:rsidRPr="00477E63">
              <w:rPr>
                <w:bCs/>
                <w:sz w:val="24"/>
                <w:szCs w:val="24"/>
              </w:rPr>
              <w:t xml:space="preserve">septembrim </w:t>
            </w:r>
            <w:r w:rsidRPr="00477E63">
              <w:rPr>
                <w:bCs/>
                <w:sz w:val="24"/>
                <w:szCs w:val="24"/>
              </w:rPr>
              <w:t xml:space="preserve"> faktiskie izdevumi </w:t>
            </w:r>
            <w:r w:rsidR="002C23FE" w:rsidRPr="00477E63">
              <w:rPr>
                <w:bCs/>
                <w:sz w:val="24"/>
                <w:szCs w:val="24"/>
              </w:rPr>
              <w:t xml:space="preserve">ir </w:t>
            </w:r>
            <w:r w:rsidR="00E721D0" w:rsidRPr="00477E63">
              <w:rPr>
                <w:bCs/>
                <w:sz w:val="24"/>
                <w:szCs w:val="24"/>
              </w:rPr>
              <w:t>953 775</w:t>
            </w:r>
            <w:r w:rsidRPr="00477E63">
              <w:rPr>
                <w:bCs/>
                <w:sz w:val="24"/>
                <w:szCs w:val="24"/>
              </w:rPr>
              <w:t xml:space="preserve"> </w:t>
            </w:r>
            <w:proofErr w:type="spellStart"/>
            <w:r w:rsidRPr="00477E63">
              <w:rPr>
                <w:bCs/>
                <w:i/>
                <w:sz w:val="24"/>
                <w:szCs w:val="24"/>
              </w:rPr>
              <w:t>euro</w:t>
            </w:r>
            <w:proofErr w:type="spellEnd"/>
            <w:r w:rsidR="00AA5D33" w:rsidRPr="00477E63">
              <w:rPr>
                <w:bCs/>
                <w:i/>
                <w:sz w:val="24"/>
                <w:szCs w:val="24"/>
              </w:rPr>
              <w:t>)</w:t>
            </w:r>
            <w:r w:rsidRPr="00477E63">
              <w:rPr>
                <w:bCs/>
                <w:i/>
                <w:sz w:val="24"/>
                <w:szCs w:val="24"/>
              </w:rPr>
              <w:t xml:space="preserve">, </w:t>
            </w:r>
            <w:r w:rsidRPr="00477E63">
              <w:rPr>
                <w:bCs/>
                <w:sz w:val="24"/>
                <w:szCs w:val="24"/>
              </w:rPr>
              <w:t>VID plānotie izdevumi</w:t>
            </w:r>
            <w:r w:rsidR="00EE7894">
              <w:rPr>
                <w:bCs/>
                <w:sz w:val="24"/>
                <w:szCs w:val="24"/>
              </w:rPr>
              <w:t xml:space="preserve"> </w:t>
            </w:r>
            <w:r w:rsidR="00EE7894" w:rsidRPr="00477E63">
              <w:rPr>
                <w:bCs/>
                <w:sz w:val="24"/>
                <w:szCs w:val="24"/>
              </w:rPr>
              <w:t>komunālo pakalpojumu izdevumu</w:t>
            </w:r>
            <w:r w:rsidR="00EE7894">
              <w:rPr>
                <w:bCs/>
                <w:sz w:val="24"/>
                <w:szCs w:val="24"/>
              </w:rPr>
              <w:t xml:space="preserve"> segšanai</w:t>
            </w:r>
            <w:r w:rsidRPr="00477E63">
              <w:rPr>
                <w:bCs/>
                <w:sz w:val="24"/>
                <w:szCs w:val="24"/>
              </w:rPr>
              <w:t xml:space="preserve"> 2016.gadam</w:t>
            </w:r>
            <w:r w:rsidR="004544DE" w:rsidRPr="00477E63">
              <w:rPr>
                <w:bCs/>
                <w:sz w:val="24"/>
                <w:szCs w:val="24"/>
              </w:rPr>
              <w:t xml:space="preserve"> un turpmāk</w:t>
            </w:r>
            <w:r w:rsidR="00F60046" w:rsidRPr="00477E63">
              <w:rPr>
                <w:bCs/>
                <w:sz w:val="24"/>
                <w:szCs w:val="24"/>
              </w:rPr>
              <w:t>ajiem gadiem ir</w:t>
            </w:r>
            <w:r w:rsidRPr="00477E63">
              <w:rPr>
                <w:bCs/>
                <w:sz w:val="24"/>
                <w:szCs w:val="24"/>
              </w:rPr>
              <w:t xml:space="preserve"> 1 368 579 </w:t>
            </w:r>
            <w:proofErr w:type="spellStart"/>
            <w:r w:rsidRPr="00477E63">
              <w:rPr>
                <w:bCs/>
                <w:i/>
                <w:sz w:val="24"/>
                <w:szCs w:val="24"/>
              </w:rPr>
              <w:t>euro</w:t>
            </w:r>
            <w:proofErr w:type="spellEnd"/>
            <w:r w:rsidR="00862A24" w:rsidRPr="00477E63">
              <w:rPr>
                <w:bCs/>
                <w:sz w:val="24"/>
                <w:szCs w:val="24"/>
              </w:rPr>
              <w:t>.</w:t>
            </w:r>
            <w:r w:rsidR="00DE469E" w:rsidRPr="00477E63">
              <w:rPr>
                <w:bCs/>
                <w:sz w:val="24"/>
                <w:szCs w:val="24"/>
              </w:rPr>
              <w:t xml:space="preserve"> </w:t>
            </w:r>
            <w:r w:rsidR="00862A24" w:rsidRPr="00477E63">
              <w:rPr>
                <w:bCs/>
                <w:sz w:val="24"/>
                <w:szCs w:val="24"/>
              </w:rPr>
              <w:t xml:space="preserve">Līdz ar to budžetā paredzētā </w:t>
            </w:r>
            <w:r w:rsidR="00DE469E" w:rsidRPr="00477E63">
              <w:rPr>
                <w:bCs/>
                <w:sz w:val="24"/>
                <w:szCs w:val="24"/>
              </w:rPr>
              <w:t>f</w:t>
            </w:r>
            <w:r w:rsidR="00133F6C" w:rsidRPr="00477E63">
              <w:rPr>
                <w:bCs/>
                <w:sz w:val="24"/>
                <w:szCs w:val="24"/>
              </w:rPr>
              <w:t xml:space="preserve">inansējuma </w:t>
            </w:r>
            <w:r w:rsidR="002C23FE" w:rsidRPr="00477E63">
              <w:rPr>
                <w:bCs/>
                <w:sz w:val="24"/>
                <w:szCs w:val="24"/>
              </w:rPr>
              <w:t xml:space="preserve">nomas maksas segšanai </w:t>
            </w:r>
            <w:r w:rsidR="0062766F">
              <w:rPr>
                <w:bCs/>
                <w:sz w:val="24"/>
                <w:szCs w:val="24"/>
              </w:rPr>
              <w:t>ekonomija</w:t>
            </w:r>
            <w:r w:rsidR="008E6951" w:rsidRPr="00477E63">
              <w:rPr>
                <w:bCs/>
                <w:sz w:val="24"/>
                <w:szCs w:val="24"/>
              </w:rPr>
              <w:t xml:space="preserve"> </w:t>
            </w:r>
            <w:r w:rsidR="007958CD" w:rsidRPr="00477E63">
              <w:rPr>
                <w:bCs/>
                <w:sz w:val="24"/>
                <w:szCs w:val="24"/>
              </w:rPr>
              <w:t>103</w:t>
            </w:r>
            <w:r w:rsidR="00AA5F31" w:rsidRPr="00477E63">
              <w:rPr>
                <w:bCs/>
                <w:sz w:val="24"/>
                <w:szCs w:val="24"/>
              </w:rPr>
              <w:t> </w:t>
            </w:r>
            <w:r w:rsidR="007958CD" w:rsidRPr="00477E63">
              <w:rPr>
                <w:bCs/>
                <w:sz w:val="24"/>
                <w:szCs w:val="24"/>
              </w:rPr>
              <w:t xml:space="preserve">538 </w:t>
            </w:r>
            <w:proofErr w:type="spellStart"/>
            <w:r w:rsidR="007958CD" w:rsidRPr="00477E63">
              <w:rPr>
                <w:bCs/>
                <w:i/>
                <w:sz w:val="24"/>
                <w:szCs w:val="24"/>
              </w:rPr>
              <w:t>euro</w:t>
            </w:r>
            <w:proofErr w:type="spellEnd"/>
            <w:r w:rsidR="00133F6C" w:rsidRPr="00477E63">
              <w:rPr>
                <w:bCs/>
                <w:sz w:val="24"/>
                <w:szCs w:val="24"/>
              </w:rPr>
              <w:t xml:space="preserve"> </w:t>
            </w:r>
            <w:r w:rsidR="0062766F">
              <w:rPr>
                <w:bCs/>
                <w:sz w:val="24"/>
                <w:szCs w:val="24"/>
              </w:rPr>
              <w:t>ir</w:t>
            </w:r>
            <w:r w:rsidR="006455FF">
              <w:rPr>
                <w:bCs/>
                <w:sz w:val="24"/>
                <w:szCs w:val="24"/>
              </w:rPr>
              <w:t xml:space="preserve"> novirzāma</w:t>
            </w:r>
            <w:r w:rsidR="00133F6C" w:rsidRPr="00477E63">
              <w:rPr>
                <w:bCs/>
                <w:sz w:val="24"/>
                <w:szCs w:val="24"/>
              </w:rPr>
              <w:t xml:space="preserve"> </w:t>
            </w:r>
            <w:r w:rsidR="00133F6C" w:rsidRPr="00477E63">
              <w:rPr>
                <w:sz w:val="24"/>
                <w:szCs w:val="24"/>
              </w:rPr>
              <w:t xml:space="preserve">telpu </w:t>
            </w:r>
            <w:proofErr w:type="spellStart"/>
            <w:r w:rsidR="00133F6C" w:rsidRPr="00477E63">
              <w:rPr>
                <w:sz w:val="24"/>
                <w:szCs w:val="24"/>
              </w:rPr>
              <w:t>Talejas</w:t>
            </w:r>
            <w:proofErr w:type="spellEnd"/>
            <w:r w:rsidR="00133F6C" w:rsidRPr="00477E63">
              <w:rPr>
                <w:sz w:val="24"/>
                <w:szCs w:val="24"/>
              </w:rPr>
              <w:t xml:space="preserve"> ielā 1, Rīgā, </w:t>
            </w:r>
            <w:r w:rsidR="00133F6C" w:rsidRPr="00477E63">
              <w:rPr>
                <w:bCs/>
                <w:sz w:val="24"/>
                <w:szCs w:val="24"/>
              </w:rPr>
              <w:t>uzturēšanas izdevumu segšanai</w:t>
            </w:r>
            <w:r w:rsidR="008E6951" w:rsidRPr="00477E63">
              <w:rPr>
                <w:bCs/>
                <w:sz w:val="24"/>
                <w:szCs w:val="24"/>
              </w:rPr>
              <w:t xml:space="preserve"> (izdevumiem par komunālajiem pakalpojumiem)</w:t>
            </w:r>
            <w:r w:rsidR="007958CD" w:rsidRPr="00477E63">
              <w:rPr>
                <w:bCs/>
                <w:sz w:val="24"/>
                <w:szCs w:val="24"/>
              </w:rPr>
              <w:t>.</w:t>
            </w:r>
            <w:r w:rsidR="000F103F" w:rsidRPr="00477E63">
              <w:rPr>
                <w:bCs/>
                <w:sz w:val="24"/>
                <w:szCs w:val="24"/>
              </w:rPr>
              <w:t xml:space="preserve"> </w:t>
            </w:r>
          </w:p>
          <w:p w14:paraId="6007B296" w14:textId="40B0DFF7" w:rsidR="000F103F" w:rsidRPr="00933191" w:rsidRDefault="006455FF" w:rsidP="00933191">
            <w:pPr>
              <w:pStyle w:val="NoSpacing"/>
              <w:spacing w:before="120" w:after="120"/>
              <w:jc w:val="both"/>
              <w:rPr>
                <w:sz w:val="24"/>
                <w:szCs w:val="24"/>
                <w:highlight w:val="yellow"/>
              </w:rPr>
            </w:pPr>
            <w:r w:rsidRPr="00933191">
              <w:rPr>
                <w:sz w:val="24"/>
                <w:szCs w:val="24"/>
              </w:rPr>
              <w:t>Ņ</w:t>
            </w:r>
            <w:r w:rsidR="00862A24" w:rsidRPr="00933191">
              <w:rPr>
                <w:sz w:val="24"/>
                <w:szCs w:val="24"/>
              </w:rPr>
              <w:t>emot vērā to, ka VID apakšnomā tika nodota mazāka platība nekā sākotnēji tika plānots,</w:t>
            </w:r>
            <w:r w:rsidR="000F103F" w:rsidRPr="00933191">
              <w:rPr>
                <w:sz w:val="24"/>
                <w:szCs w:val="24"/>
              </w:rPr>
              <w:t xml:space="preserve"> </w:t>
            </w:r>
            <w:r w:rsidR="0062766F" w:rsidRPr="00933191">
              <w:rPr>
                <w:sz w:val="24"/>
                <w:szCs w:val="24"/>
              </w:rPr>
              <w:t>ir</w:t>
            </w:r>
            <w:r w:rsidRPr="00933191">
              <w:rPr>
                <w:sz w:val="24"/>
                <w:szCs w:val="24"/>
              </w:rPr>
              <w:t xml:space="preserve"> samazinām</w:t>
            </w:r>
            <w:r w:rsidR="0062766F" w:rsidRPr="00933191">
              <w:rPr>
                <w:sz w:val="24"/>
                <w:szCs w:val="24"/>
              </w:rPr>
              <w:t>s plānotais finansējuma apmērs</w:t>
            </w:r>
            <w:r w:rsidR="000F103F" w:rsidRPr="00933191">
              <w:rPr>
                <w:sz w:val="24"/>
                <w:szCs w:val="24"/>
              </w:rPr>
              <w:t xml:space="preserve"> uzkrājumiem kārtējiem remontiem</w:t>
            </w:r>
            <w:r w:rsidR="00EE7894">
              <w:rPr>
                <w:sz w:val="24"/>
                <w:szCs w:val="24"/>
              </w:rPr>
              <w:t xml:space="preserve"> </w:t>
            </w:r>
            <w:r w:rsidR="00EE7894" w:rsidRPr="00933191">
              <w:rPr>
                <w:sz w:val="24"/>
                <w:szCs w:val="24"/>
              </w:rPr>
              <w:t xml:space="preserve">par 4 631 </w:t>
            </w:r>
            <w:proofErr w:type="spellStart"/>
            <w:r w:rsidR="00EE7894" w:rsidRPr="00933191">
              <w:rPr>
                <w:i/>
                <w:sz w:val="24"/>
                <w:szCs w:val="24"/>
              </w:rPr>
              <w:t>euro</w:t>
            </w:r>
            <w:proofErr w:type="spellEnd"/>
            <w:r w:rsidR="000F103F" w:rsidRPr="00933191">
              <w:rPr>
                <w:sz w:val="24"/>
                <w:szCs w:val="24"/>
              </w:rPr>
              <w:t xml:space="preserve"> un </w:t>
            </w:r>
            <w:r w:rsidR="00EE7894">
              <w:rPr>
                <w:sz w:val="24"/>
                <w:szCs w:val="24"/>
              </w:rPr>
              <w:t xml:space="preserve">turpmāk </w:t>
            </w:r>
            <w:r w:rsidRPr="00933191">
              <w:rPr>
                <w:sz w:val="24"/>
                <w:szCs w:val="24"/>
              </w:rPr>
              <w:t>novirzāms</w:t>
            </w:r>
            <w:r w:rsidR="00746C5C" w:rsidRPr="00933191">
              <w:rPr>
                <w:sz w:val="24"/>
                <w:szCs w:val="24"/>
              </w:rPr>
              <w:t xml:space="preserve"> </w:t>
            </w:r>
            <w:r w:rsidR="008E6951" w:rsidRPr="00933191">
              <w:rPr>
                <w:sz w:val="24"/>
                <w:szCs w:val="24"/>
              </w:rPr>
              <w:t xml:space="preserve">telpu </w:t>
            </w:r>
            <w:proofErr w:type="spellStart"/>
            <w:r w:rsidR="008E6951" w:rsidRPr="00933191">
              <w:rPr>
                <w:sz w:val="24"/>
                <w:szCs w:val="24"/>
              </w:rPr>
              <w:t>Talejas</w:t>
            </w:r>
            <w:proofErr w:type="spellEnd"/>
            <w:r w:rsidR="008E6951" w:rsidRPr="00933191">
              <w:rPr>
                <w:sz w:val="24"/>
                <w:szCs w:val="24"/>
              </w:rPr>
              <w:t xml:space="preserve"> ielā 1, Rīgā</w:t>
            </w:r>
            <w:r w:rsidR="00862A24" w:rsidRPr="00933191">
              <w:rPr>
                <w:sz w:val="24"/>
                <w:szCs w:val="24"/>
              </w:rPr>
              <w:t>,</w:t>
            </w:r>
            <w:r w:rsidR="008E6951" w:rsidRPr="00933191">
              <w:rPr>
                <w:sz w:val="24"/>
                <w:szCs w:val="24"/>
              </w:rPr>
              <w:t xml:space="preserve"> </w:t>
            </w:r>
            <w:r w:rsidR="00746C5C" w:rsidRPr="00933191">
              <w:rPr>
                <w:sz w:val="24"/>
                <w:szCs w:val="24"/>
              </w:rPr>
              <w:t>uzturēšanas izdevumu segšanai</w:t>
            </w:r>
            <w:r w:rsidR="008E6951" w:rsidRPr="00933191">
              <w:rPr>
                <w:sz w:val="24"/>
                <w:szCs w:val="24"/>
              </w:rPr>
              <w:t xml:space="preserve"> (izdevumiem par komunālajiem pakalpojumiem)</w:t>
            </w:r>
            <w:r w:rsidR="00746C5C" w:rsidRPr="00933191">
              <w:rPr>
                <w:sz w:val="24"/>
                <w:szCs w:val="24"/>
              </w:rPr>
              <w:t>.</w:t>
            </w:r>
            <w:r w:rsidR="00BB4C1E" w:rsidRPr="00933191">
              <w:rPr>
                <w:sz w:val="24"/>
                <w:szCs w:val="24"/>
                <w:highlight w:val="yellow"/>
              </w:rPr>
              <w:t xml:space="preserve"> </w:t>
            </w:r>
          </w:p>
          <w:p w14:paraId="225AFCD6" w14:textId="25DD6F34" w:rsidR="0036201D" w:rsidRPr="00933191" w:rsidRDefault="00D0020E" w:rsidP="00933191">
            <w:pPr>
              <w:pStyle w:val="NoSpacing"/>
              <w:spacing w:after="120"/>
              <w:jc w:val="both"/>
              <w:rPr>
                <w:sz w:val="24"/>
                <w:szCs w:val="24"/>
                <w:highlight w:val="yellow"/>
              </w:rPr>
            </w:pPr>
            <w:r w:rsidRPr="00933191">
              <w:rPr>
                <w:sz w:val="24"/>
                <w:szCs w:val="24"/>
              </w:rPr>
              <w:t>S</w:t>
            </w:r>
            <w:r w:rsidR="00960310" w:rsidRPr="00933191">
              <w:rPr>
                <w:sz w:val="24"/>
                <w:szCs w:val="24"/>
              </w:rPr>
              <w:t xml:space="preserve">askaņā ar Apakšnomas </w:t>
            </w:r>
            <w:r w:rsidR="00B231D8" w:rsidRPr="00933191">
              <w:rPr>
                <w:sz w:val="24"/>
                <w:szCs w:val="24"/>
              </w:rPr>
              <w:t>līguma nosacījumiem</w:t>
            </w:r>
            <w:r w:rsidR="00960310" w:rsidRPr="00933191">
              <w:rPr>
                <w:sz w:val="24"/>
                <w:szCs w:val="24"/>
              </w:rPr>
              <w:t xml:space="preserve"> </w:t>
            </w:r>
            <w:r w:rsidR="00B231D8" w:rsidRPr="00933191">
              <w:rPr>
                <w:sz w:val="24"/>
                <w:szCs w:val="24"/>
              </w:rPr>
              <w:t>telpu Talejas ielā 1, Rīgā,</w:t>
            </w:r>
            <w:r w:rsidR="00A7440F" w:rsidRPr="00933191">
              <w:rPr>
                <w:sz w:val="24"/>
                <w:szCs w:val="24"/>
              </w:rPr>
              <w:t xml:space="preserve"> </w:t>
            </w:r>
            <w:r w:rsidR="0039271F" w:rsidRPr="00933191">
              <w:rPr>
                <w:sz w:val="24"/>
                <w:szCs w:val="24"/>
              </w:rPr>
              <w:t xml:space="preserve">apsaimniekošanas maksa </w:t>
            </w:r>
            <w:r w:rsidR="00B231D8" w:rsidRPr="00933191">
              <w:rPr>
                <w:sz w:val="24"/>
                <w:szCs w:val="24"/>
              </w:rPr>
              <w:t>nedrīkst pārsniegt</w:t>
            </w:r>
            <w:r w:rsidR="008E6951" w:rsidRPr="00933191">
              <w:rPr>
                <w:sz w:val="24"/>
                <w:szCs w:val="24"/>
              </w:rPr>
              <w:t xml:space="preserve"> </w:t>
            </w:r>
            <w:r w:rsidR="0039271F" w:rsidRPr="00933191">
              <w:rPr>
                <w:sz w:val="24"/>
                <w:szCs w:val="24"/>
              </w:rPr>
              <w:t xml:space="preserve">2,19 </w:t>
            </w:r>
            <w:proofErr w:type="spellStart"/>
            <w:r w:rsidR="0039271F" w:rsidRPr="00933191">
              <w:rPr>
                <w:i/>
                <w:sz w:val="24"/>
                <w:szCs w:val="24"/>
              </w:rPr>
              <w:t>euro</w:t>
            </w:r>
            <w:proofErr w:type="spellEnd"/>
            <w:r w:rsidR="0039271F" w:rsidRPr="00933191">
              <w:rPr>
                <w:sz w:val="24"/>
                <w:szCs w:val="24"/>
              </w:rPr>
              <w:t>/m</w:t>
            </w:r>
            <w:r w:rsidR="0039271F" w:rsidRPr="00933191">
              <w:rPr>
                <w:sz w:val="24"/>
                <w:szCs w:val="24"/>
                <w:vertAlign w:val="superscript"/>
              </w:rPr>
              <w:t>2</w:t>
            </w:r>
            <w:r w:rsidR="0039271F" w:rsidRPr="00933191">
              <w:rPr>
                <w:sz w:val="24"/>
                <w:szCs w:val="24"/>
              </w:rPr>
              <w:t xml:space="preserve"> (bez PVN) mēnesī</w:t>
            </w:r>
            <w:r w:rsidRPr="00933191">
              <w:rPr>
                <w:sz w:val="24"/>
                <w:szCs w:val="24"/>
              </w:rPr>
              <w:t>. Ņemot vērā, ka</w:t>
            </w:r>
            <w:r w:rsidR="00C678BE" w:rsidRPr="00933191">
              <w:rPr>
                <w:sz w:val="24"/>
                <w:szCs w:val="24"/>
              </w:rPr>
              <w:t xml:space="preserve"> VID iznomāta mazāka platīb</w:t>
            </w:r>
            <w:r w:rsidR="00862A24" w:rsidRPr="00933191">
              <w:rPr>
                <w:sz w:val="24"/>
                <w:szCs w:val="24"/>
              </w:rPr>
              <w:t>a</w:t>
            </w:r>
            <w:r w:rsidR="00C678BE" w:rsidRPr="00933191">
              <w:rPr>
                <w:sz w:val="24"/>
                <w:szCs w:val="24"/>
              </w:rPr>
              <w:t xml:space="preserve"> kā sākotnēji tika plānots,</w:t>
            </w:r>
            <w:r w:rsidR="0039271F" w:rsidRPr="00933191">
              <w:rPr>
                <w:sz w:val="24"/>
                <w:szCs w:val="24"/>
              </w:rPr>
              <w:t xml:space="preserve"> </w:t>
            </w:r>
            <w:r w:rsidR="00895D92" w:rsidRPr="00933191">
              <w:rPr>
                <w:sz w:val="24"/>
                <w:szCs w:val="24"/>
              </w:rPr>
              <w:t>nepieciešamais finansējums</w:t>
            </w:r>
            <w:r w:rsidR="00A7440F" w:rsidRPr="00933191">
              <w:rPr>
                <w:sz w:val="24"/>
                <w:szCs w:val="24"/>
              </w:rPr>
              <w:t xml:space="preserve"> </w:t>
            </w:r>
            <w:r w:rsidR="0036201D" w:rsidRPr="00933191">
              <w:rPr>
                <w:sz w:val="24"/>
                <w:szCs w:val="24"/>
              </w:rPr>
              <w:t xml:space="preserve">telpu Talejas ielā 1, Rīgā, </w:t>
            </w:r>
            <w:r w:rsidR="00960310" w:rsidRPr="00933191">
              <w:rPr>
                <w:sz w:val="24"/>
                <w:szCs w:val="24"/>
              </w:rPr>
              <w:t>apsaimniekošanas izdevumu segšanai</w:t>
            </w:r>
            <w:r w:rsidR="0036201D" w:rsidRPr="00933191">
              <w:rPr>
                <w:sz w:val="24"/>
                <w:szCs w:val="24"/>
              </w:rPr>
              <w:t xml:space="preserve"> 2016.gadā un turpmāk</w:t>
            </w:r>
            <w:r w:rsidR="00960310" w:rsidRPr="00933191">
              <w:rPr>
                <w:sz w:val="24"/>
                <w:szCs w:val="24"/>
              </w:rPr>
              <w:t xml:space="preserve"> </w:t>
            </w:r>
            <w:r w:rsidR="00337A24" w:rsidRPr="00933191">
              <w:rPr>
                <w:sz w:val="24"/>
                <w:szCs w:val="24"/>
              </w:rPr>
              <w:t>ir</w:t>
            </w:r>
            <w:r w:rsidR="00960310" w:rsidRPr="00933191">
              <w:rPr>
                <w:sz w:val="24"/>
                <w:szCs w:val="24"/>
              </w:rPr>
              <w:t xml:space="preserve"> nepieciešams </w:t>
            </w:r>
            <w:r w:rsidR="009D7C1F" w:rsidRPr="00933191">
              <w:rPr>
                <w:sz w:val="24"/>
                <w:szCs w:val="24"/>
              </w:rPr>
              <w:t>1 258</w:t>
            </w:r>
            <w:r w:rsidR="00F40A7E" w:rsidRPr="00933191">
              <w:rPr>
                <w:sz w:val="24"/>
                <w:szCs w:val="24"/>
              </w:rPr>
              <w:t> </w:t>
            </w:r>
            <w:r w:rsidR="009D7C1F" w:rsidRPr="00933191">
              <w:rPr>
                <w:sz w:val="24"/>
                <w:szCs w:val="24"/>
              </w:rPr>
              <w:t xml:space="preserve">897 </w:t>
            </w:r>
            <w:proofErr w:type="spellStart"/>
            <w:r w:rsidR="009D7C1F" w:rsidRPr="00933191">
              <w:rPr>
                <w:i/>
                <w:sz w:val="24"/>
                <w:szCs w:val="24"/>
              </w:rPr>
              <w:t>euro</w:t>
            </w:r>
            <w:proofErr w:type="spellEnd"/>
            <w:r w:rsidR="009D7C1F" w:rsidRPr="00933191">
              <w:rPr>
                <w:sz w:val="24"/>
                <w:szCs w:val="24"/>
              </w:rPr>
              <w:t xml:space="preserve"> </w:t>
            </w:r>
            <w:r w:rsidR="00EE7894">
              <w:rPr>
                <w:sz w:val="24"/>
                <w:szCs w:val="24"/>
              </w:rPr>
              <w:t xml:space="preserve">gadā </w:t>
            </w:r>
            <w:r w:rsidR="00895D92" w:rsidRPr="00933191">
              <w:rPr>
                <w:sz w:val="24"/>
                <w:szCs w:val="24"/>
              </w:rPr>
              <w:t>(</w:t>
            </w:r>
            <w:r w:rsidR="0039271F" w:rsidRPr="00933191">
              <w:rPr>
                <w:sz w:val="24"/>
                <w:szCs w:val="24"/>
              </w:rPr>
              <w:t xml:space="preserve">aprēķins: </w:t>
            </w:r>
            <w:r w:rsidR="00895D92" w:rsidRPr="00933191">
              <w:rPr>
                <w:sz w:val="24"/>
                <w:szCs w:val="24"/>
              </w:rPr>
              <w:t xml:space="preserve">apsaimniekošanas maksa 2,19 </w:t>
            </w:r>
            <w:proofErr w:type="spellStart"/>
            <w:r w:rsidR="00895D92" w:rsidRPr="00933191">
              <w:rPr>
                <w:i/>
                <w:sz w:val="24"/>
                <w:szCs w:val="24"/>
              </w:rPr>
              <w:t>euro</w:t>
            </w:r>
            <w:proofErr w:type="spellEnd"/>
            <w:r w:rsidR="00895D92" w:rsidRPr="00933191">
              <w:rPr>
                <w:sz w:val="24"/>
                <w:szCs w:val="24"/>
              </w:rPr>
              <w:t>/m</w:t>
            </w:r>
            <w:r w:rsidR="00895D92" w:rsidRPr="00933191">
              <w:rPr>
                <w:sz w:val="24"/>
                <w:szCs w:val="24"/>
                <w:vertAlign w:val="superscript"/>
              </w:rPr>
              <w:t>2</w:t>
            </w:r>
            <w:r w:rsidR="00895D92" w:rsidRPr="00933191">
              <w:rPr>
                <w:sz w:val="24"/>
                <w:szCs w:val="24"/>
              </w:rPr>
              <w:t xml:space="preserve"> mēnesī x 39 589,44 m</w:t>
            </w:r>
            <w:r w:rsidR="00895D92" w:rsidRPr="00933191">
              <w:rPr>
                <w:sz w:val="24"/>
                <w:szCs w:val="24"/>
                <w:vertAlign w:val="superscript"/>
              </w:rPr>
              <w:t>2</w:t>
            </w:r>
            <w:r w:rsidR="00895D92" w:rsidRPr="00933191">
              <w:rPr>
                <w:sz w:val="24"/>
                <w:szCs w:val="24"/>
              </w:rPr>
              <w:t xml:space="preserve"> (platība saskaņā ar Apakšnomas līgumu) x 12 mēneši x 21% (PVN))</w:t>
            </w:r>
            <w:r w:rsidR="00B37DC7" w:rsidRPr="00933191">
              <w:rPr>
                <w:sz w:val="24"/>
                <w:szCs w:val="24"/>
              </w:rPr>
              <w:t xml:space="preserve"> un</w:t>
            </w:r>
            <w:r w:rsidR="00BF3AFA" w:rsidRPr="00933191">
              <w:rPr>
                <w:sz w:val="24"/>
                <w:szCs w:val="24"/>
              </w:rPr>
              <w:t xml:space="preserve"> nekustamā īpašuma apdrošināšanas izdevumu segšanai 19</w:t>
            </w:r>
            <w:r w:rsidR="00BB4C1E" w:rsidRPr="00933191">
              <w:rPr>
                <w:sz w:val="24"/>
                <w:szCs w:val="24"/>
              </w:rPr>
              <w:t> </w:t>
            </w:r>
            <w:r w:rsidR="00BF3AFA" w:rsidRPr="00933191">
              <w:rPr>
                <w:sz w:val="24"/>
                <w:szCs w:val="24"/>
              </w:rPr>
              <w:t>184</w:t>
            </w:r>
            <w:r w:rsidR="00BB4C1E" w:rsidRPr="00933191">
              <w:rPr>
                <w:sz w:val="24"/>
                <w:szCs w:val="24"/>
              </w:rPr>
              <w:t xml:space="preserve"> </w:t>
            </w:r>
            <w:proofErr w:type="spellStart"/>
            <w:r w:rsidR="00BF3AFA" w:rsidRPr="00933191">
              <w:rPr>
                <w:i/>
                <w:sz w:val="24"/>
                <w:szCs w:val="24"/>
              </w:rPr>
              <w:t>euro</w:t>
            </w:r>
            <w:proofErr w:type="spellEnd"/>
            <w:r w:rsidRPr="00933191">
              <w:rPr>
                <w:sz w:val="24"/>
                <w:szCs w:val="24"/>
              </w:rPr>
              <w:t xml:space="preserve"> (kopā 1 278 081</w:t>
            </w:r>
            <w:r w:rsidRPr="00933191">
              <w:rPr>
                <w:i/>
                <w:sz w:val="24"/>
                <w:szCs w:val="24"/>
              </w:rPr>
              <w:t xml:space="preserve"> </w:t>
            </w:r>
            <w:proofErr w:type="spellStart"/>
            <w:r w:rsidRPr="00933191">
              <w:rPr>
                <w:i/>
                <w:sz w:val="24"/>
                <w:szCs w:val="24"/>
              </w:rPr>
              <w:t>euro</w:t>
            </w:r>
            <w:proofErr w:type="spellEnd"/>
            <w:r w:rsidRPr="00933191">
              <w:rPr>
                <w:i/>
                <w:sz w:val="24"/>
                <w:szCs w:val="24"/>
              </w:rPr>
              <w:t>)</w:t>
            </w:r>
            <w:r w:rsidR="00895D92" w:rsidRPr="00933191">
              <w:rPr>
                <w:sz w:val="24"/>
                <w:szCs w:val="24"/>
              </w:rPr>
              <w:t>.</w:t>
            </w:r>
          </w:p>
          <w:p w14:paraId="17A25724" w14:textId="3C5E1384" w:rsidR="00277AC5" w:rsidRPr="00933191" w:rsidRDefault="009017D1" w:rsidP="00933191">
            <w:pPr>
              <w:pStyle w:val="NoSpacing"/>
              <w:spacing w:after="120"/>
              <w:jc w:val="both"/>
              <w:rPr>
                <w:sz w:val="24"/>
                <w:szCs w:val="24"/>
                <w:highlight w:val="yellow"/>
              </w:rPr>
            </w:pPr>
            <w:r w:rsidRPr="00933191">
              <w:rPr>
                <w:sz w:val="24"/>
                <w:szCs w:val="24"/>
              </w:rPr>
              <w:t>Ņemot vērā</w:t>
            </w:r>
            <w:r w:rsidR="00C678BE" w:rsidRPr="00933191">
              <w:rPr>
                <w:sz w:val="24"/>
                <w:szCs w:val="24"/>
              </w:rPr>
              <w:t>, ka</w:t>
            </w:r>
            <w:r w:rsidRPr="00933191">
              <w:rPr>
                <w:sz w:val="24"/>
                <w:szCs w:val="24"/>
              </w:rPr>
              <w:t xml:space="preserve"> </w:t>
            </w:r>
            <w:r w:rsidR="00C678BE" w:rsidRPr="00933191">
              <w:rPr>
                <w:sz w:val="24"/>
                <w:szCs w:val="24"/>
              </w:rPr>
              <w:t>VID telpu Talejas ielā 1, Rīgā, apsaimniekošanas izdevumu segšanai</w:t>
            </w:r>
            <w:r w:rsidR="00BF3AFA" w:rsidRPr="00933191">
              <w:rPr>
                <w:sz w:val="24"/>
                <w:szCs w:val="24"/>
              </w:rPr>
              <w:t xml:space="preserve"> (tai skaitā apdrošināšanas izdevumu segšanai)</w:t>
            </w:r>
            <w:r w:rsidR="00C678BE" w:rsidRPr="00933191">
              <w:rPr>
                <w:sz w:val="24"/>
                <w:szCs w:val="24"/>
              </w:rPr>
              <w:t xml:space="preserve"> </w:t>
            </w:r>
            <w:r w:rsidR="00BB4C1E" w:rsidRPr="00933191">
              <w:rPr>
                <w:sz w:val="24"/>
                <w:szCs w:val="24"/>
              </w:rPr>
              <w:t>2016.gadā un turpmāk</w:t>
            </w:r>
            <w:r w:rsidR="002C23FE" w:rsidRPr="00933191">
              <w:rPr>
                <w:sz w:val="24"/>
                <w:szCs w:val="24"/>
              </w:rPr>
              <w:t>aj</w:t>
            </w:r>
            <w:r w:rsidR="00BB4C1E" w:rsidRPr="00933191">
              <w:rPr>
                <w:sz w:val="24"/>
                <w:szCs w:val="24"/>
              </w:rPr>
              <w:t xml:space="preserve">os gados </w:t>
            </w:r>
            <w:r w:rsidR="00C678BE" w:rsidRPr="00933191">
              <w:rPr>
                <w:sz w:val="24"/>
                <w:szCs w:val="24"/>
              </w:rPr>
              <w:t>ir nepieciešams mazāks finansējuma apmērs</w:t>
            </w:r>
            <w:r w:rsidR="007839FD" w:rsidRPr="00933191">
              <w:rPr>
                <w:sz w:val="24"/>
                <w:szCs w:val="24"/>
              </w:rPr>
              <w:t>,</w:t>
            </w:r>
            <w:r w:rsidR="00C678BE" w:rsidRPr="00933191">
              <w:rPr>
                <w:sz w:val="24"/>
                <w:szCs w:val="24"/>
              </w:rPr>
              <w:t xml:space="preserve"> kā sākotnēji tika plānots, atlikusī finansējuma daļa</w:t>
            </w:r>
            <w:r w:rsidR="007839FD" w:rsidRPr="00933191">
              <w:rPr>
                <w:sz w:val="24"/>
                <w:szCs w:val="24"/>
              </w:rPr>
              <w:t xml:space="preserve"> </w:t>
            </w:r>
            <w:r w:rsidR="00D0020E" w:rsidRPr="00933191">
              <w:rPr>
                <w:sz w:val="24"/>
                <w:szCs w:val="24"/>
              </w:rPr>
              <w:t>15</w:t>
            </w:r>
            <w:r w:rsidR="007839FD" w:rsidRPr="00933191">
              <w:rPr>
                <w:sz w:val="24"/>
                <w:szCs w:val="24"/>
              </w:rPr>
              <w:t> </w:t>
            </w:r>
            <w:r w:rsidR="00D0020E" w:rsidRPr="00933191">
              <w:rPr>
                <w:sz w:val="24"/>
                <w:szCs w:val="24"/>
              </w:rPr>
              <w:t>97</w:t>
            </w:r>
            <w:r w:rsidR="00BB4C1E" w:rsidRPr="00933191">
              <w:rPr>
                <w:sz w:val="24"/>
                <w:szCs w:val="24"/>
              </w:rPr>
              <w:t>1</w:t>
            </w:r>
            <w:r w:rsidR="007839FD" w:rsidRPr="00933191">
              <w:rPr>
                <w:sz w:val="24"/>
                <w:szCs w:val="24"/>
              </w:rPr>
              <w:t xml:space="preserve"> </w:t>
            </w:r>
            <w:proofErr w:type="spellStart"/>
            <w:r w:rsidR="007839FD" w:rsidRPr="00933191">
              <w:rPr>
                <w:i/>
                <w:sz w:val="24"/>
                <w:szCs w:val="24"/>
              </w:rPr>
              <w:t>euro</w:t>
            </w:r>
            <w:proofErr w:type="spellEnd"/>
            <w:r w:rsidRPr="00933191">
              <w:rPr>
                <w:sz w:val="24"/>
                <w:szCs w:val="24"/>
              </w:rPr>
              <w:t xml:space="preserve"> </w:t>
            </w:r>
            <w:r w:rsidR="00675A12" w:rsidRPr="00933191">
              <w:rPr>
                <w:sz w:val="24"/>
                <w:szCs w:val="24"/>
              </w:rPr>
              <w:t>novirzāma</w:t>
            </w:r>
            <w:r w:rsidRPr="00933191">
              <w:rPr>
                <w:sz w:val="24"/>
                <w:szCs w:val="24"/>
              </w:rPr>
              <w:t xml:space="preserve"> </w:t>
            </w:r>
            <w:r w:rsidR="002C23FE" w:rsidRPr="00933191">
              <w:rPr>
                <w:sz w:val="24"/>
                <w:szCs w:val="24"/>
              </w:rPr>
              <w:t xml:space="preserve">telpu </w:t>
            </w:r>
            <w:proofErr w:type="spellStart"/>
            <w:r w:rsidR="002C23FE" w:rsidRPr="00933191">
              <w:rPr>
                <w:sz w:val="24"/>
                <w:szCs w:val="24"/>
              </w:rPr>
              <w:t>Talejas</w:t>
            </w:r>
            <w:proofErr w:type="spellEnd"/>
            <w:r w:rsidR="002C23FE" w:rsidRPr="00933191">
              <w:rPr>
                <w:sz w:val="24"/>
                <w:szCs w:val="24"/>
              </w:rPr>
              <w:t xml:space="preserve"> ielā 1, Rīgā, </w:t>
            </w:r>
            <w:r w:rsidR="002C23FE" w:rsidRPr="00933191">
              <w:rPr>
                <w:bCs/>
                <w:sz w:val="24"/>
                <w:szCs w:val="24"/>
              </w:rPr>
              <w:t>uzturēšanas izdevumu segšanai (izdevumiem par komunālajiem pakalpojumiem)</w:t>
            </w:r>
            <w:r w:rsidR="00862A24" w:rsidRPr="00933191">
              <w:rPr>
                <w:sz w:val="24"/>
                <w:szCs w:val="24"/>
              </w:rPr>
              <w:t>.</w:t>
            </w:r>
          </w:p>
          <w:p w14:paraId="49F5B8CC" w14:textId="4BD81781" w:rsidR="00FD4826" w:rsidRPr="00933191" w:rsidRDefault="00FD4826" w:rsidP="00933191">
            <w:pPr>
              <w:pStyle w:val="NoSpacing"/>
              <w:spacing w:after="120"/>
              <w:jc w:val="both"/>
              <w:rPr>
                <w:sz w:val="24"/>
                <w:szCs w:val="24"/>
              </w:rPr>
            </w:pPr>
            <w:r w:rsidRPr="00933191">
              <w:rPr>
                <w:sz w:val="24"/>
                <w:szCs w:val="24"/>
              </w:rPr>
              <w:t>Saskaņā ar noslēgto līgumu par apsardzes pakalpojumiem</w:t>
            </w:r>
            <w:r w:rsidR="001D45A6" w:rsidRPr="00933191">
              <w:rPr>
                <w:sz w:val="24"/>
                <w:szCs w:val="24"/>
              </w:rPr>
              <w:t xml:space="preserve"> veidojas </w:t>
            </w:r>
            <w:r w:rsidR="001D45A6" w:rsidRPr="00933191">
              <w:rPr>
                <w:sz w:val="24"/>
                <w:szCs w:val="24"/>
              </w:rPr>
              <w:lastRenderedPageBreak/>
              <w:t xml:space="preserve">apsardzes infrastruktūras (apsardzes signalizācijas, novērošanas iekārtu </w:t>
            </w:r>
            <w:proofErr w:type="spellStart"/>
            <w:r w:rsidR="001D45A6" w:rsidRPr="00933191">
              <w:rPr>
                <w:sz w:val="24"/>
                <w:szCs w:val="24"/>
              </w:rPr>
              <w:t>u.c</w:t>
            </w:r>
            <w:proofErr w:type="spellEnd"/>
            <w:r w:rsidR="001D45A6" w:rsidRPr="00933191">
              <w:rPr>
                <w:sz w:val="24"/>
                <w:szCs w:val="24"/>
              </w:rPr>
              <w:t>. infrastruktūras) uzturēšanas izdevumu segšanai piešķirtā finansējuma atlikums</w:t>
            </w:r>
            <w:r w:rsidR="000C772C" w:rsidRPr="00933191">
              <w:rPr>
                <w:sz w:val="24"/>
                <w:szCs w:val="24"/>
              </w:rPr>
              <w:t xml:space="preserve"> </w:t>
            </w:r>
            <w:r w:rsidRPr="00933191">
              <w:rPr>
                <w:sz w:val="24"/>
                <w:szCs w:val="24"/>
              </w:rPr>
              <w:t xml:space="preserve">38 318 </w:t>
            </w:r>
            <w:proofErr w:type="spellStart"/>
            <w:r w:rsidRPr="00933191">
              <w:rPr>
                <w:i/>
                <w:sz w:val="24"/>
                <w:szCs w:val="24"/>
              </w:rPr>
              <w:t>euro</w:t>
            </w:r>
            <w:proofErr w:type="spellEnd"/>
            <w:r w:rsidRPr="00933191">
              <w:rPr>
                <w:i/>
                <w:sz w:val="24"/>
                <w:szCs w:val="24"/>
              </w:rPr>
              <w:t>,</w:t>
            </w:r>
            <w:r w:rsidRPr="00933191">
              <w:rPr>
                <w:sz w:val="24"/>
                <w:szCs w:val="24"/>
              </w:rPr>
              <w:t xml:space="preserve"> kurš</w:t>
            </w:r>
            <w:r w:rsidR="001D45A6" w:rsidRPr="00933191">
              <w:rPr>
                <w:sz w:val="24"/>
                <w:szCs w:val="24"/>
              </w:rPr>
              <w:t xml:space="preserve"> </w:t>
            </w:r>
            <w:r w:rsidR="00675A12" w:rsidRPr="00933191">
              <w:rPr>
                <w:sz w:val="24"/>
                <w:szCs w:val="24"/>
              </w:rPr>
              <w:t xml:space="preserve"> novirzāms</w:t>
            </w:r>
            <w:r w:rsidRPr="00933191">
              <w:rPr>
                <w:sz w:val="24"/>
                <w:szCs w:val="24"/>
              </w:rPr>
              <w:t xml:space="preserve"> telpu </w:t>
            </w:r>
            <w:proofErr w:type="spellStart"/>
            <w:r w:rsidRPr="00933191">
              <w:rPr>
                <w:sz w:val="24"/>
                <w:szCs w:val="24"/>
              </w:rPr>
              <w:t>Talejas</w:t>
            </w:r>
            <w:proofErr w:type="spellEnd"/>
            <w:r w:rsidRPr="00933191">
              <w:rPr>
                <w:sz w:val="24"/>
                <w:szCs w:val="24"/>
              </w:rPr>
              <w:t xml:space="preserve"> ielā 1, Rīgā, </w:t>
            </w:r>
            <w:r w:rsidRPr="00933191">
              <w:rPr>
                <w:bCs/>
                <w:sz w:val="24"/>
                <w:szCs w:val="24"/>
              </w:rPr>
              <w:t>uzturēšanas izdevumu segšanai (izdevumiem par komunālajiem pakalpojumiem)</w:t>
            </w:r>
            <w:r w:rsidRPr="00933191">
              <w:rPr>
                <w:sz w:val="24"/>
                <w:szCs w:val="24"/>
              </w:rPr>
              <w:t>.</w:t>
            </w:r>
          </w:p>
          <w:p w14:paraId="72BF5734" w14:textId="77777777" w:rsidR="00F36449" w:rsidRPr="00081395" w:rsidRDefault="00F60046" w:rsidP="00F60046">
            <w:pPr>
              <w:jc w:val="both"/>
              <w:rPr>
                <w:sz w:val="24"/>
                <w:szCs w:val="24"/>
              </w:rPr>
            </w:pPr>
            <w:r w:rsidRPr="00081395">
              <w:rPr>
                <w:sz w:val="24"/>
                <w:szCs w:val="24"/>
              </w:rPr>
              <w:t xml:space="preserve">Ņemot vērā minēto, </w:t>
            </w:r>
            <w:r w:rsidR="00F36449" w:rsidRPr="00081395">
              <w:rPr>
                <w:sz w:val="24"/>
                <w:szCs w:val="24"/>
              </w:rPr>
              <w:t>Ministru kabineta 2015.gada 27.augusta sēde</w:t>
            </w:r>
            <w:r w:rsidR="00E03DBF" w:rsidRPr="00081395">
              <w:rPr>
                <w:sz w:val="24"/>
                <w:szCs w:val="24"/>
              </w:rPr>
              <w:t xml:space="preserve">s </w:t>
            </w:r>
            <w:proofErr w:type="spellStart"/>
            <w:r w:rsidR="00E03DBF" w:rsidRPr="00081395">
              <w:rPr>
                <w:sz w:val="24"/>
                <w:szCs w:val="24"/>
              </w:rPr>
              <w:t>protokollēmuma</w:t>
            </w:r>
            <w:proofErr w:type="spellEnd"/>
            <w:r w:rsidR="00E03DBF" w:rsidRPr="00081395">
              <w:rPr>
                <w:sz w:val="24"/>
                <w:szCs w:val="24"/>
              </w:rPr>
              <w:t xml:space="preserve"> „Par informatīvo ziņojumu „</w:t>
            </w:r>
            <w:r w:rsidR="00F36449" w:rsidRPr="00081395">
              <w:rPr>
                <w:sz w:val="24"/>
                <w:szCs w:val="24"/>
              </w:rPr>
              <w:t xml:space="preserve">Par priekšlikumiem valsts budžeta ieņēmumiem un izdevumiem 2016.gadam un ietvaram 2016.-2018.gadam”” (prot. Nr.42  </w:t>
            </w:r>
            <w:r w:rsidR="00C81F5E" w:rsidRPr="00081395">
              <w:rPr>
                <w:sz w:val="24"/>
                <w:szCs w:val="24"/>
              </w:rPr>
              <w:t>3</w:t>
            </w:r>
            <w:r w:rsidR="00F36449" w:rsidRPr="00081395">
              <w:rPr>
                <w:sz w:val="24"/>
                <w:szCs w:val="24"/>
              </w:rPr>
              <w:t>.§):</w:t>
            </w:r>
          </w:p>
          <w:p w14:paraId="318151B7" w14:textId="77777777" w:rsidR="00F36449" w:rsidRPr="00081395" w:rsidRDefault="00F36449" w:rsidP="00F36449">
            <w:pPr>
              <w:jc w:val="both"/>
              <w:rPr>
                <w:sz w:val="24"/>
                <w:szCs w:val="24"/>
              </w:rPr>
            </w:pPr>
            <w:r w:rsidRPr="00081395">
              <w:rPr>
                <w:sz w:val="24"/>
                <w:szCs w:val="24"/>
              </w:rPr>
              <w:t>- 17.punkt</w:t>
            </w:r>
            <w:r w:rsidR="002A7F12" w:rsidRPr="00081395">
              <w:rPr>
                <w:sz w:val="24"/>
                <w:szCs w:val="24"/>
              </w:rPr>
              <w:t>ā</w:t>
            </w:r>
            <w:r w:rsidRPr="00081395">
              <w:rPr>
                <w:sz w:val="24"/>
                <w:szCs w:val="24"/>
              </w:rPr>
              <w:t xml:space="preserve"> a</w:t>
            </w:r>
            <w:r w:rsidR="00F60046" w:rsidRPr="00081395">
              <w:rPr>
                <w:sz w:val="24"/>
                <w:szCs w:val="24"/>
              </w:rPr>
              <w:t>tbalstīt</w:t>
            </w:r>
            <w:r w:rsidRPr="00081395">
              <w:rPr>
                <w:sz w:val="24"/>
                <w:szCs w:val="24"/>
              </w:rPr>
              <w:t>s</w:t>
            </w:r>
            <w:r w:rsidR="00F60046" w:rsidRPr="00081395">
              <w:rPr>
                <w:sz w:val="24"/>
                <w:szCs w:val="24"/>
              </w:rPr>
              <w:t xml:space="preserve">  </w:t>
            </w:r>
            <w:r w:rsidR="00F712DA">
              <w:rPr>
                <w:sz w:val="24"/>
                <w:szCs w:val="24"/>
              </w:rPr>
              <w:t>FM</w:t>
            </w:r>
            <w:r w:rsidRPr="00081395">
              <w:rPr>
                <w:sz w:val="24"/>
                <w:szCs w:val="24"/>
              </w:rPr>
              <w:t xml:space="preserve"> priekšlikums</w:t>
            </w:r>
            <w:r w:rsidR="00F60046" w:rsidRPr="00081395">
              <w:rPr>
                <w:sz w:val="24"/>
                <w:szCs w:val="24"/>
              </w:rPr>
              <w:t xml:space="preserve"> </w:t>
            </w:r>
            <w:r w:rsidR="00E03DBF" w:rsidRPr="00081395">
              <w:rPr>
                <w:sz w:val="24"/>
                <w:szCs w:val="24"/>
              </w:rPr>
              <w:t>  budžeta programmas  33.00.00 „</w:t>
            </w:r>
            <w:r w:rsidR="00F60046" w:rsidRPr="00081395">
              <w:rPr>
                <w:sz w:val="24"/>
                <w:szCs w:val="24"/>
              </w:rPr>
              <w:t>Valsts ieņēmumu un muitas politikas nodrošināšana”  izdevumu ietvaros precizēt un samazināt ilgtermiņa saistību apmēru  telpu nomas maksas izdevumu segš</w:t>
            </w:r>
            <w:r w:rsidR="00E03DBF" w:rsidRPr="00081395">
              <w:rPr>
                <w:sz w:val="24"/>
                <w:szCs w:val="24"/>
              </w:rPr>
              <w:t>anai valsts akciju sabiedrībai „</w:t>
            </w:r>
            <w:r w:rsidR="00F60046" w:rsidRPr="00081395">
              <w:rPr>
                <w:sz w:val="24"/>
                <w:szCs w:val="24"/>
              </w:rPr>
              <w:t xml:space="preserve">Valsts nekustāmie īpašumi”  2016.gadā un turpmākajos divos gados  103 538 </w:t>
            </w:r>
            <w:proofErr w:type="spellStart"/>
            <w:r w:rsidR="00F60046" w:rsidRPr="00081395">
              <w:rPr>
                <w:i/>
                <w:sz w:val="24"/>
                <w:szCs w:val="24"/>
              </w:rPr>
              <w:t>euro</w:t>
            </w:r>
            <w:proofErr w:type="spellEnd"/>
            <w:r w:rsidR="00F60046" w:rsidRPr="00081395">
              <w:rPr>
                <w:sz w:val="24"/>
                <w:szCs w:val="24"/>
              </w:rPr>
              <w:t xml:space="preserve"> apmērā atbilstoši  apakšnomā nodotai platībai </w:t>
            </w:r>
            <w:r w:rsidR="00AD6742">
              <w:rPr>
                <w:sz w:val="24"/>
                <w:szCs w:val="24"/>
              </w:rPr>
              <w:t>VID</w:t>
            </w:r>
            <w:r w:rsidR="00F60046" w:rsidRPr="00081395">
              <w:rPr>
                <w:sz w:val="24"/>
                <w:szCs w:val="24"/>
              </w:rPr>
              <w:t xml:space="preserve"> administratīvās ēkas Talejas ielā 1, Rīgā, un par attiecīgo finansējuma apmēru palielināt izdevumus telp</w:t>
            </w:r>
            <w:r w:rsidRPr="00081395">
              <w:rPr>
                <w:sz w:val="24"/>
                <w:szCs w:val="24"/>
              </w:rPr>
              <w:t>u uzturēšanas izdevumu segšanai;</w:t>
            </w:r>
          </w:p>
          <w:p w14:paraId="35E7CB54" w14:textId="1B27E95C" w:rsidR="0000699E" w:rsidRDefault="00F36449" w:rsidP="00933191">
            <w:pPr>
              <w:spacing w:after="120"/>
              <w:jc w:val="both"/>
              <w:rPr>
                <w:sz w:val="24"/>
                <w:szCs w:val="24"/>
              </w:rPr>
            </w:pPr>
            <w:r w:rsidRPr="00081395">
              <w:rPr>
                <w:sz w:val="24"/>
                <w:szCs w:val="24"/>
              </w:rPr>
              <w:t>- 18.punkt</w:t>
            </w:r>
            <w:r w:rsidR="002A7F12" w:rsidRPr="00081395">
              <w:rPr>
                <w:sz w:val="24"/>
                <w:szCs w:val="24"/>
              </w:rPr>
              <w:t>ā</w:t>
            </w:r>
            <w:r w:rsidRPr="00081395">
              <w:rPr>
                <w:sz w:val="24"/>
                <w:szCs w:val="24"/>
              </w:rPr>
              <w:t xml:space="preserve"> n</w:t>
            </w:r>
            <w:r w:rsidR="00F60046" w:rsidRPr="00081395">
              <w:rPr>
                <w:sz w:val="24"/>
                <w:szCs w:val="24"/>
              </w:rPr>
              <w:t>oteikt</w:t>
            </w:r>
            <w:r w:rsidRPr="00081395">
              <w:rPr>
                <w:sz w:val="24"/>
                <w:szCs w:val="24"/>
              </w:rPr>
              <w:t>s</w:t>
            </w:r>
            <w:r w:rsidR="00F60046" w:rsidRPr="00081395">
              <w:rPr>
                <w:sz w:val="24"/>
                <w:szCs w:val="24"/>
              </w:rPr>
              <w:t xml:space="preserve">, ka </w:t>
            </w:r>
            <w:r w:rsidR="00F712DA">
              <w:rPr>
                <w:sz w:val="24"/>
                <w:szCs w:val="24"/>
              </w:rPr>
              <w:t>FM</w:t>
            </w:r>
            <w:r w:rsidR="00E03DBF" w:rsidRPr="00081395">
              <w:rPr>
                <w:sz w:val="24"/>
                <w:szCs w:val="24"/>
              </w:rPr>
              <w:t xml:space="preserve"> budžeta programmā 33.00.00 „</w:t>
            </w:r>
            <w:r w:rsidR="00F60046" w:rsidRPr="00081395">
              <w:rPr>
                <w:sz w:val="24"/>
                <w:szCs w:val="24"/>
              </w:rPr>
              <w:t xml:space="preserve">Valsts ieņēmumu un muitas politikas nodrošināšana” ilgtermiņa saistību apmērs </w:t>
            </w:r>
            <w:r w:rsidR="00F712DA">
              <w:rPr>
                <w:sz w:val="24"/>
                <w:szCs w:val="24"/>
              </w:rPr>
              <w:t>VID</w:t>
            </w:r>
            <w:r w:rsidR="00F60046" w:rsidRPr="00081395">
              <w:rPr>
                <w:sz w:val="24"/>
                <w:szCs w:val="24"/>
              </w:rPr>
              <w:t xml:space="preserve"> administratīvās ēkas Talejas ielā 1, Rīgā, telpu nomas maksas izdevumu segš</w:t>
            </w:r>
            <w:r w:rsidR="00E03DBF" w:rsidRPr="00081395">
              <w:rPr>
                <w:sz w:val="24"/>
                <w:szCs w:val="24"/>
              </w:rPr>
              <w:t>anai valsts akciju sabiedrībai „</w:t>
            </w:r>
            <w:r w:rsidR="00F60046" w:rsidRPr="00081395">
              <w:rPr>
                <w:sz w:val="24"/>
                <w:szCs w:val="24"/>
              </w:rPr>
              <w:t xml:space="preserve">Valsts </w:t>
            </w:r>
            <w:r w:rsidR="002A139E" w:rsidRPr="00081395">
              <w:rPr>
                <w:sz w:val="24"/>
                <w:szCs w:val="24"/>
              </w:rPr>
              <w:t>nekust</w:t>
            </w:r>
            <w:r w:rsidR="002A139E">
              <w:rPr>
                <w:sz w:val="24"/>
                <w:szCs w:val="24"/>
              </w:rPr>
              <w:t>a</w:t>
            </w:r>
            <w:r w:rsidR="002A139E" w:rsidRPr="00081395">
              <w:rPr>
                <w:sz w:val="24"/>
                <w:szCs w:val="24"/>
              </w:rPr>
              <w:t xml:space="preserve">mie </w:t>
            </w:r>
            <w:r w:rsidR="00F60046" w:rsidRPr="00081395">
              <w:rPr>
                <w:sz w:val="24"/>
                <w:szCs w:val="24"/>
              </w:rPr>
              <w:t xml:space="preserve">īpašumi” 2016.gadā un turpmākajos 27 gados ik gadu ir 7 645 355 </w:t>
            </w:r>
            <w:proofErr w:type="spellStart"/>
            <w:r w:rsidR="00F60046" w:rsidRPr="00081395">
              <w:rPr>
                <w:i/>
                <w:sz w:val="24"/>
                <w:szCs w:val="24"/>
              </w:rPr>
              <w:t>euro</w:t>
            </w:r>
            <w:proofErr w:type="spellEnd"/>
            <w:r w:rsidR="00F60046" w:rsidRPr="00081395">
              <w:rPr>
                <w:sz w:val="24"/>
                <w:szCs w:val="24"/>
              </w:rPr>
              <w:t xml:space="preserve">  apmērā, bet 2044.gadā 2 548 452 </w:t>
            </w:r>
            <w:proofErr w:type="spellStart"/>
            <w:r w:rsidR="00F60046" w:rsidRPr="00081395">
              <w:rPr>
                <w:i/>
                <w:sz w:val="24"/>
                <w:szCs w:val="24"/>
              </w:rPr>
              <w:t>euro</w:t>
            </w:r>
            <w:proofErr w:type="spellEnd"/>
            <w:r w:rsidR="00F60046" w:rsidRPr="00081395">
              <w:rPr>
                <w:sz w:val="24"/>
                <w:szCs w:val="24"/>
              </w:rPr>
              <w:t xml:space="preserve"> apmērā.</w:t>
            </w:r>
          </w:p>
          <w:p w14:paraId="18702CCF" w14:textId="77777777" w:rsidR="00E03DBF" w:rsidRPr="00081395" w:rsidRDefault="001D1218" w:rsidP="00F36449">
            <w:pPr>
              <w:jc w:val="both"/>
              <w:rPr>
                <w:sz w:val="24"/>
                <w:szCs w:val="24"/>
              </w:rPr>
            </w:pPr>
            <w:r w:rsidRPr="00081395">
              <w:rPr>
                <w:sz w:val="24"/>
                <w:szCs w:val="24"/>
              </w:rPr>
              <w:t xml:space="preserve">Ar </w:t>
            </w:r>
            <w:r w:rsidR="00E03DBF" w:rsidRPr="00081395">
              <w:rPr>
                <w:sz w:val="24"/>
                <w:szCs w:val="24"/>
              </w:rPr>
              <w:t>Ministru kabineta 2015.gada 3.novembra sēde</w:t>
            </w:r>
            <w:r w:rsidRPr="00081395">
              <w:rPr>
                <w:sz w:val="24"/>
                <w:szCs w:val="24"/>
              </w:rPr>
              <w:t xml:space="preserve">s </w:t>
            </w:r>
            <w:proofErr w:type="spellStart"/>
            <w:r w:rsidRPr="00081395">
              <w:rPr>
                <w:sz w:val="24"/>
                <w:szCs w:val="24"/>
              </w:rPr>
              <w:t>protokollēmumu</w:t>
            </w:r>
            <w:proofErr w:type="spellEnd"/>
            <w:r w:rsidR="00E03DBF" w:rsidRPr="00081395">
              <w:rPr>
                <w:sz w:val="24"/>
                <w:szCs w:val="24"/>
              </w:rPr>
              <w:t xml:space="preserve"> „Informatīvais ziņojums „Par valsts budžeta līdzekļu pārdali Valsts vienotā klientu apkalpošanas centra Valsts ieņēmumu dienesta telpās Talejas ielā 1, Rīgā, darbības nodrošināšanai”” (prot. Nr.57  </w:t>
            </w:r>
            <w:r w:rsidRPr="00081395">
              <w:rPr>
                <w:sz w:val="24"/>
                <w:szCs w:val="24"/>
              </w:rPr>
              <w:t>6</w:t>
            </w:r>
            <w:r w:rsidR="00E03DBF" w:rsidRPr="00081395">
              <w:rPr>
                <w:sz w:val="24"/>
                <w:szCs w:val="24"/>
              </w:rPr>
              <w:t>3.§):</w:t>
            </w:r>
          </w:p>
          <w:p w14:paraId="2273CC21" w14:textId="77777777" w:rsidR="00E03DBF" w:rsidRPr="00081395" w:rsidRDefault="00E03DBF" w:rsidP="00E03DBF">
            <w:pPr>
              <w:pStyle w:val="ListParagraph"/>
              <w:numPr>
                <w:ilvl w:val="0"/>
                <w:numId w:val="18"/>
              </w:numPr>
              <w:jc w:val="both"/>
              <w:rPr>
                <w:sz w:val="24"/>
                <w:szCs w:val="24"/>
              </w:rPr>
            </w:pPr>
            <w:r w:rsidRPr="00081395">
              <w:rPr>
                <w:sz w:val="24"/>
                <w:szCs w:val="24"/>
              </w:rPr>
              <w:t xml:space="preserve">atbalstīta VVKAC VID telpās Talejas ielā 1, Rīgā, darbība 2016.gadā un turpmāk; </w:t>
            </w:r>
          </w:p>
          <w:p w14:paraId="4F6ADA0A" w14:textId="759D6B07" w:rsidR="00E03DBF" w:rsidRPr="00081395" w:rsidRDefault="00E03DBF" w:rsidP="00E03DBF">
            <w:pPr>
              <w:pStyle w:val="ListParagraph"/>
              <w:numPr>
                <w:ilvl w:val="0"/>
                <w:numId w:val="18"/>
              </w:numPr>
              <w:jc w:val="both"/>
              <w:rPr>
                <w:sz w:val="24"/>
                <w:szCs w:val="24"/>
              </w:rPr>
            </w:pPr>
            <w:r w:rsidRPr="00081395">
              <w:rPr>
                <w:sz w:val="24"/>
                <w:szCs w:val="24"/>
              </w:rPr>
              <w:t xml:space="preserve">FM un </w:t>
            </w:r>
            <w:r w:rsidR="00F712DA">
              <w:rPr>
                <w:sz w:val="24"/>
                <w:szCs w:val="24"/>
              </w:rPr>
              <w:t>LM</w:t>
            </w:r>
            <w:r w:rsidRPr="00081395">
              <w:rPr>
                <w:sz w:val="24"/>
                <w:szCs w:val="24"/>
              </w:rPr>
              <w:t xml:space="preserve"> tika dots uzdevums iesniegt priekšlikumus likumprojekta „Par valsts budžetu 2016.gadam” un likumprojekta „Par vidēja termiņa budžeta ietvaru 2016., 2017. un 2018.gadam” izskatīšanai Saeimā otrajā lasījumā līdzekļu pārdalei 2016.gadā un turpmākajiem gadiem, bet ne ilgāk kā VID noslēgtā apakšnomas līguma darbības termiņā, no FM (VID) pamatbudžeta programmas 33.00.00 „Valsts ieņēmumu un muitas politikas nodrošināšana” 41 625 </w:t>
            </w:r>
            <w:proofErr w:type="spellStart"/>
            <w:r w:rsidR="00E53399" w:rsidRPr="00E53399">
              <w:rPr>
                <w:i/>
                <w:sz w:val="24"/>
                <w:szCs w:val="24"/>
              </w:rPr>
              <w:t>euro</w:t>
            </w:r>
            <w:proofErr w:type="spellEnd"/>
            <w:r w:rsidRPr="00081395">
              <w:rPr>
                <w:sz w:val="24"/>
                <w:szCs w:val="24"/>
              </w:rPr>
              <w:t xml:space="preserve"> apmērā, tajā skaitā ilgtermiņa saistībām pasākumam „VID ēkas Talejas ielā 1, Rīgā, telpu nomas maksas, aprīkojuma iegādes, pārcelšanās un uzturēšanas izdevumu segšanai” 29 453 </w:t>
            </w:r>
            <w:proofErr w:type="spellStart"/>
            <w:r w:rsidR="002A139E" w:rsidRPr="00E53399">
              <w:rPr>
                <w:i/>
                <w:sz w:val="24"/>
                <w:szCs w:val="24"/>
              </w:rPr>
              <w:t>euro</w:t>
            </w:r>
            <w:proofErr w:type="spellEnd"/>
            <w:r w:rsidR="002A139E" w:rsidRPr="00081395">
              <w:rPr>
                <w:sz w:val="24"/>
                <w:szCs w:val="24"/>
              </w:rPr>
              <w:t xml:space="preserve"> </w:t>
            </w:r>
            <w:r w:rsidRPr="00081395">
              <w:rPr>
                <w:sz w:val="24"/>
                <w:szCs w:val="24"/>
              </w:rPr>
              <w:t xml:space="preserve">apmērā, uz </w:t>
            </w:r>
            <w:r w:rsidR="00F712DA">
              <w:rPr>
                <w:sz w:val="24"/>
                <w:szCs w:val="24"/>
              </w:rPr>
              <w:t>LM</w:t>
            </w:r>
            <w:r w:rsidRPr="00081395">
              <w:rPr>
                <w:sz w:val="24"/>
                <w:szCs w:val="24"/>
              </w:rPr>
              <w:t xml:space="preserve"> pamatbudžetu administratīvās ēkas Talejas ielā 1, Rīgā, telpu nomas maksas izdevumu segšanai </w:t>
            </w:r>
            <w:r w:rsidR="003C7792">
              <w:rPr>
                <w:sz w:val="24"/>
                <w:szCs w:val="24"/>
              </w:rPr>
              <w:t>VNĪ</w:t>
            </w:r>
            <w:r w:rsidRPr="00081395">
              <w:rPr>
                <w:sz w:val="24"/>
                <w:szCs w:val="24"/>
              </w:rPr>
              <w:t xml:space="preserve"> un telpu uzturēšanas izdevumu segšanai saistībā ar VVKAC darbības turpināšanu, tajā skaitā:</w:t>
            </w:r>
          </w:p>
          <w:p w14:paraId="513B997C" w14:textId="2A7901B6" w:rsidR="00E03DBF" w:rsidRPr="00081395" w:rsidRDefault="00E03DBF" w:rsidP="00E03DBF">
            <w:pPr>
              <w:jc w:val="both"/>
              <w:rPr>
                <w:sz w:val="24"/>
                <w:szCs w:val="24"/>
              </w:rPr>
            </w:pPr>
            <w:r w:rsidRPr="00081395">
              <w:rPr>
                <w:sz w:val="24"/>
                <w:szCs w:val="24"/>
              </w:rPr>
              <w:t>     1. pamatbudžeta apakšprogrammai 07.01.00 "Nodarbinātības valsts aģentūras darbības nodrošināšana" 9</w:t>
            </w:r>
            <w:r w:rsidR="002A139E">
              <w:rPr>
                <w:sz w:val="24"/>
                <w:szCs w:val="24"/>
              </w:rPr>
              <w:t> </w:t>
            </w:r>
            <w:r w:rsidRPr="00081395">
              <w:rPr>
                <w:sz w:val="24"/>
                <w:szCs w:val="24"/>
              </w:rPr>
              <w:t>620</w:t>
            </w:r>
            <w:r w:rsidR="002A139E">
              <w:rPr>
                <w:sz w:val="24"/>
                <w:szCs w:val="24"/>
              </w:rPr>
              <w:t xml:space="preserve"> </w:t>
            </w:r>
            <w:proofErr w:type="spellStart"/>
            <w:r w:rsidR="002A139E" w:rsidRPr="00E53399">
              <w:rPr>
                <w:i/>
                <w:sz w:val="24"/>
                <w:szCs w:val="24"/>
              </w:rPr>
              <w:t>euro</w:t>
            </w:r>
            <w:proofErr w:type="spellEnd"/>
            <w:r w:rsidRPr="00081395">
              <w:rPr>
                <w:sz w:val="24"/>
                <w:szCs w:val="24"/>
              </w:rPr>
              <w:t xml:space="preserve"> apmērā; </w:t>
            </w:r>
          </w:p>
          <w:p w14:paraId="767BFA71" w14:textId="7F437E4D" w:rsidR="00E03DBF" w:rsidRPr="00081395" w:rsidRDefault="00E03DBF" w:rsidP="00E03DBF">
            <w:pPr>
              <w:ind w:firstLine="317"/>
              <w:jc w:val="both"/>
              <w:rPr>
                <w:sz w:val="24"/>
                <w:szCs w:val="24"/>
              </w:rPr>
            </w:pPr>
            <w:r w:rsidRPr="00081395">
              <w:rPr>
                <w:sz w:val="24"/>
                <w:szCs w:val="24"/>
              </w:rPr>
              <w:t xml:space="preserve">2. pamatbudžeta apakšprogrammai 21.01.00 "Darba tiesisko attiecību un darba apstākļu kontrole un uzraudzība" 6 193 </w:t>
            </w:r>
            <w:proofErr w:type="spellStart"/>
            <w:r w:rsidR="002A139E" w:rsidRPr="00E53399">
              <w:rPr>
                <w:i/>
                <w:sz w:val="24"/>
                <w:szCs w:val="24"/>
              </w:rPr>
              <w:t>euro</w:t>
            </w:r>
            <w:proofErr w:type="spellEnd"/>
            <w:r w:rsidR="002A139E" w:rsidRPr="00081395">
              <w:rPr>
                <w:sz w:val="24"/>
                <w:szCs w:val="24"/>
              </w:rPr>
              <w:t xml:space="preserve"> </w:t>
            </w:r>
            <w:r w:rsidRPr="00081395">
              <w:rPr>
                <w:sz w:val="24"/>
                <w:szCs w:val="24"/>
              </w:rPr>
              <w:t>apmērā;</w:t>
            </w:r>
          </w:p>
          <w:p w14:paraId="0D43BD6F" w14:textId="5B515259" w:rsidR="001D1218" w:rsidRPr="00081395" w:rsidRDefault="00E03DBF" w:rsidP="00A004C5">
            <w:pPr>
              <w:spacing w:after="120"/>
              <w:jc w:val="both"/>
              <w:rPr>
                <w:sz w:val="24"/>
                <w:szCs w:val="24"/>
              </w:rPr>
            </w:pPr>
            <w:r w:rsidRPr="00081395">
              <w:rPr>
                <w:sz w:val="24"/>
                <w:szCs w:val="24"/>
              </w:rPr>
              <w:t xml:space="preserve">      3. pamatbudžeta apakšprogrammai 97.02.00 "Nozares centralizēto funkciju izpilde" 25 812 </w:t>
            </w:r>
            <w:proofErr w:type="spellStart"/>
            <w:r w:rsidR="002A139E" w:rsidRPr="00E53399">
              <w:rPr>
                <w:i/>
                <w:sz w:val="24"/>
                <w:szCs w:val="24"/>
              </w:rPr>
              <w:t>euro</w:t>
            </w:r>
            <w:proofErr w:type="spellEnd"/>
            <w:r w:rsidR="002A139E" w:rsidRPr="00081395">
              <w:rPr>
                <w:sz w:val="24"/>
                <w:szCs w:val="24"/>
              </w:rPr>
              <w:t xml:space="preserve"> </w:t>
            </w:r>
            <w:r w:rsidRPr="00081395">
              <w:rPr>
                <w:sz w:val="24"/>
                <w:szCs w:val="24"/>
              </w:rPr>
              <w:t>apmērā pārskaitīšanai uz speciālā b</w:t>
            </w:r>
            <w:r w:rsidR="00F712DA">
              <w:rPr>
                <w:sz w:val="24"/>
                <w:szCs w:val="24"/>
              </w:rPr>
              <w:t>udžeta apakšprogrammu 04.05.00 „</w:t>
            </w:r>
            <w:r w:rsidRPr="00081395">
              <w:rPr>
                <w:sz w:val="24"/>
                <w:szCs w:val="24"/>
              </w:rPr>
              <w:t>Valsts sociālās apdrošināšana</w:t>
            </w:r>
            <w:r w:rsidR="001D1218" w:rsidRPr="00081395">
              <w:rPr>
                <w:sz w:val="24"/>
                <w:szCs w:val="24"/>
              </w:rPr>
              <w:t xml:space="preserve">s aģentūras </w:t>
            </w:r>
            <w:r w:rsidR="00F712DA">
              <w:rPr>
                <w:sz w:val="24"/>
                <w:szCs w:val="24"/>
              </w:rPr>
              <w:t>speciālais budžets”</w:t>
            </w:r>
            <w:r w:rsidR="001D1218" w:rsidRPr="00081395">
              <w:rPr>
                <w:sz w:val="24"/>
                <w:szCs w:val="24"/>
              </w:rPr>
              <w:t>.</w:t>
            </w:r>
          </w:p>
          <w:p w14:paraId="422C2D7C" w14:textId="2A206CB1" w:rsidR="008C57BD" w:rsidRPr="00337A24" w:rsidRDefault="001D1218" w:rsidP="00337A24">
            <w:pPr>
              <w:jc w:val="both"/>
              <w:rPr>
                <w:sz w:val="24"/>
                <w:szCs w:val="24"/>
              </w:rPr>
            </w:pPr>
            <w:r w:rsidRPr="001D1218">
              <w:rPr>
                <w:sz w:val="24"/>
                <w:szCs w:val="24"/>
              </w:rPr>
              <w:lastRenderedPageBreak/>
              <w:t xml:space="preserve">Ņemot vērā, ka 2015.gada 30.novembrī </w:t>
            </w:r>
            <w:r>
              <w:rPr>
                <w:sz w:val="24"/>
                <w:szCs w:val="24"/>
              </w:rPr>
              <w:t>Saeimā otrajā lasījumā atbalstīts likumprojekts „Par valsts budž</w:t>
            </w:r>
            <w:r w:rsidR="00F712DA">
              <w:rPr>
                <w:sz w:val="24"/>
                <w:szCs w:val="24"/>
              </w:rPr>
              <w:t>etu 2016.gadam” un likumprojekts</w:t>
            </w:r>
            <w:r>
              <w:rPr>
                <w:sz w:val="24"/>
                <w:szCs w:val="24"/>
              </w:rPr>
              <w:t xml:space="preserve"> „</w:t>
            </w:r>
            <w:r w:rsidRPr="001D1218">
              <w:rPr>
                <w:sz w:val="24"/>
                <w:szCs w:val="24"/>
              </w:rPr>
              <w:t>Par vidēja termiņa budžeta ie</w:t>
            </w:r>
            <w:r>
              <w:rPr>
                <w:sz w:val="24"/>
                <w:szCs w:val="24"/>
              </w:rPr>
              <w:t>tvaru 2016., 2017.un 2018.gadam”</w:t>
            </w:r>
            <w:r w:rsidRPr="001D1218">
              <w:rPr>
                <w:sz w:val="24"/>
                <w:szCs w:val="24"/>
              </w:rPr>
              <w:t>, kuros atbilstoši Ministru kabineta 2015.gada 27.augusta sēdē</w:t>
            </w:r>
            <w:r>
              <w:rPr>
                <w:sz w:val="24"/>
                <w:szCs w:val="24"/>
              </w:rPr>
              <w:t xml:space="preserve"> </w:t>
            </w:r>
            <w:r w:rsidRPr="00081395">
              <w:rPr>
                <w:sz w:val="24"/>
                <w:szCs w:val="24"/>
              </w:rPr>
              <w:t>(prot. Nr.42  3.§)</w:t>
            </w:r>
            <w:r w:rsidR="0099760D" w:rsidRPr="00081395">
              <w:rPr>
                <w:sz w:val="24"/>
                <w:szCs w:val="24"/>
              </w:rPr>
              <w:t xml:space="preserve"> un Ministru kabineta 2015.gada </w:t>
            </w:r>
            <w:r w:rsidR="00EE7894" w:rsidRPr="00081395">
              <w:rPr>
                <w:sz w:val="24"/>
                <w:szCs w:val="24"/>
              </w:rPr>
              <w:t>3.novembra</w:t>
            </w:r>
            <w:r w:rsidR="0099760D" w:rsidRPr="00081395">
              <w:rPr>
                <w:sz w:val="24"/>
                <w:szCs w:val="24"/>
              </w:rPr>
              <w:t xml:space="preserve"> sēdē (</w:t>
            </w:r>
            <w:proofErr w:type="spellStart"/>
            <w:r w:rsidR="0099760D" w:rsidRPr="00081395">
              <w:rPr>
                <w:sz w:val="24"/>
                <w:szCs w:val="24"/>
              </w:rPr>
              <w:t>prot</w:t>
            </w:r>
            <w:proofErr w:type="spellEnd"/>
            <w:r w:rsidR="0099760D" w:rsidRPr="00081395">
              <w:rPr>
                <w:sz w:val="24"/>
                <w:szCs w:val="24"/>
              </w:rPr>
              <w:t>. Nr.57  63.§)</w:t>
            </w:r>
            <w:r w:rsidR="0099760D">
              <w:rPr>
                <w:sz w:val="24"/>
                <w:szCs w:val="24"/>
              </w:rPr>
              <w:t xml:space="preserve"> nolemtajam</w:t>
            </w:r>
            <w:r w:rsidRPr="001D1218">
              <w:rPr>
                <w:sz w:val="24"/>
                <w:szCs w:val="24"/>
              </w:rPr>
              <w:t xml:space="preserve"> </w:t>
            </w:r>
            <w:r>
              <w:rPr>
                <w:sz w:val="24"/>
                <w:szCs w:val="24"/>
              </w:rPr>
              <w:t>ir</w:t>
            </w:r>
            <w:r w:rsidRPr="001D1218">
              <w:rPr>
                <w:sz w:val="24"/>
                <w:szCs w:val="24"/>
              </w:rPr>
              <w:t xml:space="preserve"> preci</w:t>
            </w:r>
            <w:r w:rsidR="00EE7894">
              <w:rPr>
                <w:sz w:val="24"/>
                <w:szCs w:val="24"/>
              </w:rPr>
              <w:t>zēts ilgtermiņa saistību apmērs</w:t>
            </w:r>
            <w:r w:rsidRPr="001D1218">
              <w:rPr>
                <w:sz w:val="24"/>
                <w:szCs w:val="24"/>
              </w:rPr>
              <w:t xml:space="preserve"> administratīvās ēkas </w:t>
            </w:r>
            <w:proofErr w:type="spellStart"/>
            <w:r w:rsidRPr="001D1218">
              <w:rPr>
                <w:sz w:val="24"/>
                <w:szCs w:val="24"/>
              </w:rPr>
              <w:t>Talejas</w:t>
            </w:r>
            <w:proofErr w:type="spellEnd"/>
            <w:r w:rsidRPr="001D1218">
              <w:rPr>
                <w:sz w:val="24"/>
                <w:szCs w:val="24"/>
              </w:rPr>
              <w:t xml:space="preserve"> ielā 1, Rīgā, telpu nomas maksas izdevumu un telpu uzturēšanas izdevumu segšana</w:t>
            </w:r>
            <w:r>
              <w:rPr>
                <w:sz w:val="24"/>
                <w:szCs w:val="24"/>
              </w:rPr>
              <w:t>i,</w:t>
            </w:r>
            <w:r w:rsidR="0099760D">
              <w:rPr>
                <w:sz w:val="24"/>
                <w:szCs w:val="24"/>
              </w:rPr>
              <w:t xml:space="preserve"> </w:t>
            </w:r>
            <w:r w:rsidR="0099760D" w:rsidRPr="0099760D">
              <w:rPr>
                <w:sz w:val="24"/>
                <w:szCs w:val="24"/>
              </w:rPr>
              <w:t xml:space="preserve">MK rīkojuma Nr.411 3.punktā </w:t>
            </w:r>
            <w:r w:rsidR="0099760D">
              <w:rPr>
                <w:sz w:val="24"/>
                <w:szCs w:val="24"/>
              </w:rPr>
              <w:t>FM</w:t>
            </w:r>
            <w:r w:rsidR="0099760D" w:rsidRPr="0099760D">
              <w:rPr>
                <w:sz w:val="24"/>
                <w:szCs w:val="24"/>
              </w:rPr>
              <w:t xml:space="preserve"> (</w:t>
            </w:r>
            <w:r w:rsidR="0099760D">
              <w:rPr>
                <w:sz w:val="24"/>
                <w:szCs w:val="24"/>
              </w:rPr>
              <w:t>VNĪ</w:t>
            </w:r>
            <w:r w:rsidR="0099760D" w:rsidRPr="0099760D">
              <w:rPr>
                <w:sz w:val="24"/>
                <w:szCs w:val="24"/>
              </w:rPr>
              <w:t>) dot</w:t>
            </w:r>
            <w:r w:rsidR="0099760D">
              <w:rPr>
                <w:sz w:val="24"/>
                <w:szCs w:val="24"/>
              </w:rPr>
              <w:t>ai</w:t>
            </w:r>
            <w:r w:rsidR="0099760D" w:rsidRPr="0099760D">
              <w:rPr>
                <w:sz w:val="24"/>
                <w:szCs w:val="24"/>
              </w:rPr>
              <w:t>s uzdevums</w:t>
            </w:r>
            <w:r w:rsidR="0099760D">
              <w:rPr>
                <w:sz w:val="24"/>
                <w:szCs w:val="24"/>
              </w:rPr>
              <w:t xml:space="preserve"> ir atzīstams par aktualitāti zaudējušu. Līdz ar to sagatavotais Ministru kabineta rīkojuma projekts paredz izdarīt grozījumu </w:t>
            </w:r>
            <w:r>
              <w:rPr>
                <w:sz w:val="24"/>
                <w:szCs w:val="24"/>
              </w:rPr>
              <w:t xml:space="preserve"> </w:t>
            </w:r>
            <w:r w:rsidR="00A004C5">
              <w:rPr>
                <w:sz w:val="24"/>
                <w:szCs w:val="24"/>
              </w:rPr>
              <w:t>MK rīkojumā</w:t>
            </w:r>
            <w:r w:rsidR="0099760D" w:rsidRPr="0099760D">
              <w:rPr>
                <w:sz w:val="24"/>
                <w:szCs w:val="24"/>
              </w:rPr>
              <w:t xml:space="preserve"> Nr.411</w:t>
            </w:r>
            <w:r w:rsidR="00A004C5">
              <w:rPr>
                <w:sz w:val="24"/>
                <w:szCs w:val="24"/>
              </w:rPr>
              <w:t>, svītrojot 3.punktu.</w:t>
            </w:r>
          </w:p>
        </w:tc>
      </w:tr>
      <w:tr w:rsidR="008C57BD" w:rsidRPr="00C512FF" w14:paraId="7BC45265" w14:textId="77777777" w:rsidTr="008C57BD">
        <w:tc>
          <w:tcPr>
            <w:tcW w:w="534" w:type="dxa"/>
          </w:tcPr>
          <w:p w14:paraId="460113B0" w14:textId="77777777" w:rsidR="008C57BD" w:rsidRPr="00C512FF" w:rsidRDefault="008C57BD" w:rsidP="001E5481">
            <w:pPr>
              <w:spacing w:before="100" w:beforeAutospacing="1" w:after="100" w:afterAutospacing="1"/>
              <w:rPr>
                <w:sz w:val="24"/>
                <w:szCs w:val="24"/>
                <w:lang w:eastAsia="lv-LV"/>
              </w:rPr>
            </w:pPr>
            <w:r w:rsidRPr="00C512FF">
              <w:rPr>
                <w:sz w:val="24"/>
                <w:szCs w:val="24"/>
                <w:lang w:eastAsia="lv-LV"/>
              </w:rPr>
              <w:lastRenderedPageBreak/>
              <w:t>3.</w:t>
            </w:r>
          </w:p>
        </w:tc>
        <w:tc>
          <w:tcPr>
            <w:tcW w:w="1559" w:type="dxa"/>
          </w:tcPr>
          <w:p w14:paraId="325D19BC" w14:textId="77777777" w:rsidR="008C57BD" w:rsidRPr="00C512FF" w:rsidRDefault="008C57BD" w:rsidP="00F02ADC">
            <w:pPr>
              <w:pStyle w:val="naisc"/>
              <w:spacing w:before="0" w:after="0"/>
              <w:jc w:val="left"/>
              <w:rPr>
                <w:bCs/>
                <w:caps/>
              </w:rPr>
            </w:pPr>
            <w:r w:rsidRPr="00C512FF">
              <w:t>Projekta izstrādē iesaistītās institūcijas</w:t>
            </w:r>
          </w:p>
        </w:tc>
        <w:tc>
          <w:tcPr>
            <w:tcW w:w="7194" w:type="dxa"/>
          </w:tcPr>
          <w:p w14:paraId="38B1101F" w14:textId="77777777" w:rsidR="008C57BD" w:rsidRPr="00C512FF" w:rsidRDefault="00F0471E" w:rsidP="003E3070">
            <w:pPr>
              <w:pStyle w:val="naisc"/>
              <w:spacing w:before="0" w:after="0"/>
              <w:jc w:val="left"/>
              <w:rPr>
                <w:bCs/>
                <w:caps/>
              </w:rPr>
            </w:pPr>
            <w:r w:rsidRPr="00C512FF">
              <w:t>FM</w:t>
            </w:r>
            <w:r w:rsidR="008C57BD" w:rsidRPr="00C512FF">
              <w:t xml:space="preserve"> (VNĪ).</w:t>
            </w:r>
          </w:p>
        </w:tc>
      </w:tr>
      <w:tr w:rsidR="008C57BD" w:rsidRPr="00C512FF" w14:paraId="07DE3118" w14:textId="77777777" w:rsidTr="008C57BD">
        <w:tc>
          <w:tcPr>
            <w:tcW w:w="534" w:type="dxa"/>
          </w:tcPr>
          <w:p w14:paraId="3599E46E" w14:textId="77777777" w:rsidR="008C57BD" w:rsidRPr="00C512FF" w:rsidRDefault="008C57BD" w:rsidP="00F02ADC">
            <w:pPr>
              <w:pStyle w:val="naisc"/>
              <w:spacing w:before="0" w:after="0"/>
              <w:jc w:val="left"/>
              <w:rPr>
                <w:bCs/>
                <w:caps/>
              </w:rPr>
            </w:pPr>
            <w:r w:rsidRPr="00C512FF">
              <w:t>4.</w:t>
            </w:r>
          </w:p>
        </w:tc>
        <w:tc>
          <w:tcPr>
            <w:tcW w:w="1559" w:type="dxa"/>
          </w:tcPr>
          <w:p w14:paraId="6BDD0DA0" w14:textId="77777777" w:rsidR="008C57BD" w:rsidRPr="00C512FF" w:rsidRDefault="008C57BD" w:rsidP="00F02ADC">
            <w:pPr>
              <w:pStyle w:val="naisc"/>
              <w:spacing w:before="0" w:after="0"/>
              <w:jc w:val="left"/>
              <w:rPr>
                <w:bCs/>
                <w:caps/>
              </w:rPr>
            </w:pPr>
            <w:r w:rsidRPr="00C512FF">
              <w:t>Cita informācija</w:t>
            </w:r>
          </w:p>
        </w:tc>
        <w:tc>
          <w:tcPr>
            <w:tcW w:w="7194" w:type="dxa"/>
          </w:tcPr>
          <w:p w14:paraId="1A609FC6" w14:textId="77777777" w:rsidR="008C57BD" w:rsidRPr="00C512FF" w:rsidRDefault="008C57BD" w:rsidP="00F02ADC">
            <w:pPr>
              <w:pStyle w:val="naisc"/>
              <w:spacing w:before="0" w:after="0"/>
              <w:jc w:val="left"/>
              <w:rPr>
                <w:bCs/>
                <w:caps/>
              </w:rPr>
            </w:pPr>
            <w:r w:rsidRPr="00C512FF">
              <w:rPr>
                <w:bCs/>
              </w:rPr>
              <w:t>Nav.</w:t>
            </w:r>
          </w:p>
        </w:tc>
      </w:tr>
      <w:tr w:rsidR="008C57BD" w:rsidRPr="00C512FF" w14:paraId="40AE01CC" w14:textId="77777777" w:rsidTr="008C57BD">
        <w:tc>
          <w:tcPr>
            <w:tcW w:w="534" w:type="dxa"/>
          </w:tcPr>
          <w:p w14:paraId="720E281A" w14:textId="77777777" w:rsidR="008C57BD" w:rsidRPr="00C512FF" w:rsidRDefault="008C57BD" w:rsidP="00F02ADC">
            <w:pPr>
              <w:pStyle w:val="naisc"/>
              <w:spacing w:before="0" w:after="0"/>
              <w:jc w:val="left"/>
              <w:rPr>
                <w:bCs/>
                <w:caps/>
              </w:rPr>
            </w:pPr>
          </w:p>
        </w:tc>
        <w:tc>
          <w:tcPr>
            <w:tcW w:w="1559" w:type="dxa"/>
          </w:tcPr>
          <w:p w14:paraId="24256B1A" w14:textId="77777777" w:rsidR="008C57BD" w:rsidRPr="00C512FF" w:rsidRDefault="008C57BD" w:rsidP="00F02ADC">
            <w:pPr>
              <w:pStyle w:val="naisc"/>
              <w:spacing w:before="0" w:after="0"/>
              <w:jc w:val="left"/>
              <w:rPr>
                <w:bCs/>
                <w:caps/>
              </w:rPr>
            </w:pPr>
          </w:p>
        </w:tc>
        <w:tc>
          <w:tcPr>
            <w:tcW w:w="7194" w:type="dxa"/>
          </w:tcPr>
          <w:p w14:paraId="4A8A8F73" w14:textId="77777777" w:rsidR="008C57BD" w:rsidRPr="00C512FF" w:rsidRDefault="008C57BD" w:rsidP="00F02ADC">
            <w:pPr>
              <w:pStyle w:val="naisc"/>
              <w:spacing w:before="0" w:after="0"/>
              <w:jc w:val="left"/>
              <w:rPr>
                <w:bCs/>
                <w:caps/>
              </w:rPr>
            </w:pPr>
          </w:p>
        </w:tc>
      </w:tr>
    </w:tbl>
    <w:p w14:paraId="6E87D2D6" w14:textId="77777777" w:rsidR="00CE62FF" w:rsidRDefault="00CE62FF" w:rsidP="00CE62FF">
      <w:pPr>
        <w:spacing w:after="0" w:line="240" w:lineRule="auto"/>
        <w:rPr>
          <w:sz w:val="24"/>
          <w:szCs w:val="24"/>
          <w:lang w:eastAsia="lv-LV"/>
        </w:rPr>
      </w:pPr>
    </w:p>
    <w:p w14:paraId="273389E7" w14:textId="77777777" w:rsidR="00933191" w:rsidRDefault="00933191" w:rsidP="00CE62FF">
      <w:pPr>
        <w:spacing w:after="0" w:line="240" w:lineRule="auto"/>
        <w:rPr>
          <w:sz w:val="24"/>
          <w:szCs w:val="24"/>
          <w:lang w:eastAsia="lv-LV"/>
        </w:rPr>
      </w:pPr>
    </w:p>
    <w:p w14:paraId="6767EB4A" w14:textId="77777777" w:rsidR="00933191" w:rsidRPr="00C512FF" w:rsidRDefault="00933191" w:rsidP="00CE62FF">
      <w:pPr>
        <w:spacing w:after="0" w:line="240" w:lineRule="auto"/>
        <w:rPr>
          <w:sz w:val="24"/>
          <w:szCs w:val="24"/>
          <w:lang w:eastAsia="lv-LV"/>
        </w:rPr>
      </w:pPr>
    </w:p>
    <w:tbl>
      <w:tblPr>
        <w:tblW w:w="5048" w:type="pct"/>
        <w:jc w:val="center"/>
        <w:tblCellSpacing w:w="15" w:type="dxa"/>
        <w:tblInd w:w="-266" w:type="dxa"/>
        <w:tblBorders>
          <w:insideH w:val="single" w:sz="2" w:space="0" w:color="auto"/>
          <w:insideV w:val="single" w:sz="2" w:space="0" w:color="auto"/>
        </w:tblBorders>
        <w:tblCellMar>
          <w:top w:w="24" w:type="dxa"/>
          <w:left w:w="24" w:type="dxa"/>
          <w:bottom w:w="24" w:type="dxa"/>
          <w:right w:w="24" w:type="dxa"/>
        </w:tblCellMar>
        <w:tblLook w:val="04A0" w:firstRow="1" w:lastRow="0" w:firstColumn="1" w:lastColumn="0" w:noHBand="0" w:noVBand="1"/>
      </w:tblPr>
      <w:tblGrid>
        <w:gridCol w:w="809"/>
        <w:gridCol w:w="1968"/>
        <w:gridCol w:w="6490"/>
      </w:tblGrid>
      <w:tr w:rsidR="000949A4" w:rsidRPr="00C512FF" w14:paraId="66685462" w14:textId="77777777" w:rsidTr="00933191">
        <w:trPr>
          <w:trHeight w:val="336"/>
          <w:tblCellSpacing w:w="15" w:type="dxa"/>
          <w:jc w:val="center"/>
        </w:trPr>
        <w:tc>
          <w:tcPr>
            <w:tcW w:w="4968" w:type="pct"/>
            <w:gridSpan w:val="3"/>
            <w:vAlign w:val="center"/>
            <w:hideMark/>
          </w:tcPr>
          <w:p w14:paraId="6BB052E0" w14:textId="77777777" w:rsidR="000949A4" w:rsidRPr="00C512FF" w:rsidRDefault="000949A4" w:rsidP="00D9044E">
            <w:pPr>
              <w:spacing w:before="100" w:beforeAutospacing="1" w:after="100" w:afterAutospacing="1" w:line="360" w:lineRule="auto"/>
              <w:ind w:firstLine="300"/>
              <w:jc w:val="center"/>
              <w:rPr>
                <w:b/>
                <w:bCs/>
                <w:sz w:val="24"/>
                <w:szCs w:val="24"/>
                <w:lang w:eastAsia="lv-LV"/>
              </w:rPr>
            </w:pPr>
            <w:r w:rsidRPr="00C512FF">
              <w:rPr>
                <w:b/>
                <w:bCs/>
                <w:sz w:val="24"/>
                <w:szCs w:val="24"/>
                <w:lang w:eastAsia="lv-LV"/>
              </w:rPr>
              <w:t>VI. Sabiedrības līdzdalība un komunikācijas aktivitātes</w:t>
            </w:r>
          </w:p>
        </w:tc>
      </w:tr>
      <w:tr w:rsidR="000949A4" w:rsidRPr="00C512FF" w14:paraId="02192D60" w14:textId="77777777" w:rsidTr="00933191">
        <w:trPr>
          <w:trHeight w:val="432"/>
          <w:tblCellSpacing w:w="15" w:type="dxa"/>
          <w:jc w:val="center"/>
        </w:trPr>
        <w:tc>
          <w:tcPr>
            <w:tcW w:w="415" w:type="pct"/>
            <w:hideMark/>
          </w:tcPr>
          <w:p w14:paraId="4B7A1AED" w14:textId="77777777" w:rsidR="000949A4" w:rsidRPr="00C512FF" w:rsidRDefault="000949A4" w:rsidP="00D9044E">
            <w:pPr>
              <w:spacing w:after="0" w:line="240" w:lineRule="auto"/>
              <w:rPr>
                <w:sz w:val="24"/>
                <w:szCs w:val="24"/>
                <w:lang w:eastAsia="lv-LV"/>
              </w:rPr>
            </w:pPr>
            <w:r w:rsidRPr="00C512FF">
              <w:rPr>
                <w:sz w:val="24"/>
                <w:szCs w:val="24"/>
                <w:lang w:eastAsia="lv-LV"/>
              </w:rPr>
              <w:t>1.</w:t>
            </w:r>
          </w:p>
        </w:tc>
        <w:tc>
          <w:tcPr>
            <w:tcW w:w="1053" w:type="pct"/>
          </w:tcPr>
          <w:p w14:paraId="2667E272" w14:textId="77777777" w:rsidR="000949A4" w:rsidRPr="00C512FF" w:rsidRDefault="000949A4" w:rsidP="00D9044E">
            <w:pPr>
              <w:spacing w:after="0" w:line="240" w:lineRule="auto"/>
              <w:rPr>
                <w:sz w:val="24"/>
                <w:szCs w:val="24"/>
                <w:lang w:eastAsia="lv-LV"/>
              </w:rPr>
            </w:pPr>
            <w:r w:rsidRPr="00C512FF">
              <w:rPr>
                <w:sz w:val="24"/>
                <w:szCs w:val="24"/>
                <w:lang w:eastAsia="lv-LV"/>
              </w:rPr>
              <w:t>Plānotās sabiedrības līdzdalības un komunikācijas aktivitātes saistībā ar projektu</w:t>
            </w:r>
          </w:p>
        </w:tc>
        <w:tc>
          <w:tcPr>
            <w:tcW w:w="3467" w:type="pct"/>
            <w:hideMark/>
          </w:tcPr>
          <w:p w14:paraId="7A66FBEA" w14:textId="77777777" w:rsidR="000949A4" w:rsidRPr="00C512FF" w:rsidRDefault="000949A4" w:rsidP="00D9044E">
            <w:pPr>
              <w:pStyle w:val="NoSpacing"/>
              <w:ind w:firstLine="491"/>
              <w:jc w:val="both"/>
              <w:rPr>
                <w:sz w:val="24"/>
                <w:szCs w:val="24"/>
                <w:lang w:eastAsia="lv-LV"/>
              </w:rPr>
            </w:pPr>
            <w:r w:rsidRPr="00C512FF">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5BDB2B4E" w14:textId="77777777" w:rsidR="000949A4" w:rsidRPr="00C512FF" w:rsidRDefault="000949A4" w:rsidP="00D9044E">
            <w:pPr>
              <w:spacing w:after="0" w:line="240" w:lineRule="auto"/>
              <w:ind w:firstLine="643"/>
              <w:jc w:val="both"/>
              <w:rPr>
                <w:sz w:val="24"/>
                <w:szCs w:val="24"/>
                <w:lang w:eastAsia="lv-LV"/>
              </w:rPr>
            </w:pPr>
            <w:r w:rsidRPr="00C512FF">
              <w:rPr>
                <w:sz w:val="24"/>
                <w:szCs w:val="24"/>
                <w:lang w:eastAsia="lv-LV"/>
              </w:rPr>
              <w:t>Ņemot vērā, ka rīkojuma projekts neatbilst minētajiem kritērijiem, sabiedrības līdzdalības kārtība rīkojuma projekta izstrādē netiek piemērota.</w:t>
            </w:r>
            <w:r w:rsidRPr="00C512FF">
              <w:rPr>
                <w:color w:val="1F497D"/>
                <w:sz w:val="24"/>
                <w:szCs w:val="24"/>
                <w:lang w:eastAsia="lv-LV"/>
              </w:rPr>
              <w:t xml:space="preserve"> </w:t>
            </w:r>
            <w:r w:rsidRPr="00C512FF">
              <w:rPr>
                <w:sz w:val="24"/>
                <w:szCs w:val="24"/>
                <w:lang w:eastAsia="lv-LV"/>
              </w:rPr>
              <w:t xml:space="preserve">Rīkojuma projekts un tā anotācija pēc tā izsludināšanas Valsts sekretāru sanāksmē būs publiski pieejami Ministru kabineta mājas lapā - sadaļā </w:t>
            </w:r>
            <w:r w:rsidRPr="00C512FF">
              <w:rPr>
                <w:i/>
                <w:iCs/>
                <w:sz w:val="24"/>
                <w:szCs w:val="24"/>
                <w:lang w:eastAsia="lv-LV"/>
              </w:rPr>
              <w:t>Tiesību aktu projekti.</w:t>
            </w:r>
          </w:p>
        </w:tc>
      </w:tr>
      <w:tr w:rsidR="000949A4" w:rsidRPr="00C512FF" w14:paraId="61319C65" w14:textId="77777777" w:rsidTr="00933191">
        <w:trPr>
          <w:trHeight w:val="264"/>
          <w:tblCellSpacing w:w="15" w:type="dxa"/>
          <w:jc w:val="center"/>
        </w:trPr>
        <w:tc>
          <w:tcPr>
            <w:tcW w:w="415" w:type="pct"/>
            <w:hideMark/>
          </w:tcPr>
          <w:p w14:paraId="1AEE6DC8" w14:textId="77777777" w:rsidR="000949A4" w:rsidRPr="00C512FF" w:rsidRDefault="000949A4" w:rsidP="00D9044E">
            <w:pPr>
              <w:spacing w:after="0" w:line="240" w:lineRule="auto"/>
              <w:rPr>
                <w:sz w:val="24"/>
                <w:szCs w:val="24"/>
                <w:lang w:eastAsia="lv-LV"/>
              </w:rPr>
            </w:pPr>
            <w:r w:rsidRPr="00C512FF">
              <w:rPr>
                <w:sz w:val="24"/>
                <w:szCs w:val="24"/>
                <w:lang w:eastAsia="lv-LV"/>
              </w:rPr>
              <w:t>2.</w:t>
            </w:r>
          </w:p>
        </w:tc>
        <w:tc>
          <w:tcPr>
            <w:tcW w:w="1053" w:type="pct"/>
          </w:tcPr>
          <w:p w14:paraId="47F64416" w14:textId="77777777" w:rsidR="000949A4" w:rsidRPr="00C512FF" w:rsidRDefault="000949A4" w:rsidP="00D9044E">
            <w:pPr>
              <w:spacing w:after="0" w:line="240" w:lineRule="auto"/>
              <w:rPr>
                <w:sz w:val="24"/>
                <w:szCs w:val="24"/>
                <w:lang w:eastAsia="lv-LV"/>
              </w:rPr>
            </w:pPr>
            <w:r w:rsidRPr="00C512FF">
              <w:rPr>
                <w:sz w:val="24"/>
                <w:szCs w:val="24"/>
                <w:lang w:eastAsia="lv-LV"/>
              </w:rPr>
              <w:t>Sabiedrības līdzdalība projekta izstrādē</w:t>
            </w:r>
          </w:p>
        </w:tc>
        <w:tc>
          <w:tcPr>
            <w:tcW w:w="3467" w:type="pct"/>
            <w:hideMark/>
          </w:tcPr>
          <w:p w14:paraId="4D9ED3D6" w14:textId="77777777" w:rsidR="000949A4" w:rsidRPr="00C512FF" w:rsidRDefault="000949A4" w:rsidP="00D9044E">
            <w:pPr>
              <w:spacing w:after="0" w:line="240" w:lineRule="auto"/>
              <w:ind w:firstLine="609"/>
              <w:jc w:val="both"/>
              <w:rPr>
                <w:sz w:val="24"/>
                <w:szCs w:val="24"/>
                <w:lang w:eastAsia="lv-LV"/>
              </w:rPr>
            </w:pPr>
            <w:r w:rsidRPr="00C512FF">
              <w:rPr>
                <w:sz w:val="24"/>
                <w:szCs w:val="24"/>
                <w:lang w:eastAsia="lv-LV"/>
              </w:rPr>
              <w:t>Projekts šo jomu neskar.</w:t>
            </w:r>
          </w:p>
        </w:tc>
      </w:tr>
      <w:tr w:rsidR="000949A4" w:rsidRPr="00C512FF" w14:paraId="653522C1" w14:textId="77777777" w:rsidTr="00933191">
        <w:trPr>
          <w:trHeight w:val="372"/>
          <w:tblCellSpacing w:w="15" w:type="dxa"/>
          <w:jc w:val="center"/>
        </w:trPr>
        <w:tc>
          <w:tcPr>
            <w:tcW w:w="415" w:type="pct"/>
            <w:hideMark/>
          </w:tcPr>
          <w:p w14:paraId="4749BEDC" w14:textId="77777777" w:rsidR="000949A4" w:rsidRPr="00C512FF" w:rsidRDefault="000949A4" w:rsidP="00D9044E">
            <w:pPr>
              <w:spacing w:after="0" w:line="240" w:lineRule="auto"/>
              <w:rPr>
                <w:sz w:val="24"/>
                <w:szCs w:val="24"/>
                <w:lang w:eastAsia="lv-LV"/>
              </w:rPr>
            </w:pPr>
            <w:r w:rsidRPr="00C512FF">
              <w:rPr>
                <w:sz w:val="24"/>
                <w:szCs w:val="24"/>
                <w:lang w:eastAsia="lv-LV"/>
              </w:rPr>
              <w:t>3.</w:t>
            </w:r>
          </w:p>
        </w:tc>
        <w:tc>
          <w:tcPr>
            <w:tcW w:w="1053" w:type="pct"/>
          </w:tcPr>
          <w:p w14:paraId="732BD489" w14:textId="77777777" w:rsidR="000949A4" w:rsidRPr="00C512FF" w:rsidRDefault="000949A4" w:rsidP="00D9044E">
            <w:pPr>
              <w:spacing w:after="0" w:line="240" w:lineRule="auto"/>
              <w:rPr>
                <w:sz w:val="24"/>
                <w:szCs w:val="24"/>
                <w:lang w:eastAsia="lv-LV"/>
              </w:rPr>
            </w:pPr>
            <w:r w:rsidRPr="00C512FF">
              <w:rPr>
                <w:sz w:val="24"/>
                <w:szCs w:val="24"/>
                <w:lang w:eastAsia="lv-LV"/>
              </w:rPr>
              <w:t>Sabiedrības līdzdalības rezultāti</w:t>
            </w:r>
          </w:p>
        </w:tc>
        <w:tc>
          <w:tcPr>
            <w:tcW w:w="3467" w:type="pct"/>
            <w:hideMark/>
          </w:tcPr>
          <w:p w14:paraId="73858B12" w14:textId="77777777" w:rsidR="000949A4" w:rsidRPr="00C512FF" w:rsidRDefault="000949A4" w:rsidP="00D9044E">
            <w:pPr>
              <w:spacing w:after="0" w:line="240" w:lineRule="auto"/>
              <w:ind w:firstLine="609"/>
              <w:jc w:val="both"/>
              <w:rPr>
                <w:sz w:val="24"/>
                <w:szCs w:val="24"/>
                <w:lang w:eastAsia="lv-LV"/>
              </w:rPr>
            </w:pPr>
            <w:r w:rsidRPr="00C512FF">
              <w:rPr>
                <w:sz w:val="24"/>
                <w:szCs w:val="24"/>
                <w:lang w:eastAsia="lv-LV"/>
              </w:rPr>
              <w:t>Projekts šo jomu neskar.</w:t>
            </w:r>
          </w:p>
        </w:tc>
      </w:tr>
      <w:tr w:rsidR="000949A4" w:rsidRPr="00C512FF" w14:paraId="64296B37" w14:textId="77777777" w:rsidTr="00933191">
        <w:trPr>
          <w:trHeight w:val="372"/>
          <w:tblCellSpacing w:w="15" w:type="dxa"/>
          <w:jc w:val="center"/>
        </w:trPr>
        <w:tc>
          <w:tcPr>
            <w:tcW w:w="415" w:type="pct"/>
            <w:hideMark/>
          </w:tcPr>
          <w:p w14:paraId="428331A3" w14:textId="77777777" w:rsidR="000949A4" w:rsidRPr="00C512FF" w:rsidRDefault="000949A4" w:rsidP="00D9044E">
            <w:pPr>
              <w:spacing w:after="0" w:line="240" w:lineRule="auto"/>
              <w:rPr>
                <w:sz w:val="24"/>
                <w:szCs w:val="24"/>
                <w:lang w:eastAsia="lv-LV"/>
              </w:rPr>
            </w:pPr>
            <w:r w:rsidRPr="00C512FF">
              <w:rPr>
                <w:sz w:val="24"/>
                <w:szCs w:val="24"/>
                <w:lang w:eastAsia="lv-LV"/>
              </w:rPr>
              <w:t>4.</w:t>
            </w:r>
          </w:p>
        </w:tc>
        <w:tc>
          <w:tcPr>
            <w:tcW w:w="1053" w:type="pct"/>
          </w:tcPr>
          <w:p w14:paraId="3E1406CB" w14:textId="77777777" w:rsidR="000949A4" w:rsidRPr="00C512FF" w:rsidRDefault="000949A4" w:rsidP="00D9044E">
            <w:pPr>
              <w:spacing w:after="0" w:line="240" w:lineRule="auto"/>
              <w:rPr>
                <w:sz w:val="24"/>
                <w:szCs w:val="24"/>
                <w:lang w:eastAsia="lv-LV"/>
              </w:rPr>
            </w:pPr>
            <w:r w:rsidRPr="00C512FF">
              <w:rPr>
                <w:sz w:val="24"/>
                <w:szCs w:val="24"/>
                <w:lang w:eastAsia="lv-LV"/>
              </w:rPr>
              <w:t>Cita informācija</w:t>
            </w:r>
          </w:p>
        </w:tc>
        <w:tc>
          <w:tcPr>
            <w:tcW w:w="3467" w:type="pct"/>
            <w:hideMark/>
          </w:tcPr>
          <w:p w14:paraId="215565A7" w14:textId="77777777" w:rsidR="000949A4" w:rsidRPr="00C512FF" w:rsidRDefault="000949A4" w:rsidP="00D9044E">
            <w:pPr>
              <w:spacing w:before="100" w:beforeAutospacing="1" w:after="100" w:afterAutospacing="1" w:line="240" w:lineRule="auto"/>
              <w:ind w:firstLine="609"/>
              <w:jc w:val="both"/>
              <w:rPr>
                <w:sz w:val="24"/>
                <w:szCs w:val="24"/>
                <w:lang w:eastAsia="lv-LV"/>
              </w:rPr>
            </w:pPr>
            <w:r w:rsidRPr="00C512FF">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4031BFC" w14:textId="77777777" w:rsidR="00D72409" w:rsidRDefault="00D72409" w:rsidP="00CE62FF">
      <w:pPr>
        <w:spacing w:after="0" w:line="240" w:lineRule="auto"/>
        <w:rPr>
          <w:sz w:val="24"/>
          <w:szCs w:val="24"/>
          <w:lang w:eastAsia="lv-LV"/>
        </w:rPr>
      </w:pPr>
    </w:p>
    <w:p w14:paraId="265567D1" w14:textId="77777777" w:rsidR="00970338" w:rsidRDefault="00970338" w:rsidP="00CE62FF">
      <w:pPr>
        <w:spacing w:after="0" w:line="240" w:lineRule="auto"/>
        <w:rPr>
          <w:sz w:val="24"/>
          <w:szCs w:val="24"/>
          <w:lang w:eastAsia="lv-LV"/>
        </w:rPr>
      </w:pPr>
    </w:p>
    <w:p w14:paraId="18BA605C" w14:textId="77777777" w:rsidR="00933191" w:rsidRPr="00C512FF" w:rsidRDefault="00933191" w:rsidP="00CE62FF">
      <w:pPr>
        <w:spacing w:after="0" w:line="240" w:lineRule="auto"/>
        <w:rPr>
          <w:sz w:val="24"/>
          <w:szCs w:val="24"/>
          <w:lang w:eastAsia="lv-LV"/>
        </w:rPr>
      </w:pPr>
    </w:p>
    <w:tbl>
      <w:tblPr>
        <w:tblStyle w:val="TableGrid"/>
        <w:tblW w:w="0" w:type="auto"/>
        <w:tblLook w:val="04A0" w:firstRow="1" w:lastRow="0" w:firstColumn="1" w:lastColumn="0" w:noHBand="0" w:noVBand="1"/>
      </w:tblPr>
      <w:tblGrid>
        <w:gridCol w:w="675"/>
        <w:gridCol w:w="4536"/>
        <w:gridCol w:w="4076"/>
      </w:tblGrid>
      <w:tr w:rsidR="00F0471E" w:rsidRPr="00C512FF" w14:paraId="06018247" w14:textId="77777777" w:rsidTr="00F0471E">
        <w:tc>
          <w:tcPr>
            <w:tcW w:w="9287" w:type="dxa"/>
            <w:gridSpan w:val="3"/>
          </w:tcPr>
          <w:p w14:paraId="357C8B87" w14:textId="77777777" w:rsidR="00F0471E" w:rsidRPr="00C512FF" w:rsidRDefault="00F0471E" w:rsidP="00F0471E">
            <w:pPr>
              <w:jc w:val="center"/>
              <w:rPr>
                <w:sz w:val="24"/>
                <w:szCs w:val="24"/>
                <w:lang w:eastAsia="lv-LV"/>
              </w:rPr>
            </w:pPr>
            <w:r w:rsidRPr="00C512FF">
              <w:rPr>
                <w:b/>
                <w:bCs/>
                <w:sz w:val="24"/>
                <w:szCs w:val="24"/>
                <w:lang w:eastAsia="lv-LV"/>
              </w:rPr>
              <w:t>VII. Tiesību akta projekta izpildes nodrošināšana un tās ietekme uz institūcijām</w:t>
            </w:r>
          </w:p>
        </w:tc>
      </w:tr>
      <w:tr w:rsidR="00F0471E" w:rsidRPr="00C512FF" w14:paraId="31B85B7F" w14:textId="77777777" w:rsidTr="00F0471E">
        <w:tc>
          <w:tcPr>
            <w:tcW w:w="675" w:type="dxa"/>
          </w:tcPr>
          <w:p w14:paraId="02EF952B" w14:textId="77777777" w:rsidR="00F0471E" w:rsidRPr="00C512FF" w:rsidRDefault="00F0471E" w:rsidP="00E219AC">
            <w:pPr>
              <w:spacing w:before="100" w:beforeAutospacing="1" w:after="100" w:afterAutospacing="1"/>
              <w:jc w:val="both"/>
              <w:rPr>
                <w:sz w:val="24"/>
                <w:szCs w:val="24"/>
                <w:lang w:eastAsia="lv-LV"/>
              </w:rPr>
            </w:pPr>
            <w:r w:rsidRPr="00C512FF">
              <w:rPr>
                <w:sz w:val="24"/>
                <w:szCs w:val="24"/>
                <w:lang w:eastAsia="lv-LV"/>
              </w:rPr>
              <w:t>1.</w:t>
            </w:r>
          </w:p>
        </w:tc>
        <w:tc>
          <w:tcPr>
            <w:tcW w:w="4536" w:type="dxa"/>
          </w:tcPr>
          <w:p w14:paraId="3C3A4F04" w14:textId="77777777" w:rsidR="00F0471E" w:rsidRPr="00C512FF" w:rsidRDefault="00F0471E" w:rsidP="00E219AC">
            <w:pPr>
              <w:spacing w:before="100" w:beforeAutospacing="1" w:after="100" w:afterAutospacing="1"/>
              <w:jc w:val="both"/>
              <w:rPr>
                <w:sz w:val="24"/>
                <w:szCs w:val="24"/>
                <w:lang w:eastAsia="lv-LV"/>
              </w:rPr>
            </w:pPr>
            <w:r w:rsidRPr="00C512FF">
              <w:rPr>
                <w:sz w:val="24"/>
                <w:szCs w:val="24"/>
                <w:lang w:eastAsia="lv-LV"/>
              </w:rPr>
              <w:t>Projekta izpildē iesaistītās institūcijas</w:t>
            </w:r>
          </w:p>
        </w:tc>
        <w:tc>
          <w:tcPr>
            <w:tcW w:w="4076" w:type="dxa"/>
          </w:tcPr>
          <w:p w14:paraId="23F60F5E" w14:textId="77777777" w:rsidR="00F0471E" w:rsidRPr="00C512FF" w:rsidRDefault="00F712DA" w:rsidP="003E3070">
            <w:pPr>
              <w:jc w:val="both"/>
              <w:rPr>
                <w:sz w:val="24"/>
                <w:szCs w:val="24"/>
                <w:lang w:eastAsia="lv-LV"/>
              </w:rPr>
            </w:pPr>
            <w:r>
              <w:rPr>
                <w:sz w:val="24"/>
                <w:szCs w:val="24"/>
              </w:rPr>
              <w:t>FM (VNĪ</w:t>
            </w:r>
            <w:r w:rsidR="00F0471E" w:rsidRPr="00C512FF">
              <w:rPr>
                <w:sz w:val="24"/>
                <w:szCs w:val="24"/>
              </w:rPr>
              <w:t>).</w:t>
            </w:r>
          </w:p>
        </w:tc>
      </w:tr>
      <w:tr w:rsidR="00F0471E" w:rsidRPr="00C512FF" w14:paraId="0AC54296" w14:textId="77777777" w:rsidTr="005C45E0">
        <w:tc>
          <w:tcPr>
            <w:tcW w:w="675" w:type="dxa"/>
          </w:tcPr>
          <w:p w14:paraId="089AE285" w14:textId="77777777" w:rsidR="00F0471E" w:rsidRPr="00C512FF" w:rsidRDefault="00F0471E" w:rsidP="00E219AC">
            <w:pPr>
              <w:spacing w:before="100" w:beforeAutospacing="1" w:after="100" w:afterAutospacing="1"/>
              <w:jc w:val="both"/>
              <w:rPr>
                <w:sz w:val="24"/>
                <w:szCs w:val="24"/>
                <w:lang w:eastAsia="lv-LV"/>
              </w:rPr>
            </w:pPr>
            <w:r w:rsidRPr="00C512FF">
              <w:rPr>
                <w:sz w:val="24"/>
                <w:szCs w:val="24"/>
                <w:lang w:eastAsia="lv-LV"/>
              </w:rPr>
              <w:t>2.</w:t>
            </w:r>
          </w:p>
        </w:tc>
        <w:tc>
          <w:tcPr>
            <w:tcW w:w="4536" w:type="dxa"/>
          </w:tcPr>
          <w:p w14:paraId="38F0B174" w14:textId="77777777" w:rsidR="00F0471E" w:rsidRPr="00C512FF" w:rsidRDefault="00F0471E" w:rsidP="00E219AC">
            <w:pPr>
              <w:jc w:val="both"/>
              <w:rPr>
                <w:sz w:val="24"/>
                <w:szCs w:val="24"/>
                <w:lang w:eastAsia="lv-LV"/>
              </w:rPr>
            </w:pPr>
            <w:r w:rsidRPr="00C512FF">
              <w:rPr>
                <w:sz w:val="24"/>
                <w:szCs w:val="24"/>
                <w:lang w:eastAsia="lv-LV"/>
              </w:rPr>
              <w:t xml:space="preserve">Projekta izpildes ietekme uz pārvaldes funkcijām un institucionālo struktūru. </w:t>
            </w:r>
          </w:p>
          <w:p w14:paraId="04D47E45" w14:textId="77777777" w:rsidR="00F0471E" w:rsidRPr="00C512FF" w:rsidRDefault="00F0471E" w:rsidP="00E219AC">
            <w:pPr>
              <w:jc w:val="both"/>
              <w:rPr>
                <w:sz w:val="24"/>
                <w:szCs w:val="24"/>
                <w:lang w:eastAsia="lv-LV"/>
              </w:rPr>
            </w:pPr>
            <w:r w:rsidRPr="00C512FF">
              <w:rPr>
                <w:sz w:val="24"/>
                <w:szCs w:val="24"/>
                <w:lang w:eastAsia="lv-LV"/>
              </w:rPr>
              <w:t xml:space="preserve">Jaunu institūciju izveide, esošu institūciju </w:t>
            </w:r>
            <w:r w:rsidRPr="00C512FF">
              <w:rPr>
                <w:sz w:val="24"/>
                <w:szCs w:val="24"/>
                <w:lang w:eastAsia="lv-LV"/>
              </w:rPr>
              <w:lastRenderedPageBreak/>
              <w:t>likvidācija vai reorganizācija, to ietekme uz institūcijas cilvēkresursiem</w:t>
            </w:r>
          </w:p>
        </w:tc>
        <w:tc>
          <w:tcPr>
            <w:tcW w:w="4076" w:type="dxa"/>
          </w:tcPr>
          <w:p w14:paraId="66FCC959" w14:textId="77777777" w:rsidR="00F0471E" w:rsidRPr="00C512FF" w:rsidRDefault="00F0471E" w:rsidP="00E219AC">
            <w:pPr>
              <w:spacing w:before="100" w:beforeAutospacing="1" w:after="100" w:afterAutospacing="1"/>
              <w:jc w:val="both"/>
              <w:rPr>
                <w:sz w:val="24"/>
                <w:szCs w:val="24"/>
                <w:lang w:eastAsia="lv-LV"/>
              </w:rPr>
            </w:pPr>
            <w:r w:rsidRPr="00C512FF">
              <w:rPr>
                <w:sz w:val="24"/>
                <w:szCs w:val="24"/>
                <w:lang w:eastAsia="lv-LV"/>
              </w:rPr>
              <w:lastRenderedPageBreak/>
              <w:t>Projekts šo jomu neskar.</w:t>
            </w:r>
          </w:p>
        </w:tc>
      </w:tr>
      <w:tr w:rsidR="00F0471E" w:rsidRPr="00C512FF" w14:paraId="41B002AC" w14:textId="77777777" w:rsidTr="005C45E0">
        <w:tc>
          <w:tcPr>
            <w:tcW w:w="675" w:type="dxa"/>
          </w:tcPr>
          <w:p w14:paraId="4C983382" w14:textId="77777777" w:rsidR="00F0471E" w:rsidRPr="00C512FF" w:rsidRDefault="00F0471E" w:rsidP="00E219AC">
            <w:pPr>
              <w:jc w:val="both"/>
              <w:rPr>
                <w:sz w:val="24"/>
                <w:szCs w:val="24"/>
                <w:lang w:eastAsia="lv-LV"/>
              </w:rPr>
            </w:pPr>
            <w:r w:rsidRPr="00C512FF">
              <w:rPr>
                <w:sz w:val="24"/>
                <w:szCs w:val="24"/>
                <w:lang w:eastAsia="lv-LV"/>
              </w:rPr>
              <w:lastRenderedPageBreak/>
              <w:t>3.</w:t>
            </w:r>
          </w:p>
        </w:tc>
        <w:tc>
          <w:tcPr>
            <w:tcW w:w="4536" w:type="dxa"/>
          </w:tcPr>
          <w:p w14:paraId="05FCD2DA" w14:textId="77777777" w:rsidR="00F0471E" w:rsidRPr="00C512FF" w:rsidRDefault="00F0471E" w:rsidP="00E219AC">
            <w:pPr>
              <w:jc w:val="both"/>
              <w:rPr>
                <w:sz w:val="24"/>
                <w:szCs w:val="24"/>
                <w:lang w:eastAsia="lv-LV"/>
              </w:rPr>
            </w:pPr>
            <w:r w:rsidRPr="00C512FF">
              <w:rPr>
                <w:sz w:val="24"/>
                <w:szCs w:val="24"/>
                <w:lang w:eastAsia="lv-LV"/>
              </w:rPr>
              <w:t>Cita informācija</w:t>
            </w:r>
          </w:p>
        </w:tc>
        <w:tc>
          <w:tcPr>
            <w:tcW w:w="4076" w:type="dxa"/>
          </w:tcPr>
          <w:p w14:paraId="4F31B9C1" w14:textId="77777777" w:rsidR="00F0471E" w:rsidRPr="00C512FF" w:rsidRDefault="00F0471E" w:rsidP="00E219AC">
            <w:pPr>
              <w:jc w:val="both"/>
              <w:rPr>
                <w:sz w:val="24"/>
                <w:szCs w:val="24"/>
                <w:lang w:eastAsia="lv-LV"/>
              </w:rPr>
            </w:pPr>
            <w:r w:rsidRPr="00C512FF">
              <w:rPr>
                <w:sz w:val="24"/>
                <w:szCs w:val="24"/>
                <w:lang w:eastAsia="lv-LV"/>
              </w:rPr>
              <w:t>Nav.</w:t>
            </w:r>
          </w:p>
        </w:tc>
      </w:tr>
    </w:tbl>
    <w:p w14:paraId="186346FF" w14:textId="77777777" w:rsidR="00281B5D" w:rsidRPr="00C512FF" w:rsidRDefault="00281B5D" w:rsidP="00E219AC">
      <w:pPr>
        <w:spacing w:after="0" w:line="240" w:lineRule="auto"/>
        <w:jc w:val="both"/>
        <w:rPr>
          <w:sz w:val="24"/>
          <w:szCs w:val="24"/>
          <w:lang w:eastAsia="lv-LV"/>
        </w:rPr>
      </w:pPr>
    </w:p>
    <w:p w14:paraId="33A75531" w14:textId="77777777" w:rsidR="001A1014" w:rsidRPr="00C512FF" w:rsidRDefault="00163A32" w:rsidP="00E219AC">
      <w:pPr>
        <w:tabs>
          <w:tab w:val="left" w:pos="2552"/>
        </w:tabs>
        <w:spacing w:after="0" w:line="240" w:lineRule="auto"/>
        <w:jc w:val="both"/>
        <w:rPr>
          <w:bCs/>
          <w:sz w:val="24"/>
          <w:szCs w:val="24"/>
          <w:lang w:eastAsia="lv-LV"/>
        </w:rPr>
      </w:pPr>
      <w:r w:rsidRPr="00C512FF">
        <w:rPr>
          <w:bCs/>
          <w:sz w:val="24"/>
          <w:szCs w:val="24"/>
          <w:lang w:eastAsia="lv-LV"/>
        </w:rPr>
        <w:t xml:space="preserve">Anotācijas </w:t>
      </w:r>
      <w:r w:rsidR="000949A4" w:rsidRPr="00C512FF">
        <w:rPr>
          <w:bCs/>
          <w:sz w:val="24"/>
          <w:szCs w:val="24"/>
          <w:lang w:eastAsia="lv-LV"/>
        </w:rPr>
        <w:t>II</w:t>
      </w:r>
      <w:r w:rsidR="00081395">
        <w:rPr>
          <w:bCs/>
          <w:sz w:val="24"/>
          <w:szCs w:val="24"/>
          <w:lang w:eastAsia="lv-LV"/>
        </w:rPr>
        <w:t>, III, IV</w:t>
      </w:r>
      <w:r w:rsidR="000949A4" w:rsidRPr="00C512FF">
        <w:rPr>
          <w:bCs/>
          <w:sz w:val="24"/>
          <w:szCs w:val="24"/>
          <w:lang w:eastAsia="lv-LV"/>
        </w:rPr>
        <w:t xml:space="preserve"> un</w:t>
      </w:r>
      <w:r w:rsidR="008C77E2" w:rsidRPr="00C512FF">
        <w:rPr>
          <w:bCs/>
          <w:sz w:val="24"/>
          <w:szCs w:val="24"/>
          <w:lang w:eastAsia="lv-LV"/>
        </w:rPr>
        <w:t xml:space="preserve"> </w:t>
      </w:r>
      <w:r w:rsidR="00F00BC9" w:rsidRPr="00C512FF">
        <w:rPr>
          <w:bCs/>
          <w:sz w:val="24"/>
          <w:szCs w:val="24"/>
          <w:lang w:eastAsia="lv-LV"/>
        </w:rPr>
        <w:t xml:space="preserve">V </w:t>
      </w:r>
      <w:r w:rsidRPr="00C512FF">
        <w:rPr>
          <w:bCs/>
          <w:sz w:val="24"/>
          <w:szCs w:val="24"/>
          <w:lang w:eastAsia="lv-LV"/>
        </w:rPr>
        <w:t>s</w:t>
      </w:r>
      <w:r w:rsidR="001A1014" w:rsidRPr="00C512FF">
        <w:rPr>
          <w:bCs/>
          <w:sz w:val="24"/>
          <w:szCs w:val="24"/>
          <w:lang w:eastAsia="lv-LV"/>
        </w:rPr>
        <w:t>adaļa –</w:t>
      </w:r>
      <w:r w:rsidR="00726CB2" w:rsidRPr="00C512FF">
        <w:rPr>
          <w:bCs/>
          <w:sz w:val="24"/>
          <w:szCs w:val="24"/>
          <w:lang w:eastAsia="lv-LV"/>
        </w:rPr>
        <w:t xml:space="preserve"> </w:t>
      </w:r>
      <w:r w:rsidR="001A1014" w:rsidRPr="00C512FF">
        <w:rPr>
          <w:bCs/>
          <w:sz w:val="24"/>
          <w:szCs w:val="24"/>
          <w:lang w:eastAsia="lv-LV"/>
        </w:rPr>
        <w:t>projekts šīs jomas neskar.</w:t>
      </w:r>
    </w:p>
    <w:p w14:paraId="357C0740" w14:textId="77777777" w:rsidR="00F0471E" w:rsidRPr="00C512FF" w:rsidRDefault="00F0471E" w:rsidP="00281B5D">
      <w:pPr>
        <w:spacing w:after="0" w:line="240" w:lineRule="auto"/>
        <w:rPr>
          <w:sz w:val="24"/>
          <w:szCs w:val="24"/>
          <w:lang w:eastAsia="lv-LV"/>
        </w:rPr>
      </w:pPr>
    </w:p>
    <w:p w14:paraId="722F02E8" w14:textId="77777777" w:rsidR="00D9304F" w:rsidRPr="00C512FF" w:rsidRDefault="00D9304F" w:rsidP="00F25315">
      <w:pPr>
        <w:spacing w:after="0" w:line="240" w:lineRule="auto"/>
        <w:rPr>
          <w:sz w:val="24"/>
          <w:szCs w:val="24"/>
          <w:lang w:eastAsia="lv-LV"/>
        </w:rPr>
      </w:pPr>
    </w:p>
    <w:p w14:paraId="108F6443" w14:textId="77777777" w:rsidR="00D9304F" w:rsidRPr="00C512FF" w:rsidRDefault="00D9304F" w:rsidP="00F25315">
      <w:pPr>
        <w:spacing w:after="0" w:line="240" w:lineRule="auto"/>
        <w:rPr>
          <w:sz w:val="24"/>
          <w:szCs w:val="24"/>
          <w:lang w:eastAsia="lv-LV"/>
        </w:rPr>
      </w:pPr>
    </w:p>
    <w:p w14:paraId="68061A0E" w14:textId="77777777" w:rsidR="00D9304F" w:rsidRPr="00C512FF" w:rsidRDefault="00D9304F" w:rsidP="00F25315">
      <w:pPr>
        <w:spacing w:after="0" w:line="240" w:lineRule="auto"/>
        <w:rPr>
          <w:sz w:val="24"/>
          <w:szCs w:val="24"/>
          <w:lang w:eastAsia="lv-LV"/>
        </w:rPr>
      </w:pPr>
    </w:p>
    <w:p w14:paraId="4D22825F" w14:textId="77777777" w:rsidR="00281B5D" w:rsidRPr="00C512FF" w:rsidRDefault="00281B5D" w:rsidP="00F25315">
      <w:pPr>
        <w:spacing w:after="0" w:line="240" w:lineRule="auto"/>
        <w:rPr>
          <w:sz w:val="24"/>
          <w:szCs w:val="24"/>
          <w:lang w:eastAsia="lv-LV"/>
        </w:rPr>
      </w:pPr>
      <w:r w:rsidRPr="00C512FF">
        <w:rPr>
          <w:sz w:val="24"/>
          <w:szCs w:val="24"/>
          <w:lang w:eastAsia="lv-LV"/>
        </w:rPr>
        <w:t>Finanšu ministrs</w:t>
      </w:r>
      <w:r w:rsidRPr="00C512FF">
        <w:rPr>
          <w:sz w:val="24"/>
          <w:szCs w:val="24"/>
          <w:lang w:eastAsia="lv-LV"/>
        </w:rPr>
        <w:tab/>
      </w:r>
      <w:r w:rsidRPr="00C512FF">
        <w:rPr>
          <w:sz w:val="24"/>
          <w:szCs w:val="24"/>
          <w:lang w:eastAsia="lv-LV"/>
        </w:rPr>
        <w:tab/>
      </w:r>
      <w:r w:rsidRPr="00C512FF">
        <w:rPr>
          <w:sz w:val="24"/>
          <w:szCs w:val="24"/>
          <w:lang w:eastAsia="lv-LV"/>
        </w:rPr>
        <w:tab/>
      </w:r>
      <w:r w:rsidRPr="00C512FF">
        <w:rPr>
          <w:sz w:val="24"/>
          <w:szCs w:val="24"/>
          <w:lang w:eastAsia="lv-LV"/>
        </w:rPr>
        <w:tab/>
      </w:r>
      <w:r w:rsidRPr="00C512FF">
        <w:rPr>
          <w:sz w:val="24"/>
          <w:szCs w:val="24"/>
          <w:lang w:eastAsia="lv-LV"/>
        </w:rPr>
        <w:tab/>
      </w:r>
      <w:r w:rsidRPr="00C512FF">
        <w:rPr>
          <w:sz w:val="24"/>
          <w:szCs w:val="24"/>
          <w:lang w:eastAsia="lv-LV"/>
        </w:rPr>
        <w:tab/>
      </w:r>
      <w:r w:rsidRPr="00C512FF">
        <w:rPr>
          <w:sz w:val="24"/>
          <w:szCs w:val="24"/>
          <w:lang w:eastAsia="lv-LV"/>
        </w:rPr>
        <w:tab/>
      </w:r>
      <w:proofErr w:type="spellStart"/>
      <w:r w:rsidR="003E3070" w:rsidRPr="00C512FF">
        <w:rPr>
          <w:sz w:val="24"/>
          <w:szCs w:val="24"/>
          <w:lang w:eastAsia="lv-LV"/>
        </w:rPr>
        <w:t>J.Reirs</w:t>
      </w:r>
      <w:proofErr w:type="spellEnd"/>
    </w:p>
    <w:p w14:paraId="3FF056F2" w14:textId="77777777" w:rsidR="00094ECB" w:rsidRDefault="00094ECB" w:rsidP="00F0471E">
      <w:pPr>
        <w:spacing w:after="0"/>
        <w:rPr>
          <w:sz w:val="20"/>
          <w:szCs w:val="20"/>
          <w:highlight w:val="yellow"/>
        </w:rPr>
      </w:pPr>
    </w:p>
    <w:p w14:paraId="024452FE" w14:textId="77777777" w:rsidR="00D9304F" w:rsidRDefault="00D9304F" w:rsidP="00F0471E">
      <w:pPr>
        <w:spacing w:after="0"/>
        <w:rPr>
          <w:sz w:val="20"/>
          <w:szCs w:val="20"/>
          <w:highlight w:val="yellow"/>
        </w:rPr>
      </w:pPr>
    </w:p>
    <w:p w14:paraId="12307BEB" w14:textId="77777777" w:rsidR="00D9304F" w:rsidRDefault="00D9304F" w:rsidP="00F0471E">
      <w:pPr>
        <w:spacing w:after="0"/>
        <w:rPr>
          <w:sz w:val="20"/>
          <w:szCs w:val="20"/>
          <w:highlight w:val="yellow"/>
        </w:rPr>
      </w:pPr>
    </w:p>
    <w:p w14:paraId="690EAF34" w14:textId="77777777" w:rsidR="00094ECB" w:rsidRDefault="00094ECB" w:rsidP="00F0471E">
      <w:pPr>
        <w:spacing w:after="0"/>
        <w:rPr>
          <w:sz w:val="20"/>
          <w:szCs w:val="20"/>
          <w:highlight w:val="yellow"/>
        </w:rPr>
      </w:pPr>
    </w:p>
    <w:p w14:paraId="73643DA5" w14:textId="68A3CA97" w:rsidR="00F0471E" w:rsidRPr="001E38DC" w:rsidRDefault="001672FA" w:rsidP="00F0471E">
      <w:pPr>
        <w:spacing w:after="0"/>
        <w:rPr>
          <w:sz w:val="20"/>
          <w:szCs w:val="20"/>
          <w:highlight w:val="yellow"/>
        </w:rPr>
      </w:pPr>
      <w:r>
        <w:rPr>
          <w:sz w:val="20"/>
          <w:szCs w:val="20"/>
        </w:rPr>
        <w:t>1</w:t>
      </w:r>
      <w:r w:rsidR="00EE7894">
        <w:rPr>
          <w:sz w:val="20"/>
          <w:szCs w:val="20"/>
        </w:rPr>
        <w:t>1</w:t>
      </w:r>
      <w:r w:rsidR="00087621">
        <w:rPr>
          <w:sz w:val="20"/>
          <w:szCs w:val="20"/>
        </w:rPr>
        <w:t>.12</w:t>
      </w:r>
      <w:r w:rsidR="00E03EDE" w:rsidRPr="000949A4">
        <w:rPr>
          <w:sz w:val="20"/>
          <w:szCs w:val="20"/>
        </w:rPr>
        <w:t>.2015</w:t>
      </w:r>
      <w:r w:rsidR="00F0471E" w:rsidRPr="000949A4">
        <w:rPr>
          <w:sz w:val="20"/>
          <w:szCs w:val="20"/>
        </w:rPr>
        <w:t xml:space="preserve">. </w:t>
      </w:r>
      <w:r w:rsidR="00081395">
        <w:rPr>
          <w:sz w:val="20"/>
          <w:szCs w:val="20"/>
        </w:rPr>
        <w:t>1</w:t>
      </w:r>
      <w:r w:rsidR="00EE7894">
        <w:rPr>
          <w:sz w:val="20"/>
          <w:szCs w:val="20"/>
        </w:rPr>
        <w:t>0</w:t>
      </w:r>
      <w:r w:rsidR="00F0471E" w:rsidRPr="000949A4">
        <w:rPr>
          <w:sz w:val="20"/>
          <w:szCs w:val="20"/>
        </w:rPr>
        <w:t>:</w:t>
      </w:r>
      <w:r w:rsidR="001D45A6">
        <w:rPr>
          <w:sz w:val="20"/>
          <w:szCs w:val="20"/>
        </w:rPr>
        <w:t>4</w:t>
      </w:r>
      <w:r w:rsidR="00EE7894">
        <w:rPr>
          <w:sz w:val="20"/>
          <w:szCs w:val="20"/>
        </w:rPr>
        <w:t>0</w:t>
      </w:r>
    </w:p>
    <w:p w14:paraId="679DE863" w14:textId="08DF07F0" w:rsidR="00F0471E" w:rsidRPr="00E41546" w:rsidRDefault="00081395" w:rsidP="00AB2CBE">
      <w:pPr>
        <w:pStyle w:val="PlainText"/>
        <w:tabs>
          <w:tab w:val="left" w:pos="7200"/>
          <w:tab w:val="right" w:pos="9072"/>
        </w:tabs>
        <w:jc w:val="both"/>
        <w:rPr>
          <w:rFonts w:ascii="Times New Roman" w:hAnsi="Times New Roman"/>
          <w:sz w:val="20"/>
        </w:rPr>
      </w:pPr>
      <w:r>
        <w:rPr>
          <w:rFonts w:ascii="Times New Roman" w:hAnsi="Times New Roman"/>
          <w:sz w:val="20"/>
        </w:rPr>
        <w:t>1</w:t>
      </w:r>
      <w:r w:rsidR="00933191">
        <w:rPr>
          <w:rFonts w:ascii="Times New Roman" w:hAnsi="Times New Roman"/>
          <w:sz w:val="20"/>
        </w:rPr>
        <w:t>4</w:t>
      </w:r>
      <w:r w:rsidR="00EE7894">
        <w:rPr>
          <w:rFonts w:ascii="Times New Roman" w:hAnsi="Times New Roman"/>
          <w:sz w:val="20"/>
        </w:rPr>
        <w:t>93</w:t>
      </w:r>
      <w:bookmarkStart w:id="0" w:name="_GoBack"/>
      <w:bookmarkEnd w:id="0"/>
    </w:p>
    <w:p w14:paraId="2FE90B23" w14:textId="77777777" w:rsidR="00AB2CBE" w:rsidRPr="007022C6" w:rsidRDefault="00AB2CBE" w:rsidP="00AB2CBE">
      <w:pPr>
        <w:pStyle w:val="Header"/>
        <w:tabs>
          <w:tab w:val="clear" w:pos="4153"/>
          <w:tab w:val="clear" w:pos="8306"/>
        </w:tabs>
        <w:spacing w:after="0"/>
        <w:rPr>
          <w:sz w:val="20"/>
          <w:szCs w:val="20"/>
        </w:rPr>
      </w:pPr>
      <w:proofErr w:type="spellStart"/>
      <w:r>
        <w:rPr>
          <w:sz w:val="20"/>
          <w:szCs w:val="20"/>
        </w:rPr>
        <w:t>L.Kokorēviča</w:t>
      </w:r>
      <w:proofErr w:type="spellEnd"/>
    </w:p>
    <w:p w14:paraId="1A5D0A25" w14:textId="77777777" w:rsidR="00AB2CBE" w:rsidRDefault="00AB2CBE" w:rsidP="00AB2CBE">
      <w:pPr>
        <w:pStyle w:val="Header"/>
        <w:tabs>
          <w:tab w:val="clear" w:pos="4153"/>
          <w:tab w:val="clear" w:pos="8306"/>
        </w:tabs>
        <w:spacing w:after="0"/>
        <w:rPr>
          <w:sz w:val="20"/>
          <w:szCs w:val="20"/>
        </w:rPr>
      </w:pPr>
      <w:bookmarkStart w:id="1" w:name="OLE_LINK7"/>
      <w:bookmarkStart w:id="2" w:name="OLE_LINK8"/>
      <w:bookmarkStart w:id="3" w:name="OLE_LINK11"/>
      <w:bookmarkStart w:id="4" w:name="OLE_LINK12"/>
      <w:r w:rsidRPr="007022C6">
        <w:rPr>
          <w:sz w:val="20"/>
          <w:szCs w:val="20"/>
        </w:rPr>
        <w:t>67024</w:t>
      </w:r>
      <w:bookmarkEnd w:id="1"/>
      <w:bookmarkEnd w:id="2"/>
      <w:r>
        <w:rPr>
          <w:sz w:val="20"/>
          <w:szCs w:val="20"/>
        </w:rPr>
        <w:t>955</w:t>
      </w:r>
      <w:r w:rsidRPr="007022C6">
        <w:rPr>
          <w:sz w:val="20"/>
          <w:szCs w:val="20"/>
        </w:rPr>
        <w:t xml:space="preserve">, </w:t>
      </w:r>
      <w:bookmarkStart w:id="5" w:name="OLE_LINK9"/>
      <w:bookmarkStart w:id="6" w:name="OLE_LINK10"/>
      <w:r w:rsidR="00663D7F">
        <w:rPr>
          <w:sz w:val="20"/>
          <w:szCs w:val="20"/>
        </w:rPr>
        <w:fldChar w:fldCharType="begin"/>
      </w:r>
      <w:r>
        <w:rPr>
          <w:sz w:val="20"/>
          <w:szCs w:val="20"/>
        </w:rPr>
        <w:instrText xml:space="preserve"> HYPERLINK "mailto:</w:instrText>
      </w:r>
      <w:r w:rsidRPr="008E2671">
        <w:rPr>
          <w:sz w:val="20"/>
          <w:szCs w:val="20"/>
        </w:rPr>
        <w:instrText>Lita.Kokorevica@vni.lv</w:instrText>
      </w:r>
      <w:r>
        <w:rPr>
          <w:sz w:val="20"/>
          <w:szCs w:val="20"/>
        </w:rPr>
        <w:instrText xml:space="preserve">" </w:instrText>
      </w:r>
      <w:r w:rsidR="00663D7F">
        <w:rPr>
          <w:sz w:val="20"/>
          <w:szCs w:val="20"/>
        </w:rPr>
        <w:fldChar w:fldCharType="separate"/>
      </w:r>
      <w:r w:rsidRPr="00806BEE">
        <w:rPr>
          <w:rStyle w:val="Hyperlink"/>
          <w:sz w:val="20"/>
          <w:szCs w:val="20"/>
        </w:rPr>
        <w:t>Lita.Kokorevica@vni.lv</w:t>
      </w:r>
      <w:bookmarkEnd w:id="5"/>
      <w:bookmarkEnd w:id="6"/>
      <w:r w:rsidR="00663D7F">
        <w:rPr>
          <w:sz w:val="20"/>
          <w:szCs w:val="20"/>
        </w:rPr>
        <w:fldChar w:fldCharType="end"/>
      </w:r>
      <w:bookmarkEnd w:id="3"/>
      <w:bookmarkEnd w:id="4"/>
    </w:p>
    <w:p w14:paraId="7E5AEB67" w14:textId="77777777" w:rsidR="002E66A7" w:rsidRPr="002E66A7" w:rsidRDefault="002E66A7" w:rsidP="00AB2CBE">
      <w:pPr>
        <w:spacing w:after="0" w:line="240" w:lineRule="auto"/>
        <w:rPr>
          <w:sz w:val="24"/>
          <w:szCs w:val="24"/>
        </w:rPr>
      </w:pPr>
    </w:p>
    <w:sectPr w:rsidR="002E66A7" w:rsidRPr="002E66A7" w:rsidSect="00C512FF">
      <w:headerReference w:type="even" r:id="rId9"/>
      <w:headerReference w:type="default" r:id="rId10"/>
      <w:footerReference w:type="default" r:id="rId11"/>
      <w:footerReference w:type="first" r:id="rId12"/>
      <w:pgSz w:w="11906" w:h="16838"/>
      <w:pgMar w:top="1134" w:right="1134" w:bottom="992" w:left="1701" w:header="709" w:footer="408"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202C17" w15:done="0"/>
  <w15:commentEx w15:paraId="444841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2D471" w14:textId="77777777" w:rsidR="000C772C" w:rsidRDefault="000C772C" w:rsidP="00F02ADC">
      <w:pPr>
        <w:spacing w:after="0" w:line="240" w:lineRule="auto"/>
      </w:pPr>
      <w:r>
        <w:separator/>
      </w:r>
    </w:p>
  </w:endnote>
  <w:endnote w:type="continuationSeparator" w:id="0">
    <w:p w14:paraId="7708876D" w14:textId="77777777" w:rsidR="000C772C" w:rsidRDefault="000C772C"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C104" w14:textId="343CA02F" w:rsidR="000C772C" w:rsidRPr="001E5481" w:rsidRDefault="00933191" w:rsidP="00300F61">
    <w:pPr>
      <w:pStyle w:val="Footer"/>
      <w:spacing w:after="0" w:line="240" w:lineRule="auto"/>
      <w:jc w:val="both"/>
      <w:rPr>
        <w:sz w:val="16"/>
        <w:szCs w:val="16"/>
      </w:rPr>
    </w:pPr>
    <w:fldSimple w:instr=" FILENAME   \* MERGEFORMAT ">
      <w:r w:rsidRPr="00933191">
        <w:rPr>
          <w:noProof/>
          <w:sz w:val="16"/>
          <w:szCs w:val="16"/>
        </w:rPr>
        <w:t>FMAnot_241115_VIDsaistibas</w:t>
      </w:r>
    </w:fldSimple>
    <w:r w:rsidR="000C772C" w:rsidRPr="001E5481">
      <w:rPr>
        <w:sz w:val="16"/>
        <w:szCs w:val="16"/>
      </w:rPr>
      <w:t>; Ministru kabineta rīkojuma projekta „</w:t>
    </w:r>
    <w:r w:rsidR="000C772C" w:rsidRPr="001A4BC0">
      <w:rPr>
        <w:sz w:val="16"/>
        <w:szCs w:val="16"/>
      </w:rPr>
      <w:t>Grozījums Ministru kabineta 2012.gada 24.augusta rīkojumā Nr.411 „Par finansējuma piešķiršanu Fin</w:t>
    </w:r>
    <w:r w:rsidR="000C772C">
      <w:rPr>
        <w:sz w:val="16"/>
        <w:szCs w:val="16"/>
      </w:rPr>
      <w:t>anšu ministrijai Valsts ieņēmumu</w:t>
    </w:r>
    <w:r w:rsidR="000C772C" w:rsidRPr="001A4BC0">
      <w:rPr>
        <w:sz w:val="16"/>
        <w:szCs w:val="16"/>
      </w:rPr>
      <w:t xml:space="preserve"> dienesta administratīvās ēkas Talejas ielā 1, Rīgā, telpu nomas maksas, aprīkojuma iegādes, pārcelšanās un uzturēšanas izdevumu segšanai”</w:t>
    </w:r>
    <w:r w:rsidR="000C772C">
      <w:rPr>
        <w:sz w:val="16"/>
        <w:szCs w:val="16"/>
      </w:rPr>
      <w:t xml:space="preserve"> </w:t>
    </w:r>
    <w:r w:rsidR="000C772C" w:rsidRPr="001E5481">
      <w:rPr>
        <w:sz w:val="16"/>
        <w:szCs w:val="16"/>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73BA2" w14:textId="097FE7C1" w:rsidR="000C772C" w:rsidRPr="001E5481" w:rsidRDefault="00933191" w:rsidP="007B54AB">
    <w:pPr>
      <w:pStyle w:val="Footer"/>
      <w:spacing w:after="0" w:line="240" w:lineRule="auto"/>
      <w:jc w:val="both"/>
      <w:rPr>
        <w:sz w:val="16"/>
        <w:szCs w:val="16"/>
      </w:rPr>
    </w:pPr>
    <w:fldSimple w:instr=" FILENAME   \* MERGEFORMAT ">
      <w:r w:rsidRPr="00933191">
        <w:rPr>
          <w:noProof/>
          <w:sz w:val="16"/>
          <w:szCs w:val="16"/>
        </w:rPr>
        <w:t>FMAnot_241115_VIDsaistibas</w:t>
      </w:r>
    </w:fldSimple>
    <w:r w:rsidR="000C772C" w:rsidRPr="001E5481">
      <w:rPr>
        <w:sz w:val="16"/>
        <w:szCs w:val="16"/>
      </w:rPr>
      <w:t xml:space="preserve">; Ministru kabineta rīkojuma projekta </w:t>
    </w:r>
    <w:r w:rsidR="000C772C" w:rsidRPr="001A4BC0">
      <w:rPr>
        <w:sz w:val="16"/>
        <w:szCs w:val="16"/>
      </w:rPr>
      <w:t>Grozījums Ministru kabineta 2012.gada 24.augusta rīkojumā Nr.411 „Par finansējuma piešķiršanu Fin</w:t>
    </w:r>
    <w:r w:rsidR="000C772C">
      <w:rPr>
        <w:sz w:val="16"/>
        <w:szCs w:val="16"/>
      </w:rPr>
      <w:t>anšu ministrijai Valsts ieņēmumu</w:t>
    </w:r>
    <w:r w:rsidR="000C772C" w:rsidRPr="001A4BC0">
      <w:rPr>
        <w:sz w:val="16"/>
        <w:szCs w:val="16"/>
      </w:rPr>
      <w:t xml:space="preserve"> dienesta administratīvās ēkas Talejas ielā 1, Rīgā, telpu nomas maksas, aprīkojuma iegādes, pārcelšanās un uzturēšanas izdevumu segšanai”</w:t>
    </w:r>
    <w:r w:rsidR="000C772C" w:rsidRPr="001E5481">
      <w:rPr>
        <w:sz w:val="16"/>
        <w:szCs w:val="16"/>
      </w:rPr>
      <w:t xml:space="preserve">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34524" w14:textId="77777777" w:rsidR="000C772C" w:rsidRDefault="000C772C" w:rsidP="00F02ADC">
      <w:pPr>
        <w:spacing w:after="0" w:line="240" w:lineRule="auto"/>
      </w:pPr>
      <w:r>
        <w:separator/>
      </w:r>
    </w:p>
  </w:footnote>
  <w:footnote w:type="continuationSeparator" w:id="0">
    <w:p w14:paraId="634F1716" w14:textId="77777777" w:rsidR="000C772C" w:rsidRDefault="000C772C"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479F1" w14:textId="77777777" w:rsidR="000C772C" w:rsidRDefault="000C772C"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6DDA2" w14:textId="77777777" w:rsidR="000C772C" w:rsidRDefault="000C7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67EED" w14:textId="77777777" w:rsidR="000C772C" w:rsidRPr="00E219AC" w:rsidRDefault="000C772C" w:rsidP="007B54AB">
    <w:pPr>
      <w:pStyle w:val="Header"/>
      <w:framePr w:wrap="around" w:vAnchor="text" w:hAnchor="margin" w:xAlign="center" w:y="1"/>
      <w:rPr>
        <w:rStyle w:val="PageNumber"/>
        <w:sz w:val="24"/>
        <w:szCs w:val="24"/>
      </w:rPr>
    </w:pPr>
    <w:r w:rsidRPr="00E219AC">
      <w:rPr>
        <w:rStyle w:val="PageNumber"/>
        <w:sz w:val="24"/>
        <w:szCs w:val="24"/>
      </w:rPr>
      <w:fldChar w:fldCharType="begin"/>
    </w:r>
    <w:r w:rsidRPr="00E219AC">
      <w:rPr>
        <w:rStyle w:val="PageNumber"/>
        <w:sz w:val="24"/>
        <w:szCs w:val="24"/>
      </w:rPr>
      <w:instrText xml:space="preserve">PAGE  </w:instrText>
    </w:r>
    <w:r w:rsidRPr="00E219AC">
      <w:rPr>
        <w:rStyle w:val="PageNumber"/>
        <w:sz w:val="24"/>
        <w:szCs w:val="24"/>
      </w:rPr>
      <w:fldChar w:fldCharType="separate"/>
    </w:r>
    <w:r w:rsidR="00EE7894">
      <w:rPr>
        <w:rStyle w:val="PageNumber"/>
        <w:noProof/>
        <w:sz w:val="24"/>
        <w:szCs w:val="24"/>
      </w:rPr>
      <w:t>5</w:t>
    </w:r>
    <w:r w:rsidRPr="00E219AC">
      <w:rPr>
        <w:rStyle w:val="PageNumber"/>
        <w:sz w:val="24"/>
        <w:szCs w:val="24"/>
      </w:rPr>
      <w:fldChar w:fldCharType="end"/>
    </w:r>
  </w:p>
  <w:p w14:paraId="50C0419C" w14:textId="77777777" w:rsidR="000C772C" w:rsidRDefault="000C7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
    <w:nsid w:val="12957ECA"/>
    <w:multiLevelType w:val="hybridMultilevel"/>
    <w:tmpl w:val="68F4BF3E"/>
    <w:lvl w:ilvl="0" w:tplc="65920840">
      <w:start w:val="1"/>
      <w:numFmt w:val="decimal"/>
      <w:lvlText w:val="%1."/>
      <w:lvlJc w:val="left"/>
      <w:pPr>
        <w:ind w:left="420" w:hanging="360"/>
      </w:pPr>
      <w:rPr>
        <w:rFonts w:ascii="Times New Roman" w:eastAsia="Times New Roman"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16C24CA7"/>
    <w:multiLevelType w:val="hybridMultilevel"/>
    <w:tmpl w:val="5DDAD77A"/>
    <w:lvl w:ilvl="0" w:tplc="09F2E5EE">
      <w:start w:val="20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1B5C3E"/>
    <w:multiLevelType w:val="hybridMultilevel"/>
    <w:tmpl w:val="24CC2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A40761"/>
    <w:multiLevelType w:val="hybridMultilevel"/>
    <w:tmpl w:val="A6941B32"/>
    <w:lvl w:ilvl="0" w:tplc="1046926C">
      <w:start w:val="1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8">
    <w:nsid w:val="479A1421"/>
    <w:multiLevelType w:val="hybridMultilevel"/>
    <w:tmpl w:val="156E5CDA"/>
    <w:lvl w:ilvl="0" w:tplc="B574AD72">
      <w:start w:val="1"/>
      <w:numFmt w:val="decimal"/>
      <w:lvlText w:val="%1)"/>
      <w:lvlJc w:val="left"/>
      <w:pPr>
        <w:ind w:left="833" w:hanging="360"/>
      </w:pPr>
      <w:rPr>
        <w:rFonts w:ascii="Times New Roman" w:eastAsia="Times New Roman" w:hAnsi="Times New Roman" w:cs="Times New Roman"/>
        <w:sz w:val="24"/>
        <w:szCs w:val="24"/>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9">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0">
    <w:nsid w:val="6EF62125"/>
    <w:multiLevelType w:val="hybridMultilevel"/>
    <w:tmpl w:val="77BE3FBA"/>
    <w:lvl w:ilvl="0" w:tplc="4ACCC7FA">
      <w:start w:val="1"/>
      <w:numFmt w:val="bullet"/>
      <w:lvlText w:val=""/>
      <w:lvlJc w:val="left"/>
      <w:pPr>
        <w:ind w:left="1258"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1">
    <w:nsid w:val="6F5B455E"/>
    <w:multiLevelType w:val="multilevel"/>
    <w:tmpl w:val="9A1A443E"/>
    <w:lvl w:ilvl="0">
      <w:start w:val="1"/>
      <w:numFmt w:val="decimal"/>
      <w:lvlText w:val="%1."/>
      <w:lvlJc w:val="left"/>
      <w:pPr>
        <w:ind w:left="502" w:hanging="360"/>
      </w:pPr>
      <w:rPr>
        <w:rFonts w:cs="Times New Roman"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70B1797C"/>
    <w:multiLevelType w:val="hybridMultilevel"/>
    <w:tmpl w:val="A20E7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96F5EAC"/>
    <w:multiLevelType w:val="hybridMultilevel"/>
    <w:tmpl w:val="1EEEDBDE"/>
    <w:lvl w:ilvl="0" w:tplc="75082FD6">
      <w:start w:val="1"/>
      <w:numFmt w:val="decimal"/>
      <w:lvlText w:val="%1."/>
      <w:lvlJc w:val="left"/>
      <w:pPr>
        <w:ind w:left="421" w:hanging="360"/>
      </w:pPr>
      <w:rPr>
        <w:rFonts w:ascii="Times New Roman" w:eastAsia="Calibri" w:hAnsi="Times New Roman" w:cs="Times New Roman"/>
      </w:rPr>
    </w:lvl>
    <w:lvl w:ilvl="1" w:tplc="04260019" w:tentative="1">
      <w:start w:val="1"/>
      <w:numFmt w:val="lowerLetter"/>
      <w:lvlText w:val="%2."/>
      <w:lvlJc w:val="left"/>
      <w:pPr>
        <w:ind w:left="1141" w:hanging="360"/>
      </w:pPr>
    </w:lvl>
    <w:lvl w:ilvl="2" w:tplc="0426001B" w:tentative="1">
      <w:start w:val="1"/>
      <w:numFmt w:val="lowerRoman"/>
      <w:lvlText w:val="%3."/>
      <w:lvlJc w:val="right"/>
      <w:pPr>
        <w:ind w:left="1861" w:hanging="180"/>
      </w:pPr>
    </w:lvl>
    <w:lvl w:ilvl="3" w:tplc="0426000F" w:tentative="1">
      <w:start w:val="1"/>
      <w:numFmt w:val="decimal"/>
      <w:lvlText w:val="%4."/>
      <w:lvlJc w:val="left"/>
      <w:pPr>
        <w:ind w:left="2581" w:hanging="360"/>
      </w:pPr>
    </w:lvl>
    <w:lvl w:ilvl="4" w:tplc="04260019" w:tentative="1">
      <w:start w:val="1"/>
      <w:numFmt w:val="lowerLetter"/>
      <w:lvlText w:val="%5."/>
      <w:lvlJc w:val="left"/>
      <w:pPr>
        <w:ind w:left="3301" w:hanging="360"/>
      </w:pPr>
    </w:lvl>
    <w:lvl w:ilvl="5" w:tplc="0426001B" w:tentative="1">
      <w:start w:val="1"/>
      <w:numFmt w:val="lowerRoman"/>
      <w:lvlText w:val="%6."/>
      <w:lvlJc w:val="right"/>
      <w:pPr>
        <w:ind w:left="4021" w:hanging="180"/>
      </w:pPr>
    </w:lvl>
    <w:lvl w:ilvl="6" w:tplc="0426000F" w:tentative="1">
      <w:start w:val="1"/>
      <w:numFmt w:val="decimal"/>
      <w:lvlText w:val="%7."/>
      <w:lvlJc w:val="left"/>
      <w:pPr>
        <w:ind w:left="4741" w:hanging="360"/>
      </w:pPr>
    </w:lvl>
    <w:lvl w:ilvl="7" w:tplc="04260019" w:tentative="1">
      <w:start w:val="1"/>
      <w:numFmt w:val="lowerLetter"/>
      <w:lvlText w:val="%8."/>
      <w:lvlJc w:val="left"/>
      <w:pPr>
        <w:ind w:left="5461" w:hanging="360"/>
      </w:pPr>
    </w:lvl>
    <w:lvl w:ilvl="8" w:tplc="0426001B" w:tentative="1">
      <w:start w:val="1"/>
      <w:numFmt w:val="lowerRoman"/>
      <w:lvlText w:val="%9."/>
      <w:lvlJc w:val="right"/>
      <w:pPr>
        <w:ind w:left="6181" w:hanging="180"/>
      </w:pPr>
    </w:lvl>
  </w:abstractNum>
  <w:abstractNum w:abstractNumId="15">
    <w:nsid w:val="7CF87ACF"/>
    <w:multiLevelType w:val="hybridMultilevel"/>
    <w:tmpl w:val="5360DEE0"/>
    <w:lvl w:ilvl="0" w:tplc="C268C0AE">
      <w:start w:val="1"/>
      <w:numFmt w:val="bullet"/>
      <w:lvlText w:val="-"/>
      <w:lvlJc w:val="left"/>
      <w:pPr>
        <w:ind w:left="1258" w:hanging="360"/>
      </w:pPr>
      <w:rPr>
        <w:rFonts w:ascii="Times New Roman" w:eastAsia="Times New Roman" w:hAnsi="Times New Roman" w:cs="Times New Roman"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6">
    <w:nsid w:val="7D69712F"/>
    <w:multiLevelType w:val="hybridMultilevel"/>
    <w:tmpl w:val="9F8E8D10"/>
    <w:lvl w:ilvl="0" w:tplc="7F24E6D8">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17">
    <w:nsid w:val="7EC05A7A"/>
    <w:multiLevelType w:val="hybridMultilevel"/>
    <w:tmpl w:val="790AE692"/>
    <w:lvl w:ilvl="0" w:tplc="C268C0AE">
      <w:start w:val="1"/>
      <w:numFmt w:val="bullet"/>
      <w:lvlText w:val="-"/>
      <w:lvlJc w:val="left"/>
      <w:pPr>
        <w:ind w:left="1083" w:hanging="360"/>
      </w:pPr>
      <w:rPr>
        <w:rFonts w:ascii="Times New Roman" w:eastAsia="Times New Roman" w:hAnsi="Times New Roman" w:cs="Times New Roman"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8"/>
  </w:num>
  <w:num w:numId="6">
    <w:abstractNumId w:val="13"/>
  </w:num>
  <w:num w:numId="7">
    <w:abstractNumId w:val="16"/>
  </w:num>
  <w:num w:numId="8">
    <w:abstractNumId w:val="1"/>
  </w:num>
  <w:num w:numId="9">
    <w:abstractNumId w:val="17"/>
  </w:num>
  <w:num w:numId="10">
    <w:abstractNumId w:val="14"/>
  </w:num>
  <w:num w:numId="11">
    <w:abstractNumId w:val="15"/>
  </w:num>
  <w:num w:numId="12">
    <w:abstractNumId w:val="10"/>
  </w:num>
  <w:num w:numId="13">
    <w:abstractNumId w:val="2"/>
  </w:num>
  <w:num w:numId="14">
    <w:abstractNumId w:val="11"/>
  </w:num>
  <w:num w:numId="15">
    <w:abstractNumId w:val="0"/>
  </w:num>
  <w:num w:numId="16">
    <w:abstractNumId w:val="4"/>
  </w:num>
  <w:num w:numId="17">
    <w:abstractNumId w:val="12"/>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īne Ālmane">
    <w15:presenceInfo w15:providerId="None" w15:userId="Sabīne Āl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D"/>
    <w:rsid w:val="00000FF6"/>
    <w:rsid w:val="00002909"/>
    <w:rsid w:val="000040F2"/>
    <w:rsid w:val="0000699E"/>
    <w:rsid w:val="000101CB"/>
    <w:rsid w:val="00011172"/>
    <w:rsid w:val="00027CCB"/>
    <w:rsid w:val="00027FDA"/>
    <w:rsid w:val="000445A0"/>
    <w:rsid w:val="00057315"/>
    <w:rsid w:val="00064A4D"/>
    <w:rsid w:val="00065E77"/>
    <w:rsid w:val="00081395"/>
    <w:rsid w:val="00081811"/>
    <w:rsid w:val="000839E1"/>
    <w:rsid w:val="0008444E"/>
    <w:rsid w:val="00086AF4"/>
    <w:rsid w:val="00087621"/>
    <w:rsid w:val="00087866"/>
    <w:rsid w:val="000942F1"/>
    <w:rsid w:val="000949A4"/>
    <w:rsid w:val="00094ECB"/>
    <w:rsid w:val="000A2592"/>
    <w:rsid w:val="000A3A2C"/>
    <w:rsid w:val="000A3A7E"/>
    <w:rsid w:val="000A5FA4"/>
    <w:rsid w:val="000C2B97"/>
    <w:rsid w:val="000C772C"/>
    <w:rsid w:val="000D4F91"/>
    <w:rsid w:val="000D7AF5"/>
    <w:rsid w:val="000E29CE"/>
    <w:rsid w:val="000E3D08"/>
    <w:rsid w:val="000F103F"/>
    <w:rsid w:val="000F18C0"/>
    <w:rsid w:val="000F376A"/>
    <w:rsid w:val="000F59A6"/>
    <w:rsid w:val="001026DE"/>
    <w:rsid w:val="00104291"/>
    <w:rsid w:val="00104A43"/>
    <w:rsid w:val="00114B94"/>
    <w:rsid w:val="001204BE"/>
    <w:rsid w:val="00122715"/>
    <w:rsid w:val="00126CB4"/>
    <w:rsid w:val="00131064"/>
    <w:rsid w:val="00131424"/>
    <w:rsid w:val="00133F6C"/>
    <w:rsid w:val="00144E31"/>
    <w:rsid w:val="00151716"/>
    <w:rsid w:val="001563F8"/>
    <w:rsid w:val="00162FA0"/>
    <w:rsid w:val="00163893"/>
    <w:rsid w:val="00163A32"/>
    <w:rsid w:val="001667F4"/>
    <w:rsid w:val="001672FA"/>
    <w:rsid w:val="00171830"/>
    <w:rsid w:val="00171B4A"/>
    <w:rsid w:val="001731ED"/>
    <w:rsid w:val="00174658"/>
    <w:rsid w:val="00182AAF"/>
    <w:rsid w:val="001846E0"/>
    <w:rsid w:val="00184759"/>
    <w:rsid w:val="00187F06"/>
    <w:rsid w:val="00193A32"/>
    <w:rsid w:val="00195932"/>
    <w:rsid w:val="00196D29"/>
    <w:rsid w:val="001A1014"/>
    <w:rsid w:val="001A2B60"/>
    <w:rsid w:val="001A2E2E"/>
    <w:rsid w:val="001A4BC0"/>
    <w:rsid w:val="001A6645"/>
    <w:rsid w:val="001B113F"/>
    <w:rsid w:val="001B79C6"/>
    <w:rsid w:val="001C20AF"/>
    <w:rsid w:val="001C666A"/>
    <w:rsid w:val="001D0C42"/>
    <w:rsid w:val="001D0DC1"/>
    <w:rsid w:val="001D1218"/>
    <w:rsid w:val="001D3BF7"/>
    <w:rsid w:val="001D45A6"/>
    <w:rsid w:val="001D5858"/>
    <w:rsid w:val="001E10F6"/>
    <w:rsid w:val="001E1CE2"/>
    <w:rsid w:val="001E38DC"/>
    <w:rsid w:val="001E3F53"/>
    <w:rsid w:val="001E5481"/>
    <w:rsid w:val="001E6508"/>
    <w:rsid w:val="001F45CA"/>
    <w:rsid w:val="001F75F6"/>
    <w:rsid w:val="00200DE8"/>
    <w:rsid w:val="0020791A"/>
    <w:rsid w:val="00210E04"/>
    <w:rsid w:val="0021168F"/>
    <w:rsid w:val="00226BA5"/>
    <w:rsid w:val="00232565"/>
    <w:rsid w:val="0024025A"/>
    <w:rsid w:val="00243DDB"/>
    <w:rsid w:val="00244731"/>
    <w:rsid w:val="002508E7"/>
    <w:rsid w:val="00262B98"/>
    <w:rsid w:val="00262CDB"/>
    <w:rsid w:val="00265A1A"/>
    <w:rsid w:val="00275BB7"/>
    <w:rsid w:val="00276B0E"/>
    <w:rsid w:val="00277AC5"/>
    <w:rsid w:val="00281B5D"/>
    <w:rsid w:val="00295C5E"/>
    <w:rsid w:val="0029710A"/>
    <w:rsid w:val="00297F0E"/>
    <w:rsid w:val="002A03C2"/>
    <w:rsid w:val="002A139E"/>
    <w:rsid w:val="002A7F12"/>
    <w:rsid w:val="002B3308"/>
    <w:rsid w:val="002C23FE"/>
    <w:rsid w:val="002C29B4"/>
    <w:rsid w:val="002D32A1"/>
    <w:rsid w:val="002D3B30"/>
    <w:rsid w:val="002E26C0"/>
    <w:rsid w:val="002E66A7"/>
    <w:rsid w:val="002F036D"/>
    <w:rsid w:val="002F05DC"/>
    <w:rsid w:val="002F41A8"/>
    <w:rsid w:val="00300F61"/>
    <w:rsid w:val="00304620"/>
    <w:rsid w:val="00310385"/>
    <w:rsid w:val="00312E33"/>
    <w:rsid w:val="003169CD"/>
    <w:rsid w:val="00320053"/>
    <w:rsid w:val="00321E05"/>
    <w:rsid w:val="00326F96"/>
    <w:rsid w:val="00327C38"/>
    <w:rsid w:val="00331CD3"/>
    <w:rsid w:val="00334849"/>
    <w:rsid w:val="00334921"/>
    <w:rsid w:val="00337A24"/>
    <w:rsid w:val="00342B65"/>
    <w:rsid w:val="00344E67"/>
    <w:rsid w:val="003454C7"/>
    <w:rsid w:val="00347802"/>
    <w:rsid w:val="0035118F"/>
    <w:rsid w:val="00354D07"/>
    <w:rsid w:val="00356F4D"/>
    <w:rsid w:val="0036201D"/>
    <w:rsid w:val="00364499"/>
    <w:rsid w:val="003740F3"/>
    <w:rsid w:val="00380085"/>
    <w:rsid w:val="00385395"/>
    <w:rsid w:val="0038783B"/>
    <w:rsid w:val="00390D9D"/>
    <w:rsid w:val="0039271F"/>
    <w:rsid w:val="003956FF"/>
    <w:rsid w:val="003B30EA"/>
    <w:rsid w:val="003C150D"/>
    <w:rsid w:val="003C6E5A"/>
    <w:rsid w:val="003C7792"/>
    <w:rsid w:val="003D1F88"/>
    <w:rsid w:val="003D2FF7"/>
    <w:rsid w:val="003E0F50"/>
    <w:rsid w:val="003E2ED5"/>
    <w:rsid w:val="003E3070"/>
    <w:rsid w:val="003E4BB2"/>
    <w:rsid w:val="003F4D02"/>
    <w:rsid w:val="0040314B"/>
    <w:rsid w:val="00415CC0"/>
    <w:rsid w:val="00424C93"/>
    <w:rsid w:val="00424EE4"/>
    <w:rsid w:val="00426DCA"/>
    <w:rsid w:val="00445841"/>
    <w:rsid w:val="00447F09"/>
    <w:rsid w:val="004544DE"/>
    <w:rsid w:val="00460160"/>
    <w:rsid w:val="004618C6"/>
    <w:rsid w:val="00466951"/>
    <w:rsid w:val="004743C9"/>
    <w:rsid w:val="00477E63"/>
    <w:rsid w:val="00480512"/>
    <w:rsid w:val="004841A7"/>
    <w:rsid w:val="00486437"/>
    <w:rsid w:val="004955A3"/>
    <w:rsid w:val="00496EA8"/>
    <w:rsid w:val="004A06EC"/>
    <w:rsid w:val="004A0F64"/>
    <w:rsid w:val="004A1D4B"/>
    <w:rsid w:val="004A2F0B"/>
    <w:rsid w:val="004B0002"/>
    <w:rsid w:val="004B125A"/>
    <w:rsid w:val="004B64FB"/>
    <w:rsid w:val="004B7BE0"/>
    <w:rsid w:val="004B7F89"/>
    <w:rsid w:val="004C5265"/>
    <w:rsid w:val="004C6470"/>
    <w:rsid w:val="004D134E"/>
    <w:rsid w:val="004D5C7D"/>
    <w:rsid w:val="004D6140"/>
    <w:rsid w:val="004D7287"/>
    <w:rsid w:val="004E2ABD"/>
    <w:rsid w:val="004F008B"/>
    <w:rsid w:val="005001A3"/>
    <w:rsid w:val="00506968"/>
    <w:rsid w:val="00506B1C"/>
    <w:rsid w:val="00510166"/>
    <w:rsid w:val="00514861"/>
    <w:rsid w:val="00520E11"/>
    <w:rsid w:val="005224F6"/>
    <w:rsid w:val="00527AE2"/>
    <w:rsid w:val="0053676F"/>
    <w:rsid w:val="00537C2D"/>
    <w:rsid w:val="0054042D"/>
    <w:rsid w:val="00541AFA"/>
    <w:rsid w:val="00543104"/>
    <w:rsid w:val="00543CB7"/>
    <w:rsid w:val="00554071"/>
    <w:rsid w:val="00561E0B"/>
    <w:rsid w:val="005811BA"/>
    <w:rsid w:val="00582015"/>
    <w:rsid w:val="00583C67"/>
    <w:rsid w:val="00591D92"/>
    <w:rsid w:val="005922EC"/>
    <w:rsid w:val="0059552B"/>
    <w:rsid w:val="005A2246"/>
    <w:rsid w:val="005A4BA3"/>
    <w:rsid w:val="005B1C54"/>
    <w:rsid w:val="005B2EF9"/>
    <w:rsid w:val="005C1CC2"/>
    <w:rsid w:val="005C2284"/>
    <w:rsid w:val="005C45E0"/>
    <w:rsid w:val="005D0EFA"/>
    <w:rsid w:val="005D2A74"/>
    <w:rsid w:val="005D31F5"/>
    <w:rsid w:val="005D7E04"/>
    <w:rsid w:val="005E7EDB"/>
    <w:rsid w:val="005F38F9"/>
    <w:rsid w:val="005F4F35"/>
    <w:rsid w:val="006019BD"/>
    <w:rsid w:val="00610D68"/>
    <w:rsid w:val="00611A31"/>
    <w:rsid w:val="00615416"/>
    <w:rsid w:val="00620B0C"/>
    <w:rsid w:val="00626C0F"/>
    <w:rsid w:val="0062766F"/>
    <w:rsid w:val="00632687"/>
    <w:rsid w:val="00636442"/>
    <w:rsid w:val="00642144"/>
    <w:rsid w:val="00643258"/>
    <w:rsid w:val="006455FF"/>
    <w:rsid w:val="00645EEA"/>
    <w:rsid w:val="00646C67"/>
    <w:rsid w:val="00651EC3"/>
    <w:rsid w:val="00663D7F"/>
    <w:rsid w:val="0066424D"/>
    <w:rsid w:val="00667CA1"/>
    <w:rsid w:val="00670E91"/>
    <w:rsid w:val="00674FDF"/>
    <w:rsid w:val="00675A12"/>
    <w:rsid w:val="00680433"/>
    <w:rsid w:val="00683310"/>
    <w:rsid w:val="00684280"/>
    <w:rsid w:val="00694F18"/>
    <w:rsid w:val="0069620E"/>
    <w:rsid w:val="006A0E97"/>
    <w:rsid w:val="006B19B8"/>
    <w:rsid w:val="006B1D4D"/>
    <w:rsid w:val="006B245C"/>
    <w:rsid w:val="006B2B7F"/>
    <w:rsid w:val="006C49B3"/>
    <w:rsid w:val="006C528B"/>
    <w:rsid w:val="006C7751"/>
    <w:rsid w:val="006D0403"/>
    <w:rsid w:val="006D2EB4"/>
    <w:rsid w:val="006D38DD"/>
    <w:rsid w:val="006D57A2"/>
    <w:rsid w:val="006E6260"/>
    <w:rsid w:val="006E6936"/>
    <w:rsid w:val="006F6F4C"/>
    <w:rsid w:val="006F7D7A"/>
    <w:rsid w:val="0070123C"/>
    <w:rsid w:val="00702310"/>
    <w:rsid w:val="00702A80"/>
    <w:rsid w:val="007044FE"/>
    <w:rsid w:val="00704DCB"/>
    <w:rsid w:val="007054CB"/>
    <w:rsid w:val="007101FF"/>
    <w:rsid w:val="007135FE"/>
    <w:rsid w:val="00714873"/>
    <w:rsid w:val="00714FA1"/>
    <w:rsid w:val="007161FE"/>
    <w:rsid w:val="00720273"/>
    <w:rsid w:val="00721338"/>
    <w:rsid w:val="00722633"/>
    <w:rsid w:val="00726CB2"/>
    <w:rsid w:val="00731368"/>
    <w:rsid w:val="00746C5C"/>
    <w:rsid w:val="00764A3D"/>
    <w:rsid w:val="00771431"/>
    <w:rsid w:val="00772169"/>
    <w:rsid w:val="0077392A"/>
    <w:rsid w:val="00774EE2"/>
    <w:rsid w:val="00777AC6"/>
    <w:rsid w:val="007839FD"/>
    <w:rsid w:val="00783AA0"/>
    <w:rsid w:val="0079465A"/>
    <w:rsid w:val="007958CD"/>
    <w:rsid w:val="007A3FC5"/>
    <w:rsid w:val="007A4DD2"/>
    <w:rsid w:val="007A7421"/>
    <w:rsid w:val="007B1A21"/>
    <w:rsid w:val="007B36F9"/>
    <w:rsid w:val="007B54AB"/>
    <w:rsid w:val="007C1C8F"/>
    <w:rsid w:val="007C459D"/>
    <w:rsid w:val="007C47AE"/>
    <w:rsid w:val="007D2E25"/>
    <w:rsid w:val="007F0418"/>
    <w:rsid w:val="007F1032"/>
    <w:rsid w:val="007F3308"/>
    <w:rsid w:val="00801EA7"/>
    <w:rsid w:val="00803B10"/>
    <w:rsid w:val="0080557B"/>
    <w:rsid w:val="00805DA3"/>
    <w:rsid w:val="00813569"/>
    <w:rsid w:val="00815A67"/>
    <w:rsid w:val="008217DD"/>
    <w:rsid w:val="00821E65"/>
    <w:rsid w:val="00822EB3"/>
    <w:rsid w:val="00825B21"/>
    <w:rsid w:val="00826436"/>
    <w:rsid w:val="00830F80"/>
    <w:rsid w:val="00831510"/>
    <w:rsid w:val="00831C44"/>
    <w:rsid w:val="00834507"/>
    <w:rsid w:val="008419C4"/>
    <w:rsid w:val="00841A98"/>
    <w:rsid w:val="00843631"/>
    <w:rsid w:val="00847653"/>
    <w:rsid w:val="0085224F"/>
    <w:rsid w:val="00852D9A"/>
    <w:rsid w:val="00862A24"/>
    <w:rsid w:val="008706CA"/>
    <w:rsid w:val="00884361"/>
    <w:rsid w:val="008852F0"/>
    <w:rsid w:val="00895D92"/>
    <w:rsid w:val="008A383F"/>
    <w:rsid w:val="008A77A8"/>
    <w:rsid w:val="008B1F6E"/>
    <w:rsid w:val="008B28BB"/>
    <w:rsid w:val="008C10A9"/>
    <w:rsid w:val="008C1A0A"/>
    <w:rsid w:val="008C4B9D"/>
    <w:rsid w:val="008C57BD"/>
    <w:rsid w:val="008C7615"/>
    <w:rsid w:val="008C77E2"/>
    <w:rsid w:val="008D1651"/>
    <w:rsid w:val="008E29BA"/>
    <w:rsid w:val="008E3CC2"/>
    <w:rsid w:val="008E404A"/>
    <w:rsid w:val="008E6951"/>
    <w:rsid w:val="009006F1"/>
    <w:rsid w:val="009017D1"/>
    <w:rsid w:val="00903740"/>
    <w:rsid w:val="00904499"/>
    <w:rsid w:val="00913B23"/>
    <w:rsid w:val="0091711B"/>
    <w:rsid w:val="00923E86"/>
    <w:rsid w:val="009261A8"/>
    <w:rsid w:val="00930370"/>
    <w:rsid w:val="00933191"/>
    <w:rsid w:val="009345C4"/>
    <w:rsid w:val="00942A97"/>
    <w:rsid w:val="00951199"/>
    <w:rsid w:val="00960310"/>
    <w:rsid w:val="009618DE"/>
    <w:rsid w:val="0096224E"/>
    <w:rsid w:val="00962879"/>
    <w:rsid w:val="009648C6"/>
    <w:rsid w:val="00967BC5"/>
    <w:rsid w:val="00970338"/>
    <w:rsid w:val="00984BEF"/>
    <w:rsid w:val="009916CA"/>
    <w:rsid w:val="00991A89"/>
    <w:rsid w:val="00993DFF"/>
    <w:rsid w:val="0099760D"/>
    <w:rsid w:val="009A1B6C"/>
    <w:rsid w:val="009A73B9"/>
    <w:rsid w:val="009B3EF5"/>
    <w:rsid w:val="009C41CD"/>
    <w:rsid w:val="009C5235"/>
    <w:rsid w:val="009C78F1"/>
    <w:rsid w:val="009D3A11"/>
    <w:rsid w:val="009D7C1F"/>
    <w:rsid w:val="009E09C1"/>
    <w:rsid w:val="009E2F2E"/>
    <w:rsid w:val="009F031D"/>
    <w:rsid w:val="009F1DF4"/>
    <w:rsid w:val="00A000A7"/>
    <w:rsid w:val="00A004C5"/>
    <w:rsid w:val="00A11C0A"/>
    <w:rsid w:val="00A152F4"/>
    <w:rsid w:val="00A1623A"/>
    <w:rsid w:val="00A21F49"/>
    <w:rsid w:val="00A278E7"/>
    <w:rsid w:val="00A451EF"/>
    <w:rsid w:val="00A45ED7"/>
    <w:rsid w:val="00A50278"/>
    <w:rsid w:val="00A50D17"/>
    <w:rsid w:val="00A5285A"/>
    <w:rsid w:val="00A54E47"/>
    <w:rsid w:val="00A64C41"/>
    <w:rsid w:val="00A67ACA"/>
    <w:rsid w:val="00A7440F"/>
    <w:rsid w:val="00A80770"/>
    <w:rsid w:val="00A83285"/>
    <w:rsid w:val="00A862D9"/>
    <w:rsid w:val="00A87CEC"/>
    <w:rsid w:val="00A94744"/>
    <w:rsid w:val="00A9548A"/>
    <w:rsid w:val="00A96E2B"/>
    <w:rsid w:val="00AA1A55"/>
    <w:rsid w:val="00AA5D33"/>
    <w:rsid w:val="00AA5F31"/>
    <w:rsid w:val="00AA60BB"/>
    <w:rsid w:val="00AB0230"/>
    <w:rsid w:val="00AB15E6"/>
    <w:rsid w:val="00AB2CBE"/>
    <w:rsid w:val="00AB4EDE"/>
    <w:rsid w:val="00AB719D"/>
    <w:rsid w:val="00AD6742"/>
    <w:rsid w:val="00AE63F5"/>
    <w:rsid w:val="00AE6FAB"/>
    <w:rsid w:val="00AF1DFF"/>
    <w:rsid w:val="00AF31E5"/>
    <w:rsid w:val="00B00116"/>
    <w:rsid w:val="00B14CE5"/>
    <w:rsid w:val="00B201C2"/>
    <w:rsid w:val="00B2084D"/>
    <w:rsid w:val="00B231D8"/>
    <w:rsid w:val="00B24205"/>
    <w:rsid w:val="00B27772"/>
    <w:rsid w:val="00B35B25"/>
    <w:rsid w:val="00B36A4E"/>
    <w:rsid w:val="00B37DC7"/>
    <w:rsid w:val="00B42B98"/>
    <w:rsid w:val="00B43C8D"/>
    <w:rsid w:val="00B43DA9"/>
    <w:rsid w:val="00B45509"/>
    <w:rsid w:val="00B5130C"/>
    <w:rsid w:val="00B52D87"/>
    <w:rsid w:val="00B54631"/>
    <w:rsid w:val="00B57491"/>
    <w:rsid w:val="00B57ABA"/>
    <w:rsid w:val="00B60AA0"/>
    <w:rsid w:val="00B61B9F"/>
    <w:rsid w:val="00B6536A"/>
    <w:rsid w:val="00B6697E"/>
    <w:rsid w:val="00B679D9"/>
    <w:rsid w:val="00B76A2F"/>
    <w:rsid w:val="00B823F4"/>
    <w:rsid w:val="00B827C0"/>
    <w:rsid w:val="00B910D0"/>
    <w:rsid w:val="00BA3841"/>
    <w:rsid w:val="00BA4F16"/>
    <w:rsid w:val="00BB4C1E"/>
    <w:rsid w:val="00BC5560"/>
    <w:rsid w:val="00BD37E8"/>
    <w:rsid w:val="00BE2F72"/>
    <w:rsid w:val="00BF1496"/>
    <w:rsid w:val="00BF282B"/>
    <w:rsid w:val="00BF3AFA"/>
    <w:rsid w:val="00C00EBD"/>
    <w:rsid w:val="00C032C1"/>
    <w:rsid w:val="00C049E1"/>
    <w:rsid w:val="00C04E03"/>
    <w:rsid w:val="00C13915"/>
    <w:rsid w:val="00C14571"/>
    <w:rsid w:val="00C15DE0"/>
    <w:rsid w:val="00C25073"/>
    <w:rsid w:val="00C2706F"/>
    <w:rsid w:val="00C2716F"/>
    <w:rsid w:val="00C32434"/>
    <w:rsid w:val="00C3334F"/>
    <w:rsid w:val="00C3434A"/>
    <w:rsid w:val="00C3503F"/>
    <w:rsid w:val="00C4119A"/>
    <w:rsid w:val="00C41B69"/>
    <w:rsid w:val="00C47030"/>
    <w:rsid w:val="00C470BC"/>
    <w:rsid w:val="00C512FF"/>
    <w:rsid w:val="00C524B9"/>
    <w:rsid w:val="00C55CD3"/>
    <w:rsid w:val="00C57598"/>
    <w:rsid w:val="00C678BE"/>
    <w:rsid w:val="00C715A8"/>
    <w:rsid w:val="00C75EBD"/>
    <w:rsid w:val="00C77B56"/>
    <w:rsid w:val="00C8018C"/>
    <w:rsid w:val="00C80BE1"/>
    <w:rsid w:val="00C81F5E"/>
    <w:rsid w:val="00C83987"/>
    <w:rsid w:val="00C84AFD"/>
    <w:rsid w:val="00C86793"/>
    <w:rsid w:val="00C967CC"/>
    <w:rsid w:val="00CA1094"/>
    <w:rsid w:val="00CA2377"/>
    <w:rsid w:val="00CB4C14"/>
    <w:rsid w:val="00CD13DC"/>
    <w:rsid w:val="00CD2950"/>
    <w:rsid w:val="00CD3E6B"/>
    <w:rsid w:val="00CE12F9"/>
    <w:rsid w:val="00CE31A7"/>
    <w:rsid w:val="00CE62FF"/>
    <w:rsid w:val="00CF19D7"/>
    <w:rsid w:val="00CF4543"/>
    <w:rsid w:val="00D0020E"/>
    <w:rsid w:val="00D04AF7"/>
    <w:rsid w:val="00D138AF"/>
    <w:rsid w:val="00D17CD2"/>
    <w:rsid w:val="00D23C2E"/>
    <w:rsid w:val="00D241DB"/>
    <w:rsid w:val="00D266FE"/>
    <w:rsid w:val="00D30FE8"/>
    <w:rsid w:val="00D31F15"/>
    <w:rsid w:val="00D33176"/>
    <w:rsid w:val="00D340AB"/>
    <w:rsid w:val="00D36601"/>
    <w:rsid w:val="00D37EA8"/>
    <w:rsid w:val="00D4461C"/>
    <w:rsid w:val="00D44F86"/>
    <w:rsid w:val="00D50D46"/>
    <w:rsid w:val="00D544E3"/>
    <w:rsid w:val="00D560DD"/>
    <w:rsid w:val="00D568CC"/>
    <w:rsid w:val="00D607DE"/>
    <w:rsid w:val="00D6158C"/>
    <w:rsid w:val="00D6329A"/>
    <w:rsid w:val="00D63453"/>
    <w:rsid w:val="00D6512B"/>
    <w:rsid w:val="00D65441"/>
    <w:rsid w:val="00D70F73"/>
    <w:rsid w:val="00D72409"/>
    <w:rsid w:val="00D82BEF"/>
    <w:rsid w:val="00D8694B"/>
    <w:rsid w:val="00D9044E"/>
    <w:rsid w:val="00D9221F"/>
    <w:rsid w:val="00D9304F"/>
    <w:rsid w:val="00D96A34"/>
    <w:rsid w:val="00DA071B"/>
    <w:rsid w:val="00DA3B8E"/>
    <w:rsid w:val="00DA4BE1"/>
    <w:rsid w:val="00DB1288"/>
    <w:rsid w:val="00DB1A35"/>
    <w:rsid w:val="00DB5299"/>
    <w:rsid w:val="00DB701C"/>
    <w:rsid w:val="00DC1F15"/>
    <w:rsid w:val="00DD0A70"/>
    <w:rsid w:val="00DD28E6"/>
    <w:rsid w:val="00DD3315"/>
    <w:rsid w:val="00DD5756"/>
    <w:rsid w:val="00DE469E"/>
    <w:rsid w:val="00DF1C16"/>
    <w:rsid w:val="00DF459F"/>
    <w:rsid w:val="00DF5103"/>
    <w:rsid w:val="00E00603"/>
    <w:rsid w:val="00E0081D"/>
    <w:rsid w:val="00E03DBF"/>
    <w:rsid w:val="00E03EDE"/>
    <w:rsid w:val="00E046C2"/>
    <w:rsid w:val="00E0595C"/>
    <w:rsid w:val="00E06040"/>
    <w:rsid w:val="00E219AC"/>
    <w:rsid w:val="00E25302"/>
    <w:rsid w:val="00E27634"/>
    <w:rsid w:val="00E37C3B"/>
    <w:rsid w:val="00E512B1"/>
    <w:rsid w:val="00E53399"/>
    <w:rsid w:val="00E55CF6"/>
    <w:rsid w:val="00E57503"/>
    <w:rsid w:val="00E60203"/>
    <w:rsid w:val="00E6201D"/>
    <w:rsid w:val="00E721D0"/>
    <w:rsid w:val="00E81190"/>
    <w:rsid w:val="00E82D4C"/>
    <w:rsid w:val="00E86B2B"/>
    <w:rsid w:val="00E91F1C"/>
    <w:rsid w:val="00E97226"/>
    <w:rsid w:val="00EA4B5C"/>
    <w:rsid w:val="00EB0367"/>
    <w:rsid w:val="00EB2638"/>
    <w:rsid w:val="00EB2B18"/>
    <w:rsid w:val="00EB2E60"/>
    <w:rsid w:val="00EB52ED"/>
    <w:rsid w:val="00EB60F4"/>
    <w:rsid w:val="00EB79B8"/>
    <w:rsid w:val="00EC6E56"/>
    <w:rsid w:val="00ED1419"/>
    <w:rsid w:val="00ED431B"/>
    <w:rsid w:val="00ED5DF4"/>
    <w:rsid w:val="00ED60FE"/>
    <w:rsid w:val="00ED71EA"/>
    <w:rsid w:val="00EE48FC"/>
    <w:rsid w:val="00EE7894"/>
    <w:rsid w:val="00EF3B6F"/>
    <w:rsid w:val="00EF4C4F"/>
    <w:rsid w:val="00EF73F6"/>
    <w:rsid w:val="00F00BC9"/>
    <w:rsid w:val="00F00F39"/>
    <w:rsid w:val="00F021DF"/>
    <w:rsid w:val="00F02ADC"/>
    <w:rsid w:val="00F04699"/>
    <w:rsid w:val="00F0471E"/>
    <w:rsid w:val="00F1017A"/>
    <w:rsid w:val="00F1294D"/>
    <w:rsid w:val="00F15ABC"/>
    <w:rsid w:val="00F17EEF"/>
    <w:rsid w:val="00F21CE6"/>
    <w:rsid w:val="00F21DA2"/>
    <w:rsid w:val="00F25315"/>
    <w:rsid w:val="00F31D44"/>
    <w:rsid w:val="00F36449"/>
    <w:rsid w:val="00F40A7E"/>
    <w:rsid w:val="00F41036"/>
    <w:rsid w:val="00F44324"/>
    <w:rsid w:val="00F46B84"/>
    <w:rsid w:val="00F55185"/>
    <w:rsid w:val="00F5688E"/>
    <w:rsid w:val="00F60046"/>
    <w:rsid w:val="00F612FA"/>
    <w:rsid w:val="00F6343B"/>
    <w:rsid w:val="00F712DA"/>
    <w:rsid w:val="00F72B8D"/>
    <w:rsid w:val="00F77620"/>
    <w:rsid w:val="00F87E3A"/>
    <w:rsid w:val="00F915D9"/>
    <w:rsid w:val="00F93C7C"/>
    <w:rsid w:val="00FA019F"/>
    <w:rsid w:val="00FC3D66"/>
    <w:rsid w:val="00FC3EA0"/>
    <w:rsid w:val="00FD04D8"/>
    <w:rsid w:val="00FD4826"/>
    <w:rsid w:val="00FD7434"/>
    <w:rsid w:val="00FE5E45"/>
    <w:rsid w:val="00FE5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26BA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5D"/>
    <w:rPr>
      <w:rFonts w:ascii="Times New Roman" w:eastAsia="Times New Roman" w:hAnsi="Times New Roman" w:cs="Times New Roman"/>
      <w:sz w:val="28"/>
    </w:rPr>
  </w:style>
  <w:style w:type="paragraph" w:styleId="Heading2">
    <w:name w:val="heading 2"/>
    <w:basedOn w:val="Normal"/>
    <w:next w:val="Normal"/>
    <w:link w:val="Heading2Char"/>
    <w:qFormat/>
    <w:rsid w:val="00E03DBF"/>
    <w:pPr>
      <w:keepNext/>
      <w:spacing w:after="0" w:line="240" w:lineRule="auto"/>
      <w:ind w:right="-108" w:firstLine="745"/>
      <w:jc w:val="both"/>
      <w:outlineLvl w:val="1"/>
    </w:pPr>
    <w:rPr>
      <w:b/>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uiPriority w:val="99"/>
    <w:rsid w:val="007135FE"/>
    <w:pPr>
      <w:spacing w:after="0" w:line="240" w:lineRule="auto"/>
    </w:pPr>
    <w:rPr>
      <w:sz w:val="24"/>
      <w:szCs w:val="24"/>
      <w:lang w:eastAsia="lv-LV"/>
    </w:rPr>
  </w:style>
  <w:style w:type="paragraph" w:styleId="CommentText">
    <w:name w:val="annotation text"/>
    <w:basedOn w:val="Normal"/>
    <w:link w:val="CommentTextChar"/>
    <w:uiPriority w:val="99"/>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uiPriority w:val="99"/>
    <w:semiHidden/>
    <w:rsid w:val="00126CB4"/>
    <w:rPr>
      <w:rFonts w:ascii="Times New Roman" w:eastAsia="Times New Roman" w:hAnsi="Times New Roman" w:cs="Times New Roman"/>
      <w:sz w:val="20"/>
      <w:szCs w:val="20"/>
      <w:lang w:eastAsia="lv-LV"/>
    </w:rPr>
  </w:style>
  <w:style w:type="table" w:styleId="TableGrid">
    <w:name w:val="Table Grid"/>
    <w:basedOn w:val="TableNormal"/>
    <w:uiPriority w:val="59"/>
    <w:rsid w:val="008C5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0471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F0471E"/>
    <w:rPr>
      <w:rFonts w:ascii="Courier New" w:eastAsia="Times New Roman" w:hAnsi="Courier New" w:cs="Times New Roman"/>
      <w:sz w:val="28"/>
      <w:szCs w:val="20"/>
    </w:rPr>
  </w:style>
  <w:style w:type="paragraph" w:styleId="CommentSubject">
    <w:name w:val="annotation subject"/>
    <w:basedOn w:val="CommentText"/>
    <w:next w:val="CommentText"/>
    <w:link w:val="CommentSubjectChar"/>
    <w:uiPriority w:val="99"/>
    <w:semiHidden/>
    <w:unhideWhenUsed/>
    <w:rsid w:val="00A94744"/>
    <w:rPr>
      <w:b/>
      <w:bCs/>
    </w:rPr>
  </w:style>
  <w:style w:type="character" w:customStyle="1" w:styleId="CommentSubjectChar">
    <w:name w:val="Comment Subject Char"/>
    <w:basedOn w:val="CommentTextChar"/>
    <w:link w:val="CommentSubject"/>
    <w:uiPriority w:val="99"/>
    <w:semiHidden/>
    <w:rsid w:val="00A94744"/>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rsid w:val="00B24205"/>
    <w:pPr>
      <w:spacing w:after="120" w:line="240" w:lineRule="auto"/>
      <w:ind w:left="283"/>
    </w:pPr>
    <w:rPr>
      <w:sz w:val="24"/>
      <w:szCs w:val="24"/>
      <w:lang w:eastAsia="lv-LV"/>
    </w:rPr>
  </w:style>
  <w:style w:type="character" w:customStyle="1" w:styleId="BodyTextIndentChar">
    <w:name w:val="Body Text Indent Char"/>
    <w:basedOn w:val="DefaultParagraphFont"/>
    <w:link w:val="BodyTextIndent"/>
    <w:uiPriority w:val="99"/>
    <w:rsid w:val="00B24205"/>
    <w:rPr>
      <w:rFonts w:ascii="Times New Roman" w:eastAsia="Times New Roman" w:hAnsi="Times New Roman" w:cs="Times New Roman"/>
      <w:sz w:val="24"/>
      <w:szCs w:val="24"/>
      <w:lang w:eastAsia="lv-LV"/>
    </w:rPr>
  </w:style>
  <w:style w:type="character" w:customStyle="1" w:styleId="st">
    <w:name w:val="st"/>
    <w:basedOn w:val="DefaultParagraphFont"/>
    <w:rsid w:val="00FD04D8"/>
  </w:style>
  <w:style w:type="character" w:styleId="CommentReference">
    <w:name w:val="annotation reference"/>
    <w:basedOn w:val="DefaultParagraphFont"/>
    <w:uiPriority w:val="99"/>
    <w:semiHidden/>
    <w:unhideWhenUsed/>
    <w:rsid w:val="00510166"/>
    <w:rPr>
      <w:sz w:val="16"/>
      <w:szCs w:val="16"/>
    </w:rPr>
  </w:style>
  <w:style w:type="paragraph" w:styleId="NoSpacing">
    <w:name w:val="No Spacing"/>
    <w:uiPriority w:val="1"/>
    <w:qFormat/>
    <w:rsid w:val="000949A4"/>
    <w:pPr>
      <w:spacing w:after="0" w:line="240" w:lineRule="auto"/>
    </w:pPr>
    <w:rPr>
      <w:rFonts w:ascii="Times New Roman" w:eastAsia="Times New Roman" w:hAnsi="Times New Roman" w:cs="Times New Roman"/>
      <w:sz w:val="28"/>
    </w:rPr>
  </w:style>
  <w:style w:type="character" w:customStyle="1" w:styleId="Heading2Char">
    <w:name w:val="Heading 2 Char"/>
    <w:basedOn w:val="DefaultParagraphFont"/>
    <w:link w:val="Heading2"/>
    <w:rsid w:val="00E03DBF"/>
    <w:rPr>
      <w:rFonts w:ascii="Times New Roman" w:eastAsia="Times New Roman" w:hAnsi="Times New Roman" w:cs="Times New Roman"/>
      <w:b/>
      <w:sz w:val="28"/>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5D"/>
    <w:rPr>
      <w:rFonts w:ascii="Times New Roman" w:eastAsia="Times New Roman" w:hAnsi="Times New Roman" w:cs="Times New Roman"/>
      <w:sz w:val="28"/>
    </w:rPr>
  </w:style>
  <w:style w:type="paragraph" w:styleId="Heading2">
    <w:name w:val="heading 2"/>
    <w:basedOn w:val="Normal"/>
    <w:next w:val="Normal"/>
    <w:link w:val="Heading2Char"/>
    <w:qFormat/>
    <w:rsid w:val="00E03DBF"/>
    <w:pPr>
      <w:keepNext/>
      <w:spacing w:after="0" w:line="240" w:lineRule="auto"/>
      <w:ind w:right="-108" w:firstLine="745"/>
      <w:jc w:val="both"/>
      <w:outlineLvl w:val="1"/>
    </w:pPr>
    <w:rPr>
      <w:b/>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uiPriority w:val="99"/>
    <w:rsid w:val="007135FE"/>
    <w:pPr>
      <w:spacing w:after="0" w:line="240" w:lineRule="auto"/>
    </w:pPr>
    <w:rPr>
      <w:sz w:val="24"/>
      <w:szCs w:val="24"/>
      <w:lang w:eastAsia="lv-LV"/>
    </w:rPr>
  </w:style>
  <w:style w:type="paragraph" w:styleId="CommentText">
    <w:name w:val="annotation text"/>
    <w:basedOn w:val="Normal"/>
    <w:link w:val="CommentTextChar"/>
    <w:uiPriority w:val="99"/>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uiPriority w:val="99"/>
    <w:semiHidden/>
    <w:rsid w:val="00126CB4"/>
    <w:rPr>
      <w:rFonts w:ascii="Times New Roman" w:eastAsia="Times New Roman" w:hAnsi="Times New Roman" w:cs="Times New Roman"/>
      <w:sz w:val="20"/>
      <w:szCs w:val="20"/>
      <w:lang w:eastAsia="lv-LV"/>
    </w:rPr>
  </w:style>
  <w:style w:type="table" w:styleId="TableGrid">
    <w:name w:val="Table Grid"/>
    <w:basedOn w:val="TableNormal"/>
    <w:uiPriority w:val="59"/>
    <w:rsid w:val="008C5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0471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F0471E"/>
    <w:rPr>
      <w:rFonts w:ascii="Courier New" w:eastAsia="Times New Roman" w:hAnsi="Courier New" w:cs="Times New Roman"/>
      <w:sz w:val="28"/>
      <w:szCs w:val="20"/>
    </w:rPr>
  </w:style>
  <w:style w:type="paragraph" w:styleId="CommentSubject">
    <w:name w:val="annotation subject"/>
    <w:basedOn w:val="CommentText"/>
    <w:next w:val="CommentText"/>
    <w:link w:val="CommentSubjectChar"/>
    <w:uiPriority w:val="99"/>
    <w:semiHidden/>
    <w:unhideWhenUsed/>
    <w:rsid w:val="00A94744"/>
    <w:rPr>
      <w:b/>
      <w:bCs/>
    </w:rPr>
  </w:style>
  <w:style w:type="character" w:customStyle="1" w:styleId="CommentSubjectChar">
    <w:name w:val="Comment Subject Char"/>
    <w:basedOn w:val="CommentTextChar"/>
    <w:link w:val="CommentSubject"/>
    <w:uiPriority w:val="99"/>
    <w:semiHidden/>
    <w:rsid w:val="00A94744"/>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rsid w:val="00B24205"/>
    <w:pPr>
      <w:spacing w:after="120" w:line="240" w:lineRule="auto"/>
      <w:ind w:left="283"/>
    </w:pPr>
    <w:rPr>
      <w:sz w:val="24"/>
      <w:szCs w:val="24"/>
      <w:lang w:eastAsia="lv-LV"/>
    </w:rPr>
  </w:style>
  <w:style w:type="character" w:customStyle="1" w:styleId="BodyTextIndentChar">
    <w:name w:val="Body Text Indent Char"/>
    <w:basedOn w:val="DefaultParagraphFont"/>
    <w:link w:val="BodyTextIndent"/>
    <w:uiPriority w:val="99"/>
    <w:rsid w:val="00B24205"/>
    <w:rPr>
      <w:rFonts w:ascii="Times New Roman" w:eastAsia="Times New Roman" w:hAnsi="Times New Roman" w:cs="Times New Roman"/>
      <w:sz w:val="24"/>
      <w:szCs w:val="24"/>
      <w:lang w:eastAsia="lv-LV"/>
    </w:rPr>
  </w:style>
  <w:style w:type="character" w:customStyle="1" w:styleId="st">
    <w:name w:val="st"/>
    <w:basedOn w:val="DefaultParagraphFont"/>
    <w:rsid w:val="00FD04D8"/>
  </w:style>
  <w:style w:type="character" w:styleId="CommentReference">
    <w:name w:val="annotation reference"/>
    <w:basedOn w:val="DefaultParagraphFont"/>
    <w:uiPriority w:val="99"/>
    <w:semiHidden/>
    <w:unhideWhenUsed/>
    <w:rsid w:val="00510166"/>
    <w:rPr>
      <w:sz w:val="16"/>
      <w:szCs w:val="16"/>
    </w:rPr>
  </w:style>
  <w:style w:type="paragraph" w:styleId="NoSpacing">
    <w:name w:val="No Spacing"/>
    <w:uiPriority w:val="1"/>
    <w:qFormat/>
    <w:rsid w:val="000949A4"/>
    <w:pPr>
      <w:spacing w:after="0" w:line="240" w:lineRule="auto"/>
    </w:pPr>
    <w:rPr>
      <w:rFonts w:ascii="Times New Roman" w:eastAsia="Times New Roman" w:hAnsi="Times New Roman" w:cs="Times New Roman"/>
      <w:sz w:val="28"/>
    </w:rPr>
  </w:style>
  <w:style w:type="character" w:customStyle="1" w:styleId="Heading2Char">
    <w:name w:val="Heading 2 Char"/>
    <w:basedOn w:val="DefaultParagraphFont"/>
    <w:link w:val="Heading2"/>
    <w:rsid w:val="00E03DBF"/>
    <w:rPr>
      <w:rFonts w:ascii="Times New Roman" w:eastAsia="Times New Roman" w:hAnsi="Times New Roman" w:cs="Times New Roman"/>
      <w:b/>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5632">
      <w:bodyDiv w:val="1"/>
      <w:marLeft w:val="0"/>
      <w:marRight w:val="0"/>
      <w:marTop w:val="0"/>
      <w:marBottom w:val="0"/>
      <w:divBdr>
        <w:top w:val="none" w:sz="0" w:space="0" w:color="auto"/>
        <w:left w:val="none" w:sz="0" w:space="0" w:color="auto"/>
        <w:bottom w:val="none" w:sz="0" w:space="0" w:color="auto"/>
        <w:right w:val="none" w:sz="0" w:space="0" w:color="auto"/>
      </w:divBdr>
    </w:div>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183667392">
      <w:bodyDiv w:val="1"/>
      <w:marLeft w:val="0"/>
      <w:marRight w:val="0"/>
      <w:marTop w:val="0"/>
      <w:marBottom w:val="0"/>
      <w:divBdr>
        <w:top w:val="none" w:sz="0" w:space="0" w:color="auto"/>
        <w:left w:val="none" w:sz="0" w:space="0" w:color="auto"/>
        <w:bottom w:val="none" w:sz="0" w:space="0" w:color="auto"/>
        <w:right w:val="none" w:sz="0" w:space="0" w:color="auto"/>
      </w:divBdr>
      <w:divsChild>
        <w:div w:id="1367943830">
          <w:marLeft w:val="0"/>
          <w:marRight w:val="0"/>
          <w:marTop w:val="0"/>
          <w:marBottom w:val="0"/>
          <w:divBdr>
            <w:top w:val="none" w:sz="0" w:space="0" w:color="auto"/>
            <w:left w:val="none" w:sz="0" w:space="0" w:color="auto"/>
            <w:bottom w:val="none" w:sz="0" w:space="0" w:color="auto"/>
            <w:right w:val="none" w:sz="0" w:space="0" w:color="auto"/>
          </w:divBdr>
          <w:divsChild>
            <w:div w:id="119496669">
              <w:marLeft w:val="0"/>
              <w:marRight w:val="0"/>
              <w:marTop w:val="100"/>
              <w:marBottom w:val="100"/>
              <w:divBdr>
                <w:top w:val="none" w:sz="0" w:space="0" w:color="auto"/>
                <w:left w:val="none" w:sz="0" w:space="0" w:color="auto"/>
                <w:bottom w:val="none" w:sz="0" w:space="0" w:color="auto"/>
                <w:right w:val="none" w:sz="0" w:space="0" w:color="auto"/>
              </w:divBdr>
              <w:divsChild>
                <w:div w:id="371737228">
                  <w:marLeft w:val="0"/>
                  <w:marRight w:val="0"/>
                  <w:marTop w:val="0"/>
                  <w:marBottom w:val="0"/>
                  <w:divBdr>
                    <w:top w:val="none" w:sz="0" w:space="0" w:color="auto"/>
                    <w:left w:val="none" w:sz="0" w:space="0" w:color="auto"/>
                    <w:bottom w:val="none" w:sz="0" w:space="0" w:color="auto"/>
                    <w:right w:val="none" w:sz="0" w:space="0" w:color="auto"/>
                  </w:divBdr>
                  <w:divsChild>
                    <w:div w:id="349338873">
                      <w:marLeft w:val="0"/>
                      <w:marRight w:val="0"/>
                      <w:marTop w:val="0"/>
                      <w:marBottom w:val="0"/>
                      <w:divBdr>
                        <w:top w:val="none" w:sz="0" w:space="0" w:color="auto"/>
                        <w:left w:val="none" w:sz="0" w:space="0" w:color="auto"/>
                        <w:bottom w:val="none" w:sz="0" w:space="0" w:color="auto"/>
                        <w:right w:val="none" w:sz="0" w:space="0" w:color="auto"/>
                      </w:divBdr>
                      <w:divsChild>
                        <w:div w:id="20508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 w:id="20461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D4CB-DAEF-4642-807F-9A928008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7545</Words>
  <Characters>4301</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2012.gada 24.augusta rīkojumā Nr.411 „Par finansējuma piešķiršanu Finanšu ministrijai Valsts ieņēmuma dienesta administratīvās ēkas Talejas ielā 1, Rīgā, telpu nomas maksas, aprīkojuma iegād</vt:lpstr>
      <vt:lpstr>Ministru kabineta rīkojuma projekts „Par finansējuma precizēšanu Finanšu ministrijai Valsts ieņēmumu dienesta administratīvās ēkas Talejas ielā 1, Rīgā, telpu nomas maksas un uzturēšanas izdevumu segšanai”</vt:lpstr>
    </vt:vector>
  </TitlesOfParts>
  <Company>Valsts nekustamie īpašumi</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2012.gada 24.augusta rīkojumā Nr.411 „Par finansējuma piešķiršanu Finanšu ministrijai Valsts ieņēmuma dienesta administratīvās ēkas Talejas ielā 1, Rīgā, telpu nomas maksas, aprīkojuma iegādes, pārcelšanās un uzturēšanas izdevumu segšanai”  sākotnējās ietekmes novērtējuma ziņojums (anotācija)</dc:title>
  <dc:subject>Anotācija</dc:subject>
  <dc:creator>Lita Kokorēviča;Aiga Gulbe,</dc:creator>
  <dc:description>Lita.Kokorevica@vni.lv; 7024955 
Aiga.Gulbe@vni.lv;67024698</dc:description>
  <cp:lastModifiedBy>Lita Kokorēviča</cp:lastModifiedBy>
  <cp:revision>10</cp:revision>
  <cp:lastPrinted>2015-12-10T11:53:00Z</cp:lastPrinted>
  <dcterms:created xsi:type="dcterms:W3CDTF">2015-12-09T13:18:00Z</dcterms:created>
  <dcterms:modified xsi:type="dcterms:W3CDTF">2015-12-11T08:41:00Z</dcterms:modified>
</cp:coreProperties>
</file>