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E1" w:rsidRPr="00F00A2E" w:rsidRDefault="00BF7FC3" w:rsidP="00F00A2E">
      <w:pPr>
        <w:pStyle w:val="naislab"/>
        <w:spacing w:before="0" w:after="0" w:line="240" w:lineRule="auto"/>
        <w:jc w:val="center"/>
        <w:rPr>
          <w:b/>
          <w:bCs/>
          <w:lang w:val="lv-LV"/>
        </w:rPr>
      </w:pPr>
      <w:r w:rsidRPr="00F00A2E">
        <w:rPr>
          <w:b/>
          <w:bCs/>
          <w:lang w:val="lv-LV"/>
        </w:rPr>
        <w:t>Ministru kabineta rīkojuma</w:t>
      </w:r>
      <w:r w:rsidR="004E5DDD" w:rsidRPr="00F00A2E">
        <w:rPr>
          <w:b/>
          <w:bCs/>
          <w:lang w:val="lv-LV"/>
        </w:rPr>
        <w:t xml:space="preserve"> projekta</w:t>
      </w:r>
    </w:p>
    <w:p w:rsidR="000E2F3E" w:rsidRPr="00F00A2E" w:rsidRDefault="000E2F3E" w:rsidP="00F00A2E">
      <w:pPr>
        <w:suppressAutoHyphens/>
        <w:spacing w:after="0" w:line="240" w:lineRule="auto"/>
        <w:jc w:val="center"/>
        <w:rPr>
          <w:b/>
          <w:lang w:val="lv-LV"/>
        </w:rPr>
      </w:pPr>
      <w:r w:rsidRPr="00F00A2E">
        <w:rPr>
          <w:b/>
          <w:lang w:val="lv-LV" w:eastAsia="en-US"/>
        </w:rPr>
        <w:t>„</w:t>
      </w:r>
      <w:r w:rsidRPr="00F00A2E">
        <w:rPr>
          <w:b/>
          <w:lang w:val="lv-LV"/>
        </w:rPr>
        <w:t xml:space="preserve">Par finanšu līdzekļu piešķiršanu no valsts budžeta programmas </w:t>
      </w:r>
    </w:p>
    <w:p w:rsidR="00062ACA" w:rsidRPr="00F00A2E" w:rsidRDefault="000E2F3E" w:rsidP="00F00A2E">
      <w:pPr>
        <w:suppressAutoHyphens/>
        <w:spacing w:after="0" w:line="240" w:lineRule="auto"/>
        <w:jc w:val="center"/>
        <w:rPr>
          <w:b/>
          <w:lang w:val="lv-LV"/>
        </w:rPr>
      </w:pPr>
      <w:r w:rsidRPr="00F00A2E">
        <w:rPr>
          <w:b/>
          <w:lang w:val="lv-LV"/>
        </w:rPr>
        <w:t>„Līdzekļi neparedzētiem gadījumiem””</w:t>
      </w:r>
      <w:r w:rsidRPr="00F00A2E">
        <w:rPr>
          <w:sz w:val="28"/>
          <w:szCs w:val="28"/>
          <w:lang w:val="lv-LV"/>
        </w:rPr>
        <w:t xml:space="preserve"> </w:t>
      </w:r>
      <w:r w:rsidR="00BF7FC3" w:rsidRPr="00F00A2E">
        <w:rPr>
          <w:b/>
          <w:lang w:val="lv-LV"/>
        </w:rPr>
        <w:t>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797"/>
        <w:gridCol w:w="6076"/>
      </w:tblGrid>
      <w:tr w:rsidR="00EA1BE1" w:rsidRPr="00F00A2E" w:rsidTr="001B40B5">
        <w:trPr>
          <w:trHeight w:val="190"/>
        </w:trPr>
        <w:tc>
          <w:tcPr>
            <w:tcW w:w="9361" w:type="dxa"/>
            <w:gridSpan w:val="3"/>
            <w:vAlign w:val="center"/>
          </w:tcPr>
          <w:p w:rsidR="00EA1BE1" w:rsidRPr="00F00A2E" w:rsidRDefault="00BF7FC3" w:rsidP="00F00A2E">
            <w:pPr>
              <w:pStyle w:val="naisnod"/>
              <w:spacing w:before="0"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I. Tiesību akta projekta izstrādes nepieciešamība</w:t>
            </w:r>
          </w:p>
        </w:tc>
      </w:tr>
      <w:tr w:rsidR="00EA1BE1" w:rsidRPr="00F00A2E" w:rsidTr="001B40B5">
        <w:trPr>
          <w:trHeight w:val="829"/>
        </w:trPr>
        <w:tc>
          <w:tcPr>
            <w:tcW w:w="488" w:type="dxa"/>
          </w:tcPr>
          <w:p w:rsidR="00EA1BE1" w:rsidRPr="00F00A2E" w:rsidRDefault="00BF7FC3" w:rsidP="00F00A2E">
            <w:pPr>
              <w:pStyle w:val="naiskr"/>
              <w:spacing w:before="0"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1.</w:t>
            </w:r>
          </w:p>
        </w:tc>
        <w:tc>
          <w:tcPr>
            <w:tcW w:w="2797" w:type="dxa"/>
          </w:tcPr>
          <w:p w:rsidR="00EA1BE1" w:rsidRPr="00F00A2E" w:rsidRDefault="00BF7FC3" w:rsidP="00F00A2E">
            <w:pPr>
              <w:pStyle w:val="naiskr"/>
              <w:spacing w:before="0" w:after="0" w:line="240" w:lineRule="auto"/>
              <w:ind w:hanging="10"/>
              <w:rPr>
                <w:lang w:val="lv-LV"/>
              </w:rPr>
            </w:pPr>
            <w:r w:rsidRPr="00F00A2E">
              <w:rPr>
                <w:lang w:val="lv-LV"/>
              </w:rPr>
              <w:t>Pamatojums</w:t>
            </w:r>
          </w:p>
        </w:tc>
        <w:tc>
          <w:tcPr>
            <w:tcW w:w="6076" w:type="dxa"/>
          </w:tcPr>
          <w:p w:rsidR="005508B8" w:rsidRPr="00F00A2E" w:rsidRDefault="002D6BB9" w:rsidP="00F00A2E">
            <w:pPr>
              <w:tabs>
                <w:tab w:val="left" w:pos="707"/>
              </w:tabs>
              <w:spacing w:after="0" w:line="240" w:lineRule="auto"/>
              <w:jc w:val="both"/>
              <w:rPr>
                <w:lang w:val="lv-LV"/>
              </w:rPr>
            </w:pPr>
            <w:r w:rsidRPr="00F00A2E">
              <w:rPr>
                <w:lang w:val="lv-LV"/>
              </w:rPr>
              <w:t xml:space="preserve">    </w:t>
            </w:r>
            <w:r w:rsidR="005508B8" w:rsidRPr="00F00A2E">
              <w:rPr>
                <w:lang w:val="lv-LV"/>
              </w:rPr>
              <w:t xml:space="preserve">Ministru kabineta rīkojuma projekts „Par finanšu līdzekļu piešķiršanu no valsts budžeta programmas „Līdzekļi neparedzētiem gadījumiem”” </w:t>
            </w:r>
            <w:r w:rsidR="0019238F">
              <w:rPr>
                <w:lang w:val="lv-LV"/>
              </w:rPr>
              <w:t xml:space="preserve">(turpmāk – rīkojuma projekts) </w:t>
            </w:r>
            <w:r w:rsidR="005508B8" w:rsidRPr="00F00A2E">
              <w:rPr>
                <w:lang w:val="lv-LV"/>
              </w:rPr>
              <w:t>sagatavots, pamatojoties uz:</w:t>
            </w:r>
          </w:p>
          <w:p w:rsidR="005508B8" w:rsidRPr="00F00A2E" w:rsidRDefault="005508B8" w:rsidP="00F00A2E">
            <w:pPr>
              <w:numPr>
                <w:ilvl w:val="0"/>
                <w:numId w:val="7"/>
              </w:numPr>
              <w:tabs>
                <w:tab w:val="left" w:pos="456"/>
              </w:tabs>
              <w:spacing w:after="0" w:line="240" w:lineRule="auto"/>
              <w:ind w:left="28" w:firstLine="142"/>
              <w:jc w:val="both"/>
              <w:rPr>
                <w:lang w:val="lv-LV"/>
              </w:rPr>
            </w:pPr>
            <w:r w:rsidRPr="00F00A2E">
              <w:rPr>
                <w:lang w:val="lv-LV"/>
              </w:rPr>
              <w:t>Ministru kabineta 2009.gada 22.decembra noteikumu Nr.1644 „Kārtība, kādā pieprasa un izlieto budžeta programmas „Līdzekļi neparedzētiem gadījumiem” līdzekļus” 3.punktu;</w:t>
            </w:r>
          </w:p>
          <w:p w:rsidR="00C40DD7" w:rsidRPr="005165C7" w:rsidRDefault="005508B8" w:rsidP="00F00A2E">
            <w:pPr>
              <w:numPr>
                <w:ilvl w:val="0"/>
                <w:numId w:val="7"/>
              </w:numPr>
              <w:tabs>
                <w:tab w:val="left" w:pos="456"/>
              </w:tabs>
              <w:spacing w:after="0" w:line="240" w:lineRule="auto"/>
              <w:ind w:left="28" w:firstLine="142"/>
              <w:jc w:val="both"/>
              <w:rPr>
                <w:lang w:val="lv-LV"/>
              </w:rPr>
            </w:pPr>
            <w:r w:rsidRPr="00F00A2E">
              <w:rPr>
                <w:kern w:val="1"/>
                <w:lang w:val="lv-LV" w:eastAsia="ar-SA"/>
              </w:rPr>
              <w:t>Sabiedrības vajadzībām nepieciešamā nekustamā īpašuma atsavināšanas likuma 3.pantu</w:t>
            </w:r>
            <w:r w:rsidR="00C40DD7">
              <w:rPr>
                <w:kern w:val="1"/>
                <w:lang w:val="lv-LV" w:eastAsia="ar-SA"/>
              </w:rPr>
              <w:t>;</w:t>
            </w:r>
          </w:p>
          <w:p w:rsidR="00EA1BE1" w:rsidRPr="00F00A2E" w:rsidRDefault="00C40DD7" w:rsidP="00F00A2E">
            <w:pPr>
              <w:numPr>
                <w:ilvl w:val="0"/>
                <w:numId w:val="7"/>
              </w:numPr>
              <w:tabs>
                <w:tab w:val="left" w:pos="456"/>
              </w:tabs>
              <w:spacing w:after="0" w:line="240" w:lineRule="auto"/>
              <w:ind w:left="28" w:firstLine="142"/>
              <w:jc w:val="both"/>
              <w:rPr>
                <w:lang w:val="lv-LV"/>
              </w:rPr>
            </w:pPr>
            <w:r>
              <w:rPr>
                <w:kern w:val="1"/>
                <w:lang w:val="lv-LV" w:eastAsia="ar-SA"/>
              </w:rPr>
              <w:t>Ministru kabineta 2015.gada 3.novembra sēdes protokollēmuma (p</w:t>
            </w:r>
            <w:r w:rsidR="00837B90">
              <w:rPr>
                <w:kern w:val="1"/>
                <w:lang w:val="lv-LV" w:eastAsia="ar-SA"/>
              </w:rPr>
              <w:t>rot. Nr.57 58.§) 8. un 10.punktu</w:t>
            </w:r>
            <w:r>
              <w:rPr>
                <w:kern w:val="1"/>
                <w:lang w:val="lv-LV" w:eastAsia="ar-SA"/>
              </w:rPr>
              <w:t>.</w:t>
            </w:r>
          </w:p>
        </w:tc>
      </w:tr>
      <w:tr w:rsidR="00EA1BE1" w:rsidRPr="007C7DF7" w:rsidTr="001B40B5">
        <w:trPr>
          <w:trHeight w:val="621"/>
        </w:trPr>
        <w:tc>
          <w:tcPr>
            <w:tcW w:w="488" w:type="dxa"/>
          </w:tcPr>
          <w:p w:rsidR="00EA1BE1" w:rsidRPr="00F00A2E" w:rsidRDefault="00BF7FC3" w:rsidP="00F00A2E">
            <w:pPr>
              <w:pStyle w:val="naiskr"/>
              <w:spacing w:before="0"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2.</w:t>
            </w:r>
          </w:p>
        </w:tc>
        <w:tc>
          <w:tcPr>
            <w:tcW w:w="2797" w:type="dxa"/>
          </w:tcPr>
          <w:p w:rsidR="00EA1BE1" w:rsidRPr="00F00A2E" w:rsidRDefault="00BF7FC3" w:rsidP="00F00A2E">
            <w:pPr>
              <w:pStyle w:val="naiskr"/>
              <w:tabs>
                <w:tab w:val="left" w:pos="170"/>
              </w:tabs>
              <w:spacing w:before="0"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076" w:type="dxa"/>
          </w:tcPr>
          <w:p w:rsidR="00FF1F4A" w:rsidRPr="00F00A2E" w:rsidRDefault="00BF7FC3" w:rsidP="00F00A2E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 w:rsidRPr="00F00A2E">
              <w:rPr>
                <w:lang w:val="lv-LV"/>
              </w:rPr>
              <w:t>Nekustamais īpašums</w:t>
            </w:r>
            <w:r w:rsidR="00FF1F4A" w:rsidRPr="00F00A2E">
              <w:rPr>
                <w:lang w:val="lv-LV"/>
              </w:rPr>
              <w:t xml:space="preserve"> „Bundulīši” </w:t>
            </w:r>
            <w:r w:rsidR="00FE67B2" w:rsidRPr="00F00A2E">
              <w:rPr>
                <w:lang w:val="lv-LV"/>
              </w:rPr>
              <w:t>(nekustamā īpašuma kadastra Nr.8084 006 0093)</w:t>
            </w:r>
            <w:r w:rsidR="00FE67B2">
              <w:rPr>
                <w:lang w:val="lv-LV"/>
              </w:rPr>
              <w:t xml:space="preserve"> </w:t>
            </w:r>
            <w:r w:rsidR="00FE67B2" w:rsidRPr="00FE67B2">
              <w:rPr>
                <w:lang w:val="lv-LV"/>
              </w:rPr>
              <w:t>Muceniekos,</w:t>
            </w:r>
            <w:r w:rsidR="00FE67B2">
              <w:rPr>
                <w:lang w:val="lv-LV"/>
              </w:rPr>
              <w:t xml:space="preserve"> </w:t>
            </w:r>
            <w:r w:rsidR="00FF1F4A" w:rsidRPr="00F00A2E">
              <w:rPr>
                <w:lang w:val="lv-LV"/>
              </w:rPr>
              <w:t>Ropažu novadā</w:t>
            </w:r>
            <w:r w:rsidR="00883D9B" w:rsidRPr="00F00A2E">
              <w:rPr>
                <w:lang w:val="lv-LV"/>
              </w:rPr>
              <w:t>,</w:t>
            </w:r>
            <w:r w:rsidRPr="00F00A2E">
              <w:rPr>
                <w:lang w:val="lv-LV"/>
              </w:rPr>
              <w:t xml:space="preserve"> sastāv no zemes vienības (zemes vienības kadastra </w:t>
            </w:r>
            <w:r w:rsidR="004A5E47" w:rsidRPr="00F00A2E">
              <w:rPr>
                <w:lang w:val="lv-LV"/>
              </w:rPr>
              <w:t xml:space="preserve">apzīmējums </w:t>
            </w:r>
            <w:r w:rsidR="00FF1F4A" w:rsidRPr="00F00A2E">
              <w:rPr>
                <w:lang w:val="lv-LV"/>
              </w:rPr>
              <w:t xml:space="preserve">8084 006 0093) 0,3447 ha </w:t>
            </w:r>
            <w:r w:rsidRPr="00F00A2E">
              <w:rPr>
                <w:lang w:val="lv-LV"/>
              </w:rPr>
              <w:t>platībā</w:t>
            </w:r>
            <w:r w:rsidR="002A2953" w:rsidRPr="00F00A2E">
              <w:rPr>
                <w:lang w:val="lv-LV"/>
              </w:rPr>
              <w:t xml:space="preserve"> un uz tā esoša</w:t>
            </w:r>
            <w:r w:rsidR="00F00A2E">
              <w:rPr>
                <w:lang w:val="lv-LV"/>
              </w:rPr>
              <w:t>s</w:t>
            </w:r>
            <w:r w:rsidR="002A2953" w:rsidRPr="00F00A2E">
              <w:rPr>
                <w:lang w:val="lv-LV"/>
              </w:rPr>
              <w:t xml:space="preserve"> </w:t>
            </w:r>
            <w:r w:rsidR="00F00A2E">
              <w:rPr>
                <w:lang w:val="lv-LV"/>
              </w:rPr>
              <w:t>dzīvojamās</w:t>
            </w:r>
            <w:r w:rsidR="00F00A2E" w:rsidRPr="00F00A2E">
              <w:rPr>
                <w:lang w:val="lv-LV"/>
              </w:rPr>
              <w:t xml:space="preserve"> </w:t>
            </w:r>
            <w:r w:rsidR="002A2953" w:rsidRPr="00F00A2E">
              <w:rPr>
                <w:lang w:val="lv-LV"/>
              </w:rPr>
              <w:t>mājas jaunbūve</w:t>
            </w:r>
            <w:r w:rsidR="00F00A2E">
              <w:rPr>
                <w:lang w:val="lv-LV"/>
              </w:rPr>
              <w:t>s (kadastra apzīmējums 8084 006 0093 001)</w:t>
            </w:r>
            <w:r w:rsidR="002A2953" w:rsidRPr="00F00A2E">
              <w:rPr>
                <w:lang w:val="lv-LV"/>
              </w:rPr>
              <w:t xml:space="preserve"> ar kopējo platību 1908,1 kv.m </w:t>
            </w:r>
            <w:r w:rsidRPr="00F00A2E">
              <w:rPr>
                <w:lang w:val="lv-LV"/>
              </w:rPr>
              <w:t xml:space="preserve">(turpmāk </w:t>
            </w:r>
            <w:r w:rsidR="00422FB7">
              <w:rPr>
                <w:lang w:val="lv-LV"/>
              </w:rPr>
              <w:t>–</w:t>
            </w:r>
            <w:r w:rsidRPr="00F00A2E">
              <w:rPr>
                <w:lang w:val="lv-LV"/>
              </w:rPr>
              <w:t xml:space="preserve"> nekustamais īpašums).</w:t>
            </w:r>
          </w:p>
          <w:p w:rsidR="00EA1BE1" w:rsidRPr="00F00A2E" w:rsidRDefault="00FF1F4A" w:rsidP="005165C7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 w:rsidRPr="00F00A2E">
              <w:rPr>
                <w:lang w:val="lv-LV"/>
              </w:rPr>
              <w:t>2</w:t>
            </w:r>
            <w:r w:rsidR="001A162F" w:rsidRPr="00F00A2E">
              <w:rPr>
                <w:lang w:val="lv-LV"/>
              </w:rPr>
              <w:t>012.gada 27.februārī</w:t>
            </w:r>
            <w:r w:rsidR="00BF7FC3" w:rsidRPr="00F00A2E">
              <w:rPr>
                <w:lang w:val="lv-LV"/>
              </w:rPr>
              <w:t xml:space="preserve"> </w:t>
            </w:r>
            <w:r w:rsidR="008611E7" w:rsidRPr="00F00A2E">
              <w:rPr>
                <w:lang w:val="lv-LV"/>
              </w:rPr>
              <w:t>nekustamais īpašums</w:t>
            </w:r>
            <w:r w:rsidRPr="00F00A2E">
              <w:rPr>
                <w:lang w:val="lv-LV"/>
              </w:rPr>
              <w:t xml:space="preserve"> Ropažu novada zemesgrāmatas nodalījumā Nr.10000017154</w:t>
            </w:r>
            <w:r w:rsidR="00F00A2E" w:rsidRPr="00F00A2E">
              <w:rPr>
                <w:lang w:val="lv-LV"/>
              </w:rPr>
              <w:t>2</w:t>
            </w:r>
            <w:r w:rsidR="00F00A2E">
              <w:rPr>
                <w:lang w:val="lv-LV"/>
              </w:rPr>
              <w:t xml:space="preserve"> i</w:t>
            </w:r>
            <w:r w:rsidR="00F00A2E" w:rsidRPr="00F00A2E">
              <w:rPr>
                <w:lang w:val="lv-LV"/>
              </w:rPr>
              <w:t xml:space="preserve">erakstīts uz SIA </w:t>
            </w:r>
            <w:r w:rsidR="002725F0">
              <w:rPr>
                <w:lang w:val="lv-LV"/>
              </w:rPr>
              <w:t>“</w:t>
            </w:r>
            <w:r w:rsidR="00F00A2E" w:rsidRPr="00F00A2E">
              <w:rPr>
                <w:lang w:val="lv-LV"/>
              </w:rPr>
              <w:t>LATECTUS”, reģ. N</w:t>
            </w:r>
            <w:r w:rsidR="00B97D2F">
              <w:rPr>
                <w:lang w:val="lv-LV"/>
              </w:rPr>
              <w:t>r</w:t>
            </w:r>
            <w:r w:rsidR="00F00A2E" w:rsidRPr="00F00A2E">
              <w:rPr>
                <w:lang w:val="lv-LV"/>
              </w:rPr>
              <w:t>. 40103213378 vārda</w:t>
            </w:r>
            <w:r w:rsidR="00BF7FC3" w:rsidRPr="00F00A2E">
              <w:rPr>
                <w:lang w:val="lv-LV"/>
              </w:rPr>
              <w:t>.</w:t>
            </w:r>
          </w:p>
          <w:p w:rsidR="00022E63" w:rsidRPr="00F00A2E" w:rsidRDefault="00BF7FC3" w:rsidP="0098597F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 w:rsidRPr="00F00A2E">
              <w:rPr>
                <w:lang w:val="lv-LV"/>
              </w:rPr>
              <w:t xml:space="preserve">Nekustamā īpašuma </w:t>
            </w:r>
            <w:r w:rsidR="00485D07" w:rsidRPr="00F00A2E">
              <w:rPr>
                <w:lang w:val="lv-LV"/>
              </w:rPr>
              <w:t xml:space="preserve">labprātīgas </w:t>
            </w:r>
            <w:r w:rsidR="009D08AF" w:rsidRPr="00F00A2E">
              <w:rPr>
                <w:lang w:val="lv-LV"/>
              </w:rPr>
              <w:t xml:space="preserve">atsavināšanas </w:t>
            </w:r>
            <w:r w:rsidR="00485D07" w:rsidRPr="00F00A2E">
              <w:rPr>
                <w:lang w:val="lv-LV"/>
              </w:rPr>
              <w:t xml:space="preserve">sabiedrības vajadzībām </w:t>
            </w:r>
            <w:r w:rsidR="009D08AF" w:rsidRPr="00F00A2E">
              <w:rPr>
                <w:lang w:val="lv-LV"/>
              </w:rPr>
              <w:t>mērķis ir</w:t>
            </w:r>
            <w:r w:rsidRPr="00F00A2E">
              <w:rPr>
                <w:lang w:val="lv-LV"/>
              </w:rPr>
              <w:t xml:space="preserve"> nodrošināt </w:t>
            </w:r>
            <w:r w:rsidR="00B97D2F">
              <w:rPr>
                <w:lang w:val="lv-LV"/>
              </w:rPr>
              <w:t xml:space="preserve">ar Ministru kabineta 2015.gada 2.decembra rīkojumu Nr.759 </w:t>
            </w:r>
            <w:r w:rsidR="001A162F" w:rsidRPr="00F00A2E">
              <w:rPr>
                <w:lang w:val="lv-LV"/>
              </w:rPr>
              <w:t>„Rīcības plān</w:t>
            </w:r>
            <w:r w:rsidR="00B97D2F">
              <w:rPr>
                <w:lang w:val="lv-LV"/>
              </w:rPr>
              <w:t>s</w:t>
            </w:r>
            <w:r w:rsidR="001A162F" w:rsidRPr="00F00A2E">
              <w:rPr>
                <w:lang w:val="lv-LV"/>
              </w:rPr>
              <w:t xml:space="preserve"> personu, kurām nepieciešam</w:t>
            </w:r>
            <w:r w:rsidR="00B97D2F">
              <w:rPr>
                <w:lang w:val="lv-LV"/>
              </w:rPr>
              <w:t>a</w:t>
            </w:r>
            <w:r w:rsidR="001A162F" w:rsidRPr="00F00A2E">
              <w:rPr>
                <w:lang w:val="lv-LV"/>
              </w:rPr>
              <w:t xml:space="preserve"> starptautiskā aizsardzība, pārvietošanai un uzņemšanai Latvijā” </w:t>
            </w:r>
            <w:r w:rsidR="00B97D2F">
              <w:rPr>
                <w:lang w:val="lv-LV"/>
              </w:rPr>
              <w:t xml:space="preserve">apstiprinātā </w:t>
            </w:r>
            <w:r w:rsidR="00B97D2F" w:rsidRPr="00B97D2F">
              <w:rPr>
                <w:lang w:val="lv-LV"/>
              </w:rPr>
              <w:t xml:space="preserve">Rīcības plāna personu, kurām nepieciešama starptautiskā aizsardzība, pārvietošanai un uzņemšanai Latvijā </w:t>
            </w:r>
            <w:r w:rsidR="001A162F" w:rsidRPr="00F00A2E">
              <w:rPr>
                <w:lang w:val="lv-LV"/>
              </w:rPr>
              <w:t>izpildi.</w:t>
            </w:r>
            <w:r w:rsidR="00022E63">
              <w:rPr>
                <w:lang w:val="lv-LV"/>
              </w:rPr>
              <w:t xml:space="preserve"> </w:t>
            </w:r>
          </w:p>
          <w:p w:rsidR="004D1245" w:rsidRDefault="00005B35" w:rsidP="00ED7E7A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 w:rsidRPr="00F00A2E">
              <w:rPr>
                <w:lang w:val="lv-LV"/>
              </w:rPr>
              <w:t xml:space="preserve">Sabiedrības vajadzībām nepieciešamā nekustamā īpašuma atsavināšanas likumā </w:t>
            </w:r>
            <w:r w:rsidR="00663064" w:rsidRPr="00F00A2E">
              <w:rPr>
                <w:lang w:val="lv-LV"/>
              </w:rPr>
              <w:t xml:space="preserve">un Ministru kabineta 2011.gada 15.marta noteikumu Nr.204 „Kārtība, kādā nosaka taisnīgu atlīdzību par sabiedrības vajadzībām atsavināmo nekustamo īpašumu’’ </w:t>
            </w:r>
            <w:r w:rsidRPr="00F00A2E">
              <w:rPr>
                <w:lang w:val="lv-LV"/>
              </w:rPr>
              <w:t>noteiktajā kārtībā</w:t>
            </w:r>
            <w:r w:rsidR="00663064" w:rsidRPr="00F00A2E">
              <w:rPr>
                <w:lang w:val="lv-LV"/>
              </w:rPr>
              <w:t xml:space="preserve"> izveidot</w:t>
            </w:r>
            <w:r w:rsidR="0011762E" w:rsidRPr="00F00A2E">
              <w:rPr>
                <w:lang w:val="lv-LV"/>
              </w:rPr>
              <w:t>ā Iekšlietu ministrijas pastāvīgā komisija sabiedrības vajadzībām nepieciešamā īpašuma atsavināšanai</w:t>
            </w:r>
            <w:r w:rsidR="009E5C81" w:rsidRPr="00F00A2E">
              <w:rPr>
                <w:lang w:val="lv-LV"/>
              </w:rPr>
              <w:t>, izvērt</w:t>
            </w:r>
            <w:r w:rsidR="00CC5F3C" w:rsidRPr="00F00A2E">
              <w:rPr>
                <w:lang w:val="lv-LV"/>
              </w:rPr>
              <w:t>ējot sertificēt</w:t>
            </w:r>
            <w:r w:rsidR="00F6087C" w:rsidRPr="00F00A2E">
              <w:rPr>
                <w:lang w:val="lv-LV"/>
              </w:rPr>
              <w:t>a</w:t>
            </w:r>
            <w:r w:rsidR="00CC5F3C" w:rsidRPr="00F00A2E">
              <w:rPr>
                <w:lang w:val="lv-LV"/>
              </w:rPr>
              <w:t xml:space="preserve"> nekustamā īpašuma vērtētāj</w:t>
            </w:r>
            <w:r w:rsidR="00F6087C" w:rsidRPr="00F00A2E">
              <w:rPr>
                <w:lang w:val="lv-LV"/>
              </w:rPr>
              <w:t>a</w:t>
            </w:r>
            <w:r w:rsidR="00CC5F3C" w:rsidRPr="00F00A2E">
              <w:rPr>
                <w:lang w:val="lv-LV"/>
              </w:rPr>
              <w:t xml:space="preserve"> </w:t>
            </w:r>
            <w:r w:rsidR="00A849D3" w:rsidRPr="00F00A2E">
              <w:rPr>
                <w:lang w:val="lv-LV"/>
              </w:rPr>
              <w:t>SIA „EIROEKSPERTS” 2015.gada 13.novembra  atzinumu Nr.2015/L2432/1100</w:t>
            </w:r>
            <w:r w:rsidR="00CC5F3C" w:rsidRPr="00F00A2E">
              <w:rPr>
                <w:lang w:val="lv-LV"/>
              </w:rPr>
              <w:t xml:space="preserve"> „Par nekustamā īpašuma</w:t>
            </w:r>
            <w:r w:rsidR="00B00E59" w:rsidRPr="00F00A2E">
              <w:rPr>
                <w:lang w:val="lv-LV"/>
              </w:rPr>
              <w:t xml:space="preserve"> „Bundulīši”, </w:t>
            </w:r>
            <w:r w:rsidR="002F0EBF">
              <w:rPr>
                <w:lang w:val="lv-LV"/>
              </w:rPr>
              <w:t xml:space="preserve">Mucenieki, </w:t>
            </w:r>
            <w:r w:rsidR="00B00E59" w:rsidRPr="00F00A2E">
              <w:rPr>
                <w:lang w:val="lv-LV"/>
              </w:rPr>
              <w:t>Ropažu novadā</w:t>
            </w:r>
            <w:r w:rsidR="00CC5F3C" w:rsidRPr="00F00A2E">
              <w:rPr>
                <w:lang w:val="lv-LV"/>
              </w:rPr>
              <w:t xml:space="preserve"> iespējamo pārdošanas cenu</w:t>
            </w:r>
            <w:r w:rsidR="002F0EBF">
              <w:rPr>
                <w:lang w:val="lv-LV"/>
              </w:rPr>
              <w:t>”</w:t>
            </w:r>
            <w:r w:rsidR="00C035E9">
              <w:rPr>
                <w:lang w:val="lv-LV"/>
              </w:rPr>
              <w:t>,</w:t>
            </w:r>
            <w:r w:rsidR="002725F0">
              <w:rPr>
                <w:lang w:val="lv-LV"/>
              </w:rPr>
              <w:t xml:space="preserve"> </w:t>
            </w:r>
            <w:r w:rsidR="00CC5F3C" w:rsidRPr="00F00A2E">
              <w:rPr>
                <w:lang w:val="lv-LV"/>
              </w:rPr>
              <w:t xml:space="preserve">noteica nekustamā īpašuma atsavināšanas sabiedrības vajadzībām atlīdzību </w:t>
            </w:r>
            <w:r w:rsidR="00A849D3" w:rsidRPr="00F00A2E">
              <w:rPr>
                <w:lang w:val="lv-LV"/>
              </w:rPr>
              <w:t>75</w:t>
            </w:r>
            <w:r w:rsidR="00CC5F3C" w:rsidRPr="00F00A2E">
              <w:rPr>
                <w:lang w:val="lv-LV"/>
              </w:rPr>
              <w:t xml:space="preserve"> 000 </w:t>
            </w:r>
            <w:r w:rsidR="00CC5F3C" w:rsidRPr="005165C7">
              <w:rPr>
                <w:i/>
                <w:lang w:val="lv-LV"/>
              </w:rPr>
              <w:t>euro</w:t>
            </w:r>
            <w:r w:rsidR="00CC5F3C" w:rsidRPr="00F00A2E">
              <w:rPr>
                <w:lang w:val="lv-LV"/>
              </w:rPr>
              <w:t xml:space="preserve"> </w:t>
            </w:r>
            <w:r w:rsidR="009B61C5" w:rsidRPr="00F00A2E">
              <w:rPr>
                <w:lang w:val="lv-LV"/>
              </w:rPr>
              <w:t>apmērā</w:t>
            </w:r>
            <w:r w:rsidR="00A849D3" w:rsidRPr="00F00A2E">
              <w:rPr>
                <w:lang w:val="lv-LV"/>
              </w:rPr>
              <w:t xml:space="preserve"> (zemes vērtība - 21 000 </w:t>
            </w:r>
            <w:r w:rsidR="00A849D3" w:rsidRPr="005165C7">
              <w:rPr>
                <w:i/>
                <w:lang w:val="lv-LV"/>
              </w:rPr>
              <w:t>euro</w:t>
            </w:r>
            <w:r w:rsidR="00A849D3" w:rsidRPr="00F00A2E">
              <w:rPr>
                <w:lang w:val="lv-LV"/>
              </w:rPr>
              <w:t xml:space="preserve">, ēkas vērtība – 54 000 </w:t>
            </w:r>
            <w:r w:rsidR="00A849D3" w:rsidRPr="005165C7">
              <w:rPr>
                <w:i/>
                <w:lang w:val="lv-LV"/>
              </w:rPr>
              <w:t>euro</w:t>
            </w:r>
            <w:r w:rsidR="00A849D3" w:rsidRPr="00F00A2E">
              <w:rPr>
                <w:lang w:val="lv-LV"/>
              </w:rPr>
              <w:t>)</w:t>
            </w:r>
            <w:r w:rsidR="009B61C5" w:rsidRPr="00F00A2E">
              <w:rPr>
                <w:lang w:val="lv-LV"/>
              </w:rPr>
              <w:t>, ko apstiprināja ar Iekšlietu ministrijas 201</w:t>
            </w:r>
            <w:r w:rsidR="00B00E59" w:rsidRPr="00F00A2E">
              <w:rPr>
                <w:lang w:val="lv-LV"/>
              </w:rPr>
              <w:t>5</w:t>
            </w:r>
            <w:r w:rsidR="00E242B1" w:rsidRPr="00F00A2E">
              <w:rPr>
                <w:lang w:val="lv-LV"/>
              </w:rPr>
              <w:t>.gada 30</w:t>
            </w:r>
            <w:r w:rsidR="009B61C5" w:rsidRPr="00F00A2E">
              <w:rPr>
                <w:lang w:val="lv-LV"/>
              </w:rPr>
              <w:t xml:space="preserve">.novembra lēmumu Nr.1 „Ar Iekšlietu ministrijas 2013.gada 14.decembra rīkojumu Nr.1-12/2922 „Par pastāvīgās komisijas izveidošanu sabiedrības </w:t>
            </w:r>
            <w:r w:rsidR="009B61C5" w:rsidRPr="00F00A2E">
              <w:rPr>
                <w:lang w:val="lv-LV"/>
              </w:rPr>
              <w:lastRenderedPageBreak/>
              <w:t>vajadzībām nepieciešamā īpašuma atsavināšanai” izveidotās komisijas lēmum</w:t>
            </w:r>
            <w:r w:rsidR="00C9068D" w:rsidRPr="00F00A2E">
              <w:rPr>
                <w:lang w:val="lv-LV"/>
              </w:rPr>
              <w:t>s</w:t>
            </w:r>
            <w:r w:rsidR="009B61C5" w:rsidRPr="00F00A2E">
              <w:rPr>
                <w:lang w:val="lv-LV"/>
              </w:rPr>
              <w:t>”</w:t>
            </w:r>
            <w:r w:rsidR="00483013" w:rsidRPr="00F00A2E">
              <w:rPr>
                <w:lang w:val="lv-LV"/>
              </w:rPr>
              <w:t>.</w:t>
            </w:r>
          </w:p>
          <w:p w:rsidR="00AE538B" w:rsidRPr="00F00A2E" w:rsidRDefault="00AE538B" w:rsidP="00ED7E7A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>
              <w:rPr>
                <w:lang w:val="lv-LV"/>
              </w:rPr>
              <w:t>No</w:t>
            </w:r>
            <w:r w:rsidRPr="00AE538B">
              <w:rPr>
                <w:lang w:val="lv-LV"/>
              </w:rPr>
              <w:t xml:space="preserve"> nekustamā īpašuma īpašnieka SIA </w:t>
            </w:r>
            <w:r>
              <w:rPr>
                <w:lang w:val="lv-LV"/>
              </w:rPr>
              <w:t>“LATECTUS”  saņemts 2015.gada 23.novembr</w:t>
            </w:r>
            <w:r w:rsidR="0014412F">
              <w:rPr>
                <w:lang w:val="lv-LV"/>
              </w:rPr>
              <w:t>a</w:t>
            </w:r>
            <w:r>
              <w:rPr>
                <w:lang w:val="lv-LV"/>
              </w:rPr>
              <w:t xml:space="preserve"> iesniegums</w:t>
            </w:r>
            <w:r w:rsidRPr="00AE538B">
              <w:rPr>
                <w:lang w:val="lv-LV"/>
              </w:rPr>
              <w:t xml:space="preserve"> par piekrišanu atlīdzības apmēram</w:t>
            </w:r>
            <w:r w:rsidR="0014412F">
              <w:rPr>
                <w:lang w:val="lv-LV"/>
              </w:rPr>
              <w:t>.</w:t>
            </w:r>
          </w:p>
          <w:p w:rsidR="00A65740" w:rsidRDefault="00A65740" w:rsidP="008E1B57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 w:rsidRPr="00A65740">
              <w:rPr>
                <w:lang w:val="lv-LV"/>
              </w:rPr>
              <w:t>Pamatojoties uz Ministru kabineta 2009.gada 22.decembra noteikumu Nr.1644 „Kārtība, kādā pieprasa un izlieto budžeta programmas „Līdzekļi neparedzētiem gadījumiem” līdzekļus” 3.punktu – līdzekļus piešķir valsts pamatbudžeta apropriācijās neparedzētiem izdevumiem katastrofu un dabas stihiju seku novēršanai, to radīto zaudējumu kompensēšanai, citiem neparedzētiem gadījumiem un valstiski īpaši nozīmīgiem pasākumiem.</w:t>
            </w:r>
          </w:p>
          <w:p w:rsidR="009D29F5" w:rsidRDefault="009D29F5" w:rsidP="008E1B57">
            <w:pPr>
              <w:spacing w:after="0" w:line="240" w:lineRule="auto"/>
              <w:ind w:firstLine="264"/>
              <w:jc w:val="both"/>
              <w:rPr>
                <w:lang w:val="lv-LV"/>
              </w:rPr>
            </w:pPr>
            <w:r w:rsidRPr="009D29F5">
              <w:rPr>
                <w:lang w:val="lv-LV"/>
              </w:rPr>
              <w:t>Sakarā ar to Iekšlietu ministrija ir sagatavojusi rīkojuma projektu, kas paredz piešķirt finanšu līdzekļus no valsts budžeta programmas 02.00.00 „Līdzekļi neparedzētiem gadījumiem” Iekšlietu ministrijai</w:t>
            </w:r>
            <w:r>
              <w:rPr>
                <w:lang w:val="lv-LV"/>
              </w:rPr>
              <w:t xml:space="preserve"> </w:t>
            </w:r>
            <w:r w:rsidRPr="009D29F5">
              <w:rPr>
                <w:lang w:val="lv-LV"/>
              </w:rPr>
              <w:t xml:space="preserve">(Nodrošinājuma valsts aģentūrai) 75 000 </w:t>
            </w:r>
            <w:r w:rsidRPr="005165C7">
              <w:rPr>
                <w:i/>
                <w:lang w:val="lv-LV"/>
              </w:rPr>
              <w:t>euro</w:t>
            </w:r>
            <w:r w:rsidRPr="009D29F5">
              <w:rPr>
                <w:lang w:val="lv-LV"/>
              </w:rPr>
              <w:t>, lai segtu izdevumus, kas saistīti ar nekustamā īpašuma „Bundulīši”</w:t>
            </w:r>
            <w:r w:rsidR="00422FB7">
              <w:rPr>
                <w:lang w:val="lv-LV"/>
              </w:rPr>
              <w:t xml:space="preserve"> </w:t>
            </w:r>
            <w:r w:rsidR="00422FB7" w:rsidRPr="009D29F5">
              <w:rPr>
                <w:lang w:val="lv-LV"/>
              </w:rPr>
              <w:t>(nekustamā īpašuma kadastra Nr.8084 006 0093)</w:t>
            </w:r>
            <w:r w:rsidRPr="009D29F5">
              <w:rPr>
                <w:lang w:val="lv-LV"/>
              </w:rPr>
              <w:t xml:space="preserve"> Muceniekos, Ropažu novadā, labprātīgu atsavināšanu sabiedrības vajadzībām.</w:t>
            </w:r>
          </w:p>
          <w:p w:rsidR="00C035E9" w:rsidRPr="00F00A2E" w:rsidRDefault="00F77B0E" w:rsidP="0098597F">
            <w:pPr>
              <w:spacing w:after="0" w:line="240" w:lineRule="auto"/>
              <w:ind w:firstLine="264"/>
              <w:jc w:val="both"/>
              <w:rPr>
                <w:kern w:val="1"/>
                <w:lang w:val="lv-LV" w:eastAsia="ar-SA"/>
              </w:rPr>
            </w:pPr>
            <w:r w:rsidRPr="00F77B0E">
              <w:rPr>
                <w:kern w:val="1"/>
                <w:lang w:val="lv-LV" w:eastAsia="ar-SA"/>
              </w:rPr>
              <w:t>Pēc atsavināšanas pabeigšanas</w:t>
            </w:r>
            <w:r>
              <w:rPr>
                <w:kern w:val="1"/>
                <w:lang w:val="lv-LV" w:eastAsia="ar-SA"/>
              </w:rPr>
              <w:t xml:space="preserve"> Iekšlietu ministrija nekustamo</w:t>
            </w:r>
            <w:r w:rsidRPr="00F77B0E">
              <w:rPr>
                <w:kern w:val="1"/>
                <w:lang w:val="lv-LV" w:eastAsia="ar-SA"/>
              </w:rPr>
              <w:t xml:space="preserve"> īpašumu normatīvajos aktos noteiktajā kārtībā ierakstīs zemesgrāmatā, īpašumtiesības reģistrējot uz valsts vārda Iekšlietu ministrijas personā.</w:t>
            </w:r>
          </w:p>
        </w:tc>
      </w:tr>
      <w:tr w:rsidR="00EA1BE1" w:rsidRPr="00F00A2E" w:rsidTr="001B40B5">
        <w:trPr>
          <w:trHeight w:val="626"/>
        </w:trPr>
        <w:tc>
          <w:tcPr>
            <w:tcW w:w="488" w:type="dxa"/>
          </w:tcPr>
          <w:p w:rsidR="00EA1BE1" w:rsidRPr="00F00A2E" w:rsidRDefault="00BF7FC3" w:rsidP="00F00A2E">
            <w:pPr>
              <w:pStyle w:val="naiskr"/>
              <w:spacing w:before="0"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lastRenderedPageBreak/>
              <w:t>3.</w:t>
            </w:r>
          </w:p>
        </w:tc>
        <w:tc>
          <w:tcPr>
            <w:tcW w:w="2797" w:type="dxa"/>
          </w:tcPr>
          <w:p w:rsidR="00EA1BE1" w:rsidRPr="00F00A2E" w:rsidRDefault="00BF7FC3" w:rsidP="00F00A2E">
            <w:pPr>
              <w:pStyle w:val="naiskr"/>
              <w:spacing w:before="0"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Projekta izstrādē iesaistītās institūcijas</w:t>
            </w:r>
          </w:p>
        </w:tc>
        <w:tc>
          <w:tcPr>
            <w:tcW w:w="6076" w:type="dxa"/>
          </w:tcPr>
          <w:p w:rsidR="00EA1BE1" w:rsidRPr="00F00A2E" w:rsidRDefault="00BF7FC3" w:rsidP="004E3656">
            <w:pPr>
              <w:pStyle w:val="naiskr"/>
              <w:spacing w:before="0" w:after="0" w:line="240" w:lineRule="auto"/>
              <w:jc w:val="both"/>
              <w:rPr>
                <w:lang w:val="lv-LV"/>
              </w:rPr>
            </w:pPr>
            <w:r w:rsidRPr="00F00A2E">
              <w:rPr>
                <w:iCs/>
                <w:lang w:val="lv-LV"/>
              </w:rPr>
              <w:t>Iekšlietu ministrija, Nod</w:t>
            </w:r>
            <w:r w:rsidR="00CE353D" w:rsidRPr="00F00A2E">
              <w:rPr>
                <w:iCs/>
                <w:lang w:val="lv-LV"/>
              </w:rPr>
              <w:t>rošinājuma valsts aģentūra</w:t>
            </w:r>
            <w:r w:rsidR="004E3656">
              <w:rPr>
                <w:iCs/>
                <w:lang w:val="lv-LV"/>
              </w:rPr>
              <w:t>.</w:t>
            </w:r>
          </w:p>
        </w:tc>
      </w:tr>
      <w:tr w:rsidR="00EA1BE1" w:rsidRPr="00F00A2E" w:rsidTr="009670D4">
        <w:trPr>
          <w:trHeight w:val="290"/>
        </w:trPr>
        <w:tc>
          <w:tcPr>
            <w:tcW w:w="488" w:type="dxa"/>
          </w:tcPr>
          <w:p w:rsidR="00EA1BE1" w:rsidRPr="00F00A2E" w:rsidRDefault="00BF7FC3" w:rsidP="00F00A2E">
            <w:pPr>
              <w:pStyle w:val="naiskr"/>
              <w:spacing w:before="0"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4.</w:t>
            </w:r>
          </w:p>
        </w:tc>
        <w:tc>
          <w:tcPr>
            <w:tcW w:w="2797" w:type="dxa"/>
          </w:tcPr>
          <w:p w:rsidR="00EA1BE1" w:rsidRPr="00F00A2E" w:rsidRDefault="00BF7FC3" w:rsidP="00F00A2E">
            <w:pPr>
              <w:pStyle w:val="naiskr"/>
              <w:spacing w:before="0"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Cita informācija</w:t>
            </w:r>
          </w:p>
        </w:tc>
        <w:tc>
          <w:tcPr>
            <w:tcW w:w="6076" w:type="dxa"/>
          </w:tcPr>
          <w:p w:rsidR="00EA1BE1" w:rsidRPr="00F00A2E" w:rsidRDefault="00BF7FC3" w:rsidP="00F00A2E">
            <w:pPr>
              <w:pStyle w:val="naiskr"/>
              <w:spacing w:before="0"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Nav</w:t>
            </w:r>
            <w:r w:rsidR="001B40B5" w:rsidRPr="00F00A2E">
              <w:rPr>
                <w:lang w:val="lv-LV"/>
              </w:rPr>
              <w:t>.</w:t>
            </w:r>
          </w:p>
        </w:tc>
      </w:tr>
    </w:tbl>
    <w:p w:rsidR="00EA1BE1" w:rsidRPr="00F00A2E" w:rsidRDefault="00EA1BE1" w:rsidP="00F00A2E">
      <w:pPr>
        <w:pStyle w:val="naisf"/>
        <w:spacing w:before="0" w:after="0" w:line="240" w:lineRule="auto"/>
        <w:rPr>
          <w:lang w:val="lv-LV"/>
        </w:rPr>
      </w:pPr>
    </w:p>
    <w:tbl>
      <w:tblPr>
        <w:tblW w:w="10626" w:type="dxa"/>
        <w:tblInd w:w="-1304" w:type="dxa"/>
        <w:tblLayout w:type="fixed"/>
        <w:tblLook w:val="0000" w:firstRow="0" w:lastRow="0" w:firstColumn="0" w:lastColumn="0" w:noHBand="0" w:noVBand="0"/>
      </w:tblPr>
      <w:tblGrid>
        <w:gridCol w:w="1270"/>
        <w:gridCol w:w="568"/>
        <w:gridCol w:w="2352"/>
        <w:gridCol w:w="1168"/>
        <w:gridCol w:w="23"/>
        <w:gridCol w:w="1276"/>
        <w:gridCol w:w="1276"/>
        <w:gridCol w:w="1417"/>
        <w:gridCol w:w="219"/>
        <w:gridCol w:w="1057"/>
      </w:tblGrid>
      <w:tr w:rsidR="000C68EA" w:rsidRPr="007C7DF7" w:rsidTr="00286765">
        <w:trPr>
          <w:gridBefore w:val="1"/>
          <w:wBefore w:w="1270" w:type="dxa"/>
          <w:trHeight w:val="315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b/>
                <w:bCs/>
                <w:lang w:val="lv-LV"/>
              </w:rPr>
            </w:pPr>
            <w:r w:rsidRPr="00F00A2E">
              <w:rPr>
                <w:b/>
                <w:bCs/>
                <w:lang w:val="lv-LV"/>
              </w:rPr>
              <w:t>III. Tiesību akta projekta ietekme uz valsts budžetu un pašvaldību budžetiem</w:t>
            </w:r>
          </w:p>
        </w:tc>
      </w:tr>
      <w:tr w:rsidR="000C68EA" w:rsidRPr="00F00A2E" w:rsidTr="001D4ED4">
        <w:trPr>
          <w:gridBefore w:val="1"/>
          <w:wBefore w:w="1270" w:type="dxa"/>
          <w:trHeight w:val="25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 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right"/>
              <w:rPr>
                <w:lang w:val="lv-LV"/>
              </w:rPr>
            </w:pPr>
            <w:r w:rsidRPr="00F00A2E">
              <w:rPr>
                <w:lang w:val="lv-LV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Turpmākie trīs gadi (</w:t>
            </w:r>
            <w:r w:rsidRPr="00F00A2E">
              <w:rPr>
                <w:i/>
                <w:lang w:val="lv-LV"/>
              </w:rPr>
              <w:t>euro</w:t>
            </w:r>
            <w:r w:rsidRPr="00F00A2E">
              <w:rPr>
                <w:lang w:val="lv-LV"/>
              </w:rPr>
              <w:t>)</w:t>
            </w:r>
          </w:p>
        </w:tc>
      </w:tr>
      <w:tr w:rsidR="000C68EA" w:rsidRPr="00F00A2E" w:rsidTr="001D4ED4">
        <w:trPr>
          <w:gridBefore w:val="1"/>
          <w:wBefore w:w="1270" w:type="dxa"/>
          <w:trHeight w:val="255"/>
        </w:trPr>
        <w:tc>
          <w:tcPr>
            <w:tcW w:w="2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b/>
                <w:bCs/>
                <w:lang w:val="lv-LV"/>
              </w:rPr>
            </w:pPr>
            <w:r w:rsidRPr="00F00A2E">
              <w:rPr>
                <w:b/>
                <w:bCs/>
                <w:lang w:val="lv-LV"/>
              </w:rPr>
              <w:t>Rādītāji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110B65" w:rsidP="00F00A2E">
            <w:pPr>
              <w:spacing w:after="0" w:line="240" w:lineRule="auto"/>
              <w:jc w:val="center"/>
              <w:rPr>
                <w:b/>
                <w:bCs/>
                <w:lang w:val="lv-LV"/>
              </w:rPr>
            </w:pPr>
            <w:r w:rsidRPr="00F00A2E">
              <w:rPr>
                <w:b/>
                <w:bCs/>
                <w:lang w:val="lv-LV"/>
              </w:rPr>
              <w:t>2016</w:t>
            </w:r>
            <w:r w:rsidR="000C68EA" w:rsidRPr="00F00A2E">
              <w:rPr>
                <w:b/>
                <w:bCs/>
                <w:lang w:val="lv-LV"/>
              </w:rPr>
              <w:t>.gads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110B65" w:rsidP="00F00A2E">
            <w:pPr>
              <w:spacing w:after="0" w:line="240" w:lineRule="auto"/>
              <w:jc w:val="center"/>
              <w:rPr>
                <w:b/>
                <w:bCs/>
                <w:lang w:val="lv-LV"/>
              </w:rPr>
            </w:pPr>
            <w:r w:rsidRPr="00F00A2E">
              <w:rPr>
                <w:b/>
                <w:bCs/>
                <w:lang w:val="lv-LV"/>
              </w:rPr>
              <w:t>2017</w:t>
            </w:r>
            <w:r w:rsidR="000C68EA" w:rsidRPr="00F00A2E">
              <w:rPr>
                <w:b/>
                <w:bCs/>
                <w:lang w:val="lv-LV"/>
              </w:rPr>
              <w:t>.gads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110B65" w:rsidP="00F00A2E">
            <w:pPr>
              <w:spacing w:after="0" w:line="240" w:lineRule="auto"/>
              <w:jc w:val="center"/>
              <w:rPr>
                <w:b/>
                <w:bCs/>
                <w:lang w:val="lv-LV"/>
              </w:rPr>
            </w:pPr>
            <w:r w:rsidRPr="00F00A2E">
              <w:rPr>
                <w:b/>
                <w:bCs/>
                <w:lang w:val="lv-LV"/>
              </w:rPr>
              <w:t>2018</w:t>
            </w:r>
            <w:r w:rsidR="000C68EA" w:rsidRPr="00F00A2E">
              <w:rPr>
                <w:b/>
                <w:bCs/>
                <w:lang w:val="lv-LV"/>
              </w:rPr>
              <w:t>.gads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110B65" w:rsidP="00F00A2E">
            <w:pPr>
              <w:spacing w:after="0" w:line="240" w:lineRule="auto"/>
              <w:jc w:val="center"/>
              <w:rPr>
                <w:b/>
                <w:bCs/>
                <w:lang w:val="lv-LV"/>
              </w:rPr>
            </w:pPr>
            <w:r w:rsidRPr="00F00A2E">
              <w:rPr>
                <w:b/>
                <w:bCs/>
                <w:lang w:val="lv-LV"/>
              </w:rPr>
              <w:t>2019</w:t>
            </w:r>
            <w:r w:rsidR="000C68EA" w:rsidRPr="00F00A2E">
              <w:rPr>
                <w:b/>
                <w:bCs/>
                <w:lang w:val="lv-LV"/>
              </w:rPr>
              <w:t>.gads</w:t>
            </w:r>
          </w:p>
        </w:tc>
      </w:tr>
      <w:tr w:rsidR="000C68EA" w:rsidRPr="00F00A2E" w:rsidTr="001D4ED4">
        <w:trPr>
          <w:gridBefore w:val="1"/>
          <w:wBefore w:w="1270" w:type="dxa"/>
          <w:trHeight w:val="1020"/>
        </w:trPr>
        <w:tc>
          <w:tcPr>
            <w:tcW w:w="29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rPr>
                <w:b/>
                <w:bCs/>
                <w:lang w:val="lv-LV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Saskaņā ar valsts budžetu kārtējam gadam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Izmaiņas kārtējā gadā, salīdzinot ar budžetu kārtējam gadam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Izmai</w:t>
            </w:r>
            <w:r w:rsidR="00181F4D" w:rsidRPr="00F00A2E">
              <w:rPr>
                <w:lang w:val="lv-LV"/>
              </w:rPr>
              <w:t>ņas, salīdzinot ar kārtējo (201</w:t>
            </w:r>
            <w:r w:rsidR="00837B90">
              <w:rPr>
                <w:lang w:val="lv-LV"/>
              </w:rPr>
              <w:t>6</w:t>
            </w:r>
            <w:r w:rsidRPr="00F00A2E">
              <w:rPr>
                <w:lang w:val="lv-LV"/>
              </w:rPr>
              <w:t>.) gadu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Izmai</w:t>
            </w:r>
            <w:r w:rsidR="00181F4D" w:rsidRPr="00F00A2E">
              <w:rPr>
                <w:lang w:val="lv-LV"/>
              </w:rPr>
              <w:t>ņas, salīdzinot ar kārtējo (201</w:t>
            </w:r>
            <w:r w:rsidR="00837B90">
              <w:rPr>
                <w:lang w:val="lv-LV"/>
              </w:rPr>
              <w:t>6</w:t>
            </w:r>
            <w:r w:rsidRPr="00F00A2E">
              <w:rPr>
                <w:lang w:val="lv-LV"/>
              </w:rPr>
              <w:t>.) gadu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Izmai</w:t>
            </w:r>
            <w:r w:rsidR="00181F4D" w:rsidRPr="00F00A2E">
              <w:rPr>
                <w:lang w:val="lv-LV"/>
              </w:rPr>
              <w:t>ņas, salīdzinot ar kārtējo (201</w:t>
            </w:r>
            <w:r w:rsidR="00837B90">
              <w:rPr>
                <w:lang w:val="lv-LV"/>
              </w:rPr>
              <w:t>6</w:t>
            </w:r>
            <w:r w:rsidRPr="00F00A2E">
              <w:rPr>
                <w:lang w:val="lv-LV"/>
              </w:rPr>
              <w:t>.) gadu</w:t>
            </w:r>
          </w:p>
        </w:tc>
      </w:tr>
      <w:tr w:rsidR="000C68EA" w:rsidRPr="00F00A2E" w:rsidTr="001D4ED4">
        <w:trPr>
          <w:gridBefore w:val="1"/>
          <w:wBefore w:w="1270" w:type="dxa"/>
          <w:trHeight w:val="25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6</w:t>
            </w:r>
          </w:p>
        </w:tc>
      </w:tr>
      <w:tr w:rsidR="000C68EA" w:rsidRPr="00F00A2E" w:rsidTr="001D4ED4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1. Budžeta ieņēmumi: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C68EA" w:rsidRPr="00F00A2E" w:rsidTr="001D4ED4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1.1.valsts pamatbudžets, tai skaitā ieņēmumi no maksas pakalpojumiem un citi pašu ieņēmumi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C68EA" w:rsidRPr="00F00A2E" w:rsidTr="001D4ED4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1.2.valsts speciālais budžets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C68EA" w:rsidRPr="00F00A2E" w:rsidTr="001D4ED4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1.3.pašvaldību budžets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E7D44" w:rsidRPr="00F00A2E" w:rsidTr="001D4ED4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2.      Budžeta izdevumi: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75 000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C68EA" w:rsidRPr="00F00A2E" w:rsidTr="001D4ED4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2.1.valsts pamatbudžets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75 000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C68EA" w:rsidRPr="00F00A2E" w:rsidTr="001D4ED4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2.2.valsts speciālais budžets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C68EA" w:rsidRPr="00F00A2E" w:rsidTr="001D4ED4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lastRenderedPageBreak/>
              <w:t>2.3.pašvaldību budžets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E7D44" w:rsidRPr="00F00A2E" w:rsidTr="001D4ED4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3.      Finansiālā ietekme: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- 75 000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E7D44" w:rsidRPr="00F00A2E" w:rsidTr="001D4ED4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3.1.valsts pamatbudžets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- 75 000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C68EA" w:rsidRPr="00F00A2E" w:rsidTr="001D4ED4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3.2. speciālais budžets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C68EA" w:rsidRPr="00F00A2E" w:rsidTr="001D4ED4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3.3.pašvaldību budžets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E7D44" w:rsidRPr="00F00A2E" w:rsidTr="001D4ED4">
        <w:trPr>
          <w:gridBefore w:val="1"/>
          <w:wBefore w:w="1270" w:type="dxa"/>
          <w:trHeight w:val="843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4.      Finanšu līdzekļi papildu izdevumu finansēšanai (kompensējošo izdevumu samazinājumu norāda ar „+” zīmi)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X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75 000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C68EA" w:rsidRPr="00F00A2E" w:rsidTr="001D4ED4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5.      Precizēta finansiālā ietekme: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X</w:t>
            </w:r>
          </w:p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C68EA" w:rsidRPr="00F00A2E" w:rsidTr="001D4ED4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5.1.valsts pamatbudžets</w:t>
            </w:r>
          </w:p>
        </w:tc>
        <w:tc>
          <w:tcPr>
            <w:tcW w:w="1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C68EA" w:rsidRPr="00F00A2E" w:rsidTr="001D4ED4">
        <w:trPr>
          <w:gridBefore w:val="1"/>
          <w:wBefore w:w="1270" w:type="dxa"/>
          <w:trHeight w:val="152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5.2. speciālais budžets</w:t>
            </w:r>
          </w:p>
        </w:tc>
        <w:tc>
          <w:tcPr>
            <w:tcW w:w="1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C68EA" w:rsidRPr="00F00A2E" w:rsidTr="009534BE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5.3.pašvaldību budžets</w:t>
            </w:r>
          </w:p>
        </w:tc>
        <w:tc>
          <w:tcPr>
            <w:tcW w:w="11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8EA" w:rsidRPr="00F00A2E" w:rsidRDefault="000C68EA" w:rsidP="00F00A2E">
            <w:pPr>
              <w:spacing w:after="0" w:line="240" w:lineRule="auto"/>
              <w:jc w:val="center"/>
              <w:rPr>
                <w:lang w:val="lv-LV"/>
              </w:rPr>
            </w:pPr>
            <w:r w:rsidRPr="00F00A2E">
              <w:rPr>
                <w:lang w:val="lv-LV"/>
              </w:rPr>
              <w:t>0</w:t>
            </w:r>
          </w:p>
        </w:tc>
      </w:tr>
      <w:tr w:rsidR="000E7D44" w:rsidRPr="00F00A2E" w:rsidTr="009534BE">
        <w:trPr>
          <w:gridBefore w:val="1"/>
          <w:wBefore w:w="1270" w:type="dxa"/>
          <w:trHeight w:val="42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6.      Detalizēts ieņēmumu un izdevumu aprēķins (ja nepieciešams, detalizētu ieņēmumu un izdevumu aprēķinu var pievienot anotācijas pielikumā):</w:t>
            </w:r>
          </w:p>
        </w:tc>
        <w:tc>
          <w:tcPr>
            <w:tcW w:w="6436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D44" w:rsidRPr="00F00A2E" w:rsidRDefault="009D29F5" w:rsidP="00F00A2E">
            <w:pPr>
              <w:spacing w:after="0"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Rīkojuma p</w:t>
            </w:r>
            <w:r w:rsidR="000E7D44" w:rsidRPr="00F00A2E">
              <w:rPr>
                <w:lang w:val="lv-LV"/>
              </w:rPr>
              <w:t xml:space="preserve">rojekts paredz piešķirt finansējumu Iekšlietu ministrijai (Nodrošinājuma valsts aģentūrai) </w:t>
            </w:r>
            <w:r w:rsidR="00696338" w:rsidRPr="00F00A2E">
              <w:rPr>
                <w:lang w:val="lv-LV"/>
              </w:rPr>
              <w:t>75</w:t>
            </w:r>
            <w:r w:rsidR="000E7D44" w:rsidRPr="00F00A2E">
              <w:rPr>
                <w:lang w:val="lv-LV"/>
              </w:rPr>
              <w:t xml:space="preserve"> 000 </w:t>
            </w:r>
            <w:r w:rsidR="000E7D44" w:rsidRPr="00F00A2E">
              <w:rPr>
                <w:i/>
                <w:lang w:val="lv-LV"/>
              </w:rPr>
              <w:t>euro</w:t>
            </w:r>
            <w:r w:rsidR="000E7D44" w:rsidRPr="00F00A2E">
              <w:rPr>
                <w:lang w:val="lv-LV"/>
              </w:rPr>
              <w:t xml:space="preserve"> apmērā, lai segtu izdevumus par nekustamā īpašuma</w:t>
            </w:r>
            <w:r w:rsidR="0019238F">
              <w:rPr>
                <w:lang w:val="lv-LV"/>
              </w:rPr>
              <w:t xml:space="preserve"> </w:t>
            </w:r>
            <w:r w:rsidR="000E7D44" w:rsidRPr="00F00A2E">
              <w:rPr>
                <w:lang w:val="lv-LV"/>
              </w:rPr>
              <w:t>atsavināšanu sabiedrības vajadzībām, tai skaitā:</w:t>
            </w:r>
          </w:p>
          <w:p w:rsidR="000E7D44" w:rsidRPr="00F00A2E" w:rsidRDefault="00696338" w:rsidP="00F00A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lv-LV"/>
              </w:rPr>
            </w:pPr>
            <w:r w:rsidRPr="00F00A2E">
              <w:rPr>
                <w:shd w:val="clear" w:color="auto" w:fill="FFFFFF"/>
                <w:lang w:val="lv-LV"/>
              </w:rPr>
              <w:t xml:space="preserve">Dzīvojamās </w:t>
            </w:r>
            <w:r w:rsidR="008E1B57">
              <w:rPr>
                <w:shd w:val="clear" w:color="auto" w:fill="FFFFFF"/>
                <w:lang w:val="lv-LV"/>
              </w:rPr>
              <w:t>mājas jaunbūves</w:t>
            </w:r>
            <w:r w:rsidR="008E1B57" w:rsidRPr="00F00A2E">
              <w:rPr>
                <w:shd w:val="clear" w:color="auto" w:fill="FFFFFF"/>
                <w:lang w:val="lv-LV"/>
              </w:rPr>
              <w:t xml:space="preserve"> </w:t>
            </w:r>
            <w:r w:rsidRPr="00F00A2E">
              <w:rPr>
                <w:shd w:val="clear" w:color="auto" w:fill="FFFFFF"/>
                <w:lang w:val="lv-LV"/>
              </w:rPr>
              <w:t>iegāde</w:t>
            </w:r>
            <w:r w:rsidR="000E7D44" w:rsidRPr="00F00A2E">
              <w:rPr>
                <w:lang w:val="lv-LV"/>
              </w:rPr>
              <w:t xml:space="preserve"> (izdevumu EKK </w:t>
            </w:r>
            <w:r w:rsidRPr="00F00A2E">
              <w:rPr>
                <w:lang w:val="lv-LV"/>
              </w:rPr>
              <w:t>5</w:t>
            </w:r>
            <w:r w:rsidR="000E7D44" w:rsidRPr="00F00A2E">
              <w:rPr>
                <w:lang w:val="lv-LV"/>
              </w:rPr>
              <w:t>2</w:t>
            </w:r>
            <w:r w:rsidRPr="00F00A2E">
              <w:rPr>
                <w:lang w:val="lv-LV"/>
              </w:rPr>
              <w:t>11</w:t>
            </w:r>
            <w:r w:rsidR="000E7D44" w:rsidRPr="00F00A2E">
              <w:rPr>
                <w:lang w:val="lv-LV"/>
              </w:rPr>
              <w:t xml:space="preserve">) – </w:t>
            </w:r>
            <w:r w:rsidRPr="00F00A2E">
              <w:rPr>
                <w:lang w:val="lv-LV"/>
              </w:rPr>
              <w:t>54</w:t>
            </w:r>
            <w:r w:rsidR="000E7D44" w:rsidRPr="00F00A2E">
              <w:rPr>
                <w:lang w:val="lv-LV"/>
              </w:rPr>
              <w:t xml:space="preserve"> 000 </w:t>
            </w:r>
            <w:r w:rsidR="000E7D44" w:rsidRPr="00F00A2E">
              <w:rPr>
                <w:i/>
                <w:lang w:val="lv-LV"/>
              </w:rPr>
              <w:t>euro</w:t>
            </w:r>
            <w:r w:rsidR="000E7D44" w:rsidRPr="00F00A2E">
              <w:rPr>
                <w:lang w:val="lv-LV"/>
              </w:rPr>
              <w:t>;</w:t>
            </w:r>
          </w:p>
          <w:p w:rsidR="000E7D44" w:rsidRPr="00F00A2E" w:rsidRDefault="00696338" w:rsidP="008E1B5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lv-LV"/>
              </w:rPr>
            </w:pPr>
            <w:r w:rsidRPr="00F00A2E">
              <w:rPr>
                <w:lang w:val="lv-LV"/>
              </w:rPr>
              <w:t xml:space="preserve">Zemes iegāde </w:t>
            </w:r>
            <w:r w:rsidR="000E7D44" w:rsidRPr="00F00A2E">
              <w:rPr>
                <w:lang w:val="lv-LV"/>
              </w:rPr>
              <w:t>(</w:t>
            </w:r>
            <w:r w:rsidRPr="00F00A2E">
              <w:rPr>
                <w:lang w:val="lv-LV"/>
              </w:rPr>
              <w:t xml:space="preserve">izdevumu </w:t>
            </w:r>
            <w:r w:rsidR="000E7D44" w:rsidRPr="00F00A2E">
              <w:rPr>
                <w:lang w:val="lv-LV"/>
              </w:rPr>
              <w:t>EKK 521</w:t>
            </w:r>
            <w:r w:rsidRPr="00F00A2E">
              <w:rPr>
                <w:lang w:val="lv-LV"/>
              </w:rPr>
              <w:t>4</w:t>
            </w:r>
            <w:r w:rsidR="000E7D44" w:rsidRPr="00F00A2E">
              <w:rPr>
                <w:lang w:val="lv-LV"/>
              </w:rPr>
              <w:t xml:space="preserve">) – </w:t>
            </w:r>
            <w:r w:rsidRPr="00F00A2E">
              <w:rPr>
                <w:lang w:val="lv-LV"/>
              </w:rPr>
              <w:t>21</w:t>
            </w:r>
            <w:r w:rsidR="000E7D44" w:rsidRPr="00F00A2E">
              <w:rPr>
                <w:lang w:val="lv-LV"/>
              </w:rPr>
              <w:t xml:space="preserve"> 000 </w:t>
            </w:r>
            <w:r w:rsidR="000E7D44" w:rsidRPr="00F00A2E">
              <w:rPr>
                <w:i/>
                <w:lang w:val="lv-LV"/>
              </w:rPr>
              <w:t>euro</w:t>
            </w:r>
            <w:r w:rsidR="000E7D44" w:rsidRPr="00F00A2E">
              <w:rPr>
                <w:lang w:val="lv-LV"/>
              </w:rPr>
              <w:t>.</w:t>
            </w:r>
          </w:p>
        </w:tc>
      </w:tr>
      <w:tr w:rsidR="000E7D44" w:rsidRPr="00F00A2E" w:rsidTr="009534BE">
        <w:trPr>
          <w:gridBefore w:val="1"/>
          <w:wBefore w:w="1270" w:type="dxa"/>
          <w:trHeight w:val="49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6.1. detalizēts ieņēmumu aprēķins</w:t>
            </w:r>
          </w:p>
        </w:tc>
        <w:tc>
          <w:tcPr>
            <w:tcW w:w="6436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both"/>
              <w:rPr>
                <w:lang w:val="lv-LV"/>
              </w:rPr>
            </w:pPr>
          </w:p>
        </w:tc>
      </w:tr>
      <w:tr w:rsidR="000E7D44" w:rsidRPr="00F00A2E" w:rsidTr="009534BE">
        <w:trPr>
          <w:gridBefore w:val="1"/>
          <w:wBefore w:w="1270" w:type="dxa"/>
          <w:trHeight w:val="65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44" w:rsidRPr="00F00A2E" w:rsidRDefault="000E7D44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6.2. detalizēts izdevumu aprēķins</w:t>
            </w:r>
          </w:p>
        </w:tc>
        <w:tc>
          <w:tcPr>
            <w:tcW w:w="6436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D44" w:rsidRPr="00F00A2E" w:rsidRDefault="000E7D44" w:rsidP="00F00A2E">
            <w:pPr>
              <w:spacing w:after="0" w:line="240" w:lineRule="auto"/>
              <w:jc w:val="both"/>
              <w:rPr>
                <w:lang w:val="lv-LV"/>
              </w:rPr>
            </w:pPr>
          </w:p>
        </w:tc>
      </w:tr>
      <w:tr w:rsidR="000E7D44" w:rsidRPr="007C7DF7" w:rsidTr="009670D4">
        <w:trPr>
          <w:gridBefore w:val="1"/>
          <w:wBefore w:w="1270" w:type="dxa"/>
          <w:trHeight w:val="1603"/>
        </w:trPr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44" w:rsidRPr="00F00A2E" w:rsidRDefault="000E7D44" w:rsidP="00F00A2E">
            <w:pPr>
              <w:spacing w:after="0" w:line="240" w:lineRule="auto"/>
              <w:rPr>
                <w:lang w:val="lv-LV"/>
              </w:rPr>
            </w:pPr>
            <w:r w:rsidRPr="00F00A2E">
              <w:rPr>
                <w:lang w:val="lv-LV"/>
              </w:rPr>
              <w:t>7.      Cita informācija</w:t>
            </w:r>
          </w:p>
        </w:tc>
        <w:tc>
          <w:tcPr>
            <w:tcW w:w="643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0C2" w:rsidRDefault="0019238F" w:rsidP="00F00A2E">
            <w:pPr>
              <w:spacing w:after="0"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R</w:t>
            </w:r>
            <w:r w:rsidR="000E7D44" w:rsidRPr="00F00A2E">
              <w:rPr>
                <w:lang w:val="lv-LV"/>
              </w:rPr>
              <w:t xml:space="preserve">īkojuma projekts saistīts ar </w:t>
            </w:r>
            <w:r w:rsidRPr="0019238F">
              <w:rPr>
                <w:lang w:val="lv-LV"/>
              </w:rPr>
              <w:t>Ministru kabine</w:t>
            </w:r>
            <w:r>
              <w:rPr>
                <w:lang w:val="lv-LV"/>
              </w:rPr>
              <w:t>ta 2015.gada 2.decembra rīkojuma</w:t>
            </w:r>
            <w:r w:rsidRPr="0019238F">
              <w:rPr>
                <w:lang w:val="lv-LV"/>
              </w:rPr>
              <w:t xml:space="preserve"> Nr.759 „Rīcības plāns personu, kurām nepieciešama starptautiskā aizsardzība, pārvietošanai un uzņemšanai Latvijā” apstiprinātā Rīcības plāna personu, kurām nepieciešama starptautiskā aizsardzība, pārvietošanai un uzņemšanai Latvijā </w:t>
            </w:r>
            <w:r>
              <w:rPr>
                <w:lang w:val="lv-LV"/>
              </w:rPr>
              <w:t xml:space="preserve">un </w:t>
            </w:r>
            <w:r w:rsidRPr="0019238F">
              <w:rPr>
                <w:lang w:val="lv-LV"/>
              </w:rPr>
              <w:t>Ministru kabineta 2015.gada 3.novembra sēdes protokollēmuma (p</w:t>
            </w:r>
            <w:r w:rsidR="007C7DF7">
              <w:rPr>
                <w:lang w:val="lv-LV"/>
              </w:rPr>
              <w:t>rot.</w:t>
            </w:r>
            <w:bookmarkStart w:id="0" w:name="_GoBack"/>
            <w:bookmarkEnd w:id="0"/>
            <w:r>
              <w:rPr>
                <w:lang w:val="lv-LV"/>
              </w:rPr>
              <w:t>Nr.57 58.§) 8. un 10.punkta</w:t>
            </w:r>
            <w:r w:rsidRPr="0019238F">
              <w:rPr>
                <w:lang w:val="lv-LV"/>
              </w:rPr>
              <w:t xml:space="preserve"> izpildi</w:t>
            </w:r>
            <w:r>
              <w:rPr>
                <w:lang w:val="lv-LV"/>
              </w:rPr>
              <w:t>.</w:t>
            </w:r>
          </w:p>
          <w:p w:rsidR="00277BD6" w:rsidRDefault="00E540C2" w:rsidP="00F00A2E">
            <w:pPr>
              <w:spacing w:after="0"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Projektā paredzētie izdevumi pa pasākumiem un izdevumu klasifikācijas kodiem var tikt precizēti atbilstoši faktiskajai situācijai.</w:t>
            </w:r>
          </w:p>
          <w:p w:rsidR="000E7D44" w:rsidRPr="00F00A2E" w:rsidRDefault="000E7D44" w:rsidP="00F00A2E">
            <w:pPr>
              <w:spacing w:after="0" w:line="240" w:lineRule="auto"/>
              <w:jc w:val="both"/>
              <w:rPr>
                <w:lang w:val="lv-LV"/>
              </w:rPr>
            </w:pPr>
          </w:p>
        </w:tc>
      </w:tr>
      <w:tr w:rsidR="000E7D44" w:rsidRPr="007C7DF7" w:rsidTr="00502C1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double" w:sz="6" w:space="0" w:color="000000"/>
            <w:insideV w:val="double" w:sz="6" w:space="0" w:color="00000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057" w:type="dxa"/>
          <w:trHeight w:val="22"/>
        </w:trPr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7D44" w:rsidRPr="00F00A2E" w:rsidRDefault="000E7D44" w:rsidP="00F00A2E">
            <w:pPr>
              <w:pStyle w:val="naisnod"/>
              <w:spacing w:before="0" w:after="0" w:line="240" w:lineRule="auto"/>
              <w:ind w:right="57"/>
              <w:jc w:val="left"/>
              <w:rPr>
                <w:lang w:val="lv-LV"/>
              </w:rPr>
            </w:pPr>
          </w:p>
        </w:tc>
      </w:tr>
      <w:tr w:rsidR="000E7D44" w:rsidRPr="007C7DF7" w:rsidTr="00286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1270" w:type="dxa"/>
        </w:trPr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:rsidR="000E7D44" w:rsidRPr="00F00A2E" w:rsidRDefault="000E7D44" w:rsidP="00F00A2E">
            <w:pPr>
              <w:pStyle w:val="naisnod"/>
              <w:spacing w:before="0" w:after="0" w:line="240" w:lineRule="auto"/>
              <w:ind w:left="227" w:right="57" w:hanging="227"/>
              <w:rPr>
                <w:lang w:val="lv-LV"/>
              </w:rPr>
            </w:pPr>
            <w:r w:rsidRPr="00F00A2E">
              <w:rPr>
                <w:lang w:val="lv-LV"/>
              </w:rPr>
              <w:t>VII. Tiesību akta projekta izpildes nodrošināšana un tās ietekme uz institūcijām</w:t>
            </w:r>
          </w:p>
        </w:tc>
      </w:tr>
      <w:tr w:rsidR="000E7D44" w:rsidRPr="00F00A2E" w:rsidTr="00286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1270" w:type="dxa"/>
          <w:trHeight w:val="427"/>
        </w:trPr>
        <w:tc>
          <w:tcPr>
            <w:tcW w:w="568" w:type="dxa"/>
          </w:tcPr>
          <w:p w:rsidR="000E7D44" w:rsidRPr="00F00A2E" w:rsidRDefault="000E7D44" w:rsidP="00F00A2E">
            <w:pPr>
              <w:pStyle w:val="naisnod"/>
              <w:spacing w:before="0" w:after="0" w:line="240" w:lineRule="auto"/>
              <w:ind w:left="227" w:right="57" w:hanging="227"/>
              <w:jc w:val="left"/>
              <w:rPr>
                <w:b w:val="0"/>
                <w:lang w:val="lv-LV"/>
              </w:rPr>
            </w:pPr>
            <w:r w:rsidRPr="00F00A2E">
              <w:rPr>
                <w:b w:val="0"/>
                <w:lang w:val="lv-LV"/>
              </w:rPr>
              <w:t>1.</w:t>
            </w:r>
          </w:p>
        </w:tc>
        <w:tc>
          <w:tcPr>
            <w:tcW w:w="3543" w:type="dxa"/>
            <w:gridSpan w:val="3"/>
          </w:tcPr>
          <w:p w:rsidR="000E7D44" w:rsidRPr="00F00A2E" w:rsidRDefault="000E7D44" w:rsidP="00F00A2E">
            <w:pPr>
              <w:pStyle w:val="naisf"/>
              <w:spacing w:before="0" w:after="0" w:line="240" w:lineRule="auto"/>
              <w:ind w:left="227" w:right="57" w:hanging="227"/>
              <w:jc w:val="left"/>
              <w:rPr>
                <w:lang w:val="lv-LV"/>
              </w:rPr>
            </w:pPr>
            <w:r w:rsidRPr="00F00A2E">
              <w:rPr>
                <w:lang w:val="lv-LV"/>
              </w:rPr>
              <w:t>Projekta izpildē iesaistītās</w:t>
            </w:r>
          </w:p>
          <w:p w:rsidR="000E7D44" w:rsidRPr="00F00A2E" w:rsidRDefault="000E7D44" w:rsidP="00F00A2E">
            <w:pPr>
              <w:pStyle w:val="naisf"/>
              <w:spacing w:before="0" w:after="0" w:line="240" w:lineRule="auto"/>
              <w:ind w:left="227" w:right="57" w:hanging="227"/>
              <w:jc w:val="left"/>
              <w:rPr>
                <w:lang w:val="lv-LV"/>
              </w:rPr>
            </w:pPr>
            <w:r w:rsidRPr="00F00A2E">
              <w:rPr>
                <w:lang w:val="lv-LV"/>
              </w:rPr>
              <w:t xml:space="preserve">institūcijas </w:t>
            </w:r>
          </w:p>
        </w:tc>
        <w:tc>
          <w:tcPr>
            <w:tcW w:w="5245" w:type="dxa"/>
            <w:gridSpan w:val="5"/>
          </w:tcPr>
          <w:p w:rsidR="000E7D44" w:rsidRPr="00F00A2E" w:rsidRDefault="000E7D44" w:rsidP="004E3656">
            <w:pPr>
              <w:pStyle w:val="naisnod"/>
              <w:spacing w:before="0" w:after="0" w:line="240" w:lineRule="auto"/>
              <w:ind w:right="57"/>
              <w:jc w:val="both"/>
              <w:rPr>
                <w:b w:val="0"/>
                <w:lang w:val="lv-LV"/>
              </w:rPr>
            </w:pPr>
            <w:r w:rsidRPr="00F00A2E">
              <w:rPr>
                <w:b w:val="0"/>
                <w:iCs/>
                <w:lang w:val="lv-LV"/>
              </w:rPr>
              <w:t>Iekšlietu ministrija, Nodrošinājuma valsts aģentūra</w:t>
            </w:r>
            <w:r w:rsidR="004E3656">
              <w:rPr>
                <w:b w:val="0"/>
                <w:iCs/>
                <w:lang w:val="lv-LV"/>
              </w:rPr>
              <w:t>.</w:t>
            </w:r>
          </w:p>
        </w:tc>
      </w:tr>
      <w:tr w:rsidR="000E7D44" w:rsidRPr="00F00A2E" w:rsidTr="00286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1270" w:type="dxa"/>
          <w:trHeight w:val="463"/>
        </w:trPr>
        <w:tc>
          <w:tcPr>
            <w:tcW w:w="568" w:type="dxa"/>
          </w:tcPr>
          <w:p w:rsidR="000E7D44" w:rsidRPr="00F00A2E" w:rsidRDefault="000E7D44" w:rsidP="00F00A2E">
            <w:pPr>
              <w:pStyle w:val="naisnod"/>
              <w:spacing w:before="0" w:after="0" w:line="240" w:lineRule="auto"/>
              <w:ind w:left="227" w:right="57" w:hanging="227"/>
              <w:jc w:val="left"/>
              <w:rPr>
                <w:b w:val="0"/>
                <w:lang w:val="lv-LV"/>
              </w:rPr>
            </w:pPr>
            <w:r w:rsidRPr="00F00A2E">
              <w:rPr>
                <w:b w:val="0"/>
                <w:lang w:val="lv-LV"/>
              </w:rPr>
              <w:t>2.</w:t>
            </w:r>
          </w:p>
        </w:tc>
        <w:tc>
          <w:tcPr>
            <w:tcW w:w="3543" w:type="dxa"/>
            <w:gridSpan w:val="3"/>
          </w:tcPr>
          <w:p w:rsidR="000E7D44" w:rsidRPr="00F00A2E" w:rsidRDefault="000E7D44" w:rsidP="00F00A2E">
            <w:pPr>
              <w:pStyle w:val="naisf"/>
              <w:spacing w:before="0" w:after="0" w:line="240" w:lineRule="auto"/>
              <w:ind w:left="227" w:right="57" w:hanging="227"/>
              <w:jc w:val="left"/>
              <w:rPr>
                <w:lang w:val="lv-LV"/>
              </w:rPr>
            </w:pPr>
            <w:r w:rsidRPr="00F00A2E">
              <w:rPr>
                <w:lang w:val="lv-LV"/>
              </w:rPr>
              <w:t xml:space="preserve">Projekta izpildes ietekme uz pārvaldes funkcijām un institucionālo struktūru. Jaunu institūciju izveide, esošu institūciju likvidācija vai reorganizācija, to ietekme uz institūcijas cilvēkresursiem </w:t>
            </w:r>
          </w:p>
        </w:tc>
        <w:tc>
          <w:tcPr>
            <w:tcW w:w="5245" w:type="dxa"/>
            <w:gridSpan w:val="5"/>
          </w:tcPr>
          <w:p w:rsidR="000E7D44" w:rsidRPr="00F00A2E" w:rsidRDefault="000E7D44" w:rsidP="00F00A2E">
            <w:pPr>
              <w:pStyle w:val="naisnod"/>
              <w:spacing w:before="0" w:after="0" w:line="240" w:lineRule="auto"/>
              <w:ind w:left="227" w:right="57" w:hanging="227"/>
              <w:jc w:val="left"/>
              <w:rPr>
                <w:b w:val="0"/>
                <w:lang w:val="lv-LV"/>
              </w:rPr>
            </w:pPr>
            <w:r w:rsidRPr="00F00A2E">
              <w:rPr>
                <w:b w:val="0"/>
                <w:iCs/>
                <w:lang w:val="lv-LV"/>
              </w:rPr>
              <w:t>Projekts šo jomu neskar.</w:t>
            </w:r>
          </w:p>
        </w:tc>
      </w:tr>
      <w:tr w:rsidR="000E7D44" w:rsidRPr="00F00A2E" w:rsidTr="00286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1270" w:type="dxa"/>
          <w:trHeight w:val="476"/>
        </w:trPr>
        <w:tc>
          <w:tcPr>
            <w:tcW w:w="568" w:type="dxa"/>
          </w:tcPr>
          <w:p w:rsidR="000E7D44" w:rsidRPr="00F00A2E" w:rsidRDefault="000E7D44" w:rsidP="00F00A2E">
            <w:pPr>
              <w:pStyle w:val="naiskr"/>
              <w:spacing w:before="0" w:after="0" w:line="240" w:lineRule="auto"/>
              <w:ind w:left="227" w:right="57" w:hanging="227"/>
              <w:rPr>
                <w:lang w:val="lv-LV"/>
              </w:rPr>
            </w:pPr>
            <w:r w:rsidRPr="00F00A2E">
              <w:rPr>
                <w:lang w:val="lv-LV"/>
              </w:rPr>
              <w:t>3.</w:t>
            </w:r>
          </w:p>
        </w:tc>
        <w:tc>
          <w:tcPr>
            <w:tcW w:w="3543" w:type="dxa"/>
            <w:gridSpan w:val="3"/>
          </w:tcPr>
          <w:p w:rsidR="000E7D44" w:rsidRPr="00F00A2E" w:rsidRDefault="000E7D44" w:rsidP="00F00A2E">
            <w:pPr>
              <w:pStyle w:val="naiskr"/>
              <w:spacing w:before="0" w:after="0" w:line="240" w:lineRule="auto"/>
              <w:ind w:left="227" w:right="57" w:hanging="227"/>
              <w:rPr>
                <w:lang w:val="lv-LV"/>
              </w:rPr>
            </w:pPr>
            <w:r w:rsidRPr="00F00A2E">
              <w:rPr>
                <w:lang w:val="lv-LV"/>
              </w:rPr>
              <w:t>Cita informācija</w:t>
            </w:r>
          </w:p>
        </w:tc>
        <w:tc>
          <w:tcPr>
            <w:tcW w:w="5245" w:type="dxa"/>
            <w:gridSpan w:val="5"/>
          </w:tcPr>
          <w:p w:rsidR="000E7D44" w:rsidRPr="00F00A2E" w:rsidRDefault="000E7D44" w:rsidP="00F00A2E">
            <w:pPr>
              <w:pStyle w:val="naiskr"/>
              <w:spacing w:before="0" w:after="0" w:line="240" w:lineRule="auto"/>
              <w:ind w:left="227" w:right="57" w:hanging="227"/>
              <w:rPr>
                <w:lang w:val="lv-LV"/>
              </w:rPr>
            </w:pPr>
            <w:r w:rsidRPr="00F00A2E">
              <w:rPr>
                <w:lang w:val="lv-LV"/>
              </w:rPr>
              <w:t>Nav.</w:t>
            </w:r>
          </w:p>
        </w:tc>
      </w:tr>
    </w:tbl>
    <w:p w:rsidR="00CE353D" w:rsidRPr="00F00A2E" w:rsidRDefault="00CE353D" w:rsidP="00F00A2E">
      <w:pPr>
        <w:pStyle w:val="naisf"/>
        <w:tabs>
          <w:tab w:val="left" w:pos="5760"/>
        </w:tabs>
        <w:spacing w:before="0" w:after="0" w:line="240" w:lineRule="auto"/>
        <w:ind w:firstLine="0"/>
        <w:rPr>
          <w:iCs/>
          <w:lang w:val="lv-LV"/>
        </w:rPr>
      </w:pPr>
    </w:p>
    <w:p w:rsidR="00EA1BE1" w:rsidRPr="00F00A2E" w:rsidRDefault="00BF7FC3" w:rsidP="00F00A2E">
      <w:pPr>
        <w:pStyle w:val="naisf"/>
        <w:tabs>
          <w:tab w:val="left" w:pos="5760"/>
        </w:tabs>
        <w:spacing w:before="0" w:after="0" w:line="240" w:lineRule="auto"/>
        <w:ind w:firstLine="0"/>
        <w:rPr>
          <w:sz w:val="28"/>
          <w:szCs w:val="28"/>
          <w:lang w:val="lv-LV"/>
        </w:rPr>
      </w:pPr>
      <w:r w:rsidRPr="00F00A2E">
        <w:rPr>
          <w:iCs/>
          <w:sz w:val="28"/>
          <w:szCs w:val="28"/>
          <w:lang w:val="lv-LV"/>
        </w:rPr>
        <w:t xml:space="preserve">Anotācijas </w:t>
      </w:r>
      <w:r w:rsidRPr="00F00A2E">
        <w:rPr>
          <w:sz w:val="28"/>
          <w:szCs w:val="28"/>
          <w:lang w:val="lv-LV"/>
        </w:rPr>
        <w:t xml:space="preserve">II, IV, V un VI sadaļa </w:t>
      </w:r>
      <w:r w:rsidRPr="00F00A2E">
        <w:rPr>
          <w:iCs/>
          <w:sz w:val="28"/>
          <w:szCs w:val="28"/>
          <w:lang w:val="lv-LV"/>
        </w:rPr>
        <w:t>– projekts šīs jomas neskar.</w:t>
      </w:r>
    </w:p>
    <w:p w:rsidR="001B40B5" w:rsidRDefault="001B40B5" w:rsidP="00F00A2E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277BD6" w:rsidRPr="00F00A2E" w:rsidRDefault="00277BD6" w:rsidP="00F00A2E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10B65" w:rsidRDefault="00CE353D" w:rsidP="00F00A2E">
      <w:pPr>
        <w:spacing w:after="0" w:line="240" w:lineRule="auto"/>
        <w:rPr>
          <w:sz w:val="28"/>
          <w:szCs w:val="28"/>
          <w:lang w:val="lv-LV"/>
        </w:rPr>
      </w:pPr>
      <w:r w:rsidRPr="00F00A2E">
        <w:rPr>
          <w:sz w:val="28"/>
          <w:szCs w:val="28"/>
          <w:lang w:val="lv-LV"/>
        </w:rPr>
        <w:t>Iekšlietu mi</w:t>
      </w:r>
      <w:r w:rsidR="00110B65" w:rsidRPr="00F00A2E">
        <w:rPr>
          <w:sz w:val="28"/>
          <w:szCs w:val="28"/>
          <w:lang w:val="lv-LV"/>
        </w:rPr>
        <w:t>nistrs</w:t>
      </w:r>
      <w:r w:rsidR="00110B65" w:rsidRPr="00F00A2E">
        <w:rPr>
          <w:sz w:val="28"/>
          <w:szCs w:val="28"/>
          <w:lang w:val="lv-LV"/>
        </w:rPr>
        <w:tab/>
        <w:t xml:space="preserve"> </w:t>
      </w:r>
      <w:r w:rsidR="00110B65" w:rsidRPr="00F00A2E">
        <w:rPr>
          <w:sz w:val="28"/>
          <w:szCs w:val="28"/>
          <w:lang w:val="lv-LV"/>
        </w:rPr>
        <w:tab/>
      </w:r>
      <w:r w:rsidR="00110B65" w:rsidRPr="00F00A2E">
        <w:rPr>
          <w:sz w:val="28"/>
          <w:szCs w:val="28"/>
          <w:lang w:val="lv-LV"/>
        </w:rPr>
        <w:tab/>
        <w:t xml:space="preserve"> </w:t>
      </w:r>
      <w:r w:rsidR="00110B65" w:rsidRPr="00F00A2E">
        <w:rPr>
          <w:sz w:val="28"/>
          <w:szCs w:val="28"/>
          <w:lang w:val="lv-LV"/>
        </w:rPr>
        <w:tab/>
      </w:r>
      <w:r w:rsidR="00110B65" w:rsidRPr="00F00A2E">
        <w:rPr>
          <w:sz w:val="28"/>
          <w:szCs w:val="28"/>
          <w:lang w:val="lv-LV"/>
        </w:rPr>
        <w:tab/>
      </w:r>
      <w:r w:rsidR="00110B65" w:rsidRPr="00F00A2E">
        <w:rPr>
          <w:sz w:val="28"/>
          <w:szCs w:val="28"/>
          <w:lang w:val="lv-LV"/>
        </w:rPr>
        <w:tab/>
      </w:r>
      <w:r w:rsidR="00110B65" w:rsidRPr="00F00A2E">
        <w:rPr>
          <w:sz w:val="28"/>
          <w:szCs w:val="28"/>
          <w:lang w:val="lv-LV"/>
        </w:rPr>
        <w:tab/>
        <w:t>R.Kozlovskis</w:t>
      </w:r>
    </w:p>
    <w:p w:rsidR="00277BD6" w:rsidRDefault="00277BD6" w:rsidP="00F00A2E">
      <w:pPr>
        <w:spacing w:after="0" w:line="240" w:lineRule="auto"/>
        <w:rPr>
          <w:sz w:val="28"/>
          <w:szCs w:val="28"/>
          <w:lang w:val="lv-LV"/>
        </w:rPr>
      </w:pPr>
    </w:p>
    <w:p w:rsidR="00344F29" w:rsidRDefault="00176681" w:rsidP="00F00A2E">
      <w:pPr>
        <w:spacing w:after="0" w:line="240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</w:t>
      </w:r>
      <w:r w:rsidR="00CE353D" w:rsidRPr="00F00A2E">
        <w:rPr>
          <w:sz w:val="28"/>
          <w:szCs w:val="28"/>
          <w:lang w:val="lv-LV"/>
        </w:rPr>
        <w:t>alsts sek</w:t>
      </w:r>
      <w:r w:rsidR="00110B65" w:rsidRPr="00F00A2E">
        <w:rPr>
          <w:sz w:val="28"/>
          <w:szCs w:val="28"/>
          <w:lang w:val="lv-LV"/>
        </w:rPr>
        <w:t>retāre</w:t>
      </w:r>
      <w:r w:rsidR="00344F29">
        <w:rPr>
          <w:sz w:val="28"/>
          <w:szCs w:val="28"/>
          <w:lang w:val="lv-LV"/>
        </w:rPr>
        <w:t>s</w:t>
      </w:r>
      <w:r w:rsidR="00110B65" w:rsidRPr="00F00A2E">
        <w:rPr>
          <w:sz w:val="28"/>
          <w:szCs w:val="28"/>
          <w:lang w:val="lv-LV"/>
        </w:rPr>
        <w:tab/>
      </w:r>
    </w:p>
    <w:p w:rsidR="00344F29" w:rsidRDefault="00344F29" w:rsidP="00F00A2E">
      <w:pPr>
        <w:spacing w:after="0" w:line="240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pienākumu izpildītāja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I.Aire</w:t>
      </w:r>
      <w:r w:rsidR="00110B65" w:rsidRPr="00F00A2E">
        <w:rPr>
          <w:sz w:val="28"/>
          <w:szCs w:val="28"/>
          <w:lang w:val="lv-LV"/>
        </w:rPr>
        <w:tab/>
      </w:r>
      <w:r w:rsidR="00110B65" w:rsidRPr="00F00A2E">
        <w:rPr>
          <w:sz w:val="28"/>
          <w:szCs w:val="28"/>
          <w:lang w:val="lv-LV"/>
        </w:rPr>
        <w:tab/>
        <w:t xml:space="preserve"> </w:t>
      </w:r>
      <w:r w:rsidR="00110B65" w:rsidRPr="00F00A2E">
        <w:rPr>
          <w:sz w:val="28"/>
          <w:szCs w:val="28"/>
          <w:lang w:val="lv-LV"/>
        </w:rPr>
        <w:tab/>
      </w:r>
      <w:r w:rsidR="00110B65" w:rsidRPr="00F00A2E">
        <w:rPr>
          <w:sz w:val="28"/>
          <w:szCs w:val="28"/>
          <w:lang w:val="lv-LV"/>
        </w:rPr>
        <w:tab/>
      </w:r>
      <w:r w:rsidR="00110B65" w:rsidRPr="00F00A2E">
        <w:rPr>
          <w:sz w:val="28"/>
          <w:szCs w:val="28"/>
          <w:lang w:val="lv-LV"/>
        </w:rPr>
        <w:tab/>
      </w:r>
    </w:p>
    <w:p w:rsidR="00344F29" w:rsidRDefault="00344F29" w:rsidP="00344F29">
      <w:pPr>
        <w:spacing w:after="0" w:line="240" w:lineRule="auto"/>
        <w:ind w:left="5760" w:firstLine="720"/>
        <w:rPr>
          <w:sz w:val="28"/>
          <w:szCs w:val="28"/>
          <w:lang w:val="lv-LV"/>
        </w:rPr>
      </w:pPr>
    </w:p>
    <w:p w:rsidR="009670D4" w:rsidRPr="00F00A2E" w:rsidRDefault="009670D4" w:rsidP="00F00A2E">
      <w:pPr>
        <w:spacing w:after="0" w:line="240" w:lineRule="auto"/>
        <w:rPr>
          <w:sz w:val="28"/>
          <w:szCs w:val="28"/>
          <w:lang w:val="lv-LV"/>
        </w:rPr>
      </w:pPr>
    </w:p>
    <w:p w:rsidR="002A2953" w:rsidRPr="00F00A2E" w:rsidRDefault="002A2953" w:rsidP="00F00A2E">
      <w:pPr>
        <w:spacing w:after="0" w:line="240" w:lineRule="auto"/>
        <w:rPr>
          <w:sz w:val="28"/>
          <w:szCs w:val="28"/>
          <w:lang w:val="lv-LV"/>
        </w:rPr>
      </w:pPr>
    </w:p>
    <w:p w:rsidR="002A2953" w:rsidRPr="00F00A2E" w:rsidRDefault="002A2953" w:rsidP="00F00A2E">
      <w:pPr>
        <w:spacing w:after="0" w:line="240" w:lineRule="auto"/>
        <w:rPr>
          <w:sz w:val="28"/>
          <w:szCs w:val="28"/>
          <w:lang w:val="lv-LV"/>
        </w:rPr>
      </w:pPr>
    </w:p>
    <w:p w:rsidR="002A2953" w:rsidRDefault="002A2953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14412F" w:rsidRDefault="0014412F" w:rsidP="00F00A2E">
      <w:pPr>
        <w:spacing w:after="0" w:line="240" w:lineRule="auto"/>
        <w:rPr>
          <w:sz w:val="28"/>
          <w:szCs w:val="28"/>
          <w:lang w:val="lv-LV"/>
        </w:rPr>
      </w:pPr>
    </w:p>
    <w:p w:rsidR="00E242B1" w:rsidRPr="00F00A2E" w:rsidRDefault="00596DCC" w:rsidP="00176681">
      <w:pPr>
        <w:tabs>
          <w:tab w:val="left" w:pos="4057"/>
        </w:tabs>
        <w:spacing w:after="0" w:line="240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726FB4" w:rsidRPr="00F00A2E" w:rsidRDefault="00726FB4" w:rsidP="00F00A2E">
      <w:pPr>
        <w:pStyle w:val="NoSpacing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F00A2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fldChar w:fldCharType="begin"/>
      </w:r>
      <w:r w:rsidRPr="00F00A2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instrText xml:space="preserve"> DATE  \@ "dd.MM.yyyy. H:mm" \* MERGEFORMAT </w:instrText>
      </w:r>
      <w:r w:rsidRPr="00F00A2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fldChar w:fldCharType="separate"/>
      </w:r>
      <w:r w:rsidR="007C7DF7">
        <w:rPr>
          <w:rFonts w:ascii="Times New Roman" w:eastAsia="Times New Roman" w:hAnsi="Times New Roman"/>
          <w:noProof/>
          <w:color w:val="000000"/>
          <w:sz w:val="20"/>
          <w:szCs w:val="20"/>
          <w:lang w:eastAsia="ar-SA"/>
        </w:rPr>
        <w:t>08.01.2016. 8:53</w:t>
      </w:r>
      <w:r w:rsidRPr="00F00A2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fldChar w:fldCharType="end"/>
      </w:r>
    </w:p>
    <w:p w:rsidR="00726FB4" w:rsidRPr="00F00A2E" w:rsidRDefault="00726FB4" w:rsidP="00F00A2E">
      <w:pPr>
        <w:pStyle w:val="NoSpacing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F00A2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fldChar w:fldCharType="begin"/>
      </w:r>
      <w:r w:rsidRPr="00F00A2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instrText xml:space="preserve"> NUMWORDS   \* MERGEFORMAT </w:instrText>
      </w:r>
      <w:r w:rsidRPr="00F00A2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fldChar w:fldCharType="separate"/>
      </w:r>
      <w:r w:rsidR="00FB4FB2">
        <w:rPr>
          <w:rFonts w:ascii="Times New Roman" w:eastAsia="Times New Roman" w:hAnsi="Times New Roman"/>
          <w:noProof/>
          <w:color w:val="000000"/>
          <w:sz w:val="20"/>
          <w:szCs w:val="20"/>
          <w:lang w:eastAsia="ar-SA"/>
        </w:rPr>
        <w:t>889</w:t>
      </w:r>
      <w:r w:rsidRPr="00F00A2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fldChar w:fldCharType="end"/>
      </w:r>
    </w:p>
    <w:p w:rsidR="00CE353D" w:rsidRPr="00F00A2E" w:rsidRDefault="00CE353D" w:rsidP="00F00A2E">
      <w:pPr>
        <w:spacing w:after="0" w:line="240" w:lineRule="auto"/>
        <w:jc w:val="both"/>
        <w:rPr>
          <w:sz w:val="20"/>
          <w:szCs w:val="20"/>
          <w:lang w:val="lv-LV"/>
        </w:rPr>
      </w:pPr>
      <w:r w:rsidRPr="00F00A2E">
        <w:rPr>
          <w:sz w:val="20"/>
          <w:szCs w:val="20"/>
          <w:lang w:val="lv-LV"/>
        </w:rPr>
        <w:t>S.Podgaiska, 67829680</w:t>
      </w:r>
    </w:p>
    <w:p w:rsidR="00CE353D" w:rsidRPr="00F00A2E" w:rsidRDefault="00CE353D" w:rsidP="00F00A2E">
      <w:pPr>
        <w:spacing w:after="0" w:line="240" w:lineRule="auto"/>
        <w:jc w:val="both"/>
        <w:rPr>
          <w:sz w:val="20"/>
          <w:szCs w:val="20"/>
          <w:lang w:val="lv-LV"/>
        </w:rPr>
      </w:pPr>
      <w:r w:rsidRPr="00F00A2E">
        <w:rPr>
          <w:sz w:val="20"/>
          <w:szCs w:val="20"/>
          <w:lang w:val="lv-LV"/>
        </w:rPr>
        <w:t xml:space="preserve">Sniedzite.Podgaiska@agentura.iem.gov.lv </w:t>
      </w:r>
    </w:p>
    <w:p w:rsidR="00EA1BE1" w:rsidRPr="00F00A2E" w:rsidRDefault="00CE353D" w:rsidP="00F00A2E">
      <w:pPr>
        <w:spacing w:after="0" w:line="240" w:lineRule="auto"/>
        <w:rPr>
          <w:sz w:val="20"/>
          <w:szCs w:val="20"/>
          <w:lang w:val="lv-LV"/>
        </w:rPr>
      </w:pPr>
      <w:r w:rsidRPr="00F00A2E">
        <w:rPr>
          <w:sz w:val="20"/>
          <w:szCs w:val="20"/>
          <w:lang w:val="lv-LV"/>
        </w:rPr>
        <w:t>A.Bebre, 67829050</w:t>
      </w:r>
    </w:p>
    <w:p w:rsidR="00CE353D" w:rsidRPr="00F00A2E" w:rsidRDefault="00CE353D" w:rsidP="00F00A2E">
      <w:pPr>
        <w:spacing w:after="0" w:line="240" w:lineRule="auto"/>
        <w:rPr>
          <w:sz w:val="20"/>
          <w:szCs w:val="20"/>
          <w:lang w:val="lv-LV"/>
        </w:rPr>
      </w:pPr>
      <w:r w:rsidRPr="00F00A2E">
        <w:rPr>
          <w:sz w:val="20"/>
          <w:szCs w:val="20"/>
          <w:lang w:val="lv-LV"/>
        </w:rPr>
        <w:t>Anda. Bebre@agentura.iem.gov.lv</w:t>
      </w:r>
    </w:p>
    <w:sectPr w:rsidR="00CE353D" w:rsidRPr="00F00A2E" w:rsidSect="001B40B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9C" w:rsidRDefault="00705D9C">
      <w:pPr>
        <w:spacing w:after="0" w:line="240" w:lineRule="auto"/>
      </w:pPr>
      <w:r>
        <w:separator/>
      </w:r>
    </w:p>
  </w:endnote>
  <w:endnote w:type="continuationSeparator" w:id="0">
    <w:p w:rsidR="00705D9C" w:rsidRDefault="0070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2A" w:rsidRPr="004759B9" w:rsidRDefault="006C43B7" w:rsidP="004759B9">
    <w:pPr>
      <w:pStyle w:val="Footer"/>
      <w:spacing w:after="0" w:line="240" w:lineRule="auto"/>
      <w:jc w:val="both"/>
      <w:rPr>
        <w:bCs/>
        <w:sz w:val="20"/>
        <w:szCs w:val="20"/>
        <w:lang w:val="lv-LV"/>
      </w:rPr>
    </w:pPr>
    <w:r w:rsidRPr="001B40B5">
      <w:rPr>
        <w:sz w:val="20"/>
        <w:szCs w:val="20"/>
        <w:lang w:val="lv-LV"/>
      </w:rPr>
      <w:fldChar w:fldCharType="begin"/>
    </w:r>
    <w:r w:rsidRPr="001B40B5">
      <w:rPr>
        <w:sz w:val="20"/>
        <w:szCs w:val="20"/>
        <w:lang w:val="lv-LV"/>
      </w:rPr>
      <w:instrText xml:space="preserve"> FILENAME   \* MERGEFORMAT </w:instrText>
    </w:r>
    <w:r w:rsidRPr="001B40B5">
      <w:rPr>
        <w:sz w:val="20"/>
        <w:szCs w:val="20"/>
        <w:lang w:val="lv-LV"/>
      </w:rPr>
      <w:fldChar w:fldCharType="separate"/>
    </w:r>
    <w:r w:rsidR="00176681">
      <w:rPr>
        <w:noProof/>
        <w:sz w:val="20"/>
        <w:szCs w:val="20"/>
        <w:lang w:val="lv-LV"/>
      </w:rPr>
      <w:t>IEMAnot_040116_Bundulisi</w:t>
    </w:r>
    <w:r w:rsidRPr="001B40B5">
      <w:rPr>
        <w:sz w:val="20"/>
        <w:szCs w:val="20"/>
        <w:lang w:val="lv-LV"/>
      </w:rPr>
      <w:fldChar w:fldCharType="end"/>
    </w:r>
    <w:r w:rsidRPr="001B40B5">
      <w:rPr>
        <w:sz w:val="20"/>
        <w:szCs w:val="20"/>
        <w:lang w:val="lv-LV"/>
      </w:rPr>
      <w:t xml:space="preserve">; </w:t>
    </w:r>
    <w:r w:rsidRPr="001B40B5">
      <w:rPr>
        <w:bCs/>
        <w:sz w:val="20"/>
        <w:szCs w:val="20"/>
        <w:lang w:val="lv-LV"/>
      </w:rPr>
      <w:t xml:space="preserve">Ministru kabineta rīkojuma projekta </w:t>
    </w:r>
    <w:r w:rsidRPr="00241727">
      <w:rPr>
        <w:sz w:val="20"/>
        <w:szCs w:val="20"/>
        <w:lang w:val="lv-LV"/>
      </w:rPr>
      <w:t>„Par f</w:t>
    </w:r>
    <w:r>
      <w:rPr>
        <w:sz w:val="20"/>
        <w:szCs w:val="20"/>
        <w:lang w:val="lv-LV"/>
      </w:rPr>
      <w:t xml:space="preserve">inanšu līdzekļu piešķiršanu </w:t>
    </w:r>
    <w:r w:rsidRPr="00241727">
      <w:rPr>
        <w:sz w:val="20"/>
        <w:szCs w:val="20"/>
        <w:lang w:val="lv-LV"/>
      </w:rPr>
      <w:t>no valsts budžeta programmas „Līdzekļi neparedzētiem gadījumiem””</w:t>
    </w:r>
    <w:r>
      <w:rPr>
        <w:sz w:val="20"/>
        <w:szCs w:val="20"/>
        <w:lang w:val="lv-LV"/>
      </w:rPr>
      <w:t xml:space="preserve"> </w:t>
    </w:r>
    <w:r w:rsidRPr="001B40B5">
      <w:rPr>
        <w:bCs/>
        <w:sz w:val="20"/>
        <w:szCs w:val="20"/>
        <w:lang w:val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BE1" w:rsidRPr="001D56C5" w:rsidRDefault="00DD2BE7" w:rsidP="001D56C5">
    <w:pPr>
      <w:pStyle w:val="Footer"/>
      <w:spacing w:after="0" w:line="240" w:lineRule="auto"/>
      <w:jc w:val="both"/>
      <w:rPr>
        <w:bCs/>
        <w:sz w:val="20"/>
        <w:szCs w:val="20"/>
        <w:lang w:val="lv-LV"/>
      </w:rPr>
    </w:pPr>
    <w:r w:rsidRPr="001B40B5">
      <w:rPr>
        <w:sz w:val="20"/>
        <w:szCs w:val="20"/>
        <w:lang w:val="lv-LV"/>
      </w:rPr>
      <w:fldChar w:fldCharType="begin"/>
    </w:r>
    <w:r w:rsidRPr="001B40B5">
      <w:rPr>
        <w:sz w:val="20"/>
        <w:szCs w:val="20"/>
        <w:lang w:val="lv-LV"/>
      </w:rPr>
      <w:instrText xml:space="preserve"> FILENAME   \* MERGEFORMAT </w:instrText>
    </w:r>
    <w:r w:rsidRPr="001B40B5">
      <w:rPr>
        <w:sz w:val="20"/>
        <w:szCs w:val="20"/>
        <w:lang w:val="lv-LV"/>
      </w:rPr>
      <w:fldChar w:fldCharType="separate"/>
    </w:r>
    <w:r w:rsidR="00176681">
      <w:rPr>
        <w:noProof/>
        <w:sz w:val="20"/>
        <w:szCs w:val="20"/>
        <w:lang w:val="lv-LV"/>
      </w:rPr>
      <w:t>IEMAnot_040116_Bundulisi</w:t>
    </w:r>
    <w:r w:rsidRPr="001B40B5">
      <w:rPr>
        <w:sz w:val="20"/>
        <w:szCs w:val="20"/>
        <w:lang w:val="lv-LV"/>
      </w:rPr>
      <w:fldChar w:fldCharType="end"/>
    </w:r>
    <w:r w:rsidRPr="001B40B5">
      <w:rPr>
        <w:sz w:val="20"/>
        <w:szCs w:val="20"/>
        <w:lang w:val="lv-LV"/>
      </w:rPr>
      <w:t xml:space="preserve">; </w:t>
    </w:r>
    <w:r w:rsidRPr="001B40B5">
      <w:rPr>
        <w:bCs/>
        <w:sz w:val="20"/>
        <w:szCs w:val="20"/>
        <w:lang w:val="lv-LV"/>
      </w:rPr>
      <w:t xml:space="preserve">Ministru kabineta rīkojuma projekta </w:t>
    </w:r>
    <w:r w:rsidR="00241727" w:rsidRPr="00241727">
      <w:rPr>
        <w:sz w:val="20"/>
        <w:szCs w:val="20"/>
        <w:lang w:val="lv-LV"/>
      </w:rPr>
      <w:t>„Par f</w:t>
    </w:r>
    <w:r w:rsidR="006C43B7">
      <w:rPr>
        <w:sz w:val="20"/>
        <w:szCs w:val="20"/>
        <w:lang w:val="lv-LV"/>
      </w:rPr>
      <w:t xml:space="preserve">inanšu līdzekļu piešķiršanu </w:t>
    </w:r>
    <w:r w:rsidR="00241727" w:rsidRPr="00241727">
      <w:rPr>
        <w:sz w:val="20"/>
        <w:szCs w:val="20"/>
        <w:lang w:val="lv-LV"/>
      </w:rPr>
      <w:t>no valsts budžeta programmas „Līdzekļi neparedzētiem gadījumiem””</w:t>
    </w:r>
    <w:r w:rsidR="00DF5CDE">
      <w:rPr>
        <w:sz w:val="20"/>
        <w:szCs w:val="20"/>
        <w:lang w:val="lv-LV"/>
      </w:rPr>
      <w:t xml:space="preserve"> </w:t>
    </w:r>
    <w:r w:rsidRPr="001B40B5">
      <w:rPr>
        <w:bCs/>
        <w:sz w:val="20"/>
        <w:szCs w:val="20"/>
        <w:lang w:val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9C" w:rsidRDefault="00705D9C">
      <w:pPr>
        <w:spacing w:after="0" w:line="240" w:lineRule="auto"/>
      </w:pPr>
      <w:r>
        <w:separator/>
      </w:r>
    </w:p>
  </w:footnote>
  <w:footnote w:type="continuationSeparator" w:id="0">
    <w:p w:rsidR="00705D9C" w:rsidRDefault="0070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BE1" w:rsidRDefault="00BF7F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1BE1" w:rsidRDefault="00EA1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BE1" w:rsidRDefault="00BF7F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DF7">
      <w:rPr>
        <w:rStyle w:val="PageNumber"/>
        <w:noProof/>
      </w:rPr>
      <w:t>3</w:t>
    </w:r>
    <w:r>
      <w:rPr>
        <w:rStyle w:val="PageNumber"/>
      </w:rPr>
      <w:fldChar w:fldCharType="end"/>
    </w:r>
  </w:p>
  <w:p w:rsidR="00EA1BE1" w:rsidRDefault="00EA1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0CE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75720"/>
    <w:multiLevelType w:val="hybridMultilevel"/>
    <w:tmpl w:val="41A02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3046"/>
    <w:multiLevelType w:val="hybridMultilevel"/>
    <w:tmpl w:val="663438D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F69B4"/>
    <w:multiLevelType w:val="multilevel"/>
    <w:tmpl w:val="109F69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32A9B"/>
    <w:multiLevelType w:val="hybridMultilevel"/>
    <w:tmpl w:val="8402B1EA"/>
    <w:lvl w:ilvl="0" w:tplc="AFA0379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FF2290"/>
    <w:multiLevelType w:val="multilevel"/>
    <w:tmpl w:val="1FFF22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419C4"/>
    <w:multiLevelType w:val="multilevel"/>
    <w:tmpl w:val="3CA419C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82857FB"/>
    <w:multiLevelType w:val="multilevel"/>
    <w:tmpl w:val="482857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74CE2"/>
    <w:multiLevelType w:val="hybridMultilevel"/>
    <w:tmpl w:val="90E2A628"/>
    <w:lvl w:ilvl="0" w:tplc="3A703326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9" w15:restartNumberingAfterBreak="0">
    <w:nsid w:val="7A0E2DB0"/>
    <w:multiLevelType w:val="multilevel"/>
    <w:tmpl w:val="7A0E2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E1"/>
    <w:rsid w:val="00005B35"/>
    <w:rsid w:val="00022E63"/>
    <w:rsid w:val="0003123E"/>
    <w:rsid w:val="00035F71"/>
    <w:rsid w:val="00054B32"/>
    <w:rsid w:val="0005707C"/>
    <w:rsid w:val="00062ACA"/>
    <w:rsid w:val="000760E6"/>
    <w:rsid w:val="0008043A"/>
    <w:rsid w:val="0009024B"/>
    <w:rsid w:val="000A7B7B"/>
    <w:rsid w:val="000C68EA"/>
    <w:rsid w:val="000D7E0B"/>
    <w:rsid w:val="000E2F3E"/>
    <w:rsid w:val="000E7AB5"/>
    <w:rsid w:val="000E7D44"/>
    <w:rsid w:val="0010092E"/>
    <w:rsid w:val="00110B65"/>
    <w:rsid w:val="00113515"/>
    <w:rsid w:val="0011762E"/>
    <w:rsid w:val="00121324"/>
    <w:rsid w:val="001328A7"/>
    <w:rsid w:val="0014412F"/>
    <w:rsid w:val="001620C6"/>
    <w:rsid w:val="00176681"/>
    <w:rsid w:val="00181629"/>
    <w:rsid w:val="00181F4D"/>
    <w:rsid w:val="0018447A"/>
    <w:rsid w:val="0019238F"/>
    <w:rsid w:val="001A05EF"/>
    <w:rsid w:val="001A162F"/>
    <w:rsid w:val="001B40B5"/>
    <w:rsid w:val="001C1B7F"/>
    <w:rsid w:val="001C3D94"/>
    <w:rsid w:val="001C691D"/>
    <w:rsid w:val="001C722E"/>
    <w:rsid w:val="001D0ECA"/>
    <w:rsid w:val="001D4ED4"/>
    <w:rsid w:val="001D56C5"/>
    <w:rsid w:val="001E7A52"/>
    <w:rsid w:val="001F1E38"/>
    <w:rsid w:val="001F2FF8"/>
    <w:rsid w:val="001F4FD8"/>
    <w:rsid w:val="0020296F"/>
    <w:rsid w:val="00202B9C"/>
    <w:rsid w:val="002141E4"/>
    <w:rsid w:val="002204B1"/>
    <w:rsid w:val="0022129C"/>
    <w:rsid w:val="002370D5"/>
    <w:rsid w:val="00241727"/>
    <w:rsid w:val="00241962"/>
    <w:rsid w:val="00242E7A"/>
    <w:rsid w:val="0024776D"/>
    <w:rsid w:val="00255F06"/>
    <w:rsid w:val="00260A0D"/>
    <w:rsid w:val="00266025"/>
    <w:rsid w:val="002725F0"/>
    <w:rsid w:val="002763E3"/>
    <w:rsid w:val="0027669A"/>
    <w:rsid w:val="00277BD6"/>
    <w:rsid w:val="0028104D"/>
    <w:rsid w:val="00282850"/>
    <w:rsid w:val="0028293F"/>
    <w:rsid w:val="002850AC"/>
    <w:rsid w:val="0028510D"/>
    <w:rsid w:val="00286765"/>
    <w:rsid w:val="00295112"/>
    <w:rsid w:val="002A0DFC"/>
    <w:rsid w:val="002A205D"/>
    <w:rsid w:val="002A2953"/>
    <w:rsid w:val="002B20F1"/>
    <w:rsid w:val="002B5E46"/>
    <w:rsid w:val="002D1A30"/>
    <w:rsid w:val="002D53ED"/>
    <w:rsid w:val="002D6BB9"/>
    <w:rsid w:val="002E1FB0"/>
    <w:rsid w:val="002F0EBF"/>
    <w:rsid w:val="002F212A"/>
    <w:rsid w:val="00301A17"/>
    <w:rsid w:val="00323C7B"/>
    <w:rsid w:val="0033129F"/>
    <w:rsid w:val="0034148E"/>
    <w:rsid w:val="00344F29"/>
    <w:rsid w:val="003454D8"/>
    <w:rsid w:val="003856D4"/>
    <w:rsid w:val="00387B6A"/>
    <w:rsid w:val="003A1CC1"/>
    <w:rsid w:val="003C5BC8"/>
    <w:rsid w:val="003D15A2"/>
    <w:rsid w:val="004205E2"/>
    <w:rsid w:val="004216ED"/>
    <w:rsid w:val="00421BA3"/>
    <w:rsid w:val="00422FB7"/>
    <w:rsid w:val="00425FA5"/>
    <w:rsid w:val="00444390"/>
    <w:rsid w:val="0044680C"/>
    <w:rsid w:val="00452403"/>
    <w:rsid w:val="004759B9"/>
    <w:rsid w:val="00477779"/>
    <w:rsid w:val="00483013"/>
    <w:rsid w:val="00484E38"/>
    <w:rsid w:val="00485D07"/>
    <w:rsid w:val="004A5E47"/>
    <w:rsid w:val="004B56A1"/>
    <w:rsid w:val="004B71DA"/>
    <w:rsid w:val="004D1245"/>
    <w:rsid w:val="004D1AF8"/>
    <w:rsid w:val="004E160C"/>
    <w:rsid w:val="004E3656"/>
    <w:rsid w:val="004E5DDD"/>
    <w:rsid w:val="004F0210"/>
    <w:rsid w:val="004F0353"/>
    <w:rsid w:val="004F076D"/>
    <w:rsid w:val="004F778D"/>
    <w:rsid w:val="00502C17"/>
    <w:rsid w:val="00512DA7"/>
    <w:rsid w:val="005165C7"/>
    <w:rsid w:val="005508B8"/>
    <w:rsid w:val="00566C44"/>
    <w:rsid w:val="00574E59"/>
    <w:rsid w:val="00596DCC"/>
    <w:rsid w:val="005A6253"/>
    <w:rsid w:val="005B225F"/>
    <w:rsid w:val="005C1E40"/>
    <w:rsid w:val="005D21CB"/>
    <w:rsid w:val="005E2E1D"/>
    <w:rsid w:val="005F103A"/>
    <w:rsid w:val="005F542D"/>
    <w:rsid w:val="00617079"/>
    <w:rsid w:val="00625E69"/>
    <w:rsid w:val="00654EF3"/>
    <w:rsid w:val="00663064"/>
    <w:rsid w:val="00664130"/>
    <w:rsid w:val="00682058"/>
    <w:rsid w:val="006847D7"/>
    <w:rsid w:val="00696338"/>
    <w:rsid w:val="006A3923"/>
    <w:rsid w:val="006A6411"/>
    <w:rsid w:val="006A7273"/>
    <w:rsid w:val="006C4086"/>
    <w:rsid w:val="006C43B7"/>
    <w:rsid w:val="006C602C"/>
    <w:rsid w:val="006D26B0"/>
    <w:rsid w:val="006D4E37"/>
    <w:rsid w:val="006D757A"/>
    <w:rsid w:val="006D7957"/>
    <w:rsid w:val="006E66F8"/>
    <w:rsid w:val="006F2AEF"/>
    <w:rsid w:val="006F2C48"/>
    <w:rsid w:val="006F37EA"/>
    <w:rsid w:val="006F522D"/>
    <w:rsid w:val="00705D9C"/>
    <w:rsid w:val="00716177"/>
    <w:rsid w:val="00716EB7"/>
    <w:rsid w:val="0071709C"/>
    <w:rsid w:val="00724B3B"/>
    <w:rsid w:val="00726FB4"/>
    <w:rsid w:val="007323A1"/>
    <w:rsid w:val="00737945"/>
    <w:rsid w:val="007401EB"/>
    <w:rsid w:val="007551BA"/>
    <w:rsid w:val="00755F87"/>
    <w:rsid w:val="00762322"/>
    <w:rsid w:val="00762842"/>
    <w:rsid w:val="00773B47"/>
    <w:rsid w:val="0077691A"/>
    <w:rsid w:val="007859A2"/>
    <w:rsid w:val="007866AF"/>
    <w:rsid w:val="007A73EB"/>
    <w:rsid w:val="007C7DF7"/>
    <w:rsid w:val="007D0641"/>
    <w:rsid w:val="007D1F03"/>
    <w:rsid w:val="007F1703"/>
    <w:rsid w:val="00803D20"/>
    <w:rsid w:val="0083099D"/>
    <w:rsid w:val="00837B90"/>
    <w:rsid w:val="008611E7"/>
    <w:rsid w:val="00880DAD"/>
    <w:rsid w:val="00883D9B"/>
    <w:rsid w:val="00884638"/>
    <w:rsid w:val="00895F2D"/>
    <w:rsid w:val="008A2D76"/>
    <w:rsid w:val="008B2B7C"/>
    <w:rsid w:val="008B43EA"/>
    <w:rsid w:val="008B4675"/>
    <w:rsid w:val="008D7AD2"/>
    <w:rsid w:val="008E1B57"/>
    <w:rsid w:val="008E5F5B"/>
    <w:rsid w:val="008E6419"/>
    <w:rsid w:val="00904C9F"/>
    <w:rsid w:val="00905E5C"/>
    <w:rsid w:val="009164AB"/>
    <w:rsid w:val="00924C0D"/>
    <w:rsid w:val="00934B94"/>
    <w:rsid w:val="00940828"/>
    <w:rsid w:val="009534BE"/>
    <w:rsid w:val="00960549"/>
    <w:rsid w:val="00963EEB"/>
    <w:rsid w:val="0096471E"/>
    <w:rsid w:val="00965209"/>
    <w:rsid w:val="009670D4"/>
    <w:rsid w:val="00976359"/>
    <w:rsid w:val="00976FEA"/>
    <w:rsid w:val="0098597F"/>
    <w:rsid w:val="009859D9"/>
    <w:rsid w:val="00990AC2"/>
    <w:rsid w:val="009A08D5"/>
    <w:rsid w:val="009A6563"/>
    <w:rsid w:val="009B61C5"/>
    <w:rsid w:val="009C29BC"/>
    <w:rsid w:val="009C340A"/>
    <w:rsid w:val="009C7659"/>
    <w:rsid w:val="009D08AF"/>
    <w:rsid w:val="009D29F5"/>
    <w:rsid w:val="009E0E70"/>
    <w:rsid w:val="009E5C81"/>
    <w:rsid w:val="009E695B"/>
    <w:rsid w:val="009E75C2"/>
    <w:rsid w:val="009F053C"/>
    <w:rsid w:val="009F67E4"/>
    <w:rsid w:val="009F6C33"/>
    <w:rsid w:val="00A0610C"/>
    <w:rsid w:val="00A15717"/>
    <w:rsid w:val="00A22157"/>
    <w:rsid w:val="00A64CD8"/>
    <w:rsid w:val="00A6542A"/>
    <w:rsid w:val="00A65740"/>
    <w:rsid w:val="00A81B92"/>
    <w:rsid w:val="00A849D3"/>
    <w:rsid w:val="00A93061"/>
    <w:rsid w:val="00A96FB0"/>
    <w:rsid w:val="00AA22D0"/>
    <w:rsid w:val="00AC0D1E"/>
    <w:rsid w:val="00AC207D"/>
    <w:rsid w:val="00AC21EC"/>
    <w:rsid w:val="00AD5F8A"/>
    <w:rsid w:val="00AE1108"/>
    <w:rsid w:val="00AE538B"/>
    <w:rsid w:val="00AF68C1"/>
    <w:rsid w:val="00B00E59"/>
    <w:rsid w:val="00B20B22"/>
    <w:rsid w:val="00B233CF"/>
    <w:rsid w:val="00B266A6"/>
    <w:rsid w:val="00B40CD7"/>
    <w:rsid w:val="00B53B3F"/>
    <w:rsid w:val="00B605E9"/>
    <w:rsid w:val="00B614DE"/>
    <w:rsid w:val="00B778BE"/>
    <w:rsid w:val="00B97D2F"/>
    <w:rsid w:val="00BB3BF7"/>
    <w:rsid w:val="00BB772E"/>
    <w:rsid w:val="00BF18C2"/>
    <w:rsid w:val="00BF6CD6"/>
    <w:rsid w:val="00BF7FC3"/>
    <w:rsid w:val="00C01506"/>
    <w:rsid w:val="00C02CFD"/>
    <w:rsid w:val="00C035E9"/>
    <w:rsid w:val="00C17372"/>
    <w:rsid w:val="00C40DD7"/>
    <w:rsid w:val="00C50589"/>
    <w:rsid w:val="00C617F3"/>
    <w:rsid w:val="00C65853"/>
    <w:rsid w:val="00C66683"/>
    <w:rsid w:val="00C76A71"/>
    <w:rsid w:val="00C9068D"/>
    <w:rsid w:val="00CB5B9E"/>
    <w:rsid w:val="00CC5F3C"/>
    <w:rsid w:val="00CD5C19"/>
    <w:rsid w:val="00CE314B"/>
    <w:rsid w:val="00CE353D"/>
    <w:rsid w:val="00D1765A"/>
    <w:rsid w:val="00D27240"/>
    <w:rsid w:val="00D360E0"/>
    <w:rsid w:val="00D36986"/>
    <w:rsid w:val="00D4655A"/>
    <w:rsid w:val="00D635FD"/>
    <w:rsid w:val="00D65DF0"/>
    <w:rsid w:val="00D7094D"/>
    <w:rsid w:val="00D979F7"/>
    <w:rsid w:val="00DA4CE4"/>
    <w:rsid w:val="00DB1388"/>
    <w:rsid w:val="00DB145A"/>
    <w:rsid w:val="00DB6BDB"/>
    <w:rsid w:val="00DC7E2E"/>
    <w:rsid w:val="00DD2BE7"/>
    <w:rsid w:val="00DF5CDE"/>
    <w:rsid w:val="00E068AB"/>
    <w:rsid w:val="00E0793E"/>
    <w:rsid w:val="00E10008"/>
    <w:rsid w:val="00E13A72"/>
    <w:rsid w:val="00E14309"/>
    <w:rsid w:val="00E20473"/>
    <w:rsid w:val="00E242B1"/>
    <w:rsid w:val="00E40A8A"/>
    <w:rsid w:val="00E41D14"/>
    <w:rsid w:val="00E42FFA"/>
    <w:rsid w:val="00E540C2"/>
    <w:rsid w:val="00E60518"/>
    <w:rsid w:val="00E65E9E"/>
    <w:rsid w:val="00E72217"/>
    <w:rsid w:val="00E932D1"/>
    <w:rsid w:val="00E947CB"/>
    <w:rsid w:val="00EA1AC9"/>
    <w:rsid w:val="00EA1BE1"/>
    <w:rsid w:val="00EA4119"/>
    <w:rsid w:val="00EB0187"/>
    <w:rsid w:val="00EB537A"/>
    <w:rsid w:val="00EC76A6"/>
    <w:rsid w:val="00ED7E7A"/>
    <w:rsid w:val="00F00A2E"/>
    <w:rsid w:val="00F259D2"/>
    <w:rsid w:val="00F27032"/>
    <w:rsid w:val="00F35DDB"/>
    <w:rsid w:val="00F36085"/>
    <w:rsid w:val="00F36461"/>
    <w:rsid w:val="00F36A37"/>
    <w:rsid w:val="00F4213C"/>
    <w:rsid w:val="00F53276"/>
    <w:rsid w:val="00F6087C"/>
    <w:rsid w:val="00F628AE"/>
    <w:rsid w:val="00F7418C"/>
    <w:rsid w:val="00F77B0E"/>
    <w:rsid w:val="00FA45F6"/>
    <w:rsid w:val="00FA5F89"/>
    <w:rsid w:val="00FA7E2C"/>
    <w:rsid w:val="00FB4FB2"/>
    <w:rsid w:val="00FE53DA"/>
    <w:rsid w:val="00FE67B2"/>
    <w:rsid w:val="00FE6FED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F799E961-D910-41C2-BD7E-0CA0BB1D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pPr>
      <w:spacing w:before="75" w:after="75"/>
      <w:jc w:val="right"/>
    </w:pPr>
  </w:style>
  <w:style w:type="paragraph" w:customStyle="1" w:styleId="naiskr">
    <w:name w:val="naiskr"/>
    <w:basedOn w:val="Normal"/>
    <w:pPr>
      <w:spacing w:before="75" w:after="75"/>
    </w:pPr>
  </w:style>
  <w:style w:type="paragraph" w:customStyle="1" w:styleId="naisc">
    <w:name w:val="naisc"/>
    <w:basedOn w:val="Normal"/>
    <w:pPr>
      <w:spacing w:before="75" w:after="75"/>
      <w:jc w:val="center"/>
    </w:pPr>
  </w:style>
  <w:style w:type="character" w:customStyle="1" w:styleId="th1">
    <w:name w:val="th1"/>
    <w:basedOn w:val="DefaultParagraphFont"/>
    <w:rPr>
      <w:b/>
      <w:bCs/>
      <w:color w:val="333333"/>
    </w:rPr>
  </w:style>
  <w:style w:type="character" w:customStyle="1" w:styleId="CommentTextChar">
    <w:name w:val="Comment Text Char"/>
    <w:basedOn w:val="DefaultParagraphFont"/>
    <w:link w:val="CommentText"/>
    <w:semiHidden/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bidi="ar-SA"/>
    </w:rPr>
  </w:style>
  <w:style w:type="character" w:customStyle="1" w:styleId="apple-converted-space">
    <w:name w:val="apple-converted-space"/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202B9C"/>
    <w:pPr>
      <w:spacing w:after="0" w:line="240" w:lineRule="auto"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western">
    <w:name w:val="western"/>
    <w:basedOn w:val="Normal"/>
    <w:rsid w:val="00485D07"/>
    <w:pPr>
      <w:spacing w:before="100" w:beforeAutospacing="1" w:after="119" w:line="240" w:lineRule="auto"/>
    </w:pPr>
    <w:rPr>
      <w:color w:val="000000"/>
      <w:lang w:val="lv-LV" w:eastAsia="lv-LV"/>
    </w:rPr>
  </w:style>
  <w:style w:type="paragraph" w:customStyle="1" w:styleId="CharChar3CharCharCharCharCharCharCharCharChar">
    <w:name w:val="Char Char3 Char Char Char Char Char Char Char Char Char"/>
    <w:basedOn w:val="Normal"/>
    <w:rsid w:val="00E40A8A"/>
    <w:pPr>
      <w:spacing w:after="0" w:line="240" w:lineRule="auto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D6966D-AD95-48D1-AC07-CB619BC1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917</Words>
  <Characters>6390</Characters>
  <Application>Microsoft Office Word</Application>
  <DocSecurity>0</DocSecurity>
  <Lines>355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Jalgavas ielā 65, Kuldīgā, Kuldīgas novadā pirkšanu</vt:lpstr>
    </vt:vector>
  </TitlesOfParts>
  <Manager>Iekšlietu ministrija</Manager>
  <Company>Nodorošinājuma valsts aģentūra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Jalgavas ielā 65, Kuldīgā, Kuldīgas novadā pirkšanu</dc:title>
  <dc:subject>Anotācija</dc:subject>
  <dc:creator>Vineta Silkane-Brača</dc:creator>
  <dc:description>vineta.silkane-braca@agentura.iem.gov.lv, 67829699</dc:description>
  <cp:lastModifiedBy>Biruta Pedane</cp:lastModifiedBy>
  <cp:revision>45</cp:revision>
  <cp:lastPrinted>2016-01-06T08:15:00Z</cp:lastPrinted>
  <dcterms:created xsi:type="dcterms:W3CDTF">2015-11-30T07:34:00Z</dcterms:created>
  <dcterms:modified xsi:type="dcterms:W3CDTF">2016-01-08T06:53:00Z</dcterms:modified>
  <cp:category>Sākotnējās ietekmes novērtējuma ziņojums (anotācija)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