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78CCE" w14:textId="77777777" w:rsidR="008C5649" w:rsidRPr="00D47402" w:rsidRDefault="00D13372" w:rsidP="00D13372">
      <w:pPr>
        <w:jc w:val="center"/>
        <w:rPr>
          <w:b/>
        </w:rPr>
      </w:pPr>
      <w:r w:rsidRPr="00D47402">
        <w:rPr>
          <w:b/>
        </w:rPr>
        <w:t>Likum</w:t>
      </w:r>
      <w:r w:rsidR="00DC1363" w:rsidRPr="00D47402">
        <w:rPr>
          <w:b/>
        </w:rPr>
        <w:t>projekta „</w:t>
      </w:r>
      <w:r w:rsidR="005008E3" w:rsidRPr="00D47402">
        <w:rPr>
          <w:b/>
        </w:rPr>
        <w:t>Grozījum</w:t>
      </w:r>
      <w:r w:rsidR="00132EE0" w:rsidRPr="00D47402">
        <w:rPr>
          <w:b/>
        </w:rPr>
        <w:t>i</w:t>
      </w:r>
      <w:r w:rsidR="005008E3" w:rsidRPr="00D47402">
        <w:rPr>
          <w:b/>
        </w:rPr>
        <w:t xml:space="preserve"> </w:t>
      </w:r>
      <w:r w:rsidR="00DC2F24" w:rsidRPr="00D47402">
        <w:rPr>
          <w:b/>
        </w:rPr>
        <w:t xml:space="preserve">Zinātniskās darbības </w:t>
      </w:r>
      <w:r w:rsidR="005008E3" w:rsidRPr="00D47402">
        <w:rPr>
          <w:b/>
        </w:rPr>
        <w:t>likumā</w:t>
      </w:r>
      <w:r w:rsidR="002B01F3" w:rsidRPr="00D47402">
        <w:rPr>
          <w:b/>
        </w:rPr>
        <w:t>”</w:t>
      </w:r>
      <w:r w:rsidRPr="00D47402">
        <w:rPr>
          <w:b/>
        </w:rPr>
        <w:t xml:space="preserve"> </w:t>
      </w:r>
      <w:r w:rsidR="00852042" w:rsidRPr="00D47402">
        <w:rPr>
          <w:b/>
        </w:rPr>
        <w:t xml:space="preserve"> sākotnējā</w:t>
      </w:r>
      <w:r w:rsidR="002D3306" w:rsidRPr="00D47402">
        <w:rPr>
          <w:b/>
        </w:rPr>
        <w:t>s</w:t>
      </w:r>
      <w:r w:rsidR="00852042" w:rsidRPr="00D47402">
        <w:rPr>
          <w:b/>
        </w:rPr>
        <w:t xml:space="preserve"> ietekmes novērtējuma </w:t>
      </w:r>
      <w:smartTag w:uri="schemas-tilde-lv/tildestengine" w:element="veidnes">
        <w:smartTagPr>
          <w:attr w:name="text" w:val="ziņojums"/>
          <w:attr w:name="baseform" w:val="ziņojums"/>
          <w:attr w:name="id" w:val="-1"/>
        </w:smartTagPr>
        <w:r w:rsidR="00852042" w:rsidRPr="00D47402">
          <w:rPr>
            <w:b/>
          </w:rPr>
          <w:t>ziņojums</w:t>
        </w:r>
      </w:smartTag>
      <w:r w:rsidR="00852042" w:rsidRPr="00D47402">
        <w:rPr>
          <w:b/>
        </w:rPr>
        <w:t xml:space="preserve"> (anotācija)</w:t>
      </w:r>
    </w:p>
    <w:p w14:paraId="427193DA" w14:textId="77777777" w:rsidR="00326672" w:rsidRPr="00D47402" w:rsidRDefault="00326672" w:rsidP="00132EE0">
      <w:pPr>
        <w:jc w:val="center"/>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7132DD" w:rsidRPr="00D47402" w14:paraId="6CD274E8" w14:textId="77777777">
        <w:tc>
          <w:tcPr>
            <w:tcW w:w="9725" w:type="dxa"/>
            <w:gridSpan w:val="3"/>
            <w:vAlign w:val="center"/>
          </w:tcPr>
          <w:p w14:paraId="1A41E3F2" w14:textId="77777777" w:rsidR="00852042" w:rsidRPr="00D47402" w:rsidRDefault="00852042" w:rsidP="006C4607">
            <w:pPr>
              <w:pStyle w:val="naisnod"/>
              <w:spacing w:before="0" w:after="0"/>
            </w:pPr>
            <w:r w:rsidRPr="00D47402">
              <w:t>I</w:t>
            </w:r>
            <w:r w:rsidR="000941C5" w:rsidRPr="00D47402">
              <w:t>.</w:t>
            </w:r>
            <w:r w:rsidRPr="00D47402">
              <w:t xml:space="preserve"> Tiesību akta </w:t>
            </w:r>
            <w:r w:rsidR="002E3FF4" w:rsidRPr="00D47402">
              <w:t xml:space="preserve">projekta </w:t>
            </w:r>
            <w:r w:rsidRPr="00D47402">
              <w:t>izstrādes nepieciešamība</w:t>
            </w:r>
          </w:p>
        </w:tc>
      </w:tr>
      <w:tr w:rsidR="007132DD" w:rsidRPr="00D47402" w14:paraId="2AB334D2" w14:textId="77777777" w:rsidTr="00A259E0">
        <w:trPr>
          <w:trHeight w:val="2230"/>
        </w:trPr>
        <w:tc>
          <w:tcPr>
            <w:tcW w:w="550" w:type="dxa"/>
          </w:tcPr>
          <w:p w14:paraId="60DBD8BF" w14:textId="77777777" w:rsidR="00262E2B" w:rsidRPr="00D47402" w:rsidRDefault="00262E2B" w:rsidP="006C4607">
            <w:pPr>
              <w:pStyle w:val="naiskr"/>
              <w:spacing w:before="0" w:after="0"/>
            </w:pPr>
            <w:r w:rsidRPr="00D47402">
              <w:t>1.</w:t>
            </w:r>
          </w:p>
        </w:tc>
        <w:tc>
          <w:tcPr>
            <w:tcW w:w="3708" w:type="dxa"/>
          </w:tcPr>
          <w:p w14:paraId="6D1709F3" w14:textId="77777777" w:rsidR="00262E2B" w:rsidRPr="00D47402" w:rsidRDefault="002D7F54" w:rsidP="006C4607">
            <w:pPr>
              <w:pStyle w:val="naiskr"/>
              <w:spacing w:before="0" w:after="0"/>
              <w:ind w:hanging="10"/>
            </w:pPr>
            <w:r w:rsidRPr="00D47402">
              <w:t>Pamatojum</w:t>
            </w:r>
            <w:r w:rsidR="00E742D1" w:rsidRPr="00D47402">
              <w:t>s</w:t>
            </w:r>
          </w:p>
        </w:tc>
        <w:tc>
          <w:tcPr>
            <w:tcW w:w="5467" w:type="dxa"/>
          </w:tcPr>
          <w:p w14:paraId="2F42A4A6" w14:textId="7222B6D7" w:rsidR="00326672" w:rsidRPr="00D47402" w:rsidRDefault="006F260E" w:rsidP="00C77E82">
            <w:pPr>
              <w:shd w:val="clear" w:color="auto" w:fill="FFFFFF"/>
              <w:jc w:val="both"/>
              <w:outlineLvl w:val="2"/>
            </w:pPr>
            <w:r w:rsidRPr="00D47402">
              <w:t xml:space="preserve">Likumprojekts  „Grozījumi Zinātniskās darbības likumā” </w:t>
            </w:r>
            <w:r w:rsidR="00E21730" w:rsidRPr="00D47402">
              <w:t>(turpmāk – likumprojekts)</w:t>
            </w:r>
            <w:r w:rsidRPr="00D47402">
              <w:t xml:space="preserve"> izstrādāts</w:t>
            </w:r>
            <w:r w:rsidR="005D4F29" w:rsidRPr="00D47402">
              <w:t xml:space="preserve"> </w:t>
            </w:r>
            <w:r w:rsidR="00DD3158" w:rsidRPr="00D47402">
              <w:t xml:space="preserve">saskaņā ar </w:t>
            </w:r>
            <w:r w:rsidR="00C77E82">
              <w:t>Izglītības un zinātnes ministrijas informatīvo ziņojumu</w:t>
            </w:r>
            <w:r w:rsidR="00C77E82" w:rsidRPr="00D47402">
              <w:t xml:space="preserve"> “Par Latvijas zinātnes strukturālās reformas īstenošanu l</w:t>
            </w:r>
            <w:r w:rsidR="00C77E82">
              <w:t>īdz 2015.gada 1.jūlijam” (</w:t>
            </w:r>
            <w:r w:rsidRPr="00D47402">
              <w:t>Ministru kabineta 2014.gad</w:t>
            </w:r>
            <w:r w:rsidR="00C77E82">
              <w:t>a 19.augusta sēdes protokols</w:t>
            </w:r>
            <w:r w:rsidRPr="00D47402">
              <w:t xml:space="preserve"> Nr.44</w:t>
            </w:r>
            <w:r w:rsidR="00C77E82">
              <w:t xml:space="preserve">, </w:t>
            </w:r>
            <w:r w:rsidRPr="00D47402">
              <w:t>47.§</w:t>
            </w:r>
            <w:r w:rsidR="00C77E82">
              <w:t>),</w:t>
            </w:r>
            <w:r w:rsidR="004F22A0" w:rsidRPr="00D47402">
              <w:t xml:space="preserve"> kā arī</w:t>
            </w:r>
            <w:r w:rsidR="00395E6A" w:rsidRPr="00D47402">
              <w:t xml:space="preserve"> pamatojoties uz</w:t>
            </w:r>
            <w:r w:rsidR="002D523B" w:rsidRPr="00D47402">
              <w:t xml:space="preserve"> </w:t>
            </w:r>
            <w:r w:rsidR="004F22A0" w:rsidRPr="00D47402">
              <w:t>Ministru kabineta 2013.gada 12.novembra noteikumiem Nr.1316 “</w:t>
            </w:r>
            <w:r w:rsidR="004F22A0" w:rsidRPr="00D47402">
              <w:rPr>
                <w:bCs/>
              </w:rPr>
              <w:t xml:space="preserve">Kārtība, kādā aprēķina un piešķir bāzes finansējumu zinātniskajām institūcijām” </w:t>
            </w:r>
            <w:r w:rsidR="00BB626C">
              <w:rPr>
                <w:bCs/>
              </w:rPr>
              <w:t xml:space="preserve">veiktajiem grozījumiem </w:t>
            </w:r>
            <w:r w:rsidR="004F22A0" w:rsidRPr="00D47402">
              <w:rPr>
                <w:bCs/>
              </w:rPr>
              <w:t xml:space="preserve">un </w:t>
            </w:r>
            <w:r w:rsidR="002D523B" w:rsidRPr="00D47402">
              <w:t xml:space="preserve">Ministru kabineta </w:t>
            </w:r>
            <w:r w:rsidR="002D523B" w:rsidRPr="00D47402">
              <w:rPr>
                <w:bCs/>
              </w:rPr>
              <w:t>2014.gada 25.novembra noteikumiem Nr.729  “Noteikumi par darbības programmas "Uzņēmējdarbība un inovācijas" papildinājuma 2.1.1.3.3.apakšaktivitāti "Zinātnisko institūciju institucionālās kapacitātes attīstība"</w:t>
            </w:r>
            <w:r w:rsidR="004F22A0" w:rsidRPr="00D47402">
              <w:rPr>
                <w:bCs/>
              </w:rPr>
              <w:t>.</w:t>
            </w:r>
            <w:r w:rsidR="008464E5" w:rsidRPr="00D47402">
              <w:t xml:space="preserve"> Likumprojekts </w:t>
            </w:r>
            <w:r w:rsidR="000340EB" w:rsidRPr="00D47402">
              <w:t xml:space="preserve">sagatavots, ievērojot </w:t>
            </w:r>
            <w:r w:rsidR="008464E5" w:rsidRPr="00D47402">
              <w:t xml:space="preserve"> Zinātnes, tehnoloģiju attīstības un inovācijas pamatnost</w:t>
            </w:r>
            <w:r w:rsidR="000340EB" w:rsidRPr="00D47402">
              <w:t>ādnes</w:t>
            </w:r>
            <w:r w:rsidR="008464E5" w:rsidRPr="00D47402">
              <w:t xml:space="preserve"> 2014.-2020.gadam</w:t>
            </w:r>
            <w:r w:rsidR="000340EB" w:rsidRPr="00D47402">
              <w:t>.</w:t>
            </w:r>
          </w:p>
        </w:tc>
      </w:tr>
      <w:tr w:rsidR="007132DD" w:rsidRPr="00D47402" w14:paraId="487AE5F2" w14:textId="77777777" w:rsidTr="00132EE0">
        <w:trPr>
          <w:trHeight w:val="472"/>
        </w:trPr>
        <w:tc>
          <w:tcPr>
            <w:tcW w:w="550" w:type="dxa"/>
          </w:tcPr>
          <w:p w14:paraId="37FE1ED4" w14:textId="24525C04" w:rsidR="00262E2B" w:rsidRPr="00D47402" w:rsidRDefault="00262E2B" w:rsidP="00BF3681">
            <w:pPr>
              <w:pStyle w:val="naiskr"/>
              <w:spacing w:before="0" w:after="0"/>
              <w:ind w:firstLine="284"/>
              <w:contextualSpacing/>
            </w:pPr>
            <w:r w:rsidRPr="00D47402">
              <w:t>2.</w:t>
            </w:r>
          </w:p>
        </w:tc>
        <w:tc>
          <w:tcPr>
            <w:tcW w:w="3708" w:type="dxa"/>
          </w:tcPr>
          <w:p w14:paraId="2AF169E2" w14:textId="77777777" w:rsidR="00262E2B" w:rsidRPr="00D47402" w:rsidRDefault="00C61E3F" w:rsidP="00BF3681">
            <w:pPr>
              <w:pStyle w:val="naiskr"/>
              <w:tabs>
                <w:tab w:val="left" w:pos="170"/>
              </w:tabs>
              <w:spacing w:before="0" w:after="0"/>
              <w:ind w:firstLine="284"/>
              <w:contextualSpacing/>
            </w:pPr>
            <w:r w:rsidRPr="00D47402">
              <w:t>Pašreizējā situācija un problēmas, kuru risināšanai tiesību akta projekts izstrādāts, tiesiskā regulējuma mērķis un būtība</w:t>
            </w:r>
          </w:p>
        </w:tc>
        <w:tc>
          <w:tcPr>
            <w:tcW w:w="5467" w:type="dxa"/>
          </w:tcPr>
          <w:p w14:paraId="1894C1EF" w14:textId="5BB11092" w:rsidR="0020117F" w:rsidRPr="00D47402" w:rsidRDefault="00DC2F24" w:rsidP="007F6FA3">
            <w:pPr>
              <w:jc w:val="both"/>
            </w:pPr>
            <w:r w:rsidRPr="00D47402">
              <w:t>Saskaņā ar Izglītības un zinātnes ministrijas informatīvo ziņojumu “Par Latvijas zinātnes strukturālās reformas īstenošanu līdz 2015.gada 1.jūlijam”</w:t>
            </w:r>
            <w:r w:rsidR="00A500AD" w:rsidRPr="00D47402">
              <w:t xml:space="preserve">, </w:t>
            </w:r>
            <w:r w:rsidR="007F6FA3" w:rsidRPr="00D47402">
              <w:t>zinātnes strukturālā reforma</w:t>
            </w:r>
            <w:r w:rsidR="00A500AD" w:rsidRPr="00D47402">
              <w:t xml:space="preserve"> ir vērsta uz</w:t>
            </w:r>
            <w:r w:rsidR="007F6FA3" w:rsidRPr="00D47402">
              <w:t xml:space="preserve"> </w:t>
            </w:r>
            <w:r w:rsidRPr="00D47402">
              <w:t>funkcionālu resursu konsolidāciju</w:t>
            </w:r>
            <w:r w:rsidR="006F425A" w:rsidRPr="00D47402">
              <w:t xml:space="preserve">, mazinot </w:t>
            </w:r>
            <w:r w:rsidR="00F24853" w:rsidRPr="00D47402">
              <w:t>institucionālo</w:t>
            </w:r>
            <w:r w:rsidR="006F425A" w:rsidRPr="00D47402">
              <w:t xml:space="preserve"> fragmentāciju, ieviešot rezultātu pārvaldību un pilnveidojot </w:t>
            </w:r>
            <w:r w:rsidR="00046B5F" w:rsidRPr="00D47402">
              <w:t>zinātniskās darbības</w:t>
            </w:r>
            <w:r w:rsidR="00781D52" w:rsidRPr="00D47402">
              <w:t xml:space="preserve"> fi</w:t>
            </w:r>
            <w:r w:rsidR="006F425A" w:rsidRPr="00D47402">
              <w:t>nansēšanas regulējumu</w:t>
            </w:r>
            <w:r w:rsidR="003132BD" w:rsidRPr="00D47402">
              <w:t>, lai nodrošinātu valsts budžeta finansējuma piešķiršanu</w:t>
            </w:r>
            <w:r w:rsidR="007F6FA3" w:rsidRPr="00D47402">
              <w:t xml:space="preserve"> tikai</w:t>
            </w:r>
            <w:r w:rsidR="003132BD" w:rsidRPr="00D47402">
              <w:t xml:space="preserve"> konkurētspējīgām zinātniskajām institūcijām</w:t>
            </w:r>
            <w:r w:rsidR="00190367">
              <w:t xml:space="preserve">. </w:t>
            </w:r>
            <w:r w:rsidR="00D7027F" w:rsidRPr="00D47402">
              <w:t xml:space="preserve">Saskaņā ar Latvijas zinātnes starptautiskā izvērtējuma </w:t>
            </w:r>
            <w:r w:rsidR="00C5397F" w:rsidRPr="00D47402">
              <w:t>rekomendācijām</w:t>
            </w:r>
            <w:r w:rsidR="00FE0A8B">
              <w:t xml:space="preserve"> to</w:t>
            </w:r>
            <w:r w:rsidR="00C5397F" w:rsidRPr="00D47402">
              <w:t xml:space="preserve"> </w:t>
            </w:r>
            <w:r w:rsidR="00190367" w:rsidRPr="00D47402">
              <w:t xml:space="preserve"> </w:t>
            </w:r>
            <w:r w:rsidR="00C5397F" w:rsidRPr="00D47402">
              <w:t>zinātnisko instit</w:t>
            </w:r>
            <w:r w:rsidR="008C3E8F" w:rsidRPr="00D47402">
              <w:t>ūciju</w:t>
            </w:r>
            <w:r w:rsidR="00C5397F" w:rsidRPr="00D47402">
              <w:t xml:space="preserve">, kas </w:t>
            </w:r>
            <w:r w:rsidR="00FE0A8B">
              <w:t xml:space="preserve">saņēmušas novērtējumu </w:t>
            </w:r>
            <w:r w:rsidR="00D7027F" w:rsidRPr="00D47402">
              <w:t>“1”</w:t>
            </w:r>
            <w:r w:rsidR="004D7E12" w:rsidRPr="00D47402">
              <w:t xml:space="preserve"> </w:t>
            </w:r>
            <w:r w:rsidR="00D7027F" w:rsidRPr="00D47402">
              <w:t>un “2”</w:t>
            </w:r>
            <w:r w:rsidR="00B01DA9">
              <w:t>,</w:t>
            </w:r>
            <w:r w:rsidR="00C5397F" w:rsidRPr="00D47402">
              <w:t xml:space="preserve"> </w:t>
            </w:r>
            <w:r w:rsidR="00B01DA9">
              <w:t>turpmāka finansēšana no valsts budžeta nav ilgstpējīga, un</w:t>
            </w:r>
            <w:r w:rsidR="00B01DA9" w:rsidRPr="00D47402">
              <w:t xml:space="preserve"> ir ieteicama </w:t>
            </w:r>
            <w:r w:rsidR="00B01DA9">
              <w:t xml:space="preserve">šo institūciju </w:t>
            </w:r>
            <w:r w:rsidR="00C5397F" w:rsidRPr="00D47402">
              <w:t>iekļau</w:t>
            </w:r>
            <w:r w:rsidR="001E0AAD" w:rsidRPr="00D47402">
              <w:t>šana</w:t>
            </w:r>
            <w:r w:rsidR="00C5397F" w:rsidRPr="00D47402">
              <w:t xml:space="preserve"> </w:t>
            </w:r>
            <w:r w:rsidR="00D7027F" w:rsidRPr="00D47402">
              <w:t>spēcīgākās zinātnisk</w:t>
            </w:r>
            <w:r w:rsidR="00CE083F" w:rsidRPr="00D47402">
              <w:t>aj</w:t>
            </w:r>
            <w:r w:rsidR="00D7027F" w:rsidRPr="00D47402">
              <w:t>ās institūcijās</w:t>
            </w:r>
            <w:r w:rsidR="000C1414">
              <w:t>, kas novērtētas ar “4” un ”5”.</w:t>
            </w:r>
            <w:r w:rsidR="00FE0A8B">
              <w:t xml:space="preserve"> </w:t>
            </w:r>
            <w:r w:rsidR="00B01DA9">
              <w:t>Ievērojot</w:t>
            </w:r>
            <w:r w:rsidR="00D849F5" w:rsidRPr="00D47402">
              <w:t xml:space="preserve"> </w:t>
            </w:r>
            <w:r w:rsidR="0020117F" w:rsidRPr="00D47402">
              <w:t>starptautiskā</w:t>
            </w:r>
            <w:r w:rsidR="00D849F5" w:rsidRPr="00D47402">
              <w:t xml:space="preserve"> izvērtējuma </w:t>
            </w:r>
            <w:r w:rsidR="0020117F" w:rsidRPr="00D47402">
              <w:t>rekomendācijas,</w:t>
            </w:r>
            <w:r w:rsidR="00D849F5" w:rsidRPr="00D47402">
              <w:t xml:space="preserve"> Ministru kabineta </w:t>
            </w:r>
            <w:r w:rsidR="00E96EC6" w:rsidRPr="00D47402">
              <w:t>2013.gada 12.novembra noteikumu Nr.1316 “</w:t>
            </w:r>
            <w:r w:rsidR="00E96EC6" w:rsidRPr="00D47402">
              <w:rPr>
                <w:bCs/>
              </w:rPr>
              <w:t xml:space="preserve">Kārtība, kādā aprēķina un piešķir bāzes finansējumu zinātniskajām institūcijām” </w:t>
            </w:r>
            <w:r w:rsidR="00E96EC6" w:rsidRPr="00D47402">
              <w:t>11.</w:t>
            </w:r>
            <w:r w:rsidR="000A663B" w:rsidRPr="00D47402">
              <w:rPr>
                <w:vertAlign w:val="superscript"/>
              </w:rPr>
              <w:t>2</w:t>
            </w:r>
            <w:r w:rsidR="00E96EC6" w:rsidRPr="00D47402">
              <w:rPr>
                <w:vertAlign w:val="superscript"/>
              </w:rPr>
              <w:t xml:space="preserve"> </w:t>
            </w:r>
            <w:r w:rsidR="00E96EC6" w:rsidRPr="00D47402">
              <w:rPr>
                <w:bCs/>
              </w:rPr>
              <w:t>punkts</w:t>
            </w:r>
            <w:r w:rsidR="0020117F" w:rsidRPr="00D47402">
              <w:rPr>
                <w:bCs/>
              </w:rPr>
              <w:t xml:space="preserve"> un, attiecīgi, pārejas noteikumu 24.punkts</w:t>
            </w:r>
            <w:r w:rsidR="003C607E" w:rsidRPr="00D47402">
              <w:rPr>
                <w:bCs/>
              </w:rPr>
              <w:t>, kas</w:t>
            </w:r>
            <w:r w:rsidR="00E96EC6" w:rsidRPr="00D47402">
              <w:rPr>
                <w:bCs/>
              </w:rPr>
              <w:t xml:space="preserve"> </w:t>
            </w:r>
            <w:r w:rsidR="000A663B" w:rsidRPr="00D47402">
              <w:rPr>
                <w:bCs/>
              </w:rPr>
              <w:t>iekļaut</w:t>
            </w:r>
            <w:r w:rsidR="0020117F" w:rsidRPr="00D47402">
              <w:rPr>
                <w:bCs/>
              </w:rPr>
              <w:t>i</w:t>
            </w:r>
            <w:r w:rsidR="000A663B" w:rsidRPr="00D47402">
              <w:rPr>
                <w:bCs/>
              </w:rPr>
              <w:t xml:space="preserve"> ar </w:t>
            </w:r>
            <w:r w:rsidR="001A02BF">
              <w:rPr>
                <w:bCs/>
              </w:rPr>
              <w:t xml:space="preserve">šo </w:t>
            </w:r>
            <w:r w:rsidR="00EC5E48" w:rsidRPr="00D47402">
              <w:rPr>
                <w:bCs/>
              </w:rPr>
              <w:t xml:space="preserve">noteikumu </w:t>
            </w:r>
            <w:r w:rsidR="00D849F5" w:rsidRPr="00D47402">
              <w:t xml:space="preserve">2014.gada </w:t>
            </w:r>
            <w:r w:rsidR="00E96EC6" w:rsidRPr="00D47402">
              <w:t xml:space="preserve">28.oktobra </w:t>
            </w:r>
            <w:r w:rsidR="00D849F5" w:rsidRPr="00D47402">
              <w:t>groz</w:t>
            </w:r>
            <w:r w:rsidR="0020117F" w:rsidRPr="00D47402">
              <w:t>ījumiem</w:t>
            </w:r>
            <w:r w:rsidR="003C607E" w:rsidRPr="00D47402">
              <w:t>,</w:t>
            </w:r>
            <w:r w:rsidR="0020117F" w:rsidRPr="00D47402">
              <w:t xml:space="preserve"> paredz</w:t>
            </w:r>
            <w:r w:rsidR="00D849F5" w:rsidRPr="00D47402">
              <w:t>, ka no 2016.gada bāzes finansējums netik</w:t>
            </w:r>
            <w:r w:rsidR="00E96EC6" w:rsidRPr="00D47402">
              <w:t>s</w:t>
            </w:r>
            <w:r w:rsidR="00D849F5" w:rsidRPr="00D47402">
              <w:t xml:space="preserve"> piešķirts </w:t>
            </w:r>
            <w:r w:rsidR="000A663B" w:rsidRPr="00D47402">
              <w:t>zinātniskajām institūcijām, kuras zinātnisko institūciju darbības starptautiskajā izvērtējumā saņēmušas novērtējumu "1" un "2"</w:t>
            </w:r>
            <w:r w:rsidR="0020117F" w:rsidRPr="00D47402">
              <w:t>,</w:t>
            </w:r>
            <w:r w:rsidR="000A663B" w:rsidRPr="00D47402">
              <w:t xml:space="preserve"> izņemot zinātniskās institūcijas, kas piedalās Eiropas Savienības struktūrfondu darbības programmas "Uzņēmējdarbība un inovācijas" 2.1.1.pasākuma "Zinātne, pētniecība un attīstība" 2.1.1.3.3. apakšaktivitātes "Zinātnisko institūciju </w:t>
            </w:r>
            <w:r w:rsidR="000A663B" w:rsidRPr="00D47402">
              <w:lastRenderedPageBreak/>
              <w:t>institucionālās kapacitātes attīstība" projektos kā konsolidējamās funkcionālās vienības.</w:t>
            </w:r>
            <w:r w:rsidR="0020117F" w:rsidRPr="00D47402">
              <w:t xml:space="preserve"> </w:t>
            </w:r>
            <w:r w:rsidR="00D24A03" w:rsidRPr="00D47402">
              <w:t xml:space="preserve">  </w:t>
            </w:r>
          </w:p>
          <w:p w14:paraId="38933F99" w14:textId="6766C7F0" w:rsidR="00A815FC" w:rsidRPr="00D47402" w:rsidRDefault="00827BA4" w:rsidP="00A815FC">
            <w:pPr>
              <w:jc w:val="both"/>
            </w:pPr>
            <w:r w:rsidRPr="00D47402">
              <w:t xml:space="preserve">        </w:t>
            </w:r>
            <w:r w:rsidR="00525731" w:rsidRPr="00D47402">
              <w:t>Ī</w:t>
            </w:r>
            <w:r w:rsidR="009923DB" w:rsidRPr="00D47402">
              <w:t xml:space="preserve">stenojot Latvijas zinātnes starptautiskā izvērtējuma rekomendācijas, saskaņā ar Ministru kabineta 2014.gada 25.novembra noteikumiem Nr.729 </w:t>
            </w:r>
            <w:r w:rsidR="009923DB" w:rsidRPr="00D47402">
              <w:rPr>
                <w:iCs/>
              </w:rPr>
              <w:t xml:space="preserve">„Noteikumi par darbības programmas „Uzņēmējdarbība un inovācijas” papildinājuma 2.1.1.3.3.apakšaktivitāti „Zinātnisko institūciju institucionālās kapacitātes attīstība”” </w:t>
            </w:r>
            <w:r w:rsidR="009923DB" w:rsidRPr="00D47402">
              <w:t xml:space="preserve">Latvijas Lauksaimniecības universitātes (turpmāk – LLU) projekts </w:t>
            </w:r>
            <w:r w:rsidR="009923DB" w:rsidRPr="00D47402">
              <w:rPr>
                <w:iCs/>
              </w:rPr>
              <w:t>„Latvijas Lauksaimniecības universitātes un zinātnisko institūciju konsolidācija konkurētspējas paaugstināšanai”</w:t>
            </w:r>
            <w:r w:rsidR="009923DB" w:rsidRPr="00D47402">
              <w:t xml:space="preserve"> (turpmāk – projekts) paredz vairāku ar “1” un “2” novērtētu lauksaimniecības nozares valsts zinātnisko institūtu reorganizāciju, tos nodod</w:t>
            </w:r>
            <w:r w:rsidR="00066F04" w:rsidRPr="00D47402">
              <w:t>ot LLU pārraudzībā. LLU projektā</w:t>
            </w:r>
            <w:r w:rsidR="009923DB" w:rsidRPr="00D47402">
              <w:t xml:space="preserve"> </w:t>
            </w:r>
            <w:r w:rsidR="007F5663" w:rsidRPr="00D47402">
              <w:t xml:space="preserve">paredzēta </w:t>
            </w:r>
            <w:r w:rsidR="009923DB" w:rsidRPr="00D47402">
              <w:t>Valsts Priekuļu laukaugu selekcijas institūta, Valsts Stendes graudaugu selekcijas institūta un Latvijas Valsts agrārās ekonomikas institūta reorganizācija, izveid</w:t>
            </w:r>
            <w:r w:rsidR="0067513A">
              <w:t>ojot jaunu zinātnisko institūtu</w:t>
            </w:r>
            <w:r w:rsidR="00525731" w:rsidRPr="00D47402">
              <w:t xml:space="preserve"> – atvasinātu publisko personu, kas darbotos </w:t>
            </w:r>
            <w:r w:rsidR="009923DB" w:rsidRPr="00D47402">
              <w:t>LLU pārraudzībā</w:t>
            </w:r>
            <w:r w:rsidR="007F5663" w:rsidRPr="00D47402">
              <w:t xml:space="preserve">, kā arī </w:t>
            </w:r>
            <w:r w:rsidR="00525731" w:rsidRPr="00D47402">
              <w:t xml:space="preserve">projektā </w:t>
            </w:r>
            <w:r w:rsidR="007F5663" w:rsidRPr="00D47402">
              <w:t xml:space="preserve">plānota </w:t>
            </w:r>
            <w:r w:rsidR="009923DB" w:rsidRPr="00D47402">
              <w:t xml:space="preserve">Latvijas Valsts augļkopības </w:t>
            </w:r>
            <w:r w:rsidR="0067513A">
              <w:t>institūta reorganizācija,</w:t>
            </w:r>
            <w:r w:rsidR="009923DB" w:rsidRPr="00D47402">
              <w:t xml:space="preserve"> izveidojot j</w:t>
            </w:r>
            <w:r w:rsidR="0067513A">
              <w:t>aunu zinātnisko institūtu</w:t>
            </w:r>
            <w:r w:rsidR="009923DB" w:rsidRPr="00D47402">
              <w:t xml:space="preserve"> – atvasinātu publisku personu</w:t>
            </w:r>
            <w:r w:rsidR="00525731" w:rsidRPr="00D47402">
              <w:t>, kas darbotos</w:t>
            </w:r>
            <w:r w:rsidR="009923DB" w:rsidRPr="00D47402">
              <w:t xml:space="preserve"> LLU pārraudzībā.</w:t>
            </w:r>
            <w:r w:rsidR="007F5663" w:rsidRPr="00D47402">
              <w:t xml:space="preserve"> </w:t>
            </w:r>
            <w:r w:rsidR="00A815FC" w:rsidRPr="00D47402">
              <w:rPr>
                <w:bCs/>
              </w:rPr>
              <w:t xml:space="preserve"> Tādējādi </w:t>
            </w:r>
            <w:r w:rsidR="00BC72EF">
              <w:rPr>
                <w:bCs/>
              </w:rPr>
              <w:t xml:space="preserve">tiks </w:t>
            </w:r>
            <w:r w:rsidR="00A815FC" w:rsidRPr="00D47402">
              <w:rPr>
                <w:bCs/>
              </w:rPr>
              <w:t>nodrošināt</w:t>
            </w:r>
            <w:r w:rsidR="00BC72EF">
              <w:rPr>
                <w:bCs/>
              </w:rPr>
              <w:t>a mērķtiecīgāka</w:t>
            </w:r>
            <w:r w:rsidR="00A815FC" w:rsidRPr="00D47402">
              <w:rPr>
                <w:bCs/>
              </w:rPr>
              <w:t xml:space="preserve"> valsts</w:t>
            </w:r>
            <w:r w:rsidR="00BC72EF">
              <w:rPr>
                <w:bCs/>
              </w:rPr>
              <w:t xml:space="preserve"> budžeta finansējuma ieguldīšana</w:t>
            </w:r>
            <w:r w:rsidR="00A815FC" w:rsidRPr="00D47402">
              <w:rPr>
                <w:bCs/>
              </w:rPr>
              <w:t xml:space="preserve"> no 2016.gada.  </w:t>
            </w:r>
          </w:p>
          <w:p w14:paraId="38627F0B" w14:textId="77777777" w:rsidR="00525731" w:rsidRPr="00D47402" w:rsidRDefault="00C33CF9" w:rsidP="007435ED">
            <w:pPr>
              <w:jc w:val="both"/>
            </w:pPr>
            <w:r w:rsidRPr="00D47402">
              <w:t xml:space="preserve">            </w:t>
            </w:r>
            <w:r w:rsidR="00525731" w:rsidRPr="00D47402">
              <w:t xml:space="preserve">Zinātniskās darbības likuma 21. panta trešā daļa noteic, ka valsts zinātniskais institūts atrodas izglītības un zinātnes ministra vai attiecīgās nozares ministra pārraudzībā. Zinātniskās darbības likums neparedz iespēju valsts zinātnisko institūtu – atvasinātu publisku personu nodot valsts augstskolas pārraudzībā, proti, no Zinātniskās darbības likuma 21. panta piektajā daļā noteiktā izriet, ka tikai valsts dibinātas universitātes izveidots zinātniskais institūts </w:t>
            </w:r>
            <w:r w:rsidR="00525731" w:rsidRPr="00D47402">
              <w:rPr>
                <w:bCs/>
              </w:rPr>
              <w:t>–</w:t>
            </w:r>
            <w:r w:rsidR="00525731" w:rsidRPr="00D47402">
              <w:t xml:space="preserve"> atvasināta  publiska persona </w:t>
            </w:r>
            <w:r w:rsidR="00525731" w:rsidRPr="00D47402">
              <w:rPr>
                <w:bCs/>
              </w:rPr>
              <w:t>–</w:t>
            </w:r>
            <w:r w:rsidR="00525731" w:rsidRPr="00D47402">
              <w:t xml:space="preserve"> atrodas attiecīgās universitātes pārraudzībā</w:t>
            </w:r>
          </w:p>
          <w:p w14:paraId="11F5A235" w14:textId="6F16FAC9" w:rsidR="004F63AB" w:rsidRPr="00D47402" w:rsidRDefault="00525731" w:rsidP="00AB3A19">
            <w:pPr>
              <w:jc w:val="both"/>
            </w:pPr>
            <w:r w:rsidRPr="00D47402">
              <w:rPr>
                <w:bCs/>
              </w:rPr>
              <w:t xml:space="preserve">         Tā kā</w:t>
            </w:r>
            <w:r w:rsidRPr="00D47402">
              <w:t xml:space="preserve"> LLU projekt</w:t>
            </w:r>
            <w:r w:rsidR="00066F04" w:rsidRPr="00D47402">
              <w:t>ā</w:t>
            </w:r>
            <w:r w:rsidRPr="00D47402">
              <w:t xml:space="preserve">  plānotais  zinātnisko institūciju reorganizācijas/likvidācijas process skar minēto Zinātniskās darbības likumā noteikto regulējumu, ir nepieciešams veikt grozījumus Zinātniskās darbības likumā, paredzot risinājumu valsts zinātnisko institūtu – atvasinātu publisku personu pārraudzīb</w:t>
            </w:r>
            <w:r w:rsidR="009D3B9F">
              <w:t>as maiņai, un tādējādi nodrošinā</w:t>
            </w:r>
            <w:r w:rsidRPr="00D47402">
              <w:t>t nosacījumus, lai pabeigtu ERAF projektu līdz 2015.gada 31.decem</w:t>
            </w:r>
            <w:r w:rsidR="00066F04" w:rsidRPr="00D47402">
              <w:t>b</w:t>
            </w:r>
            <w:r w:rsidRPr="00D47402">
              <w:t>rim un sasniegtu tajā izvirzītos rezultātus.</w:t>
            </w:r>
          </w:p>
          <w:p w14:paraId="27201051" w14:textId="700BDBA1" w:rsidR="00AA24FF" w:rsidRPr="00D47402" w:rsidRDefault="007435ED" w:rsidP="00AA24FF">
            <w:pPr>
              <w:ind w:firstLine="720"/>
              <w:jc w:val="both"/>
            </w:pPr>
            <w:r w:rsidRPr="00D47402">
              <w:t>L</w:t>
            </w:r>
            <w:r w:rsidR="00AA24FF" w:rsidRPr="00D47402">
              <w:t xml:space="preserve">ikumprojekts paredz papildināt Zinātniskās darbības likuma 21.pantu ar sesto daļu, nosakot, ka ar Ministru kabineta lēmumu zinātnisko institūtu – atvasinātu publisku personu var: </w:t>
            </w:r>
          </w:p>
          <w:p w14:paraId="141EC70C" w14:textId="77777777" w:rsidR="00AA24FF" w:rsidRPr="00D47402" w:rsidRDefault="00AA24FF" w:rsidP="00AA24FF">
            <w:pPr>
              <w:ind w:firstLine="720"/>
              <w:jc w:val="both"/>
            </w:pPr>
            <w:r w:rsidRPr="00D47402">
              <w:lastRenderedPageBreak/>
              <w:t>1) pievienot citam valsts zinātniskajam institūtam – atvasinātai publiskai personai, kā rezultātā pievienojamais zinātniskais institūts beidz pastāvēt;</w:t>
            </w:r>
          </w:p>
          <w:p w14:paraId="41931F9C" w14:textId="113B4A41" w:rsidR="00F53169" w:rsidRPr="00CE2662" w:rsidRDefault="00AA24FF" w:rsidP="000E75EF">
            <w:pPr>
              <w:pStyle w:val="BodyText"/>
              <w:ind w:left="-10" w:right="141" w:firstLine="719"/>
              <w:jc w:val="both"/>
            </w:pPr>
            <w:r w:rsidRPr="00D47402">
              <w:t xml:space="preserve">2) </w:t>
            </w:r>
            <w:r w:rsidR="00441A72" w:rsidRPr="00D47402">
              <w:t>nodot</w:t>
            </w:r>
            <w:r w:rsidR="00F53169" w:rsidRPr="00D47402">
              <w:t xml:space="preserve"> valsts </w:t>
            </w:r>
            <w:r w:rsidR="00204DA0" w:rsidRPr="00D47402">
              <w:t>augstskolai</w:t>
            </w:r>
            <w:r w:rsidR="00F53169" w:rsidRPr="00D47402">
              <w:t xml:space="preserve">, </w:t>
            </w:r>
            <w:r w:rsidR="00F53169" w:rsidRPr="00D47402">
              <w:softHyphen/>
              <w:t xml:space="preserve">kā rezultātā zinātniskais </w:t>
            </w:r>
            <w:r w:rsidR="00F53169" w:rsidRPr="00CE2662">
              <w:t xml:space="preserve">institūts turpina pastāvēt kā valsts augstskolas struktūrvienība, valsts augstskolas </w:t>
            </w:r>
            <w:r w:rsidR="00CE2662" w:rsidRPr="00CE2662">
              <w:t xml:space="preserve"> </w:t>
            </w:r>
            <w:r w:rsidR="00CE2662">
              <w:t xml:space="preserve"> </w:t>
            </w:r>
            <w:r w:rsidR="00CE2662" w:rsidRPr="00CE2662">
              <w:t xml:space="preserve"> publiska aģentūra </w:t>
            </w:r>
            <w:r w:rsidR="00F53169" w:rsidRPr="00CE2662">
              <w:t>vai valsts dibinātas universitātes zinātniskais institūts – atvasināta publiska persona.</w:t>
            </w:r>
            <w:r w:rsidR="00CE2662">
              <w:t xml:space="preserve"> </w:t>
            </w:r>
          </w:p>
          <w:p w14:paraId="75881D2E" w14:textId="4F2A054D" w:rsidR="000A0BA6" w:rsidRPr="005F2E1B" w:rsidRDefault="000A0BA6" w:rsidP="000E75EF">
            <w:pPr>
              <w:pStyle w:val="BodyText"/>
              <w:ind w:left="-10" w:right="141" w:firstLine="719"/>
              <w:jc w:val="both"/>
              <w:rPr>
                <w:color w:val="000000"/>
              </w:rPr>
            </w:pPr>
            <w:r w:rsidRPr="00D47402">
              <w:t xml:space="preserve">Attiecīgi likumprojekts </w:t>
            </w:r>
            <w:r w:rsidR="000074B1" w:rsidRPr="00D47402">
              <w:t xml:space="preserve">arī </w:t>
            </w:r>
            <w:r w:rsidRPr="00D47402">
              <w:t xml:space="preserve">paredz izslēgt </w:t>
            </w:r>
            <w:r w:rsidRPr="00D47402">
              <w:rPr>
                <w:bCs/>
              </w:rPr>
              <w:t>21.</w:t>
            </w:r>
            <w:r w:rsidRPr="00D47402">
              <w:rPr>
                <w:bCs/>
                <w:vertAlign w:val="superscript"/>
              </w:rPr>
              <w:t>2</w:t>
            </w:r>
            <w:r w:rsidRPr="00D47402">
              <w:rPr>
                <w:bCs/>
              </w:rPr>
              <w:t xml:space="preserve"> panta sestajā daļā vārdus “</w:t>
            </w:r>
            <w:r w:rsidRPr="00D47402">
              <w:rPr>
                <w:color w:val="000000"/>
              </w:rPr>
              <w:t xml:space="preserve">Latvijas Valsts agrārās ekonomikas institūts", "Latvijas Valsts augļkopības </w:t>
            </w:r>
            <w:r w:rsidRPr="005F2E1B">
              <w:rPr>
                <w:color w:val="000000"/>
              </w:rPr>
              <w:t>institūts", "Valsts Priekuļu laukaugu selekcijas institūts" un "</w:t>
            </w:r>
            <w:r w:rsidR="00C92F4A" w:rsidRPr="005F2E1B">
              <w:rPr>
                <w:color w:val="000000"/>
              </w:rPr>
              <w:t xml:space="preserve">un </w:t>
            </w:r>
            <w:r w:rsidRPr="005F2E1B">
              <w:rPr>
                <w:color w:val="000000"/>
              </w:rPr>
              <w:t>Valsts Stendes graudaugu selekcijas institūts”.</w:t>
            </w:r>
          </w:p>
          <w:p w14:paraId="1C4C22F7" w14:textId="59737CF3" w:rsidR="00D67FCE" w:rsidRDefault="004E5740" w:rsidP="00D67FCE">
            <w:pPr>
              <w:pStyle w:val="BodyText"/>
              <w:ind w:left="-10" w:right="141" w:firstLine="719"/>
              <w:jc w:val="both"/>
            </w:pPr>
            <w:r w:rsidRPr="00D47402">
              <w:t>Minētie grozījumi nodrošina iespēju īstenot valsts zinātnisko institūtu apvienošanu, lai koncentrētu resursus spēcīgākos valsts zinātniskajos institūtos, kas ir attiecīgā n</w:t>
            </w:r>
            <w:r w:rsidR="005B5CAF">
              <w:t>ozares ministra pārraudzībā, kā arī</w:t>
            </w:r>
            <w:r w:rsidRPr="00D47402">
              <w:t xml:space="preserve"> veikt valsts zinātniskā institūta pārraudzības maiņu, nododot to valsts </w:t>
            </w:r>
            <w:r w:rsidR="005B5CAF">
              <w:t>augstskolas</w:t>
            </w:r>
            <w:r w:rsidRPr="00D47402">
              <w:t xml:space="preserve"> pārraudzībā</w:t>
            </w:r>
            <w:r w:rsidR="005B5CAF">
              <w:t>.</w:t>
            </w:r>
            <w:r w:rsidRPr="00D47402">
              <w:t xml:space="preserve"> Apvienojot valsts zinātniskos institūtus, tiek sekmēta nozares r</w:t>
            </w:r>
            <w:r w:rsidR="00F53169" w:rsidRPr="00D47402">
              <w:t xml:space="preserve">esursu konsolidācija, savukārt </w:t>
            </w:r>
            <w:r w:rsidR="00441A72" w:rsidRPr="00D47402">
              <w:t>nododot</w:t>
            </w:r>
            <w:r w:rsidR="00F53169" w:rsidRPr="00D47402">
              <w:t xml:space="preserve"> </w:t>
            </w:r>
            <w:r w:rsidRPr="00D47402">
              <w:t>valsts zinātnisko institūt</w:t>
            </w:r>
            <w:r w:rsidR="00F53169" w:rsidRPr="00D47402">
              <w:t xml:space="preserve">u valsts </w:t>
            </w:r>
            <w:r w:rsidR="00CB723B" w:rsidRPr="00D47402">
              <w:t>augstskolai</w:t>
            </w:r>
            <w:r w:rsidRPr="00D47402">
              <w:t>,</w:t>
            </w:r>
            <w:r w:rsidR="00847B0C">
              <w:t xml:space="preserve"> </w:t>
            </w:r>
            <w:r w:rsidR="008A54A8">
              <w:t>zinātniskajam institūtam turpinot pastāvēt atbilstošā statusā</w:t>
            </w:r>
            <w:r w:rsidR="00847B0C">
              <w:t xml:space="preserve"> </w:t>
            </w:r>
            <w:r w:rsidR="008A54A8">
              <w:t>augstskolas pārraudzībā,</w:t>
            </w:r>
            <w:r w:rsidRPr="00D47402">
              <w:t xml:space="preserve"> tiek veicināta pētniecības un studiju procesa in</w:t>
            </w:r>
            <w:r w:rsidR="00847B0C">
              <w:t xml:space="preserve">tegrācija, </w:t>
            </w:r>
            <w:r w:rsidRPr="00D47402">
              <w:t xml:space="preserve">zinātniskā personāla dalība promocijas padomju darbā, studiju virzienu un studiju programmu īstenošanā. Grozījumi arī paredz </w:t>
            </w:r>
            <w:r w:rsidR="00413FEA" w:rsidRPr="00D47402">
              <w:t>konkrēto</w:t>
            </w:r>
            <w:r w:rsidRPr="00D47402">
              <w:t xml:space="preserve"> lauksaimniecības </w:t>
            </w:r>
            <w:r w:rsidR="00847B0C">
              <w:t xml:space="preserve">nozares </w:t>
            </w:r>
            <w:r w:rsidRPr="00D47402">
              <w:t xml:space="preserve">valsts zinātnisko </w:t>
            </w:r>
            <w:r w:rsidRPr="005F2E1B">
              <w:t>institūtu – atvasinātu publisku personu svītrošanu no attiecīgā uzskaitījuma</w:t>
            </w:r>
            <w:r w:rsidR="00FD7C91" w:rsidRPr="005F2E1B">
              <w:t xml:space="preserve"> </w:t>
            </w:r>
            <w:r w:rsidR="00FD7C91" w:rsidRPr="005F2E1B">
              <w:rPr>
                <w:bCs/>
              </w:rPr>
              <w:t>21.</w:t>
            </w:r>
            <w:r w:rsidR="00FD7C91" w:rsidRPr="005F2E1B">
              <w:rPr>
                <w:bCs/>
                <w:vertAlign w:val="superscript"/>
              </w:rPr>
              <w:t>2</w:t>
            </w:r>
            <w:r w:rsidR="00FD7C91" w:rsidRPr="005F2E1B">
              <w:rPr>
                <w:bCs/>
              </w:rPr>
              <w:t xml:space="preserve"> panta sestajā daļā</w:t>
            </w:r>
            <w:r w:rsidRPr="005F2E1B">
              <w:t>, ņemot vērā, ka LLU projekta ietvaros tie tiks reorganizēti un kā atsevišķi institūti vairs nepastāvēs.</w:t>
            </w:r>
          </w:p>
          <w:p w14:paraId="0DF699E7" w14:textId="217E383D" w:rsidR="004A2238" w:rsidRPr="00D47402" w:rsidRDefault="0099084A" w:rsidP="00155078">
            <w:pPr>
              <w:pStyle w:val="BodyText"/>
              <w:ind w:left="-10" w:right="141" w:firstLine="719"/>
              <w:jc w:val="both"/>
            </w:pPr>
            <w:r w:rsidRPr="00D47402">
              <w:t xml:space="preserve">Likumprojekts </w:t>
            </w:r>
            <w:r w:rsidR="0090128B" w:rsidRPr="00D47402">
              <w:t xml:space="preserve">arī </w:t>
            </w:r>
            <w:r w:rsidRPr="00D47402">
              <w:t>paredz papildin</w:t>
            </w:r>
            <w:r w:rsidR="0090128B" w:rsidRPr="00D47402">
              <w:t>ā</w:t>
            </w:r>
            <w:r w:rsidRPr="00D47402">
              <w:t>t 13.panta otro daļu ar 3.</w:t>
            </w:r>
            <w:r w:rsidR="00C250A2" w:rsidRPr="00D47402">
              <w:rPr>
                <w:vertAlign w:val="superscript"/>
              </w:rPr>
              <w:t>1</w:t>
            </w:r>
            <w:r w:rsidRPr="00D47402">
              <w:rPr>
                <w:vertAlign w:val="superscript"/>
              </w:rPr>
              <w:t xml:space="preserve"> </w:t>
            </w:r>
            <w:r w:rsidRPr="00D47402">
              <w:t xml:space="preserve">punktu, </w:t>
            </w:r>
            <w:r w:rsidR="00B73D30">
              <w:t xml:space="preserve">deleģējot Ministru kabinetam tiesības noteikt </w:t>
            </w:r>
            <w:r w:rsidR="00D36B67" w:rsidRPr="00D47402">
              <w:t xml:space="preserve">Latvijas zinātnes nozaru un apakšnozaru </w:t>
            </w:r>
            <w:r w:rsidR="00ED1599" w:rsidRPr="00D47402">
              <w:t>sarakstu</w:t>
            </w:r>
            <w:r w:rsidR="00D36B67" w:rsidRPr="00D47402">
              <w:t>.</w:t>
            </w:r>
            <w:r w:rsidR="00416368" w:rsidRPr="00D47402">
              <w:t xml:space="preserve"> </w:t>
            </w:r>
            <w:r w:rsidR="00A146A2">
              <w:t>Šobrīd vienīgai</w:t>
            </w:r>
            <w:r w:rsidR="007E48E3">
              <w:t xml:space="preserve">s </w:t>
            </w:r>
            <w:r w:rsidR="006C7DC6">
              <w:t xml:space="preserve">sistematizētais </w:t>
            </w:r>
            <w:r w:rsidR="00A146A2">
              <w:t xml:space="preserve">Latvijas zinātnes </w:t>
            </w:r>
            <w:r w:rsidR="007E48E3">
              <w:t>nozaru</w:t>
            </w:r>
            <w:r w:rsidR="006C7DC6">
              <w:t xml:space="preserve"> un apakšnozaru </w:t>
            </w:r>
            <w:r w:rsidR="004B36A5">
              <w:t>apkopojums</w:t>
            </w:r>
            <w:r w:rsidR="007E48E3">
              <w:t xml:space="preserve"> </w:t>
            </w:r>
            <w:r w:rsidR="00A146A2">
              <w:t xml:space="preserve">ir </w:t>
            </w:r>
            <w:r w:rsidR="00A54982">
              <w:t>Latvijas Zinātnes padome</w:t>
            </w:r>
            <w:r w:rsidR="00A146A2">
              <w:t>s</w:t>
            </w:r>
            <w:r w:rsidR="00A54982">
              <w:t xml:space="preserve"> 1999.gada 16.novembrī </w:t>
            </w:r>
            <w:r w:rsidR="006C7DC6">
              <w:t xml:space="preserve">apstiprinātais </w:t>
            </w:r>
            <w:r w:rsidR="00A54982">
              <w:t>Zinātņu nozaru un apakšnozaru sarakst</w:t>
            </w:r>
            <w:r w:rsidR="00A146A2">
              <w:t>s</w:t>
            </w:r>
            <w:r w:rsidR="00A54982">
              <w:t>, kas nav saistošs citām iestādēm,</w:t>
            </w:r>
            <w:r w:rsidR="00D85161">
              <w:t xml:space="preserve"> tai skaitā zinātniskajām institūcijām, </w:t>
            </w:r>
            <w:r w:rsidR="00A54982">
              <w:t>jo nav nostiprināts ārējā normatīvā aktā</w:t>
            </w:r>
            <w:r w:rsidR="00D80906">
              <w:t>.</w:t>
            </w:r>
            <w:r w:rsidR="00BC19A1">
              <w:t xml:space="preserve"> </w:t>
            </w:r>
            <w:r w:rsidR="00A54982">
              <w:t>Lai izveidotu vienotu zināt</w:t>
            </w:r>
            <w:r w:rsidR="00D80906">
              <w:t>nes</w:t>
            </w:r>
            <w:r w:rsidR="00A54982">
              <w:t xml:space="preserve"> nozaru un apakšnozaru klasifik</w:t>
            </w:r>
            <w:r w:rsidR="00631042">
              <w:t>āciju</w:t>
            </w:r>
            <w:r w:rsidR="006A6879">
              <w:t>,</w:t>
            </w:r>
            <w:r w:rsidR="00D80906">
              <w:t xml:space="preserve"> </w:t>
            </w:r>
            <w:r w:rsidR="00A146A2">
              <w:t>kas</w:t>
            </w:r>
            <w:r w:rsidR="004B36A5">
              <w:t xml:space="preserve"> būtu saistoša zinātniskajām institūcijām</w:t>
            </w:r>
            <w:r w:rsidR="00155078">
              <w:t>,</w:t>
            </w:r>
            <w:r w:rsidR="004B36A5">
              <w:t xml:space="preserve"> un</w:t>
            </w:r>
            <w:r w:rsidR="00A146A2">
              <w:t xml:space="preserve"> </w:t>
            </w:r>
            <w:r w:rsidR="00AA60EA">
              <w:t xml:space="preserve">nodrošinātu </w:t>
            </w:r>
            <w:r w:rsidR="004B36A5">
              <w:t>to</w:t>
            </w:r>
            <w:r w:rsidR="00097C69">
              <w:t xml:space="preserve"> </w:t>
            </w:r>
            <w:r w:rsidR="00D85161">
              <w:t>zinātniskās darbības īstenošanu atbilstoši</w:t>
            </w:r>
            <w:r w:rsidR="00D80906">
              <w:t xml:space="preserve"> Eiro</w:t>
            </w:r>
            <w:r w:rsidR="00097003">
              <w:t>pas Vienot</w:t>
            </w:r>
            <w:r w:rsidR="00A146A2">
              <w:t>ā</w:t>
            </w:r>
            <w:r w:rsidR="00097003">
              <w:t xml:space="preserve">s pētniecības telpas </w:t>
            </w:r>
            <w:r w:rsidR="004B36A5">
              <w:t>standartiem,</w:t>
            </w:r>
            <w:r w:rsidR="00F822B2">
              <w:t xml:space="preserve"> </w:t>
            </w:r>
            <w:r w:rsidR="00D80906">
              <w:t>ir</w:t>
            </w:r>
            <w:r w:rsidR="000E21E3">
              <w:t xml:space="preserve"> </w:t>
            </w:r>
            <w:r w:rsidR="006A6879">
              <w:t>nepieciešams izstrādāt</w:t>
            </w:r>
            <w:r w:rsidR="004B39E7">
              <w:t xml:space="preserve"> Latvijas </w:t>
            </w:r>
            <w:r w:rsidR="006A6879">
              <w:t>zināt</w:t>
            </w:r>
            <w:r w:rsidR="00D80906">
              <w:t>nes</w:t>
            </w:r>
            <w:r w:rsidR="006A6879">
              <w:t xml:space="preserve"> nozaru un apakšnozaru sarakstu</w:t>
            </w:r>
            <w:r w:rsidR="00A146A2">
              <w:t xml:space="preserve">, kas atbilst Starptautiskās Ekonomiskās sadarbības un attīstības organizācijas Zinātnes un tehnoloģijas nozaru </w:t>
            </w:r>
            <w:r w:rsidR="00A146A2">
              <w:lastRenderedPageBreak/>
              <w:t>klasifikācijai.</w:t>
            </w:r>
            <w:r w:rsidR="00A54982">
              <w:t xml:space="preserve"> </w:t>
            </w:r>
            <w:r w:rsidR="00416368" w:rsidRPr="00D47402">
              <w:t xml:space="preserve">Ņemot vērā, ka </w:t>
            </w:r>
            <w:r w:rsidR="00ED1599" w:rsidRPr="00D47402">
              <w:t>zinātnes nozaru un apakšnozaru saraksta</w:t>
            </w:r>
            <w:r w:rsidR="00416368" w:rsidRPr="00D47402">
              <w:t xml:space="preserve"> izstrāde ietver</w:t>
            </w:r>
            <w:r w:rsidR="002134E0" w:rsidRPr="00D47402">
              <w:t xml:space="preserve"> kompleksu</w:t>
            </w:r>
            <w:r w:rsidR="00416368" w:rsidRPr="00D47402">
              <w:t xml:space="preserve"> </w:t>
            </w:r>
            <w:r w:rsidR="00E03F93" w:rsidRPr="00D47402">
              <w:t xml:space="preserve">ar zinātnes nozaru klasifikāciju </w:t>
            </w:r>
            <w:r w:rsidR="00416368" w:rsidRPr="00D47402">
              <w:t>saistītā regulējuma pārskatīšanu, l</w:t>
            </w:r>
            <w:r w:rsidR="00D36B67" w:rsidRPr="00D47402">
              <w:t xml:space="preserve">ikumprojekts  paredz, ka Ministru kabinets </w:t>
            </w:r>
            <w:r w:rsidR="00ED1599" w:rsidRPr="00D47402">
              <w:t xml:space="preserve">atbilstošus Ministru kabineta noteikumus pieņem </w:t>
            </w:r>
            <w:r w:rsidR="00D36B67" w:rsidRPr="00D47402">
              <w:t>līdz 201</w:t>
            </w:r>
            <w:r w:rsidR="00A95488">
              <w:t>6</w:t>
            </w:r>
            <w:r w:rsidR="00D36B67" w:rsidRPr="00D47402">
              <w:t xml:space="preserve">.gada </w:t>
            </w:r>
            <w:r w:rsidR="00416368" w:rsidRPr="00D47402">
              <w:t>31</w:t>
            </w:r>
            <w:r w:rsidR="00D36B67" w:rsidRPr="00D47402">
              <w:t>.</w:t>
            </w:r>
            <w:r w:rsidR="00A95488">
              <w:t>decembrim</w:t>
            </w:r>
            <w:r w:rsidR="00ED1599" w:rsidRPr="00D47402">
              <w:t>.</w:t>
            </w:r>
            <w:r w:rsidR="001543AB">
              <w:t xml:space="preserve"> </w:t>
            </w:r>
          </w:p>
        </w:tc>
      </w:tr>
      <w:tr w:rsidR="007132DD" w:rsidRPr="00D47402" w14:paraId="4395DB12" w14:textId="77777777" w:rsidTr="00132EE0">
        <w:trPr>
          <w:trHeight w:val="476"/>
        </w:trPr>
        <w:tc>
          <w:tcPr>
            <w:tcW w:w="550" w:type="dxa"/>
          </w:tcPr>
          <w:p w14:paraId="2DD44324" w14:textId="3B7EC7A8" w:rsidR="00262E2B" w:rsidRPr="00D47402" w:rsidRDefault="00F57B78" w:rsidP="006C4607">
            <w:pPr>
              <w:pStyle w:val="naiskr"/>
              <w:spacing w:before="0" w:after="0"/>
            </w:pPr>
            <w:r w:rsidRPr="00D47402">
              <w:lastRenderedPageBreak/>
              <w:t>3</w:t>
            </w:r>
            <w:r w:rsidR="00262E2B" w:rsidRPr="00D47402">
              <w:t>.</w:t>
            </w:r>
          </w:p>
        </w:tc>
        <w:tc>
          <w:tcPr>
            <w:tcW w:w="3708" w:type="dxa"/>
          </w:tcPr>
          <w:p w14:paraId="432087D5" w14:textId="77777777" w:rsidR="00262E2B" w:rsidRPr="00D47402" w:rsidRDefault="001A4066" w:rsidP="006C4607">
            <w:pPr>
              <w:pStyle w:val="naiskr"/>
              <w:spacing w:before="0" w:after="0"/>
            </w:pPr>
            <w:r w:rsidRPr="00D47402">
              <w:t>Projekta i</w:t>
            </w:r>
            <w:r w:rsidR="00262E2B" w:rsidRPr="00D47402">
              <w:t>zstrād</w:t>
            </w:r>
            <w:r w:rsidR="00420870" w:rsidRPr="00D47402">
              <w:t xml:space="preserve">ē </w:t>
            </w:r>
            <w:r w:rsidR="00262E2B" w:rsidRPr="00D47402">
              <w:t>iesaistītās institūcijas</w:t>
            </w:r>
          </w:p>
        </w:tc>
        <w:tc>
          <w:tcPr>
            <w:tcW w:w="5467" w:type="dxa"/>
          </w:tcPr>
          <w:p w14:paraId="5207C25B" w14:textId="77777777" w:rsidR="00441994" w:rsidRPr="00D47402" w:rsidRDefault="00DD1B6D" w:rsidP="001C1BBD">
            <w:pPr>
              <w:pStyle w:val="naiskr"/>
              <w:spacing w:before="0" w:after="0"/>
              <w:jc w:val="both"/>
              <w:rPr>
                <w:iCs/>
              </w:rPr>
            </w:pPr>
            <w:r w:rsidRPr="00D47402">
              <w:rPr>
                <w:iCs/>
              </w:rPr>
              <w:t>Izglītības un zinātnes ministrija</w:t>
            </w:r>
          </w:p>
          <w:p w14:paraId="0EB7FDF2" w14:textId="77777777" w:rsidR="00EF1A66" w:rsidRPr="00D47402" w:rsidRDefault="00EF1A66" w:rsidP="001C1BBD">
            <w:pPr>
              <w:pStyle w:val="naiskr"/>
              <w:spacing w:before="0" w:after="0"/>
              <w:jc w:val="both"/>
            </w:pPr>
          </w:p>
        </w:tc>
      </w:tr>
      <w:tr w:rsidR="007132DD" w:rsidRPr="00D47402" w14:paraId="62DD0123" w14:textId="77777777" w:rsidTr="00132EE0">
        <w:tc>
          <w:tcPr>
            <w:tcW w:w="550" w:type="dxa"/>
          </w:tcPr>
          <w:p w14:paraId="6702172E" w14:textId="77777777" w:rsidR="00262E2B" w:rsidRPr="00D47402" w:rsidRDefault="00F57B78" w:rsidP="006C4607">
            <w:pPr>
              <w:pStyle w:val="naiskr"/>
              <w:spacing w:before="0" w:after="0"/>
            </w:pPr>
            <w:r w:rsidRPr="00D47402">
              <w:t>4</w:t>
            </w:r>
            <w:r w:rsidR="00262E2B" w:rsidRPr="00D47402">
              <w:t>.</w:t>
            </w:r>
          </w:p>
        </w:tc>
        <w:tc>
          <w:tcPr>
            <w:tcW w:w="3708" w:type="dxa"/>
          </w:tcPr>
          <w:p w14:paraId="56403127" w14:textId="77777777" w:rsidR="00262E2B" w:rsidRPr="00D47402" w:rsidRDefault="00262E2B" w:rsidP="006C4607">
            <w:pPr>
              <w:pStyle w:val="naiskr"/>
              <w:spacing w:before="0" w:after="0"/>
            </w:pPr>
            <w:r w:rsidRPr="00D47402">
              <w:t>Cita informācija</w:t>
            </w:r>
          </w:p>
        </w:tc>
        <w:tc>
          <w:tcPr>
            <w:tcW w:w="5467" w:type="dxa"/>
          </w:tcPr>
          <w:p w14:paraId="77AA7F27" w14:textId="77777777" w:rsidR="00262E2B" w:rsidRPr="00D47402" w:rsidRDefault="0090726C" w:rsidP="006B20A3">
            <w:pPr>
              <w:pStyle w:val="NormalWeb"/>
              <w:spacing w:before="0" w:beforeAutospacing="0" w:after="0" w:afterAutospacing="0"/>
              <w:ind w:firstLine="284"/>
              <w:jc w:val="both"/>
            </w:pPr>
            <w:r w:rsidRPr="00D47402">
              <w:rPr>
                <w:lang w:val="lv-LV"/>
              </w:rPr>
              <w:t>Nav</w:t>
            </w:r>
          </w:p>
        </w:tc>
      </w:tr>
    </w:tbl>
    <w:p w14:paraId="53819339" w14:textId="77777777" w:rsidR="004D30B4" w:rsidRDefault="004D30B4" w:rsidP="006C4607">
      <w:pPr>
        <w:pStyle w:val="naisf"/>
        <w:spacing w:before="0" w:after="0"/>
      </w:pPr>
    </w:p>
    <w:p w14:paraId="3E8D524A" w14:textId="77777777" w:rsidR="00847B0C" w:rsidRDefault="00847B0C" w:rsidP="006C4607">
      <w:pPr>
        <w:pStyle w:val="naisf"/>
        <w:spacing w:before="0" w:after="0"/>
      </w:pPr>
    </w:p>
    <w:p w14:paraId="144C3E15" w14:textId="77777777" w:rsidR="00CE2662" w:rsidRPr="00D47402" w:rsidRDefault="00CE2662" w:rsidP="006C4607">
      <w:pPr>
        <w:pStyle w:val="naisf"/>
        <w:spacing w:before="0" w:after="0"/>
      </w:pPr>
    </w:p>
    <w:tbl>
      <w:tblPr>
        <w:tblW w:w="5323"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4"/>
        <w:gridCol w:w="2807"/>
        <w:gridCol w:w="6129"/>
      </w:tblGrid>
      <w:tr w:rsidR="00132EE0" w:rsidRPr="00D47402" w14:paraId="0A217C12" w14:textId="77777777" w:rsidTr="00132EE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9E70C" w14:textId="77777777" w:rsidR="004D30B4" w:rsidRPr="00D47402" w:rsidRDefault="004D30B4" w:rsidP="004D30B4">
            <w:pPr>
              <w:spacing w:before="100" w:beforeAutospacing="1" w:after="100" w:afterAutospacing="1" w:line="315" w:lineRule="atLeast"/>
              <w:jc w:val="center"/>
              <w:rPr>
                <w:b/>
                <w:bCs/>
              </w:rPr>
            </w:pPr>
            <w:r w:rsidRPr="00D47402">
              <w:rPr>
                <w:b/>
                <w:bCs/>
              </w:rPr>
              <w:t>II. Tiesību akta projekta ietekme uz sabiedrību, tautsaimniecības attīstību un administratīvo slogu</w:t>
            </w:r>
          </w:p>
        </w:tc>
      </w:tr>
      <w:tr w:rsidR="00132EE0" w:rsidRPr="00D47402" w14:paraId="481AE158" w14:textId="77777777" w:rsidTr="00132EE0">
        <w:trPr>
          <w:trHeight w:val="465"/>
        </w:trPr>
        <w:tc>
          <w:tcPr>
            <w:tcW w:w="365" w:type="pct"/>
            <w:tcBorders>
              <w:top w:val="outset" w:sz="6" w:space="0" w:color="414142"/>
              <w:left w:val="outset" w:sz="6" w:space="0" w:color="414142"/>
              <w:bottom w:val="outset" w:sz="6" w:space="0" w:color="414142"/>
              <w:right w:val="outset" w:sz="6" w:space="0" w:color="414142"/>
            </w:tcBorders>
            <w:shd w:val="clear" w:color="auto" w:fill="FFFFFF"/>
            <w:hideMark/>
          </w:tcPr>
          <w:p w14:paraId="41A187AB" w14:textId="77777777" w:rsidR="004D30B4" w:rsidRPr="00D47402" w:rsidRDefault="004D30B4" w:rsidP="004D30B4">
            <w:r w:rsidRPr="00D47402">
              <w:t>1.</w:t>
            </w:r>
          </w:p>
        </w:tc>
        <w:tc>
          <w:tcPr>
            <w:tcW w:w="1456" w:type="pct"/>
            <w:tcBorders>
              <w:top w:val="outset" w:sz="6" w:space="0" w:color="414142"/>
              <w:left w:val="outset" w:sz="6" w:space="0" w:color="414142"/>
              <w:bottom w:val="outset" w:sz="6" w:space="0" w:color="414142"/>
              <w:right w:val="outset" w:sz="6" w:space="0" w:color="414142"/>
            </w:tcBorders>
            <w:shd w:val="clear" w:color="auto" w:fill="FFFFFF"/>
            <w:hideMark/>
          </w:tcPr>
          <w:p w14:paraId="6CDE8FBF" w14:textId="77777777" w:rsidR="004D30B4" w:rsidRPr="00D47402" w:rsidRDefault="004D30B4" w:rsidP="004D30B4">
            <w:r w:rsidRPr="00D47402">
              <w:t>Sabiedrības mērķgrupas, kuras tiesiskais regulējums ietekmē vai varētu ietekmēt</w:t>
            </w:r>
          </w:p>
        </w:tc>
        <w:tc>
          <w:tcPr>
            <w:tcW w:w="3179" w:type="pct"/>
            <w:tcBorders>
              <w:top w:val="outset" w:sz="6" w:space="0" w:color="414142"/>
              <w:left w:val="outset" w:sz="6" w:space="0" w:color="414142"/>
              <w:bottom w:val="outset" w:sz="6" w:space="0" w:color="414142"/>
              <w:right w:val="outset" w:sz="6" w:space="0" w:color="414142"/>
            </w:tcBorders>
            <w:shd w:val="clear" w:color="auto" w:fill="FFFFFF"/>
            <w:hideMark/>
          </w:tcPr>
          <w:p w14:paraId="313D906B" w14:textId="22E5158B" w:rsidR="004D30B4" w:rsidRPr="00D47402" w:rsidRDefault="00FD03BB" w:rsidP="00AA2BB5">
            <w:pPr>
              <w:ind w:firstLine="284"/>
              <w:jc w:val="both"/>
            </w:pPr>
            <w:r w:rsidRPr="00D47402">
              <w:t>Likumprojekts ietekmēs</w:t>
            </w:r>
            <w:r w:rsidR="00D40ED2" w:rsidRPr="00D47402">
              <w:t xml:space="preserve"> </w:t>
            </w:r>
            <w:r w:rsidRPr="00D47402">
              <w:t>zinātniskās institūcijas</w:t>
            </w:r>
            <w:r w:rsidR="00802C76" w:rsidRPr="00D47402">
              <w:t>, kas saņem bāzes finansējumu</w:t>
            </w:r>
            <w:r w:rsidR="00A96BB4" w:rsidRPr="00D47402">
              <w:t xml:space="preserve"> no valsts budžeta līdzekļiem</w:t>
            </w:r>
            <w:r w:rsidR="00802C76" w:rsidRPr="00D47402">
              <w:t>,</w:t>
            </w:r>
            <w:r w:rsidR="00D40ED2" w:rsidRPr="00D47402">
              <w:t xml:space="preserve"> </w:t>
            </w:r>
            <w:r w:rsidR="0093662B" w:rsidRPr="00D47402">
              <w:t>un tajās nodarbinātos.</w:t>
            </w:r>
          </w:p>
          <w:p w14:paraId="21DA206E" w14:textId="77777777" w:rsidR="004D30B4" w:rsidRPr="00D47402" w:rsidRDefault="00FD03BB" w:rsidP="00B95F70">
            <w:pPr>
              <w:pStyle w:val="BodyText"/>
              <w:spacing w:after="0"/>
              <w:ind w:firstLine="284"/>
              <w:jc w:val="both"/>
            </w:pPr>
            <w:r w:rsidRPr="00D47402">
              <w:rPr>
                <w:shd w:val="clear" w:color="auto" w:fill="FFFFFF"/>
              </w:rPr>
              <w:t xml:space="preserve"> </w:t>
            </w:r>
          </w:p>
        </w:tc>
      </w:tr>
      <w:tr w:rsidR="00132EE0" w:rsidRPr="00D47402" w14:paraId="1DD6CA54" w14:textId="77777777" w:rsidTr="00132EE0">
        <w:trPr>
          <w:trHeight w:val="510"/>
        </w:trPr>
        <w:tc>
          <w:tcPr>
            <w:tcW w:w="365" w:type="pct"/>
            <w:tcBorders>
              <w:top w:val="outset" w:sz="6" w:space="0" w:color="414142"/>
              <w:left w:val="outset" w:sz="6" w:space="0" w:color="414142"/>
              <w:bottom w:val="outset" w:sz="6" w:space="0" w:color="414142"/>
              <w:right w:val="outset" w:sz="6" w:space="0" w:color="414142"/>
            </w:tcBorders>
            <w:shd w:val="clear" w:color="auto" w:fill="FFFFFF"/>
            <w:hideMark/>
          </w:tcPr>
          <w:p w14:paraId="4A43CE73" w14:textId="77777777" w:rsidR="004D30B4" w:rsidRPr="00D47402" w:rsidRDefault="004D30B4" w:rsidP="004D30B4">
            <w:r w:rsidRPr="00D47402">
              <w:t>2.</w:t>
            </w:r>
          </w:p>
        </w:tc>
        <w:tc>
          <w:tcPr>
            <w:tcW w:w="1456" w:type="pct"/>
            <w:tcBorders>
              <w:top w:val="outset" w:sz="6" w:space="0" w:color="414142"/>
              <w:left w:val="outset" w:sz="6" w:space="0" w:color="414142"/>
              <w:bottom w:val="outset" w:sz="6" w:space="0" w:color="414142"/>
              <w:right w:val="outset" w:sz="6" w:space="0" w:color="414142"/>
            </w:tcBorders>
            <w:shd w:val="clear" w:color="auto" w:fill="FFFFFF"/>
            <w:hideMark/>
          </w:tcPr>
          <w:p w14:paraId="2653F7AF" w14:textId="77777777" w:rsidR="004D30B4" w:rsidRPr="00D47402" w:rsidRDefault="004D30B4" w:rsidP="004D30B4">
            <w:r w:rsidRPr="00D47402">
              <w:t>Tiesiskā regulējuma ietekme uz tautsaimniecību un administratīvo slogu</w:t>
            </w:r>
          </w:p>
        </w:tc>
        <w:tc>
          <w:tcPr>
            <w:tcW w:w="3179" w:type="pct"/>
            <w:tcBorders>
              <w:top w:val="outset" w:sz="6" w:space="0" w:color="414142"/>
              <w:left w:val="outset" w:sz="6" w:space="0" w:color="414142"/>
              <w:bottom w:val="outset" w:sz="6" w:space="0" w:color="414142"/>
              <w:right w:val="outset" w:sz="6" w:space="0" w:color="414142"/>
            </w:tcBorders>
            <w:shd w:val="clear" w:color="auto" w:fill="FFFFFF"/>
            <w:hideMark/>
          </w:tcPr>
          <w:p w14:paraId="7E51A93F" w14:textId="77777777" w:rsidR="004D30B4" w:rsidRPr="00D47402" w:rsidRDefault="00AA2BB5" w:rsidP="004D30B4">
            <w:r w:rsidRPr="00D47402">
              <w:t>Likumprojekts šo jomu neskar</w:t>
            </w:r>
          </w:p>
        </w:tc>
      </w:tr>
      <w:tr w:rsidR="00132EE0" w:rsidRPr="00D47402" w14:paraId="5930E406" w14:textId="77777777" w:rsidTr="00132EE0">
        <w:trPr>
          <w:trHeight w:val="510"/>
        </w:trPr>
        <w:tc>
          <w:tcPr>
            <w:tcW w:w="365" w:type="pct"/>
            <w:tcBorders>
              <w:top w:val="outset" w:sz="6" w:space="0" w:color="414142"/>
              <w:left w:val="outset" w:sz="6" w:space="0" w:color="414142"/>
              <w:bottom w:val="outset" w:sz="6" w:space="0" w:color="414142"/>
              <w:right w:val="outset" w:sz="6" w:space="0" w:color="414142"/>
            </w:tcBorders>
            <w:shd w:val="clear" w:color="auto" w:fill="FFFFFF"/>
            <w:hideMark/>
          </w:tcPr>
          <w:p w14:paraId="541CB67B" w14:textId="77777777" w:rsidR="004D30B4" w:rsidRPr="00D47402" w:rsidRDefault="004D30B4" w:rsidP="004D30B4">
            <w:r w:rsidRPr="00D47402">
              <w:t>3.</w:t>
            </w:r>
          </w:p>
        </w:tc>
        <w:tc>
          <w:tcPr>
            <w:tcW w:w="1456" w:type="pct"/>
            <w:tcBorders>
              <w:top w:val="outset" w:sz="6" w:space="0" w:color="414142"/>
              <w:left w:val="outset" w:sz="6" w:space="0" w:color="414142"/>
              <w:bottom w:val="outset" w:sz="6" w:space="0" w:color="414142"/>
              <w:right w:val="outset" w:sz="6" w:space="0" w:color="414142"/>
            </w:tcBorders>
            <w:shd w:val="clear" w:color="auto" w:fill="FFFFFF"/>
            <w:hideMark/>
          </w:tcPr>
          <w:p w14:paraId="6C916ED6" w14:textId="77777777" w:rsidR="004D30B4" w:rsidRPr="00D47402" w:rsidRDefault="004D30B4" w:rsidP="004D30B4">
            <w:r w:rsidRPr="00D47402">
              <w:t>Administratīvo izmaksu monetārs novērtējums</w:t>
            </w:r>
          </w:p>
        </w:tc>
        <w:tc>
          <w:tcPr>
            <w:tcW w:w="3179" w:type="pct"/>
            <w:tcBorders>
              <w:top w:val="outset" w:sz="6" w:space="0" w:color="414142"/>
              <w:left w:val="outset" w:sz="6" w:space="0" w:color="414142"/>
              <w:bottom w:val="outset" w:sz="6" w:space="0" w:color="414142"/>
              <w:right w:val="outset" w:sz="6" w:space="0" w:color="414142"/>
            </w:tcBorders>
            <w:shd w:val="clear" w:color="auto" w:fill="FFFFFF"/>
            <w:hideMark/>
          </w:tcPr>
          <w:p w14:paraId="22560600" w14:textId="77777777" w:rsidR="004D30B4" w:rsidRPr="00D47402" w:rsidRDefault="00AA2BB5" w:rsidP="004D30B4">
            <w:r w:rsidRPr="00D47402">
              <w:t>Likumprojekts šo jomu neskar</w:t>
            </w:r>
          </w:p>
        </w:tc>
      </w:tr>
      <w:tr w:rsidR="00132EE0" w:rsidRPr="00D47402" w14:paraId="599113D8" w14:textId="77777777" w:rsidTr="00132EE0">
        <w:trPr>
          <w:trHeight w:val="345"/>
        </w:trPr>
        <w:tc>
          <w:tcPr>
            <w:tcW w:w="365" w:type="pct"/>
            <w:tcBorders>
              <w:top w:val="outset" w:sz="6" w:space="0" w:color="414142"/>
              <w:left w:val="outset" w:sz="6" w:space="0" w:color="414142"/>
              <w:bottom w:val="outset" w:sz="6" w:space="0" w:color="414142"/>
              <w:right w:val="outset" w:sz="6" w:space="0" w:color="414142"/>
            </w:tcBorders>
            <w:shd w:val="clear" w:color="auto" w:fill="FFFFFF"/>
            <w:hideMark/>
          </w:tcPr>
          <w:p w14:paraId="43A89298" w14:textId="77777777" w:rsidR="004D30B4" w:rsidRPr="00D47402" w:rsidRDefault="004D30B4" w:rsidP="004D30B4">
            <w:r w:rsidRPr="00D47402">
              <w:t>4.</w:t>
            </w:r>
          </w:p>
        </w:tc>
        <w:tc>
          <w:tcPr>
            <w:tcW w:w="1456" w:type="pct"/>
            <w:tcBorders>
              <w:top w:val="outset" w:sz="6" w:space="0" w:color="414142"/>
              <w:left w:val="outset" w:sz="6" w:space="0" w:color="414142"/>
              <w:bottom w:val="outset" w:sz="6" w:space="0" w:color="414142"/>
              <w:right w:val="outset" w:sz="6" w:space="0" w:color="414142"/>
            </w:tcBorders>
            <w:shd w:val="clear" w:color="auto" w:fill="FFFFFF"/>
            <w:hideMark/>
          </w:tcPr>
          <w:p w14:paraId="350CB7F2" w14:textId="77777777" w:rsidR="004D30B4" w:rsidRPr="00D47402" w:rsidRDefault="004D30B4" w:rsidP="004D30B4">
            <w:r w:rsidRPr="00D47402">
              <w:t>Cita informācija</w:t>
            </w:r>
          </w:p>
        </w:tc>
        <w:tc>
          <w:tcPr>
            <w:tcW w:w="3179" w:type="pct"/>
            <w:tcBorders>
              <w:top w:val="outset" w:sz="6" w:space="0" w:color="414142"/>
              <w:left w:val="outset" w:sz="6" w:space="0" w:color="414142"/>
              <w:bottom w:val="outset" w:sz="6" w:space="0" w:color="414142"/>
              <w:right w:val="outset" w:sz="6" w:space="0" w:color="414142"/>
            </w:tcBorders>
            <w:shd w:val="clear" w:color="auto" w:fill="FFFFFF"/>
            <w:hideMark/>
          </w:tcPr>
          <w:p w14:paraId="43F999E1" w14:textId="77777777" w:rsidR="004D30B4" w:rsidRPr="00D47402" w:rsidRDefault="004D30B4" w:rsidP="004D30B4">
            <w:pPr>
              <w:spacing w:before="100" w:beforeAutospacing="1" w:after="100" w:afterAutospacing="1" w:line="315" w:lineRule="atLeast"/>
            </w:pPr>
            <w:r w:rsidRPr="00D47402">
              <w:t>Nav</w:t>
            </w:r>
            <w:r w:rsidR="00AA2BB5" w:rsidRPr="00D47402">
              <w:t>.</w:t>
            </w:r>
          </w:p>
        </w:tc>
      </w:tr>
    </w:tbl>
    <w:p w14:paraId="4545EC4D" w14:textId="77777777" w:rsidR="00D92D9B" w:rsidRPr="00D47402" w:rsidRDefault="00D92D9B" w:rsidP="00AA2BB5">
      <w:pPr>
        <w:shd w:val="clear" w:color="auto" w:fill="FFFFFF"/>
        <w:ind w:firstLine="301"/>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22"/>
        <w:gridCol w:w="1218"/>
        <w:gridCol w:w="1280"/>
        <w:gridCol w:w="1193"/>
        <w:gridCol w:w="1261"/>
        <w:gridCol w:w="1866"/>
      </w:tblGrid>
      <w:tr w:rsidR="00622CEC" w:rsidRPr="00D47402" w14:paraId="017A4D51" w14:textId="77777777" w:rsidTr="0055130A">
        <w:trPr>
          <w:trHeight w:val="36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D7F8E13" w14:textId="77777777" w:rsidR="00622CEC" w:rsidRPr="00D47402" w:rsidRDefault="00622CEC" w:rsidP="00883139">
            <w:pPr>
              <w:ind w:firstLine="300"/>
              <w:jc w:val="center"/>
              <w:rPr>
                <w:b/>
                <w:bCs/>
              </w:rPr>
            </w:pPr>
            <w:r w:rsidRPr="00D47402">
              <w:rPr>
                <w:b/>
                <w:bCs/>
              </w:rPr>
              <w:t>III. Tiesību akta projekta ietekme uz valsts budžetu un pašvaldību budžetiem</w:t>
            </w:r>
          </w:p>
        </w:tc>
      </w:tr>
      <w:tr w:rsidR="00622CEC" w:rsidRPr="00D47402" w14:paraId="65394189" w14:textId="77777777" w:rsidTr="00990058">
        <w:tc>
          <w:tcPr>
            <w:tcW w:w="1463" w:type="pct"/>
            <w:vMerge w:val="restart"/>
            <w:tcBorders>
              <w:top w:val="outset" w:sz="6" w:space="0" w:color="414142"/>
              <w:left w:val="outset" w:sz="6" w:space="0" w:color="414142"/>
              <w:bottom w:val="outset" w:sz="6" w:space="0" w:color="414142"/>
              <w:right w:val="outset" w:sz="6" w:space="0" w:color="414142"/>
            </w:tcBorders>
            <w:vAlign w:val="center"/>
            <w:hideMark/>
          </w:tcPr>
          <w:p w14:paraId="4BF4CACE" w14:textId="77777777" w:rsidR="00622CEC" w:rsidRPr="00D47402" w:rsidRDefault="00622CEC" w:rsidP="00883139">
            <w:pPr>
              <w:ind w:firstLine="300"/>
              <w:rPr>
                <w:bCs/>
              </w:rPr>
            </w:pPr>
            <w:r w:rsidRPr="00D47402">
              <w:rPr>
                <w:bCs/>
              </w:rPr>
              <w:t>Rādītāji</w:t>
            </w:r>
          </w:p>
        </w:tc>
        <w:tc>
          <w:tcPr>
            <w:tcW w:w="129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9152B64" w14:textId="77777777" w:rsidR="00622CEC" w:rsidRPr="00D47402" w:rsidRDefault="00622CEC" w:rsidP="00883139">
            <w:pPr>
              <w:ind w:firstLine="300"/>
              <w:rPr>
                <w:bCs/>
              </w:rPr>
            </w:pPr>
            <w:r w:rsidRPr="00D47402">
              <w:rPr>
                <w:bCs/>
              </w:rPr>
              <w:t xml:space="preserve">     2015.gads</w:t>
            </w:r>
          </w:p>
        </w:tc>
        <w:tc>
          <w:tcPr>
            <w:tcW w:w="2242" w:type="pct"/>
            <w:gridSpan w:val="3"/>
            <w:tcBorders>
              <w:top w:val="outset" w:sz="6" w:space="0" w:color="414142"/>
              <w:left w:val="outset" w:sz="6" w:space="0" w:color="414142"/>
              <w:bottom w:val="outset" w:sz="6" w:space="0" w:color="414142"/>
              <w:right w:val="outset" w:sz="6" w:space="0" w:color="414142"/>
            </w:tcBorders>
            <w:vAlign w:val="center"/>
            <w:hideMark/>
          </w:tcPr>
          <w:p w14:paraId="0C2E3F26" w14:textId="77777777" w:rsidR="00622CEC" w:rsidRPr="00D47402" w:rsidRDefault="00622CEC" w:rsidP="00883139">
            <w:pPr>
              <w:ind w:firstLine="300"/>
            </w:pPr>
            <w:r w:rsidRPr="00D47402">
              <w:t xml:space="preserve">    Turpmākie trīs gadi </w:t>
            </w:r>
            <w:r w:rsidRPr="00D47402">
              <w:rPr>
                <w:i/>
              </w:rPr>
              <w:t>euro</w:t>
            </w:r>
          </w:p>
        </w:tc>
      </w:tr>
      <w:tr w:rsidR="00622CEC" w:rsidRPr="00D47402" w14:paraId="41420960" w14:textId="77777777" w:rsidTr="00990058">
        <w:tc>
          <w:tcPr>
            <w:tcW w:w="1463" w:type="pct"/>
            <w:vMerge/>
            <w:tcBorders>
              <w:top w:val="outset" w:sz="6" w:space="0" w:color="414142"/>
              <w:left w:val="outset" w:sz="6" w:space="0" w:color="414142"/>
              <w:bottom w:val="outset" w:sz="6" w:space="0" w:color="414142"/>
              <w:right w:val="outset" w:sz="6" w:space="0" w:color="414142"/>
            </w:tcBorders>
            <w:vAlign w:val="center"/>
            <w:hideMark/>
          </w:tcPr>
          <w:p w14:paraId="60940F77" w14:textId="77777777" w:rsidR="00622CEC" w:rsidRPr="00D47402" w:rsidRDefault="00622CEC" w:rsidP="00883139">
            <w:pPr>
              <w:rPr>
                <w:bCs/>
              </w:rPr>
            </w:pPr>
          </w:p>
        </w:tc>
        <w:tc>
          <w:tcPr>
            <w:tcW w:w="1296" w:type="pct"/>
            <w:gridSpan w:val="2"/>
            <w:vMerge/>
            <w:tcBorders>
              <w:top w:val="outset" w:sz="6" w:space="0" w:color="414142"/>
              <w:left w:val="outset" w:sz="6" w:space="0" w:color="414142"/>
              <w:bottom w:val="outset" w:sz="6" w:space="0" w:color="414142"/>
              <w:right w:val="outset" w:sz="6" w:space="0" w:color="414142"/>
            </w:tcBorders>
            <w:vAlign w:val="center"/>
            <w:hideMark/>
          </w:tcPr>
          <w:p w14:paraId="2B223B3F" w14:textId="77777777" w:rsidR="00622CEC" w:rsidRPr="00D47402" w:rsidRDefault="00622CEC" w:rsidP="00883139">
            <w:pPr>
              <w:rPr>
                <w:bCs/>
              </w:rPr>
            </w:pPr>
          </w:p>
        </w:tc>
        <w:tc>
          <w:tcPr>
            <w:tcW w:w="619" w:type="pct"/>
            <w:tcBorders>
              <w:top w:val="outset" w:sz="6" w:space="0" w:color="414142"/>
              <w:left w:val="outset" w:sz="6" w:space="0" w:color="414142"/>
              <w:bottom w:val="outset" w:sz="6" w:space="0" w:color="414142"/>
              <w:right w:val="outset" w:sz="6" w:space="0" w:color="414142"/>
            </w:tcBorders>
            <w:vAlign w:val="center"/>
            <w:hideMark/>
          </w:tcPr>
          <w:p w14:paraId="5B47B2C2" w14:textId="77777777" w:rsidR="00622CEC" w:rsidRPr="00D47402" w:rsidRDefault="00622CEC" w:rsidP="00883139">
            <w:pPr>
              <w:rPr>
                <w:bCs/>
              </w:rPr>
            </w:pPr>
            <w:r w:rsidRPr="00D47402">
              <w:rPr>
                <w:bCs/>
              </w:rPr>
              <w:t>2016.gads</w:t>
            </w:r>
          </w:p>
        </w:tc>
        <w:tc>
          <w:tcPr>
            <w:tcW w:w="654" w:type="pct"/>
            <w:tcBorders>
              <w:top w:val="outset" w:sz="6" w:space="0" w:color="414142"/>
              <w:left w:val="outset" w:sz="6" w:space="0" w:color="414142"/>
              <w:bottom w:val="outset" w:sz="6" w:space="0" w:color="414142"/>
              <w:right w:val="outset" w:sz="6" w:space="0" w:color="414142"/>
            </w:tcBorders>
            <w:vAlign w:val="center"/>
            <w:hideMark/>
          </w:tcPr>
          <w:p w14:paraId="68A19244" w14:textId="77777777" w:rsidR="00622CEC" w:rsidRPr="00D47402" w:rsidRDefault="00622CEC" w:rsidP="00883139">
            <w:pPr>
              <w:rPr>
                <w:bCs/>
              </w:rPr>
            </w:pPr>
            <w:r w:rsidRPr="00D47402">
              <w:rPr>
                <w:bCs/>
              </w:rPr>
              <w:t xml:space="preserve"> 2017.gads</w:t>
            </w:r>
          </w:p>
        </w:tc>
        <w:tc>
          <w:tcPr>
            <w:tcW w:w="969" w:type="pct"/>
            <w:tcBorders>
              <w:top w:val="outset" w:sz="6" w:space="0" w:color="414142"/>
              <w:left w:val="outset" w:sz="6" w:space="0" w:color="414142"/>
              <w:bottom w:val="outset" w:sz="6" w:space="0" w:color="414142"/>
              <w:right w:val="outset" w:sz="6" w:space="0" w:color="414142"/>
            </w:tcBorders>
            <w:vAlign w:val="center"/>
            <w:hideMark/>
          </w:tcPr>
          <w:p w14:paraId="19753A15" w14:textId="77777777" w:rsidR="00622CEC" w:rsidRPr="00D47402" w:rsidRDefault="00622CEC" w:rsidP="00883139">
            <w:pPr>
              <w:ind w:firstLine="300"/>
              <w:rPr>
                <w:bCs/>
              </w:rPr>
            </w:pPr>
            <w:r w:rsidRPr="00D47402">
              <w:rPr>
                <w:bCs/>
              </w:rPr>
              <w:t>2018.gads</w:t>
            </w:r>
          </w:p>
        </w:tc>
      </w:tr>
      <w:tr w:rsidR="00622CEC" w:rsidRPr="00D47402" w14:paraId="6122B08D" w14:textId="77777777" w:rsidTr="00990058">
        <w:tc>
          <w:tcPr>
            <w:tcW w:w="1463" w:type="pct"/>
            <w:vMerge/>
            <w:tcBorders>
              <w:top w:val="outset" w:sz="6" w:space="0" w:color="414142"/>
              <w:left w:val="outset" w:sz="6" w:space="0" w:color="414142"/>
              <w:bottom w:val="outset" w:sz="6" w:space="0" w:color="414142"/>
              <w:right w:val="outset" w:sz="6" w:space="0" w:color="414142"/>
            </w:tcBorders>
            <w:vAlign w:val="center"/>
            <w:hideMark/>
          </w:tcPr>
          <w:p w14:paraId="1D6E883C" w14:textId="77777777" w:rsidR="00622CEC" w:rsidRPr="00D47402" w:rsidRDefault="00622CEC" w:rsidP="00883139">
            <w:pPr>
              <w:rPr>
                <w:bCs/>
              </w:rPr>
            </w:pPr>
          </w:p>
        </w:tc>
        <w:tc>
          <w:tcPr>
            <w:tcW w:w="632" w:type="pct"/>
            <w:tcBorders>
              <w:top w:val="outset" w:sz="6" w:space="0" w:color="414142"/>
              <w:left w:val="outset" w:sz="6" w:space="0" w:color="414142"/>
              <w:bottom w:val="outset" w:sz="6" w:space="0" w:color="414142"/>
              <w:right w:val="outset" w:sz="6" w:space="0" w:color="414142"/>
            </w:tcBorders>
            <w:vAlign w:val="center"/>
            <w:hideMark/>
          </w:tcPr>
          <w:p w14:paraId="346D2FE7" w14:textId="77777777" w:rsidR="00622CEC" w:rsidRPr="00D47402" w:rsidRDefault="00622CEC" w:rsidP="00883139">
            <w:pPr>
              <w:ind w:firstLine="8"/>
            </w:pPr>
            <w:r w:rsidRPr="00D47402">
              <w:t>saskaņā ar valsts budžetu kārtējam gadam</w:t>
            </w:r>
          </w:p>
        </w:tc>
        <w:tc>
          <w:tcPr>
            <w:tcW w:w="664" w:type="pct"/>
            <w:tcBorders>
              <w:top w:val="outset" w:sz="6" w:space="0" w:color="414142"/>
              <w:left w:val="outset" w:sz="6" w:space="0" w:color="414142"/>
              <w:bottom w:val="outset" w:sz="6" w:space="0" w:color="414142"/>
              <w:right w:val="outset" w:sz="6" w:space="0" w:color="414142"/>
            </w:tcBorders>
            <w:vAlign w:val="center"/>
            <w:hideMark/>
          </w:tcPr>
          <w:p w14:paraId="5BD37D0B" w14:textId="77777777" w:rsidR="00622CEC" w:rsidRPr="00D47402" w:rsidRDefault="00622CEC" w:rsidP="00883139">
            <w:pPr>
              <w:ind w:firstLine="8"/>
            </w:pPr>
            <w:r w:rsidRPr="00D47402">
              <w:t>izmaiņas kārtējā gadā, salīdzinot ar valsts budžetu kārtējam gadam</w:t>
            </w:r>
          </w:p>
        </w:tc>
        <w:tc>
          <w:tcPr>
            <w:tcW w:w="619" w:type="pct"/>
            <w:tcBorders>
              <w:top w:val="outset" w:sz="6" w:space="0" w:color="414142"/>
              <w:left w:val="outset" w:sz="6" w:space="0" w:color="414142"/>
              <w:bottom w:val="outset" w:sz="6" w:space="0" w:color="414142"/>
              <w:right w:val="outset" w:sz="6" w:space="0" w:color="414142"/>
            </w:tcBorders>
            <w:vAlign w:val="center"/>
            <w:hideMark/>
          </w:tcPr>
          <w:p w14:paraId="5B70FDD0" w14:textId="77777777" w:rsidR="00622CEC" w:rsidRPr="00D47402" w:rsidRDefault="00622CEC" w:rsidP="00883139">
            <w:pPr>
              <w:ind w:firstLine="8"/>
            </w:pPr>
            <w:r w:rsidRPr="00D47402">
              <w:t>izmaiņas, salīdzinot ar kārtējo (2015) gadu</w:t>
            </w:r>
          </w:p>
        </w:tc>
        <w:tc>
          <w:tcPr>
            <w:tcW w:w="654" w:type="pct"/>
            <w:tcBorders>
              <w:top w:val="outset" w:sz="6" w:space="0" w:color="414142"/>
              <w:left w:val="outset" w:sz="6" w:space="0" w:color="414142"/>
              <w:bottom w:val="outset" w:sz="6" w:space="0" w:color="414142"/>
              <w:right w:val="outset" w:sz="6" w:space="0" w:color="414142"/>
            </w:tcBorders>
            <w:vAlign w:val="center"/>
            <w:hideMark/>
          </w:tcPr>
          <w:p w14:paraId="18C60735" w14:textId="77777777" w:rsidR="00622CEC" w:rsidRPr="00D47402" w:rsidRDefault="00622CEC" w:rsidP="00883139">
            <w:pPr>
              <w:ind w:firstLine="8"/>
            </w:pPr>
            <w:r w:rsidRPr="00D47402">
              <w:t>izmaiņas, salīdzinot ar kārtējo (2015) gadu</w:t>
            </w:r>
          </w:p>
        </w:tc>
        <w:tc>
          <w:tcPr>
            <w:tcW w:w="969" w:type="pct"/>
            <w:tcBorders>
              <w:top w:val="outset" w:sz="6" w:space="0" w:color="414142"/>
              <w:left w:val="outset" w:sz="6" w:space="0" w:color="414142"/>
              <w:bottom w:val="outset" w:sz="6" w:space="0" w:color="414142"/>
              <w:right w:val="outset" w:sz="6" w:space="0" w:color="414142"/>
            </w:tcBorders>
            <w:vAlign w:val="center"/>
            <w:hideMark/>
          </w:tcPr>
          <w:p w14:paraId="000F2C4A" w14:textId="77777777" w:rsidR="00622CEC" w:rsidRPr="00D47402" w:rsidRDefault="00622CEC" w:rsidP="00883139">
            <w:pPr>
              <w:ind w:firstLine="8"/>
            </w:pPr>
            <w:r w:rsidRPr="00D47402">
              <w:t>izmaiņas, salīdzinot ar kārtējo (2015) gadu</w:t>
            </w:r>
          </w:p>
        </w:tc>
      </w:tr>
      <w:tr w:rsidR="00622CEC" w:rsidRPr="00D47402" w14:paraId="796FAB14" w14:textId="77777777" w:rsidTr="00990058">
        <w:tc>
          <w:tcPr>
            <w:tcW w:w="1463" w:type="pct"/>
            <w:tcBorders>
              <w:top w:val="outset" w:sz="6" w:space="0" w:color="414142"/>
              <w:left w:val="outset" w:sz="6" w:space="0" w:color="414142"/>
              <w:bottom w:val="outset" w:sz="6" w:space="0" w:color="414142"/>
              <w:right w:val="outset" w:sz="6" w:space="0" w:color="414142"/>
            </w:tcBorders>
            <w:vAlign w:val="center"/>
            <w:hideMark/>
          </w:tcPr>
          <w:p w14:paraId="0ADC0EBC" w14:textId="77777777" w:rsidR="00622CEC" w:rsidRPr="00D47402" w:rsidRDefault="00622CEC" w:rsidP="00883139">
            <w:pPr>
              <w:ind w:firstLine="300"/>
            </w:pPr>
            <w:r w:rsidRPr="00D47402">
              <w:t>1</w:t>
            </w:r>
          </w:p>
        </w:tc>
        <w:tc>
          <w:tcPr>
            <w:tcW w:w="632" w:type="pct"/>
            <w:tcBorders>
              <w:top w:val="outset" w:sz="6" w:space="0" w:color="414142"/>
              <w:left w:val="outset" w:sz="6" w:space="0" w:color="414142"/>
              <w:bottom w:val="outset" w:sz="6" w:space="0" w:color="414142"/>
              <w:right w:val="outset" w:sz="6" w:space="0" w:color="414142"/>
            </w:tcBorders>
            <w:vAlign w:val="center"/>
            <w:hideMark/>
          </w:tcPr>
          <w:p w14:paraId="372DE690" w14:textId="77777777" w:rsidR="00622CEC" w:rsidRPr="00D47402" w:rsidRDefault="00622CEC" w:rsidP="00883139">
            <w:pPr>
              <w:ind w:firstLine="300"/>
            </w:pPr>
            <w:r w:rsidRPr="00D47402">
              <w:t>2</w:t>
            </w:r>
          </w:p>
        </w:tc>
        <w:tc>
          <w:tcPr>
            <w:tcW w:w="664" w:type="pct"/>
            <w:tcBorders>
              <w:top w:val="outset" w:sz="6" w:space="0" w:color="414142"/>
              <w:left w:val="outset" w:sz="6" w:space="0" w:color="414142"/>
              <w:bottom w:val="outset" w:sz="6" w:space="0" w:color="414142"/>
              <w:right w:val="outset" w:sz="6" w:space="0" w:color="414142"/>
            </w:tcBorders>
            <w:vAlign w:val="center"/>
            <w:hideMark/>
          </w:tcPr>
          <w:p w14:paraId="76F2F8DA" w14:textId="77777777" w:rsidR="00622CEC" w:rsidRPr="00D47402" w:rsidRDefault="00622CEC" w:rsidP="00883139">
            <w:pPr>
              <w:ind w:firstLine="300"/>
            </w:pPr>
            <w:r w:rsidRPr="00D47402">
              <w:t>3</w:t>
            </w:r>
          </w:p>
        </w:tc>
        <w:tc>
          <w:tcPr>
            <w:tcW w:w="619" w:type="pct"/>
            <w:tcBorders>
              <w:top w:val="outset" w:sz="6" w:space="0" w:color="414142"/>
              <w:left w:val="outset" w:sz="6" w:space="0" w:color="414142"/>
              <w:bottom w:val="outset" w:sz="6" w:space="0" w:color="414142"/>
              <w:right w:val="outset" w:sz="6" w:space="0" w:color="414142"/>
            </w:tcBorders>
            <w:vAlign w:val="center"/>
            <w:hideMark/>
          </w:tcPr>
          <w:p w14:paraId="6241BB87" w14:textId="77777777" w:rsidR="00622CEC" w:rsidRPr="00D47402" w:rsidRDefault="00622CEC" w:rsidP="00883139">
            <w:pPr>
              <w:ind w:firstLine="300"/>
            </w:pPr>
            <w:r w:rsidRPr="00D47402">
              <w:t>4</w:t>
            </w:r>
          </w:p>
        </w:tc>
        <w:tc>
          <w:tcPr>
            <w:tcW w:w="654" w:type="pct"/>
            <w:tcBorders>
              <w:top w:val="outset" w:sz="6" w:space="0" w:color="414142"/>
              <w:left w:val="outset" w:sz="6" w:space="0" w:color="414142"/>
              <w:bottom w:val="outset" w:sz="6" w:space="0" w:color="414142"/>
              <w:right w:val="outset" w:sz="6" w:space="0" w:color="414142"/>
            </w:tcBorders>
            <w:vAlign w:val="center"/>
            <w:hideMark/>
          </w:tcPr>
          <w:p w14:paraId="0EC41F75" w14:textId="77777777" w:rsidR="00622CEC" w:rsidRPr="00D47402" w:rsidRDefault="00622CEC" w:rsidP="00883139">
            <w:pPr>
              <w:ind w:firstLine="300"/>
            </w:pPr>
            <w:r w:rsidRPr="00D47402">
              <w:t>5</w:t>
            </w:r>
          </w:p>
        </w:tc>
        <w:tc>
          <w:tcPr>
            <w:tcW w:w="969" w:type="pct"/>
            <w:tcBorders>
              <w:top w:val="outset" w:sz="6" w:space="0" w:color="414142"/>
              <w:left w:val="outset" w:sz="6" w:space="0" w:color="414142"/>
              <w:bottom w:val="outset" w:sz="6" w:space="0" w:color="414142"/>
              <w:right w:val="outset" w:sz="6" w:space="0" w:color="414142"/>
            </w:tcBorders>
            <w:vAlign w:val="center"/>
            <w:hideMark/>
          </w:tcPr>
          <w:p w14:paraId="14F7972F" w14:textId="77777777" w:rsidR="00622CEC" w:rsidRPr="00D47402" w:rsidRDefault="00622CEC" w:rsidP="00883139">
            <w:pPr>
              <w:ind w:firstLine="300"/>
            </w:pPr>
            <w:r w:rsidRPr="00D47402">
              <w:t>6</w:t>
            </w:r>
          </w:p>
        </w:tc>
      </w:tr>
      <w:tr w:rsidR="00990058" w:rsidRPr="00D47402" w14:paraId="384E58FB"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4C0329A2" w14:textId="77777777" w:rsidR="00990058" w:rsidRPr="00D47402" w:rsidRDefault="00990058" w:rsidP="00990058">
            <w:r w:rsidRPr="00D47402">
              <w:t>1. Budžeta ieņēmumi:</w:t>
            </w:r>
          </w:p>
        </w:tc>
        <w:tc>
          <w:tcPr>
            <w:tcW w:w="632" w:type="pct"/>
            <w:tcBorders>
              <w:top w:val="outset" w:sz="6" w:space="0" w:color="414142"/>
              <w:left w:val="outset" w:sz="6" w:space="0" w:color="414142"/>
              <w:bottom w:val="outset" w:sz="6" w:space="0" w:color="414142"/>
              <w:right w:val="outset" w:sz="6" w:space="0" w:color="414142"/>
            </w:tcBorders>
            <w:hideMark/>
          </w:tcPr>
          <w:p w14:paraId="3060FFFF" w14:textId="77777777" w:rsidR="00990058" w:rsidRPr="00D47402" w:rsidRDefault="00990058" w:rsidP="00990058">
            <w:r w:rsidRPr="00D47402">
              <w:t>22 865 593</w:t>
            </w:r>
          </w:p>
        </w:tc>
        <w:tc>
          <w:tcPr>
            <w:tcW w:w="664" w:type="pct"/>
            <w:tcBorders>
              <w:top w:val="outset" w:sz="6" w:space="0" w:color="414142"/>
              <w:left w:val="outset" w:sz="6" w:space="0" w:color="414142"/>
              <w:bottom w:val="outset" w:sz="6" w:space="0" w:color="414142"/>
              <w:right w:val="outset" w:sz="6" w:space="0" w:color="414142"/>
            </w:tcBorders>
            <w:hideMark/>
          </w:tcPr>
          <w:p w14:paraId="1449B2CE"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6A5D4227" w14:textId="77777777" w:rsidR="00990058" w:rsidRPr="00D47402" w:rsidRDefault="00990058" w:rsidP="00990058">
            <w:r w:rsidRPr="00D47402">
              <w:t> 4 277 135</w:t>
            </w:r>
          </w:p>
        </w:tc>
        <w:tc>
          <w:tcPr>
            <w:tcW w:w="654" w:type="pct"/>
            <w:tcBorders>
              <w:top w:val="outset" w:sz="6" w:space="0" w:color="414142"/>
              <w:left w:val="outset" w:sz="6" w:space="0" w:color="414142"/>
              <w:bottom w:val="outset" w:sz="6" w:space="0" w:color="414142"/>
              <w:right w:val="outset" w:sz="6" w:space="0" w:color="414142"/>
            </w:tcBorders>
            <w:hideMark/>
          </w:tcPr>
          <w:p w14:paraId="16BFD0A6" w14:textId="77777777" w:rsidR="00990058" w:rsidRPr="00D47402" w:rsidRDefault="00990058" w:rsidP="00990058">
            <w:r w:rsidRPr="00D47402">
              <w:t> 4 244 318</w:t>
            </w:r>
          </w:p>
        </w:tc>
        <w:tc>
          <w:tcPr>
            <w:tcW w:w="969" w:type="pct"/>
            <w:tcBorders>
              <w:top w:val="outset" w:sz="6" w:space="0" w:color="414142"/>
              <w:left w:val="outset" w:sz="6" w:space="0" w:color="414142"/>
              <w:bottom w:val="outset" w:sz="6" w:space="0" w:color="414142"/>
              <w:right w:val="outset" w:sz="6" w:space="0" w:color="414142"/>
            </w:tcBorders>
            <w:hideMark/>
          </w:tcPr>
          <w:p w14:paraId="57B43B28" w14:textId="14AC04B9" w:rsidR="00990058" w:rsidRPr="00D47402" w:rsidRDefault="00990058" w:rsidP="00990058">
            <w:r w:rsidRPr="00D47402">
              <w:t> 4 244 318</w:t>
            </w:r>
          </w:p>
        </w:tc>
      </w:tr>
      <w:tr w:rsidR="00990058" w:rsidRPr="00D47402" w14:paraId="6E461620"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30B85ACB" w14:textId="77777777" w:rsidR="00990058" w:rsidRPr="00D47402" w:rsidRDefault="00990058" w:rsidP="00990058">
            <w:r w:rsidRPr="00D47402">
              <w:t>1.1. valsts pamatbudžets, tai skaitā ieņēmumi no maksas pakalpojumiem un citi pašu ieņēmumi</w:t>
            </w:r>
          </w:p>
        </w:tc>
        <w:tc>
          <w:tcPr>
            <w:tcW w:w="632" w:type="pct"/>
            <w:tcBorders>
              <w:top w:val="outset" w:sz="6" w:space="0" w:color="414142"/>
              <w:left w:val="outset" w:sz="6" w:space="0" w:color="414142"/>
              <w:bottom w:val="outset" w:sz="6" w:space="0" w:color="414142"/>
              <w:right w:val="outset" w:sz="6" w:space="0" w:color="414142"/>
            </w:tcBorders>
            <w:hideMark/>
          </w:tcPr>
          <w:p w14:paraId="2B7FEDC5" w14:textId="77777777" w:rsidR="00990058" w:rsidRPr="00D47402" w:rsidRDefault="00990058" w:rsidP="00990058">
            <w:r w:rsidRPr="00D47402">
              <w:t>22 865 593</w:t>
            </w:r>
          </w:p>
        </w:tc>
        <w:tc>
          <w:tcPr>
            <w:tcW w:w="664" w:type="pct"/>
            <w:tcBorders>
              <w:top w:val="outset" w:sz="6" w:space="0" w:color="414142"/>
              <w:left w:val="outset" w:sz="6" w:space="0" w:color="414142"/>
              <w:bottom w:val="outset" w:sz="6" w:space="0" w:color="414142"/>
              <w:right w:val="outset" w:sz="6" w:space="0" w:color="414142"/>
            </w:tcBorders>
            <w:hideMark/>
          </w:tcPr>
          <w:p w14:paraId="65D1781B" w14:textId="77777777" w:rsidR="00990058" w:rsidRPr="00D47402" w:rsidRDefault="00990058" w:rsidP="00990058">
            <w:r w:rsidRPr="00D47402">
              <w:t>0 </w:t>
            </w:r>
          </w:p>
        </w:tc>
        <w:tc>
          <w:tcPr>
            <w:tcW w:w="619" w:type="pct"/>
            <w:tcBorders>
              <w:top w:val="outset" w:sz="6" w:space="0" w:color="414142"/>
              <w:left w:val="outset" w:sz="6" w:space="0" w:color="414142"/>
              <w:bottom w:val="outset" w:sz="6" w:space="0" w:color="414142"/>
              <w:right w:val="outset" w:sz="6" w:space="0" w:color="414142"/>
            </w:tcBorders>
            <w:hideMark/>
          </w:tcPr>
          <w:p w14:paraId="2FF97FF9" w14:textId="77777777" w:rsidR="00990058" w:rsidRPr="00D47402" w:rsidRDefault="00990058" w:rsidP="00990058">
            <w:r w:rsidRPr="00D47402">
              <w:t>4 277 135</w:t>
            </w:r>
          </w:p>
        </w:tc>
        <w:tc>
          <w:tcPr>
            <w:tcW w:w="654" w:type="pct"/>
            <w:tcBorders>
              <w:top w:val="outset" w:sz="6" w:space="0" w:color="414142"/>
              <w:left w:val="outset" w:sz="6" w:space="0" w:color="414142"/>
              <w:bottom w:val="outset" w:sz="6" w:space="0" w:color="414142"/>
              <w:right w:val="outset" w:sz="6" w:space="0" w:color="414142"/>
            </w:tcBorders>
            <w:hideMark/>
          </w:tcPr>
          <w:p w14:paraId="11AF36F8" w14:textId="77777777" w:rsidR="00990058" w:rsidRPr="00D47402" w:rsidRDefault="00990058" w:rsidP="00990058">
            <w:r w:rsidRPr="00D47402">
              <w:t>4 244 318</w:t>
            </w:r>
          </w:p>
        </w:tc>
        <w:tc>
          <w:tcPr>
            <w:tcW w:w="969" w:type="pct"/>
            <w:tcBorders>
              <w:top w:val="outset" w:sz="6" w:space="0" w:color="414142"/>
              <w:left w:val="outset" w:sz="6" w:space="0" w:color="414142"/>
              <w:bottom w:val="outset" w:sz="6" w:space="0" w:color="414142"/>
              <w:right w:val="outset" w:sz="6" w:space="0" w:color="414142"/>
            </w:tcBorders>
            <w:hideMark/>
          </w:tcPr>
          <w:p w14:paraId="09DC94D3" w14:textId="30CCF522" w:rsidR="00990058" w:rsidRPr="00D47402" w:rsidRDefault="00990058" w:rsidP="00990058">
            <w:r w:rsidRPr="00D47402">
              <w:t>4 244 318</w:t>
            </w:r>
          </w:p>
        </w:tc>
      </w:tr>
      <w:tr w:rsidR="00990058" w:rsidRPr="00D47402" w14:paraId="70D0B2EC"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11CBC1AA" w14:textId="77777777" w:rsidR="00990058" w:rsidRPr="00D47402" w:rsidRDefault="00990058" w:rsidP="00990058">
            <w:r w:rsidRPr="00D47402">
              <w:t>1.2. valsts speciālais budžets</w:t>
            </w:r>
          </w:p>
        </w:tc>
        <w:tc>
          <w:tcPr>
            <w:tcW w:w="632" w:type="pct"/>
            <w:tcBorders>
              <w:top w:val="outset" w:sz="6" w:space="0" w:color="414142"/>
              <w:left w:val="outset" w:sz="6" w:space="0" w:color="414142"/>
              <w:bottom w:val="outset" w:sz="6" w:space="0" w:color="414142"/>
              <w:right w:val="outset" w:sz="6" w:space="0" w:color="414142"/>
            </w:tcBorders>
            <w:hideMark/>
          </w:tcPr>
          <w:p w14:paraId="50D149EF" w14:textId="77777777" w:rsidR="00990058" w:rsidRPr="00D47402" w:rsidRDefault="00990058" w:rsidP="00990058">
            <w:r w:rsidRPr="00D47402">
              <w:t>0</w:t>
            </w:r>
          </w:p>
        </w:tc>
        <w:tc>
          <w:tcPr>
            <w:tcW w:w="664" w:type="pct"/>
            <w:tcBorders>
              <w:top w:val="outset" w:sz="6" w:space="0" w:color="414142"/>
              <w:left w:val="outset" w:sz="6" w:space="0" w:color="414142"/>
              <w:bottom w:val="outset" w:sz="6" w:space="0" w:color="414142"/>
              <w:right w:val="outset" w:sz="6" w:space="0" w:color="414142"/>
            </w:tcBorders>
            <w:hideMark/>
          </w:tcPr>
          <w:p w14:paraId="080E31FD"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23A07A6C" w14:textId="77777777" w:rsidR="00990058" w:rsidRPr="00D47402" w:rsidRDefault="00990058" w:rsidP="00990058">
            <w:r w:rsidRPr="00D47402">
              <w:t> 0</w:t>
            </w:r>
          </w:p>
        </w:tc>
        <w:tc>
          <w:tcPr>
            <w:tcW w:w="654" w:type="pct"/>
            <w:tcBorders>
              <w:top w:val="outset" w:sz="6" w:space="0" w:color="414142"/>
              <w:left w:val="outset" w:sz="6" w:space="0" w:color="414142"/>
              <w:bottom w:val="outset" w:sz="6" w:space="0" w:color="414142"/>
              <w:right w:val="outset" w:sz="6" w:space="0" w:color="414142"/>
            </w:tcBorders>
            <w:hideMark/>
          </w:tcPr>
          <w:p w14:paraId="5E854DF6" w14:textId="77777777" w:rsidR="00990058" w:rsidRPr="00D47402" w:rsidRDefault="00990058" w:rsidP="00990058">
            <w:r w:rsidRPr="00D47402">
              <w:t> 0</w:t>
            </w:r>
          </w:p>
        </w:tc>
        <w:tc>
          <w:tcPr>
            <w:tcW w:w="969" w:type="pct"/>
            <w:tcBorders>
              <w:top w:val="outset" w:sz="6" w:space="0" w:color="414142"/>
              <w:left w:val="outset" w:sz="6" w:space="0" w:color="414142"/>
              <w:bottom w:val="outset" w:sz="6" w:space="0" w:color="414142"/>
              <w:right w:val="outset" w:sz="6" w:space="0" w:color="414142"/>
            </w:tcBorders>
            <w:hideMark/>
          </w:tcPr>
          <w:p w14:paraId="3B0CB035" w14:textId="0521E9B2" w:rsidR="00990058" w:rsidRPr="00D47402" w:rsidRDefault="00990058" w:rsidP="00990058">
            <w:r w:rsidRPr="00D47402">
              <w:t> 0</w:t>
            </w:r>
          </w:p>
        </w:tc>
      </w:tr>
      <w:tr w:rsidR="00990058" w:rsidRPr="00D47402" w14:paraId="3B859C2A"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116D077E" w14:textId="77777777" w:rsidR="00990058" w:rsidRPr="00D47402" w:rsidRDefault="00990058" w:rsidP="00990058">
            <w:r w:rsidRPr="00D47402">
              <w:t>1.3. pašvaldību budžets</w:t>
            </w:r>
          </w:p>
        </w:tc>
        <w:tc>
          <w:tcPr>
            <w:tcW w:w="632" w:type="pct"/>
            <w:tcBorders>
              <w:top w:val="outset" w:sz="6" w:space="0" w:color="414142"/>
              <w:left w:val="outset" w:sz="6" w:space="0" w:color="414142"/>
              <w:bottom w:val="outset" w:sz="6" w:space="0" w:color="414142"/>
              <w:right w:val="outset" w:sz="6" w:space="0" w:color="414142"/>
            </w:tcBorders>
            <w:hideMark/>
          </w:tcPr>
          <w:p w14:paraId="1EC514B6" w14:textId="77777777" w:rsidR="00990058" w:rsidRPr="00D47402" w:rsidRDefault="00990058" w:rsidP="00990058">
            <w:r w:rsidRPr="00D47402">
              <w:t>0</w:t>
            </w:r>
          </w:p>
        </w:tc>
        <w:tc>
          <w:tcPr>
            <w:tcW w:w="664" w:type="pct"/>
            <w:tcBorders>
              <w:top w:val="outset" w:sz="6" w:space="0" w:color="414142"/>
              <w:left w:val="outset" w:sz="6" w:space="0" w:color="414142"/>
              <w:bottom w:val="outset" w:sz="6" w:space="0" w:color="414142"/>
              <w:right w:val="outset" w:sz="6" w:space="0" w:color="414142"/>
            </w:tcBorders>
            <w:hideMark/>
          </w:tcPr>
          <w:p w14:paraId="09B85CD7"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00CE6BF7" w14:textId="77777777" w:rsidR="00990058" w:rsidRPr="00D47402" w:rsidRDefault="00990058" w:rsidP="00990058">
            <w:r w:rsidRPr="00D47402">
              <w:t> 0</w:t>
            </w:r>
          </w:p>
        </w:tc>
        <w:tc>
          <w:tcPr>
            <w:tcW w:w="654" w:type="pct"/>
            <w:tcBorders>
              <w:top w:val="outset" w:sz="6" w:space="0" w:color="414142"/>
              <w:left w:val="outset" w:sz="6" w:space="0" w:color="414142"/>
              <w:bottom w:val="outset" w:sz="6" w:space="0" w:color="414142"/>
              <w:right w:val="outset" w:sz="6" w:space="0" w:color="414142"/>
            </w:tcBorders>
            <w:hideMark/>
          </w:tcPr>
          <w:p w14:paraId="0A109DA1" w14:textId="77777777" w:rsidR="00990058" w:rsidRPr="00D47402" w:rsidRDefault="00990058" w:rsidP="00990058">
            <w:r w:rsidRPr="00D47402">
              <w:t> 0</w:t>
            </w:r>
          </w:p>
        </w:tc>
        <w:tc>
          <w:tcPr>
            <w:tcW w:w="969" w:type="pct"/>
            <w:tcBorders>
              <w:top w:val="outset" w:sz="6" w:space="0" w:color="414142"/>
              <w:left w:val="outset" w:sz="6" w:space="0" w:color="414142"/>
              <w:bottom w:val="outset" w:sz="6" w:space="0" w:color="414142"/>
              <w:right w:val="outset" w:sz="6" w:space="0" w:color="414142"/>
            </w:tcBorders>
            <w:hideMark/>
          </w:tcPr>
          <w:p w14:paraId="3A7BD420" w14:textId="37E62C05" w:rsidR="00990058" w:rsidRPr="00D47402" w:rsidRDefault="00990058" w:rsidP="00990058">
            <w:r w:rsidRPr="00D47402">
              <w:t> 0</w:t>
            </w:r>
          </w:p>
        </w:tc>
      </w:tr>
      <w:tr w:rsidR="00990058" w:rsidRPr="00D47402" w14:paraId="2B107122"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0FC4D2D3" w14:textId="77777777" w:rsidR="00990058" w:rsidRPr="00D47402" w:rsidRDefault="00990058" w:rsidP="00990058">
            <w:r w:rsidRPr="00D47402">
              <w:t>2. Budžeta izdevumi:</w:t>
            </w:r>
          </w:p>
        </w:tc>
        <w:tc>
          <w:tcPr>
            <w:tcW w:w="632" w:type="pct"/>
            <w:tcBorders>
              <w:top w:val="outset" w:sz="6" w:space="0" w:color="414142"/>
              <w:left w:val="outset" w:sz="6" w:space="0" w:color="414142"/>
              <w:bottom w:val="outset" w:sz="6" w:space="0" w:color="414142"/>
              <w:right w:val="outset" w:sz="6" w:space="0" w:color="414142"/>
            </w:tcBorders>
            <w:hideMark/>
          </w:tcPr>
          <w:p w14:paraId="0CD89AC8" w14:textId="77777777" w:rsidR="00990058" w:rsidRPr="00D47402" w:rsidRDefault="00990058" w:rsidP="00990058">
            <w:r w:rsidRPr="00D47402">
              <w:t>22 865 593</w:t>
            </w:r>
          </w:p>
        </w:tc>
        <w:tc>
          <w:tcPr>
            <w:tcW w:w="664" w:type="pct"/>
            <w:tcBorders>
              <w:top w:val="outset" w:sz="6" w:space="0" w:color="414142"/>
              <w:left w:val="outset" w:sz="6" w:space="0" w:color="414142"/>
              <w:bottom w:val="outset" w:sz="6" w:space="0" w:color="414142"/>
              <w:right w:val="outset" w:sz="6" w:space="0" w:color="414142"/>
            </w:tcBorders>
            <w:hideMark/>
          </w:tcPr>
          <w:p w14:paraId="6CB6B1FC"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37D70DC1" w14:textId="77777777" w:rsidR="00990058" w:rsidRPr="00D47402" w:rsidRDefault="00990058" w:rsidP="00990058">
            <w:pPr>
              <w:rPr>
                <w:rFonts w:eastAsia="Calibri"/>
              </w:rPr>
            </w:pPr>
            <w:r w:rsidRPr="00D47402">
              <w:t xml:space="preserve"> 4 277 135</w:t>
            </w:r>
          </w:p>
        </w:tc>
        <w:tc>
          <w:tcPr>
            <w:tcW w:w="654" w:type="pct"/>
            <w:tcBorders>
              <w:top w:val="outset" w:sz="6" w:space="0" w:color="414142"/>
              <w:left w:val="outset" w:sz="6" w:space="0" w:color="414142"/>
              <w:bottom w:val="outset" w:sz="6" w:space="0" w:color="414142"/>
              <w:right w:val="outset" w:sz="6" w:space="0" w:color="414142"/>
            </w:tcBorders>
            <w:hideMark/>
          </w:tcPr>
          <w:p w14:paraId="50376CAB" w14:textId="77777777" w:rsidR="00990058" w:rsidRPr="00D47402" w:rsidRDefault="00990058" w:rsidP="00990058">
            <w:r w:rsidRPr="00D47402">
              <w:t xml:space="preserve"> 4 244 318</w:t>
            </w:r>
          </w:p>
        </w:tc>
        <w:tc>
          <w:tcPr>
            <w:tcW w:w="969" w:type="pct"/>
            <w:tcBorders>
              <w:top w:val="outset" w:sz="6" w:space="0" w:color="414142"/>
              <w:left w:val="outset" w:sz="6" w:space="0" w:color="414142"/>
              <w:bottom w:val="outset" w:sz="6" w:space="0" w:color="414142"/>
              <w:right w:val="outset" w:sz="6" w:space="0" w:color="414142"/>
            </w:tcBorders>
            <w:hideMark/>
          </w:tcPr>
          <w:p w14:paraId="7950C7DD" w14:textId="17522A14" w:rsidR="00990058" w:rsidRPr="00D47402" w:rsidRDefault="00990058" w:rsidP="00990058">
            <w:r w:rsidRPr="00D47402">
              <w:t xml:space="preserve"> 4 244 318</w:t>
            </w:r>
          </w:p>
        </w:tc>
      </w:tr>
      <w:tr w:rsidR="00990058" w:rsidRPr="00D47402" w14:paraId="19AA0DF9"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30D0E4F8" w14:textId="77777777" w:rsidR="00990058" w:rsidRPr="00D47402" w:rsidRDefault="00990058" w:rsidP="00990058">
            <w:r w:rsidRPr="00D47402">
              <w:lastRenderedPageBreak/>
              <w:t>2.1. valsts pamatbudžets</w:t>
            </w:r>
          </w:p>
        </w:tc>
        <w:tc>
          <w:tcPr>
            <w:tcW w:w="632" w:type="pct"/>
            <w:tcBorders>
              <w:top w:val="outset" w:sz="6" w:space="0" w:color="414142"/>
              <w:left w:val="outset" w:sz="6" w:space="0" w:color="414142"/>
              <w:bottom w:val="outset" w:sz="6" w:space="0" w:color="414142"/>
              <w:right w:val="outset" w:sz="6" w:space="0" w:color="414142"/>
            </w:tcBorders>
            <w:hideMark/>
          </w:tcPr>
          <w:p w14:paraId="58ECB9BC" w14:textId="77777777" w:rsidR="00990058" w:rsidRPr="00D47402" w:rsidRDefault="00990058" w:rsidP="00990058">
            <w:r w:rsidRPr="00D47402">
              <w:t>22 865 593</w:t>
            </w:r>
          </w:p>
        </w:tc>
        <w:tc>
          <w:tcPr>
            <w:tcW w:w="664" w:type="pct"/>
            <w:tcBorders>
              <w:top w:val="outset" w:sz="6" w:space="0" w:color="414142"/>
              <w:left w:val="outset" w:sz="6" w:space="0" w:color="414142"/>
              <w:bottom w:val="outset" w:sz="6" w:space="0" w:color="414142"/>
              <w:right w:val="outset" w:sz="6" w:space="0" w:color="414142"/>
            </w:tcBorders>
            <w:hideMark/>
          </w:tcPr>
          <w:p w14:paraId="0C9E519E"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30ADD897" w14:textId="77777777" w:rsidR="00990058" w:rsidRPr="00D47402" w:rsidRDefault="00990058" w:rsidP="00990058">
            <w:pPr>
              <w:rPr>
                <w:rFonts w:eastAsia="Calibri"/>
              </w:rPr>
            </w:pPr>
            <w:r w:rsidRPr="00D47402">
              <w:t>4 277 135</w:t>
            </w:r>
          </w:p>
        </w:tc>
        <w:tc>
          <w:tcPr>
            <w:tcW w:w="654" w:type="pct"/>
            <w:tcBorders>
              <w:top w:val="outset" w:sz="6" w:space="0" w:color="414142"/>
              <w:left w:val="outset" w:sz="6" w:space="0" w:color="414142"/>
              <w:bottom w:val="outset" w:sz="6" w:space="0" w:color="414142"/>
              <w:right w:val="outset" w:sz="6" w:space="0" w:color="414142"/>
            </w:tcBorders>
            <w:hideMark/>
          </w:tcPr>
          <w:p w14:paraId="185AE98E" w14:textId="77777777" w:rsidR="00990058" w:rsidRPr="00D47402" w:rsidRDefault="00990058" w:rsidP="00990058">
            <w:r w:rsidRPr="00D47402">
              <w:t xml:space="preserve"> 4 244 318</w:t>
            </w:r>
          </w:p>
        </w:tc>
        <w:tc>
          <w:tcPr>
            <w:tcW w:w="969" w:type="pct"/>
            <w:tcBorders>
              <w:top w:val="outset" w:sz="6" w:space="0" w:color="414142"/>
              <w:left w:val="outset" w:sz="6" w:space="0" w:color="414142"/>
              <w:bottom w:val="outset" w:sz="6" w:space="0" w:color="414142"/>
              <w:right w:val="outset" w:sz="6" w:space="0" w:color="414142"/>
            </w:tcBorders>
            <w:hideMark/>
          </w:tcPr>
          <w:p w14:paraId="72BEB81C" w14:textId="1568D0B2" w:rsidR="00990058" w:rsidRPr="00D47402" w:rsidRDefault="00990058" w:rsidP="00990058">
            <w:r w:rsidRPr="00D47402">
              <w:t xml:space="preserve"> 4 244 318</w:t>
            </w:r>
          </w:p>
        </w:tc>
      </w:tr>
      <w:tr w:rsidR="00990058" w:rsidRPr="00D47402" w14:paraId="0C1BD3BF"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2BE6D06A" w14:textId="77777777" w:rsidR="00990058" w:rsidRPr="00D47402" w:rsidRDefault="00990058" w:rsidP="00990058">
            <w:r w:rsidRPr="00D47402">
              <w:t>2.2. valsts speciālais budžets</w:t>
            </w:r>
          </w:p>
        </w:tc>
        <w:tc>
          <w:tcPr>
            <w:tcW w:w="632" w:type="pct"/>
            <w:tcBorders>
              <w:top w:val="outset" w:sz="6" w:space="0" w:color="414142"/>
              <w:left w:val="outset" w:sz="6" w:space="0" w:color="414142"/>
              <w:bottom w:val="outset" w:sz="6" w:space="0" w:color="414142"/>
              <w:right w:val="outset" w:sz="6" w:space="0" w:color="414142"/>
            </w:tcBorders>
            <w:hideMark/>
          </w:tcPr>
          <w:p w14:paraId="50D64CDF" w14:textId="77777777" w:rsidR="00990058" w:rsidRPr="00D47402" w:rsidRDefault="00990058" w:rsidP="00990058">
            <w:r w:rsidRPr="00D47402">
              <w:t>0</w:t>
            </w:r>
          </w:p>
        </w:tc>
        <w:tc>
          <w:tcPr>
            <w:tcW w:w="664" w:type="pct"/>
            <w:tcBorders>
              <w:top w:val="outset" w:sz="6" w:space="0" w:color="414142"/>
              <w:left w:val="outset" w:sz="6" w:space="0" w:color="414142"/>
              <w:bottom w:val="outset" w:sz="6" w:space="0" w:color="414142"/>
              <w:right w:val="outset" w:sz="6" w:space="0" w:color="414142"/>
            </w:tcBorders>
            <w:hideMark/>
          </w:tcPr>
          <w:p w14:paraId="484FE319"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3BC818FD" w14:textId="77777777" w:rsidR="00990058" w:rsidRPr="00D47402" w:rsidRDefault="00990058" w:rsidP="00990058">
            <w:pPr>
              <w:rPr>
                <w:rFonts w:eastAsia="Calibri"/>
              </w:rPr>
            </w:pPr>
            <w:r w:rsidRPr="00D47402">
              <w:t xml:space="preserve"> 0</w:t>
            </w:r>
          </w:p>
        </w:tc>
        <w:tc>
          <w:tcPr>
            <w:tcW w:w="654" w:type="pct"/>
            <w:tcBorders>
              <w:top w:val="outset" w:sz="6" w:space="0" w:color="414142"/>
              <w:left w:val="outset" w:sz="6" w:space="0" w:color="414142"/>
              <w:bottom w:val="outset" w:sz="6" w:space="0" w:color="414142"/>
              <w:right w:val="outset" w:sz="6" w:space="0" w:color="414142"/>
            </w:tcBorders>
            <w:hideMark/>
          </w:tcPr>
          <w:p w14:paraId="067372C3" w14:textId="77777777" w:rsidR="00990058" w:rsidRPr="00D47402" w:rsidRDefault="00990058" w:rsidP="00990058">
            <w:r w:rsidRPr="00D47402">
              <w:t xml:space="preserve"> 0</w:t>
            </w:r>
          </w:p>
        </w:tc>
        <w:tc>
          <w:tcPr>
            <w:tcW w:w="969" w:type="pct"/>
            <w:tcBorders>
              <w:top w:val="outset" w:sz="6" w:space="0" w:color="414142"/>
              <w:left w:val="outset" w:sz="6" w:space="0" w:color="414142"/>
              <w:bottom w:val="outset" w:sz="6" w:space="0" w:color="414142"/>
              <w:right w:val="outset" w:sz="6" w:space="0" w:color="414142"/>
            </w:tcBorders>
            <w:hideMark/>
          </w:tcPr>
          <w:p w14:paraId="160655F2" w14:textId="77777777" w:rsidR="00990058" w:rsidRPr="00D47402" w:rsidRDefault="00990058" w:rsidP="00990058">
            <w:r w:rsidRPr="00D47402">
              <w:t xml:space="preserve"> 0</w:t>
            </w:r>
          </w:p>
        </w:tc>
      </w:tr>
      <w:tr w:rsidR="00990058" w:rsidRPr="00D47402" w14:paraId="7833E873"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22970E05" w14:textId="77777777" w:rsidR="00990058" w:rsidRPr="00D47402" w:rsidRDefault="00990058" w:rsidP="00990058">
            <w:r w:rsidRPr="00D47402">
              <w:t>2.3. pašvaldību budžets</w:t>
            </w:r>
          </w:p>
        </w:tc>
        <w:tc>
          <w:tcPr>
            <w:tcW w:w="632" w:type="pct"/>
            <w:tcBorders>
              <w:top w:val="outset" w:sz="6" w:space="0" w:color="414142"/>
              <w:left w:val="outset" w:sz="6" w:space="0" w:color="414142"/>
              <w:bottom w:val="outset" w:sz="6" w:space="0" w:color="414142"/>
              <w:right w:val="outset" w:sz="6" w:space="0" w:color="414142"/>
            </w:tcBorders>
            <w:hideMark/>
          </w:tcPr>
          <w:p w14:paraId="1801A22C" w14:textId="77777777" w:rsidR="00990058" w:rsidRPr="00D47402" w:rsidRDefault="00990058" w:rsidP="00990058">
            <w:r w:rsidRPr="00D47402">
              <w:t>0</w:t>
            </w:r>
          </w:p>
        </w:tc>
        <w:tc>
          <w:tcPr>
            <w:tcW w:w="664" w:type="pct"/>
            <w:tcBorders>
              <w:top w:val="outset" w:sz="6" w:space="0" w:color="414142"/>
              <w:left w:val="outset" w:sz="6" w:space="0" w:color="414142"/>
              <w:bottom w:val="outset" w:sz="6" w:space="0" w:color="414142"/>
              <w:right w:val="outset" w:sz="6" w:space="0" w:color="414142"/>
            </w:tcBorders>
            <w:hideMark/>
          </w:tcPr>
          <w:p w14:paraId="11B728FC"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3AAC0B76" w14:textId="77777777" w:rsidR="00990058" w:rsidRPr="00D47402" w:rsidRDefault="00990058" w:rsidP="00990058">
            <w:pPr>
              <w:rPr>
                <w:rFonts w:eastAsia="Calibri"/>
              </w:rPr>
            </w:pPr>
            <w:r w:rsidRPr="00D47402">
              <w:t xml:space="preserve"> 0</w:t>
            </w:r>
          </w:p>
        </w:tc>
        <w:tc>
          <w:tcPr>
            <w:tcW w:w="654" w:type="pct"/>
            <w:tcBorders>
              <w:top w:val="outset" w:sz="6" w:space="0" w:color="414142"/>
              <w:left w:val="outset" w:sz="6" w:space="0" w:color="414142"/>
              <w:bottom w:val="outset" w:sz="6" w:space="0" w:color="414142"/>
              <w:right w:val="outset" w:sz="6" w:space="0" w:color="414142"/>
            </w:tcBorders>
            <w:hideMark/>
          </w:tcPr>
          <w:p w14:paraId="75408561" w14:textId="77777777" w:rsidR="00990058" w:rsidRPr="00D47402" w:rsidRDefault="00990058" w:rsidP="00990058">
            <w:r w:rsidRPr="00D47402">
              <w:t xml:space="preserve"> 0</w:t>
            </w:r>
          </w:p>
        </w:tc>
        <w:tc>
          <w:tcPr>
            <w:tcW w:w="969" w:type="pct"/>
            <w:tcBorders>
              <w:top w:val="outset" w:sz="6" w:space="0" w:color="414142"/>
              <w:left w:val="outset" w:sz="6" w:space="0" w:color="414142"/>
              <w:bottom w:val="outset" w:sz="6" w:space="0" w:color="414142"/>
              <w:right w:val="outset" w:sz="6" w:space="0" w:color="414142"/>
            </w:tcBorders>
            <w:hideMark/>
          </w:tcPr>
          <w:p w14:paraId="4749E06F" w14:textId="77777777" w:rsidR="00990058" w:rsidRPr="00D47402" w:rsidRDefault="00990058" w:rsidP="00990058">
            <w:r w:rsidRPr="00D47402">
              <w:t xml:space="preserve"> 0</w:t>
            </w:r>
          </w:p>
        </w:tc>
      </w:tr>
      <w:tr w:rsidR="00990058" w:rsidRPr="00D47402" w14:paraId="339A576C"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7A6973B8" w14:textId="77777777" w:rsidR="00990058" w:rsidRPr="00D47402" w:rsidRDefault="00990058" w:rsidP="00990058">
            <w:r w:rsidRPr="00D47402">
              <w:t>3. Finansiālā ietekme:</w:t>
            </w:r>
          </w:p>
        </w:tc>
        <w:tc>
          <w:tcPr>
            <w:tcW w:w="632" w:type="pct"/>
            <w:tcBorders>
              <w:top w:val="outset" w:sz="6" w:space="0" w:color="414142"/>
              <w:left w:val="outset" w:sz="6" w:space="0" w:color="414142"/>
              <w:bottom w:val="outset" w:sz="6" w:space="0" w:color="414142"/>
              <w:right w:val="outset" w:sz="6" w:space="0" w:color="414142"/>
            </w:tcBorders>
            <w:vAlign w:val="center"/>
            <w:hideMark/>
          </w:tcPr>
          <w:p w14:paraId="3A894212" w14:textId="77777777" w:rsidR="00990058" w:rsidRPr="00D47402" w:rsidRDefault="00990058" w:rsidP="00990058">
            <w:r w:rsidRPr="00D47402">
              <w:t> </w:t>
            </w:r>
          </w:p>
        </w:tc>
        <w:tc>
          <w:tcPr>
            <w:tcW w:w="664" w:type="pct"/>
            <w:tcBorders>
              <w:top w:val="outset" w:sz="6" w:space="0" w:color="414142"/>
              <w:left w:val="outset" w:sz="6" w:space="0" w:color="414142"/>
              <w:bottom w:val="outset" w:sz="6" w:space="0" w:color="414142"/>
              <w:right w:val="outset" w:sz="6" w:space="0" w:color="414142"/>
            </w:tcBorders>
            <w:hideMark/>
          </w:tcPr>
          <w:p w14:paraId="3EB8797E" w14:textId="77777777" w:rsidR="00990058" w:rsidRPr="00D47402" w:rsidRDefault="00990058" w:rsidP="00990058">
            <w:r w:rsidRPr="00D47402">
              <w:t> </w:t>
            </w:r>
          </w:p>
        </w:tc>
        <w:tc>
          <w:tcPr>
            <w:tcW w:w="619" w:type="pct"/>
            <w:tcBorders>
              <w:top w:val="outset" w:sz="6" w:space="0" w:color="414142"/>
              <w:left w:val="outset" w:sz="6" w:space="0" w:color="414142"/>
              <w:bottom w:val="outset" w:sz="6" w:space="0" w:color="414142"/>
              <w:right w:val="outset" w:sz="6" w:space="0" w:color="414142"/>
            </w:tcBorders>
            <w:hideMark/>
          </w:tcPr>
          <w:p w14:paraId="46199F27" w14:textId="77777777" w:rsidR="00990058" w:rsidRPr="00D47402" w:rsidRDefault="00990058" w:rsidP="00990058">
            <w:pPr>
              <w:rPr>
                <w:rFonts w:eastAsia="Calibri"/>
              </w:rPr>
            </w:pPr>
            <w:r w:rsidRPr="00D47402">
              <w:t xml:space="preserve"> 0</w:t>
            </w:r>
          </w:p>
        </w:tc>
        <w:tc>
          <w:tcPr>
            <w:tcW w:w="654" w:type="pct"/>
            <w:tcBorders>
              <w:top w:val="outset" w:sz="6" w:space="0" w:color="414142"/>
              <w:left w:val="outset" w:sz="6" w:space="0" w:color="414142"/>
              <w:bottom w:val="outset" w:sz="6" w:space="0" w:color="414142"/>
              <w:right w:val="outset" w:sz="6" w:space="0" w:color="414142"/>
            </w:tcBorders>
            <w:hideMark/>
          </w:tcPr>
          <w:p w14:paraId="5FFB86D7" w14:textId="77777777" w:rsidR="00990058" w:rsidRPr="00D47402" w:rsidRDefault="00990058" w:rsidP="00990058">
            <w:r w:rsidRPr="00D47402">
              <w:t xml:space="preserve"> 0</w:t>
            </w:r>
          </w:p>
        </w:tc>
        <w:tc>
          <w:tcPr>
            <w:tcW w:w="969" w:type="pct"/>
            <w:tcBorders>
              <w:top w:val="outset" w:sz="6" w:space="0" w:color="414142"/>
              <w:left w:val="outset" w:sz="6" w:space="0" w:color="414142"/>
              <w:bottom w:val="outset" w:sz="6" w:space="0" w:color="414142"/>
              <w:right w:val="outset" w:sz="6" w:space="0" w:color="414142"/>
            </w:tcBorders>
            <w:hideMark/>
          </w:tcPr>
          <w:p w14:paraId="4F70C09E" w14:textId="77777777" w:rsidR="00990058" w:rsidRPr="00D47402" w:rsidRDefault="00990058" w:rsidP="00990058">
            <w:r w:rsidRPr="00D47402">
              <w:t xml:space="preserve"> 0</w:t>
            </w:r>
          </w:p>
        </w:tc>
      </w:tr>
      <w:tr w:rsidR="00990058" w:rsidRPr="00D47402" w14:paraId="6A4DBFDF"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4318A4E6" w14:textId="77777777" w:rsidR="00990058" w:rsidRPr="00D47402" w:rsidRDefault="00990058" w:rsidP="00990058">
            <w:r w:rsidRPr="00D47402">
              <w:t>3.1. valsts pamatbudžets</w:t>
            </w:r>
          </w:p>
        </w:tc>
        <w:tc>
          <w:tcPr>
            <w:tcW w:w="632" w:type="pct"/>
            <w:tcBorders>
              <w:top w:val="outset" w:sz="6" w:space="0" w:color="414142"/>
              <w:left w:val="outset" w:sz="6" w:space="0" w:color="414142"/>
              <w:bottom w:val="outset" w:sz="6" w:space="0" w:color="414142"/>
              <w:right w:val="outset" w:sz="6" w:space="0" w:color="414142"/>
            </w:tcBorders>
            <w:hideMark/>
          </w:tcPr>
          <w:p w14:paraId="237ADD27" w14:textId="77777777" w:rsidR="00990058" w:rsidRPr="00D47402" w:rsidRDefault="00990058" w:rsidP="00990058">
            <w:r w:rsidRPr="00D47402">
              <w:t> 0</w:t>
            </w:r>
          </w:p>
        </w:tc>
        <w:tc>
          <w:tcPr>
            <w:tcW w:w="664" w:type="pct"/>
            <w:tcBorders>
              <w:top w:val="outset" w:sz="6" w:space="0" w:color="414142"/>
              <w:left w:val="outset" w:sz="6" w:space="0" w:color="414142"/>
              <w:bottom w:val="outset" w:sz="6" w:space="0" w:color="414142"/>
              <w:right w:val="outset" w:sz="6" w:space="0" w:color="414142"/>
            </w:tcBorders>
            <w:hideMark/>
          </w:tcPr>
          <w:p w14:paraId="3B82F397"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29C7BA34" w14:textId="77777777" w:rsidR="00990058" w:rsidRPr="00D47402" w:rsidRDefault="00990058" w:rsidP="00990058">
            <w:pPr>
              <w:rPr>
                <w:rFonts w:eastAsia="Calibri"/>
              </w:rPr>
            </w:pPr>
            <w:r w:rsidRPr="00D47402">
              <w:t xml:space="preserve"> 0</w:t>
            </w:r>
          </w:p>
        </w:tc>
        <w:tc>
          <w:tcPr>
            <w:tcW w:w="654" w:type="pct"/>
            <w:tcBorders>
              <w:top w:val="outset" w:sz="6" w:space="0" w:color="414142"/>
              <w:left w:val="outset" w:sz="6" w:space="0" w:color="414142"/>
              <w:bottom w:val="outset" w:sz="6" w:space="0" w:color="414142"/>
              <w:right w:val="outset" w:sz="6" w:space="0" w:color="414142"/>
            </w:tcBorders>
            <w:hideMark/>
          </w:tcPr>
          <w:p w14:paraId="6E3F2844" w14:textId="77777777" w:rsidR="00990058" w:rsidRPr="00D47402" w:rsidRDefault="00990058" w:rsidP="00990058">
            <w:r w:rsidRPr="00D47402">
              <w:t xml:space="preserve"> 0</w:t>
            </w:r>
          </w:p>
        </w:tc>
        <w:tc>
          <w:tcPr>
            <w:tcW w:w="969" w:type="pct"/>
            <w:tcBorders>
              <w:top w:val="outset" w:sz="6" w:space="0" w:color="414142"/>
              <w:left w:val="outset" w:sz="6" w:space="0" w:color="414142"/>
              <w:bottom w:val="outset" w:sz="6" w:space="0" w:color="414142"/>
              <w:right w:val="outset" w:sz="6" w:space="0" w:color="414142"/>
            </w:tcBorders>
            <w:hideMark/>
          </w:tcPr>
          <w:p w14:paraId="07F8AE92" w14:textId="77777777" w:rsidR="00990058" w:rsidRPr="00D47402" w:rsidRDefault="00990058" w:rsidP="00990058">
            <w:r w:rsidRPr="00D47402">
              <w:t xml:space="preserve"> 0</w:t>
            </w:r>
          </w:p>
        </w:tc>
      </w:tr>
      <w:tr w:rsidR="00990058" w:rsidRPr="00D47402" w14:paraId="4567E4EA"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43C6CDFD" w14:textId="77777777" w:rsidR="00990058" w:rsidRPr="00D47402" w:rsidRDefault="00990058" w:rsidP="00990058">
            <w:r w:rsidRPr="00D47402">
              <w:t>3.2. speciālais budžets</w:t>
            </w:r>
          </w:p>
        </w:tc>
        <w:tc>
          <w:tcPr>
            <w:tcW w:w="632" w:type="pct"/>
            <w:tcBorders>
              <w:top w:val="outset" w:sz="6" w:space="0" w:color="414142"/>
              <w:left w:val="outset" w:sz="6" w:space="0" w:color="414142"/>
              <w:bottom w:val="outset" w:sz="6" w:space="0" w:color="414142"/>
              <w:right w:val="outset" w:sz="6" w:space="0" w:color="414142"/>
            </w:tcBorders>
            <w:hideMark/>
          </w:tcPr>
          <w:p w14:paraId="3CD9460A" w14:textId="77777777" w:rsidR="00990058" w:rsidRPr="00D47402" w:rsidRDefault="00990058" w:rsidP="00990058">
            <w:r w:rsidRPr="00D47402">
              <w:t> 0</w:t>
            </w:r>
          </w:p>
        </w:tc>
        <w:tc>
          <w:tcPr>
            <w:tcW w:w="664" w:type="pct"/>
            <w:tcBorders>
              <w:top w:val="outset" w:sz="6" w:space="0" w:color="414142"/>
              <w:left w:val="outset" w:sz="6" w:space="0" w:color="414142"/>
              <w:bottom w:val="outset" w:sz="6" w:space="0" w:color="414142"/>
              <w:right w:val="outset" w:sz="6" w:space="0" w:color="414142"/>
            </w:tcBorders>
            <w:hideMark/>
          </w:tcPr>
          <w:p w14:paraId="7660D362"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7B9A4A10" w14:textId="77777777" w:rsidR="00990058" w:rsidRPr="00D47402" w:rsidRDefault="00990058" w:rsidP="00990058">
            <w:r w:rsidRPr="00D47402">
              <w:t> 0</w:t>
            </w:r>
          </w:p>
        </w:tc>
        <w:tc>
          <w:tcPr>
            <w:tcW w:w="654" w:type="pct"/>
            <w:tcBorders>
              <w:top w:val="outset" w:sz="6" w:space="0" w:color="414142"/>
              <w:left w:val="outset" w:sz="6" w:space="0" w:color="414142"/>
              <w:bottom w:val="outset" w:sz="6" w:space="0" w:color="414142"/>
              <w:right w:val="outset" w:sz="6" w:space="0" w:color="414142"/>
            </w:tcBorders>
            <w:hideMark/>
          </w:tcPr>
          <w:p w14:paraId="69184491" w14:textId="77777777" w:rsidR="00990058" w:rsidRPr="00D47402" w:rsidRDefault="00990058" w:rsidP="00990058">
            <w:r w:rsidRPr="00D47402">
              <w:t> 0</w:t>
            </w:r>
          </w:p>
        </w:tc>
        <w:tc>
          <w:tcPr>
            <w:tcW w:w="969" w:type="pct"/>
            <w:tcBorders>
              <w:top w:val="outset" w:sz="6" w:space="0" w:color="414142"/>
              <w:left w:val="outset" w:sz="6" w:space="0" w:color="414142"/>
              <w:bottom w:val="outset" w:sz="6" w:space="0" w:color="414142"/>
              <w:right w:val="outset" w:sz="6" w:space="0" w:color="414142"/>
            </w:tcBorders>
            <w:hideMark/>
          </w:tcPr>
          <w:p w14:paraId="630B5926" w14:textId="77777777" w:rsidR="00990058" w:rsidRPr="00D47402" w:rsidRDefault="00990058" w:rsidP="00990058">
            <w:r w:rsidRPr="00D47402">
              <w:t> 0</w:t>
            </w:r>
          </w:p>
        </w:tc>
      </w:tr>
      <w:tr w:rsidR="00990058" w:rsidRPr="00D47402" w14:paraId="0FC8E66F"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3DC5C43E" w14:textId="77777777" w:rsidR="00990058" w:rsidRPr="00D47402" w:rsidRDefault="00990058" w:rsidP="00990058">
            <w:r w:rsidRPr="00D47402">
              <w:t>3.3. pašvaldību budžets</w:t>
            </w:r>
          </w:p>
        </w:tc>
        <w:tc>
          <w:tcPr>
            <w:tcW w:w="632" w:type="pct"/>
            <w:tcBorders>
              <w:top w:val="outset" w:sz="6" w:space="0" w:color="414142"/>
              <w:left w:val="outset" w:sz="6" w:space="0" w:color="414142"/>
              <w:bottom w:val="outset" w:sz="6" w:space="0" w:color="414142"/>
              <w:right w:val="outset" w:sz="6" w:space="0" w:color="414142"/>
            </w:tcBorders>
            <w:hideMark/>
          </w:tcPr>
          <w:p w14:paraId="67065331" w14:textId="77777777" w:rsidR="00990058" w:rsidRPr="00D47402" w:rsidRDefault="00990058" w:rsidP="00990058">
            <w:r w:rsidRPr="00D47402">
              <w:t> 0</w:t>
            </w:r>
          </w:p>
        </w:tc>
        <w:tc>
          <w:tcPr>
            <w:tcW w:w="664" w:type="pct"/>
            <w:tcBorders>
              <w:top w:val="outset" w:sz="6" w:space="0" w:color="414142"/>
              <w:left w:val="outset" w:sz="6" w:space="0" w:color="414142"/>
              <w:bottom w:val="outset" w:sz="6" w:space="0" w:color="414142"/>
              <w:right w:val="outset" w:sz="6" w:space="0" w:color="414142"/>
            </w:tcBorders>
            <w:hideMark/>
          </w:tcPr>
          <w:p w14:paraId="78B26261"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6E750C6F" w14:textId="77777777" w:rsidR="00990058" w:rsidRPr="00D47402" w:rsidRDefault="00990058" w:rsidP="00990058">
            <w:r w:rsidRPr="00D47402">
              <w:t> 0</w:t>
            </w:r>
          </w:p>
        </w:tc>
        <w:tc>
          <w:tcPr>
            <w:tcW w:w="654" w:type="pct"/>
            <w:tcBorders>
              <w:top w:val="outset" w:sz="6" w:space="0" w:color="414142"/>
              <w:left w:val="outset" w:sz="6" w:space="0" w:color="414142"/>
              <w:bottom w:val="outset" w:sz="6" w:space="0" w:color="414142"/>
              <w:right w:val="outset" w:sz="6" w:space="0" w:color="414142"/>
            </w:tcBorders>
            <w:hideMark/>
          </w:tcPr>
          <w:p w14:paraId="1B6AFF6E" w14:textId="77777777" w:rsidR="00990058" w:rsidRPr="00D47402" w:rsidRDefault="00990058" w:rsidP="00990058">
            <w:r w:rsidRPr="00D47402">
              <w:t> 0</w:t>
            </w:r>
          </w:p>
        </w:tc>
        <w:tc>
          <w:tcPr>
            <w:tcW w:w="969" w:type="pct"/>
            <w:tcBorders>
              <w:top w:val="outset" w:sz="6" w:space="0" w:color="414142"/>
              <w:left w:val="outset" w:sz="6" w:space="0" w:color="414142"/>
              <w:bottom w:val="outset" w:sz="6" w:space="0" w:color="414142"/>
              <w:right w:val="outset" w:sz="6" w:space="0" w:color="414142"/>
            </w:tcBorders>
            <w:hideMark/>
          </w:tcPr>
          <w:p w14:paraId="72D5D13C" w14:textId="77777777" w:rsidR="00990058" w:rsidRPr="00D47402" w:rsidRDefault="00990058" w:rsidP="00990058">
            <w:r w:rsidRPr="00D47402">
              <w:t> 0</w:t>
            </w:r>
          </w:p>
        </w:tc>
      </w:tr>
      <w:tr w:rsidR="00990058" w:rsidRPr="00D47402" w14:paraId="395DC068" w14:textId="77777777" w:rsidTr="00990058">
        <w:tc>
          <w:tcPr>
            <w:tcW w:w="1463" w:type="pct"/>
            <w:vMerge w:val="restart"/>
            <w:tcBorders>
              <w:top w:val="outset" w:sz="6" w:space="0" w:color="414142"/>
              <w:left w:val="outset" w:sz="6" w:space="0" w:color="414142"/>
              <w:bottom w:val="outset" w:sz="6" w:space="0" w:color="414142"/>
              <w:right w:val="outset" w:sz="6" w:space="0" w:color="414142"/>
            </w:tcBorders>
            <w:hideMark/>
          </w:tcPr>
          <w:p w14:paraId="293CD8B6" w14:textId="77777777" w:rsidR="00990058" w:rsidRPr="00D47402" w:rsidRDefault="00990058" w:rsidP="00990058">
            <w:r w:rsidRPr="00D47402">
              <w:t>4. Finanšu līdzekļi papildu izdevumu finansēšanai (kompensējošu izdevumu samazinājumu norāda ar "+" zīmi)</w:t>
            </w:r>
          </w:p>
        </w:tc>
        <w:tc>
          <w:tcPr>
            <w:tcW w:w="632" w:type="pct"/>
            <w:vMerge w:val="restart"/>
            <w:tcBorders>
              <w:top w:val="outset" w:sz="6" w:space="0" w:color="414142"/>
              <w:left w:val="outset" w:sz="6" w:space="0" w:color="414142"/>
              <w:bottom w:val="outset" w:sz="6" w:space="0" w:color="414142"/>
              <w:right w:val="outset" w:sz="6" w:space="0" w:color="414142"/>
            </w:tcBorders>
            <w:hideMark/>
          </w:tcPr>
          <w:p w14:paraId="1E529449" w14:textId="77777777" w:rsidR="00990058" w:rsidRPr="00D47402" w:rsidRDefault="00990058" w:rsidP="00990058">
            <w:pPr>
              <w:ind w:firstLine="300"/>
            </w:pPr>
            <w:r w:rsidRPr="00D47402">
              <w:t>x</w:t>
            </w:r>
          </w:p>
        </w:tc>
        <w:tc>
          <w:tcPr>
            <w:tcW w:w="664" w:type="pct"/>
            <w:tcBorders>
              <w:top w:val="outset" w:sz="6" w:space="0" w:color="414142"/>
              <w:left w:val="outset" w:sz="6" w:space="0" w:color="414142"/>
              <w:bottom w:val="outset" w:sz="6" w:space="0" w:color="414142"/>
              <w:right w:val="outset" w:sz="6" w:space="0" w:color="414142"/>
            </w:tcBorders>
            <w:hideMark/>
          </w:tcPr>
          <w:p w14:paraId="610F8A03"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2C2E7899" w14:textId="77777777" w:rsidR="00990058" w:rsidRPr="00D47402" w:rsidRDefault="00990058" w:rsidP="00990058">
            <w:r w:rsidRPr="00D47402">
              <w:t> 0</w:t>
            </w:r>
          </w:p>
        </w:tc>
        <w:tc>
          <w:tcPr>
            <w:tcW w:w="654" w:type="pct"/>
            <w:tcBorders>
              <w:top w:val="outset" w:sz="6" w:space="0" w:color="414142"/>
              <w:left w:val="outset" w:sz="6" w:space="0" w:color="414142"/>
              <w:bottom w:val="outset" w:sz="6" w:space="0" w:color="414142"/>
              <w:right w:val="outset" w:sz="6" w:space="0" w:color="414142"/>
            </w:tcBorders>
            <w:hideMark/>
          </w:tcPr>
          <w:p w14:paraId="0DD54174" w14:textId="77777777" w:rsidR="00990058" w:rsidRPr="00D47402" w:rsidRDefault="00990058" w:rsidP="00990058">
            <w:r w:rsidRPr="00D47402">
              <w:t> 0</w:t>
            </w:r>
          </w:p>
        </w:tc>
        <w:tc>
          <w:tcPr>
            <w:tcW w:w="969" w:type="pct"/>
            <w:tcBorders>
              <w:top w:val="outset" w:sz="6" w:space="0" w:color="414142"/>
              <w:left w:val="outset" w:sz="6" w:space="0" w:color="414142"/>
              <w:bottom w:val="outset" w:sz="6" w:space="0" w:color="414142"/>
              <w:right w:val="outset" w:sz="6" w:space="0" w:color="414142"/>
            </w:tcBorders>
            <w:hideMark/>
          </w:tcPr>
          <w:p w14:paraId="493CB7A3" w14:textId="77777777" w:rsidR="00990058" w:rsidRPr="00D47402" w:rsidRDefault="00990058" w:rsidP="00990058">
            <w:r w:rsidRPr="00D47402">
              <w:t> 0</w:t>
            </w:r>
          </w:p>
        </w:tc>
      </w:tr>
      <w:tr w:rsidR="00990058" w:rsidRPr="00D47402" w14:paraId="4F2A8E3F" w14:textId="77777777" w:rsidTr="00990058">
        <w:tc>
          <w:tcPr>
            <w:tcW w:w="1463" w:type="pct"/>
            <w:vMerge/>
            <w:tcBorders>
              <w:top w:val="outset" w:sz="6" w:space="0" w:color="414142"/>
              <w:left w:val="outset" w:sz="6" w:space="0" w:color="414142"/>
              <w:bottom w:val="outset" w:sz="6" w:space="0" w:color="414142"/>
              <w:right w:val="outset" w:sz="6" w:space="0" w:color="414142"/>
            </w:tcBorders>
            <w:vAlign w:val="center"/>
            <w:hideMark/>
          </w:tcPr>
          <w:p w14:paraId="5CAB279A" w14:textId="77777777" w:rsidR="00990058" w:rsidRPr="00D47402" w:rsidRDefault="00990058" w:rsidP="00990058"/>
        </w:tc>
        <w:tc>
          <w:tcPr>
            <w:tcW w:w="632" w:type="pct"/>
            <w:vMerge/>
            <w:tcBorders>
              <w:top w:val="outset" w:sz="6" w:space="0" w:color="414142"/>
              <w:left w:val="outset" w:sz="6" w:space="0" w:color="414142"/>
              <w:bottom w:val="outset" w:sz="6" w:space="0" w:color="414142"/>
              <w:right w:val="outset" w:sz="6" w:space="0" w:color="414142"/>
            </w:tcBorders>
            <w:vAlign w:val="center"/>
            <w:hideMark/>
          </w:tcPr>
          <w:p w14:paraId="2D1B2646" w14:textId="77777777" w:rsidR="00990058" w:rsidRPr="00D47402" w:rsidRDefault="00990058" w:rsidP="00990058"/>
        </w:tc>
        <w:tc>
          <w:tcPr>
            <w:tcW w:w="664" w:type="pct"/>
            <w:tcBorders>
              <w:top w:val="outset" w:sz="6" w:space="0" w:color="414142"/>
              <w:left w:val="outset" w:sz="6" w:space="0" w:color="414142"/>
              <w:bottom w:val="outset" w:sz="6" w:space="0" w:color="414142"/>
              <w:right w:val="outset" w:sz="6" w:space="0" w:color="414142"/>
            </w:tcBorders>
            <w:hideMark/>
          </w:tcPr>
          <w:p w14:paraId="0598116B"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35E0DC03" w14:textId="77777777" w:rsidR="00990058" w:rsidRPr="00D47402" w:rsidRDefault="00990058" w:rsidP="00990058">
            <w:r w:rsidRPr="00D47402">
              <w:t> 0</w:t>
            </w:r>
          </w:p>
        </w:tc>
        <w:tc>
          <w:tcPr>
            <w:tcW w:w="654" w:type="pct"/>
            <w:tcBorders>
              <w:top w:val="outset" w:sz="6" w:space="0" w:color="414142"/>
              <w:left w:val="outset" w:sz="6" w:space="0" w:color="414142"/>
              <w:bottom w:val="outset" w:sz="6" w:space="0" w:color="414142"/>
              <w:right w:val="outset" w:sz="6" w:space="0" w:color="414142"/>
            </w:tcBorders>
            <w:hideMark/>
          </w:tcPr>
          <w:p w14:paraId="0E652407" w14:textId="77777777" w:rsidR="00990058" w:rsidRPr="00D47402" w:rsidRDefault="00990058" w:rsidP="00990058">
            <w:r w:rsidRPr="00D47402">
              <w:t> 0</w:t>
            </w:r>
          </w:p>
        </w:tc>
        <w:tc>
          <w:tcPr>
            <w:tcW w:w="969" w:type="pct"/>
            <w:tcBorders>
              <w:top w:val="outset" w:sz="6" w:space="0" w:color="414142"/>
              <w:left w:val="outset" w:sz="6" w:space="0" w:color="414142"/>
              <w:bottom w:val="outset" w:sz="6" w:space="0" w:color="414142"/>
              <w:right w:val="outset" w:sz="6" w:space="0" w:color="414142"/>
            </w:tcBorders>
            <w:hideMark/>
          </w:tcPr>
          <w:p w14:paraId="5923D837" w14:textId="77777777" w:rsidR="00990058" w:rsidRPr="00D47402" w:rsidRDefault="00990058" w:rsidP="00990058">
            <w:r w:rsidRPr="00D47402">
              <w:t> 0</w:t>
            </w:r>
          </w:p>
        </w:tc>
      </w:tr>
      <w:tr w:rsidR="00990058" w:rsidRPr="00D47402" w14:paraId="5D86983F" w14:textId="77777777" w:rsidTr="00990058">
        <w:tc>
          <w:tcPr>
            <w:tcW w:w="1463" w:type="pct"/>
            <w:vMerge/>
            <w:tcBorders>
              <w:top w:val="outset" w:sz="6" w:space="0" w:color="414142"/>
              <w:left w:val="outset" w:sz="6" w:space="0" w:color="414142"/>
              <w:bottom w:val="outset" w:sz="6" w:space="0" w:color="414142"/>
              <w:right w:val="outset" w:sz="6" w:space="0" w:color="414142"/>
            </w:tcBorders>
            <w:vAlign w:val="center"/>
            <w:hideMark/>
          </w:tcPr>
          <w:p w14:paraId="2E9FDFAE" w14:textId="77777777" w:rsidR="00990058" w:rsidRPr="00D47402" w:rsidRDefault="00990058" w:rsidP="00990058"/>
        </w:tc>
        <w:tc>
          <w:tcPr>
            <w:tcW w:w="632" w:type="pct"/>
            <w:vMerge/>
            <w:tcBorders>
              <w:top w:val="outset" w:sz="6" w:space="0" w:color="414142"/>
              <w:left w:val="outset" w:sz="6" w:space="0" w:color="414142"/>
              <w:bottom w:val="outset" w:sz="6" w:space="0" w:color="414142"/>
              <w:right w:val="outset" w:sz="6" w:space="0" w:color="414142"/>
            </w:tcBorders>
            <w:vAlign w:val="center"/>
            <w:hideMark/>
          </w:tcPr>
          <w:p w14:paraId="4654D30D" w14:textId="77777777" w:rsidR="00990058" w:rsidRPr="00D47402" w:rsidRDefault="00990058" w:rsidP="00990058"/>
        </w:tc>
        <w:tc>
          <w:tcPr>
            <w:tcW w:w="664" w:type="pct"/>
            <w:tcBorders>
              <w:top w:val="outset" w:sz="6" w:space="0" w:color="414142"/>
              <w:left w:val="outset" w:sz="6" w:space="0" w:color="414142"/>
              <w:bottom w:val="outset" w:sz="6" w:space="0" w:color="414142"/>
              <w:right w:val="outset" w:sz="6" w:space="0" w:color="414142"/>
            </w:tcBorders>
            <w:hideMark/>
          </w:tcPr>
          <w:p w14:paraId="3F318672"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69FF8C64" w14:textId="77777777" w:rsidR="00990058" w:rsidRPr="00D47402" w:rsidRDefault="00990058" w:rsidP="00990058">
            <w:r w:rsidRPr="00D47402">
              <w:t> 0</w:t>
            </w:r>
          </w:p>
        </w:tc>
        <w:tc>
          <w:tcPr>
            <w:tcW w:w="654" w:type="pct"/>
            <w:tcBorders>
              <w:top w:val="outset" w:sz="6" w:space="0" w:color="414142"/>
              <w:left w:val="outset" w:sz="6" w:space="0" w:color="414142"/>
              <w:bottom w:val="outset" w:sz="6" w:space="0" w:color="414142"/>
              <w:right w:val="outset" w:sz="6" w:space="0" w:color="414142"/>
            </w:tcBorders>
            <w:hideMark/>
          </w:tcPr>
          <w:p w14:paraId="0BB9D563" w14:textId="77777777" w:rsidR="00990058" w:rsidRPr="00D47402" w:rsidRDefault="00990058" w:rsidP="00990058">
            <w:r w:rsidRPr="00D47402">
              <w:t> 0</w:t>
            </w:r>
          </w:p>
        </w:tc>
        <w:tc>
          <w:tcPr>
            <w:tcW w:w="969" w:type="pct"/>
            <w:tcBorders>
              <w:top w:val="outset" w:sz="6" w:space="0" w:color="414142"/>
              <w:left w:val="outset" w:sz="6" w:space="0" w:color="414142"/>
              <w:bottom w:val="outset" w:sz="6" w:space="0" w:color="414142"/>
              <w:right w:val="outset" w:sz="6" w:space="0" w:color="414142"/>
            </w:tcBorders>
            <w:hideMark/>
          </w:tcPr>
          <w:p w14:paraId="733BF082" w14:textId="77777777" w:rsidR="00990058" w:rsidRPr="00D47402" w:rsidRDefault="00990058" w:rsidP="00990058">
            <w:r w:rsidRPr="00D47402">
              <w:t> 0</w:t>
            </w:r>
          </w:p>
        </w:tc>
      </w:tr>
      <w:tr w:rsidR="00990058" w:rsidRPr="00D47402" w14:paraId="46DDC8E7"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0F8B8DD2" w14:textId="77777777" w:rsidR="00990058" w:rsidRPr="00D47402" w:rsidRDefault="00990058" w:rsidP="00990058">
            <w:r w:rsidRPr="00D47402">
              <w:t>5. Precizēta finansiālā ietekme:</w:t>
            </w:r>
          </w:p>
        </w:tc>
        <w:tc>
          <w:tcPr>
            <w:tcW w:w="632" w:type="pct"/>
            <w:vMerge w:val="restart"/>
            <w:tcBorders>
              <w:top w:val="outset" w:sz="6" w:space="0" w:color="414142"/>
              <w:left w:val="outset" w:sz="6" w:space="0" w:color="414142"/>
              <w:bottom w:val="outset" w:sz="6" w:space="0" w:color="414142"/>
              <w:right w:val="outset" w:sz="6" w:space="0" w:color="414142"/>
            </w:tcBorders>
            <w:hideMark/>
          </w:tcPr>
          <w:p w14:paraId="77CC5819" w14:textId="77777777" w:rsidR="00990058" w:rsidRPr="00D47402" w:rsidRDefault="00990058" w:rsidP="00990058">
            <w:pPr>
              <w:ind w:firstLine="300"/>
            </w:pPr>
            <w:r w:rsidRPr="00D47402">
              <w:t>x</w:t>
            </w:r>
          </w:p>
        </w:tc>
        <w:tc>
          <w:tcPr>
            <w:tcW w:w="664" w:type="pct"/>
            <w:tcBorders>
              <w:top w:val="outset" w:sz="6" w:space="0" w:color="414142"/>
              <w:left w:val="outset" w:sz="6" w:space="0" w:color="414142"/>
              <w:bottom w:val="outset" w:sz="6" w:space="0" w:color="414142"/>
              <w:right w:val="outset" w:sz="6" w:space="0" w:color="414142"/>
            </w:tcBorders>
            <w:hideMark/>
          </w:tcPr>
          <w:p w14:paraId="755CBABA" w14:textId="77777777" w:rsidR="00990058" w:rsidRPr="00D47402" w:rsidRDefault="00990058" w:rsidP="00990058">
            <w:r w:rsidRPr="00D47402">
              <w:t> </w:t>
            </w:r>
          </w:p>
        </w:tc>
        <w:tc>
          <w:tcPr>
            <w:tcW w:w="619" w:type="pct"/>
            <w:tcBorders>
              <w:top w:val="outset" w:sz="6" w:space="0" w:color="414142"/>
              <w:left w:val="outset" w:sz="6" w:space="0" w:color="414142"/>
              <w:bottom w:val="outset" w:sz="6" w:space="0" w:color="414142"/>
              <w:right w:val="outset" w:sz="6" w:space="0" w:color="414142"/>
            </w:tcBorders>
            <w:hideMark/>
          </w:tcPr>
          <w:p w14:paraId="01747752" w14:textId="77777777" w:rsidR="00990058" w:rsidRPr="00D47402" w:rsidRDefault="00990058" w:rsidP="00990058">
            <w:r w:rsidRPr="00D47402">
              <w:t> </w:t>
            </w:r>
          </w:p>
        </w:tc>
        <w:tc>
          <w:tcPr>
            <w:tcW w:w="654" w:type="pct"/>
            <w:tcBorders>
              <w:top w:val="outset" w:sz="6" w:space="0" w:color="414142"/>
              <w:left w:val="outset" w:sz="6" w:space="0" w:color="414142"/>
              <w:bottom w:val="outset" w:sz="6" w:space="0" w:color="414142"/>
              <w:right w:val="outset" w:sz="6" w:space="0" w:color="414142"/>
            </w:tcBorders>
            <w:hideMark/>
          </w:tcPr>
          <w:p w14:paraId="6C12411B" w14:textId="77777777" w:rsidR="00990058" w:rsidRPr="00D47402" w:rsidRDefault="00990058" w:rsidP="00990058">
            <w:r w:rsidRPr="00D47402">
              <w:t> </w:t>
            </w:r>
          </w:p>
        </w:tc>
        <w:tc>
          <w:tcPr>
            <w:tcW w:w="969" w:type="pct"/>
            <w:tcBorders>
              <w:top w:val="outset" w:sz="6" w:space="0" w:color="414142"/>
              <w:left w:val="outset" w:sz="6" w:space="0" w:color="414142"/>
              <w:bottom w:val="outset" w:sz="6" w:space="0" w:color="414142"/>
              <w:right w:val="outset" w:sz="6" w:space="0" w:color="414142"/>
            </w:tcBorders>
            <w:hideMark/>
          </w:tcPr>
          <w:p w14:paraId="13588B1E" w14:textId="77777777" w:rsidR="00990058" w:rsidRPr="00D47402" w:rsidRDefault="00990058" w:rsidP="00990058">
            <w:r w:rsidRPr="00D47402">
              <w:t> </w:t>
            </w:r>
          </w:p>
        </w:tc>
      </w:tr>
      <w:tr w:rsidR="00990058" w:rsidRPr="00D47402" w14:paraId="35167423"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457118F0" w14:textId="77777777" w:rsidR="00990058" w:rsidRPr="00D47402" w:rsidRDefault="00990058" w:rsidP="00990058">
            <w:r w:rsidRPr="00D47402">
              <w:t>5.1. valsts pamatbudžets</w:t>
            </w:r>
          </w:p>
        </w:tc>
        <w:tc>
          <w:tcPr>
            <w:tcW w:w="632" w:type="pct"/>
            <w:vMerge/>
            <w:tcBorders>
              <w:top w:val="outset" w:sz="6" w:space="0" w:color="414142"/>
              <w:left w:val="outset" w:sz="6" w:space="0" w:color="414142"/>
              <w:bottom w:val="outset" w:sz="6" w:space="0" w:color="414142"/>
              <w:right w:val="outset" w:sz="6" w:space="0" w:color="414142"/>
            </w:tcBorders>
            <w:vAlign w:val="center"/>
            <w:hideMark/>
          </w:tcPr>
          <w:p w14:paraId="1ED692EB" w14:textId="77777777" w:rsidR="00990058" w:rsidRPr="00D47402" w:rsidRDefault="00990058" w:rsidP="00990058"/>
        </w:tc>
        <w:tc>
          <w:tcPr>
            <w:tcW w:w="664" w:type="pct"/>
            <w:tcBorders>
              <w:top w:val="outset" w:sz="6" w:space="0" w:color="414142"/>
              <w:left w:val="outset" w:sz="6" w:space="0" w:color="414142"/>
              <w:bottom w:val="outset" w:sz="6" w:space="0" w:color="414142"/>
              <w:right w:val="outset" w:sz="6" w:space="0" w:color="414142"/>
            </w:tcBorders>
            <w:hideMark/>
          </w:tcPr>
          <w:p w14:paraId="28CF1225"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2AF7E7F0" w14:textId="77777777" w:rsidR="00990058" w:rsidRPr="00D47402" w:rsidRDefault="00990058" w:rsidP="00990058">
            <w:r w:rsidRPr="00D47402">
              <w:t> 0</w:t>
            </w:r>
          </w:p>
        </w:tc>
        <w:tc>
          <w:tcPr>
            <w:tcW w:w="654" w:type="pct"/>
            <w:tcBorders>
              <w:top w:val="outset" w:sz="6" w:space="0" w:color="414142"/>
              <w:left w:val="outset" w:sz="6" w:space="0" w:color="414142"/>
              <w:bottom w:val="outset" w:sz="6" w:space="0" w:color="414142"/>
              <w:right w:val="outset" w:sz="6" w:space="0" w:color="414142"/>
            </w:tcBorders>
            <w:hideMark/>
          </w:tcPr>
          <w:p w14:paraId="0389BB82" w14:textId="77777777" w:rsidR="00990058" w:rsidRPr="00D47402" w:rsidRDefault="00990058" w:rsidP="00990058">
            <w:r w:rsidRPr="00D47402">
              <w:t> 0</w:t>
            </w:r>
          </w:p>
        </w:tc>
        <w:tc>
          <w:tcPr>
            <w:tcW w:w="969" w:type="pct"/>
            <w:tcBorders>
              <w:top w:val="outset" w:sz="6" w:space="0" w:color="414142"/>
              <w:left w:val="outset" w:sz="6" w:space="0" w:color="414142"/>
              <w:bottom w:val="outset" w:sz="6" w:space="0" w:color="414142"/>
              <w:right w:val="outset" w:sz="6" w:space="0" w:color="414142"/>
            </w:tcBorders>
            <w:hideMark/>
          </w:tcPr>
          <w:p w14:paraId="55EB0B1E" w14:textId="77777777" w:rsidR="00990058" w:rsidRPr="00D47402" w:rsidRDefault="00990058" w:rsidP="00990058">
            <w:r w:rsidRPr="00D47402">
              <w:t> 0</w:t>
            </w:r>
          </w:p>
        </w:tc>
      </w:tr>
      <w:tr w:rsidR="00990058" w:rsidRPr="00D47402" w14:paraId="60DA04F8"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39722E51" w14:textId="77777777" w:rsidR="00990058" w:rsidRPr="00D47402" w:rsidRDefault="00990058" w:rsidP="00990058">
            <w:r w:rsidRPr="00D47402">
              <w:t>5.2. speciālais budžets</w:t>
            </w:r>
          </w:p>
        </w:tc>
        <w:tc>
          <w:tcPr>
            <w:tcW w:w="632" w:type="pct"/>
            <w:vMerge/>
            <w:tcBorders>
              <w:top w:val="outset" w:sz="6" w:space="0" w:color="414142"/>
              <w:left w:val="outset" w:sz="6" w:space="0" w:color="414142"/>
              <w:bottom w:val="outset" w:sz="6" w:space="0" w:color="414142"/>
              <w:right w:val="outset" w:sz="6" w:space="0" w:color="414142"/>
            </w:tcBorders>
            <w:vAlign w:val="center"/>
            <w:hideMark/>
          </w:tcPr>
          <w:p w14:paraId="6C67BDD4" w14:textId="77777777" w:rsidR="00990058" w:rsidRPr="00D47402" w:rsidRDefault="00990058" w:rsidP="00990058"/>
        </w:tc>
        <w:tc>
          <w:tcPr>
            <w:tcW w:w="664" w:type="pct"/>
            <w:tcBorders>
              <w:top w:val="outset" w:sz="6" w:space="0" w:color="414142"/>
              <w:left w:val="outset" w:sz="6" w:space="0" w:color="414142"/>
              <w:bottom w:val="outset" w:sz="6" w:space="0" w:color="414142"/>
              <w:right w:val="outset" w:sz="6" w:space="0" w:color="414142"/>
            </w:tcBorders>
            <w:hideMark/>
          </w:tcPr>
          <w:p w14:paraId="62EA5723"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531DD3EC" w14:textId="77777777" w:rsidR="00990058" w:rsidRPr="00D47402" w:rsidRDefault="00990058" w:rsidP="00990058">
            <w:r w:rsidRPr="00D47402">
              <w:t> 0</w:t>
            </w:r>
          </w:p>
        </w:tc>
        <w:tc>
          <w:tcPr>
            <w:tcW w:w="654" w:type="pct"/>
            <w:tcBorders>
              <w:top w:val="outset" w:sz="6" w:space="0" w:color="414142"/>
              <w:left w:val="outset" w:sz="6" w:space="0" w:color="414142"/>
              <w:bottom w:val="outset" w:sz="6" w:space="0" w:color="414142"/>
              <w:right w:val="outset" w:sz="6" w:space="0" w:color="414142"/>
            </w:tcBorders>
            <w:hideMark/>
          </w:tcPr>
          <w:p w14:paraId="3A57E864" w14:textId="77777777" w:rsidR="00990058" w:rsidRPr="00D47402" w:rsidRDefault="00990058" w:rsidP="00990058">
            <w:r w:rsidRPr="00D47402">
              <w:t> 0</w:t>
            </w:r>
          </w:p>
        </w:tc>
        <w:tc>
          <w:tcPr>
            <w:tcW w:w="969" w:type="pct"/>
            <w:tcBorders>
              <w:top w:val="outset" w:sz="6" w:space="0" w:color="414142"/>
              <w:left w:val="outset" w:sz="6" w:space="0" w:color="414142"/>
              <w:bottom w:val="outset" w:sz="6" w:space="0" w:color="414142"/>
              <w:right w:val="outset" w:sz="6" w:space="0" w:color="414142"/>
            </w:tcBorders>
            <w:hideMark/>
          </w:tcPr>
          <w:p w14:paraId="597B0E22" w14:textId="77777777" w:rsidR="00990058" w:rsidRPr="00D47402" w:rsidRDefault="00990058" w:rsidP="00990058">
            <w:r w:rsidRPr="00D47402">
              <w:t> 0</w:t>
            </w:r>
          </w:p>
        </w:tc>
      </w:tr>
      <w:tr w:rsidR="00990058" w:rsidRPr="00D47402" w14:paraId="6A37ECE1"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26FD7709" w14:textId="77777777" w:rsidR="00990058" w:rsidRPr="00D47402" w:rsidRDefault="00990058" w:rsidP="00990058">
            <w:r w:rsidRPr="00D47402">
              <w:t>5.3. pašvaldību budžets</w:t>
            </w:r>
          </w:p>
        </w:tc>
        <w:tc>
          <w:tcPr>
            <w:tcW w:w="632" w:type="pct"/>
            <w:vMerge/>
            <w:tcBorders>
              <w:top w:val="outset" w:sz="6" w:space="0" w:color="414142"/>
              <w:left w:val="outset" w:sz="6" w:space="0" w:color="414142"/>
              <w:bottom w:val="outset" w:sz="6" w:space="0" w:color="414142"/>
              <w:right w:val="outset" w:sz="6" w:space="0" w:color="414142"/>
            </w:tcBorders>
            <w:vAlign w:val="center"/>
            <w:hideMark/>
          </w:tcPr>
          <w:p w14:paraId="64CC5F0C" w14:textId="77777777" w:rsidR="00990058" w:rsidRPr="00D47402" w:rsidRDefault="00990058" w:rsidP="00990058"/>
        </w:tc>
        <w:tc>
          <w:tcPr>
            <w:tcW w:w="664" w:type="pct"/>
            <w:tcBorders>
              <w:top w:val="outset" w:sz="6" w:space="0" w:color="414142"/>
              <w:left w:val="outset" w:sz="6" w:space="0" w:color="414142"/>
              <w:bottom w:val="outset" w:sz="6" w:space="0" w:color="414142"/>
              <w:right w:val="outset" w:sz="6" w:space="0" w:color="414142"/>
            </w:tcBorders>
            <w:hideMark/>
          </w:tcPr>
          <w:p w14:paraId="0F6733D7" w14:textId="77777777" w:rsidR="00990058" w:rsidRPr="00D47402" w:rsidRDefault="00990058" w:rsidP="00990058">
            <w:r w:rsidRPr="00D47402">
              <w:t> 0</w:t>
            </w:r>
          </w:p>
        </w:tc>
        <w:tc>
          <w:tcPr>
            <w:tcW w:w="619" w:type="pct"/>
            <w:tcBorders>
              <w:top w:val="outset" w:sz="6" w:space="0" w:color="414142"/>
              <w:left w:val="outset" w:sz="6" w:space="0" w:color="414142"/>
              <w:bottom w:val="outset" w:sz="6" w:space="0" w:color="414142"/>
              <w:right w:val="outset" w:sz="6" w:space="0" w:color="414142"/>
            </w:tcBorders>
            <w:hideMark/>
          </w:tcPr>
          <w:p w14:paraId="053C88D7" w14:textId="77777777" w:rsidR="00990058" w:rsidRPr="00D47402" w:rsidRDefault="00990058" w:rsidP="00990058">
            <w:r w:rsidRPr="00D47402">
              <w:t> 0</w:t>
            </w:r>
          </w:p>
        </w:tc>
        <w:tc>
          <w:tcPr>
            <w:tcW w:w="654" w:type="pct"/>
            <w:tcBorders>
              <w:top w:val="outset" w:sz="6" w:space="0" w:color="414142"/>
              <w:left w:val="outset" w:sz="6" w:space="0" w:color="414142"/>
              <w:bottom w:val="outset" w:sz="6" w:space="0" w:color="414142"/>
              <w:right w:val="outset" w:sz="6" w:space="0" w:color="414142"/>
            </w:tcBorders>
            <w:hideMark/>
          </w:tcPr>
          <w:p w14:paraId="7E5A4963" w14:textId="77777777" w:rsidR="00990058" w:rsidRPr="00D47402" w:rsidRDefault="00990058" w:rsidP="00990058">
            <w:r w:rsidRPr="00D47402">
              <w:t> 0</w:t>
            </w:r>
          </w:p>
        </w:tc>
        <w:tc>
          <w:tcPr>
            <w:tcW w:w="969" w:type="pct"/>
            <w:tcBorders>
              <w:top w:val="outset" w:sz="6" w:space="0" w:color="414142"/>
              <w:left w:val="outset" w:sz="6" w:space="0" w:color="414142"/>
              <w:bottom w:val="outset" w:sz="6" w:space="0" w:color="414142"/>
              <w:right w:val="outset" w:sz="6" w:space="0" w:color="414142"/>
            </w:tcBorders>
            <w:hideMark/>
          </w:tcPr>
          <w:p w14:paraId="68BE5E63" w14:textId="77777777" w:rsidR="00990058" w:rsidRPr="00D47402" w:rsidRDefault="00990058" w:rsidP="00990058">
            <w:r w:rsidRPr="00D47402">
              <w:t> 0</w:t>
            </w:r>
          </w:p>
        </w:tc>
      </w:tr>
      <w:tr w:rsidR="00990058" w:rsidRPr="00D47402" w14:paraId="5D6315CA"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7E8769AC" w14:textId="77777777" w:rsidR="00990058" w:rsidRPr="00D47402" w:rsidRDefault="00990058" w:rsidP="00990058">
            <w:r w:rsidRPr="00D47402">
              <w:t>6. Detalizēts ieņēmumu un izdevumu aprēķins (ja nepieciešams, detalizētu ieņēmumu un izdevumu aprēķinu var pievienot anotācijas pielikumā):</w:t>
            </w:r>
          </w:p>
        </w:tc>
        <w:tc>
          <w:tcPr>
            <w:tcW w:w="3537" w:type="pct"/>
            <w:gridSpan w:val="5"/>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935BB66" w14:textId="298C9A8B" w:rsidR="000A2FFB" w:rsidRPr="00D47402" w:rsidRDefault="0045338D" w:rsidP="00204DA0">
            <w:pPr>
              <w:jc w:val="both"/>
            </w:pPr>
            <w:r>
              <w:t>Likumprojektā</w:t>
            </w:r>
            <w:r w:rsidR="00204DA0" w:rsidRPr="00D47402">
              <w:t xml:space="preserve"> noteikto plānots īstenot esošā </w:t>
            </w:r>
            <w:r w:rsidR="00CB723B" w:rsidRPr="00D47402">
              <w:t xml:space="preserve">valsts </w:t>
            </w:r>
            <w:r w:rsidR="00204DA0" w:rsidRPr="00D47402">
              <w:t xml:space="preserve">budžeta ietvaros. </w:t>
            </w:r>
            <w:r w:rsidR="009519A0" w:rsidRPr="00D47402">
              <w:t xml:space="preserve">Atbilstoši likumam „Par valsts budžetu 2015.gadam”, likumam „Par vidēja termiņa budžeta ietvaru 2015., 2016. un 2017.gadam” un likumprojektam “Par vidēja termiņa budžeta ietvaru 2016., 2017. un 2018.gadam” budžeta programmas 05.00.00 „Zinātne” apakšprogrammā 05.02.00 „Zinātnes bāzes finansējums” paredzētais zinātniskās darbības bāzes finansējums 2015.gadā ir 22 865 593 </w:t>
            </w:r>
            <w:r w:rsidR="009519A0" w:rsidRPr="00D47402">
              <w:rPr>
                <w:i/>
              </w:rPr>
              <w:t>euro</w:t>
            </w:r>
            <w:r w:rsidR="009519A0" w:rsidRPr="00D47402">
              <w:t xml:space="preserve">, 2016.gadā  – 27 142 728 </w:t>
            </w:r>
            <w:r w:rsidR="009519A0" w:rsidRPr="00D47402">
              <w:rPr>
                <w:i/>
              </w:rPr>
              <w:t>euro</w:t>
            </w:r>
            <w:r w:rsidR="009519A0" w:rsidRPr="00D47402">
              <w:t xml:space="preserve">, 2017.gadā – 27 109 911 </w:t>
            </w:r>
            <w:r w:rsidR="009519A0" w:rsidRPr="00D47402">
              <w:rPr>
                <w:i/>
              </w:rPr>
              <w:t>euro</w:t>
            </w:r>
            <w:r w:rsidR="009519A0" w:rsidRPr="00D47402">
              <w:t xml:space="preserve"> un 2018.gadā – </w:t>
            </w:r>
            <w:r w:rsidR="009519A0" w:rsidRPr="00D47402">
              <w:rPr>
                <w:color w:val="000000"/>
              </w:rPr>
              <w:t xml:space="preserve">27 109 911 </w:t>
            </w:r>
            <w:r w:rsidR="009519A0" w:rsidRPr="00D47402">
              <w:rPr>
                <w:i/>
                <w:color w:val="000000"/>
              </w:rPr>
              <w:t>euro.</w:t>
            </w:r>
            <w:r w:rsidR="009519A0" w:rsidRPr="00D47402">
              <w:t xml:space="preserve"> </w:t>
            </w:r>
            <w:r w:rsidR="00286C54" w:rsidRPr="00D47402">
              <w:rPr>
                <w:color w:val="000000"/>
              </w:rPr>
              <w:t xml:space="preserve"> </w:t>
            </w:r>
          </w:p>
        </w:tc>
      </w:tr>
      <w:tr w:rsidR="00990058" w:rsidRPr="00D47402" w14:paraId="3656C79E"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3D47C924" w14:textId="1D4F778F" w:rsidR="00990058" w:rsidRPr="00D47402" w:rsidRDefault="00990058" w:rsidP="00990058">
            <w:r w:rsidRPr="00D47402">
              <w:t>6.1. detalizēts ieņēmumu aprēķins</w:t>
            </w:r>
          </w:p>
        </w:tc>
        <w:tc>
          <w:tcPr>
            <w:tcW w:w="3537" w:type="pct"/>
            <w:gridSpan w:val="5"/>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5FC2CFE" w14:textId="77777777" w:rsidR="00990058" w:rsidRPr="00D47402" w:rsidRDefault="00990058" w:rsidP="00990058"/>
        </w:tc>
      </w:tr>
      <w:tr w:rsidR="00990058" w:rsidRPr="00D47402" w14:paraId="1139DFA5" w14:textId="77777777" w:rsidTr="00990058">
        <w:tc>
          <w:tcPr>
            <w:tcW w:w="1463" w:type="pct"/>
            <w:tcBorders>
              <w:top w:val="outset" w:sz="6" w:space="0" w:color="414142"/>
              <w:left w:val="outset" w:sz="6" w:space="0" w:color="414142"/>
              <w:bottom w:val="outset" w:sz="6" w:space="0" w:color="414142"/>
              <w:right w:val="outset" w:sz="6" w:space="0" w:color="414142"/>
            </w:tcBorders>
            <w:hideMark/>
          </w:tcPr>
          <w:p w14:paraId="3A34CCD8" w14:textId="77777777" w:rsidR="00990058" w:rsidRPr="00D47402" w:rsidRDefault="00990058" w:rsidP="00990058">
            <w:r w:rsidRPr="00D47402">
              <w:t>6.2. detalizēts izdevumu aprēķins</w:t>
            </w:r>
          </w:p>
        </w:tc>
        <w:tc>
          <w:tcPr>
            <w:tcW w:w="3537" w:type="pct"/>
            <w:gridSpan w:val="5"/>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6A34925" w14:textId="77777777" w:rsidR="00990058" w:rsidRPr="00D47402" w:rsidRDefault="00990058" w:rsidP="00990058"/>
        </w:tc>
      </w:tr>
      <w:tr w:rsidR="00990058" w:rsidRPr="00D47402" w14:paraId="105A924B" w14:textId="77777777" w:rsidTr="00990058">
        <w:trPr>
          <w:trHeight w:val="559"/>
        </w:trPr>
        <w:tc>
          <w:tcPr>
            <w:tcW w:w="1463" w:type="pct"/>
            <w:tcBorders>
              <w:top w:val="outset" w:sz="6" w:space="0" w:color="414142"/>
              <w:left w:val="outset" w:sz="6" w:space="0" w:color="414142"/>
              <w:bottom w:val="outset" w:sz="6" w:space="0" w:color="414142"/>
              <w:right w:val="outset" w:sz="6" w:space="0" w:color="414142"/>
            </w:tcBorders>
            <w:hideMark/>
          </w:tcPr>
          <w:p w14:paraId="74457031" w14:textId="77777777" w:rsidR="00990058" w:rsidRPr="00D47402" w:rsidRDefault="00990058" w:rsidP="00990058">
            <w:r w:rsidRPr="00D47402">
              <w:t>7. Cita informācija</w:t>
            </w:r>
          </w:p>
        </w:tc>
        <w:tc>
          <w:tcPr>
            <w:tcW w:w="3537" w:type="pct"/>
            <w:gridSpan w:val="5"/>
            <w:tcBorders>
              <w:top w:val="outset" w:sz="6" w:space="0" w:color="414142"/>
              <w:left w:val="outset" w:sz="6" w:space="0" w:color="414142"/>
              <w:bottom w:val="outset" w:sz="6" w:space="0" w:color="414142"/>
              <w:right w:val="outset" w:sz="6" w:space="0" w:color="414142"/>
            </w:tcBorders>
            <w:hideMark/>
          </w:tcPr>
          <w:p w14:paraId="26EDEAEF" w14:textId="525F6381" w:rsidR="00990058" w:rsidRPr="00D47402" w:rsidRDefault="00986BE1" w:rsidP="00990058">
            <w:pPr>
              <w:jc w:val="both"/>
            </w:pPr>
            <w:r w:rsidRPr="00D47402">
              <w:t>Nav.</w:t>
            </w:r>
          </w:p>
        </w:tc>
      </w:tr>
    </w:tbl>
    <w:p w14:paraId="2DB32DC5" w14:textId="77777777" w:rsidR="004D30B4" w:rsidRPr="00D47402" w:rsidRDefault="004D30B4" w:rsidP="00AA2BB5">
      <w:pPr>
        <w:shd w:val="clear" w:color="auto" w:fill="FFFFFF"/>
        <w:ind w:firstLine="301"/>
      </w:pPr>
      <w:r w:rsidRPr="00D47402">
        <w:t> </w:t>
      </w:r>
    </w:p>
    <w:tbl>
      <w:tblPr>
        <w:tblW w:w="5323"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0"/>
        <w:gridCol w:w="2628"/>
        <w:gridCol w:w="6272"/>
      </w:tblGrid>
      <w:tr w:rsidR="00132EE0" w:rsidRPr="00D47402" w14:paraId="48E8CE3F" w14:textId="77777777" w:rsidTr="0055130A">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78EAA" w14:textId="77777777" w:rsidR="00B95F70" w:rsidRPr="00D47402" w:rsidRDefault="00B95F70" w:rsidP="00B95F70">
            <w:pPr>
              <w:spacing w:before="100" w:beforeAutospacing="1" w:after="100" w:afterAutospacing="1" w:line="315" w:lineRule="atLeast"/>
              <w:jc w:val="center"/>
              <w:rPr>
                <w:b/>
                <w:bCs/>
              </w:rPr>
            </w:pPr>
            <w:r w:rsidRPr="00D47402">
              <w:rPr>
                <w:b/>
                <w:bCs/>
              </w:rPr>
              <w:t>IV. Tiesību akta projekta ietekme uz spēkā esošo tiesību normu sistēmu</w:t>
            </w:r>
          </w:p>
        </w:tc>
      </w:tr>
      <w:tr w:rsidR="00132EE0" w:rsidRPr="00D47402" w14:paraId="4DB92ECC" w14:textId="77777777" w:rsidTr="0055130A">
        <w:tc>
          <w:tcPr>
            <w:tcW w:w="384" w:type="pct"/>
            <w:tcBorders>
              <w:top w:val="outset" w:sz="6" w:space="0" w:color="414142"/>
              <w:left w:val="outset" w:sz="6" w:space="0" w:color="414142"/>
              <w:bottom w:val="outset" w:sz="6" w:space="0" w:color="414142"/>
              <w:right w:val="outset" w:sz="6" w:space="0" w:color="414142"/>
            </w:tcBorders>
            <w:shd w:val="clear" w:color="auto" w:fill="FFFFFF"/>
            <w:hideMark/>
          </w:tcPr>
          <w:p w14:paraId="263D3376" w14:textId="77777777" w:rsidR="00B95F70" w:rsidRPr="00D47402" w:rsidRDefault="00B95F70" w:rsidP="00B95F70">
            <w:r w:rsidRPr="00D47402">
              <w:t>1.</w:t>
            </w:r>
          </w:p>
        </w:tc>
        <w:tc>
          <w:tcPr>
            <w:tcW w:w="1363" w:type="pct"/>
            <w:tcBorders>
              <w:top w:val="outset" w:sz="6" w:space="0" w:color="414142"/>
              <w:left w:val="outset" w:sz="6" w:space="0" w:color="414142"/>
              <w:bottom w:val="outset" w:sz="6" w:space="0" w:color="414142"/>
              <w:right w:val="outset" w:sz="6" w:space="0" w:color="414142"/>
            </w:tcBorders>
            <w:shd w:val="clear" w:color="auto" w:fill="FFFFFF"/>
            <w:hideMark/>
          </w:tcPr>
          <w:p w14:paraId="14EBF0EA" w14:textId="77777777" w:rsidR="00B95F70" w:rsidRPr="00D47402" w:rsidRDefault="00B95F70" w:rsidP="00B95F70">
            <w:r w:rsidRPr="00D47402">
              <w:t>Nepieciešamie saistītie tiesību aktu projekti</w:t>
            </w:r>
          </w:p>
        </w:tc>
        <w:tc>
          <w:tcPr>
            <w:tcW w:w="3253" w:type="pct"/>
            <w:tcBorders>
              <w:top w:val="outset" w:sz="6" w:space="0" w:color="414142"/>
              <w:left w:val="outset" w:sz="6" w:space="0" w:color="414142"/>
              <w:bottom w:val="outset" w:sz="6" w:space="0" w:color="414142"/>
              <w:right w:val="outset" w:sz="6" w:space="0" w:color="414142"/>
            </w:tcBorders>
            <w:shd w:val="clear" w:color="auto" w:fill="FFFFFF"/>
            <w:hideMark/>
          </w:tcPr>
          <w:p w14:paraId="40C481ED" w14:textId="0C629A94" w:rsidR="00E972E6" w:rsidRPr="00D47402" w:rsidRDefault="00E972E6" w:rsidP="00CB723B">
            <w:pPr>
              <w:jc w:val="both"/>
              <w:rPr>
                <w:bCs/>
              </w:rPr>
            </w:pPr>
            <w:r w:rsidRPr="00D47402">
              <w:rPr>
                <w:bCs/>
              </w:rPr>
              <w:t xml:space="preserve">Ministru kabineta noteikumi par Latvijas zinātnes nozaru un apakšnozaru </w:t>
            </w:r>
            <w:r w:rsidR="00CB723B" w:rsidRPr="00D47402">
              <w:rPr>
                <w:bCs/>
              </w:rPr>
              <w:t>sarakstu</w:t>
            </w:r>
            <w:r w:rsidRPr="00D47402">
              <w:rPr>
                <w:bCs/>
              </w:rPr>
              <w:t>.</w:t>
            </w:r>
          </w:p>
        </w:tc>
      </w:tr>
      <w:tr w:rsidR="00132EE0" w:rsidRPr="00D47402" w14:paraId="3F7BB302" w14:textId="77777777" w:rsidTr="0055130A">
        <w:tc>
          <w:tcPr>
            <w:tcW w:w="384" w:type="pct"/>
            <w:tcBorders>
              <w:top w:val="outset" w:sz="6" w:space="0" w:color="414142"/>
              <w:left w:val="outset" w:sz="6" w:space="0" w:color="414142"/>
              <w:bottom w:val="outset" w:sz="6" w:space="0" w:color="414142"/>
              <w:right w:val="outset" w:sz="6" w:space="0" w:color="414142"/>
            </w:tcBorders>
            <w:shd w:val="clear" w:color="auto" w:fill="FFFFFF"/>
            <w:hideMark/>
          </w:tcPr>
          <w:p w14:paraId="54452FCF" w14:textId="48E728E7" w:rsidR="00B95F70" w:rsidRPr="00D47402" w:rsidRDefault="00B95F70" w:rsidP="00B95F70">
            <w:r w:rsidRPr="00D47402">
              <w:t>2.</w:t>
            </w:r>
          </w:p>
        </w:tc>
        <w:tc>
          <w:tcPr>
            <w:tcW w:w="1363" w:type="pct"/>
            <w:tcBorders>
              <w:top w:val="outset" w:sz="6" w:space="0" w:color="414142"/>
              <w:left w:val="outset" w:sz="6" w:space="0" w:color="414142"/>
              <w:bottom w:val="outset" w:sz="6" w:space="0" w:color="414142"/>
              <w:right w:val="outset" w:sz="6" w:space="0" w:color="414142"/>
            </w:tcBorders>
            <w:shd w:val="clear" w:color="auto" w:fill="FFFFFF"/>
            <w:hideMark/>
          </w:tcPr>
          <w:p w14:paraId="7D480105" w14:textId="77777777" w:rsidR="00B95F70" w:rsidRPr="00D47402" w:rsidRDefault="00B95F70" w:rsidP="00B95F70">
            <w:r w:rsidRPr="00D47402">
              <w:t>Atbildīgā institūcija</w:t>
            </w:r>
          </w:p>
        </w:tc>
        <w:tc>
          <w:tcPr>
            <w:tcW w:w="3253" w:type="pct"/>
            <w:tcBorders>
              <w:top w:val="outset" w:sz="6" w:space="0" w:color="414142"/>
              <w:left w:val="outset" w:sz="6" w:space="0" w:color="414142"/>
              <w:bottom w:val="outset" w:sz="6" w:space="0" w:color="414142"/>
              <w:right w:val="outset" w:sz="6" w:space="0" w:color="414142"/>
            </w:tcBorders>
            <w:shd w:val="clear" w:color="auto" w:fill="FFFFFF"/>
            <w:hideMark/>
          </w:tcPr>
          <w:p w14:paraId="4E5C2170" w14:textId="12F8D70D" w:rsidR="00B95F70" w:rsidRPr="00D47402" w:rsidRDefault="001E4CCB" w:rsidP="001E4CCB">
            <w:pPr>
              <w:jc w:val="both"/>
            </w:pPr>
            <w:r w:rsidRPr="00D47402">
              <w:t>Izglītības un zinātnes ministrija</w:t>
            </w:r>
            <w:r w:rsidR="000C5539" w:rsidRPr="00D47402">
              <w:t xml:space="preserve"> </w:t>
            </w:r>
            <w:r w:rsidR="001F0737" w:rsidRPr="00D47402">
              <w:t xml:space="preserve"> </w:t>
            </w:r>
          </w:p>
        </w:tc>
      </w:tr>
      <w:tr w:rsidR="00132EE0" w:rsidRPr="00D47402" w14:paraId="492B98DA" w14:textId="77777777" w:rsidTr="0055130A">
        <w:tc>
          <w:tcPr>
            <w:tcW w:w="384" w:type="pct"/>
            <w:tcBorders>
              <w:top w:val="outset" w:sz="6" w:space="0" w:color="414142"/>
              <w:left w:val="outset" w:sz="6" w:space="0" w:color="414142"/>
              <w:bottom w:val="outset" w:sz="6" w:space="0" w:color="414142"/>
              <w:right w:val="outset" w:sz="6" w:space="0" w:color="414142"/>
            </w:tcBorders>
            <w:shd w:val="clear" w:color="auto" w:fill="FFFFFF"/>
            <w:hideMark/>
          </w:tcPr>
          <w:p w14:paraId="078F2E18" w14:textId="77777777" w:rsidR="00B95F70" w:rsidRPr="00D47402" w:rsidRDefault="00B95F70" w:rsidP="00B95F70">
            <w:r w:rsidRPr="00D47402">
              <w:t>3.</w:t>
            </w:r>
          </w:p>
        </w:tc>
        <w:tc>
          <w:tcPr>
            <w:tcW w:w="1363" w:type="pct"/>
            <w:tcBorders>
              <w:top w:val="outset" w:sz="6" w:space="0" w:color="414142"/>
              <w:left w:val="outset" w:sz="6" w:space="0" w:color="414142"/>
              <w:bottom w:val="outset" w:sz="6" w:space="0" w:color="414142"/>
              <w:right w:val="outset" w:sz="6" w:space="0" w:color="414142"/>
            </w:tcBorders>
            <w:shd w:val="clear" w:color="auto" w:fill="FFFFFF"/>
            <w:hideMark/>
          </w:tcPr>
          <w:p w14:paraId="1AE80472" w14:textId="77777777" w:rsidR="00B95F70" w:rsidRPr="00D47402" w:rsidRDefault="00B95F70" w:rsidP="00B95F70">
            <w:r w:rsidRPr="00D47402">
              <w:t>Cita informācija</w:t>
            </w:r>
          </w:p>
        </w:tc>
        <w:tc>
          <w:tcPr>
            <w:tcW w:w="3253" w:type="pct"/>
            <w:tcBorders>
              <w:top w:val="outset" w:sz="6" w:space="0" w:color="414142"/>
              <w:left w:val="outset" w:sz="6" w:space="0" w:color="414142"/>
              <w:bottom w:val="outset" w:sz="6" w:space="0" w:color="414142"/>
              <w:right w:val="outset" w:sz="6" w:space="0" w:color="414142"/>
            </w:tcBorders>
            <w:shd w:val="clear" w:color="auto" w:fill="FFFFFF"/>
            <w:hideMark/>
          </w:tcPr>
          <w:p w14:paraId="51FF45F5" w14:textId="77777777" w:rsidR="00B95F70" w:rsidRPr="00D47402" w:rsidRDefault="00B95F70" w:rsidP="00B95F70">
            <w:pPr>
              <w:spacing w:before="100" w:beforeAutospacing="1" w:after="100" w:afterAutospacing="1" w:line="315" w:lineRule="atLeast"/>
            </w:pPr>
            <w:r w:rsidRPr="00D47402">
              <w:t>Nav</w:t>
            </w:r>
            <w:r w:rsidR="000C5539" w:rsidRPr="00D47402">
              <w:t>.</w:t>
            </w:r>
          </w:p>
        </w:tc>
      </w:tr>
    </w:tbl>
    <w:p w14:paraId="2893BCA9" w14:textId="77777777" w:rsidR="00B95F70" w:rsidRPr="00D47402" w:rsidRDefault="00B95F70" w:rsidP="001C1BBD">
      <w:pPr>
        <w:pStyle w:val="naisf"/>
        <w:spacing w:before="0" w:after="0"/>
      </w:pPr>
    </w:p>
    <w:tbl>
      <w:tblPr>
        <w:tblW w:w="9558" w:type="dxa"/>
        <w:jc w:val="center"/>
        <w:tblBorders>
          <w:top w:val="outset" w:sz="6" w:space="0" w:color="414142"/>
          <w:left w:val="outset" w:sz="6" w:space="0" w:color="414142"/>
          <w:bottom w:val="outset" w:sz="6" w:space="0" w:color="414142"/>
          <w:right w:val="outset" w:sz="6" w:space="0" w:color="414142"/>
        </w:tblBorders>
        <w:tblCellMar>
          <w:left w:w="57" w:type="dxa"/>
          <w:right w:w="57" w:type="dxa"/>
        </w:tblCellMar>
        <w:tblLook w:val="04A0" w:firstRow="1" w:lastRow="0" w:firstColumn="1" w:lastColumn="0" w:noHBand="0" w:noVBand="1"/>
      </w:tblPr>
      <w:tblGrid>
        <w:gridCol w:w="9558"/>
      </w:tblGrid>
      <w:tr w:rsidR="00132EE0" w:rsidRPr="00D47402" w14:paraId="53BA8C7C" w14:textId="77777777" w:rsidTr="0055130A">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6B97497" w14:textId="77777777" w:rsidR="009A617C" w:rsidRPr="00D47402" w:rsidRDefault="009A617C" w:rsidP="003F2E71">
            <w:pPr>
              <w:jc w:val="center"/>
              <w:rPr>
                <w:b/>
                <w:bCs/>
              </w:rPr>
            </w:pPr>
            <w:r w:rsidRPr="00D47402">
              <w:rPr>
                <w:b/>
                <w:bCs/>
              </w:rPr>
              <w:t>V. Tiesību akta projekta atbilstība Latvijas Republikas starptautiskajām saistībām</w:t>
            </w:r>
          </w:p>
        </w:tc>
      </w:tr>
      <w:tr w:rsidR="00132EE0" w:rsidRPr="00D47402" w14:paraId="0E7C0D34" w14:textId="77777777" w:rsidTr="0055130A">
        <w:trPr>
          <w:trHeight w:val="544"/>
          <w:jc w:val="center"/>
        </w:trPr>
        <w:tc>
          <w:tcPr>
            <w:tcW w:w="5000" w:type="pct"/>
            <w:tcBorders>
              <w:top w:val="outset" w:sz="6" w:space="0" w:color="414142"/>
              <w:left w:val="outset" w:sz="6" w:space="0" w:color="414142"/>
              <w:bottom w:val="outset" w:sz="6" w:space="0" w:color="414142"/>
              <w:right w:val="outset" w:sz="6" w:space="0" w:color="414142"/>
            </w:tcBorders>
            <w:hideMark/>
          </w:tcPr>
          <w:p w14:paraId="36AC63C3" w14:textId="77777777" w:rsidR="009368AF" w:rsidRPr="00D47402" w:rsidRDefault="009368AF" w:rsidP="009368AF">
            <w:pPr>
              <w:jc w:val="center"/>
            </w:pPr>
            <w:r w:rsidRPr="00D47402">
              <w:t>Likumprojekts šo jomu neskar</w:t>
            </w:r>
          </w:p>
        </w:tc>
      </w:tr>
    </w:tbl>
    <w:p w14:paraId="481343CE" w14:textId="77777777" w:rsidR="009368AF" w:rsidRPr="00D47402" w:rsidRDefault="009368AF" w:rsidP="009A617C">
      <w:pPr>
        <w:ind w:firstLine="301"/>
      </w:pPr>
    </w:p>
    <w:tbl>
      <w:tblPr>
        <w:tblW w:w="5269" w:type="pct"/>
        <w:tblInd w:w="-19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2"/>
      </w:tblGrid>
      <w:tr w:rsidR="00132EE0" w:rsidRPr="00D47402" w14:paraId="43961587" w14:textId="77777777" w:rsidTr="00BB626C">
        <w:tc>
          <w:tcPr>
            <w:tcW w:w="5000" w:type="pct"/>
            <w:tcBorders>
              <w:top w:val="outset" w:sz="6" w:space="0" w:color="auto"/>
              <w:left w:val="outset" w:sz="6" w:space="0" w:color="auto"/>
              <w:bottom w:val="outset" w:sz="6" w:space="0" w:color="auto"/>
              <w:right w:val="outset" w:sz="6" w:space="0" w:color="auto"/>
            </w:tcBorders>
            <w:hideMark/>
          </w:tcPr>
          <w:p w14:paraId="261D0D5B" w14:textId="77777777" w:rsidR="009A617C" w:rsidRPr="00D47402" w:rsidRDefault="009A617C" w:rsidP="003361D5">
            <w:pPr>
              <w:spacing w:before="100" w:beforeAutospacing="1" w:after="100" w:afterAutospacing="1"/>
              <w:jc w:val="center"/>
            </w:pPr>
            <w:r w:rsidRPr="00D47402">
              <w:rPr>
                <w:b/>
                <w:bCs/>
              </w:rPr>
              <w:t xml:space="preserve">VI. Sabiedrības līdzdalība un </w:t>
            </w:r>
            <w:r w:rsidR="003361D5" w:rsidRPr="00D47402">
              <w:rPr>
                <w:b/>
                <w:bCs/>
              </w:rPr>
              <w:t>komunikācijas aktivitātes</w:t>
            </w:r>
          </w:p>
        </w:tc>
      </w:tr>
      <w:tr w:rsidR="00132EE0" w:rsidRPr="00D47402" w14:paraId="6A56FBB1" w14:textId="77777777" w:rsidTr="00BB626C">
        <w:tblPrEx>
          <w:jc w:val="center"/>
          <w:tblInd w:w="0" w:type="dxa"/>
          <w:tblBorders>
            <w:top w:val="outset" w:sz="6" w:space="0" w:color="414142"/>
            <w:left w:val="outset" w:sz="6" w:space="0" w:color="414142"/>
            <w:bottom w:val="outset" w:sz="6" w:space="0" w:color="414142"/>
            <w:right w:val="outset" w:sz="6" w:space="0" w:color="414142"/>
          </w:tblBorders>
          <w:tblCellMar>
            <w:top w:w="0" w:type="dxa"/>
            <w:left w:w="57" w:type="dxa"/>
            <w:bottom w:w="0" w:type="dxa"/>
            <w:right w:w="57" w:type="dxa"/>
          </w:tblCellMar>
        </w:tblPrEx>
        <w:trPr>
          <w:trHeight w:val="544"/>
          <w:jc w:val="center"/>
        </w:trPr>
        <w:tc>
          <w:tcPr>
            <w:tcW w:w="5000" w:type="pct"/>
            <w:tcBorders>
              <w:top w:val="outset" w:sz="6" w:space="0" w:color="414142"/>
              <w:left w:val="outset" w:sz="6" w:space="0" w:color="414142"/>
              <w:bottom w:val="outset" w:sz="6" w:space="0" w:color="414142"/>
              <w:right w:val="outset" w:sz="6" w:space="0" w:color="414142"/>
            </w:tcBorders>
            <w:hideMark/>
          </w:tcPr>
          <w:p w14:paraId="6FC4C218" w14:textId="3C0AA285" w:rsidR="000C5539" w:rsidRPr="00D47402" w:rsidRDefault="007112CD" w:rsidP="007112CD">
            <w:pPr>
              <w:jc w:val="both"/>
            </w:pPr>
            <w:r w:rsidRPr="00D47402">
              <w:t>Sagatavotais l</w:t>
            </w:r>
            <w:r w:rsidR="003B3651" w:rsidRPr="00D47402">
              <w:t>ikumprojekts</w:t>
            </w:r>
            <w:r w:rsidRPr="00D47402">
              <w:t xml:space="preserve"> nosūtīts </w:t>
            </w:r>
            <w:r w:rsidR="00B40156" w:rsidRPr="00D47402">
              <w:t xml:space="preserve">Rektoru padomei, Augstākās izglītības padomei, Latvijas Zinātnes padomei, </w:t>
            </w:r>
            <w:r w:rsidR="003B3651" w:rsidRPr="00D47402">
              <w:t>Valsts zinātnisko institūtu asociācij</w:t>
            </w:r>
            <w:r w:rsidRPr="00D47402">
              <w:t>ai.</w:t>
            </w:r>
            <w:r w:rsidR="0010756A" w:rsidRPr="00D47402">
              <w:t xml:space="preserve"> </w:t>
            </w:r>
          </w:p>
        </w:tc>
      </w:tr>
    </w:tbl>
    <w:p w14:paraId="2602A193" w14:textId="77777777" w:rsidR="009A617C" w:rsidRPr="00D47402" w:rsidRDefault="009A617C" w:rsidP="00BB626C"/>
    <w:p w14:paraId="7583AD86" w14:textId="77777777" w:rsidR="00F01539" w:rsidRPr="00D47402" w:rsidRDefault="00F01539" w:rsidP="009A617C">
      <w:pPr>
        <w:jc w:val="center"/>
      </w:pPr>
    </w:p>
    <w:tbl>
      <w:tblPr>
        <w:tblW w:w="5302"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3"/>
        <w:gridCol w:w="3441"/>
        <w:gridCol w:w="5458"/>
      </w:tblGrid>
      <w:tr w:rsidR="00132EE0" w:rsidRPr="00D47402" w14:paraId="090A453F" w14:textId="77777777" w:rsidTr="0055130A">
        <w:trPr>
          <w:trHeight w:val="37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FD49EF" w14:textId="77777777" w:rsidR="00F63597" w:rsidRPr="00D47402" w:rsidRDefault="00F63597" w:rsidP="00F63597">
            <w:pPr>
              <w:spacing w:before="100" w:beforeAutospacing="1" w:after="100" w:afterAutospacing="1" w:line="315" w:lineRule="atLeast"/>
              <w:jc w:val="center"/>
              <w:rPr>
                <w:b/>
                <w:bCs/>
              </w:rPr>
            </w:pPr>
            <w:r w:rsidRPr="00D47402">
              <w:rPr>
                <w:b/>
                <w:bCs/>
              </w:rPr>
              <w:t>VII. Tiesību akta projekta izpildes nodrošināšana un tās ietekme uz institūcijām</w:t>
            </w:r>
          </w:p>
        </w:tc>
      </w:tr>
      <w:tr w:rsidR="00132EE0" w:rsidRPr="00D47402" w14:paraId="4A04E8C2" w14:textId="77777777" w:rsidTr="0055130A">
        <w:trPr>
          <w:trHeight w:val="420"/>
        </w:trPr>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14:paraId="6A0F392E" w14:textId="77777777" w:rsidR="00F63597" w:rsidRPr="00D47402" w:rsidRDefault="00F63597" w:rsidP="00F63597">
            <w:r w:rsidRPr="00D47402">
              <w:t>1.</w:t>
            </w:r>
          </w:p>
        </w:tc>
        <w:tc>
          <w:tcPr>
            <w:tcW w:w="1792" w:type="pct"/>
            <w:tcBorders>
              <w:top w:val="outset" w:sz="6" w:space="0" w:color="414142"/>
              <w:left w:val="outset" w:sz="6" w:space="0" w:color="414142"/>
              <w:bottom w:val="outset" w:sz="6" w:space="0" w:color="414142"/>
              <w:right w:val="outset" w:sz="6" w:space="0" w:color="414142"/>
            </w:tcBorders>
            <w:shd w:val="clear" w:color="auto" w:fill="FFFFFF"/>
            <w:hideMark/>
          </w:tcPr>
          <w:p w14:paraId="65119BDC" w14:textId="77777777" w:rsidR="00F63597" w:rsidRPr="00D47402" w:rsidRDefault="00F63597" w:rsidP="00F63597">
            <w:r w:rsidRPr="00D47402">
              <w:t>Projekta izpildē iesaistītās institūcijas</w:t>
            </w:r>
          </w:p>
        </w:tc>
        <w:tc>
          <w:tcPr>
            <w:tcW w:w="2842" w:type="pct"/>
            <w:tcBorders>
              <w:top w:val="outset" w:sz="6" w:space="0" w:color="414142"/>
              <w:left w:val="outset" w:sz="6" w:space="0" w:color="414142"/>
              <w:bottom w:val="outset" w:sz="6" w:space="0" w:color="414142"/>
              <w:right w:val="outset" w:sz="6" w:space="0" w:color="414142"/>
            </w:tcBorders>
            <w:shd w:val="clear" w:color="auto" w:fill="FFFFFF"/>
            <w:hideMark/>
          </w:tcPr>
          <w:p w14:paraId="6F953451" w14:textId="77777777" w:rsidR="00F63597" w:rsidRPr="00D47402" w:rsidRDefault="00F63597" w:rsidP="00F63597">
            <w:r w:rsidRPr="00D47402">
              <w:t>Izglītības un zinātnes ministrija</w:t>
            </w:r>
          </w:p>
        </w:tc>
      </w:tr>
      <w:tr w:rsidR="00132EE0" w:rsidRPr="00D47402" w14:paraId="28196AF9" w14:textId="77777777" w:rsidTr="0055130A">
        <w:trPr>
          <w:trHeight w:val="450"/>
        </w:trPr>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14:paraId="39623285" w14:textId="77777777" w:rsidR="00F63597" w:rsidRPr="00D47402" w:rsidRDefault="00F63597" w:rsidP="00F63597">
            <w:r w:rsidRPr="00D47402">
              <w:t>2.</w:t>
            </w:r>
          </w:p>
        </w:tc>
        <w:tc>
          <w:tcPr>
            <w:tcW w:w="1792" w:type="pct"/>
            <w:tcBorders>
              <w:top w:val="outset" w:sz="6" w:space="0" w:color="414142"/>
              <w:left w:val="outset" w:sz="6" w:space="0" w:color="414142"/>
              <w:bottom w:val="outset" w:sz="6" w:space="0" w:color="414142"/>
              <w:right w:val="outset" w:sz="6" w:space="0" w:color="414142"/>
            </w:tcBorders>
            <w:shd w:val="clear" w:color="auto" w:fill="FFFFFF"/>
            <w:hideMark/>
          </w:tcPr>
          <w:p w14:paraId="0738DC35" w14:textId="77777777" w:rsidR="00F63597" w:rsidRPr="00D47402" w:rsidRDefault="00F63597" w:rsidP="00F63597">
            <w:r w:rsidRPr="00D47402">
              <w:t>Projekta izpildes ietekme uz pārvaldes funkcijām un institucionālo struktūru.</w:t>
            </w:r>
          </w:p>
          <w:p w14:paraId="2B648019" w14:textId="77777777" w:rsidR="00F63597" w:rsidRPr="00D47402" w:rsidRDefault="00F63597" w:rsidP="00F63597">
            <w:pPr>
              <w:spacing w:before="100" w:beforeAutospacing="1" w:after="100" w:afterAutospacing="1" w:line="315" w:lineRule="atLeast"/>
            </w:pPr>
            <w:r w:rsidRPr="00D47402">
              <w:t>Jaunu institūciju izveide, esošu institūciju likvidācija vai reorganizācija, to ietekme uz institūcijas cilvēkresursiem</w:t>
            </w:r>
          </w:p>
        </w:tc>
        <w:tc>
          <w:tcPr>
            <w:tcW w:w="2842" w:type="pct"/>
            <w:tcBorders>
              <w:top w:val="outset" w:sz="6" w:space="0" w:color="414142"/>
              <w:left w:val="outset" w:sz="6" w:space="0" w:color="414142"/>
              <w:bottom w:val="outset" w:sz="6" w:space="0" w:color="414142"/>
              <w:right w:val="outset" w:sz="6" w:space="0" w:color="414142"/>
            </w:tcBorders>
            <w:shd w:val="clear" w:color="auto" w:fill="FFFFFF"/>
            <w:hideMark/>
          </w:tcPr>
          <w:p w14:paraId="49930451" w14:textId="4CE0FDFC" w:rsidR="00F63597" w:rsidRPr="00D47402" w:rsidRDefault="00BB626C" w:rsidP="00BB626C">
            <w:pPr>
              <w:jc w:val="both"/>
            </w:pPr>
            <w:r>
              <w:t>Projekts šo jomu neskar.</w:t>
            </w:r>
          </w:p>
        </w:tc>
      </w:tr>
      <w:tr w:rsidR="00132EE0" w:rsidRPr="00D47402" w14:paraId="17685817" w14:textId="77777777" w:rsidTr="0055130A">
        <w:trPr>
          <w:trHeight w:val="390"/>
        </w:trPr>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14:paraId="72299A3C" w14:textId="77777777" w:rsidR="00F63597" w:rsidRPr="00D47402" w:rsidRDefault="00F63597" w:rsidP="00F63597">
            <w:r w:rsidRPr="00D47402">
              <w:t>3.</w:t>
            </w:r>
          </w:p>
        </w:tc>
        <w:tc>
          <w:tcPr>
            <w:tcW w:w="1792" w:type="pct"/>
            <w:tcBorders>
              <w:top w:val="outset" w:sz="6" w:space="0" w:color="414142"/>
              <w:left w:val="outset" w:sz="6" w:space="0" w:color="414142"/>
              <w:bottom w:val="outset" w:sz="6" w:space="0" w:color="414142"/>
              <w:right w:val="outset" w:sz="6" w:space="0" w:color="414142"/>
            </w:tcBorders>
            <w:shd w:val="clear" w:color="auto" w:fill="FFFFFF"/>
            <w:hideMark/>
          </w:tcPr>
          <w:p w14:paraId="410EF073" w14:textId="77777777" w:rsidR="00F63597" w:rsidRPr="00D47402" w:rsidRDefault="00F63597" w:rsidP="00F63597">
            <w:r w:rsidRPr="00D47402">
              <w:t>Cita informācija</w:t>
            </w:r>
          </w:p>
        </w:tc>
        <w:tc>
          <w:tcPr>
            <w:tcW w:w="2842" w:type="pct"/>
            <w:tcBorders>
              <w:top w:val="outset" w:sz="6" w:space="0" w:color="414142"/>
              <w:left w:val="outset" w:sz="6" w:space="0" w:color="414142"/>
              <w:bottom w:val="outset" w:sz="6" w:space="0" w:color="414142"/>
              <w:right w:val="outset" w:sz="6" w:space="0" w:color="414142"/>
            </w:tcBorders>
            <w:shd w:val="clear" w:color="auto" w:fill="FFFFFF"/>
            <w:hideMark/>
          </w:tcPr>
          <w:p w14:paraId="752B40F8" w14:textId="77777777" w:rsidR="00F63597" w:rsidRPr="00D47402" w:rsidRDefault="00132EE0" w:rsidP="00F63597">
            <w:pPr>
              <w:spacing w:before="100" w:beforeAutospacing="1" w:after="100" w:afterAutospacing="1" w:line="315" w:lineRule="atLeast"/>
            </w:pPr>
            <w:r w:rsidRPr="00D47402">
              <w:t>Nav.</w:t>
            </w:r>
          </w:p>
        </w:tc>
      </w:tr>
    </w:tbl>
    <w:p w14:paraId="190836B6" w14:textId="77777777" w:rsidR="00F63597" w:rsidRPr="00D47402" w:rsidRDefault="00F63597" w:rsidP="006C4607">
      <w:pPr>
        <w:pStyle w:val="naisf"/>
        <w:tabs>
          <w:tab w:val="left" w:pos="5760"/>
        </w:tabs>
        <w:spacing w:before="0" w:after="0"/>
        <w:ind w:firstLine="720"/>
      </w:pPr>
    </w:p>
    <w:p w14:paraId="5453112B" w14:textId="77777777" w:rsidR="00D009E2" w:rsidRDefault="000156C0" w:rsidP="000156C0">
      <w:pPr>
        <w:spacing w:before="60" w:after="60"/>
        <w:ind w:firstLine="300"/>
        <w:jc w:val="both"/>
      </w:pPr>
      <w:r w:rsidRPr="00D47402">
        <w:t xml:space="preserve">     </w:t>
      </w:r>
    </w:p>
    <w:p w14:paraId="07136C84" w14:textId="77777777" w:rsidR="00D009E2" w:rsidRDefault="00D009E2" w:rsidP="000156C0">
      <w:pPr>
        <w:spacing w:before="60" w:after="60"/>
        <w:ind w:firstLine="300"/>
        <w:jc w:val="both"/>
      </w:pPr>
    </w:p>
    <w:p w14:paraId="39991EA6" w14:textId="77777777" w:rsidR="0021678D" w:rsidRPr="0021678D" w:rsidRDefault="0021678D" w:rsidP="0021678D">
      <w:pPr>
        <w:pStyle w:val="BodyTextIndent"/>
        <w:spacing w:after="0"/>
        <w:ind w:firstLine="437"/>
        <w:jc w:val="both"/>
        <w:rPr>
          <w:bCs/>
        </w:rPr>
      </w:pPr>
    </w:p>
    <w:p w14:paraId="42398B50" w14:textId="77777777" w:rsidR="0021678D" w:rsidRPr="0021678D" w:rsidRDefault="0021678D" w:rsidP="0021678D">
      <w:pPr>
        <w:pStyle w:val="BodyTextIndent"/>
        <w:spacing w:after="0"/>
        <w:ind w:firstLine="437"/>
        <w:jc w:val="both"/>
        <w:rPr>
          <w:bCs/>
        </w:rPr>
      </w:pPr>
      <w:r w:rsidRPr="0021678D">
        <w:rPr>
          <w:bCs/>
        </w:rPr>
        <w:t xml:space="preserve">Izglītības un zinātnes ministres vietā </w:t>
      </w:r>
      <w:r w:rsidRPr="0021678D">
        <w:t>–</w:t>
      </w:r>
      <w:r w:rsidRPr="0021678D">
        <w:rPr>
          <w:bCs/>
        </w:rPr>
        <w:t xml:space="preserve"> </w:t>
      </w:r>
    </w:p>
    <w:p w14:paraId="34A26111" w14:textId="77777777" w:rsidR="0021678D" w:rsidRPr="004D0D6C" w:rsidRDefault="0021678D" w:rsidP="0021678D">
      <w:pPr>
        <w:pStyle w:val="BodyTextIndent"/>
        <w:spacing w:after="0"/>
        <w:ind w:firstLine="437"/>
        <w:jc w:val="both"/>
        <w:rPr>
          <w:sz w:val="26"/>
          <w:szCs w:val="26"/>
        </w:rPr>
      </w:pPr>
      <w:r w:rsidRPr="0021678D">
        <w:rPr>
          <w:bCs/>
        </w:rPr>
        <w:t>kultūras ministre</w:t>
      </w:r>
      <w:r w:rsidRPr="0021678D">
        <w:rPr>
          <w:bCs/>
        </w:rPr>
        <w:tab/>
      </w:r>
      <w:r w:rsidRPr="0021678D">
        <w:rPr>
          <w:bCs/>
        </w:rPr>
        <w:tab/>
      </w:r>
      <w:r w:rsidRPr="0021678D">
        <w:rPr>
          <w:bCs/>
        </w:rPr>
        <w:tab/>
      </w:r>
      <w:r w:rsidRPr="0021678D">
        <w:rPr>
          <w:bCs/>
        </w:rPr>
        <w:tab/>
      </w:r>
      <w:r w:rsidRPr="0021678D">
        <w:rPr>
          <w:bCs/>
        </w:rPr>
        <w:tab/>
      </w:r>
      <w:r w:rsidRPr="0021678D">
        <w:rPr>
          <w:bCs/>
        </w:rPr>
        <w:tab/>
        <w:t>Dace Melbārde</w:t>
      </w:r>
      <w:r>
        <w:rPr>
          <w:bCs/>
          <w:sz w:val="26"/>
          <w:szCs w:val="26"/>
        </w:rPr>
        <w:tab/>
      </w:r>
      <w:r>
        <w:rPr>
          <w:bCs/>
          <w:sz w:val="26"/>
          <w:szCs w:val="26"/>
        </w:rPr>
        <w:tab/>
      </w:r>
      <w:r>
        <w:rPr>
          <w:bCs/>
          <w:sz w:val="26"/>
          <w:szCs w:val="26"/>
        </w:rPr>
        <w:tab/>
        <w:t xml:space="preserve"> </w:t>
      </w:r>
    </w:p>
    <w:p w14:paraId="69768DCF" w14:textId="77777777" w:rsidR="000156C0" w:rsidRDefault="000156C0" w:rsidP="000156C0">
      <w:pPr>
        <w:spacing w:before="60" w:after="60"/>
        <w:ind w:firstLine="300"/>
        <w:jc w:val="both"/>
      </w:pPr>
    </w:p>
    <w:p w14:paraId="4124E8C3" w14:textId="77777777" w:rsidR="00D009E2" w:rsidRPr="00D47402" w:rsidRDefault="00D009E2" w:rsidP="000156C0">
      <w:pPr>
        <w:spacing w:before="60" w:after="60"/>
        <w:ind w:firstLine="300"/>
        <w:jc w:val="both"/>
      </w:pPr>
    </w:p>
    <w:p w14:paraId="042B3C28" w14:textId="77777777" w:rsidR="00CC1D4D" w:rsidRPr="00D47402" w:rsidRDefault="00CC1D4D" w:rsidP="00EF1A66">
      <w:pPr>
        <w:ind w:firstLine="720"/>
        <w:jc w:val="both"/>
      </w:pPr>
      <w:r w:rsidRPr="00D47402">
        <w:t>Vīza:</w:t>
      </w:r>
    </w:p>
    <w:p w14:paraId="09AF8AF9" w14:textId="001FBE79" w:rsidR="00EF1A66" w:rsidRPr="00D47402" w:rsidRDefault="00EF1A66" w:rsidP="00EF1A66">
      <w:pPr>
        <w:ind w:firstLine="720"/>
        <w:jc w:val="both"/>
      </w:pPr>
      <w:r w:rsidRPr="00D47402">
        <w:t>Valsts sekretār</w:t>
      </w:r>
      <w:r w:rsidR="00410C55" w:rsidRPr="00D47402">
        <w:t xml:space="preserve">e                                                                </w:t>
      </w:r>
      <w:r w:rsidR="0021678D">
        <w:t xml:space="preserve">     </w:t>
      </w:r>
      <w:r w:rsidR="00410C55" w:rsidRPr="00D47402">
        <w:t xml:space="preserve"> </w:t>
      </w:r>
      <w:r w:rsidR="00DC2F24" w:rsidRPr="00D47402">
        <w:t xml:space="preserve"> L</w:t>
      </w:r>
      <w:r w:rsidR="001B646A" w:rsidRPr="00D47402">
        <w:t xml:space="preserve">īga </w:t>
      </w:r>
      <w:r w:rsidR="00DC2F24" w:rsidRPr="00D47402">
        <w:t>Lejiņa</w:t>
      </w:r>
    </w:p>
    <w:p w14:paraId="2E732E07" w14:textId="77777777" w:rsidR="00132EE0" w:rsidRPr="00D47402" w:rsidRDefault="00132EE0" w:rsidP="00EF1A66">
      <w:pPr>
        <w:ind w:firstLine="720"/>
        <w:jc w:val="both"/>
      </w:pPr>
    </w:p>
    <w:p w14:paraId="22372A2D" w14:textId="77777777" w:rsidR="008D395B" w:rsidRPr="00D47402" w:rsidRDefault="008D395B" w:rsidP="00EF1A66">
      <w:pPr>
        <w:ind w:firstLine="720"/>
        <w:jc w:val="both"/>
      </w:pPr>
    </w:p>
    <w:p w14:paraId="486F9EF1" w14:textId="77777777" w:rsidR="000F537E" w:rsidRPr="00D47402" w:rsidRDefault="000F537E" w:rsidP="00EF1A66">
      <w:pPr>
        <w:ind w:firstLine="720"/>
        <w:jc w:val="both"/>
        <w:rPr>
          <w:sz w:val="20"/>
          <w:szCs w:val="20"/>
        </w:rPr>
      </w:pPr>
    </w:p>
    <w:p w14:paraId="13B98588" w14:textId="4C0A2BF4" w:rsidR="00055816" w:rsidRPr="00D47402" w:rsidRDefault="00BD6365" w:rsidP="00773767">
      <w:pPr>
        <w:ind w:firstLine="720"/>
        <w:jc w:val="both"/>
        <w:rPr>
          <w:sz w:val="20"/>
          <w:szCs w:val="20"/>
        </w:rPr>
      </w:pPr>
      <w:bookmarkStart w:id="0" w:name="_GoBack"/>
      <w:bookmarkEnd w:id="0"/>
      <w:r>
        <w:rPr>
          <w:sz w:val="20"/>
          <w:szCs w:val="20"/>
        </w:rPr>
        <w:t>1</w:t>
      </w:r>
      <w:r w:rsidR="0021678D">
        <w:rPr>
          <w:sz w:val="20"/>
          <w:szCs w:val="20"/>
        </w:rPr>
        <w:t>4</w:t>
      </w:r>
      <w:r w:rsidR="0083578F" w:rsidRPr="00D47402">
        <w:rPr>
          <w:sz w:val="20"/>
          <w:szCs w:val="20"/>
        </w:rPr>
        <w:t>.</w:t>
      </w:r>
      <w:r w:rsidR="008506E0" w:rsidRPr="00D47402">
        <w:rPr>
          <w:sz w:val="20"/>
          <w:szCs w:val="20"/>
        </w:rPr>
        <w:t>12</w:t>
      </w:r>
      <w:r w:rsidR="00DC2F24" w:rsidRPr="00D47402">
        <w:rPr>
          <w:sz w:val="20"/>
          <w:szCs w:val="20"/>
        </w:rPr>
        <w:t>.2015</w:t>
      </w:r>
      <w:r w:rsidR="00055816" w:rsidRPr="00D47402">
        <w:rPr>
          <w:sz w:val="20"/>
          <w:szCs w:val="20"/>
        </w:rPr>
        <w:t>. 1</w:t>
      </w:r>
      <w:r w:rsidR="007E1187" w:rsidRPr="00D47402">
        <w:rPr>
          <w:sz w:val="20"/>
          <w:szCs w:val="20"/>
        </w:rPr>
        <w:t>1</w:t>
      </w:r>
      <w:r w:rsidR="00055816" w:rsidRPr="00D47402">
        <w:rPr>
          <w:sz w:val="20"/>
          <w:szCs w:val="20"/>
        </w:rPr>
        <w:t>:</w:t>
      </w:r>
      <w:r w:rsidR="00D127C5" w:rsidRPr="00D47402">
        <w:rPr>
          <w:sz w:val="20"/>
          <w:szCs w:val="20"/>
        </w:rPr>
        <w:t>4</w:t>
      </w:r>
      <w:r w:rsidR="007E1187" w:rsidRPr="00D47402">
        <w:rPr>
          <w:sz w:val="20"/>
          <w:szCs w:val="20"/>
        </w:rPr>
        <w:t>0</w:t>
      </w:r>
    </w:p>
    <w:p w14:paraId="4F4474B8" w14:textId="2A9D0CC6" w:rsidR="002A4A59" w:rsidRPr="00D47402" w:rsidRDefault="00D127C5" w:rsidP="002A4A59">
      <w:pPr>
        <w:jc w:val="both"/>
        <w:rPr>
          <w:sz w:val="20"/>
          <w:szCs w:val="20"/>
        </w:rPr>
      </w:pPr>
      <w:r w:rsidRPr="00D47402">
        <w:rPr>
          <w:sz w:val="20"/>
          <w:szCs w:val="20"/>
        </w:rPr>
        <w:t xml:space="preserve">           </w:t>
      </w:r>
      <w:r w:rsidR="005A64DA" w:rsidRPr="00D47402">
        <w:rPr>
          <w:sz w:val="20"/>
          <w:szCs w:val="20"/>
        </w:rPr>
        <w:t xml:space="preserve">  </w:t>
      </w:r>
      <w:r w:rsidRPr="00D47402">
        <w:rPr>
          <w:sz w:val="20"/>
          <w:szCs w:val="20"/>
        </w:rPr>
        <w:t xml:space="preserve"> </w:t>
      </w:r>
      <w:r w:rsidR="00E2442B">
        <w:rPr>
          <w:sz w:val="20"/>
          <w:szCs w:val="20"/>
        </w:rPr>
        <w:t>1</w:t>
      </w:r>
      <w:r w:rsidR="00D5671F">
        <w:rPr>
          <w:sz w:val="20"/>
          <w:szCs w:val="20"/>
        </w:rPr>
        <w:t>43</w:t>
      </w:r>
      <w:r w:rsidR="0021678D">
        <w:rPr>
          <w:sz w:val="20"/>
          <w:szCs w:val="20"/>
        </w:rPr>
        <w:t>7</w:t>
      </w:r>
    </w:p>
    <w:p w14:paraId="103E872C" w14:textId="77777777" w:rsidR="00773767" w:rsidRPr="00D47402" w:rsidRDefault="00DC2F24" w:rsidP="00773767">
      <w:pPr>
        <w:ind w:firstLine="720"/>
        <w:jc w:val="both"/>
        <w:rPr>
          <w:sz w:val="20"/>
          <w:szCs w:val="20"/>
        </w:rPr>
      </w:pPr>
      <w:r w:rsidRPr="00D47402">
        <w:rPr>
          <w:sz w:val="20"/>
          <w:szCs w:val="20"/>
        </w:rPr>
        <w:t>L.Treimane</w:t>
      </w:r>
    </w:p>
    <w:p w14:paraId="49D44BAC" w14:textId="58D171B0" w:rsidR="009A307D" w:rsidRPr="005A64DA" w:rsidRDefault="00DC2F24" w:rsidP="00A26772">
      <w:pPr>
        <w:ind w:firstLine="720"/>
        <w:jc w:val="both"/>
        <w:rPr>
          <w:sz w:val="20"/>
          <w:szCs w:val="20"/>
        </w:rPr>
      </w:pPr>
      <w:r w:rsidRPr="00D47402">
        <w:rPr>
          <w:sz w:val="20"/>
          <w:szCs w:val="20"/>
        </w:rPr>
        <w:t>67047966, Laura.Treimane</w:t>
      </w:r>
      <w:r w:rsidR="00773767" w:rsidRPr="00D47402">
        <w:rPr>
          <w:sz w:val="20"/>
          <w:szCs w:val="20"/>
        </w:rPr>
        <w:t>@izm.gov.lv</w:t>
      </w:r>
    </w:p>
    <w:sectPr w:rsidR="009A307D" w:rsidRPr="005A64DA" w:rsidSect="00BB626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94739" w14:textId="77777777" w:rsidR="00C960EA" w:rsidRDefault="00C960EA">
      <w:r>
        <w:separator/>
      </w:r>
    </w:p>
  </w:endnote>
  <w:endnote w:type="continuationSeparator" w:id="0">
    <w:p w14:paraId="28391BA7" w14:textId="77777777" w:rsidR="00C960EA" w:rsidRDefault="00C9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F1639" w14:textId="05043253" w:rsidR="00DC2F24" w:rsidRPr="00567A99" w:rsidRDefault="00DC2F24" w:rsidP="00DC2F24">
    <w:pPr>
      <w:jc w:val="both"/>
      <w:rPr>
        <w:sz w:val="20"/>
        <w:szCs w:val="20"/>
      </w:rPr>
    </w:pPr>
    <w:r>
      <w:rPr>
        <w:sz w:val="20"/>
        <w:szCs w:val="20"/>
      </w:rPr>
      <w:t>I</w:t>
    </w:r>
    <w:r w:rsidR="00FB4645">
      <w:rPr>
        <w:sz w:val="20"/>
        <w:szCs w:val="20"/>
      </w:rPr>
      <w:t>ZManot_</w:t>
    </w:r>
    <w:r w:rsidR="00BD6365">
      <w:rPr>
        <w:sz w:val="20"/>
        <w:szCs w:val="20"/>
      </w:rPr>
      <w:t>1</w:t>
    </w:r>
    <w:r w:rsidR="0021678D">
      <w:rPr>
        <w:sz w:val="20"/>
        <w:szCs w:val="20"/>
      </w:rPr>
      <w:t>4</w:t>
    </w:r>
    <w:r w:rsidR="008506E0">
      <w:rPr>
        <w:sz w:val="20"/>
        <w:szCs w:val="20"/>
      </w:rPr>
      <w:t>12</w:t>
    </w:r>
    <w:r>
      <w:rPr>
        <w:sz w:val="20"/>
        <w:szCs w:val="20"/>
      </w:rPr>
      <w:t>2015</w:t>
    </w:r>
    <w:r w:rsidRPr="00B141A7">
      <w:rPr>
        <w:sz w:val="20"/>
        <w:szCs w:val="20"/>
      </w:rPr>
      <w:t>_</w:t>
    </w:r>
    <w:r>
      <w:rPr>
        <w:sz w:val="20"/>
        <w:szCs w:val="20"/>
      </w:rPr>
      <w:t>ZDL</w:t>
    </w:r>
    <w:r w:rsidRPr="00B141A7">
      <w:rPr>
        <w:sz w:val="20"/>
        <w:szCs w:val="20"/>
      </w:rPr>
      <w:t xml:space="preserve">; </w:t>
    </w:r>
    <w:r>
      <w:rPr>
        <w:sz w:val="20"/>
        <w:szCs w:val="20"/>
      </w:rPr>
      <w:t>Likumprojekta</w:t>
    </w:r>
    <w:r w:rsidRPr="00B141A7">
      <w:rPr>
        <w:sz w:val="20"/>
        <w:szCs w:val="20"/>
      </w:rPr>
      <w:t xml:space="preserve"> „</w:t>
    </w:r>
    <w:r>
      <w:rPr>
        <w:sz w:val="20"/>
        <w:szCs w:val="20"/>
      </w:rPr>
      <w:t>Grozījumi Zinātniskās darbības likumā</w:t>
    </w:r>
    <w:r w:rsidRPr="00B141A7">
      <w:rPr>
        <w:sz w:val="20"/>
        <w:szCs w:val="20"/>
      </w:rPr>
      <w:t>”</w:t>
    </w:r>
    <w:r>
      <w:rPr>
        <w:sz w:val="20"/>
        <w:szCs w:val="20"/>
      </w:rPr>
      <w:t xml:space="preserve"> </w:t>
    </w:r>
    <w:r w:rsidRPr="00B141A7">
      <w:rPr>
        <w:sz w:val="20"/>
        <w:szCs w:val="20"/>
      </w:rPr>
      <w:t xml:space="preserve"> sākotnējās ietekmes novērtējuma </w:t>
    </w:r>
    <w:smartTag w:uri="schemas-tilde-lv/tildestengine" w:element="veidnes">
      <w:smartTagPr>
        <w:attr w:name="text" w:val="ziņojums"/>
        <w:attr w:name="baseform" w:val="ziņojums"/>
        <w:attr w:name="id" w:val="-1"/>
      </w:smartTagPr>
      <w:r w:rsidRPr="00B141A7">
        <w:rPr>
          <w:sz w:val="20"/>
          <w:szCs w:val="20"/>
        </w:rPr>
        <w:t>ziņojums</w:t>
      </w:r>
    </w:smartTag>
    <w:r>
      <w:rPr>
        <w:sz w:val="20"/>
        <w:szCs w:val="20"/>
      </w:rPr>
      <w:t xml:space="preserve"> (anotācija)</w:t>
    </w:r>
  </w:p>
  <w:p w14:paraId="56244C72" w14:textId="77777777" w:rsidR="00B72B52" w:rsidRPr="00DC2F24" w:rsidRDefault="00B72B52" w:rsidP="00DC2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1764" w14:textId="24B943CC" w:rsidR="00132EE0" w:rsidRPr="00567A99" w:rsidRDefault="00132EE0" w:rsidP="00132EE0">
    <w:pPr>
      <w:jc w:val="both"/>
      <w:rPr>
        <w:sz w:val="20"/>
        <w:szCs w:val="20"/>
      </w:rPr>
    </w:pPr>
    <w:r>
      <w:rPr>
        <w:sz w:val="20"/>
        <w:szCs w:val="20"/>
      </w:rPr>
      <w:t>IZManot_</w:t>
    </w:r>
    <w:r w:rsidR="0012261C">
      <w:rPr>
        <w:sz w:val="20"/>
        <w:szCs w:val="20"/>
      </w:rPr>
      <w:t>1</w:t>
    </w:r>
    <w:r w:rsidR="0021678D">
      <w:rPr>
        <w:sz w:val="20"/>
        <w:szCs w:val="20"/>
      </w:rPr>
      <w:t>4</w:t>
    </w:r>
    <w:r w:rsidR="002E7A47">
      <w:rPr>
        <w:sz w:val="20"/>
        <w:szCs w:val="20"/>
      </w:rPr>
      <w:t>12</w:t>
    </w:r>
    <w:r w:rsidR="00DC2F24">
      <w:rPr>
        <w:sz w:val="20"/>
        <w:szCs w:val="20"/>
      </w:rPr>
      <w:t>2015</w:t>
    </w:r>
    <w:r w:rsidRPr="00B141A7">
      <w:rPr>
        <w:sz w:val="20"/>
        <w:szCs w:val="20"/>
      </w:rPr>
      <w:t>_</w:t>
    </w:r>
    <w:r w:rsidR="00DC2F24">
      <w:rPr>
        <w:sz w:val="20"/>
        <w:szCs w:val="20"/>
      </w:rPr>
      <w:t>ZDL</w:t>
    </w:r>
    <w:r w:rsidRPr="00B141A7">
      <w:rPr>
        <w:sz w:val="20"/>
        <w:szCs w:val="20"/>
      </w:rPr>
      <w:t xml:space="preserve">; </w:t>
    </w:r>
    <w:r>
      <w:rPr>
        <w:sz w:val="20"/>
        <w:szCs w:val="20"/>
      </w:rPr>
      <w:t>Likumprojekta</w:t>
    </w:r>
    <w:r w:rsidRPr="00B141A7">
      <w:rPr>
        <w:sz w:val="20"/>
        <w:szCs w:val="20"/>
      </w:rPr>
      <w:t xml:space="preserve"> „</w:t>
    </w:r>
    <w:r>
      <w:rPr>
        <w:sz w:val="20"/>
        <w:szCs w:val="20"/>
      </w:rPr>
      <w:t xml:space="preserve">Grozījumi </w:t>
    </w:r>
    <w:r w:rsidR="00DC2F24">
      <w:rPr>
        <w:sz w:val="20"/>
        <w:szCs w:val="20"/>
      </w:rPr>
      <w:t>Zinātniskās darbības</w:t>
    </w:r>
    <w:r>
      <w:rPr>
        <w:sz w:val="20"/>
        <w:szCs w:val="20"/>
      </w:rPr>
      <w:t xml:space="preserve"> likumā</w:t>
    </w:r>
    <w:r w:rsidRPr="00B141A7">
      <w:rPr>
        <w:sz w:val="20"/>
        <w:szCs w:val="20"/>
      </w:rPr>
      <w:t>”</w:t>
    </w:r>
    <w:r>
      <w:rPr>
        <w:sz w:val="20"/>
        <w:szCs w:val="20"/>
      </w:rPr>
      <w:t xml:space="preserve"> </w:t>
    </w:r>
    <w:r w:rsidRPr="00B141A7">
      <w:rPr>
        <w:sz w:val="20"/>
        <w:szCs w:val="20"/>
      </w:rPr>
      <w:t xml:space="preserve"> sākotnējās ietekmes novērtējuma </w:t>
    </w:r>
    <w:smartTag w:uri="schemas-tilde-lv/tildestengine" w:element="veidnes">
      <w:smartTagPr>
        <w:attr w:name="text" w:val="ziņojums"/>
        <w:attr w:name="baseform" w:val="ziņojums"/>
        <w:attr w:name="id" w:val="-1"/>
      </w:smartTagPr>
      <w:r w:rsidRPr="00B141A7">
        <w:rPr>
          <w:sz w:val="20"/>
          <w:szCs w:val="20"/>
        </w:rPr>
        <w:t>ziņojums</w:t>
      </w:r>
    </w:smartTag>
    <w:r>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DC151" w14:textId="77777777" w:rsidR="00C960EA" w:rsidRDefault="00C960EA">
      <w:r>
        <w:separator/>
      </w:r>
    </w:p>
  </w:footnote>
  <w:footnote w:type="continuationSeparator" w:id="0">
    <w:p w14:paraId="4F215A82" w14:textId="77777777" w:rsidR="00C960EA" w:rsidRDefault="00C96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6C92F" w14:textId="77777777"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C0F334" w14:textId="77777777"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221EA" w14:textId="77777777"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678D">
      <w:rPr>
        <w:rStyle w:val="PageNumber"/>
        <w:noProof/>
      </w:rPr>
      <w:t>6</w:t>
    </w:r>
    <w:r>
      <w:rPr>
        <w:rStyle w:val="PageNumber"/>
      </w:rPr>
      <w:fldChar w:fldCharType="end"/>
    </w:r>
  </w:p>
  <w:p w14:paraId="48CBE034" w14:textId="77777777"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5C4"/>
    <w:multiLevelType w:val="multilevel"/>
    <w:tmpl w:val="F2BEF402"/>
    <w:lvl w:ilvl="0">
      <w:start w:val="1"/>
      <w:numFmt w:val="decimal"/>
      <w:pStyle w:val="HE1F"/>
      <w:lvlText w:val="%1."/>
      <w:lvlJc w:val="left"/>
      <w:pPr>
        <w:ind w:left="1080" w:hanging="360"/>
      </w:pPr>
      <w:rPr>
        <w:rFonts w:hint="default"/>
      </w:rPr>
    </w:lvl>
    <w:lvl w:ilvl="1">
      <w:start w:val="1"/>
      <w:numFmt w:val="decimal"/>
      <w:pStyle w:val="HE2F"/>
      <w:isLgl/>
      <w:lvlText w:val="%1.%2."/>
      <w:lvlJc w:val="left"/>
      <w:pPr>
        <w:ind w:left="1699" w:hanging="630"/>
      </w:pPr>
      <w:rPr>
        <w:rFonts w:hint="default"/>
      </w:rPr>
    </w:lvl>
    <w:lvl w:ilvl="2">
      <w:start w:val="1"/>
      <w:numFmt w:val="decimal"/>
      <w:pStyle w:val="HE3F"/>
      <w:isLgl/>
      <w:lvlText w:val="%1.%2.%3."/>
      <w:lvlJc w:val="left"/>
      <w:pPr>
        <w:ind w:left="2138" w:hanging="720"/>
      </w:pPr>
      <w:rPr>
        <w:rFonts w:hint="default"/>
      </w:rPr>
    </w:lvl>
    <w:lvl w:ilvl="3">
      <w:start w:val="1"/>
      <w:numFmt w:val="decimal"/>
      <w:pStyle w:val="HE4F"/>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842337"/>
    <w:multiLevelType w:val="hybridMultilevel"/>
    <w:tmpl w:val="40346D4A"/>
    <w:lvl w:ilvl="0" w:tplc="1390D23E">
      <w:start w:val="1"/>
      <w:numFmt w:val="bullet"/>
      <w:lvlText w:val=""/>
      <w:lvlJc w:val="left"/>
      <w:pPr>
        <w:ind w:left="890" w:hanging="360"/>
      </w:pPr>
      <w:rPr>
        <w:rFonts w:ascii="Symbol" w:hAnsi="Symbol" w:hint="default"/>
      </w:rPr>
    </w:lvl>
    <w:lvl w:ilvl="1" w:tplc="04260003" w:tentative="1">
      <w:start w:val="1"/>
      <w:numFmt w:val="bullet"/>
      <w:lvlText w:val="o"/>
      <w:lvlJc w:val="left"/>
      <w:pPr>
        <w:ind w:left="1610" w:hanging="360"/>
      </w:pPr>
      <w:rPr>
        <w:rFonts w:ascii="Courier New" w:hAnsi="Courier New" w:cs="Courier New" w:hint="default"/>
      </w:rPr>
    </w:lvl>
    <w:lvl w:ilvl="2" w:tplc="04260005" w:tentative="1">
      <w:start w:val="1"/>
      <w:numFmt w:val="bullet"/>
      <w:lvlText w:val=""/>
      <w:lvlJc w:val="left"/>
      <w:pPr>
        <w:ind w:left="2330" w:hanging="360"/>
      </w:pPr>
      <w:rPr>
        <w:rFonts w:ascii="Wingdings" w:hAnsi="Wingdings" w:hint="default"/>
      </w:rPr>
    </w:lvl>
    <w:lvl w:ilvl="3" w:tplc="04260001" w:tentative="1">
      <w:start w:val="1"/>
      <w:numFmt w:val="bullet"/>
      <w:lvlText w:val=""/>
      <w:lvlJc w:val="left"/>
      <w:pPr>
        <w:ind w:left="3050" w:hanging="360"/>
      </w:pPr>
      <w:rPr>
        <w:rFonts w:ascii="Symbol" w:hAnsi="Symbol" w:hint="default"/>
      </w:rPr>
    </w:lvl>
    <w:lvl w:ilvl="4" w:tplc="04260003" w:tentative="1">
      <w:start w:val="1"/>
      <w:numFmt w:val="bullet"/>
      <w:lvlText w:val="o"/>
      <w:lvlJc w:val="left"/>
      <w:pPr>
        <w:ind w:left="3770" w:hanging="360"/>
      </w:pPr>
      <w:rPr>
        <w:rFonts w:ascii="Courier New" w:hAnsi="Courier New" w:cs="Courier New" w:hint="default"/>
      </w:rPr>
    </w:lvl>
    <w:lvl w:ilvl="5" w:tplc="04260005" w:tentative="1">
      <w:start w:val="1"/>
      <w:numFmt w:val="bullet"/>
      <w:lvlText w:val=""/>
      <w:lvlJc w:val="left"/>
      <w:pPr>
        <w:ind w:left="4490" w:hanging="360"/>
      </w:pPr>
      <w:rPr>
        <w:rFonts w:ascii="Wingdings" w:hAnsi="Wingdings" w:hint="default"/>
      </w:rPr>
    </w:lvl>
    <w:lvl w:ilvl="6" w:tplc="04260001" w:tentative="1">
      <w:start w:val="1"/>
      <w:numFmt w:val="bullet"/>
      <w:lvlText w:val=""/>
      <w:lvlJc w:val="left"/>
      <w:pPr>
        <w:ind w:left="5210" w:hanging="360"/>
      </w:pPr>
      <w:rPr>
        <w:rFonts w:ascii="Symbol" w:hAnsi="Symbol" w:hint="default"/>
      </w:rPr>
    </w:lvl>
    <w:lvl w:ilvl="7" w:tplc="04260003" w:tentative="1">
      <w:start w:val="1"/>
      <w:numFmt w:val="bullet"/>
      <w:lvlText w:val="o"/>
      <w:lvlJc w:val="left"/>
      <w:pPr>
        <w:ind w:left="5930" w:hanging="360"/>
      </w:pPr>
      <w:rPr>
        <w:rFonts w:ascii="Courier New" w:hAnsi="Courier New" w:cs="Courier New" w:hint="default"/>
      </w:rPr>
    </w:lvl>
    <w:lvl w:ilvl="8" w:tplc="04260005" w:tentative="1">
      <w:start w:val="1"/>
      <w:numFmt w:val="bullet"/>
      <w:lvlText w:val=""/>
      <w:lvlJc w:val="left"/>
      <w:pPr>
        <w:ind w:left="6650" w:hanging="360"/>
      </w:pPr>
      <w:rPr>
        <w:rFonts w:ascii="Wingdings" w:hAnsi="Wingdings" w:hint="default"/>
      </w:rPr>
    </w:lvl>
  </w:abstractNum>
  <w:abstractNum w:abstractNumId="3" w15:restartNumberingAfterBreak="0">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1E515C"/>
    <w:multiLevelType w:val="hybridMultilevel"/>
    <w:tmpl w:val="17BE48DA"/>
    <w:lvl w:ilvl="0" w:tplc="1390D23E">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10"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38E84DFA"/>
    <w:multiLevelType w:val="hybridMultilevel"/>
    <w:tmpl w:val="477CF7E0"/>
    <w:lvl w:ilvl="0" w:tplc="1390D23E">
      <w:start w:val="1"/>
      <w:numFmt w:val="bullet"/>
      <w:lvlText w:val=""/>
      <w:lvlJc w:val="left"/>
      <w:pPr>
        <w:ind w:left="530" w:hanging="360"/>
      </w:pPr>
      <w:rPr>
        <w:rFonts w:ascii="Symbol" w:hAnsi="Symbol" w:hint="default"/>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13" w15:restartNumberingAfterBreak="0">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4"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C0D42B7"/>
    <w:multiLevelType w:val="hybridMultilevel"/>
    <w:tmpl w:val="261EBF62"/>
    <w:lvl w:ilvl="0" w:tplc="89D4F0C4">
      <w:start w:val="46"/>
      <w:numFmt w:val="bullet"/>
      <w:lvlText w:val="-"/>
      <w:lvlJc w:val="left"/>
      <w:pPr>
        <w:ind w:left="530" w:hanging="360"/>
      </w:pPr>
      <w:rPr>
        <w:rFonts w:ascii="Times New Roman" w:eastAsia="Times New Roman" w:hAnsi="Times New Roman" w:cs="Times New Roman" w:hint="default"/>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1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57CF1"/>
    <w:multiLevelType w:val="hybridMultilevel"/>
    <w:tmpl w:val="75A234A8"/>
    <w:lvl w:ilvl="0" w:tplc="9E908CF0">
      <w:start w:val="1"/>
      <w:numFmt w:val="bullet"/>
      <w:lvlText w:val="-"/>
      <w:lvlJc w:val="left"/>
      <w:pPr>
        <w:ind w:left="720" w:hanging="360"/>
      </w:pPr>
      <w:rPr>
        <w:rFonts w:ascii="Times New Roman" w:eastAsia="Calibr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46A5720"/>
    <w:multiLevelType w:val="hybridMultilevel"/>
    <w:tmpl w:val="59C204CE"/>
    <w:lvl w:ilvl="0" w:tplc="04260005">
      <w:start w:val="1"/>
      <w:numFmt w:val="bullet"/>
      <w:lvlText w:val=""/>
      <w:lvlJc w:val="left"/>
      <w:pPr>
        <w:ind w:left="157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abstractNum w:abstractNumId="28" w15:restartNumberingAfterBreak="0">
    <w:nsid w:val="79EF2446"/>
    <w:multiLevelType w:val="hybridMultilevel"/>
    <w:tmpl w:val="730E5F4A"/>
    <w:lvl w:ilvl="0" w:tplc="1390D23E">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9" w15:restartNumberingAfterBreak="0">
    <w:nsid w:val="7C9120D9"/>
    <w:multiLevelType w:val="hybridMultilevel"/>
    <w:tmpl w:val="CABC0CBE"/>
    <w:lvl w:ilvl="0" w:tplc="1390D2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8"/>
  </w:num>
  <w:num w:numId="4">
    <w:abstractNumId w:val="5"/>
  </w:num>
  <w:num w:numId="5">
    <w:abstractNumId w:val="1"/>
  </w:num>
  <w:num w:numId="6">
    <w:abstractNumId w:val="18"/>
  </w:num>
  <w:num w:numId="7">
    <w:abstractNumId w:val="23"/>
  </w:num>
  <w:num w:numId="8">
    <w:abstractNumId w:val="14"/>
  </w:num>
  <w:num w:numId="9">
    <w:abstractNumId w:val="7"/>
  </w:num>
  <w:num w:numId="10">
    <w:abstractNumId w:val="15"/>
  </w:num>
  <w:num w:numId="11">
    <w:abstractNumId w:val="16"/>
  </w:num>
  <w:num w:numId="12">
    <w:abstractNumId w:val="19"/>
  </w:num>
  <w:num w:numId="13">
    <w:abstractNumId w:val="21"/>
  </w:num>
  <w:num w:numId="14">
    <w:abstractNumId w:val="24"/>
  </w:num>
  <w:num w:numId="15">
    <w:abstractNumId w:val="27"/>
  </w:num>
  <w:num w:numId="16">
    <w:abstractNumId w:val="12"/>
  </w:num>
  <w:num w:numId="17">
    <w:abstractNumId w:val="2"/>
  </w:num>
  <w:num w:numId="18">
    <w:abstractNumId w:val="29"/>
  </w:num>
  <w:num w:numId="19">
    <w:abstractNumId w:val="11"/>
  </w:num>
  <w:num w:numId="20">
    <w:abstractNumId w:val="3"/>
  </w:num>
  <w:num w:numId="21">
    <w:abstractNumId w:val="20"/>
  </w:num>
  <w:num w:numId="22">
    <w:abstractNumId w:val="9"/>
  </w:num>
  <w:num w:numId="23">
    <w:abstractNumId w:val="13"/>
  </w:num>
  <w:num w:numId="24">
    <w:abstractNumId w:val="4"/>
  </w:num>
  <w:num w:numId="25">
    <w:abstractNumId w:val="6"/>
  </w:num>
  <w:num w:numId="26">
    <w:abstractNumId w:val="28"/>
  </w:num>
  <w:num w:numId="27">
    <w:abstractNumId w:val="17"/>
  </w:num>
  <w:num w:numId="28">
    <w:abstractNumId w:val="25"/>
  </w:num>
  <w:num w:numId="29">
    <w:abstractNumId w:val="0"/>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25E2"/>
    <w:rsid w:val="00003842"/>
    <w:rsid w:val="000060D7"/>
    <w:rsid w:val="00006664"/>
    <w:rsid w:val="000074B1"/>
    <w:rsid w:val="000100B4"/>
    <w:rsid w:val="00011D24"/>
    <w:rsid w:val="000121B9"/>
    <w:rsid w:val="00012D31"/>
    <w:rsid w:val="000132A8"/>
    <w:rsid w:val="00013FF4"/>
    <w:rsid w:val="00014D4F"/>
    <w:rsid w:val="000156C0"/>
    <w:rsid w:val="00016CF4"/>
    <w:rsid w:val="00020FE1"/>
    <w:rsid w:val="00022E13"/>
    <w:rsid w:val="000258FD"/>
    <w:rsid w:val="00026D59"/>
    <w:rsid w:val="00027019"/>
    <w:rsid w:val="00032388"/>
    <w:rsid w:val="000340EB"/>
    <w:rsid w:val="00035CE2"/>
    <w:rsid w:val="00035F9F"/>
    <w:rsid w:val="00036C8D"/>
    <w:rsid w:val="000420FC"/>
    <w:rsid w:val="00043EEA"/>
    <w:rsid w:val="00044774"/>
    <w:rsid w:val="00046B5F"/>
    <w:rsid w:val="00046FC6"/>
    <w:rsid w:val="00051EBA"/>
    <w:rsid w:val="00053495"/>
    <w:rsid w:val="00054702"/>
    <w:rsid w:val="0005553B"/>
    <w:rsid w:val="00055816"/>
    <w:rsid w:val="000604D2"/>
    <w:rsid w:val="00064533"/>
    <w:rsid w:val="00065B47"/>
    <w:rsid w:val="00066F04"/>
    <w:rsid w:val="00070BA9"/>
    <w:rsid w:val="000735D0"/>
    <w:rsid w:val="00081868"/>
    <w:rsid w:val="00082BFA"/>
    <w:rsid w:val="00084421"/>
    <w:rsid w:val="00086697"/>
    <w:rsid w:val="0009005E"/>
    <w:rsid w:val="000911CA"/>
    <w:rsid w:val="00091C48"/>
    <w:rsid w:val="0009278B"/>
    <w:rsid w:val="000941C5"/>
    <w:rsid w:val="00097003"/>
    <w:rsid w:val="00097C69"/>
    <w:rsid w:val="000A0BA6"/>
    <w:rsid w:val="000A2FFB"/>
    <w:rsid w:val="000A3645"/>
    <w:rsid w:val="000A526D"/>
    <w:rsid w:val="000A6451"/>
    <w:rsid w:val="000A663B"/>
    <w:rsid w:val="000B064E"/>
    <w:rsid w:val="000B3A8F"/>
    <w:rsid w:val="000B525C"/>
    <w:rsid w:val="000B69CF"/>
    <w:rsid w:val="000B720B"/>
    <w:rsid w:val="000B7262"/>
    <w:rsid w:val="000B765B"/>
    <w:rsid w:val="000C0E09"/>
    <w:rsid w:val="000C1414"/>
    <w:rsid w:val="000C5539"/>
    <w:rsid w:val="000C790C"/>
    <w:rsid w:val="000D7B76"/>
    <w:rsid w:val="000E1B00"/>
    <w:rsid w:val="000E21E3"/>
    <w:rsid w:val="000E75EF"/>
    <w:rsid w:val="000F061D"/>
    <w:rsid w:val="000F09B4"/>
    <w:rsid w:val="000F2882"/>
    <w:rsid w:val="000F294E"/>
    <w:rsid w:val="000F4794"/>
    <w:rsid w:val="000F537E"/>
    <w:rsid w:val="000F7679"/>
    <w:rsid w:val="00101C82"/>
    <w:rsid w:val="00104BBB"/>
    <w:rsid w:val="0010564B"/>
    <w:rsid w:val="0010756A"/>
    <w:rsid w:val="0011394F"/>
    <w:rsid w:val="00113FBB"/>
    <w:rsid w:val="00114D47"/>
    <w:rsid w:val="0011690E"/>
    <w:rsid w:val="0012261C"/>
    <w:rsid w:val="00124F12"/>
    <w:rsid w:val="00127907"/>
    <w:rsid w:val="00127CE5"/>
    <w:rsid w:val="00132EE0"/>
    <w:rsid w:val="00144E3A"/>
    <w:rsid w:val="0015060C"/>
    <w:rsid w:val="00153E82"/>
    <w:rsid w:val="001543AB"/>
    <w:rsid w:val="00155078"/>
    <w:rsid w:val="00155257"/>
    <w:rsid w:val="00157708"/>
    <w:rsid w:val="0016018A"/>
    <w:rsid w:val="00161F0E"/>
    <w:rsid w:val="00163204"/>
    <w:rsid w:val="0016451E"/>
    <w:rsid w:val="00165A42"/>
    <w:rsid w:val="001673C5"/>
    <w:rsid w:val="001676AE"/>
    <w:rsid w:val="00170E2A"/>
    <w:rsid w:val="001710BF"/>
    <w:rsid w:val="001744D8"/>
    <w:rsid w:val="00177394"/>
    <w:rsid w:val="00181041"/>
    <w:rsid w:val="00182C18"/>
    <w:rsid w:val="00182CF2"/>
    <w:rsid w:val="00182E38"/>
    <w:rsid w:val="001835B4"/>
    <w:rsid w:val="00183CC2"/>
    <w:rsid w:val="001900E4"/>
    <w:rsid w:val="00190367"/>
    <w:rsid w:val="00190F88"/>
    <w:rsid w:val="001915C8"/>
    <w:rsid w:val="001962A3"/>
    <w:rsid w:val="001A02BF"/>
    <w:rsid w:val="001A0AD5"/>
    <w:rsid w:val="001A184A"/>
    <w:rsid w:val="001A1D3B"/>
    <w:rsid w:val="001A24F6"/>
    <w:rsid w:val="001A4066"/>
    <w:rsid w:val="001A6AE4"/>
    <w:rsid w:val="001B01FD"/>
    <w:rsid w:val="001B1126"/>
    <w:rsid w:val="001B1245"/>
    <w:rsid w:val="001B4A71"/>
    <w:rsid w:val="001B646A"/>
    <w:rsid w:val="001B6816"/>
    <w:rsid w:val="001C1951"/>
    <w:rsid w:val="001C1BBD"/>
    <w:rsid w:val="001C347C"/>
    <w:rsid w:val="001C63AB"/>
    <w:rsid w:val="001D36E4"/>
    <w:rsid w:val="001D3A72"/>
    <w:rsid w:val="001D5B54"/>
    <w:rsid w:val="001D650A"/>
    <w:rsid w:val="001D6A03"/>
    <w:rsid w:val="001D6EF3"/>
    <w:rsid w:val="001D790E"/>
    <w:rsid w:val="001E0AAD"/>
    <w:rsid w:val="001E1DBF"/>
    <w:rsid w:val="001E3029"/>
    <w:rsid w:val="001E3867"/>
    <w:rsid w:val="001E4639"/>
    <w:rsid w:val="001E4A7D"/>
    <w:rsid w:val="001E4CCB"/>
    <w:rsid w:val="001E6228"/>
    <w:rsid w:val="001F0737"/>
    <w:rsid w:val="001F0EDB"/>
    <w:rsid w:val="001F1336"/>
    <w:rsid w:val="001F244F"/>
    <w:rsid w:val="001F4081"/>
    <w:rsid w:val="001F4209"/>
    <w:rsid w:val="001F43A8"/>
    <w:rsid w:val="001F5CD6"/>
    <w:rsid w:val="001F5E5F"/>
    <w:rsid w:val="001F7B65"/>
    <w:rsid w:val="0020117F"/>
    <w:rsid w:val="00201330"/>
    <w:rsid w:val="00204DA0"/>
    <w:rsid w:val="00210DDB"/>
    <w:rsid w:val="002112DB"/>
    <w:rsid w:val="0021263D"/>
    <w:rsid w:val="00212E4A"/>
    <w:rsid w:val="002134E0"/>
    <w:rsid w:val="00213563"/>
    <w:rsid w:val="00213F0C"/>
    <w:rsid w:val="00214094"/>
    <w:rsid w:val="00214639"/>
    <w:rsid w:val="0021592D"/>
    <w:rsid w:val="0021678D"/>
    <w:rsid w:val="00216CF9"/>
    <w:rsid w:val="00221161"/>
    <w:rsid w:val="00221C9A"/>
    <w:rsid w:val="00222D76"/>
    <w:rsid w:val="00223EB1"/>
    <w:rsid w:val="00226644"/>
    <w:rsid w:val="00231344"/>
    <w:rsid w:val="0023436E"/>
    <w:rsid w:val="002347C0"/>
    <w:rsid w:val="00241328"/>
    <w:rsid w:val="00241A6C"/>
    <w:rsid w:val="00242D2B"/>
    <w:rsid w:val="00242DA8"/>
    <w:rsid w:val="002447EA"/>
    <w:rsid w:val="002467BE"/>
    <w:rsid w:val="002500ED"/>
    <w:rsid w:val="0026188B"/>
    <w:rsid w:val="00262E1D"/>
    <w:rsid w:val="00262E2B"/>
    <w:rsid w:val="002657D7"/>
    <w:rsid w:val="00270429"/>
    <w:rsid w:val="002723E9"/>
    <w:rsid w:val="002750CC"/>
    <w:rsid w:val="00275BA1"/>
    <w:rsid w:val="002761F0"/>
    <w:rsid w:val="00277929"/>
    <w:rsid w:val="00283B82"/>
    <w:rsid w:val="002846E9"/>
    <w:rsid w:val="00284C34"/>
    <w:rsid w:val="00286C54"/>
    <w:rsid w:val="00286DA5"/>
    <w:rsid w:val="0029066C"/>
    <w:rsid w:val="00295C16"/>
    <w:rsid w:val="002A44F7"/>
    <w:rsid w:val="002A4A59"/>
    <w:rsid w:val="002B01F3"/>
    <w:rsid w:val="002B3FC6"/>
    <w:rsid w:val="002B401B"/>
    <w:rsid w:val="002B50DB"/>
    <w:rsid w:val="002B67A5"/>
    <w:rsid w:val="002C12AB"/>
    <w:rsid w:val="002C1C4F"/>
    <w:rsid w:val="002C7CAC"/>
    <w:rsid w:val="002D1C60"/>
    <w:rsid w:val="002D3306"/>
    <w:rsid w:val="002D48AA"/>
    <w:rsid w:val="002D523B"/>
    <w:rsid w:val="002D615B"/>
    <w:rsid w:val="002D7612"/>
    <w:rsid w:val="002D7BAA"/>
    <w:rsid w:val="002D7F54"/>
    <w:rsid w:val="002E08D5"/>
    <w:rsid w:val="002E3FF4"/>
    <w:rsid w:val="002E6659"/>
    <w:rsid w:val="002E7A47"/>
    <w:rsid w:val="002F0E27"/>
    <w:rsid w:val="002F2903"/>
    <w:rsid w:val="002F78C8"/>
    <w:rsid w:val="003008F3"/>
    <w:rsid w:val="00301CF3"/>
    <w:rsid w:val="00307DFC"/>
    <w:rsid w:val="003104C6"/>
    <w:rsid w:val="003125EA"/>
    <w:rsid w:val="00312EA9"/>
    <w:rsid w:val="003132BD"/>
    <w:rsid w:val="00315BBC"/>
    <w:rsid w:val="00320344"/>
    <w:rsid w:val="00321036"/>
    <w:rsid w:val="00321AAC"/>
    <w:rsid w:val="00322AFA"/>
    <w:rsid w:val="00323E94"/>
    <w:rsid w:val="00325E6C"/>
    <w:rsid w:val="00326526"/>
    <w:rsid w:val="00326672"/>
    <w:rsid w:val="0032715C"/>
    <w:rsid w:val="00330796"/>
    <w:rsid w:val="00332EFD"/>
    <w:rsid w:val="003336F8"/>
    <w:rsid w:val="003342B5"/>
    <w:rsid w:val="003343B4"/>
    <w:rsid w:val="003361D5"/>
    <w:rsid w:val="003372DE"/>
    <w:rsid w:val="00337CA5"/>
    <w:rsid w:val="00337D37"/>
    <w:rsid w:val="003425C3"/>
    <w:rsid w:val="00344DD9"/>
    <w:rsid w:val="003463C4"/>
    <w:rsid w:val="003531B1"/>
    <w:rsid w:val="0035615D"/>
    <w:rsid w:val="003607B7"/>
    <w:rsid w:val="00361732"/>
    <w:rsid w:val="00362478"/>
    <w:rsid w:val="00363A99"/>
    <w:rsid w:val="00372312"/>
    <w:rsid w:val="00375379"/>
    <w:rsid w:val="00375B25"/>
    <w:rsid w:val="0037647C"/>
    <w:rsid w:val="003771A4"/>
    <w:rsid w:val="00377A81"/>
    <w:rsid w:val="003800D9"/>
    <w:rsid w:val="003808B4"/>
    <w:rsid w:val="003810B4"/>
    <w:rsid w:val="0038132C"/>
    <w:rsid w:val="00386C48"/>
    <w:rsid w:val="00394E71"/>
    <w:rsid w:val="00395E6A"/>
    <w:rsid w:val="00396542"/>
    <w:rsid w:val="0039685B"/>
    <w:rsid w:val="00396A46"/>
    <w:rsid w:val="00397EF9"/>
    <w:rsid w:val="003A0ACE"/>
    <w:rsid w:val="003A1BFF"/>
    <w:rsid w:val="003A31A6"/>
    <w:rsid w:val="003A3673"/>
    <w:rsid w:val="003A4F89"/>
    <w:rsid w:val="003A6D3A"/>
    <w:rsid w:val="003A7F0C"/>
    <w:rsid w:val="003A7F79"/>
    <w:rsid w:val="003B1E2C"/>
    <w:rsid w:val="003B211D"/>
    <w:rsid w:val="003B3651"/>
    <w:rsid w:val="003B4040"/>
    <w:rsid w:val="003B6404"/>
    <w:rsid w:val="003B69B6"/>
    <w:rsid w:val="003C3F17"/>
    <w:rsid w:val="003C449B"/>
    <w:rsid w:val="003C607E"/>
    <w:rsid w:val="003C7DF1"/>
    <w:rsid w:val="003D21FF"/>
    <w:rsid w:val="003D516B"/>
    <w:rsid w:val="003E0D12"/>
    <w:rsid w:val="003F0112"/>
    <w:rsid w:val="003F071A"/>
    <w:rsid w:val="003F160B"/>
    <w:rsid w:val="003F2E71"/>
    <w:rsid w:val="003F3B12"/>
    <w:rsid w:val="003F54C5"/>
    <w:rsid w:val="003F54E9"/>
    <w:rsid w:val="003F6DAD"/>
    <w:rsid w:val="00400032"/>
    <w:rsid w:val="00400B5B"/>
    <w:rsid w:val="00405A00"/>
    <w:rsid w:val="00410C04"/>
    <w:rsid w:val="00410C55"/>
    <w:rsid w:val="00413FEA"/>
    <w:rsid w:val="00416368"/>
    <w:rsid w:val="00420870"/>
    <w:rsid w:val="00420D68"/>
    <w:rsid w:val="00422B05"/>
    <w:rsid w:val="00431DDF"/>
    <w:rsid w:val="00432D0C"/>
    <w:rsid w:val="0043791B"/>
    <w:rsid w:val="00441483"/>
    <w:rsid w:val="004418A8"/>
    <w:rsid w:val="00441901"/>
    <w:rsid w:val="00441994"/>
    <w:rsid w:val="00441A40"/>
    <w:rsid w:val="00441A72"/>
    <w:rsid w:val="00441BCB"/>
    <w:rsid w:val="00442036"/>
    <w:rsid w:val="00442682"/>
    <w:rsid w:val="004505FB"/>
    <w:rsid w:val="0045176A"/>
    <w:rsid w:val="0045338D"/>
    <w:rsid w:val="00455692"/>
    <w:rsid w:val="004558FB"/>
    <w:rsid w:val="004559D0"/>
    <w:rsid w:val="00456332"/>
    <w:rsid w:val="00460B2A"/>
    <w:rsid w:val="00461826"/>
    <w:rsid w:val="004629DE"/>
    <w:rsid w:val="00466F37"/>
    <w:rsid w:val="004702CE"/>
    <w:rsid w:val="004800F9"/>
    <w:rsid w:val="00482E6B"/>
    <w:rsid w:val="00483043"/>
    <w:rsid w:val="00483753"/>
    <w:rsid w:val="0048379B"/>
    <w:rsid w:val="00484119"/>
    <w:rsid w:val="004864CF"/>
    <w:rsid w:val="00486C8A"/>
    <w:rsid w:val="0049134A"/>
    <w:rsid w:val="00495D81"/>
    <w:rsid w:val="00497990"/>
    <w:rsid w:val="00497A6E"/>
    <w:rsid w:val="004A03E1"/>
    <w:rsid w:val="004A2238"/>
    <w:rsid w:val="004A58CB"/>
    <w:rsid w:val="004A5FC5"/>
    <w:rsid w:val="004A6F6E"/>
    <w:rsid w:val="004B0A64"/>
    <w:rsid w:val="004B1795"/>
    <w:rsid w:val="004B21A4"/>
    <w:rsid w:val="004B36A5"/>
    <w:rsid w:val="004B39E7"/>
    <w:rsid w:val="004B56DD"/>
    <w:rsid w:val="004C020F"/>
    <w:rsid w:val="004C1AFD"/>
    <w:rsid w:val="004C558B"/>
    <w:rsid w:val="004C7607"/>
    <w:rsid w:val="004D0BE7"/>
    <w:rsid w:val="004D20D2"/>
    <w:rsid w:val="004D30B4"/>
    <w:rsid w:val="004D7E12"/>
    <w:rsid w:val="004E0540"/>
    <w:rsid w:val="004E0855"/>
    <w:rsid w:val="004E3B72"/>
    <w:rsid w:val="004E4510"/>
    <w:rsid w:val="004E5740"/>
    <w:rsid w:val="004E7CBE"/>
    <w:rsid w:val="004F1D72"/>
    <w:rsid w:val="004F1F88"/>
    <w:rsid w:val="004F22A0"/>
    <w:rsid w:val="004F34CA"/>
    <w:rsid w:val="004F3DAB"/>
    <w:rsid w:val="004F56A6"/>
    <w:rsid w:val="004F5F1B"/>
    <w:rsid w:val="004F63AB"/>
    <w:rsid w:val="005008E3"/>
    <w:rsid w:val="00502374"/>
    <w:rsid w:val="00505E14"/>
    <w:rsid w:val="005060A1"/>
    <w:rsid w:val="00507D2B"/>
    <w:rsid w:val="005121A5"/>
    <w:rsid w:val="00516072"/>
    <w:rsid w:val="00516F0E"/>
    <w:rsid w:val="00525731"/>
    <w:rsid w:val="00526AE6"/>
    <w:rsid w:val="0052703C"/>
    <w:rsid w:val="00527905"/>
    <w:rsid w:val="0053201E"/>
    <w:rsid w:val="00532B20"/>
    <w:rsid w:val="005332EC"/>
    <w:rsid w:val="0053384F"/>
    <w:rsid w:val="00534418"/>
    <w:rsid w:val="005353AB"/>
    <w:rsid w:val="0053754B"/>
    <w:rsid w:val="00537D25"/>
    <w:rsid w:val="0054141F"/>
    <w:rsid w:val="00541835"/>
    <w:rsid w:val="0055130A"/>
    <w:rsid w:val="00551523"/>
    <w:rsid w:val="00552781"/>
    <w:rsid w:val="00555F9C"/>
    <w:rsid w:val="005560BC"/>
    <w:rsid w:val="005573BE"/>
    <w:rsid w:val="00557E81"/>
    <w:rsid w:val="00561115"/>
    <w:rsid w:val="0056317C"/>
    <w:rsid w:val="00564E24"/>
    <w:rsid w:val="00566F6D"/>
    <w:rsid w:val="00567A99"/>
    <w:rsid w:val="00572700"/>
    <w:rsid w:val="00572B1D"/>
    <w:rsid w:val="00576F0B"/>
    <w:rsid w:val="00577AE9"/>
    <w:rsid w:val="00580468"/>
    <w:rsid w:val="00582231"/>
    <w:rsid w:val="00583F80"/>
    <w:rsid w:val="00584CA8"/>
    <w:rsid w:val="0058603B"/>
    <w:rsid w:val="00593C89"/>
    <w:rsid w:val="0059431B"/>
    <w:rsid w:val="00596C2C"/>
    <w:rsid w:val="005A26AC"/>
    <w:rsid w:val="005A3370"/>
    <w:rsid w:val="005A39CC"/>
    <w:rsid w:val="005A41ED"/>
    <w:rsid w:val="005A64DA"/>
    <w:rsid w:val="005A7684"/>
    <w:rsid w:val="005B1676"/>
    <w:rsid w:val="005B1B4B"/>
    <w:rsid w:val="005B4160"/>
    <w:rsid w:val="005B4730"/>
    <w:rsid w:val="005B5CAF"/>
    <w:rsid w:val="005C1F3B"/>
    <w:rsid w:val="005C5864"/>
    <w:rsid w:val="005C5B73"/>
    <w:rsid w:val="005D0618"/>
    <w:rsid w:val="005D1667"/>
    <w:rsid w:val="005D374B"/>
    <w:rsid w:val="005D46FC"/>
    <w:rsid w:val="005D4F29"/>
    <w:rsid w:val="005D6001"/>
    <w:rsid w:val="005D7320"/>
    <w:rsid w:val="005E05D7"/>
    <w:rsid w:val="005E0730"/>
    <w:rsid w:val="005E10E0"/>
    <w:rsid w:val="005E2FBD"/>
    <w:rsid w:val="005E41E7"/>
    <w:rsid w:val="005E448B"/>
    <w:rsid w:val="005E450F"/>
    <w:rsid w:val="005E596F"/>
    <w:rsid w:val="005E739A"/>
    <w:rsid w:val="005F14E4"/>
    <w:rsid w:val="005F2E1B"/>
    <w:rsid w:val="005F3F88"/>
    <w:rsid w:val="005F6AC9"/>
    <w:rsid w:val="006003DD"/>
    <w:rsid w:val="00600761"/>
    <w:rsid w:val="006050CF"/>
    <w:rsid w:val="006109C1"/>
    <w:rsid w:val="006139E3"/>
    <w:rsid w:val="0061409A"/>
    <w:rsid w:val="006170BC"/>
    <w:rsid w:val="006179DA"/>
    <w:rsid w:val="00620184"/>
    <w:rsid w:val="006214FB"/>
    <w:rsid w:val="00621931"/>
    <w:rsid w:val="0062298A"/>
    <w:rsid w:val="00622CEC"/>
    <w:rsid w:val="00626514"/>
    <w:rsid w:val="00626589"/>
    <w:rsid w:val="00631042"/>
    <w:rsid w:val="006329BB"/>
    <w:rsid w:val="006339A0"/>
    <w:rsid w:val="00634AC5"/>
    <w:rsid w:val="0063516C"/>
    <w:rsid w:val="00637E4A"/>
    <w:rsid w:val="006413A8"/>
    <w:rsid w:val="00642E56"/>
    <w:rsid w:val="00651E00"/>
    <w:rsid w:val="006532A1"/>
    <w:rsid w:val="006537FC"/>
    <w:rsid w:val="00654548"/>
    <w:rsid w:val="006545E2"/>
    <w:rsid w:val="00656180"/>
    <w:rsid w:val="00660ED9"/>
    <w:rsid w:val="00671336"/>
    <w:rsid w:val="00672B40"/>
    <w:rsid w:val="00674572"/>
    <w:rsid w:val="00674CC5"/>
    <w:rsid w:val="0067513A"/>
    <w:rsid w:val="006819D3"/>
    <w:rsid w:val="00681A90"/>
    <w:rsid w:val="006822EC"/>
    <w:rsid w:val="00685146"/>
    <w:rsid w:val="00687763"/>
    <w:rsid w:val="00692099"/>
    <w:rsid w:val="00692B0D"/>
    <w:rsid w:val="00693751"/>
    <w:rsid w:val="00693E0E"/>
    <w:rsid w:val="006944E6"/>
    <w:rsid w:val="006A1AE3"/>
    <w:rsid w:val="006A52B8"/>
    <w:rsid w:val="006A6879"/>
    <w:rsid w:val="006A7DD9"/>
    <w:rsid w:val="006B07FC"/>
    <w:rsid w:val="006B20A3"/>
    <w:rsid w:val="006B23FC"/>
    <w:rsid w:val="006B2453"/>
    <w:rsid w:val="006C257B"/>
    <w:rsid w:val="006C30E1"/>
    <w:rsid w:val="006C4607"/>
    <w:rsid w:val="006C6801"/>
    <w:rsid w:val="006C7DC6"/>
    <w:rsid w:val="006D00BC"/>
    <w:rsid w:val="006D272B"/>
    <w:rsid w:val="006D474A"/>
    <w:rsid w:val="006D48F1"/>
    <w:rsid w:val="006D4DEC"/>
    <w:rsid w:val="006D6BEB"/>
    <w:rsid w:val="006E0803"/>
    <w:rsid w:val="006E3932"/>
    <w:rsid w:val="006E3C4F"/>
    <w:rsid w:val="006E48C1"/>
    <w:rsid w:val="006E4BC4"/>
    <w:rsid w:val="006F260E"/>
    <w:rsid w:val="006F425A"/>
    <w:rsid w:val="006F45BE"/>
    <w:rsid w:val="007004FC"/>
    <w:rsid w:val="00701C2B"/>
    <w:rsid w:val="0070229F"/>
    <w:rsid w:val="007024F4"/>
    <w:rsid w:val="00702ECC"/>
    <w:rsid w:val="00704FEB"/>
    <w:rsid w:val="007065B1"/>
    <w:rsid w:val="00706670"/>
    <w:rsid w:val="007066EB"/>
    <w:rsid w:val="00707681"/>
    <w:rsid w:val="00707745"/>
    <w:rsid w:val="00707F45"/>
    <w:rsid w:val="00710A9C"/>
    <w:rsid w:val="007112CD"/>
    <w:rsid w:val="00711F59"/>
    <w:rsid w:val="007132DD"/>
    <w:rsid w:val="00717837"/>
    <w:rsid w:val="00720388"/>
    <w:rsid w:val="0072417C"/>
    <w:rsid w:val="00725BDE"/>
    <w:rsid w:val="00725CDA"/>
    <w:rsid w:val="00726CE4"/>
    <w:rsid w:val="007321D9"/>
    <w:rsid w:val="0073311B"/>
    <w:rsid w:val="00734450"/>
    <w:rsid w:val="007435ED"/>
    <w:rsid w:val="00744E81"/>
    <w:rsid w:val="00745F67"/>
    <w:rsid w:val="0075039E"/>
    <w:rsid w:val="00750D59"/>
    <w:rsid w:val="00752D9D"/>
    <w:rsid w:val="00752DF5"/>
    <w:rsid w:val="00752FCF"/>
    <w:rsid w:val="00754784"/>
    <w:rsid w:val="00757C6E"/>
    <w:rsid w:val="00762BDA"/>
    <w:rsid w:val="00763972"/>
    <w:rsid w:val="00766008"/>
    <w:rsid w:val="007713CC"/>
    <w:rsid w:val="00773767"/>
    <w:rsid w:val="00773C51"/>
    <w:rsid w:val="007749A6"/>
    <w:rsid w:val="007805FD"/>
    <w:rsid w:val="00781793"/>
    <w:rsid w:val="00781D52"/>
    <w:rsid w:val="00782393"/>
    <w:rsid w:val="00783C67"/>
    <w:rsid w:val="00784422"/>
    <w:rsid w:val="007856AB"/>
    <w:rsid w:val="00786AED"/>
    <w:rsid w:val="00790A5F"/>
    <w:rsid w:val="00792285"/>
    <w:rsid w:val="007945F9"/>
    <w:rsid w:val="00796257"/>
    <w:rsid w:val="007A1295"/>
    <w:rsid w:val="007A48C8"/>
    <w:rsid w:val="007A504A"/>
    <w:rsid w:val="007B1394"/>
    <w:rsid w:val="007B3B54"/>
    <w:rsid w:val="007B3FA0"/>
    <w:rsid w:val="007B54A9"/>
    <w:rsid w:val="007B6EAB"/>
    <w:rsid w:val="007C0F2C"/>
    <w:rsid w:val="007C2BCC"/>
    <w:rsid w:val="007C4EF0"/>
    <w:rsid w:val="007C55DF"/>
    <w:rsid w:val="007C5E0B"/>
    <w:rsid w:val="007D099D"/>
    <w:rsid w:val="007D2664"/>
    <w:rsid w:val="007E1187"/>
    <w:rsid w:val="007E1883"/>
    <w:rsid w:val="007E2664"/>
    <w:rsid w:val="007E3ABF"/>
    <w:rsid w:val="007E48E3"/>
    <w:rsid w:val="007E4DE0"/>
    <w:rsid w:val="007E5779"/>
    <w:rsid w:val="007E5BFA"/>
    <w:rsid w:val="007E641F"/>
    <w:rsid w:val="007E6689"/>
    <w:rsid w:val="007E6FEA"/>
    <w:rsid w:val="007E731C"/>
    <w:rsid w:val="007E7A4C"/>
    <w:rsid w:val="007F0A03"/>
    <w:rsid w:val="007F22DE"/>
    <w:rsid w:val="007F5247"/>
    <w:rsid w:val="007F5663"/>
    <w:rsid w:val="007F58FB"/>
    <w:rsid w:val="007F6FA3"/>
    <w:rsid w:val="00802C76"/>
    <w:rsid w:val="0080328E"/>
    <w:rsid w:val="008037E5"/>
    <w:rsid w:val="00804582"/>
    <w:rsid w:val="0080540E"/>
    <w:rsid w:val="00805C16"/>
    <w:rsid w:val="00810040"/>
    <w:rsid w:val="00811B9C"/>
    <w:rsid w:val="008140A2"/>
    <w:rsid w:val="008143C1"/>
    <w:rsid w:val="0081699D"/>
    <w:rsid w:val="0082023A"/>
    <w:rsid w:val="00821A7A"/>
    <w:rsid w:val="00822467"/>
    <w:rsid w:val="008253F8"/>
    <w:rsid w:val="0082554A"/>
    <w:rsid w:val="00827BA4"/>
    <w:rsid w:val="008319C9"/>
    <w:rsid w:val="008325E4"/>
    <w:rsid w:val="00832A2B"/>
    <w:rsid w:val="00833575"/>
    <w:rsid w:val="00833EB1"/>
    <w:rsid w:val="0083578F"/>
    <w:rsid w:val="008371DF"/>
    <w:rsid w:val="008371E4"/>
    <w:rsid w:val="008373E2"/>
    <w:rsid w:val="00841550"/>
    <w:rsid w:val="0084159C"/>
    <w:rsid w:val="00845811"/>
    <w:rsid w:val="008464E5"/>
    <w:rsid w:val="00846994"/>
    <w:rsid w:val="008469CD"/>
    <w:rsid w:val="00846D93"/>
    <w:rsid w:val="00847B0C"/>
    <w:rsid w:val="00850451"/>
    <w:rsid w:val="008506E0"/>
    <w:rsid w:val="0085102C"/>
    <w:rsid w:val="00852042"/>
    <w:rsid w:val="00853011"/>
    <w:rsid w:val="008534C9"/>
    <w:rsid w:val="00854384"/>
    <w:rsid w:val="0085477D"/>
    <w:rsid w:val="0085599D"/>
    <w:rsid w:val="0085637C"/>
    <w:rsid w:val="00856462"/>
    <w:rsid w:val="00856EFE"/>
    <w:rsid w:val="00860295"/>
    <w:rsid w:val="008607F5"/>
    <w:rsid w:val="00861947"/>
    <w:rsid w:val="0086295D"/>
    <w:rsid w:val="008643F2"/>
    <w:rsid w:val="0086647B"/>
    <w:rsid w:val="00870CCE"/>
    <w:rsid w:val="008711C3"/>
    <w:rsid w:val="0087510C"/>
    <w:rsid w:val="008801A0"/>
    <w:rsid w:val="0088065C"/>
    <w:rsid w:val="008816A3"/>
    <w:rsid w:val="00883823"/>
    <w:rsid w:val="00886A22"/>
    <w:rsid w:val="00891407"/>
    <w:rsid w:val="0089247F"/>
    <w:rsid w:val="00893D2F"/>
    <w:rsid w:val="008968D2"/>
    <w:rsid w:val="0089738E"/>
    <w:rsid w:val="008A45F5"/>
    <w:rsid w:val="008A54A8"/>
    <w:rsid w:val="008B0D32"/>
    <w:rsid w:val="008B5FDB"/>
    <w:rsid w:val="008C06CA"/>
    <w:rsid w:val="008C0BDB"/>
    <w:rsid w:val="008C13B3"/>
    <w:rsid w:val="008C1A47"/>
    <w:rsid w:val="008C3E8F"/>
    <w:rsid w:val="008C50F4"/>
    <w:rsid w:val="008C5649"/>
    <w:rsid w:val="008D17AF"/>
    <w:rsid w:val="008D2147"/>
    <w:rsid w:val="008D395B"/>
    <w:rsid w:val="008D70CF"/>
    <w:rsid w:val="008E44A2"/>
    <w:rsid w:val="008E4E35"/>
    <w:rsid w:val="008E59A2"/>
    <w:rsid w:val="008E697D"/>
    <w:rsid w:val="008F0AB6"/>
    <w:rsid w:val="008F5CAE"/>
    <w:rsid w:val="008F78F9"/>
    <w:rsid w:val="00900F35"/>
    <w:rsid w:val="0090128B"/>
    <w:rsid w:val="00901A9A"/>
    <w:rsid w:val="00901AA0"/>
    <w:rsid w:val="0090289C"/>
    <w:rsid w:val="00903263"/>
    <w:rsid w:val="00906A21"/>
    <w:rsid w:val="0090726C"/>
    <w:rsid w:val="009079C3"/>
    <w:rsid w:val="00910462"/>
    <w:rsid w:val="0091540F"/>
    <w:rsid w:val="00915AB1"/>
    <w:rsid w:val="00917532"/>
    <w:rsid w:val="009235BA"/>
    <w:rsid w:val="00924023"/>
    <w:rsid w:val="00924CE2"/>
    <w:rsid w:val="009255E0"/>
    <w:rsid w:val="00925B9F"/>
    <w:rsid w:val="009312C7"/>
    <w:rsid w:val="00931AED"/>
    <w:rsid w:val="00933CA2"/>
    <w:rsid w:val="00935BCB"/>
    <w:rsid w:val="0093662B"/>
    <w:rsid w:val="00936776"/>
    <w:rsid w:val="009368AF"/>
    <w:rsid w:val="00936BA0"/>
    <w:rsid w:val="009379BE"/>
    <w:rsid w:val="0094043B"/>
    <w:rsid w:val="009461B2"/>
    <w:rsid w:val="00946388"/>
    <w:rsid w:val="009471C2"/>
    <w:rsid w:val="009476A3"/>
    <w:rsid w:val="00950026"/>
    <w:rsid w:val="009519A0"/>
    <w:rsid w:val="0095212F"/>
    <w:rsid w:val="0095334F"/>
    <w:rsid w:val="00957AEE"/>
    <w:rsid w:val="00964670"/>
    <w:rsid w:val="00964A31"/>
    <w:rsid w:val="00965897"/>
    <w:rsid w:val="0096765C"/>
    <w:rsid w:val="00971A19"/>
    <w:rsid w:val="009727E4"/>
    <w:rsid w:val="00980ACF"/>
    <w:rsid w:val="00983836"/>
    <w:rsid w:val="00983F68"/>
    <w:rsid w:val="00985FD0"/>
    <w:rsid w:val="00986BE1"/>
    <w:rsid w:val="00990058"/>
    <w:rsid w:val="0099084A"/>
    <w:rsid w:val="00991E3F"/>
    <w:rsid w:val="009923DB"/>
    <w:rsid w:val="009934C5"/>
    <w:rsid w:val="00994C0F"/>
    <w:rsid w:val="00994CD6"/>
    <w:rsid w:val="009969DA"/>
    <w:rsid w:val="009A14E6"/>
    <w:rsid w:val="009A20DD"/>
    <w:rsid w:val="009A307D"/>
    <w:rsid w:val="009A617C"/>
    <w:rsid w:val="009B086F"/>
    <w:rsid w:val="009B22D7"/>
    <w:rsid w:val="009B38C5"/>
    <w:rsid w:val="009B4477"/>
    <w:rsid w:val="009B6F16"/>
    <w:rsid w:val="009B72ED"/>
    <w:rsid w:val="009C0BE9"/>
    <w:rsid w:val="009C182A"/>
    <w:rsid w:val="009C3F32"/>
    <w:rsid w:val="009C6D49"/>
    <w:rsid w:val="009C6DEB"/>
    <w:rsid w:val="009D3B9F"/>
    <w:rsid w:val="009D45E4"/>
    <w:rsid w:val="009D6504"/>
    <w:rsid w:val="009E12D7"/>
    <w:rsid w:val="009E661A"/>
    <w:rsid w:val="009F16AA"/>
    <w:rsid w:val="009F2894"/>
    <w:rsid w:val="009F2D9C"/>
    <w:rsid w:val="009F2EB6"/>
    <w:rsid w:val="009F3615"/>
    <w:rsid w:val="009F535D"/>
    <w:rsid w:val="00A0637F"/>
    <w:rsid w:val="00A06781"/>
    <w:rsid w:val="00A06B6F"/>
    <w:rsid w:val="00A074C3"/>
    <w:rsid w:val="00A07786"/>
    <w:rsid w:val="00A07CC7"/>
    <w:rsid w:val="00A10825"/>
    <w:rsid w:val="00A12332"/>
    <w:rsid w:val="00A124BA"/>
    <w:rsid w:val="00A146A2"/>
    <w:rsid w:val="00A1509C"/>
    <w:rsid w:val="00A16579"/>
    <w:rsid w:val="00A16EA9"/>
    <w:rsid w:val="00A17A8F"/>
    <w:rsid w:val="00A2221C"/>
    <w:rsid w:val="00A248F5"/>
    <w:rsid w:val="00A249B9"/>
    <w:rsid w:val="00A259E0"/>
    <w:rsid w:val="00A26076"/>
    <w:rsid w:val="00A26772"/>
    <w:rsid w:val="00A300F4"/>
    <w:rsid w:val="00A304C5"/>
    <w:rsid w:val="00A34260"/>
    <w:rsid w:val="00A37D65"/>
    <w:rsid w:val="00A40315"/>
    <w:rsid w:val="00A409A0"/>
    <w:rsid w:val="00A41372"/>
    <w:rsid w:val="00A44EF8"/>
    <w:rsid w:val="00A4764D"/>
    <w:rsid w:val="00A500AD"/>
    <w:rsid w:val="00A503FB"/>
    <w:rsid w:val="00A516FA"/>
    <w:rsid w:val="00A529B2"/>
    <w:rsid w:val="00A53A0C"/>
    <w:rsid w:val="00A53CB2"/>
    <w:rsid w:val="00A53E1A"/>
    <w:rsid w:val="00A54982"/>
    <w:rsid w:val="00A6151D"/>
    <w:rsid w:val="00A67569"/>
    <w:rsid w:val="00A70C87"/>
    <w:rsid w:val="00A70CFD"/>
    <w:rsid w:val="00A72A0B"/>
    <w:rsid w:val="00A754E7"/>
    <w:rsid w:val="00A7648D"/>
    <w:rsid w:val="00A815FC"/>
    <w:rsid w:val="00A81E42"/>
    <w:rsid w:val="00A83390"/>
    <w:rsid w:val="00A84153"/>
    <w:rsid w:val="00A864FE"/>
    <w:rsid w:val="00A86F41"/>
    <w:rsid w:val="00A87D04"/>
    <w:rsid w:val="00A87FE8"/>
    <w:rsid w:val="00A93BA4"/>
    <w:rsid w:val="00A950C5"/>
    <w:rsid w:val="00A95488"/>
    <w:rsid w:val="00A96BB4"/>
    <w:rsid w:val="00AA0A3D"/>
    <w:rsid w:val="00AA1D25"/>
    <w:rsid w:val="00AA24FF"/>
    <w:rsid w:val="00AA2BB5"/>
    <w:rsid w:val="00AA3FED"/>
    <w:rsid w:val="00AA40F8"/>
    <w:rsid w:val="00AA60EA"/>
    <w:rsid w:val="00AA61C3"/>
    <w:rsid w:val="00AA672F"/>
    <w:rsid w:val="00AA6EE6"/>
    <w:rsid w:val="00AB2B1A"/>
    <w:rsid w:val="00AB397F"/>
    <w:rsid w:val="00AB3A19"/>
    <w:rsid w:val="00AB5832"/>
    <w:rsid w:val="00AB731E"/>
    <w:rsid w:val="00AC17B8"/>
    <w:rsid w:val="00AC1EF3"/>
    <w:rsid w:val="00AC3C9E"/>
    <w:rsid w:val="00AC51F2"/>
    <w:rsid w:val="00AC66C4"/>
    <w:rsid w:val="00AC7279"/>
    <w:rsid w:val="00AD3269"/>
    <w:rsid w:val="00AD64ED"/>
    <w:rsid w:val="00AD68DD"/>
    <w:rsid w:val="00AE01DC"/>
    <w:rsid w:val="00AE1930"/>
    <w:rsid w:val="00AE5066"/>
    <w:rsid w:val="00AE5E24"/>
    <w:rsid w:val="00AE61B7"/>
    <w:rsid w:val="00AE6CBA"/>
    <w:rsid w:val="00AE79AD"/>
    <w:rsid w:val="00AF1FE8"/>
    <w:rsid w:val="00AF35E4"/>
    <w:rsid w:val="00AF5CDE"/>
    <w:rsid w:val="00AF6C8F"/>
    <w:rsid w:val="00B01DA9"/>
    <w:rsid w:val="00B02C25"/>
    <w:rsid w:val="00B03B69"/>
    <w:rsid w:val="00B04886"/>
    <w:rsid w:val="00B04A3C"/>
    <w:rsid w:val="00B06CB3"/>
    <w:rsid w:val="00B07532"/>
    <w:rsid w:val="00B07581"/>
    <w:rsid w:val="00B079A8"/>
    <w:rsid w:val="00B11A57"/>
    <w:rsid w:val="00B131B9"/>
    <w:rsid w:val="00B13DDB"/>
    <w:rsid w:val="00B141A7"/>
    <w:rsid w:val="00B14414"/>
    <w:rsid w:val="00B1520D"/>
    <w:rsid w:val="00B15895"/>
    <w:rsid w:val="00B211C3"/>
    <w:rsid w:val="00B22895"/>
    <w:rsid w:val="00B25597"/>
    <w:rsid w:val="00B267B9"/>
    <w:rsid w:val="00B27564"/>
    <w:rsid w:val="00B276BE"/>
    <w:rsid w:val="00B30B51"/>
    <w:rsid w:val="00B3165B"/>
    <w:rsid w:val="00B326F3"/>
    <w:rsid w:val="00B33E09"/>
    <w:rsid w:val="00B35909"/>
    <w:rsid w:val="00B36498"/>
    <w:rsid w:val="00B3730E"/>
    <w:rsid w:val="00B40156"/>
    <w:rsid w:val="00B40DF7"/>
    <w:rsid w:val="00B425AA"/>
    <w:rsid w:val="00B44489"/>
    <w:rsid w:val="00B45902"/>
    <w:rsid w:val="00B47720"/>
    <w:rsid w:val="00B50708"/>
    <w:rsid w:val="00B50C68"/>
    <w:rsid w:val="00B51293"/>
    <w:rsid w:val="00B52B1E"/>
    <w:rsid w:val="00B548F2"/>
    <w:rsid w:val="00B55481"/>
    <w:rsid w:val="00B5586E"/>
    <w:rsid w:val="00B56C32"/>
    <w:rsid w:val="00B57ACF"/>
    <w:rsid w:val="00B60BBB"/>
    <w:rsid w:val="00B61950"/>
    <w:rsid w:val="00B64BB1"/>
    <w:rsid w:val="00B65D85"/>
    <w:rsid w:val="00B72960"/>
    <w:rsid w:val="00B72B52"/>
    <w:rsid w:val="00B73166"/>
    <w:rsid w:val="00B73D30"/>
    <w:rsid w:val="00B761D8"/>
    <w:rsid w:val="00B8426C"/>
    <w:rsid w:val="00B85E2F"/>
    <w:rsid w:val="00B86F54"/>
    <w:rsid w:val="00B91B8D"/>
    <w:rsid w:val="00B94E90"/>
    <w:rsid w:val="00B95F70"/>
    <w:rsid w:val="00BA311F"/>
    <w:rsid w:val="00BA44F0"/>
    <w:rsid w:val="00BA4658"/>
    <w:rsid w:val="00BA633D"/>
    <w:rsid w:val="00BA7529"/>
    <w:rsid w:val="00BB0A82"/>
    <w:rsid w:val="00BB1436"/>
    <w:rsid w:val="00BB5907"/>
    <w:rsid w:val="00BB626C"/>
    <w:rsid w:val="00BB7C94"/>
    <w:rsid w:val="00BC0062"/>
    <w:rsid w:val="00BC0A9D"/>
    <w:rsid w:val="00BC19A1"/>
    <w:rsid w:val="00BC72EF"/>
    <w:rsid w:val="00BD1A90"/>
    <w:rsid w:val="00BD20E8"/>
    <w:rsid w:val="00BD6365"/>
    <w:rsid w:val="00BD7A92"/>
    <w:rsid w:val="00BE768B"/>
    <w:rsid w:val="00BF3681"/>
    <w:rsid w:val="00BF40ED"/>
    <w:rsid w:val="00BF5BC2"/>
    <w:rsid w:val="00BF78B3"/>
    <w:rsid w:val="00C02CD0"/>
    <w:rsid w:val="00C04241"/>
    <w:rsid w:val="00C05D23"/>
    <w:rsid w:val="00C1133D"/>
    <w:rsid w:val="00C1171E"/>
    <w:rsid w:val="00C12CC1"/>
    <w:rsid w:val="00C12F18"/>
    <w:rsid w:val="00C250A2"/>
    <w:rsid w:val="00C27A08"/>
    <w:rsid w:val="00C31312"/>
    <w:rsid w:val="00C318DD"/>
    <w:rsid w:val="00C31E36"/>
    <w:rsid w:val="00C324BE"/>
    <w:rsid w:val="00C326C6"/>
    <w:rsid w:val="00C33CF9"/>
    <w:rsid w:val="00C35295"/>
    <w:rsid w:val="00C359BA"/>
    <w:rsid w:val="00C3660B"/>
    <w:rsid w:val="00C36ADD"/>
    <w:rsid w:val="00C36E74"/>
    <w:rsid w:val="00C40595"/>
    <w:rsid w:val="00C4081F"/>
    <w:rsid w:val="00C41088"/>
    <w:rsid w:val="00C41621"/>
    <w:rsid w:val="00C445EF"/>
    <w:rsid w:val="00C449FA"/>
    <w:rsid w:val="00C4580F"/>
    <w:rsid w:val="00C45E1D"/>
    <w:rsid w:val="00C46010"/>
    <w:rsid w:val="00C47A12"/>
    <w:rsid w:val="00C51D8B"/>
    <w:rsid w:val="00C5384F"/>
    <w:rsid w:val="00C5397F"/>
    <w:rsid w:val="00C56964"/>
    <w:rsid w:val="00C57117"/>
    <w:rsid w:val="00C618D1"/>
    <w:rsid w:val="00C61E3F"/>
    <w:rsid w:val="00C6266D"/>
    <w:rsid w:val="00C634A1"/>
    <w:rsid w:val="00C63B31"/>
    <w:rsid w:val="00C64CB5"/>
    <w:rsid w:val="00C656D5"/>
    <w:rsid w:val="00C66B37"/>
    <w:rsid w:val="00C67103"/>
    <w:rsid w:val="00C70946"/>
    <w:rsid w:val="00C70A22"/>
    <w:rsid w:val="00C71BB9"/>
    <w:rsid w:val="00C727D9"/>
    <w:rsid w:val="00C73921"/>
    <w:rsid w:val="00C77622"/>
    <w:rsid w:val="00C77E82"/>
    <w:rsid w:val="00C833FE"/>
    <w:rsid w:val="00C83418"/>
    <w:rsid w:val="00C83F09"/>
    <w:rsid w:val="00C8712F"/>
    <w:rsid w:val="00C871B3"/>
    <w:rsid w:val="00C87D4F"/>
    <w:rsid w:val="00C92F4A"/>
    <w:rsid w:val="00C94C28"/>
    <w:rsid w:val="00C95488"/>
    <w:rsid w:val="00C960EA"/>
    <w:rsid w:val="00CA137E"/>
    <w:rsid w:val="00CA250D"/>
    <w:rsid w:val="00CA255E"/>
    <w:rsid w:val="00CA2A58"/>
    <w:rsid w:val="00CA3972"/>
    <w:rsid w:val="00CA3FCA"/>
    <w:rsid w:val="00CB0247"/>
    <w:rsid w:val="00CB3440"/>
    <w:rsid w:val="00CB3DD0"/>
    <w:rsid w:val="00CB691B"/>
    <w:rsid w:val="00CB723B"/>
    <w:rsid w:val="00CC1692"/>
    <w:rsid w:val="00CC1D4D"/>
    <w:rsid w:val="00CC2401"/>
    <w:rsid w:val="00CD138B"/>
    <w:rsid w:val="00CD25C1"/>
    <w:rsid w:val="00CD3E31"/>
    <w:rsid w:val="00CD45CF"/>
    <w:rsid w:val="00CD74A3"/>
    <w:rsid w:val="00CE0527"/>
    <w:rsid w:val="00CE083F"/>
    <w:rsid w:val="00CE2662"/>
    <w:rsid w:val="00CE3A73"/>
    <w:rsid w:val="00CE4F54"/>
    <w:rsid w:val="00CE5B23"/>
    <w:rsid w:val="00CF357E"/>
    <w:rsid w:val="00CF70AD"/>
    <w:rsid w:val="00CF7729"/>
    <w:rsid w:val="00D00059"/>
    <w:rsid w:val="00D009E2"/>
    <w:rsid w:val="00D030D0"/>
    <w:rsid w:val="00D03369"/>
    <w:rsid w:val="00D044D4"/>
    <w:rsid w:val="00D04EB9"/>
    <w:rsid w:val="00D107FA"/>
    <w:rsid w:val="00D12275"/>
    <w:rsid w:val="00D12766"/>
    <w:rsid w:val="00D127C5"/>
    <w:rsid w:val="00D13372"/>
    <w:rsid w:val="00D147EB"/>
    <w:rsid w:val="00D20FF4"/>
    <w:rsid w:val="00D23CA4"/>
    <w:rsid w:val="00D24A03"/>
    <w:rsid w:val="00D24D2C"/>
    <w:rsid w:val="00D258EC"/>
    <w:rsid w:val="00D315F5"/>
    <w:rsid w:val="00D31772"/>
    <w:rsid w:val="00D35881"/>
    <w:rsid w:val="00D35AFE"/>
    <w:rsid w:val="00D36B67"/>
    <w:rsid w:val="00D40ED2"/>
    <w:rsid w:val="00D4283B"/>
    <w:rsid w:val="00D47402"/>
    <w:rsid w:val="00D5201E"/>
    <w:rsid w:val="00D5342D"/>
    <w:rsid w:val="00D53AD8"/>
    <w:rsid w:val="00D54506"/>
    <w:rsid w:val="00D555E4"/>
    <w:rsid w:val="00D5671F"/>
    <w:rsid w:val="00D67FCE"/>
    <w:rsid w:val="00D7027F"/>
    <w:rsid w:val="00D71788"/>
    <w:rsid w:val="00D75839"/>
    <w:rsid w:val="00D75F31"/>
    <w:rsid w:val="00D779F1"/>
    <w:rsid w:val="00D807BB"/>
    <w:rsid w:val="00D80906"/>
    <w:rsid w:val="00D8179E"/>
    <w:rsid w:val="00D849F5"/>
    <w:rsid w:val="00D85161"/>
    <w:rsid w:val="00D85E75"/>
    <w:rsid w:val="00D92D9B"/>
    <w:rsid w:val="00D963FB"/>
    <w:rsid w:val="00D966F0"/>
    <w:rsid w:val="00DA0074"/>
    <w:rsid w:val="00DA37EA"/>
    <w:rsid w:val="00DA7DA5"/>
    <w:rsid w:val="00DB0323"/>
    <w:rsid w:val="00DB073B"/>
    <w:rsid w:val="00DB1FBB"/>
    <w:rsid w:val="00DB40C5"/>
    <w:rsid w:val="00DB43D9"/>
    <w:rsid w:val="00DB64CB"/>
    <w:rsid w:val="00DB78F0"/>
    <w:rsid w:val="00DC0992"/>
    <w:rsid w:val="00DC0CEA"/>
    <w:rsid w:val="00DC1363"/>
    <w:rsid w:val="00DC2E43"/>
    <w:rsid w:val="00DC2F24"/>
    <w:rsid w:val="00DC37E3"/>
    <w:rsid w:val="00DC3DEA"/>
    <w:rsid w:val="00DC68BD"/>
    <w:rsid w:val="00DD064D"/>
    <w:rsid w:val="00DD095C"/>
    <w:rsid w:val="00DD1020"/>
    <w:rsid w:val="00DD1330"/>
    <w:rsid w:val="00DD1B6D"/>
    <w:rsid w:val="00DD2DD1"/>
    <w:rsid w:val="00DD3158"/>
    <w:rsid w:val="00DD4B07"/>
    <w:rsid w:val="00DD6D56"/>
    <w:rsid w:val="00DE0011"/>
    <w:rsid w:val="00DE0282"/>
    <w:rsid w:val="00DE0B83"/>
    <w:rsid w:val="00DE1A81"/>
    <w:rsid w:val="00DE1C13"/>
    <w:rsid w:val="00DE4E10"/>
    <w:rsid w:val="00DE696F"/>
    <w:rsid w:val="00DE69AF"/>
    <w:rsid w:val="00DF08FB"/>
    <w:rsid w:val="00DF4378"/>
    <w:rsid w:val="00E01FEB"/>
    <w:rsid w:val="00E02ABF"/>
    <w:rsid w:val="00E03F93"/>
    <w:rsid w:val="00E04927"/>
    <w:rsid w:val="00E10189"/>
    <w:rsid w:val="00E118D5"/>
    <w:rsid w:val="00E13779"/>
    <w:rsid w:val="00E14995"/>
    <w:rsid w:val="00E179CD"/>
    <w:rsid w:val="00E20F9D"/>
    <w:rsid w:val="00E21730"/>
    <w:rsid w:val="00E230A8"/>
    <w:rsid w:val="00E23E8D"/>
    <w:rsid w:val="00E2442B"/>
    <w:rsid w:val="00E24B21"/>
    <w:rsid w:val="00E2513C"/>
    <w:rsid w:val="00E255B0"/>
    <w:rsid w:val="00E27285"/>
    <w:rsid w:val="00E30BF8"/>
    <w:rsid w:val="00E3306E"/>
    <w:rsid w:val="00E378F3"/>
    <w:rsid w:val="00E37EE9"/>
    <w:rsid w:val="00E37F98"/>
    <w:rsid w:val="00E41E6D"/>
    <w:rsid w:val="00E4372C"/>
    <w:rsid w:val="00E46559"/>
    <w:rsid w:val="00E54134"/>
    <w:rsid w:val="00E568F5"/>
    <w:rsid w:val="00E56B3A"/>
    <w:rsid w:val="00E62C73"/>
    <w:rsid w:val="00E62DA0"/>
    <w:rsid w:val="00E6308E"/>
    <w:rsid w:val="00E640B3"/>
    <w:rsid w:val="00E652AB"/>
    <w:rsid w:val="00E65894"/>
    <w:rsid w:val="00E65BDF"/>
    <w:rsid w:val="00E66444"/>
    <w:rsid w:val="00E6670C"/>
    <w:rsid w:val="00E66971"/>
    <w:rsid w:val="00E7061C"/>
    <w:rsid w:val="00E742D1"/>
    <w:rsid w:val="00E747DA"/>
    <w:rsid w:val="00E776E8"/>
    <w:rsid w:val="00E80DAD"/>
    <w:rsid w:val="00E84640"/>
    <w:rsid w:val="00E90F7C"/>
    <w:rsid w:val="00E92C1F"/>
    <w:rsid w:val="00E947E5"/>
    <w:rsid w:val="00E95D4B"/>
    <w:rsid w:val="00E96EC6"/>
    <w:rsid w:val="00E972E6"/>
    <w:rsid w:val="00EA450F"/>
    <w:rsid w:val="00EB199F"/>
    <w:rsid w:val="00EC23F7"/>
    <w:rsid w:val="00EC2681"/>
    <w:rsid w:val="00EC4BD8"/>
    <w:rsid w:val="00EC5E48"/>
    <w:rsid w:val="00EC63EB"/>
    <w:rsid w:val="00ED07F2"/>
    <w:rsid w:val="00ED07F5"/>
    <w:rsid w:val="00ED13DD"/>
    <w:rsid w:val="00ED1599"/>
    <w:rsid w:val="00ED412F"/>
    <w:rsid w:val="00ED5004"/>
    <w:rsid w:val="00ED558D"/>
    <w:rsid w:val="00EE4F15"/>
    <w:rsid w:val="00EE5288"/>
    <w:rsid w:val="00EE61BE"/>
    <w:rsid w:val="00EF00BA"/>
    <w:rsid w:val="00EF1A66"/>
    <w:rsid w:val="00EF244E"/>
    <w:rsid w:val="00EF36B2"/>
    <w:rsid w:val="00EF5658"/>
    <w:rsid w:val="00EF78FE"/>
    <w:rsid w:val="00F01539"/>
    <w:rsid w:val="00F02F76"/>
    <w:rsid w:val="00F04F09"/>
    <w:rsid w:val="00F07DFB"/>
    <w:rsid w:val="00F07F8E"/>
    <w:rsid w:val="00F1246B"/>
    <w:rsid w:val="00F15C96"/>
    <w:rsid w:val="00F1671D"/>
    <w:rsid w:val="00F17677"/>
    <w:rsid w:val="00F201EC"/>
    <w:rsid w:val="00F202C5"/>
    <w:rsid w:val="00F20498"/>
    <w:rsid w:val="00F208A9"/>
    <w:rsid w:val="00F21393"/>
    <w:rsid w:val="00F215C1"/>
    <w:rsid w:val="00F24853"/>
    <w:rsid w:val="00F265DD"/>
    <w:rsid w:val="00F266A0"/>
    <w:rsid w:val="00F30662"/>
    <w:rsid w:val="00F3396D"/>
    <w:rsid w:val="00F33D6C"/>
    <w:rsid w:val="00F401C8"/>
    <w:rsid w:val="00F41D75"/>
    <w:rsid w:val="00F5139D"/>
    <w:rsid w:val="00F52E8F"/>
    <w:rsid w:val="00F53169"/>
    <w:rsid w:val="00F557B9"/>
    <w:rsid w:val="00F57B68"/>
    <w:rsid w:val="00F57B78"/>
    <w:rsid w:val="00F6041A"/>
    <w:rsid w:val="00F610A5"/>
    <w:rsid w:val="00F61B64"/>
    <w:rsid w:val="00F63597"/>
    <w:rsid w:val="00F636BA"/>
    <w:rsid w:val="00F63DAC"/>
    <w:rsid w:val="00F654F6"/>
    <w:rsid w:val="00F661F3"/>
    <w:rsid w:val="00F700F6"/>
    <w:rsid w:val="00F7154D"/>
    <w:rsid w:val="00F72123"/>
    <w:rsid w:val="00F7454F"/>
    <w:rsid w:val="00F75C9D"/>
    <w:rsid w:val="00F7700A"/>
    <w:rsid w:val="00F7729F"/>
    <w:rsid w:val="00F77988"/>
    <w:rsid w:val="00F77F48"/>
    <w:rsid w:val="00F822B2"/>
    <w:rsid w:val="00F83893"/>
    <w:rsid w:val="00F85ACD"/>
    <w:rsid w:val="00F9136E"/>
    <w:rsid w:val="00F9181E"/>
    <w:rsid w:val="00F93FDD"/>
    <w:rsid w:val="00F968D2"/>
    <w:rsid w:val="00FA2E72"/>
    <w:rsid w:val="00FA50F8"/>
    <w:rsid w:val="00FA6388"/>
    <w:rsid w:val="00FA6AAD"/>
    <w:rsid w:val="00FA6DEF"/>
    <w:rsid w:val="00FB0994"/>
    <w:rsid w:val="00FB2AB7"/>
    <w:rsid w:val="00FB30F1"/>
    <w:rsid w:val="00FB4645"/>
    <w:rsid w:val="00FB53E7"/>
    <w:rsid w:val="00FB7127"/>
    <w:rsid w:val="00FB730C"/>
    <w:rsid w:val="00FC069D"/>
    <w:rsid w:val="00FC3BD9"/>
    <w:rsid w:val="00FC4DD8"/>
    <w:rsid w:val="00FC77BD"/>
    <w:rsid w:val="00FD0315"/>
    <w:rsid w:val="00FD03BB"/>
    <w:rsid w:val="00FD2A8A"/>
    <w:rsid w:val="00FD3C42"/>
    <w:rsid w:val="00FD721E"/>
    <w:rsid w:val="00FD7C91"/>
    <w:rsid w:val="00FE0A8B"/>
    <w:rsid w:val="00FE63AB"/>
    <w:rsid w:val="00FF2308"/>
    <w:rsid w:val="00FF4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6A81F58"/>
  <w15:chartTrackingRefBased/>
  <w15:docId w15:val="{D81BC03D-F1AD-4242-924D-8A0283DB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Indent" w:uiPriority="99"/>
    <w:lsdException w:name="Subtitle" w:qFormat="1"/>
    <w:lsdException w:name="Body Text 2" w:uiPriority="99"/>
    <w:lsdException w:name="Body Text Indent 2" w:uiPriority="99"/>
    <w:lsdException w:name="Hyperlink" w:uiPriority="99"/>
    <w:lsdException w:name="Strong" w:uiPriority="22" w:qFormat="1"/>
    <w:lsdException w:name="Emphasis" w:uiPriority="20" w:qFormat="1"/>
    <w:lsdException w:name="Document Map"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link w:val="Heading3Char"/>
    <w:uiPriority w:val="9"/>
    <w:qFormat/>
    <w:rsid w:val="000E1B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uiPriority w:val="99"/>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9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customStyle="1" w:styleId="a">
    <w:name w:val="a"/>
    <w:basedOn w:val="Normal"/>
    <w:uiPriority w:val="99"/>
    <w:rsid w:val="00F04F09"/>
    <w:pPr>
      <w:spacing w:before="100" w:beforeAutospacing="1" w:after="100" w:afterAutospacing="1"/>
    </w:pPr>
    <w:rPr>
      <w:color w:val="306060"/>
    </w:rPr>
  </w:style>
  <w:style w:type="paragraph" w:styleId="NormalWeb">
    <w:name w:val="Normal (Web)"/>
    <w:basedOn w:val="Normal"/>
    <w:rsid w:val="00363A99"/>
    <w:pPr>
      <w:spacing w:before="100" w:beforeAutospacing="1" w:after="100" w:afterAutospacing="1"/>
    </w:pPr>
    <w:rPr>
      <w:lang w:val="en-GB" w:eastAsia="en-GB"/>
    </w:rPr>
  </w:style>
  <w:style w:type="paragraph" w:customStyle="1" w:styleId="labojumupamats">
    <w:name w:val="labojumu_pamats"/>
    <w:basedOn w:val="Normal"/>
    <w:rsid w:val="009A617C"/>
    <w:pPr>
      <w:spacing w:before="100" w:beforeAutospacing="1" w:after="100" w:afterAutospacing="1"/>
    </w:pPr>
  </w:style>
  <w:style w:type="character" w:customStyle="1" w:styleId="apple-style-span">
    <w:name w:val="apple-style-span"/>
    <w:uiPriority w:val="99"/>
    <w:rsid w:val="009A617C"/>
  </w:style>
  <w:style w:type="paragraph" w:styleId="BodyTextIndent2">
    <w:name w:val="Body Text Indent 2"/>
    <w:basedOn w:val="Normal"/>
    <w:link w:val="BodyTextIndent2Char"/>
    <w:uiPriority w:val="99"/>
    <w:rsid w:val="009A617C"/>
    <w:pPr>
      <w:spacing w:after="120" w:line="480" w:lineRule="auto"/>
      <w:ind w:left="283"/>
    </w:pPr>
  </w:style>
  <w:style w:type="character" w:customStyle="1" w:styleId="BodyTextIndent2Char">
    <w:name w:val="Body Text Indent 2 Char"/>
    <w:link w:val="BodyTextIndent2"/>
    <w:uiPriority w:val="99"/>
    <w:rsid w:val="009A617C"/>
    <w:rPr>
      <w:sz w:val="24"/>
      <w:szCs w:val="24"/>
    </w:rPr>
  </w:style>
  <w:style w:type="character" w:customStyle="1" w:styleId="HeaderChar">
    <w:name w:val="Header Char"/>
    <w:link w:val="Header"/>
    <w:uiPriority w:val="99"/>
    <w:rsid w:val="009A617C"/>
    <w:rPr>
      <w:sz w:val="24"/>
      <w:szCs w:val="24"/>
    </w:rPr>
  </w:style>
  <w:style w:type="character" w:customStyle="1" w:styleId="BalloonTextChar">
    <w:name w:val="Balloon Text Char"/>
    <w:link w:val="BalloonText"/>
    <w:uiPriority w:val="99"/>
    <w:semiHidden/>
    <w:rsid w:val="009A617C"/>
    <w:rPr>
      <w:rFonts w:ascii="Tahoma" w:hAnsi="Tahoma" w:cs="Tahoma"/>
      <w:sz w:val="16"/>
      <w:szCs w:val="16"/>
    </w:rPr>
  </w:style>
  <w:style w:type="character" w:customStyle="1" w:styleId="FootnoteTextChar">
    <w:name w:val="Footnote Text Char"/>
    <w:link w:val="FootnoteText"/>
    <w:uiPriority w:val="99"/>
    <w:semiHidden/>
    <w:rsid w:val="009A617C"/>
  </w:style>
  <w:style w:type="character" w:customStyle="1" w:styleId="CommentSubjectChar">
    <w:name w:val="Comment Subject Char"/>
    <w:link w:val="CommentSubject"/>
    <w:uiPriority w:val="99"/>
    <w:semiHidden/>
    <w:rsid w:val="009A617C"/>
    <w:rPr>
      <w:b/>
      <w:bCs/>
    </w:rPr>
  </w:style>
  <w:style w:type="character" w:customStyle="1" w:styleId="DocumentMapChar">
    <w:name w:val="Document Map Char"/>
    <w:link w:val="DocumentMap"/>
    <w:uiPriority w:val="99"/>
    <w:semiHidden/>
    <w:rsid w:val="009A617C"/>
    <w:rPr>
      <w:rFonts w:ascii="Tahoma" w:hAnsi="Tahoma" w:cs="Tahoma"/>
      <w:shd w:val="clear" w:color="auto" w:fill="000080"/>
    </w:rPr>
  </w:style>
  <w:style w:type="paragraph" w:styleId="ListParagraph">
    <w:name w:val="List Paragraph"/>
    <w:basedOn w:val="Normal"/>
    <w:uiPriority w:val="34"/>
    <w:qFormat/>
    <w:rsid w:val="009A617C"/>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9A617C"/>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link w:val="BodyText2"/>
    <w:uiPriority w:val="99"/>
    <w:rsid w:val="009A617C"/>
    <w:rPr>
      <w:b/>
      <w:bCs/>
      <w:sz w:val="28"/>
      <w:szCs w:val="28"/>
      <w:lang w:eastAsia="en-US"/>
    </w:rPr>
  </w:style>
  <w:style w:type="paragraph" w:customStyle="1" w:styleId="Default">
    <w:name w:val="Default"/>
    <w:uiPriority w:val="99"/>
    <w:rsid w:val="009A617C"/>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9A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A617C"/>
    <w:rPr>
      <w:rFonts w:ascii="Courier New" w:hAnsi="Courier New" w:cs="Courier New"/>
    </w:rPr>
  </w:style>
  <w:style w:type="paragraph" w:styleId="BodyTextIndent">
    <w:name w:val="Body Text Indent"/>
    <w:basedOn w:val="Normal"/>
    <w:link w:val="BodyTextIndentChar"/>
    <w:uiPriority w:val="99"/>
    <w:rsid w:val="009A617C"/>
    <w:pPr>
      <w:spacing w:after="120"/>
      <w:ind w:left="283"/>
    </w:pPr>
  </w:style>
  <w:style w:type="character" w:customStyle="1" w:styleId="BodyTextIndentChar">
    <w:name w:val="Body Text Indent Char"/>
    <w:link w:val="BodyTextIndent"/>
    <w:uiPriority w:val="99"/>
    <w:rsid w:val="009A617C"/>
    <w:rPr>
      <w:sz w:val="24"/>
      <w:szCs w:val="24"/>
    </w:rPr>
  </w:style>
  <w:style w:type="paragraph" w:customStyle="1" w:styleId="tvhtmlmktable">
    <w:name w:val="tv_html mk_table"/>
    <w:basedOn w:val="Normal"/>
    <w:uiPriority w:val="99"/>
    <w:rsid w:val="009A617C"/>
    <w:pPr>
      <w:spacing w:before="100" w:beforeAutospacing="1" w:after="100" w:afterAutospacing="1"/>
    </w:pPr>
    <w:rPr>
      <w:rFonts w:ascii="Verdana" w:hAnsi="Verdana"/>
      <w:sz w:val="12"/>
      <w:szCs w:val="12"/>
    </w:rPr>
  </w:style>
  <w:style w:type="paragraph" w:styleId="Revision">
    <w:name w:val="Revision"/>
    <w:hidden/>
    <w:uiPriority w:val="99"/>
    <w:semiHidden/>
    <w:rsid w:val="009A617C"/>
    <w:rPr>
      <w:sz w:val="24"/>
      <w:szCs w:val="24"/>
    </w:rPr>
  </w:style>
  <w:style w:type="paragraph" w:customStyle="1" w:styleId="b">
    <w:name w:val="b"/>
    <w:basedOn w:val="Normal"/>
    <w:uiPriority w:val="99"/>
    <w:rsid w:val="009A617C"/>
    <w:pPr>
      <w:spacing w:before="100" w:beforeAutospacing="1" w:after="100" w:afterAutospacing="1"/>
    </w:pPr>
    <w:rPr>
      <w:color w:val="306060"/>
    </w:rPr>
  </w:style>
  <w:style w:type="character" w:customStyle="1" w:styleId="Heading3Char">
    <w:name w:val="Heading 3 Char"/>
    <w:link w:val="Heading3"/>
    <w:uiPriority w:val="9"/>
    <w:rsid w:val="000E1B00"/>
    <w:rPr>
      <w:b/>
      <w:bCs/>
      <w:sz w:val="27"/>
      <w:szCs w:val="27"/>
    </w:rPr>
  </w:style>
  <w:style w:type="paragraph" w:customStyle="1" w:styleId="tv213">
    <w:name w:val="tv213"/>
    <w:basedOn w:val="Normal"/>
    <w:rsid w:val="001C347C"/>
    <w:pPr>
      <w:spacing w:before="100" w:beforeAutospacing="1" w:after="100" w:afterAutospacing="1"/>
    </w:pPr>
  </w:style>
  <w:style w:type="paragraph" w:styleId="BodyText">
    <w:name w:val="Body Text"/>
    <w:basedOn w:val="Normal"/>
    <w:link w:val="BodyTextChar"/>
    <w:rsid w:val="00B95F70"/>
    <w:pPr>
      <w:spacing w:after="120"/>
    </w:pPr>
  </w:style>
  <w:style w:type="character" w:customStyle="1" w:styleId="BodyTextChar">
    <w:name w:val="Body Text Char"/>
    <w:link w:val="BodyText"/>
    <w:rsid w:val="00B95F70"/>
    <w:rPr>
      <w:sz w:val="24"/>
      <w:szCs w:val="24"/>
    </w:rPr>
  </w:style>
  <w:style w:type="paragraph" w:customStyle="1" w:styleId="HE1F">
    <w:name w:val="HE1 F"/>
    <w:basedOn w:val="Normal"/>
    <w:qFormat/>
    <w:rsid w:val="00320344"/>
    <w:pPr>
      <w:keepNext/>
      <w:keepLines/>
      <w:numPr>
        <w:numId w:val="29"/>
      </w:numPr>
      <w:spacing w:before="120" w:after="240"/>
      <w:ind w:left="1077" w:hanging="357"/>
      <w:jc w:val="center"/>
      <w:outlineLvl w:val="1"/>
    </w:pPr>
    <w:rPr>
      <w:b/>
      <w:bCs/>
      <w:sz w:val="28"/>
      <w:szCs w:val="28"/>
      <w:lang w:val="x-none" w:eastAsia="x-none"/>
    </w:rPr>
  </w:style>
  <w:style w:type="paragraph" w:customStyle="1" w:styleId="HE2F">
    <w:name w:val="HE2 F"/>
    <w:basedOn w:val="HE1F"/>
    <w:qFormat/>
    <w:rsid w:val="00320344"/>
    <w:pPr>
      <w:numPr>
        <w:ilvl w:val="1"/>
      </w:numPr>
      <w:ind w:left="425" w:hanging="425"/>
      <w:jc w:val="left"/>
    </w:pPr>
  </w:style>
  <w:style w:type="paragraph" w:customStyle="1" w:styleId="HE3F">
    <w:name w:val="HE3 F"/>
    <w:basedOn w:val="HE2F"/>
    <w:qFormat/>
    <w:rsid w:val="00320344"/>
    <w:pPr>
      <w:numPr>
        <w:ilvl w:val="2"/>
      </w:numPr>
      <w:spacing w:before="240"/>
      <w:ind w:left="992" w:hanging="992"/>
    </w:pPr>
  </w:style>
  <w:style w:type="paragraph" w:customStyle="1" w:styleId="HE4F">
    <w:name w:val="HE4 F"/>
    <w:basedOn w:val="HE3F"/>
    <w:qFormat/>
    <w:rsid w:val="00320344"/>
    <w:pPr>
      <w:numPr>
        <w:ilvl w:val="3"/>
      </w:numPr>
    </w:pPr>
    <w:rPr>
      <w:sz w:val="24"/>
      <w:szCs w:val="24"/>
    </w:rPr>
  </w:style>
  <w:style w:type="paragraph" w:customStyle="1" w:styleId="Style">
    <w:name w:val="Style"/>
    <w:basedOn w:val="Normal"/>
    <w:rsid w:val="0090289C"/>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94009">
      <w:bodyDiv w:val="1"/>
      <w:marLeft w:val="0"/>
      <w:marRight w:val="0"/>
      <w:marTop w:val="0"/>
      <w:marBottom w:val="0"/>
      <w:divBdr>
        <w:top w:val="none" w:sz="0" w:space="0" w:color="auto"/>
        <w:left w:val="none" w:sz="0" w:space="0" w:color="auto"/>
        <w:bottom w:val="none" w:sz="0" w:space="0" w:color="auto"/>
        <w:right w:val="none" w:sz="0" w:space="0" w:color="auto"/>
      </w:divBdr>
    </w:div>
    <w:div w:id="377974527">
      <w:bodyDiv w:val="1"/>
      <w:marLeft w:val="0"/>
      <w:marRight w:val="0"/>
      <w:marTop w:val="0"/>
      <w:marBottom w:val="0"/>
      <w:divBdr>
        <w:top w:val="none" w:sz="0" w:space="0" w:color="auto"/>
        <w:left w:val="none" w:sz="0" w:space="0" w:color="auto"/>
        <w:bottom w:val="none" w:sz="0" w:space="0" w:color="auto"/>
        <w:right w:val="none" w:sz="0" w:space="0" w:color="auto"/>
      </w:divBdr>
      <w:divsChild>
        <w:div w:id="1955361113">
          <w:marLeft w:val="0"/>
          <w:marRight w:val="0"/>
          <w:marTop w:val="0"/>
          <w:marBottom w:val="0"/>
          <w:divBdr>
            <w:top w:val="none" w:sz="0" w:space="0" w:color="auto"/>
            <w:left w:val="none" w:sz="0" w:space="0" w:color="auto"/>
            <w:bottom w:val="none" w:sz="0" w:space="0" w:color="auto"/>
            <w:right w:val="none" w:sz="0" w:space="0" w:color="auto"/>
          </w:divBdr>
          <w:divsChild>
            <w:div w:id="85466067">
              <w:marLeft w:val="0"/>
              <w:marRight w:val="0"/>
              <w:marTop w:val="0"/>
              <w:marBottom w:val="0"/>
              <w:divBdr>
                <w:top w:val="none" w:sz="0" w:space="0" w:color="auto"/>
                <w:left w:val="none" w:sz="0" w:space="0" w:color="auto"/>
                <w:bottom w:val="none" w:sz="0" w:space="0" w:color="auto"/>
                <w:right w:val="none" w:sz="0" w:space="0" w:color="auto"/>
              </w:divBdr>
              <w:divsChild>
                <w:div w:id="1433238120">
                  <w:marLeft w:val="0"/>
                  <w:marRight w:val="0"/>
                  <w:marTop w:val="0"/>
                  <w:marBottom w:val="0"/>
                  <w:divBdr>
                    <w:top w:val="none" w:sz="0" w:space="0" w:color="auto"/>
                    <w:left w:val="none" w:sz="0" w:space="0" w:color="auto"/>
                    <w:bottom w:val="none" w:sz="0" w:space="0" w:color="auto"/>
                    <w:right w:val="none" w:sz="0" w:space="0" w:color="auto"/>
                  </w:divBdr>
                  <w:divsChild>
                    <w:div w:id="1808008031">
                      <w:marLeft w:val="0"/>
                      <w:marRight w:val="0"/>
                      <w:marTop w:val="0"/>
                      <w:marBottom w:val="0"/>
                      <w:divBdr>
                        <w:top w:val="none" w:sz="0" w:space="0" w:color="auto"/>
                        <w:left w:val="none" w:sz="0" w:space="0" w:color="auto"/>
                        <w:bottom w:val="none" w:sz="0" w:space="0" w:color="auto"/>
                        <w:right w:val="none" w:sz="0" w:space="0" w:color="auto"/>
                      </w:divBdr>
                      <w:divsChild>
                        <w:div w:id="1763644248">
                          <w:marLeft w:val="0"/>
                          <w:marRight w:val="0"/>
                          <w:marTop w:val="0"/>
                          <w:marBottom w:val="0"/>
                          <w:divBdr>
                            <w:top w:val="none" w:sz="0" w:space="0" w:color="auto"/>
                            <w:left w:val="none" w:sz="0" w:space="0" w:color="auto"/>
                            <w:bottom w:val="none" w:sz="0" w:space="0" w:color="auto"/>
                            <w:right w:val="none" w:sz="0" w:space="0" w:color="auto"/>
                          </w:divBdr>
                          <w:divsChild>
                            <w:div w:id="7474572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04237">
      <w:bodyDiv w:val="1"/>
      <w:marLeft w:val="0"/>
      <w:marRight w:val="0"/>
      <w:marTop w:val="0"/>
      <w:marBottom w:val="0"/>
      <w:divBdr>
        <w:top w:val="none" w:sz="0" w:space="0" w:color="auto"/>
        <w:left w:val="none" w:sz="0" w:space="0" w:color="auto"/>
        <w:bottom w:val="none" w:sz="0" w:space="0" w:color="auto"/>
        <w:right w:val="none" w:sz="0" w:space="0" w:color="auto"/>
      </w:divBdr>
    </w:div>
    <w:div w:id="681124717">
      <w:bodyDiv w:val="1"/>
      <w:marLeft w:val="0"/>
      <w:marRight w:val="0"/>
      <w:marTop w:val="0"/>
      <w:marBottom w:val="0"/>
      <w:divBdr>
        <w:top w:val="none" w:sz="0" w:space="0" w:color="auto"/>
        <w:left w:val="none" w:sz="0" w:space="0" w:color="auto"/>
        <w:bottom w:val="none" w:sz="0" w:space="0" w:color="auto"/>
        <w:right w:val="none" w:sz="0" w:space="0" w:color="auto"/>
      </w:divBdr>
      <w:divsChild>
        <w:div w:id="2033995682">
          <w:marLeft w:val="0"/>
          <w:marRight w:val="0"/>
          <w:marTop w:val="0"/>
          <w:marBottom w:val="0"/>
          <w:divBdr>
            <w:top w:val="none" w:sz="0" w:space="0" w:color="auto"/>
            <w:left w:val="none" w:sz="0" w:space="0" w:color="auto"/>
            <w:bottom w:val="none" w:sz="0" w:space="0" w:color="auto"/>
            <w:right w:val="none" w:sz="0" w:space="0" w:color="auto"/>
          </w:divBdr>
          <w:divsChild>
            <w:div w:id="1559390332">
              <w:marLeft w:val="0"/>
              <w:marRight w:val="0"/>
              <w:marTop w:val="0"/>
              <w:marBottom w:val="0"/>
              <w:divBdr>
                <w:top w:val="none" w:sz="0" w:space="0" w:color="auto"/>
                <w:left w:val="none" w:sz="0" w:space="0" w:color="auto"/>
                <w:bottom w:val="none" w:sz="0" w:space="0" w:color="auto"/>
                <w:right w:val="none" w:sz="0" w:space="0" w:color="auto"/>
              </w:divBdr>
              <w:divsChild>
                <w:div w:id="1430814685">
                  <w:marLeft w:val="0"/>
                  <w:marRight w:val="0"/>
                  <w:marTop w:val="0"/>
                  <w:marBottom w:val="0"/>
                  <w:divBdr>
                    <w:top w:val="none" w:sz="0" w:space="0" w:color="auto"/>
                    <w:left w:val="none" w:sz="0" w:space="0" w:color="auto"/>
                    <w:bottom w:val="none" w:sz="0" w:space="0" w:color="auto"/>
                    <w:right w:val="none" w:sz="0" w:space="0" w:color="auto"/>
                  </w:divBdr>
                  <w:divsChild>
                    <w:div w:id="1097360807">
                      <w:marLeft w:val="0"/>
                      <w:marRight w:val="0"/>
                      <w:marTop w:val="0"/>
                      <w:marBottom w:val="0"/>
                      <w:divBdr>
                        <w:top w:val="none" w:sz="0" w:space="0" w:color="auto"/>
                        <w:left w:val="none" w:sz="0" w:space="0" w:color="auto"/>
                        <w:bottom w:val="none" w:sz="0" w:space="0" w:color="auto"/>
                        <w:right w:val="none" w:sz="0" w:space="0" w:color="auto"/>
                      </w:divBdr>
                      <w:divsChild>
                        <w:div w:id="1763260304">
                          <w:marLeft w:val="0"/>
                          <w:marRight w:val="0"/>
                          <w:marTop w:val="0"/>
                          <w:marBottom w:val="0"/>
                          <w:divBdr>
                            <w:top w:val="none" w:sz="0" w:space="0" w:color="auto"/>
                            <w:left w:val="none" w:sz="0" w:space="0" w:color="auto"/>
                            <w:bottom w:val="none" w:sz="0" w:space="0" w:color="auto"/>
                            <w:right w:val="none" w:sz="0" w:space="0" w:color="auto"/>
                          </w:divBdr>
                          <w:divsChild>
                            <w:div w:id="30508584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1446198417">
      <w:bodyDiv w:val="1"/>
      <w:marLeft w:val="0"/>
      <w:marRight w:val="0"/>
      <w:marTop w:val="0"/>
      <w:marBottom w:val="0"/>
      <w:divBdr>
        <w:top w:val="none" w:sz="0" w:space="0" w:color="auto"/>
        <w:left w:val="none" w:sz="0" w:space="0" w:color="auto"/>
        <w:bottom w:val="none" w:sz="0" w:space="0" w:color="auto"/>
        <w:right w:val="none" w:sz="0" w:space="0" w:color="auto"/>
      </w:divBdr>
    </w:div>
    <w:div w:id="1660302069">
      <w:bodyDiv w:val="1"/>
      <w:marLeft w:val="0"/>
      <w:marRight w:val="0"/>
      <w:marTop w:val="0"/>
      <w:marBottom w:val="0"/>
      <w:divBdr>
        <w:top w:val="none" w:sz="0" w:space="0" w:color="auto"/>
        <w:left w:val="none" w:sz="0" w:space="0" w:color="auto"/>
        <w:bottom w:val="none" w:sz="0" w:space="0" w:color="auto"/>
        <w:right w:val="none" w:sz="0" w:space="0" w:color="auto"/>
      </w:divBdr>
    </w:div>
    <w:div w:id="1663119899">
      <w:bodyDiv w:val="1"/>
      <w:marLeft w:val="0"/>
      <w:marRight w:val="0"/>
      <w:marTop w:val="0"/>
      <w:marBottom w:val="0"/>
      <w:divBdr>
        <w:top w:val="none" w:sz="0" w:space="0" w:color="auto"/>
        <w:left w:val="none" w:sz="0" w:space="0" w:color="auto"/>
        <w:bottom w:val="none" w:sz="0" w:space="0" w:color="auto"/>
        <w:right w:val="none" w:sz="0" w:space="0" w:color="auto"/>
      </w:divBdr>
    </w:div>
    <w:div w:id="1816944405">
      <w:bodyDiv w:val="1"/>
      <w:marLeft w:val="0"/>
      <w:marRight w:val="0"/>
      <w:marTop w:val="0"/>
      <w:marBottom w:val="0"/>
      <w:divBdr>
        <w:top w:val="none" w:sz="0" w:space="0" w:color="auto"/>
        <w:left w:val="none" w:sz="0" w:space="0" w:color="auto"/>
        <w:bottom w:val="none" w:sz="0" w:space="0" w:color="auto"/>
        <w:right w:val="none" w:sz="0" w:space="0" w:color="auto"/>
      </w:divBdr>
    </w:div>
    <w:div w:id="1860503053">
      <w:bodyDiv w:val="1"/>
      <w:marLeft w:val="0"/>
      <w:marRight w:val="0"/>
      <w:marTop w:val="0"/>
      <w:marBottom w:val="0"/>
      <w:divBdr>
        <w:top w:val="none" w:sz="0" w:space="0" w:color="auto"/>
        <w:left w:val="none" w:sz="0" w:space="0" w:color="auto"/>
        <w:bottom w:val="none" w:sz="0" w:space="0" w:color="auto"/>
        <w:right w:val="none" w:sz="0" w:space="0" w:color="auto"/>
      </w:divBdr>
    </w:div>
    <w:div w:id="2041667077">
      <w:bodyDiv w:val="1"/>
      <w:marLeft w:val="0"/>
      <w:marRight w:val="0"/>
      <w:marTop w:val="0"/>
      <w:marBottom w:val="0"/>
      <w:divBdr>
        <w:top w:val="none" w:sz="0" w:space="0" w:color="auto"/>
        <w:left w:val="none" w:sz="0" w:space="0" w:color="auto"/>
        <w:bottom w:val="none" w:sz="0" w:space="0" w:color="auto"/>
        <w:right w:val="none" w:sz="0" w:space="0" w:color="auto"/>
      </w:divBdr>
    </w:div>
    <w:div w:id="2104719780">
      <w:bodyDiv w:val="1"/>
      <w:marLeft w:val="0"/>
      <w:marRight w:val="0"/>
      <w:marTop w:val="0"/>
      <w:marBottom w:val="0"/>
      <w:divBdr>
        <w:top w:val="none" w:sz="0" w:space="0" w:color="auto"/>
        <w:left w:val="none" w:sz="0" w:space="0" w:color="auto"/>
        <w:bottom w:val="none" w:sz="0" w:space="0" w:color="auto"/>
        <w:right w:val="none" w:sz="0" w:space="0" w:color="auto"/>
      </w:divBdr>
    </w:div>
    <w:div w:id="2116753248">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911F-AE8E-4575-95F5-8340752C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7707</Words>
  <Characters>4394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Likumprojekta „Grozījumi Zinātniskās darbības likumā”  sākotnējās ietekmes novērtējuma ziņojums (anotācija)</vt:lpstr>
    </vt:vector>
  </TitlesOfParts>
  <Company>Izglītības un zinātnes ministrija</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Zinātniskās darbības likumā”  sākotnējās ietekmes novērtējuma ziņojums (anotācija)</dc:title>
  <dc:subject>anotācijas projekts</dc:subject>
  <dc:creator>L.Treimane</dc:creator>
  <cp:keywords/>
  <dc:description>Laura.Treimane@izm.gov.lv; 67047966</dc:description>
  <cp:lastModifiedBy>Laura Treimane</cp:lastModifiedBy>
  <cp:revision>2</cp:revision>
  <cp:lastPrinted>2015-12-14T14:22:00Z</cp:lastPrinted>
  <dcterms:created xsi:type="dcterms:W3CDTF">2015-12-14T14:25:00Z</dcterms:created>
  <dcterms:modified xsi:type="dcterms:W3CDTF">2015-12-14T14:25:00Z</dcterms:modified>
</cp:coreProperties>
</file>