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0E9AD003" w:rsidR="00F86C1C" w:rsidRPr="00CD592E" w:rsidRDefault="00F23F1D" w:rsidP="00875F5E">
      <w:pPr>
        <w:pStyle w:val="tv2121"/>
        <w:spacing w:before="0" w:line="240" w:lineRule="auto"/>
        <w:rPr>
          <w:rFonts w:ascii="Times New Roman" w:hAnsi="Times New Roman"/>
          <w:sz w:val="23"/>
          <w:szCs w:val="23"/>
        </w:rPr>
      </w:pPr>
      <w:bookmarkStart w:id="0" w:name="372832"/>
      <w:r w:rsidRPr="00CD592E">
        <w:rPr>
          <w:rFonts w:ascii="Times New Roman" w:hAnsi="Times New Roman"/>
          <w:bCs w:val="0"/>
          <w:sz w:val="23"/>
          <w:szCs w:val="23"/>
        </w:rPr>
        <w:t>Ministru kabineta noteikumu</w:t>
      </w:r>
      <w:bookmarkEnd w:id="0"/>
      <w:r w:rsidR="00660D3B" w:rsidRPr="00CD592E">
        <w:rPr>
          <w:rFonts w:ascii="Times New Roman" w:hAnsi="Times New Roman"/>
          <w:bCs w:val="0"/>
          <w:sz w:val="23"/>
          <w:szCs w:val="23"/>
        </w:rPr>
        <w:t xml:space="preserve"> </w:t>
      </w:r>
      <w:r w:rsidR="00047AA5" w:rsidRPr="00CD592E">
        <w:rPr>
          <w:rFonts w:ascii="Times New Roman" w:hAnsi="Times New Roman"/>
          <w:bCs w:val="0"/>
          <w:sz w:val="23"/>
          <w:szCs w:val="23"/>
        </w:rPr>
        <w:t>“</w:t>
      </w:r>
      <w:r w:rsidR="00174E03" w:rsidRPr="00CD592E">
        <w:rPr>
          <w:rFonts w:ascii="Times New Roman" w:hAnsi="Times New Roman"/>
          <w:sz w:val="23"/>
          <w:szCs w:val="23"/>
        </w:rPr>
        <w:t xml:space="preserve">Grozījumi “Ministru kabineta </w:t>
      </w:r>
      <w:proofErr w:type="gramStart"/>
      <w:r w:rsidR="00174E03" w:rsidRPr="00CD592E">
        <w:rPr>
          <w:rFonts w:ascii="Times New Roman" w:hAnsi="Times New Roman"/>
          <w:sz w:val="23"/>
          <w:szCs w:val="23"/>
        </w:rPr>
        <w:t>2014.gada</w:t>
      </w:r>
      <w:proofErr w:type="gramEnd"/>
      <w:r w:rsidR="00174E03" w:rsidRPr="00CD592E">
        <w:rPr>
          <w:rFonts w:ascii="Times New Roman" w:hAnsi="Times New Roman"/>
          <w:sz w:val="23"/>
          <w:szCs w:val="23"/>
        </w:rPr>
        <w:t xml:space="preserve"> 23.decembra noteikumos Nr.836 “Darbības programmas “Iz</w:t>
      </w:r>
      <w:r w:rsidR="0037120C" w:rsidRPr="00CD592E">
        <w:rPr>
          <w:rFonts w:ascii="Times New Roman" w:hAnsi="Times New Roman"/>
          <w:sz w:val="23"/>
          <w:szCs w:val="23"/>
        </w:rPr>
        <w:t>augsme un nodarbinātība” 7.1.1.</w:t>
      </w:r>
      <w:r w:rsidR="00174E03" w:rsidRPr="00CD592E">
        <w:rPr>
          <w:rFonts w:ascii="Times New Roman" w:hAnsi="Times New Roman"/>
          <w:sz w:val="23"/>
          <w:szCs w:val="23"/>
        </w:rPr>
        <w:t>specifiskā atbalsta mērķa “Paaugstināt bezdarbnieku kvalifikāciju un prasmes atbilstoši darba tirgus pieprasījumam” īstenošanas noteikumi”</w:t>
      </w:r>
      <w:r w:rsidR="00E35333" w:rsidRPr="00CD592E">
        <w:rPr>
          <w:rFonts w:ascii="Times New Roman" w:hAnsi="Times New Roman"/>
          <w:sz w:val="23"/>
          <w:szCs w:val="23"/>
        </w:rPr>
        <w:t>”</w:t>
      </w:r>
      <w:r w:rsidR="00F86C1C" w:rsidRPr="00CD592E">
        <w:rPr>
          <w:rFonts w:ascii="Times New Roman" w:hAnsi="Times New Roman"/>
          <w:sz w:val="23"/>
          <w:szCs w:val="23"/>
        </w:rPr>
        <w:t xml:space="preserve"> </w:t>
      </w:r>
      <w:r w:rsidR="00F86C1C" w:rsidRPr="00CD592E">
        <w:rPr>
          <w:rFonts w:ascii="Times New Roman" w:hAnsi="Times New Roman"/>
          <w:bCs w:val="0"/>
          <w:sz w:val="23"/>
          <w:szCs w:val="23"/>
        </w:rPr>
        <w:t>projekta</w:t>
      </w:r>
      <w:r w:rsidR="00F86C1C" w:rsidRPr="00CD592E">
        <w:rPr>
          <w:rFonts w:ascii="Times New Roman" w:hAnsi="Times New Roman"/>
          <w:sz w:val="23"/>
          <w:szCs w:val="23"/>
        </w:rPr>
        <w:t xml:space="preserve"> sākotnējās ietekmes novērtējuma ziņojums (anotācija)</w:t>
      </w:r>
    </w:p>
    <w:p w14:paraId="0092C99C" w14:textId="77777777" w:rsidR="00F21E42" w:rsidRPr="00CD592E" w:rsidRDefault="00F21E42" w:rsidP="00875F5E">
      <w:pPr>
        <w:pStyle w:val="tv2121"/>
        <w:spacing w:before="0" w:line="240" w:lineRule="auto"/>
        <w:rPr>
          <w:rFonts w:ascii="Times New Roman" w:hAnsi="Times New Roman"/>
          <w:sz w:val="23"/>
          <w:szCs w:val="23"/>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399"/>
        <w:gridCol w:w="6804"/>
      </w:tblGrid>
      <w:tr w:rsidR="00CC1A56" w:rsidRPr="00CD592E" w14:paraId="282051D5" w14:textId="77777777" w:rsidTr="0089655E">
        <w:trPr>
          <w:trHeight w:val="419"/>
        </w:trPr>
        <w:tc>
          <w:tcPr>
            <w:tcW w:w="5000" w:type="pct"/>
            <w:gridSpan w:val="3"/>
            <w:vAlign w:val="center"/>
          </w:tcPr>
          <w:p w14:paraId="18E1C3C6" w14:textId="77777777" w:rsidR="00CC1A56" w:rsidRPr="00CD592E" w:rsidRDefault="00CC1A56" w:rsidP="00875F5E">
            <w:pPr>
              <w:pStyle w:val="naisnod"/>
              <w:spacing w:before="0" w:beforeAutospacing="0" w:after="0" w:afterAutospacing="0"/>
              <w:ind w:left="57" w:right="57"/>
              <w:jc w:val="center"/>
              <w:rPr>
                <w:b/>
                <w:sz w:val="23"/>
                <w:szCs w:val="23"/>
              </w:rPr>
            </w:pPr>
            <w:r w:rsidRPr="00CD592E">
              <w:rPr>
                <w:b/>
                <w:sz w:val="23"/>
                <w:szCs w:val="23"/>
              </w:rPr>
              <w:t>I. Tiesību akta projekta izstrādes nepieciešamība</w:t>
            </w:r>
          </w:p>
        </w:tc>
      </w:tr>
      <w:tr w:rsidR="00CC1A56" w:rsidRPr="00CD592E" w14:paraId="137B5A88" w14:textId="77777777" w:rsidTr="00E022DC">
        <w:trPr>
          <w:trHeight w:val="415"/>
        </w:trPr>
        <w:tc>
          <w:tcPr>
            <w:tcW w:w="224" w:type="pct"/>
          </w:tcPr>
          <w:p w14:paraId="7AF0161E" w14:textId="77777777" w:rsidR="00CC1A56" w:rsidRPr="00CD592E" w:rsidRDefault="00CC1A56" w:rsidP="00875F5E">
            <w:pPr>
              <w:pStyle w:val="naiskr"/>
              <w:spacing w:before="0" w:beforeAutospacing="0" w:after="0" w:afterAutospacing="0"/>
              <w:ind w:left="57" w:right="57"/>
              <w:jc w:val="center"/>
              <w:rPr>
                <w:sz w:val="23"/>
                <w:szCs w:val="23"/>
              </w:rPr>
            </w:pPr>
            <w:r w:rsidRPr="00CD592E">
              <w:rPr>
                <w:sz w:val="23"/>
                <w:szCs w:val="23"/>
              </w:rPr>
              <w:t>1.</w:t>
            </w:r>
          </w:p>
        </w:tc>
        <w:tc>
          <w:tcPr>
            <w:tcW w:w="1245" w:type="pct"/>
          </w:tcPr>
          <w:p w14:paraId="678D7083" w14:textId="4D6EBF06" w:rsidR="00026A31" w:rsidRPr="00CD592E" w:rsidRDefault="00CC1A56" w:rsidP="00875F5E">
            <w:pPr>
              <w:pStyle w:val="naiskr"/>
              <w:spacing w:before="0" w:beforeAutospacing="0" w:after="0" w:afterAutospacing="0"/>
              <w:ind w:left="57" w:right="57"/>
              <w:rPr>
                <w:rFonts w:eastAsiaTheme="minorHAnsi"/>
                <w:sz w:val="23"/>
                <w:szCs w:val="23"/>
                <w:shd w:val="clear" w:color="auto" w:fill="FFFFFF"/>
                <w:lang w:eastAsia="en-US"/>
              </w:rPr>
            </w:pPr>
            <w:r w:rsidRPr="00CD592E">
              <w:rPr>
                <w:rFonts w:eastAsiaTheme="minorHAnsi"/>
                <w:sz w:val="23"/>
                <w:szCs w:val="23"/>
                <w:shd w:val="clear" w:color="auto" w:fill="FFFFFF"/>
                <w:lang w:eastAsia="en-US"/>
              </w:rPr>
              <w:t>Pamatojums</w:t>
            </w:r>
          </w:p>
          <w:p w14:paraId="2CA3292A" w14:textId="77777777" w:rsidR="00CC1A56" w:rsidRPr="00CD592E" w:rsidRDefault="00CC1A56" w:rsidP="00875F5E">
            <w:pPr>
              <w:spacing w:after="0" w:line="240" w:lineRule="auto"/>
              <w:ind w:firstLine="720"/>
              <w:rPr>
                <w:rFonts w:ascii="Times New Roman" w:hAnsi="Times New Roman" w:cs="Times New Roman"/>
                <w:sz w:val="23"/>
                <w:szCs w:val="23"/>
                <w:shd w:val="clear" w:color="auto" w:fill="FFFFFF"/>
              </w:rPr>
            </w:pPr>
          </w:p>
        </w:tc>
        <w:tc>
          <w:tcPr>
            <w:tcW w:w="3531" w:type="pct"/>
          </w:tcPr>
          <w:p w14:paraId="382235EB" w14:textId="4F8E5B0C" w:rsidR="00174E03" w:rsidRPr="00CD592E" w:rsidRDefault="00467554" w:rsidP="00970EAA">
            <w:pPr>
              <w:spacing w:after="0" w:line="240" w:lineRule="auto"/>
              <w:ind w:left="57" w:right="113"/>
              <w:jc w:val="both"/>
              <w:rPr>
                <w:rFonts w:ascii="Times New Roman" w:hAnsi="Times New Roman" w:cs="Times New Roman"/>
                <w:b/>
                <w:bCs/>
                <w:sz w:val="23"/>
                <w:szCs w:val="23"/>
                <w:shd w:val="clear" w:color="auto" w:fill="FFFFFF"/>
              </w:rPr>
            </w:pPr>
            <w:r w:rsidRPr="00CD592E">
              <w:rPr>
                <w:rFonts w:ascii="Times New Roman" w:hAnsi="Times New Roman" w:cs="Times New Roman"/>
                <w:sz w:val="23"/>
                <w:szCs w:val="23"/>
                <w:shd w:val="clear" w:color="auto" w:fill="FFFFFF"/>
              </w:rPr>
              <w:t>Ministru kabineta</w:t>
            </w:r>
            <w:r w:rsidR="0089655E" w:rsidRPr="00CD592E">
              <w:rPr>
                <w:rFonts w:ascii="Times New Roman" w:hAnsi="Times New Roman" w:cs="Times New Roman"/>
                <w:sz w:val="23"/>
                <w:szCs w:val="23"/>
                <w:shd w:val="clear" w:color="auto" w:fill="FFFFFF"/>
              </w:rPr>
              <w:t xml:space="preserve"> (turpmāk - MK)</w:t>
            </w:r>
            <w:r w:rsidRPr="00CD592E">
              <w:rPr>
                <w:rFonts w:ascii="Times New Roman" w:hAnsi="Times New Roman" w:cs="Times New Roman"/>
                <w:sz w:val="23"/>
                <w:szCs w:val="23"/>
                <w:shd w:val="clear" w:color="auto" w:fill="FFFFFF"/>
              </w:rPr>
              <w:t xml:space="preserve"> noteikumu projekts </w:t>
            </w:r>
            <w:r w:rsidR="00047AA5" w:rsidRPr="00CD592E">
              <w:rPr>
                <w:rFonts w:ascii="Times New Roman" w:hAnsi="Times New Roman" w:cs="Times New Roman"/>
                <w:sz w:val="23"/>
                <w:szCs w:val="23"/>
                <w:shd w:val="clear" w:color="auto" w:fill="FFFFFF"/>
              </w:rPr>
              <w:t>“</w:t>
            </w:r>
            <w:r w:rsidR="00174E03" w:rsidRPr="00CD592E">
              <w:rPr>
                <w:rFonts w:ascii="Times New Roman" w:hAnsi="Times New Roman" w:cs="Times New Roman"/>
                <w:sz w:val="23"/>
                <w:szCs w:val="23"/>
                <w:shd w:val="clear" w:color="auto" w:fill="FFFFFF"/>
              </w:rPr>
              <w:t xml:space="preserve">Grozījumi “Ministru kabineta </w:t>
            </w:r>
            <w:proofErr w:type="gramStart"/>
            <w:r w:rsidR="00174E03" w:rsidRPr="00CD592E">
              <w:rPr>
                <w:rFonts w:ascii="Times New Roman" w:hAnsi="Times New Roman" w:cs="Times New Roman"/>
                <w:sz w:val="23"/>
                <w:szCs w:val="23"/>
                <w:shd w:val="clear" w:color="auto" w:fill="FFFFFF"/>
              </w:rPr>
              <w:t>2014.gada</w:t>
            </w:r>
            <w:proofErr w:type="gramEnd"/>
            <w:r w:rsidR="00174E03" w:rsidRPr="00CD592E">
              <w:rPr>
                <w:rFonts w:ascii="Times New Roman" w:hAnsi="Times New Roman" w:cs="Times New Roman"/>
                <w:sz w:val="23"/>
                <w:szCs w:val="23"/>
                <w:shd w:val="clear" w:color="auto" w:fill="FFFFFF"/>
              </w:rPr>
              <w:t xml:space="preserve"> 23.decembra noteikumos Nr.836 “Darbības programmas “Izaugsme un nodarbinātība” 7.1.1.specifiskā atbalsta mērķa “Paaugstināt bezdarbnieku kvalifikāciju un prasmes atbilstoši darba tirgus pieprasījumam” īstenošanas noteikumi”</w:t>
            </w:r>
            <w:r w:rsidRPr="00CD592E">
              <w:rPr>
                <w:rFonts w:ascii="Times New Roman" w:hAnsi="Times New Roman" w:cs="Times New Roman"/>
                <w:sz w:val="23"/>
                <w:szCs w:val="23"/>
                <w:shd w:val="clear" w:color="auto" w:fill="FFFFFF"/>
              </w:rPr>
              <w:t>”</w:t>
            </w:r>
            <w:r w:rsidR="0089655E" w:rsidRPr="00CD592E">
              <w:rPr>
                <w:rFonts w:ascii="Times New Roman" w:hAnsi="Times New Roman" w:cs="Times New Roman"/>
                <w:sz w:val="23"/>
                <w:szCs w:val="23"/>
                <w:shd w:val="clear" w:color="auto" w:fill="FFFFFF"/>
              </w:rPr>
              <w:t xml:space="preserve"> (turpmāk – MK noteikumu projekts)</w:t>
            </w:r>
            <w:r w:rsidR="00204981" w:rsidRPr="00CD592E">
              <w:rPr>
                <w:rFonts w:ascii="Times New Roman" w:hAnsi="Times New Roman" w:cs="Times New Roman"/>
                <w:sz w:val="23"/>
                <w:szCs w:val="23"/>
                <w:shd w:val="clear" w:color="auto" w:fill="FFFFFF"/>
              </w:rPr>
              <w:t xml:space="preserve"> </w:t>
            </w:r>
            <w:r w:rsidR="00174E03" w:rsidRPr="00CD592E">
              <w:rPr>
                <w:rFonts w:ascii="Times New Roman" w:hAnsi="Times New Roman" w:cs="Times New Roman"/>
                <w:sz w:val="23"/>
                <w:szCs w:val="23"/>
                <w:shd w:val="clear" w:color="auto" w:fill="FFFFFF"/>
              </w:rPr>
              <w:t>izstrādāts</w:t>
            </w:r>
            <w:r w:rsidR="005E5D66" w:rsidRPr="00CD592E">
              <w:rPr>
                <w:rFonts w:ascii="Times New Roman" w:hAnsi="Times New Roman" w:cs="Times New Roman"/>
                <w:sz w:val="23"/>
                <w:szCs w:val="23"/>
                <w:shd w:val="clear" w:color="auto" w:fill="FFFFFF"/>
              </w:rPr>
              <w:t>, lai nodrošināšanu Eiropas Sociālā fonda kopējo tūlītējo un ilgtermiņa rezultāta rādītāju uzkrāšanu un ziņošanu.</w:t>
            </w:r>
            <w:r w:rsidR="00DD2C81" w:rsidRPr="00CD592E">
              <w:rPr>
                <w:rFonts w:ascii="Times New Roman" w:hAnsi="Times New Roman" w:cs="Times New Roman"/>
                <w:sz w:val="23"/>
                <w:szCs w:val="23"/>
                <w:shd w:val="clear" w:color="auto" w:fill="FFFFFF"/>
              </w:rPr>
              <w:t xml:space="preserve"> Vienlaikus minētais MK noteikumu projekts ir izstrādāts atbilstoši Labklājības ministrijas virzītajam MK informatīvā ziņojumu projektam “Par Nodarbinātības valsts aģentūras kā projekta īstenotāja veiktajiem izdevumiem, kas nevar tikt finansēti no specifiskā atbalsta mērķa vai tā pasākuma attiecināmām izmaksām, Eiropas Savienības struktūrfondu un Kohēzijas fonda 2014.–</w:t>
            </w:r>
            <w:proofErr w:type="gramStart"/>
            <w:r w:rsidR="00DD2C81" w:rsidRPr="00CD592E">
              <w:rPr>
                <w:rFonts w:ascii="Times New Roman" w:hAnsi="Times New Roman" w:cs="Times New Roman"/>
                <w:sz w:val="23"/>
                <w:szCs w:val="23"/>
                <w:shd w:val="clear" w:color="auto" w:fill="FFFFFF"/>
              </w:rPr>
              <w:t>2020.gada</w:t>
            </w:r>
            <w:proofErr w:type="gramEnd"/>
            <w:r w:rsidR="00DD2C81" w:rsidRPr="00CD592E">
              <w:rPr>
                <w:rFonts w:ascii="Times New Roman" w:hAnsi="Times New Roman" w:cs="Times New Roman"/>
                <w:sz w:val="23"/>
                <w:szCs w:val="23"/>
                <w:shd w:val="clear" w:color="auto" w:fill="FFFFFF"/>
              </w:rPr>
              <w:t xml:space="preserve"> plānošanas periodā” </w:t>
            </w:r>
            <w:r w:rsidR="00DD2C81" w:rsidRPr="008826FA">
              <w:rPr>
                <w:rFonts w:ascii="Times New Roman" w:hAnsi="Times New Roman" w:cs="Times New Roman"/>
                <w:sz w:val="23"/>
                <w:szCs w:val="23"/>
                <w:shd w:val="clear" w:color="auto" w:fill="FFFFFF"/>
              </w:rPr>
              <w:t>(</w:t>
            </w:r>
            <w:r w:rsidR="00970EAA" w:rsidRPr="00970EAA">
              <w:rPr>
                <w:rFonts w:ascii="Times New Roman" w:hAnsi="Times New Roman" w:cs="Times New Roman"/>
                <w:sz w:val="23"/>
                <w:szCs w:val="23"/>
                <w:shd w:val="clear" w:color="auto" w:fill="FFFFFF"/>
              </w:rPr>
              <w:t xml:space="preserve">2015.gada 11.decembrī </w:t>
            </w:r>
            <w:r w:rsidR="00DD2C81" w:rsidRPr="00970EAA">
              <w:rPr>
                <w:rFonts w:ascii="Times New Roman" w:hAnsi="Times New Roman" w:cs="Times New Roman"/>
                <w:sz w:val="23"/>
                <w:szCs w:val="23"/>
                <w:shd w:val="clear" w:color="auto" w:fill="FFFFFF"/>
              </w:rPr>
              <w:t xml:space="preserve">nosūtīts </w:t>
            </w:r>
            <w:r w:rsidR="00970EAA" w:rsidRPr="00970EAA">
              <w:rPr>
                <w:rFonts w:ascii="Times New Roman" w:hAnsi="Times New Roman" w:cs="Times New Roman"/>
                <w:sz w:val="23"/>
                <w:szCs w:val="23"/>
                <w:shd w:val="clear" w:color="auto" w:fill="FFFFFF"/>
              </w:rPr>
              <w:t>Valsts kancelejai tālākai virzībai izskatīšanai MK sēdē</w:t>
            </w:r>
            <w:r w:rsidR="00DD2C81" w:rsidRPr="008826FA">
              <w:rPr>
                <w:rFonts w:ascii="Times New Roman" w:hAnsi="Times New Roman" w:cs="Times New Roman"/>
                <w:sz w:val="23"/>
                <w:szCs w:val="23"/>
                <w:shd w:val="clear" w:color="auto" w:fill="FFFFFF"/>
              </w:rPr>
              <w:t>).</w:t>
            </w:r>
          </w:p>
        </w:tc>
      </w:tr>
      <w:tr w:rsidR="00CC1A56" w:rsidRPr="00CD592E" w14:paraId="02E973A7" w14:textId="77777777" w:rsidTr="00E022DC">
        <w:trPr>
          <w:trHeight w:val="472"/>
        </w:trPr>
        <w:tc>
          <w:tcPr>
            <w:tcW w:w="224" w:type="pct"/>
          </w:tcPr>
          <w:p w14:paraId="7E4CC4EE" w14:textId="24D2BC54" w:rsidR="00CC1A56" w:rsidRPr="00CD592E" w:rsidRDefault="00CC1A56" w:rsidP="00875F5E">
            <w:pPr>
              <w:pStyle w:val="naiskr"/>
              <w:spacing w:before="0" w:beforeAutospacing="0" w:after="0" w:afterAutospacing="0"/>
              <w:ind w:left="57" w:right="57"/>
              <w:jc w:val="center"/>
              <w:rPr>
                <w:sz w:val="23"/>
                <w:szCs w:val="23"/>
              </w:rPr>
            </w:pPr>
            <w:r w:rsidRPr="00CD592E">
              <w:rPr>
                <w:sz w:val="23"/>
                <w:szCs w:val="23"/>
              </w:rPr>
              <w:t>2.</w:t>
            </w:r>
          </w:p>
        </w:tc>
        <w:tc>
          <w:tcPr>
            <w:tcW w:w="1245" w:type="pct"/>
          </w:tcPr>
          <w:p w14:paraId="622BE122" w14:textId="3C77003C" w:rsidR="00A01B7A" w:rsidRPr="00CD592E" w:rsidRDefault="00CC1A56" w:rsidP="00875F5E">
            <w:pPr>
              <w:pStyle w:val="naiskr"/>
              <w:tabs>
                <w:tab w:val="left" w:pos="170"/>
              </w:tabs>
              <w:spacing w:before="0" w:beforeAutospacing="0" w:after="0" w:afterAutospacing="0"/>
              <w:ind w:left="57" w:right="57"/>
              <w:rPr>
                <w:sz w:val="23"/>
                <w:szCs w:val="23"/>
              </w:rPr>
            </w:pPr>
            <w:r w:rsidRPr="00CD592E">
              <w:rPr>
                <w:sz w:val="23"/>
                <w:szCs w:val="23"/>
              </w:rPr>
              <w:t>Pašreizējā situācija un problēmas, kuru risināšanai tiesību akta projekts izstrādāts, tiesiskā regulējuma mērķis un būtība</w:t>
            </w:r>
          </w:p>
          <w:p w14:paraId="3C50E4D3" w14:textId="77777777" w:rsidR="00CC1A56" w:rsidRPr="00CD592E" w:rsidRDefault="00CC1A56" w:rsidP="00875F5E">
            <w:pPr>
              <w:spacing w:after="0" w:line="240" w:lineRule="auto"/>
              <w:jc w:val="center"/>
              <w:rPr>
                <w:rFonts w:ascii="Times New Roman" w:hAnsi="Times New Roman" w:cs="Times New Roman"/>
                <w:sz w:val="23"/>
                <w:szCs w:val="23"/>
                <w:lang w:eastAsia="lv-LV"/>
              </w:rPr>
            </w:pPr>
          </w:p>
        </w:tc>
        <w:tc>
          <w:tcPr>
            <w:tcW w:w="3531" w:type="pct"/>
          </w:tcPr>
          <w:p w14:paraId="057BABAF" w14:textId="0D94CF93" w:rsidR="00BF68BE" w:rsidRDefault="00BF68BE" w:rsidP="00875F5E">
            <w:pPr>
              <w:spacing w:after="0" w:line="240" w:lineRule="auto"/>
              <w:ind w:left="57" w:right="113"/>
              <w:jc w:val="both"/>
              <w:rPr>
                <w:rFonts w:ascii="Times New Roman" w:hAnsi="Times New Roman" w:cs="Times New Roman"/>
                <w:bCs/>
                <w:sz w:val="23"/>
                <w:szCs w:val="23"/>
                <w:shd w:val="clear" w:color="auto" w:fill="FFFFFF"/>
              </w:rPr>
            </w:pPr>
            <w:r w:rsidRPr="00CD592E">
              <w:rPr>
                <w:rFonts w:ascii="Times New Roman" w:hAnsi="Times New Roman" w:cs="Times New Roman"/>
                <w:sz w:val="23"/>
                <w:szCs w:val="23"/>
                <w:shd w:val="clear" w:color="auto" w:fill="FFFFFF"/>
              </w:rPr>
              <w:t xml:space="preserve">Lai nodrošinātu tiesību normu salāgošanu un precizētu/papildinātu atsevišķu darbību īstenošanas nosacījumus, ir nepieciešams veikt atbilstošus grozījumus </w:t>
            </w:r>
            <w:r w:rsidRPr="00CD592E">
              <w:rPr>
                <w:rFonts w:ascii="Times New Roman" w:hAnsi="Times New Roman" w:cs="Times New Roman"/>
                <w:bCs/>
                <w:sz w:val="23"/>
                <w:szCs w:val="23"/>
                <w:shd w:val="clear" w:color="auto" w:fill="FFFFFF"/>
              </w:rPr>
              <w:t xml:space="preserve">MK </w:t>
            </w:r>
            <w:proofErr w:type="gramStart"/>
            <w:r w:rsidRPr="00CD592E">
              <w:rPr>
                <w:rFonts w:ascii="Times New Roman" w:hAnsi="Times New Roman" w:cs="Times New Roman"/>
                <w:bCs/>
                <w:sz w:val="23"/>
                <w:szCs w:val="23"/>
                <w:shd w:val="clear" w:color="auto" w:fill="FFFFFF"/>
              </w:rPr>
              <w:t>2014.gada</w:t>
            </w:r>
            <w:proofErr w:type="gramEnd"/>
            <w:r w:rsidRPr="00CD592E">
              <w:rPr>
                <w:rFonts w:ascii="Times New Roman" w:hAnsi="Times New Roman" w:cs="Times New Roman"/>
                <w:bCs/>
                <w:sz w:val="23"/>
                <w:szCs w:val="23"/>
                <w:shd w:val="clear" w:color="auto" w:fill="FFFFFF"/>
              </w:rPr>
              <w:t xml:space="preserve"> 23.decembra noteikumos Nr.836 “Darbības programmas “Izaugsme un nodarbinātība” 7.1.1.specifiskā atbalsta mērķa “Paaugstināt bezdarbnieku kvalifikāciju un prasmes atbilstoši darba tirgus pieprasījumam” īstenošanas noteikumi” (turpmāk – MK noteikumi Nr.836), tai skaitā:</w:t>
            </w:r>
          </w:p>
          <w:p w14:paraId="63162F70" w14:textId="34ECAF11" w:rsidR="00CE5F74" w:rsidRPr="00CD592E" w:rsidRDefault="005E361F" w:rsidP="00875F5E">
            <w:pPr>
              <w:spacing w:after="0" w:line="240" w:lineRule="auto"/>
              <w:ind w:left="57" w:right="113"/>
              <w:jc w:val="both"/>
              <w:rPr>
                <w:rFonts w:ascii="Times New Roman" w:hAnsi="Times New Roman" w:cs="Times New Roman"/>
                <w:sz w:val="23"/>
                <w:szCs w:val="23"/>
                <w:shd w:val="clear" w:color="auto" w:fill="FFFFFF"/>
              </w:rPr>
            </w:pPr>
            <w:r w:rsidRPr="00CD592E">
              <w:rPr>
                <w:rFonts w:ascii="Times New Roman" w:hAnsi="Times New Roman" w:cs="Times New Roman"/>
                <w:sz w:val="23"/>
                <w:szCs w:val="23"/>
                <w:shd w:val="clear" w:color="auto" w:fill="FFFFFF"/>
              </w:rPr>
              <w:t>-</w:t>
            </w:r>
            <w:r w:rsidR="005E5D66" w:rsidRPr="00CD592E">
              <w:rPr>
                <w:rFonts w:ascii="Times New Roman" w:hAnsi="Times New Roman" w:cs="Times New Roman"/>
                <w:sz w:val="23"/>
                <w:szCs w:val="23"/>
                <w:shd w:val="clear" w:color="auto" w:fill="FFFFFF"/>
              </w:rPr>
              <w:t xml:space="preserve"> </w:t>
            </w:r>
            <w:r w:rsidR="00BF68BE" w:rsidRPr="00CD592E">
              <w:rPr>
                <w:rFonts w:ascii="Times New Roman" w:hAnsi="Times New Roman" w:cs="Times New Roman"/>
                <w:sz w:val="23"/>
                <w:szCs w:val="23"/>
                <w:shd w:val="clear" w:color="auto" w:fill="FFFFFF"/>
              </w:rPr>
              <w:t>l</w:t>
            </w:r>
            <w:r w:rsidR="005E5D66" w:rsidRPr="00CD592E">
              <w:rPr>
                <w:rFonts w:ascii="Times New Roman" w:hAnsi="Times New Roman" w:cs="Times New Roman"/>
                <w:sz w:val="23"/>
                <w:szCs w:val="23"/>
                <w:shd w:val="clear" w:color="auto" w:fill="FFFFFF"/>
              </w:rPr>
              <w:t xml:space="preserve">ai nodrošinātu Finanšu ministrijas </w:t>
            </w:r>
            <w:proofErr w:type="gramStart"/>
            <w:r w:rsidR="005E5D66" w:rsidRPr="00CD592E">
              <w:rPr>
                <w:rFonts w:ascii="Times New Roman" w:hAnsi="Times New Roman" w:cs="Times New Roman"/>
                <w:sz w:val="23"/>
                <w:szCs w:val="23"/>
                <w:shd w:val="clear" w:color="auto" w:fill="FFFFFF"/>
              </w:rPr>
              <w:t>2015.gada</w:t>
            </w:r>
            <w:proofErr w:type="gramEnd"/>
            <w:r w:rsidR="005E5D66" w:rsidRPr="00CD592E">
              <w:rPr>
                <w:rFonts w:ascii="Times New Roman" w:hAnsi="Times New Roman" w:cs="Times New Roman"/>
                <w:sz w:val="23"/>
                <w:szCs w:val="23"/>
                <w:shd w:val="clear" w:color="auto" w:fill="FFFFFF"/>
              </w:rPr>
              <w:t xml:space="preserve"> 28.septembrī e-pastā ietverto uzdevumu, </w:t>
            </w:r>
            <w:r w:rsidR="00914774" w:rsidRPr="00CD592E">
              <w:rPr>
                <w:rFonts w:ascii="Times New Roman" w:hAnsi="Times New Roman" w:cs="Times New Roman"/>
                <w:sz w:val="23"/>
                <w:szCs w:val="23"/>
                <w:shd w:val="clear" w:color="auto" w:fill="FFFFFF"/>
              </w:rPr>
              <w:t>MK noteikumu projekts paredz MK noteikumus Nr.836 papildināt</w:t>
            </w:r>
            <w:r w:rsidR="00BF68BE" w:rsidRPr="00CD592E">
              <w:rPr>
                <w:rFonts w:ascii="Times New Roman" w:hAnsi="Times New Roman" w:cs="Times New Roman"/>
                <w:sz w:val="23"/>
                <w:szCs w:val="23"/>
                <w:shd w:val="clear" w:color="auto" w:fill="FFFFFF"/>
              </w:rPr>
              <w:t xml:space="preserve"> ar pienākumu finansējuma saņēmējam </w:t>
            </w:r>
            <w:r w:rsidR="00BF68BE" w:rsidRPr="00CD592E">
              <w:rPr>
                <w:rFonts w:ascii="Times New Roman" w:hAnsi="Times New Roman" w:cs="Times New Roman"/>
                <w:bCs/>
                <w:iCs/>
                <w:sz w:val="23"/>
                <w:szCs w:val="23"/>
                <w:shd w:val="clear" w:color="auto" w:fill="FFFFFF"/>
              </w:rPr>
              <w:t>uzkrāt un vienu reizi gadā iesniegt sadarbības iestādē apkopotus datus par Eiropas Parlamenta un Padomes 2013.gada 17.decembra Regulas (ES) Nr.1304/2013 par Eiropas Sociālo fondu un ar ko atceļ Padomes Regulu (EK) Nr.1081/2006 (</w:t>
            </w:r>
            <w:r w:rsidR="00BF68BE" w:rsidRPr="008826FA">
              <w:rPr>
                <w:rFonts w:ascii="Times New Roman" w:hAnsi="Times New Roman" w:cs="Times New Roman"/>
                <w:bCs/>
                <w:iCs/>
                <w:sz w:val="23"/>
                <w:szCs w:val="23"/>
                <w:shd w:val="clear" w:color="auto" w:fill="FFFFFF"/>
              </w:rPr>
              <w:t xml:space="preserve">Eiropas Savienības Oficiālais Vēstnesis, 2013.gada 20.decembris, </w:t>
            </w:r>
            <w:proofErr w:type="spellStart"/>
            <w:r w:rsidR="00BF68BE" w:rsidRPr="008826FA">
              <w:rPr>
                <w:rFonts w:ascii="Times New Roman" w:hAnsi="Times New Roman" w:cs="Times New Roman"/>
                <w:bCs/>
                <w:iCs/>
                <w:sz w:val="23"/>
                <w:szCs w:val="23"/>
                <w:shd w:val="clear" w:color="auto" w:fill="FFFFFF"/>
              </w:rPr>
              <w:t>Nr.</w:t>
            </w:r>
            <w:r w:rsidR="00BF68BE" w:rsidRPr="008826FA">
              <w:rPr>
                <w:rFonts w:ascii="Times New Roman" w:hAnsi="Times New Roman" w:cs="Times New Roman"/>
                <w:sz w:val="23"/>
                <w:szCs w:val="23"/>
                <w:shd w:val="clear" w:color="auto" w:fill="FFFFFF"/>
              </w:rPr>
              <w:t>L</w:t>
            </w:r>
            <w:proofErr w:type="spellEnd"/>
            <w:r w:rsidR="00BF68BE" w:rsidRPr="008826FA">
              <w:rPr>
                <w:rFonts w:ascii="Times New Roman" w:hAnsi="Times New Roman" w:cs="Times New Roman"/>
                <w:sz w:val="23"/>
                <w:szCs w:val="23"/>
                <w:shd w:val="clear" w:color="auto" w:fill="FFFFFF"/>
              </w:rPr>
              <w:t xml:space="preserve"> 347/470</w:t>
            </w:r>
            <w:r w:rsidR="00BF68BE" w:rsidRPr="008826FA">
              <w:rPr>
                <w:rFonts w:ascii="Times New Roman" w:hAnsi="Times New Roman" w:cs="Times New Roman"/>
                <w:bCs/>
                <w:iCs/>
                <w:sz w:val="23"/>
                <w:szCs w:val="23"/>
                <w:shd w:val="clear" w:color="auto" w:fill="FFFFFF"/>
              </w:rPr>
              <w:t xml:space="preserve">) (turpmāk – Eiropas Parlamenta un Padomes regula Nr.1304/2013) 1.pielikumā ietvertajiem kopējiem tūlītējiem rezultātu rādītājiem un kopējiem ilgtermiņa rezultātu rādītājiem </w:t>
            </w:r>
            <w:r w:rsidR="005E5D66" w:rsidRPr="008826FA">
              <w:rPr>
                <w:rFonts w:ascii="Times New Roman" w:hAnsi="Times New Roman" w:cs="Times New Roman"/>
                <w:sz w:val="23"/>
                <w:szCs w:val="23"/>
                <w:shd w:val="clear" w:color="auto" w:fill="FFFFFF"/>
              </w:rPr>
              <w:t xml:space="preserve">(MK noteikumu projekta </w:t>
            </w:r>
            <w:r w:rsidR="00BA05D3" w:rsidRPr="008826FA">
              <w:rPr>
                <w:rFonts w:ascii="Times New Roman" w:hAnsi="Times New Roman" w:cs="Times New Roman"/>
                <w:sz w:val="23"/>
                <w:szCs w:val="23"/>
                <w:shd w:val="clear" w:color="auto" w:fill="FFFFFF"/>
              </w:rPr>
              <w:t>9</w:t>
            </w:r>
            <w:r w:rsidR="005E5D66" w:rsidRPr="008826FA">
              <w:rPr>
                <w:rFonts w:ascii="Times New Roman" w:hAnsi="Times New Roman" w:cs="Times New Roman"/>
                <w:sz w:val="23"/>
                <w:szCs w:val="23"/>
                <w:shd w:val="clear" w:color="auto" w:fill="FFFFFF"/>
              </w:rPr>
              <w:t xml:space="preserve">. un </w:t>
            </w:r>
            <w:r w:rsidR="00BA05D3" w:rsidRPr="008826FA">
              <w:rPr>
                <w:rFonts w:ascii="Times New Roman" w:hAnsi="Times New Roman" w:cs="Times New Roman"/>
                <w:sz w:val="23"/>
                <w:szCs w:val="23"/>
                <w:shd w:val="clear" w:color="auto" w:fill="FFFFFF"/>
              </w:rPr>
              <w:t>10</w:t>
            </w:r>
            <w:r w:rsidR="005E5D66" w:rsidRPr="008826FA">
              <w:rPr>
                <w:rFonts w:ascii="Times New Roman" w:hAnsi="Times New Roman" w:cs="Times New Roman"/>
                <w:sz w:val="23"/>
                <w:szCs w:val="23"/>
                <w:shd w:val="clear" w:color="auto" w:fill="FFFFFF"/>
              </w:rPr>
              <w:t>.punkts)</w:t>
            </w:r>
            <w:r w:rsidR="00BF68BE" w:rsidRPr="008826FA">
              <w:rPr>
                <w:rFonts w:ascii="Times New Roman" w:hAnsi="Times New Roman" w:cs="Times New Roman"/>
                <w:sz w:val="23"/>
                <w:szCs w:val="23"/>
                <w:shd w:val="clear" w:color="auto" w:fill="FFFFFF"/>
              </w:rPr>
              <w:t xml:space="preserve">. </w:t>
            </w:r>
            <w:r w:rsidR="00BF68BE" w:rsidRPr="008826FA">
              <w:rPr>
                <w:rFonts w:ascii="Times New Roman" w:eastAsia="Times New Roman" w:hAnsi="Times New Roman" w:cs="Times New Roman"/>
                <w:bCs/>
                <w:sz w:val="23"/>
                <w:szCs w:val="23"/>
                <w:lang w:eastAsia="lv-LV"/>
              </w:rPr>
              <w:t xml:space="preserve"> Plānots, ka </w:t>
            </w:r>
            <w:r w:rsidR="00BF68BE" w:rsidRPr="008826FA">
              <w:rPr>
                <w:rFonts w:ascii="Times New Roman" w:hAnsi="Times New Roman" w:cs="Times New Roman"/>
                <w:bCs/>
                <w:sz w:val="23"/>
                <w:szCs w:val="23"/>
                <w:shd w:val="clear" w:color="auto" w:fill="FFFFFF"/>
              </w:rPr>
              <w:t>minētos datus finansējuma saņēmējs iegūst no uzkrātās informācijas Bezdarbnieku uzskaites un reģistrēto vakanču informācijas sistēmā vai dalībnieku aptaujas datiem</w:t>
            </w:r>
            <w:r w:rsidR="00875F5E" w:rsidRPr="00CD592E">
              <w:rPr>
                <w:rFonts w:ascii="Times New Roman" w:hAnsi="Times New Roman" w:cs="Times New Roman"/>
                <w:bCs/>
                <w:sz w:val="23"/>
                <w:szCs w:val="23"/>
                <w:shd w:val="clear" w:color="auto" w:fill="FFFFFF"/>
              </w:rPr>
              <w:t xml:space="preserve"> (aptaujas tiks veiktas, ņemot vērā Eiropas Komisijas vadlīnijās par datu uzkrāšanu un izvērtēšanu noteikto un Finanšu ministrijas atsevišķi sniegtos norādījumus)</w:t>
            </w:r>
            <w:r w:rsidR="00BF68BE" w:rsidRPr="00CD592E">
              <w:rPr>
                <w:rFonts w:ascii="Times New Roman" w:hAnsi="Times New Roman" w:cs="Times New Roman"/>
                <w:sz w:val="23"/>
                <w:szCs w:val="23"/>
                <w:shd w:val="clear" w:color="auto" w:fill="FFFFFF"/>
              </w:rPr>
              <w:t>;</w:t>
            </w:r>
          </w:p>
          <w:p w14:paraId="1D4D97FD" w14:textId="1942C06B" w:rsidR="00D53088" w:rsidRPr="008826FA" w:rsidRDefault="005E361F" w:rsidP="00DD2C81">
            <w:pPr>
              <w:spacing w:after="0" w:line="240" w:lineRule="auto"/>
              <w:ind w:left="57" w:right="113"/>
              <w:jc w:val="both"/>
              <w:rPr>
                <w:rFonts w:ascii="Times New Roman" w:hAnsi="Times New Roman" w:cs="Times New Roman"/>
                <w:bCs/>
                <w:sz w:val="23"/>
                <w:szCs w:val="23"/>
                <w:shd w:val="clear" w:color="auto" w:fill="FFFFFF"/>
              </w:rPr>
            </w:pPr>
            <w:r w:rsidRPr="00CD592E">
              <w:rPr>
                <w:rFonts w:ascii="Times New Roman" w:hAnsi="Times New Roman" w:cs="Times New Roman"/>
                <w:sz w:val="23"/>
                <w:szCs w:val="23"/>
                <w:shd w:val="clear" w:color="auto" w:fill="FFFFFF"/>
              </w:rPr>
              <w:t xml:space="preserve">- </w:t>
            </w:r>
            <w:r w:rsidR="00DD2C81" w:rsidRPr="00CD592E">
              <w:rPr>
                <w:rFonts w:ascii="Times New Roman" w:hAnsi="Times New Roman" w:cs="Times New Roman"/>
                <w:sz w:val="23"/>
                <w:szCs w:val="23"/>
                <w:shd w:val="clear" w:color="auto" w:fill="FFFFFF"/>
              </w:rPr>
              <w:t>atbilstoši Labklājības ministrijas virzītajam MK informatīvā ziņojuma projektam “Par Nodarbinātības valsts aģentūras kā projekta īstenotāja veiktajiem izdevumiem, kas nevar tikt finansēti no specifiskā atbalsta mērķa vai tā pasākuma attiecināmām izmaksām, Eiropas Savienības struktūrfondu un Kohēzijas fonda 2014.–</w:t>
            </w:r>
            <w:proofErr w:type="gramStart"/>
            <w:r w:rsidR="00DD2C81" w:rsidRPr="00CD592E">
              <w:rPr>
                <w:rFonts w:ascii="Times New Roman" w:hAnsi="Times New Roman" w:cs="Times New Roman"/>
                <w:sz w:val="23"/>
                <w:szCs w:val="23"/>
                <w:shd w:val="clear" w:color="auto" w:fill="FFFFFF"/>
              </w:rPr>
              <w:t>2020.gada</w:t>
            </w:r>
            <w:proofErr w:type="gramEnd"/>
            <w:r w:rsidR="00DD2C81" w:rsidRPr="00CD592E">
              <w:rPr>
                <w:rFonts w:ascii="Times New Roman" w:hAnsi="Times New Roman" w:cs="Times New Roman"/>
                <w:sz w:val="23"/>
                <w:szCs w:val="23"/>
                <w:shd w:val="clear" w:color="auto" w:fill="FFFFFF"/>
              </w:rPr>
              <w:t xml:space="preserve"> plānošanas periodā”, </w:t>
            </w:r>
            <w:r w:rsidR="00914774" w:rsidRPr="00CD592E">
              <w:rPr>
                <w:rFonts w:ascii="Times New Roman" w:hAnsi="Times New Roman" w:cs="Times New Roman"/>
                <w:bCs/>
                <w:sz w:val="23"/>
                <w:szCs w:val="23"/>
                <w:shd w:val="clear" w:color="auto" w:fill="FFFFFF"/>
              </w:rPr>
              <w:t xml:space="preserve">ir nepieciešams paredzēt, ka valsts valodas prasmes noslēguma pārbaudījumu organizēšanu (izbraukumu veikšanu) bezdarbniekiem </w:t>
            </w:r>
            <w:r w:rsidR="00914774" w:rsidRPr="00CD592E">
              <w:rPr>
                <w:rFonts w:ascii="Times New Roman" w:hAnsi="Times New Roman" w:cs="Times New Roman"/>
                <w:bCs/>
                <w:sz w:val="23"/>
                <w:szCs w:val="23"/>
                <w:shd w:val="clear" w:color="auto" w:fill="FFFFFF"/>
              </w:rPr>
              <w:lastRenderedPageBreak/>
              <w:t xml:space="preserve">visas Latvijas teritorijā nodrošina </w:t>
            </w:r>
            <w:r w:rsidR="001950D6" w:rsidRPr="00CD592E">
              <w:rPr>
                <w:rFonts w:ascii="Times New Roman" w:hAnsi="Times New Roman" w:cs="Times New Roman"/>
                <w:bCs/>
                <w:sz w:val="23"/>
                <w:szCs w:val="23"/>
                <w:shd w:val="clear" w:color="auto" w:fill="FFFFFF"/>
              </w:rPr>
              <w:t xml:space="preserve">papildu valsts valodu apmācību nodrošināšanai (t.i., </w:t>
            </w:r>
            <w:r w:rsidR="00C33C97" w:rsidRPr="00CD592E">
              <w:rPr>
                <w:rFonts w:ascii="Times New Roman" w:hAnsi="Times New Roman" w:cs="Times New Roman"/>
                <w:bCs/>
                <w:sz w:val="23"/>
                <w:szCs w:val="23"/>
                <w:shd w:val="clear" w:color="auto" w:fill="FFFFFF"/>
              </w:rPr>
              <w:t xml:space="preserve">papildu </w:t>
            </w:r>
            <w:r w:rsidR="001950D6" w:rsidRPr="00CD592E">
              <w:rPr>
                <w:rFonts w:ascii="Times New Roman" w:hAnsi="Times New Roman" w:cs="Times New Roman"/>
                <w:bCs/>
                <w:sz w:val="23"/>
                <w:szCs w:val="23"/>
                <w:shd w:val="clear" w:color="auto" w:fill="FFFFFF"/>
              </w:rPr>
              <w:t>apmācību kupona izmaksām)</w:t>
            </w:r>
            <w:r w:rsidR="00914774" w:rsidRPr="00CD592E">
              <w:rPr>
                <w:rFonts w:ascii="Times New Roman" w:hAnsi="Times New Roman" w:cs="Times New Roman"/>
                <w:bCs/>
                <w:sz w:val="23"/>
                <w:szCs w:val="23"/>
                <w:shd w:val="clear" w:color="auto" w:fill="FFFFFF"/>
              </w:rPr>
              <w:t xml:space="preserve">, atbilstoši </w:t>
            </w:r>
            <w:r w:rsidR="00914774" w:rsidRPr="00CD592E">
              <w:rPr>
                <w:rFonts w:ascii="Times New Roman" w:hAnsi="Times New Roman" w:cs="Times New Roman"/>
                <w:sz w:val="23"/>
                <w:szCs w:val="23"/>
                <w:shd w:val="clear" w:color="auto" w:fill="FFFFFF"/>
              </w:rPr>
              <w:t>Nodarbinātības valsts aģentūras (turpmāk – NVA) un Valsts izglītības satura centra (turpmāk – VISC) noslēgtajai starpresoru vienošanai</w:t>
            </w:r>
            <w:r w:rsidR="001950D6" w:rsidRPr="00CD592E">
              <w:rPr>
                <w:rFonts w:ascii="Times New Roman" w:hAnsi="Times New Roman" w:cs="Times New Roman"/>
                <w:bCs/>
                <w:sz w:val="23"/>
                <w:szCs w:val="23"/>
                <w:shd w:val="clear" w:color="auto" w:fill="FFFFFF"/>
              </w:rPr>
              <w:t>.</w:t>
            </w:r>
            <w:r w:rsidR="001950D6" w:rsidRPr="00CD592E">
              <w:rPr>
                <w:rFonts w:ascii="Times New Roman" w:hAnsi="Times New Roman" w:cs="Times New Roman"/>
                <w:sz w:val="23"/>
                <w:szCs w:val="23"/>
                <w:shd w:val="clear" w:color="auto" w:fill="FFFFFF"/>
              </w:rPr>
              <w:t xml:space="preserve"> </w:t>
            </w:r>
            <w:r w:rsidR="00DD2C81" w:rsidRPr="00CD592E">
              <w:rPr>
                <w:rFonts w:ascii="Times New Roman" w:hAnsi="Times New Roman" w:cs="Times New Roman"/>
                <w:sz w:val="23"/>
                <w:szCs w:val="23"/>
                <w:shd w:val="clear" w:color="auto" w:fill="FFFFFF"/>
              </w:rPr>
              <w:t xml:space="preserve"> Atbilstoši precizējumi tiks veikti arī Labklājības ministrijas pārziņā esošajos </w:t>
            </w:r>
            <w:proofErr w:type="gramStart"/>
            <w:r w:rsidR="00DD2C81" w:rsidRPr="00CD592E">
              <w:rPr>
                <w:rFonts w:ascii="Times New Roman" w:hAnsi="Times New Roman" w:cs="Times New Roman"/>
                <w:sz w:val="23"/>
                <w:szCs w:val="23"/>
                <w:shd w:val="clear" w:color="auto" w:fill="FFFFFF"/>
              </w:rPr>
              <w:t>2011.gada</w:t>
            </w:r>
            <w:proofErr w:type="gramEnd"/>
            <w:r w:rsidR="00DD2C81" w:rsidRPr="00CD592E">
              <w:rPr>
                <w:rFonts w:ascii="Times New Roman" w:hAnsi="Times New Roman" w:cs="Times New Roman"/>
                <w:sz w:val="23"/>
                <w:szCs w:val="23"/>
                <w:shd w:val="clear" w:color="auto" w:fill="FFFFFF"/>
              </w:rPr>
              <w:t xml:space="preserve"> 25.janvāra MK noteikumos Nr.75 “</w:t>
            </w:r>
            <w:r w:rsidR="00DD2C81" w:rsidRPr="00CD592E">
              <w:rPr>
                <w:rFonts w:ascii="Times New Roman" w:hAnsi="Times New Roman" w:cs="Times New Roman"/>
                <w:bCs/>
                <w:sz w:val="23"/>
                <w:szCs w:val="23"/>
                <w:shd w:val="clear" w:color="auto" w:fill="FFFFFF"/>
              </w:rPr>
              <w:t>Noteikumi par aktīvo nodarbinātības pasākumu un preventīvo bezdarba samazināšanas pasākumu organizēšanas un finansēšanas kārtību un pasākumu īstenotāju izvēles principiem</w:t>
            </w:r>
            <w:r w:rsidR="00DD2C81" w:rsidRPr="00CD592E">
              <w:rPr>
                <w:rFonts w:ascii="Times New Roman" w:hAnsi="Times New Roman" w:cs="Times New Roman"/>
                <w:sz w:val="23"/>
                <w:szCs w:val="23"/>
                <w:shd w:val="clear" w:color="auto" w:fill="FFFFFF"/>
              </w:rPr>
              <w:t xml:space="preserve">”. </w:t>
            </w:r>
            <w:r w:rsidR="001950D6" w:rsidRPr="00CD592E">
              <w:rPr>
                <w:rFonts w:ascii="Times New Roman" w:hAnsi="Times New Roman" w:cs="Times New Roman"/>
                <w:sz w:val="23"/>
                <w:szCs w:val="23"/>
                <w:shd w:val="clear" w:color="auto" w:fill="FFFFFF"/>
              </w:rPr>
              <w:t>Ierosinātās izmaiņas neskar privātpersonu intereses, tiek precizēta norēķinu kārtība starp valsts iestādēm – šai gadījumā starp finansējuma saņēmēju</w:t>
            </w:r>
            <w:r w:rsidR="00914774" w:rsidRPr="00CD592E">
              <w:rPr>
                <w:rFonts w:ascii="Times New Roman" w:hAnsi="Times New Roman" w:cs="Times New Roman"/>
                <w:sz w:val="23"/>
                <w:szCs w:val="23"/>
                <w:shd w:val="clear" w:color="auto" w:fill="FFFFFF"/>
              </w:rPr>
              <w:t xml:space="preserve"> un VISC</w:t>
            </w:r>
            <w:r w:rsidR="001950D6" w:rsidRPr="00CD592E">
              <w:rPr>
                <w:rFonts w:ascii="Times New Roman" w:hAnsi="Times New Roman" w:cs="Times New Roman"/>
                <w:sz w:val="23"/>
                <w:szCs w:val="23"/>
                <w:shd w:val="clear" w:color="auto" w:fill="FFFFFF"/>
              </w:rPr>
              <w:t xml:space="preserve"> </w:t>
            </w:r>
            <w:r w:rsidR="00C33C97" w:rsidRPr="00CD592E">
              <w:rPr>
                <w:rFonts w:ascii="Times New Roman" w:hAnsi="Times New Roman" w:cs="Times New Roman"/>
                <w:sz w:val="23"/>
                <w:szCs w:val="23"/>
                <w:shd w:val="clear" w:color="auto" w:fill="FFFFFF"/>
              </w:rPr>
              <w:t xml:space="preserve">– </w:t>
            </w:r>
            <w:r w:rsidR="001950D6" w:rsidRPr="00CD592E">
              <w:rPr>
                <w:rFonts w:ascii="Times New Roman" w:hAnsi="Times New Roman" w:cs="Times New Roman"/>
                <w:sz w:val="23"/>
                <w:szCs w:val="23"/>
                <w:shd w:val="clear" w:color="auto" w:fill="FFFFFF"/>
              </w:rPr>
              <w:t>par noslēguma valsts valodas prasmju pārbaužu organizēšanu. Nodrošinot bezd</w:t>
            </w:r>
            <w:r w:rsidR="00564828" w:rsidRPr="00CD592E">
              <w:rPr>
                <w:rFonts w:ascii="Times New Roman" w:hAnsi="Times New Roman" w:cs="Times New Roman"/>
                <w:bCs/>
                <w:sz w:val="23"/>
                <w:szCs w:val="23"/>
                <w:shd w:val="clear" w:color="auto" w:fill="FFFFFF"/>
              </w:rPr>
              <w:t>arbniekiem iespēju</w:t>
            </w:r>
            <w:r w:rsidR="00C377D0" w:rsidRPr="00CD592E">
              <w:rPr>
                <w:rFonts w:ascii="Times New Roman" w:hAnsi="Times New Roman" w:cs="Times New Roman"/>
                <w:bCs/>
                <w:sz w:val="23"/>
                <w:szCs w:val="23"/>
                <w:shd w:val="clear" w:color="auto" w:fill="FFFFFF"/>
              </w:rPr>
              <w:t xml:space="preserve"> valsts valodas prasmju pārbaudi kārtot valsts valodas apmācību pakalpojuma sniegšanas vietā</w:t>
            </w:r>
            <w:r w:rsidR="00564828" w:rsidRPr="00CD592E">
              <w:rPr>
                <w:rFonts w:ascii="Times New Roman" w:hAnsi="Times New Roman" w:cs="Times New Roman"/>
                <w:bCs/>
                <w:sz w:val="23"/>
                <w:szCs w:val="23"/>
                <w:shd w:val="clear" w:color="auto" w:fill="FFFFFF"/>
              </w:rPr>
              <w:t xml:space="preserve">, </w:t>
            </w:r>
            <w:r w:rsidR="00914774" w:rsidRPr="00CD592E">
              <w:rPr>
                <w:rFonts w:ascii="Times New Roman" w:hAnsi="Times New Roman" w:cs="Times New Roman"/>
                <w:bCs/>
                <w:sz w:val="23"/>
                <w:szCs w:val="23"/>
                <w:shd w:val="clear" w:color="auto" w:fill="FFFFFF"/>
              </w:rPr>
              <w:t>tiek veicināta</w:t>
            </w:r>
            <w:r w:rsidR="00C377D0" w:rsidRPr="00CD592E">
              <w:rPr>
                <w:rFonts w:ascii="Times New Roman" w:hAnsi="Times New Roman" w:cs="Times New Roman"/>
                <w:bCs/>
                <w:sz w:val="23"/>
                <w:szCs w:val="23"/>
                <w:shd w:val="clear" w:color="auto" w:fill="FFFFFF"/>
              </w:rPr>
              <w:t xml:space="preserve"> situ</w:t>
            </w:r>
            <w:r w:rsidR="00914774" w:rsidRPr="00CD592E">
              <w:rPr>
                <w:rFonts w:ascii="Times New Roman" w:hAnsi="Times New Roman" w:cs="Times New Roman"/>
                <w:bCs/>
                <w:sz w:val="23"/>
                <w:szCs w:val="23"/>
                <w:shd w:val="clear" w:color="auto" w:fill="FFFFFF"/>
              </w:rPr>
              <w:t>ācija</w:t>
            </w:r>
            <w:r w:rsidR="00C377D0" w:rsidRPr="00CD592E">
              <w:rPr>
                <w:rFonts w:ascii="Times New Roman" w:hAnsi="Times New Roman" w:cs="Times New Roman"/>
                <w:bCs/>
                <w:sz w:val="23"/>
                <w:szCs w:val="23"/>
                <w:shd w:val="clear" w:color="auto" w:fill="FFFFFF"/>
              </w:rPr>
              <w:t>, ka bezdarbnieks saņem atbilstošu valsts valodas zināšanu līmeņa apliecību</w:t>
            </w:r>
            <w:r w:rsidR="001950D6" w:rsidRPr="00CD592E">
              <w:rPr>
                <w:rFonts w:ascii="Times New Roman" w:hAnsi="Times New Roman" w:cs="Times New Roman"/>
                <w:bCs/>
                <w:sz w:val="23"/>
                <w:szCs w:val="23"/>
                <w:shd w:val="clear" w:color="auto" w:fill="FFFFFF"/>
              </w:rPr>
              <w:t xml:space="preserve"> (proti, minētais neprasa bezdarbniekam papildu laiku un ceļa izdevumus, kas var būt par iemeslu bezdarbniekam minētās pārbaudes nekārtošanai)</w:t>
            </w:r>
            <w:r w:rsidR="00C377D0" w:rsidRPr="00CD592E">
              <w:rPr>
                <w:rFonts w:ascii="Times New Roman" w:hAnsi="Times New Roman" w:cs="Times New Roman"/>
                <w:bCs/>
                <w:sz w:val="23"/>
                <w:szCs w:val="23"/>
                <w:shd w:val="clear" w:color="auto" w:fill="FFFFFF"/>
              </w:rPr>
              <w:t xml:space="preserve">, </w:t>
            </w:r>
            <w:r w:rsidR="00A06DED" w:rsidRPr="00CD592E">
              <w:rPr>
                <w:rFonts w:ascii="Times New Roman" w:hAnsi="Times New Roman" w:cs="Times New Roman"/>
                <w:bCs/>
                <w:sz w:val="23"/>
                <w:szCs w:val="23"/>
                <w:shd w:val="clear" w:color="auto" w:fill="FFFFFF"/>
              </w:rPr>
              <w:t xml:space="preserve">tādējādi arī </w:t>
            </w:r>
            <w:r w:rsidR="001950D6" w:rsidRPr="00CD592E">
              <w:rPr>
                <w:rFonts w:ascii="Times New Roman" w:hAnsi="Times New Roman" w:cs="Times New Roman"/>
                <w:bCs/>
                <w:sz w:val="23"/>
                <w:szCs w:val="23"/>
                <w:shd w:val="clear" w:color="auto" w:fill="FFFFFF"/>
              </w:rPr>
              <w:t>palielin</w:t>
            </w:r>
            <w:r w:rsidR="00914774" w:rsidRPr="00CD592E">
              <w:rPr>
                <w:rFonts w:ascii="Times New Roman" w:hAnsi="Times New Roman" w:cs="Times New Roman"/>
                <w:bCs/>
                <w:sz w:val="23"/>
                <w:szCs w:val="23"/>
                <w:shd w:val="clear" w:color="auto" w:fill="FFFFFF"/>
              </w:rPr>
              <w:t>ās</w:t>
            </w:r>
            <w:r w:rsidR="00A06DED" w:rsidRPr="00CD592E">
              <w:rPr>
                <w:rFonts w:ascii="Times New Roman" w:hAnsi="Times New Roman" w:cs="Times New Roman"/>
                <w:bCs/>
                <w:sz w:val="23"/>
                <w:szCs w:val="23"/>
                <w:shd w:val="clear" w:color="auto" w:fill="FFFFFF"/>
              </w:rPr>
              <w:t xml:space="preserve"> </w:t>
            </w:r>
            <w:r w:rsidR="001950D6" w:rsidRPr="00CD592E">
              <w:rPr>
                <w:rFonts w:ascii="Times New Roman" w:hAnsi="Times New Roman" w:cs="Times New Roman"/>
                <w:bCs/>
                <w:sz w:val="23"/>
                <w:szCs w:val="23"/>
                <w:shd w:val="clear" w:color="auto" w:fill="FFFFFF"/>
              </w:rPr>
              <w:t>bezdarbnieku</w:t>
            </w:r>
            <w:r w:rsidR="00564828" w:rsidRPr="00CD592E">
              <w:rPr>
                <w:rFonts w:ascii="Times New Roman" w:hAnsi="Times New Roman" w:cs="Times New Roman"/>
                <w:bCs/>
                <w:sz w:val="23"/>
                <w:szCs w:val="23"/>
                <w:shd w:val="clear" w:color="auto" w:fill="FFFFFF"/>
              </w:rPr>
              <w:t xml:space="preserve"> iespējas</w:t>
            </w:r>
            <w:r w:rsidR="00C377D0" w:rsidRPr="00CD592E">
              <w:rPr>
                <w:rFonts w:ascii="Times New Roman" w:hAnsi="Times New Roman" w:cs="Times New Roman"/>
                <w:bCs/>
                <w:sz w:val="23"/>
                <w:szCs w:val="23"/>
                <w:shd w:val="clear" w:color="auto" w:fill="FFFFFF"/>
              </w:rPr>
              <w:t xml:space="preserve"> integrēties darba tirgū</w:t>
            </w:r>
            <w:r w:rsidR="00564828" w:rsidRPr="00CD592E">
              <w:rPr>
                <w:rFonts w:ascii="Times New Roman" w:hAnsi="Times New Roman" w:cs="Times New Roman"/>
                <w:bCs/>
                <w:sz w:val="23"/>
                <w:szCs w:val="23"/>
                <w:shd w:val="clear" w:color="auto" w:fill="FFFFFF"/>
              </w:rPr>
              <w:t xml:space="preserve"> atbilstoši nepieciešamajam izvēlētās profesijas valsts valodas līmenim</w:t>
            </w:r>
            <w:r w:rsidR="00C33C97" w:rsidRPr="00CD592E">
              <w:rPr>
                <w:rFonts w:ascii="Times New Roman" w:hAnsi="Times New Roman" w:cs="Times New Roman"/>
                <w:bCs/>
                <w:sz w:val="23"/>
                <w:szCs w:val="23"/>
                <w:shd w:val="clear" w:color="auto" w:fill="FFFFFF"/>
              </w:rPr>
              <w:t xml:space="preserve">. 7.1.1.specifiskā atbalsta mērķa “Paaugstināt bezdarbnieku kvalifikāciju un prasmes atbilstoši darba tirgus pieprasījumam” projekta ietvaros periodā </w:t>
            </w:r>
            <w:r w:rsidR="007D4624" w:rsidRPr="00CD592E">
              <w:rPr>
                <w:rFonts w:ascii="Times New Roman" w:hAnsi="Times New Roman" w:cs="Times New Roman"/>
                <w:bCs/>
                <w:sz w:val="23"/>
                <w:szCs w:val="23"/>
                <w:shd w:val="clear" w:color="auto" w:fill="FFFFFF"/>
              </w:rPr>
              <w:t xml:space="preserve">līdz </w:t>
            </w:r>
            <w:proofErr w:type="gramStart"/>
            <w:r w:rsidR="007D4624" w:rsidRPr="00CD592E">
              <w:rPr>
                <w:rFonts w:ascii="Times New Roman" w:hAnsi="Times New Roman" w:cs="Times New Roman"/>
                <w:bCs/>
                <w:sz w:val="23"/>
                <w:szCs w:val="23"/>
                <w:shd w:val="clear" w:color="auto" w:fill="FFFFFF"/>
              </w:rPr>
              <w:t>2015.gada</w:t>
            </w:r>
            <w:proofErr w:type="gramEnd"/>
            <w:r w:rsidR="007D4624" w:rsidRPr="00CD592E">
              <w:rPr>
                <w:rFonts w:ascii="Times New Roman" w:hAnsi="Times New Roman" w:cs="Times New Roman"/>
                <w:bCs/>
                <w:sz w:val="23"/>
                <w:szCs w:val="23"/>
                <w:shd w:val="clear" w:color="auto" w:fill="FFFFFF"/>
              </w:rPr>
              <w:t xml:space="preserve"> 1.oktobrim valsts valodas apmācību programmā iesaistīti </w:t>
            </w:r>
            <w:r w:rsidR="007D4624" w:rsidRPr="008826FA">
              <w:rPr>
                <w:rFonts w:ascii="Times New Roman" w:hAnsi="Times New Roman" w:cs="Times New Roman"/>
                <w:bCs/>
                <w:sz w:val="23"/>
                <w:szCs w:val="23"/>
                <w:shd w:val="clear" w:color="auto" w:fill="FFFFFF"/>
              </w:rPr>
              <w:t xml:space="preserve">1 708 bezdarbnieki, no tiem izmantojuši VISC pakalpojumu -  770, kas veido 45% no valsts valodas apmācībā iesaistīto bezdarbnieku skaita </w:t>
            </w:r>
            <w:r w:rsidR="005E5D66" w:rsidRPr="008826FA">
              <w:rPr>
                <w:rFonts w:ascii="Times New Roman" w:hAnsi="Times New Roman" w:cs="Times New Roman"/>
                <w:sz w:val="23"/>
                <w:szCs w:val="23"/>
                <w:shd w:val="clear" w:color="auto" w:fill="FFFFFF"/>
              </w:rPr>
              <w:t xml:space="preserve">(MK noteikumu projekta </w:t>
            </w:r>
            <w:r w:rsidR="00BA05D3" w:rsidRPr="008826FA">
              <w:rPr>
                <w:rFonts w:ascii="Times New Roman" w:hAnsi="Times New Roman" w:cs="Times New Roman"/>
                <w:sz w:val="23"/>
                <w:szCs w:val="23"/>
                <w:shd w:val="clear" w:color="auto" w:fill="FFFFFF"/>
              </w:rPr>
              <w:t>4</w:t>
            </w:r>
            <w:r w:rsidR="005E5D66" w:rsidRPr="008826FA">
              <w:rPr>
                <w:rFonts w:ascii="Times New Roman" w:hAnsi="Times New Roman" w:cs="Times New Roman"/>
                <w:sz w:val="23"/>
                <w:szCs w:val="23"/>
                <w:shd w:val="clear" w:color="auto" w:fill="FFFFFF"/>
              </w:rPr>
              <w:t>.</w:t>
            </w:r>
            <w:r w:rsidR="00F22353" w:rsidRPr="008826FA">
              <w:rPr>
                <w:rFonts w:ascii="Times New Roman" w:hAnsi="Times New Roman" w:cs="Times New Roman"/>
                <w:sz w:val="23"/>
                <w:szCs w:val="23"/>
                <w:shd w:val="clear" w:color="auto" w:fill="FFFFFF"/>
              </w:rPr>
              <w:t>,</w:t>
            </w:r>
            <w:r w:rsidR="005E5D66" w:rsidRPr="008826FA">
              <w:rPr>
                <w:rFonts w:ascii="Times New Roman" w:hAnsi="Times New Roman" w:cs="Times New Roman"/>
                <w:sz w:val="23"/>
                <w:szCs w:val="23"/>
                <w:shd w:val="clear" w:color="auto" w:fill="FFFFFF"/>
              </w:rPr>
              <w:t xml:space="preserve"> </w:t>
            </w:r>
            <w:r w:rsidR="002B5570" w:rsidRPr="008826FA">
              <w:rPr>
                <w:rFonts w:ascii="Times New Roman" w:hAnsi="Times New Roman" w:cs="Times New Roman"/>
                <w:sz w:val="23"/>
                <w:szCs w:val="23"/>
                <w:shd w:val="clear" w:color="auto" w:fill="FFFFFF"/>
              </w:rPr>
              <w:t>1</w:t>
            </w:r>
            <w:r w:rsidR="00BA05D3" w:rsidRPr="008826FA">
              <w:rPr>
                <w:rFonts w:ascii="Times New Roman" w:hAnsi="Times New Roman" w:cs="Times New Roman"/>
                <w:sz w:val="23"/>
                <w:szCs w:val="23"/>
                <w:shd w:val="clear" w:color="auto" w:fill="FFFFFF"/>
              </w:rPr>
              <w:t>3</w:t>
            </w:r>
            <w:r w:rsidR="00F22353" w:rsidRPr="008826FA">
              <w:rPr>
                <w:rFonts w:ascii="Times New Roman" w:hAnsi="Times New Roman" w:cs="Times New Roman"/>
                <w:sz w:val="23"/>
                <w:szCs w:val="23"/>
                <w:shd w:val="clear" w:color="auto" w:fill="FFFFFF"/>
              </w:rPr>
              <w:t xml:space="preserve">. </w:t>
            </w:r>
            <w:r w:rsidR="005E5D66" w:rsidRPr="008826FA">
              <w:rPr>
                <w:rFonts w:ascii="Times New Roman" w:hAnsi="Times New Roman" w:cs="Times New Roman"/>
                <w:sz w:val="23"/>
                <w:szCs w:val="23"/>
                <w:shd w:val="clear" w:color="auto" w:fill="FFFFFF"/>
              </w:rPr>
              <w:t xml:space="preserve">un </w:t>
            </w:r>
            <w:r w:rsidR="00F22353" w:rsidRPr="008826FA">
              <w:rPr>
                <w:rFonts w:ascii="Times New Roman" w:hAnsi="Times New Roman" w:cs="Times New Roman"/>
                <w:sz w:val="23"/>
                <w:szCs w:val="23"/>
                <w:shd w:val="clear" w:color="auto" w:fill="FFFFFF"/>
              </w:rPr>
              <w:t>1</w:t>
            </w:r>
            <w:r w:rsidR="00BA05D3" w:rsidRPr="008826FA">
              <w:rPr>
                <w:rFonts w:ascii="Times New Roman" w:hAnsi="Times New Roman" w:cs="Times New Roman"/>
                <w:sz w:val="23"/>
                <w:szCs w:val="23"/>
                <w:shd w:val="clear" w:color="auto" w:fill="FFFFFF"/>
              </w:rPr>
              <w:t>4</w:t>
            </w:r>
            <w:r w:rsidR="005E5D66" w:rsidRPr="008826FA">
              <w:rPr>
                <w:rFonts w:ascii="Times New Roman" w:hAnsi="Times New Roman" w:cs="Times New Roman"/>
                <w:sz w:val="23"/>
                <w:szCs w:val="23"/>
                <w:shd w:val="clear" w:color="auto" w:fill="FFFFFF"/>
              </w:rPr>
              <w:t>.punkts)</w:t>
            </w:r>
            <w:r w:rsidR="00875F5E" w:rsidRPr="008826FA">
              <w:rPr>
                <w:rFonts w:ascii="Times New Roman" w:hAnsi="Times New Roman" w:cs="Times New Roman"/>
                <w:sz w:val="23"/>
                <w:szCs w:val="23"/>
                <w:shd w:val="clear" w:color="auto" w:fill="FFFFFF"/>
              </w:rPr>
              <w:t>;</w:t>
            </w:r>
          </w:p>
          <w:p w14:paraId="549B6FEC" w14:textId="13E6F9B1" w:rsidR="005E361F" w:rsidRPr="008826FA" w:rsidRDefault="005E361F" w:rsidP="00875F5E">
            <w:pPr>
              <w:spacing w:after="0" w:line="240" w:lineRule="auto"/>
              <w:ind w:left="57" w:right="113"/>
              <w:jc w:val="both"/>
              <w:rPr>
                <w:rFonts w:ascii="Times New Roman" w:hAnsi="Times New Roman" w:cs="Times New Roman"/>
                <w:bCs/>
                <w:sz w:val="23"/>
                <w:szCs w:val="23"/>
                <w:shd w:val="clear" w:color="auto" w:fill="FFFFFF"/>
              </w:rPr>
            </w:pPr>
            <w:r w:rsidRPr="00CD592E">
              <w:rPr>
                <w:rFonts w:ascii="Times New Roman" w:hAnsi="Times New Roman" w:cs="Times New Roman"/>
                <w:sz w:val="23"/>
                <w:szCs w:val="23"/>
                <w:shd w:val="clear" w:color="auto" w:fill="FFFFFF"/>
              </w:rPr>
              <w:t xml:space="preserve">- </w:t>
            </w:r>
            <w:r w:rsidRPr="00CD592E">
              <w:rPr>
                <w:rFonts w:ascii="Times New Roman" w:hAnsi="Times New Roman" w:cs="Times New Roman"/>
                <w:bCs/>
                <w:sz w:val="23"/>
                <w:szCs w:val="23"/>
                <w:shd w:val="clear" w:color="auto" w:fill="FFFFFF"/>
              </w:rPr>
              <w:t xml:space="preserve">atbilstoši </w:t>
            </w:r>
            <w:proofErr w:type="gramStart"/>
            <w:r w:rsidRPr="00CD592E">
              <w:rPr>
                <w:rFonts w:ascii="Times New Roman" w:hAnsi="Times New Roman" w:cs="Times New Roman"/>
                <w:bCs/>
                <w:sz w:val="23"/>
                <w:szCs w:val="23"/>
                <w:shd w:val="clear" w:color="auto" w:fill="FFFFFF"/>
              </w:rPr>
              <w:t>2015.gada</w:t>
            </w:r>
            <w:proofErr w:type="gramEnd"/>
            <w:r w:rsidRPr="00CD592E">
              <w:rPr>
                <w:rFonts w:ascii="Times New Roman" w:hAnsi="Times New Roman" w:cs="Times New Roman"/>
                <w:bCs/>
                <w:sz w:val="23"/>
                <w:szCs w:val="23"/>
                <w:shd w:val="clear" w:color="auto" w:fill="FFFFFF"/>
              </w:rPr>
              <w:t xml:space="preserve"> 15.oktobra Valsts sekretāru sanāksmē diskutētajam attiecībā uz Darba laika sistēmas izmantošanu, ir nepieciešams paredzēt, ka no 2015.gada 1.novembra darba laika uzskaiti par veiktajām funkcijām nodrošina gadījumos, kad projekta īstenošanas un vadības personālu piesaista uz darba laika pamata un paredz tam </w:t>
            </w:r>
            <w:proofErr w:type="spellStart"/>
            <w:r w:rsidRPr="00CD592E">
              <w:rPr>
                <w:rFonts w:ascii="Times New Roman" w:hAnsi="Times New Roman" w:cs="Times New Roman"/>
                <w:bCs/>
                <w:sz w:val="23"/>
                <w:szCs w:val="23"/>
                <w:shd w:val="clear" w:color="auto" w:fill="FFFFFF"/>
              </w:rPr>
              <w:t>daļlaika</w:t>
            </w:r>
            <w:proofErr w:type="spellEnd"/>
            <w:r w:rsidRPr="00CD592E">
              <w:rPr>
                <w:rFonts w:ascii="Times New Roman" w:hAnsi="Times New Roman" w:cs="Times New Roman"/>
                <w:bCs/>
                <w:sz w:val="23"/>
                <w:szCs w:val="23"/>
                <w:shd w:val="clear" w:color="auto" w:fill="FFFFFF"/>
              </w:rPr>
              <w:t xml:space="preserve"> noslodzes atlīdzības izmaksu </w:t>
            </w:r>
            <w:r w:rsidRPr="008826FA">
              <w:rPr>
                <w:rFonts w:ascii="Times New Roman" w:hAnsi="Times New Roman" w:cs="Times New Roman"/>
                <w:bCs/>
                <w:sz w:val="23"/>
                <w:szCs w:val="23"/>
                <w:shd w:val="clear" w:color="auto" w:fill="FFFFFF"/>
              </w:rPr>
              <w:t xml:space="preserve">attiecināšanu (MK noteikumu projekta </w:t>
            </w:r>
            <w:r w:rsidR="00BA05D3" w:rsidRPr="008826FA">
              <w:rPr>
                <w:rFonts w:ascii="Times New Roman" w:hAnsi="Times New Roman" w:cs="Times New Roman"/>
                <w:bCs/>
                <w:sz w:val="23"/>
                <w:szCs w:val="23"/>
                <w:shd w:val="clear" w:color="auto" w:fill="FFFFFF"/>
              </w:rPr>
              <w:t>8</w:t>
            </w:r>
            <w:r w:rsidRPr="008826FA">
              <w:rPr>
                <w:rFonts w:ascii="Times New Roman" w:hAnsi="Times New Roman" w:cs="Times New Roman"/>
                <w:bCs/>
                <w:sz w:val="23"/>
                <w:szCs w:val="23"/>
                <w:shd w:val="clear" w:color="auto" w:fill="FFFFFF"/>
              </w:rPr>
              <w:t>.punkts)</w:t>
            </w:r>
            <w:r w:rsidR="004D642A" w:rsidRPr="008826FA">
              <w:rPr>
                <w:rFonts w:ascii="Times New Roman" w:hAnsi="Times New Roman" w:cs="Times New Roman"/>
                <w:bCs/>
                <w:sz w:val="23"/>
                <w:szCs w:val="23"/>
                <w:shd w:val="clear" w:color="auto" w:fill="FFFFFF"/>
              </w:rPr>
              <w:t>;</w:t>
            </w:r>
          </w:p>
          <w:p w14:paraId="13539154" w14:textId="729E7959" w:rsidR="00BA05D3" w:rsidRPr="008826FA" w:rsidRDefault="00BA05D3" w:rsidP="00875F5E">
            <w:pPr>
              <w:spacing w:after="0" w:line="240" w:lineRule="auto"/>
              <w:ind w:left="57" w:right="113"/>
              <w:jc w:val="both"/>
              <w:rPr>
                <w:rFonts w:ascii="Times New Roman" w:hAnsi="Times New Roman" w:cs="Times New Roman"/>
                <w:sz w:val="23"/>
                <w:szCs w:val="23"/>
                <w:shd w:val="clear" w:color="auto" w:fill="FFFFFF"/>
              </w:rPr>
            </w:pPr>
            <w:r w:rsidRPr="008826FA">
              <w:rPr>
                <w:rFonts w:ascii="Times New Roman" w:hAnsi="Times New Roman" w:cs="Times New Roman"/>
                <w:bCs/>
                <w:sz w:val="23"/>
                <w:szCs w:val="23"/>
                <w:shd w:val="clear" w:color="auto" w:fill="FFFFFF"/>
              </w:rPr>
              <w:t xml:space="preserve">- lai </w:t>
            </w:r>
            <w:r w:rsidR="008826FA" w:rsidRPr="008826FA">
              <w:rPr>
                <w:rFonts w:ascii="Times New Roman" w:hAnsi="Times New Roman" w:cs="Times New Roman"/>
                <w:bCs/>
                <w:sz w:val="23"/>
                <w:szCs w:val="23"/>
                <w:shd w:val="clear" w:color="auto" w:fill="FFFFFF"/>
              </w:rPr>
              <w:t xml:space="preserve">veicinātu </w:t>
            </w:r>
            <w:r w:rsidRPr="00970EAA">
              <w:rPr>
                <w:rFonts w:ascii="Times New Roman" w:hAnsi="Times New Roman" w:cs="Times New Roman"/>
                <w:bCs/>
                <w:sz w:val="23"/>
                <w:szCs w:val="23"/>
                <w:shd w:val="clear" w:color="auto" w:fill="FFFFFF"/>
              </w:rPr>
              <w:t>pakalpojumu sniedzēju (izglītības iestāžu un darba devēju)</w:t>
            </w:r>
            <w:r w:rsidRPr="008826FA">
              <w:rPr>
                <w:rFonts w:ascii="Times New Roman" w:hAnsi="Times New Roman" w:cs="Times New Roman"/>
                <w:bCs/>
                <w:sz w:val="23"/>
                <w:szCs w:val="23"/>
                <w:shd w:val="clear" w:color="auto" w:fill="FFFFFF"/>
              </w:rPr>
              <w:t xml:space="preserve"> piesaisti 7.1.1.specifiskā atbalsta mērķa “Paaugstināt bezdarbnieku kvalifikāciju un prasmes atbilstoši darba tirgus pieprasījumam” atbalstāmajās darbībās, tādējādi arī veicinātu projekta plānoto rezultātu izpildi, ir nepieciešams papildu obligātajiem projekta informācijas un publicitātes pasākumiem par projekta īstenošanu paredzēt arī</w:t>
            </w:r>
            <w:r w:rsidRPr="008826FA">
              <w:rPr>
                <w:bCs/>
                <w:sz w:val="23"/>
                <w:szCs w:val="23"/>
              </w:rPr>
              <w:t xml:space="preserve"> </w:t>
            </w:r>
            <w:r w:rsidRPr="008826FA">
              <w:rPr>
                <w:rFonts w:ascii="Times New Roman" w:hAnsi="Times New Roman" w:cs="Times New Roman"/>
                <w:bCs/>
                <w:sz w:val="23"/>
                <w:szCs w:val="23"/>
              </w:rPr>
              <w:t xml:space="preserve"> informēšanas pasākumus par bezdarbnieku kvalifikācijas un prasmju paaugstināšanas </w:t>
            </w:r>
            <w:r w:rsidRPr="008826FA">
              <w:rPr>
                <w:rFonts w:ascii="Times New Roman" w:hAnsi="Times New Roman" w:cs="Times New Roman"/>
                <w:bCs/>
                <w:sz w:val="23"/>
                <w:szCs w:val="23"/>
                <w:shd w:val="clear" w:color="auto" w:fill="FFFFFF"/>
              </w:rPr>
              <w:t xml:space="preserve">pasākumiem (MK noteikumu projekta 1.punkts). Līdzīgi pasākumi tika </w:t>
            </w:r>
            <w:r w:rsidR="007C611F" w:rsidRPr="008826FA">
              <w:rPr>
                <w:rFonts w:ascii="Times New Roman" w:hAnsi="Times New Roman" w:cs="Times New Roman"/>
                <w:bCs/>
                <w:sz w:val="23"/>
                <w:szCs w:val="23"/>
                <w:shd w:val="clear" w:color="auto" w:fill="FFFFFF"/>
              </w:rPr>
              <w:t>organizēti</w:t>
            </w:r>
            <w:r w:rsidRPr="008826FA">
              <w:rPr>
                <w:rFonts w:ascii="Times New Roman" w:hAnsi="Times New Roman" w:cs="Times New Roman"/>
                <w:bCs/>
                <w:sz w:val="23"/>
                <w:szCs w:val="23"/>
                <w:shd w:val="clear" w:color="auto" w:fill="FFFFFF"/>
              </w:rPr>
              <w:t xml:space="preserve"> arī 2007.-</w:t>
            </w:r>
            <w:proofErr w:type="gramStart"/>
            <w:r w:rsidRPr="008826FA">
              <w:rPr>
                <w:rFonts w:ascii="Times New Roman" w:hAnsi="Times New Roman" w:cs="Times New Roman"/>
                <w:bCs/>
                <w:sz w:val="23"/>
                <w:szCs w:val="23"/>
                <w:shd w:val="clear" w:color="auto" w:fill="FFFFFF"/>
              </w:rPr>
              <w:t>2013.gada</w:t>
            </w:r>
            <w:proofErr w:type="gramEnd"/>
            <w:r w:rsidRPr="008826FA">
              <w:rPr>
                <w:rFonts w:ascii="Times New Roman" w:hAnsi="Times New Roman" w:cs="Times New Roman"/>
                <w:bCs/>
                <w:sz w:val="23"/>
                <w:szCs w:val="23"/>
                <w:shd w:val="clear" w:color="auto" w:fill="FFFFFF"/>
              </w:rPr>
              <w:t xml:space="preserve"> plānošanas perioda darbības programmas “Cilvēkresursi un nodarbinātība” papildinājuma 1.3.1.1.3.apakšaktivitātes “Bezdarbnieku un darba meklētāju apmācība” ietvaros īstenotajos projektos;</w:t>
            </w:r>
          </w:p>
          <w:p w14:paraId="1D563429" w14:textId="2623CA77" w:rsidR="005E5D66" w:rsidRPr="008826FA" w:rsidRDefault="005E361F" w:rsidP="002B5570">
            <w:pPr>
              <w:spacing w:after="0" w:line="240" w:lineRule="auto"/>
              <w:ind w:left="57" w:right="113"/>
              <w:jc w:val="both"/>
              <w:rPr>
                <w:rFonts w:ascii="Times New Roman" w:hAnsi="Times New Roman" w:cs="Times New Roman"/>
                <w:sz w:val="23"/>
                <w:szCs w:val="23"/>
                <w:shd w:val="clear" w:color="auto" w:fill="FFFFFF"/>
              </w:rPr>
            </w:pPr>
            <w:r w:rsidRPr="00CD592E">
              <w:rPr>
                <w:rFonts w:ascii="Times New Roman" w:hAnsi="Times New Roman" w:cs="Times New Roman"/>
                <w:sz w:val="23"/>
                <w:szCs w:val="23"/>
                <w:shd w:val="clear" w:color="auto" w:fill="FFFFFF"/>
              </w:rPr>
              <w:t>-</w:t>
            </w:r>
            <w:r w:rsidR="005E5D66" w:rsidRPr="00CD592E">
              <w:rPr>
                <w:rFonts w:ascii="Times New Roman" w:hAnsi="Times New Roman" w:cs="Times New Roman"/>
                <w:sz w:val="23"/>
                <w:szCs w:val="23"/>
                <w:shd w:val="clear" w:color="auto" w:fill="FFFFFF"/>
              </w:rPr>
              <w:t xml:space="preserve"> ar MK noteikumu projektu ierosinātās izmaiņas paredz veikt grozījumus MK noteikumos Nr.836, nodrošinot vienotu pieeju/struktūru tiesību normu atspoguļošanai MK noteikumos par Labklājības ministrijas pārziņā esošo specifisko atbalsta mērķu </w:t>
            </w:r>
            <w:r w:rsidR="005E5D66" w:rsidRPr="008826FA">
              <w:rPr>
                <w:rFonts w:ascii="Times New Roman" w:hAnsi="Times New Roman" w:cs="Times New Roman"/>
                <w:sz w:val="23"/>
                <w:szCs w:val="23"/>
                <w:shd w:val="clear" w:color="auto" w:fill="FFFFFF"/>
              </w:rPr>
              <w:t xml:space="preserve">īstenošanu (MK noteikumu projekta </w:t>
            </w:r>
            <w:r w:rsidR="00BA05D3" w:rsidRPr="008826FA">
              <w:rPr>
                <w:rFonts w:ascii="Times New Roman" w:hAnsi="Times New Roman" w:cs="Times New Roman"/>
                <w:sz w:val="23"/>
                <w:szCs w:val="23"/>
                <w:shd w:val="clear" w:color="auto" w:fill="FFFFFF"/>
              </w:rPr>
              <w:t>2</w:t>
            </w:r>
            <w:r w:rsidR="005E5D66" w:rsidRPr="008826FA">
              <w:rPr>
                <w:rFonts w:ascii="Times New Roman" w:hAnsi="Times New Roman" w:cs="Times New Roman"/>
                <w:sz w:val="23"/>
                <w:szCs w:val="23"/>
                <w:shd w:val="clear" w:color="auto" w:fill="FFFFFF"/>
              </w:rPr>
              <w:t xml:space="preserve">., </w:t>
            </w:r>
            <w:r w:rsidR="00BA05D3" w:rsidRPr="008826FA">
              <w:rPr>
                <w:rFonts w:ascii="Times New Roman" w:hAnsi="Times New Roman" w:cs="Times New Roman"/>
                <w:sz w:val="23"/>
                <w:szCs w:val="23"/>
                <w:shd w:val="clear" w:color="auto" w:fill="FFFFFF"/>
              </w:rPr>
              <w:t>3</w:t>
            </w:r>
            <w:r w:rsidR="005E5D66" w:rsidRPr="008826FA">
              <w:rPr>
                <w:rFonts w:ascii="Times New Roman" w:hAnsi="Times New Roman" w:cs="Times New Roman"/>
                <w:sz w:val="23"/>
                <w:szCs w:val="23"/>
                <w:shd w:val="clear" w:color="auto" w:fill="FFFFFF"/>
              </w:rPr>
              <w:t xml:space="preserve">., </w:t>
            </w:r>
            <w:r w:rsidR="00BA05D3" w:rsidRPr="008826FA">
              <w:rPr>
                <w:rFonts w:ascii="Times New Roman" w:hAnsi="Times New Roman" w:cs="Times New Roman"/>
                <w:sz w:val="23"/>
                <w:szCs w:val="23"/>
                <w:shd w:val="clear" w:color="auto" w:fill="FFFFFF"/>
              </w:rPr>
              <w:t>5</w:t>
            </w:r>
            <w:r w:rsidR="005E5D66" w:rsidRPr="008826FA">
              <w:rPr>
                <w:rFonts w:ascii="Times New Roman" w:hAnsi="Times New Roman" w:cs="Times New Roman"/>
                <w:sz w:val="23"/>
                <w:szCs w:val="23"/>
                <w:shd w:val="clear" w:color="auto" w:fill="FFFFFF"/>
              </w:rPr>
              <w:t>.</w:t>
            </w:r>
            <w:r w:rsidR="002B5570" w:rsidRPr="008826FA">
              <w:rPr>
                <w:rFonts w:ascii="Times New Roman" w:hAnsi="Times New Roman" w:cs="Times New Roman"/>
                <w:sz w:val="23"/>
                <w:szCs w:val="23"/>
                <w:shd w:val="clear" w:color="auto" w:fill="FFFFFF"/>
              </w:rPr>
              <w:t xml:space="preserve">, </w:t>
            </w:r>
            <w:r w:rsidR="00BA05D3" w:rsidRPr="008826FA">
              <w:rPr>
                <w:rFonts w:ascii="Times New Roman" w:hAnsi="Times New Roman" w:cs="Times New Roman"/>
                <w:sz w:val="23"/>
                <w:szCs w:val="23"/>
                <w:shd w:val="clear" w:color="auto" w:fill="FFFFFF"/>
              </w:rPr>
              <w:t>7</w:t>
            </w:r>
            <w:r w:rsidR="002B5570" w:rsidRPr="008826FA">
              <w:rPr>
                <w:rFonts w:ascii="Times New Roman" w:hAnsi="Times New Roman" w:cs="Times New Roman"/>
                <w:sz w:val="23"/>
                <w:szCs w:val="23"/>
                <w:shd w:val="clear" w:color="auto" w:fill="FFFFFF"/>
              </w:rPr>
              <w:t xml:space="preserve">., </w:t>
            </w:r>
            <w:r w:rsidR="00BA05D3" w:rsidRPr="008826FA">
              <w:rPr>
                <w:rFonts w:ascii="Times New Roman" w:hAnsi="Times New Roman" w:cs="Times New Roman"/>
                <w:sz w:val="23"/>
                <w:szCs w:val="23"/>
                <w:shd w:val="clear" w:color="auto" w:fill="FFFFFF"/>
              </w:rPr>
              <w:t>11</w:t>
            </w:r>
            <w:r w:rsidR="002B5570" w:rsidRPr="008826FA">
              <w:rPr>
                <w:rFonts w:ascii="Times New Roman" w:hAnsi="Times New Roman" w:cs="Times New Roman"/>
                <w:sz w:val="23"/>
                <w:szCs w:val="23"/>
                <w:shd w:val="clear" w:color="auto" w:fill="FFFFFF"/>
              </w:rPr>
              <w:t>.</w:t>
            </w:r>
            <w:r w:rsidR="005E5D66" w:rsidRPr="008826FA">
              <w:rPr>
                <w:rFonts w:ascii="Times New Roman" w:hAnsi="Times New Roman" w:cs="Times New Roman"/>
                <w:sz w:val="23"/>
                <w:szCs w:val="23"/>
                <w:shd w:val="clear" w:color="auto" w:fill="FFFFFF"/>
              </w:rPr>
              <w:t xml:space="preserve"> un </w:t>
            </w:r>
            <w:r w:rsidR="002B5570" w:rsidRPr="008826FA">
              <w:rPr>
                <w:rFonts w:ascii="Times New Roman" w:hAnsi="Times New Roman" w:cs="Times New Roman"/>
                <w:sz w:val="23"/>
                <w:szCs w:val="23"/>
                <w:shd w:val="clear" w:color="auto" w:fill="FFFFFF"/>
              </w:rPr>
              <w:t>1</w:t>
            </w:r>
            <w:r w:rsidR="00BA05D3" w:rsidRPr="008826FA">
              <w:rPr>
                <w:rFonts w:ascii="Times New Roman" w:hAnsi="Times New Roman" w:cs="Times New Roman"/>
                <w:sz w:val="23"/>
                <w:szCs w:val="23"/>
                <w:shd w:val="clear" w:color="auto" w:fill="FFFFFF"/>
              </w:rPr>
              <w:t>2</w:t>
            </w:r>
            <w:r w:rsidR="005E5D66" w:rsidRPr="008826FA">
              <w:rPr>
                <w:rFonts w:ascii="Times New Roman" w:hAnsi="Times New Roman" w:cs="Times New Roman"/>
                <w:sz w:val="23"/>
                <w:szCs w:val="23"/>
                <w:shd w:val="clear" w:color="auto" w:fill="FFFFFF"/>
              </w:rPr>
              <w:t>.punkts).</w:t>
            </w:r>
          </w:p>
          <w:p w14:paraId="0F1BCC7C" w14:textId="77777777" w:rsidR="007D4624" w:rsidRPr="008826FA" w:rsidRDefault="007D4624" w:rsidP="002B5570">
            <w:pPr>
              <w:spacing w:after="0" w:line="240" w:lineRule="auto"/>
              <w:ind w:left="57" w:right="113"/>
              <w:jc w:val="both"/>
              <w:rPr>
                <w:rFonts w:ascii="Times New Roman" w:hAnsi="Times New Roman" w:cs="Times New Roman"/>
                <w:sz w:val="23"/>
                <w:szCs w:val="23"/>
                <w:shd w:val="clear" w:color="auto" w:fill="FFFFFF"/>
              </w:rPr>
            </w:pPr>
          </w:p>
          <w:p w14:paraId="5C82043D" w14:textId="61035264" w:rsidR="007D4624" w:rsidRPr="00CD592E" w:rsidRDefault="00CD592E" w:rsidP="00BA05D3">
            <w:pPr>
              <w:spacing w:after="0" w:line="240" w:lineRule="auto"/>
              <w:ind w:left="57" w:right="113"/>
              <w:jc w:val="both"/>
              <w:rPr>
                <w:rFonts w:ascii="Times New Roman" w:hAnsi="Times New Roman" w:cs="Times New Roman"/>
                <w:b/>
                <w:sz w:val="23"/>
                <w:szCs w:val="23"/>
                <w:shd w:val="clear" w:color="auto" w:fill="FFFFFF"/>
              </w:rPr>
            </w:pPr>
            <w:r w:rsidRPr="008826FA">
              <w:rPr>
                <w:rFonts w:ascii="Times New Roman" w:hAnsi="Times New Roman" w:cs="Times New Roman"/>
                <w:sz w:val="23"/>
                <w:szCs w:val="23"/>
                <w:shd w:val="clear" w:color="auto" w:fill="FFFFFF"/>
              </w:rPr>
              <w:t>A</w:t>
            </w:r>
            <w:r w:rsidR="007D4624" w:rsidRPr="008826FA">
              <w:rPr>
                <w:rFonts w:ascii="Times New Roman" w:hAnsi="Times New Roman" w:cs="Times New Roman"/>
                <w:sz w:val="23"/>
                <w:szCs w:val="23"/>
                <w:shd w:val="clear" w:color="auto" w:fill="FFFFFF"/>
              </w:rPr>
              <w:t xml:space="preserve">r MK noteikumu projektu ierosinātās izmaiņas projekta īstenošanas nosacījumos attiecināmas no minēto MK noteikumu grozījumu spēkā </w:t>
            </w:r>
            <w:r w:rsidR="007D4624" w:rsidRPr="008826FA">
              <w:rPr>
                <w:rFonts w:ascii="Times New Roman" w:hAnsi="Times New Roman" w:cs="Times New Roman"/>
                <w:sz w:val="23"/>
                <w:szCs w:val="23"/>
                <w:shd w:val="clear" w:color="auto" w:fill="FFFFFF"/>
              </w:rPr>
              <w:lastRenderedPageBreak/>
              <w:t xml:space="preserve">stāšanās dienas, izņemot </w:t>
            </w:r>
            <w:r w:rsidRPr="008826FA">
              <w:rPr>
                <w:rFonts w:ascii="Times New Roman" w:hAnsi="Times New Roman" w:cs="Times New Roman"/>
                <w:sz w:val="23"/>
                <w:szCs w:val="23"/>
                <w:shd w:val="clear" w:color="auto" w:fill="FFFFFF"/>
              </w:rPr>
              <w:t>izmaiņas, kas ietvertas</w:t>
            </w:r>
            <w:proofErr w:type="gramStart"/>
            <w:r w:rsidRPr="008826FA">
              <w:rPr>
                <w:rFonts w:ascii="Times New Roman" w:hAnsi="Times New Roman" w:cs="Times New Roman"/>
                <w:sz w:val="23"/>
                <w:szCs w:val="23"/>
                <w:shd w:val="clear" w:color="auto" w:fill="FFFFFF"/>
              </w:rPr>
              <w:t xml:space="preserve">  </w:t>
            </w:r>
            <w:proofErr w:type="gramEnd"/>
            <w:r w:rsidRPr="008826FA">
              <w:rPr>
                <w:rFonts w:ascii="Times New Roman" w:hAnsi="Times New Roman" w:cs="Times New Roman"/>
                <w:sz w:val="23"/>
                <w:szCs w:val="23"/>
                <w:shd w:val="clear" w:color="auto" w:fill="FFFFFF"/>
              </w:rPr>
              <w:t xml:space="preserve">MK noteikumu projekta </w:t>
            </w:r>
            <w:r w:rsidR="00BA05D3" w:rsidRPr="008826FA">
              <w:rPr>
                <w:rFonts w:ascii="Times New Roman" w:hAnsi="Times New Roman" w:cs="Times New Roman"/>
                <w:sz w:val="23"/>
                <w:szCs w:val="23"/>
                <w:shd w:val="clear" w:color="auto" w:fill="FFFFFF"/>
              </w:rPr>
              <w:t>4</w:t>
            </w:r>
            <w:r w:rsidRPr="008826FA">
              <w:rPr>
                <w:rFonts w:ascii="Times New Roman" w:hAnsi="Times New Roman" w:cs="Times New Roman"/>
                <w:sz w:val="23"/>
                <w:szCs w:val="23"/>
                <w:shd w:val="clear" w:color="auto" w:fill="FFFFFF"/>
              </w:rPr>
              <w:t>., 1</w:t>
            </w:r>
            <w:r w:rsidR="00BA05D3" w:rsidRPr="008826FA">
              <w:rPr>
                <w:rFonts w:ascii="Times New Roman" w:hAnsi="Times New Roman" w:cs="Times New Roman"/>
                <w:sz w:val="23"/>
                <w:szCs w:val="23"/>
                <w:shd w:val="clear" w:color="auto" w:fill="FFFFFF"/>
              </w:rPr>
              <w:t>3</w:t>
            </w:r>
            <w:r w:rsidRPr="008826FA">
              <w:rPr>
                <w:rFonts w:ascii="Times New Roman" w:hAnsi="Times New Roman" w:cs="Times New Roman"/>
                <w:sz w:val="23"/>
                <w:szCs w:val="23"/>
                <w:shd w:val="clear" w:color="auto" w:fill="FFFFFF"/>
              </w:rPr>
              <w:t>. un 1</w:t>
            </w:r>
            <w:r w:rsidR="00BA05D3" w:rsidRPr="008826FA">
              <w:rPr>
                <w:rFonts w:ascii="Times New Roman" w:hAnsi="Times New Roman" w:cs="Times New Roman"/>
                <w:sz w:val="23"/>
                <w:szCs w:val="23"/>
                <w:shd w:val="clear" w:color="auto" w:fill="FFFFFF"/>
              </w:rPr>
              <w:t>4</w:t>
            </w:r>
            <w:r w:rsidRPr="008826FA">
              <w:rPr>
                <w:rFonts w:ascii="Times New Roman" w:hAnsi="Times New Roman" w:cs="Times New Roman"/>
                <w:sz w:val="23"/>
                <w:szCs w:val="23"/>
                <w:shd w:val="clear" w:color="auto" w:fill="FFFFFF"/>
              </w:rPr>
              <w:t xml:space="preserve">.punktā, un </w:t>
            </w:r>
            <w:r w:rsidR="007D4624" w:rsidRPr="008826FA">
              <w:rPr>
                <w:rFonts w:ascii="Times New Roman" w:hAnsi="Times New Roman" w:cs="Times New Roman"/>
                <w:sz w:val="23"/>
                <w:szCs w:val="23"/>
                <w:shd w:val="clear" w:color="auto" w:fill="FFFFFF"/>
              </w:rPr>
              <w:t xml:space="preserve">gadījumus, kad ir nepieciešams veikt atbilstošus precizējumus projektā (tādā gadījumā - finansējuma </w:t>
            </w:r>
            <w:r w:rsidRPr="008826FA">
              <w:rPr>
                <w:rFonts w:ascii="Times New Roman" w:hAnsi="Times New Roman" w:cs="Times New Roman"/>
                <w:sz w:val="23"/>
                <w:szCs w:val="23"/>
                <w:shd w:val="clear" w:color="auto" w:fill="FFFFFF"/>
              </w:rPr>
              <w:t>saņēmējam</w:t>
            </w:r>
            <w:r w:rsidR="007D4624" w:rsidRPr="008826FA">
              <w:rPr>
                <w:rFonts w:ascii="Times New Roman" w:hAnsi="Times New Roman" w:cs="Times New Roman"/>
                <w:sz w:val="23"/>
                <w:szCs w:val="23"/>
                <w:shd w:val="clear" w:color="auto" w:fill="FFFFFF"/>
              </w:rPr>
              <w:t xml:space="preserve"> izmaiņas iepriekš jāsaskaņo ar sadarbības iestādi, iesniedzot atbilstošus grozījumos projektā).</w:t>
            </w:r>
          </w:p>
        </w:tc>
      </w:tr>
      <w:tr w:rsidR="00CC1A56" w:rsidRPr="00CD592E" w14:paraId="430D5B1D" w14:textId="77777777" w:rsidTr="00E022DC">
        <w:trPr>
          <w:trHeight w:val="476"/>
        </w:trPr>
        <w:tc>
          <w:tcPr>
            <w:tcW w:w="224" w:type="pct"/>
          </w:tcPr>
          <w:p w14:paraId="510678D3" w14:textId="1E6A00FC" w:rsidR="00CC1A56" w:rsidRPr="00CD592E" w:rsidRDefault="00CC1A56" w:rsidP="00875F5E">
            <w:pPr>
              <w:pStyle w:val="naiskr"/>
              <w:spacing w:before="0" w:beforeAutospacing="0" w:after="0" w:afterAutospacing="0"/>
              <w:ind w:left="57" w:right="57"/>
              <w:jc w:val="center"/>
              <w:rPr>
                <w:sz w:val="23"/>
                <w:szCs w:val="23"/>
              </w:rPr>
            </w:pPr>
            <w:r w:rsidRPr="00CD592E">
              <w:rPr>
                <w:sz w:val="23"/>
                <w:szCs w:val="23"/>
              </w:rPr>
              <w:lastRenderedPageBreak/>
              <w:t>3.</w:t>
            </w:r>
          </w:p>
        </w:tc>
        <w:tc>
          <w:tcPr>
            <w:tcW w:w="1245" w:type="pct"/>
          </w:tcPr>
          <w:p w14:paraId="0056287A" w14:textId="77777777" w:rsidR="00CC1A56" w:rsidRPr="00CD592E" w:rsidRDefault="00CC1A56" w:rsidP="00875F5E">
            <w:pPr>
              <w:pStyle w:val="naiskr"/>
              <w:spacing w:before="0" w:beforeAutospacing="0" w:after="0" w:afterAutospacing="0"/>
              <w:ind w:left="57" w:right="57"/>
              <w:rPr>
                <w:sz w:val="23"/>
                <w:szCs w:val="23"/>
              </w:rPr>
            </w:pPr>
            <w:r w:rsidRPr="00CD592E">
              <w:rPr>
                <w:sz w:val="23"/>
                <w:szCs w:val="23"/>
              </w:rPr>
              <w:t>Projekta izstrādē iesaistītās institūcijas</w:t>
            </w:r>
          </w:p>
        </w:tc>
        <w:tc>
          <w:tcPr>
            <w:tcW w:w="3531" w:type="pct"/>
          </w:tcPr>
          <w:p w14:paraId="045B7111" w14:textId="06A1B377" w:rsidR="00382F6F" w:rsidRPr="00CD592E" w:rsidRDefault="005E1FE1" w:rsidP="00875F5E">
            <w:pPr>
              <w:spacing w:after="0" w:line="240" w:lineRule="auto"/>
              <w:ind w:left="57" w:right="113"/>
              <w:jc w:val="both"/>
              <w:rPr>
                <w:rFonts w:ascii="Times New Roman" w:hAnsi="Times New Roman" w:cs="Times New Roman"/>
                <w:sz w:val="23"/>
                <w:szCs w:val="23"/>
                <w:shd w:val="clear" w:color="auto" w:fill="FFFFFF"/>
              </w:rPr>
            </w:pPr>
            <w:r w:rsidRPr="00CD592E">
              <w:rPr>
                <w:rFonts w:ascii="Times New Roman" w:hAnsi="Times New Roman" w:cs="Times New Roman"/>
                <w:sz w:val="23"/>
                <w:szCs w:val="23"/>
                <w:shd w:val="clear" w:color="auto" w:fill="FFFFFF"/>
              </w:rPr>
              <w:t>MK noteikumu projekts šo jomu neskar.</w:t>
            </w:r>
          </w:p>
        </w:tc>
      </w:tr>
      <w:tr w:rsidR="00CC1A56" w:rsidRPr="00CD592E" w14:paraId="3888F858" w14:textId="77777777" w:rsidTr="00E022DC">
        <w:tc>
          <w:tcPr>
            <w:tcW w:w="224" w:type="pct"/>
          </w:tcPr>
          <w:p w14:paraId="726D49C0" w14:textId="0CB86B9C" w:rsidR="00CC1A56" w:rsidRPr="00CD592E" w:rsidRDefault="00CC1A56" w:rsidP="00875F5E">
            <w:pPr>
              <w:pStyle w:val="naiskr"/>
              <w:spacing w:before="0" w:beforeAutospacing="0" w:after="0" w:afterAutospacing="0"/>
              <w:ind w:left="57" w:right="57"/>
              <w:jc w:val="center"/>
              <w:rPr>
                <w:sz w:val="23"/>
                <w:szCs w:val="23"/>
              </w:rPr>
            </w:pPr>
            <w:r w:rsidRPr="00CD592E">
              <w:rPr>
                <w:sz w:val="23"/>
                <w:szCs w:val="23"/>
              </w:rPr>
              <w:t>4.</w:t>
            </w:r>
          </w:p>
        </w:tc>
        <w:tc>
          <w:tcPr>
            <w:tcW w:w="1245" w:type="pct"/>
          </w:tcPr>
          <w:p w14:paraId="65B3391E" w14:textId="77777777" w:rsidR="00CC1A56" w:rsidRPr="00CD592E" w:rsidRDefault="00CC1A56" w:rsidP="00875F5E">
            <w:pPr>
              <w:pStyle w:val="naiskr"/>
              <w:spacing w:before="0" w:beforeAutospacing="0" w:after="0" w:afterAutospacing="0"/>
              <w:ind w:left="57" w:right="57"/>
              <w:rPr>
                <w:sz w:val="23"/>
                <w:szCs w:val="23"/>
              </w:rPr>
            </w:pPr>
            <w:r w:rsidRPr="00CD592E">
              <w:rPr>
                <w:sz w:val="23"/>
                <w:szCs w:val="23"/>
              </w:rPr>
              <w:t>Cita informācija</w:t>
            </w:r>
          </w:p>
        </w:tc>
        <w:tc>
          <w:tcPr>
            <w:tcW w:w="3531" w:type="pct"/>
          </w:tcPr>
          <w:p w14:paraId="27A3232B" w14:textId="230FC775" w:rsidR="00AB321F" w:rsidRPr="00CD592E" w:rsidRDefault="005E1FE1" w:rsidP="00875F5E">
            <w:pPr>
              <w:spacing w:after="0" w:line="240" w:lineRule="auto"/>
              <w:ind w:left="57" w:right="113"/>
              <w:jc w:val="both"/>
              <w:rPr>
                <w:rFonts w:ascii="Times New Roman" w:hAnsi="Times New Roman" w:cs="Times New Roman"/>
                <w:color w:val="000000"/>
                <w:sz w:val="23"/>
                <w:szCs w:val="23"/>
              </w:rPr>
            </w:pPr>
            <w:r w:rsidRPr="00CD592E">
              <w:rPr>
                <w:rFonts w:ascii="Times New Roman" w:hAnsi="Times New Roman" w:cs="Times New Roman"/>
                <w:sz w:val="23"/>
                <w:szCs w:val="23"/>
                <w:shd w:val="clear" w:color="auto" w:fill="FFFFFF"/>
              </w:rPr>
              <w:t>Nav.</w:t>
            </w:r>
          </w:p>
        </w:tc>
      </w:tr>
    </w:tbl>
    <w:p w14:paraId="1A4D22BE" w14:textId="77777777" w:rsidR="00F21E42" w:rsidRPr="00CD592E" w:rsidRDefault="00F21E42" w:rsidP="00875F5E">
      <w:pPr>
        <w:spacing w:after="0" w:line="240" w:lineRule="auto"/>
        <w:rPr>
          <w:rFonts w:ascii="Times New Roman" w:hAnsi="Times New Roman" w:cs="Times New Roman"/>
          <w:sz w:val="23"/>
          <w:szCs w:val="23"/>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25"/>
        <w:gridCol w:w="6378"/>
      </w:tblGrid>
      <w:tr w:rsidR="00CC1A56" w:rsidRPr="00CD592E" w14:paraId="0320F7F7" w14:textId="77777777" w:rsidTr="0089655E">
        <w:trPr>
          <w:trHeight w:val="556"/>
        </w:trPr>
        <w:tc>
          <w:tcPr>
            <w:tcW w:w="9634" w:type="dxa"/>
            <w:gridSpan w:val="3"/>
            <w:vAlign w:val="center"/>
          </w:tcPr>
          <w:p w14:paraId="5D20C248" w14:textId="77777777" w:rsidR="00CC1A56" w:rsidRPr="00CD592E" w:rsidRDefault="00CC1A56" w:rsidP="00875F5E">
            <w:pPr>
              <w:pStyle w:val="naisnod"/>
              <w:spacing w:before="0" w:beforeAutospacing="0" w:after="0" w:afterAutospacing="0"/>
              <w:ind w:left="57" w:right="57"/>
              <w:jc w:val="center"/>
              <w:rPr>
                <w:b/>
                <w:sz w:val="23"/>
                <w:szCs w:val="23"/>
              </w:rPr>
            </w:pPr>
            <w:r w:rsidRPr="00CD592E">
              <w:rPr>
                <w:b/>
                <w:sz w:val="23"/>
                <w:szCs w:val="23"/>
              </w:rPr>
              <w:t>II. Tiesību akta projekta ietekme uz sabiedrību, tautsaimniecības attīstību</w:t>
            </w:r>
          </w:p>
          <w:p w14:paraId="4CCA2CAE" w14:textId="77777777" w:rsidR="00CC1A56" w:rsidRPr="00CD592E" w:rsidRDefault="00CC1A56" w:rsidP="00875F5E">
            <w:pPr>
              <w:pStyle w:val="naisnod"/>
              <w:spacing w:before="0" w:beforeAutospacing="0" w:after="0" w:afterAutospacing="0"/>
              <w:ind w:left="57" w:right="57"/>
              <w:jc w:val="center"/>
              <w:rPr>
                <w:b/>
                <w:sz w:val="23"/>
                <w:szCs w:val="23"/>
              </w:rPr>
            </w:pPr>
            <w:r w:rsidRPr="00CD592E">
              <w:rPr>
                <w:b/>
                <w:sz w:val="23"/>
                <w:szCs w:val="23"/>
              </w:rPr>
              <w:t>un administratīvo slogu</w:t>
            </w:r>
          </w:p>
        </w:tc>
      </w:tr>
      <w:tr w:rsidR="00CC1A56" w:rsidRPr="00CD592E" w14:paraId="7690B02F" w14:textId="77777777" w:rsidTr="0089655E">
        <w:trPr>
          <w:trHeight w:val="467"/>
        </w:trPr>
        <w:tc>
          <w:tcPr>
            <w:tcW w:w="431" w:type="dxa"/>
          </w:tcPr>
          <w:p w14:paraId="22D56FA9" w14:textId="77777777" w:rsidR="00CC1A56" w:rsidRPr="00CD592E" w:rsidRDefault="00CC1A56" w:rsidP="00875F5E">
            <w:pPr>
              <w:pStyle w:val="naiskr"/>
              <w:spacing w:before="0" w:beforeAutospacing="0" w:after="0" w:afterAutospacing="0"/>
              <w:ind w:left="57" w:right="57"/>
              <w:jc w:val="both"/>
              <w:rPr>
                <w:sz w:val="23"/>
                <w:szCs w:val="23"/>
              </w:rPr>
            </w:pPr>
            <w:r w:rsidRPr="00CD592E">
              <w:rPr>
                <w:sz w:val="23"/>
                <w:szCs w:val="23"/>
              </w:rPr>
              <w:t>1.</w:t>
            </w:r>
          </w:p>
        </w:tc>
        <w:tc>
          <w:tcPr>
            <w:tcW w:w="2825" w:type="dxa"/>
          </w:tcPr>
          <w:p w14:paraId="71297153" w14:textId="77777777" w:rsidR="00CC1A56" w:rsidRPr="00CD592E" w:rsidRDefault="00CC1A56" w:rsidP="00875F5E">
            <w:pPr>
              <w:pStyle w:val="naiskr"/>
              <w:spacing w:before="0" w:beforeAutospacing="0" w:after="0" w:afterAutospacing="0"/>
              <w:ind w:left="57" w:right="57"/>
              <w:rPr>
                <w:sz w:val="23"/>
                <w:szCs w:val="23"/>
              </w:rPr>
            </w:pPr>
            <w:r w:rsidRPr="00CD592E">
              <w:rPr>
                <w:sz w:val="23"/>
                <w:szCs w:val="23"/>
              </w:rPr>
              <w:t>Sabiedrības mērķgrupas, kuras tiesiskais regulējums ietekmē vai varētu ietekmēt</w:t>
            </w:r>
          </w:p>
        </w:tc>
        <w:tc>
          <w:tcPr>
            <w:tcW w:w="6378" w:type="dxa"/>
          </w:tcPr>
          <w:p w14:paraId="5DED6035" w14:textId="46DD2B5A" w:rsidR="00CC1A56" w:rsidRPr="008826FA" w:rsidRDefault="00FD0C6A" w:rsidP="002B5570">
            <w:pPr>
              <w:shd w:val="clear" w:color="auto" w:fill="FFFFFF"/>
              <w:spacing w:after="0" w:line="240" w:lineRule="auto"/>
              <w:ind w:left="57" w:right="113"/>
              <w:jc w:val="both"/>
              <w:rPr>
                <w:rFonts w:ascii="Times New Roman" w:hAnsi="Times New Roman" w:cs="Times New Roman"/>
                <w:sz w:val="23"/>
                <w:szCs w:val="23"/>
              </w:rPr>
            </w:pPr>
            <w:bookmarkStart w:id="1" w:name="p21"/>
            <w:bookmarkEnd w:id="1"/>
            <w:r w:rsidRPr="008826FA">
              <w:rPr>
                <w:rFonts w:ascii="Times New Roman" w:hAnsi="Times New Roman" w:cs="Times New Roman"/>
                <w:sz w:val="23"/>
                <w:szCs w:val="23"/>
              </w:rPr>
              <w:t xml:space="preserve">NVA </w:t>
            </w:r>
            <w:r w:rsidR="00F91BD8" w:rsidRPr="008826FA">
              <w:rPr>
                <w:rFonts w:ascii="Times New Roman" w:hAnsi="Times New Roman" w:cs="Times New Roman"/>
                <w:sz w:val="23"/>
                <w:szCs w:val="23"/>
              </w:rPr>
              <w:t xml:space="preserve">reģistrēti bezdarbnieki un darba meklētāji, īpaši ar zemu un darba tirgus prasībām neatbilstošu prasmju un kvalifikācijas līmeni (atbilstoši </w:t>
            </w:r>
            <w:r w:rsidR="00797F3E" w:rsidRPr="008826FA">
              <w:rPr>
                <w:rFonts w:ascii="Times New Roman" w:hAnsi="Times New Roman" w:cs="Times New Roman"/>
                <w:sz w:val="23"/>
                <w:szCs w:val="23"/>
              </w:rPr>
              <w:t>NVA</w:t>
            </w:r>
            <w:r w:rsidR="00F91BD8" w:rsidRPr="008826FA">
              <w:rPr>
                <w:rFonts w:ascii="Times New Roman" w:hAnsi="Times New Roman" w:cs="Times New Roman"/>
                <w:sz w:val="23"/>
                <w:szCs w:val="23"/>
              </w:rPr>
              <w:t xml:space="preserve"> statistikas datiem – reģistrētais bezdarba līmenis valstī </w:t>
            </w:r>
            <w:proofErr w:type="gramStart"/>
            <w:r w:rsidR="00F91BD8" w:rsidRPr="008826FA">
              <w:rPr>
                <w:rFonts w:ascii="Times New Roman" w:hAnsi="Times New Roman" w:cs="Times New Roman"/>
                <w:sz w:val="23"/>
                <w:szCs w:val="23"/>
              </w:rPr>
              <w:t>201</w:t>
            </w:r>
            <w:r w:rsidR="005E1FE1" w:rsidRPr="008826FA">
              <w:rPr>
                <w:rFonts w:ascii="Times New Roman" w:hAnsi="Times New Roman" w:cs="Times New Roman"/>
                <w:sz w:val="23"/>
                <w:szCs w:val="23"/>
              </w:rPr>
              <w:t>5</w:t>
            </w:r>
            <w:r w:rsidR="00F91BD8" w:rsidRPr="008826FA">
              <w:rPr>
                <w:rFonts w:ascii="Times New Roman" w:hAnsi="Times New Roman" w:cs="Times New Roman"/>
                <w:sz w:val="23"/>
                <w:szCs w:val="23"/>
              </w:rPr>
              <w:t>.gada</w:t>
            </w:r>
            <w:proofErr w:type="gramEnd"/>
            <w:r w:rsidR="00F91BD8" w:rsidRPr="008826FA">
              <w:rPr>
                <w:rFonts w:ascii="Times New Roman" w:hAnsi="Times New Roman" w:cs="Times New Roman"/>
                <w:sz w:val="23"/>
                <w:szCs w:val="23"/>
              </w:rPr>
              <w:t xml:space="preserve"> </w:t>
            </w:r>
            <w:r w:rsidR="005E1FE1" w:rsidRPr="008826FA">
              <w:rPr>
                <w:rFonts w:ascii="Times New Roman" w:hAnsi="Times New Roman" w:cs="Times New Roman"/>
                <w:sz w:val="23"/>
                <w:szCs w:val="23"/>
              </w:rPr>
              <w:t>3</w:t>
            </w:r>
            <w:r w:rsidR="002B5570" w:rsidRPr="008826FA">
              <w:rPr>
                <w:rFonts w:ascii="Times New Roman" w:hAnsi="Times New Roman" w:cs="Times New Roman"/>
                <w:sz w:val="23"/>
                <w:szCs w:val="23"/>
              </w:rPr>
              <w:t>1</w:t>
            </w:r>
            <w:r w:rsidR="005E1FE1" w:rsidRPr="008826FA">
              <w:rPr>
                <w:rFonts w:ascii="Times New Roman" w:hAnsi="Times New Roman" w:cs="Times New Roman"/>
                <w:sz w:val="23"/>
                <w:szCs w:val="23"/>
              </w:rPr>
              <w:t>.</w:t>
            </w:r>
            <w:r w:rsidR="002B5570" w:rsidRPr="008826FA">
              <w:rPr>
                <w:rFonts w:ascii="Times New Roman" w:hAnsi="Times New Roman" w:cs="Times New Roman"/>
                <w:sz w:val="23"/>
                <w:szCs w:val="23"/>
              </w:rPr>
              <w:t>oktobrī</w:t>
            </w:r>
            <w:r w:rsidR="00C64158" w:rsidRPr="008826FA">
              <w:rPr>
                <w:rFonts w:ascii="Times New Roman" w:hAnsi="Times New Roman" w:cs="Times New Roman"/>
                <w:sz w:val="23"/>
                <w:szCs w:val="23"/>
              </w:rPr>
              <w:t xml:space="preserve"> </w:t>
            </w:r>
            <w:r w:rsidR="00F91BD8" w:rsidRPr="008826FA">
              <w:rPr>
                <w:rFonts w:ascii="Times New Roman" w:hAnsi="Times New Roman" w:cs="Times New Roman"/>
                <w:sz w:val="23"/>
                <w:szCs w:val="23"/>
              </w:rPr>
              <w:t xml:space="preserve">bija </w:t>
            </w:r>
            <w:r w:rsidR="005A00A7" w:rsidRPr="008826FA">
              <w:rPr>
                <w:rFonts w:ascii="Times New Roman" w:hAnsi="Times New Roman" w:cs="Times New Roman"/>
                <w:sz w:val="23"/>
                <w:szCs w:val="23"/>
              </w:rPr>
              <w:t>8,</w:t>
            </w:r>
            <w:r w:rsidR="00875F5E" w:rsidRPr="008826FA">
              <w:rPr>
                <w:rFonts w:ascii="Times New Roman" w:hAnsi="Times New Roman" w:cs="Times New Roman"/>
                <w:sz w:val="23"/>
                <w:szCs w:val="23"/>
              </w:rPr>
              <w:t>3</w:t>
            </w:r>
            <w:r w:rsidR="00F91BD8" w:rsidRPr="008826FA">
              <w:rPr>
                <w:rFonts w:ascii="Times New Roman" w:hAnsi="Times New Roman" w:cs="Times New Roman"/>
                <w:sz w:val="23"/>
                <w:szCs w:val="23"/>
              </w:rPr>
              <w:t xml:space="preserve">%). </w:t>
            </w:r>
          </w:p>
        </w:tc>
      </w:tr>
      <w:tr w:rsidR="00CC1A56" w:rsidRPr="00CD592E" w14:paraId="6F8CAE29" w14:textId="77777777" w:rsidTr="0089655E">
        <w:trPr>
          <w:trHeight w:val="523"/>
        </w:trPr>
        <w:tc>
          <w:tcPr>
            <w:tcW w:w="431" w:type="dxa"/>
          </w:tcPr>
          <w:p w14:paraId="27C40099" w14:textId="77777777" w:rsidR="00CC1A56" w:rsidRPr="00CD592E" w:rsidRDefault="00CC1A56" w:rsidP="00875F5E">
            <w:pPr>
              <w:pStyle w:val="naiskr"/>
              <w:spacing w:before="0" w:beforeAutospacing="0" w:after="0" w:afterAutospacing="0"/>
              <w:ind w:left="57" w:right="57"/>
              <w:jc w:val="both"/>
              <w:rPr>
                <w:sz w:val="23"/>
                <w:szCs w:val="23"/>
              </w:rPr>
            </w:pPr>
            <w:r w:rsidRPr="00CD592E">
              <w:rPr>
                <w:sz w:val="23"/>
                <w:szCs w:val="23"/>
              </w:rPr>
              <w:t>2.</w:t>
            </w:r>
          </w:p>
        </w:tc>
        <w:tc>
          <w:tcPr>
            <w:tcW w:w="2825" w:type="dxa"/>
          </w:tcPr>
          <w:p w14:paraId="2557BB6F" w14:textId="77777777" w:rsidR="00CC1A56" w:rsidRPr="00CD592E" w:rsidRDefault="00CC1A56" w:rsidP="00875F5E">
            <w:pPr>
              <w:pStyle w:val="naiskr"/>
              <w:spacing w:before="0" w:beforeAutospacing="0" w:after="0" w:afterAutospacing="0"/>
              <w:ind w:left="57" w:right="57"/>
              <w:rPr>
                <w:sz w:val="23"/>
                <w:szCs w:val="23"/>
              </w:rPr>
            </w:pPr>
            <w:r w:rsidRPr="00CD592E">
              <w:rPr>
                <w:sz w:val="23"/>
                <w:szCs w:val="23"/>
              </w:rPr>
              <w:t>Tiesiskā regulējuma ietekme uz tautsaimniecību un administratīvo slogu</w:t>
            </w:r>
          </w:p>
        </w:tc>
        <w:tc>
          <w:tcPr>
            <w:tcW w:w="6378" w:type="dxa"/>
          </w:tcPr>
          <w:p w14:paraId="31BE6099" w14:textId="014972DD" w:rsidR="004F135B" w:rsidRPr="008826FA" w:rsidRDefault="005E1FE1" w:rsidP="00875F5E">
            <w:pPr>
              <w:shd w:val="clear" w:color="auto" w:fill="FFFFFF"/>
              <w:spacing w:after="0" w:line="240" w:lineRule="auto"/>
              <w:ind w:left="57" w:right="113"/>
              <w:jc w:val="both"/>
              <w:rPr>
                <w:rFonts w:ascii="Times New Roman" w:hAnsi="Times New Roman" w:cs="Times New Roman"/>
                <w:sz w:val="23"/>
                <w:szCs w:val="23"/>
                <w:lang w:eastAsia="lv-LV"/>
              </w:rPr>
            </w:pPr>
            <w:r w:rsidRPr="008826FA">
              <w:rPr>
                <w:rFonts w:ascii="Times New Roman" w:hAnsi="Times New Roman" w:cs="Times New Roman"/>
                <w:sz w:val="23"/>
                <w:szCs w:val="23"/>
              </w:rPr>
              <w:t xml:space="preserve">Kopumā sabiedrības grupām MK noteikumu projekta tiesiskais regulējums nemaina tiesības un pienākumus, kā arī veicamās darbības. </w:t>
            </w:r>
          </w:p>
        </w:tc>
      </w:tr>
      <w:tr w:rsidR="00CC1A56" w:rsidRPr="00CD592E" w14:paraId="61914012" w14:textId="77777777" w:rsidTr="0089655E">
        <w:trPr>
          <w:trHeight w:val="523"/>
        </w:trPr>
        <w:tc>
          <w:tcPr>
            <w:tcW w:w="431" w:type="dxa"/>
          </w:tcPr>
          <w:p w14:paraId="03026045" w14:textId="77777777" w:rsidR="00CC1A56" w:rsidRPr="00CD592E" w:rsidRDefault="00CC1A56" w:rsidP="00875F5E">
            <w:pPr>
              <w:pStyle w:val="naiskr"/>
              <w:spacing w:before="0" w:beforeAutospacing="0" w:after="0" w:afterAutospacing="0"/>
              <w:ind w:left="57" w:right="57"/>
              <w:jc w:val="both"/>
              <w:rPr>
                <w:sz w:val="23"/>
                <w:szCs w:val="23"/>
              </w:rPr>
            </w:pPr>
            <w:r w:rsidRPr="00CD592E">
              <w:rPr>
                <w:sz w:val="23"/>
                <w:szCs w:val="23"/>
              </w:rPr>
              <w:t>3.</w:t>
            </w:r>
          </w:p>
        </w:tc>
        <w:tc>
          <w:tcPr>
            <w:tcW w:w="2825" w:type="dxa"/>
          </w:tcPr>
          <w:p w14:paraId="0D33F6D5" w14:textId="77777777" w:rsidR="00CC1A56" w:rsidRPr="00CD592E" w:rsidRDefault="00CC1A56" w:rsidP="00875F5E">
            <w:pPr>
              <w:pStyle w:val="naiskr"/>
              <w:spacing w:before="0" w:beforeAutospacing="0" w:after="0" w:afterAutospacing="0"/>
              <w:ind w:left="57" w:right="57"/>
              <w:rPr>
                <w:sz w:val="23"/>
                <w:szCs w:val="23"/>
              </w:rPr>
            </w:pPr>
            <w:r w:rsidRPr="00CD592E">
              <w:rPr>
                <w:sz w:val="23"/>
                <w:szCs w:val="23"/>
              </w:rPr>
              <w:t>Administratīvo izmaksu monetārs novērtējums</w:t>
            </w:r>
          </w:p>
        </w:tc>
        <w:tc>
          <w:tcPr>
            <w:tcW w:w="6378" w:type="dxa"/>
          </w:tcPr>
          <w:p w14:paraId="1D9112F7" w14:textId="23B316E0" w:rsidR="00CC1A56" w:rsidRPr="00CD592E" w:rsidRDefault="005E1FE1" w:rsidP="00875F5E">
            <w:pPr>
              <w:shd w:val="clear" w:color="auto" w:fill="FFFFFF"/>
              <w:spacing w:after="0" w:line="240" w:lineRule="auto"/>
              <w:ind w:left="57" w:right="113"/>
              <w:jc w:val="both"/>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r>
      <w:tr w:rsidR="00CC1A56" w:rsidRPr="00CD592E" w14:paraId="474C7997" w14:textId="77777777" w:rsidTr="0089655E">
        <w:trPr>
          <w:trHeight w:val="357"/>
        </w:trPr>
        <w:tc>
          <w:tcPr>
            <w:tcW w:w="431" w:type="dxa"/>
          </w:tcPr>
          <w:p w14:paraId="1C53E5E5" w14:textId="77777777" w:rsidR="00CC1A56" w:rsidRPr="00CD592E" w:rsidRDefault="00CC1A56" w:rsidP="00875F5E">
            <w:pPr>
              <w:pStyle w:val="naiskr"/>
              <w:spacing w:before="0" w:beforeAutospacing="0" w:after="0" w:afterAutospacing="0"/>
              <w:ind w:left="57" w:right="57"/>
              <w:jc w:val="both"/>
              <w:rPr>
                <w:sz w:val="23"/>
                <w:szCs w:val="23"/>
              </w:rPr>
            </w:pPr>
            <w:r w:rsidRPr="00CD592E">
              <w:rPr>
                <w:sz w:val="23"/>
                <w:szCs w:val="23"/>
              </w:rPr>
              <w:t>4.</w:t>
            </w:r>
          </w:p>
        </w:tc>
        <w:tc>
          <w:tcPr>
            <w:tcW w:w="2825" w:type="dxa"/>
          </w:tcPr>
          <w:p w14:paraId="59A73AD6" w14:textId="77777777" w:rsidR="00CC1A56" w:rsidRPr="00CD592E" w:rsidRDefault="00CC1A56" w:rsidP="00875F5E">
            <w:pPr>
              <w:pStyle w:val="naiskr"/>
              <w:spacing w:before="0" w:beforeAutospacing="0" w:after="0" w:afterAutospacing="0"/>
              <w:ind w:left="57" w:right="57"/>
              <w:rPr>
                <w:sz w:val="23"/>
                <w:szCs w:val="23"/>
              </w:rPr>
            </w:pPr>
            <w:r w:rsidRPr="00CD592E">
              <w:rPr>
                <w:sz w:val="23"/>
                <w:szCs w:val="23"/>
              </w:rPr>
              <w:t>Cita informācija</w:t>
            </w:r>
          </w:p>
        </w:tc>
        <w:tc>
          <w:tcPr>
            <w:tcW w:w="6378" w:type="dxa"/>
          </w:tcPr>
          <w:p w14:paraId="7F8909DE" w14:textId="77777777" w:rsidR="00CC1A56" w:rsidRPr="00CD592E" w:rsidRDefault="007F44BF" w:rsidP="00875F5E">
            <w:pPr>
              <w:shd w:val="clear" w:color="auto" w:fill="FFFFFF"/>
              <w:spacing w:after="0" w:line="240" w:lineRule="auto"/>
              <w:ind w:left="57" w:right="113"/>
              <w:jc w:val="both"/>
              <w:rPr>
                <w:rFonts w:ascii="Times New Roman" w:hAnsi="Times New Roman" w:cs="Times New Roman"/>
                <w:sz w:val="23"/>
                <w:szCs w:val="23"/>
              </w:rPr>
            </w:pPr>
            <w:r w:rsidRPr="00CD592E">
              <w:rPr>
                <w:rFonts w:ascii="Times New Roman" w:hAnsi="Times New Roman" w:cs="Times New Roman"/>
                <w:sz w:val="23"/>
                <w:szCs w:val="23"/>
              </w:rPr>
              <w:t>Nav.</w:t>
            </w:r>
          </w:p>
        </w:tc>
      </w:tr>
    </w:tbl>
    <w:p w14:paraId="5AD7FE1D" w14:textId="77777777" w:rsidR="00CA0D50" w:rsidRPr="00CD592E" w:rsidRDefault="00CA0D50" w:rsidP="00875F5E">
      <w:pPr>
        <w:spacing w:after="0" w:line="240" w:lineRule="auto"/>
        <w:rPr>
          <w:rFonts w:ascii="Times New Roman" w:hAnsi="Times New Roman" w:cs="Times New Roman"/>
          <w:sz w:val="23"/>
          <w:szCs w:val="23"/>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86"/>
        <w:gridCol w:w="6378"/>
      </w:tblGrid>
      <w:tr w:rsidR="00662D85" w:rsidRPr="00CD592E" w14:paraId="31E06139" w14:textId="77777777" w:rsidTr="008B0C87">
        <w:trPr>
          <w:trHeight w:val="461"/>
          <w:jc w:val="center"/>
        </w:trPr>
        <w:tc>
          <w:tcPr>
            <w:tcW w:w="9634" w:type="dxa"/>
            <w:gridSpan w:val="3"/>
            <w:vAlign w:val="center"/>
          </w:tcPr>
          <w:p w14:paraId="73BCED16" w14:textId="77777777" w:rsidR="00662D85" w:rsidRPr="00CD592E" w:rsidRDefault="00662D85" w:rsidP="00662D85">
            <w:pPr>
              <w:spacing w:after="0" w:line="240" w:lineRule="auto"/>
              <w:jc w:val="center"/>
              <w:rPr>
                <w:rFonts w:ascii="Times New Roman" w:hAnsi="Times New Roman" w:cs="Times New Roman"/>
                <w:b/>
                <w:sz w:val="23"/>
                <w:szCs w:val="23"/>
              </w:rPr>
            </w:pPr>
            <w:r w:rsidRPr="00CD592E">
              <w:rPr>
                <w:rFonts w:ascii="Times New Roman" w:hAnsi="Times New Roman" w:cs="Times New Roman"/>
                <w:sz w:val="23"/>
                <w:szCs w:val="23"/>
              </w:rPr>
              <w:br w:type="page"/>
            </w:r>
            <w:r w:rsidRPr="00CD592E">
              <w:rPr>
                <w:rFonts w:ascii="Times New Roman" w:hAnsi="Times New Roman" w:cs="Times New Roman"/>
                <w:b/>
                <w:sz w:val="23"/>
                <w:szCs w:val="23"/>
              </w:rPr>
              <w:t>IV. Tiesību akta projekta ietekme uz spēkā esošo tiesību normu sistēmu</w:t>
            </w:r>
          </w:p>
        </w:tc>
      </w:tr>
      <w:tr w:rsidR="00662D85" w:rsidRPr="00CD592E" w14:paraId="37CA145E" w14:textId="77777777" w:rsidTr="00662D85">
        <w:trPr>
          <w:jc w:val="center"/>
        </w:trPr>
        <w:tc>
          <w:tcPr>
            <w:tcW w:w="470" w:type="dxa"/>
          </w:tcPr>
          <w:p w14:paraId="07FEA7D8" w14:textId="77777777" w:rsidR="00662D85" w:rsidRPr="00CD592E" w:rsidRDefault="00662D85" w:rsidP="00662D85">
            <w:pPr>
              <w:spacing w:after="0" w:line="240" w:lineRule="auto"/>
              <w:rPr>
                <w:rFonts w:ascii="Times New Roman" w:hAnsi="Times New Roman" w:cs="Times New Roman"/>
                <w:iCs/>
                <w:sz w:val="23"/>
                <w:szCs w:val="23"/>
              </w:rPr>
            </w:pPr>
            <w:r w:rsidRPr="00CD592E">
              <w:rPr>
                <w:rFonts w:ascii="Times New Roman" w:hAnsi="Times New Roman" w:cs="Times New Roman"/>
                <w:iCs/>
                <w:sz w:val="23"/>
                <w:szCs w:val="23"/>
              </w:rPr>
              <w:t>1.</w:t>
            </w:r>
          </w:p>
        </w:tc>
        <w:tc>
          <w:tcPr>
            <w:tcW w:w="2786" w:type="dxa"/>
          </w:tcPr>
          <w:p w14:paraId="4F79BEAB" w14:textId="77777777" w:rsidR="00662D85" w:rsidRPr="00CD592E" w:rsidRDefault="00662D85" w:rsidP="00662D85">
            <w:pPr>
              <w:spacing w:after="0" w:line="240" w:lineRule="auto"/>
              <w:rPr>
                <w:rFonts w:ascii="Times New Roman" w:hAnsi="Times New Roman" w:cs="Times New Roman"/>
                <w:iCs/>
                <w:sz w:val="23"/>
                <w:szCs w:val="23"/>
              </w:rPr>
            </w:pPr>
            <w:r w:rsidRPr="00CD592E">
              <w:rPr>
                <w:rFonts w:ascii="Times New Roman" w:hAnsi="Times New Roman" w:cs="Times New Roman"/>
                <w:sz w:val="23"/>
                <w:szCs w:val="23"/>
              </w:rPr>
              <w:t>Nepieciešamie saistītie tiesību aktu projekti</w:t>
            </w:r>
          </w:p>
        </w:tc>
        <w:tc>
          <w:tcPr>
            <w:tcW w:w="6378" w:type="dxa"/>
          </w:tcPr>
          <w:p w14:paraId="0C947E9D" w14:textId="21E27131" w:rsidR="00662D85" w:rsidRPr="008826FA" w:rsidRDefault="00F22353" w:rsidP="00F22353">
            <w:pPr>
              <w:spacing w:after="0" w:line="240" w:lineRule="auto"/>
              <w:jc w:val="both"/>
              <w:rPr>
                <w:rFonts w:ascii="Times New Roman" w:hAnsi="Times New Roman" w:cs="Times New Roman"/>
                <w:sz w:val="23"/>
                <w:szCs w:val="23"/>
              </w:rPr>
            </w:pPr>
            <w:r w:rsidRPr="008826FA">
              <w:rPr>
                <w:rFonts w:ascii="Times New Roman" w:hAnsi="Times New Roman" w:cs="Times New Roman"/>
                <w:sz w:val="23"/>
                <w:szCs w:val="23"/>
              </w:rPr>
              <w:t xml:space="preserve">MK noteikumu projekts virzāms izskatīšanai MK sēdē vienlaikus vai pēc atbilstošu grozījumu apstiprināšanas </w:t>
            </w:r>
            <w:r w:rsidRPr="008826FA">
              <w:rPr>
                <w:rFonts w:ascii="Times New Roman" w:hAnsi="Times New Roman" w:cs="Times New Roman"/>
                <w:iCs/>
                <w:sz w:val="23"/>
                <w:szCs w:val="23"/>
              </w:rPr>
              <w:t xml:space="preserve">LM pārziņā esošajos MK </w:t>
            </w:r>
            <w:proofErr w:type="gramStart"/>
            <w:r w:rsidRPr="008826FA">
              <w:rPr>
                <w:rFonts w:ascii="Times New Roman" w:hAnsi="Times New Roman" w:cs="Times New Roman"/>
                <w:iCs/>
                <w:sz w:val="23"/>
                <w:szCs w:val="23"/>
              </w:rPr>
              <w:t>2011.gada</w:t>
            </w:r>
            <w:proofErr w:type="gramEnd"/>
            <w:r w:rsidRPr="008826FA">
              <w:rPr>
                <w:rFonts w:ascii="Times New Roman" w:hAnsi="Times New Roman" w:cs="Times New Roman"/>
                <w:iCs/>
                <w:sz w:val="23"/>
                <w:szCs w:val="23"/>
              </w:rPr>
              <w:t xml:space="preserve"> 25.janvāra noteikumos Nr.75 “</w:t>
            </w:r>
            <w:r w:rsidRPr="008826FA">
              <w:rPr>
                <w:rFonts w:ascii="Times New Roman" w:hAnsi="Times New Roman" w:cs="Times New Roman"/>
                <w:bCs/>
                <w:iCs/>
                <w:sz w:val="23"/>
                <w:szCs w:val="23"/>
              </w:rPr>
              <w:t>Noteikumi par aktīvo nodarbinātības pasākumu un preventīvo bezdarba samazināšanas pasākumu organizēšanas un finansēšanas kārtību un pasākumu īstenotāju izvēles principiem</w:t>
            </w:r>
            <w:r w:rsidRPr="008826FA">
              <w:rPr>
                <w:rFonts w:ascii="Times New Roman" w:hAnsi="Times New Roman" w:cs="Times New Roman"/>
                <w:iCs/>
                <w:sz w:val="23"/>
                <w:szCs w:val="23"/>
              </w:rPr>
              <w:t>”.</w:t>
            </w:r>
          </w:p>
        </w:tc>
      </w:tr>
      <w:tr w:rsidR="00662D85" w:rsidRPr="00CD592E" w14:paraId="68D25F6E" w14:textId="77777777" w:rsidTr="00662D85">
        <w:trPr>
          <w:jc w:val="center"/>
        </w:trPr>
        <w:tc>
          <w:tcPr>
            <w:tcW w:w="470" w:type="dxa"/>
          </w:tcPr>
          <w:p w14:paraId="5E7C30FD" w14:textId="77777777" w:rsidR="00662D85" w:rsidRPr="00CD592E" w:rsidRDefault="00662D85" w:rsidP="00662D85">
            <w:pPr>
              <w:spacing w:after="0" w:line="240" w:lineRule="auto"/>
              <w:rPr>
                <w:rFonts w:ascii="Times New Roman" w:hAnsi="Times New Roman" w:cs="Times New Roman"/>
                <w:iCs/>
                <w:sz w:val="23"/>
                <w:szCs w:val="23"/>
              </w:rPr>
            </w:pPr>
            <w:r w:rsidRPr="00CD592E">
              <w:rPr>
                <w:rFonts w:ascii="Times New Roman" w:hAnsi="Times New Roman" w:cs="Times New Roman"/>
                <w:iCs/>
                <w:sz w:val="23"/>
                <w:szCs w:val="23"/>
              </w:rPr>
              <w:t>2.</w:t>
            </w:r>
          </w:p>
        </w:tc>
        <w:tc>
          <w:tcPr>
            <w:tcW w:w="2786" w:type="dxa"/>
          </w:tcPr>
          <w:p w14:paraId="5D7047C1" w14:textId="77777777" w:rsidR="00662D85" w:rsidRPr="00CD592E" w:rsidRDefault="00662D85" w:rsidP="00662D85">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Atbildīgā institūcija</w:t>
            </w:r>
          </w:p>
        </w:tc>
        <w:tc>
          <w:tcPr>
            <w:tcW w:w="6378" w:type="dxa"/>
          </w:tcPr>
          <w:p w14:paraId="377D9BE5" w14:textId="77777777" w:rsidR="00662D85" w:rsidRPr="008826FA" w:rsidRDefault="00662D85" w:rsidP="00662D85">
            <w:pPr>
              <w:spacing w:after="0" w:line="240" w:lineRule="auto"/>
              <w:rPr>
                <w:rFonts w:ascii="Times New Roman" w:hAnsi="Times New Roman" w:cs="Times New Roman"/>
                <w:sz w:val="23"/>
                <w:szCs w:val="23"/>
              </w:rPr>
            </w:pPr>
            <w:r w:rsidRPr="008826FA">
              <w:rPr>
                <w:rFonts w:ascii="Times New Roman" w:hAnsi="Times New Roman" w:cs="Times New Roman"/>
                <w:sz w:val="23"/>
                <w:szCs w:val="23"/>
              </w:rPr>
              <w:t>Labklājības ministrija</w:t>
            </w:r>
          </w:p>
        </w:tc>
      </w:tr>
      <w:tr w:rsidR="00662D85" w:rsidRPr="00CD592E" w14:paraId="37387F3D" w14:textId="77777777" w:rsidTr="00662D85">
        <w:trPr>
          <w:jc w:val="center"/>
        </w:trPr>
        <w:tc>
          <w:tcPr>
            <w:tcW w:w="470" w:type="dxa"/>
          </w:tcPr>
          <w:p w14:paraId="69A3E47D" w14:textId="77777777" w:rsidR="00662D85" w:rsidRPr="00CD592E" w:rsidRDefault="00662D85" w:rsidP="00662D85">
            <w:pPr>
              <w:spacing w:after="0" w:line="240" w:lineRule="auto"/>
              <w:rPr>
                <w:rFonts w:ascii="Times New Roman" w:hAnsi="Times New Roman" w:cs="Times New Roman"/>
                <w:iCs/>
                <w:sz w:val="23"/>
                <w:szCs w:val="23"/>
              </w:rPr>
            </w:pPr>
            <w:r w:rsidRPr="00CD592E">
              <w:rPr>
                <w:rFonts w:ascii="Times New Roman" w:hAnsi="Times New Roman" w:cs="Times New Roman"/>
                <w:iCs/>
                <w:sz w:val="23"/>
                <w:szCs w:val="23"/>
              </w:rPr>
              <w:t>3.</w:t>
            </w:r>
          </w:p>
        </w:tc>
        <w:tc>
          <w:tcPr>
            <w:tcW w:w="2786" w:type="dxa"/>
          </w:tcPr>
          <w:p w14:paraId="4F816DF8" w14:textId="77777777" w:rsidR="00662D85" w:rsidRPr="00CD592E" w:rsidRDefault="00662D85" w:rsidP="00662D85">
            <w:pPr>
              <w:spacing w:after="0" w:line="240" w:lineRule="auto"/>
              <w:rPr>
                <w:rFonts w:ascii="Times New Roman" w:hAnsi="Times New Roman" w:cs="Times New Roman"/>
                <w:iCs/>
                <w:sz w:val="23"/>
                <w:szCs w:val="23"/>
              </w:rPr>
            </w:pPr>
            <w:r w:rsidRPr="00CD592E">
              <w:rPr>
                <w:rFonts w:ascii="Times New Roman" w:hAnsi="Times New Roman" w:cs="Times New Roman"/>
                <w:sz w:val="23"/>
                <w:szCs w:val="23"/>
              </w:rPr>
              <w:t>Cita informācija</w:t>
            </w:r>
          </w:p>
        </w:tc>
        <w:tc>
          <w:tcPr>
            <w:tcW w:w="6378" w:type="dxa"/>
          </w:tcPr>
          <w:p w14:paraId="3364A5C7" w14:textId="31B13688" w:rsidR="00662D85" w:rsidRPr="008826FA" w:rsidRDefault="00662D85" w:rsidP="002B5570">
            <w:pPr>
              <w:spacing w:after="0" w:line="240" w:lineRule="auto"/>
              <w:jc w:val="both"/>
              <w:rPr>
                <w:rFonts w:ascii="Times New Roman" w:hAnsi="Times New Roman" w:cs="Times New Roman"/>
                <w:iCs/>
                <w:sz w:val="23"/>
                <w:szCs w:val="23"/>
              </w:rPr>
            </w:pPr>
            <w:r w:rsidRPr="008826FA">
              <w:rPr>
                <w:rFonts w:ascii="Times New Roman" w:hAnsi="Times New Roman" w:cs="Times New Roman"/>
                <w:iCs/>
                <w:sz w:val="23"/>
                <w:szCs w:val="23"/>
              </w:rPr>
              <w:t xml:space="preserve">Atbilstoši precizējumi attiecībā uz finansējuma saņēmēja un VISC norēķinu kārtību tiks ierosināti arī Labklājības ministrijas pārziņā esošajos </w:t>
            </w:r>
            <w:proofErr w:type="gramStart"/>
            <w:r w:rsidRPr="008826FA">
              <w:rPr>
                <w:rFonts w:ascii="Times New Roman" w:hAnsi="Times New Roman" w:cs="Times New Roman"/>
                <w:iCs/>
                <w:sz w:val="23"/>
                <w:szCs w:val="23"/>
              </w:rPr>
              <w:t>2011.gada</w:t>
            </w:r>
            <w:proofErr w:type="gramEnd"/>
            <w:r w:rsidRPr="008826FA">
              <w:rPr>
                <w:rFonts w:ascii="Times New Roman" w:hAnsi="Times New Roman" w:cs="Times New Roman"/>
                <w:iCs/>
                <w:sz w:val="23"/>
                <w:szCs w:val="23"/>
              </w:rPr>
              <w:t xml:space="preserve"> 25.janvāra MK noteikumos Nr.75 “</w:t>
            </w:r>
            <w:r w:rsidRPr="008826FA">
              <w:rPr>
                <w:rFonts w:ascii="Times New Roman" w:hAnsi="Times New Roman" w:cs="Times New Roman"/>
                <w:bCs/>
                <w:iCs/>
                <w:sz w:val="23"/>
                <w:szCs w:val="23"/>
              </w:rPr>
              <w:t>Noteikumi par aktīvo nodarbinātības pasākumu un preventīvo bezdarba samazināšanas pasākumu organizēšanas un finansēšanas kārtību un pasākumu īstenotāju izvēles principiem</w:t>
            </w:r>
            <w:r w:rsidRPr="008826FA">
              <w:rPr>
                <w:rFonts w:ascii="Times New Roman" w:hAnsi="Times New Roman" w:cs="Times New Roman"/>
                <w:iCs/>
                <w:sz w:val="23"/>
                <w:szCs w:val="23"/>
              </w:rPr>
              <w:t>” (</w:t>
            </w:r>
            <w:r w:rsidR="002B5570" w:rsidRPr="008826FA">
              <w:rPr>
                <w:rFonts w:ascii="Times New Roman" w:hAnsi="Times New Roman" w:cs="Times New Roman"/>
                <w:sz w:val="23"/>
                <w:szCs w:val="23"/>
              </w:rPr>
              <w:t>nosūtīts saskaņošanai Tieslietu un Finanšu ministrijai 2015.gada 27.novembrī</w:t>
            </w:r>
            <w:r w:rsidRPr="008826FA">
              <w:rPr>
                <w:rFonts w:ascii="Times New Roman" w:hAnsi="Times New Roman" w:cs="Times New Roman"/>
                <w:iCs/>
                <w:sz w:val="23"/>
                <w:szCs w:val="23"/>
              </w:rPr>
              <w:t>).</w:t>
            </w:r>
          </w:p>
        </w:tc>
      </w:tr>
    </w:tbl>
    <w:p w14:paraId="31C9DBED" w14:textId="77777777" w:rsidR="00662D85" w:rsidRPr="00CD592E" w:rsidRDefault="00662D85" w:rsidP="00875F5E">
      <w:pPr>
        <w:spacing w:after="0" w:line="240" w:lineRule="auto"/>
        <w:rPr>
          <w:rFonts w:ascii="Times New Roman" w:hAnsi="Times New Roman" w:cs="Times New Roman"/>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835"/>
        <w:gridCol w:w="6379"/>
      </w:tblGrid>
      <w:tr w:rsidR="00875F5E" w:rsidRPr="00CD592E" w14:paraId="580730A8" w14:textId="77777777" w:rsidTr="00F11D91">
        <w:tc>
          <w:tcPr>
            <w:tcW w:w="9640" w:type="dxa"/>
            <w:gridSpan w:val="3"/>
            <w:tcBorders>
              <w:top w:val="single" w:sz="4" w:space="0" w:color="auto"/>
              <w:left w:val="single" w:sz="4" w:space="0" w:color="auto"/>
              <w:bottom w:val="single" w:sz="4" w:space="0" w:color="auto"/>
              <w:right w:val="single" w:sz="4" w:space="0" w:color="auto"/>
            </w:tcBorders>
            <w:hideMark/>
          </w:tcPr>
          <w:p w14:paraId="2EBB06F8" w14:textId="77777777" w:rsidR="00875F5E" w:rsidRPr="00CD592E" w:rsidRDefault="00875F5E" w:rsidP="00875F5E">
            <w:pPr>
              <w:tabs>
                <w:tab w:val="left" w:pos="495"/>
                <w:tab w:val="center" w:pos="4782"/>
              </w:tabs>
              <w:spacing w:after="0" w:line="240" w:lineRule="auto"/>
              <w:rPr>
                <w:rFonts w:ascii="Times New Roman" w:hAnsi="Times New Roman" w:cs="Times New Roman"/>
                <w:b/>
                <w:color w:val="000000"/>
                <w:sz w:val="23"/>
                <w:szCs w:val="23"/>
              </w:rPr>
            </w:pPr>
            <w:r w:rsidRPr="00CD592E">
              <w:rPr>
                <w:rFonts w:ascii="Times New Roman" w:hAnsi="Times New Roman" w:cs="Times New Roman"/>
                <w:b/>
                <w:color w:val="000000"/>
                <w:sz w:val="23"/>
                <w:szCs w:val="23"/>
              </w:rPr>
              <w:tab/>
            </w:r>
            <w:r w:rsidRPr="00CD592E">
              <w:rPr>
                <w:rFonts w:ascii="Times New Roman" w:hAnsi="Times New Roman" w:cs="Times New Roman"/>
                <w:b/>
                <w:color w:val="000000"/>
                <w:sz w:val="23"/>
                <w:szCs w:val="23"/>
              </w:rPr>
              <w:tab/>
              <w:t>V. Tiesību akta projekta atbilstība Latvijas Republikas starptautiskajām saistībām</w:t>
            </w:r>
          </w:p>
        </w:tc>
      </w:tr>
      <w:tr w:rsidR="00875F5E" w:rsidRPr="00CD592E" w14:paraId="0B9E912C" w14:textId="77777777" w:rsidTr="00662D85">
        <w:tc>
          <w:tcPr>
            <w:tcW w:w="426" w:type="dxa"/>
            <w:tcBorders>
              <w:top w:val="single" w:sz="4" w:space="0" w:color="auto"/>
              <w:left w:val="single" w:sz="4" w:space="0" w:color="auto"/>
              <w:bottom w:val="single" w:sz="4" w:space="0" w:color="auto"/>
              <w:right w:val="single" w:sz="4" w:space="0" w:color="auto"/>
            </w:tcBorders>
            <w:hideMark/>
          </w:tcPr>
          <w:p w14:paraId="26E291B2"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1.</w:t>
            </w:r>
          </w:p>
        </w:tc>
        <w:tc>
          <w:tcPr>
            <w:tcW w:w="2835" w:type="dxa"/>
            <w:tcBorders>
              <w:top w:val="single" w:sz="4" w:space="0" w:color="auto"/>
              <w:left w:val="single" w:sz="4" w:space="0" w:color="auto"/>
              <w:bottom w:val="single" w:sz="4" w:space="0" w:color="auto"/>
              <w:right w:val="single" w:sz="4" w:space="0" w:color="auto"/>
            </w:tcBorders>
            <w:hideMark/>
          </w:tcPr>
          <w:p w14:paraId="5CFC2C62" w14:textId="77777777" w:rsidR="00875F5E" w:rsidRPr="00CD592E" w:rsidRDefault="00875F5E" w:rsidP="00875F5E">
            <w:pPr>
              <w:tabs>
                <w:tab w:val="left" w:pos="2628"/>
              </w:tabs>
              <w:spacing w:after="0" w:line="240" w:lineRule="auto"/>
              <w:rPr>
                <w:rFonts w:ascii="Times New Roman" w:hAnsi="Times New Roman" w:cs="Times New Roman"/>
                <w:iCs/>
                <w:color w:val="000000"/>
                <w:sz w:val="23"/>
                <w:szCs w:val="23"/>
              </w:rPr>
            </w:pPr>
            <w:r w:rsidRPr="00CD592E">
              <w:rPr>
                <w:rFonts w:ascii="Times New Roman" w:hAnsi="Times New Roman" w:cs="Times New Roman"/>
                <w:color w:val="000000"/>
                <w:sz w:val="23"/>
                <w:szCs w:val="23"/>
              </w:rPr>
              <w:t>Saistības pret Eiropas Savienību</w:t>
            </w:r>
          </w:p>
        </w:tc>
        <w:tc>
          <w:tcPr>
            <w:tcW w:w="6379" w:type="dxa"/>
            <w:tcBorders>
              <w:top w:val="single" w:sz="4" w:space="0" w:color="auto"/>
              <w:left w:val="single" w:sz="4" w:space="0" w:color="auto"/>
              <w:bottom w:val="single" w:sz="4" w:space="0" w:color="auto"/>
              <w:right w:val="single" w:sz="4" w:space="0" w:color="auto"/>
            </w:tcBorders>
            <w:hideMark/>
          </w:tcPr>
          <w:p w14:paraId="755FBFCD" w14:textId="77777777" w:rsidR="00875F5E" w:rsidRPr="008826FA" w:rsidRDefault="00BF2FC7" w:rsidP="00875F5E">
            <w:pPr>
              <w:pStyle w:val="naiskr"/>
              <w:tabs>
                <w:tab w:val="left" w:pos="2628"/>
              </w:tabs>
              <w:spacing w:before="0" w:beforeAutospacing="0" w:after="0" w:afterAutospacing="0"/>
              <w:jc w:val="both"/>
              <w:rPr>
                <w:bCs/>
                <w:iCs/>
                <w:sz w:val="23"/>
                <w:szCs w:val="23"/>
                <w:shd w:val="clear" w:color="auto" w:fill="FFFFFF"/>
              </w:rPr>
            </w:pPr>
            <w:r w:rsidRPr="008826FA">
              <w:rPr>
                <w:color w:val="000000"/>
                <w:sz w:val="23"/>
                <w:szCs w:val="23"/>
                <w:lang w:eastAsia="en-US"/>
              </w:rPr>
              <w:t xml:space="preserve">1) </w:t>
            </w:r>
            <w:r w:rsidR="00875F5E" w:rsidRPr="008826FA">
              <w:rPr>
                <w:color w:val="000000"/>
                <w:sz w:val="23"/>
                <w:szCs w:val="23"/>
                <w:lang w:eastAsia="en-US"/>
              </w:rPr>
              <w:t xml:space="preserve">MK noteikumu projekts paredz </w:t>
            </w:r>
            <w:r w:rsidR="00875F5E" w:rsidRPr="008826FA">
              <w:rPr>
                <w:sz w:val="23"/>
                <w:szCs w:val="23"/>
                <w:shd w:val="clear" w:color="auto" w:fill="FFFFFF"/>
              </w:rPr>
              <w:t xml:space="preserve">pienākumu finansējuma saņēmējam </w:t>
            </w:r>
            <w:r w:rsidR="00875F5E" w:rsidRPr="008826FA">
              <w:rPr>
                <w:bCs/>
                <w:iCs/>
                <w:sz w:val="23"/>
                <w:szCs w:val="23"/>
                <w:shd w:val="clear" w:color="auto" w:fill="FFFFFF"/>
              </w:rPr>
              <w:t xml:space="preserve">uzkrāt un vienu reizi gadā iesniegt sadarbības iestādē apkopotus datus </w:t>
            </w:r>
            <w:proofErr w:type="gramStart"/>
            <w:r w:rsidR="00875F5E" w:rsidRPr="008826FA">
              <w:rPr>
                <w:bCs/>
                <w:iCs/>
                <w:sz w:val="23"/>
                <w:szCs w:val="23"/>
                <w:shd w:val="clear" w:color="auto" w:fill="FFFFFF"/>
              </w:rPr>
              <w:t>par Eiropas Parlamenta un Padomes</w:t>
            </w:r>
            <w:proofErr w:type="gramEnd"/>
            <w:r w:rsidR="00875F5E" w:rsidRPr="008826FA">
              <w:rPr>
                <w:bCs/>
                <w:iCs/>
                <w:sz w:val="23"/>
                <w:szCs w:val="23"/>
                <w:shd w:val="clear" w:color="auto" w:fill="FFFFFF"/>
              </w:rPr>
              <w:t xml:space="preserve"> regulas Nr.1304/2013 1.pielikumā ietvertajiem kopējiem tūlītējiem rezultātu rādītājiem un kopējiem </w:t>
            </w:r>
            <w:r w:rsidRPr="008826FA">
              <w:rPr>
                <w:bCs/>
                <w:iCs/>
                <w:sz w:val="23"/>
                <w:szCs w:val="23"/>
                <w:shd w:val="clear" w:color="auto" w:fill="FFFFFF"/>
              </w:rPr>
              <w:t>ilgtermiņa rezultātu rādītājiem;</w:t>
            </w:r>
          </w:p>
          <w:p w14:paraId="0A5822C3" w14:textId="72E687A7" w:rsidR="00BF2FC7" w:rsidRPr="008826FA" w:rsidRDefault="00BF2FC7" w:rsidP="00BF2FC7">
            <w:pPr>
              <w:pStyle w:val="naiskr"/>
              <w:tabs>
                <w:tab w:val="left" w:pos="2628"/>
              </w:tabs>
              <w:spacing w:before="0" w:beforeAutospacing="0" w:after="0" w:afterAutospacing="0"/>
              <w:jc w:val="both"/>
              <w:rPr>
                <w:sz w:val="23"/>
                <w:szCs w:val="23"/>
                <w:shd w:val="clear" w:color="auto" w:fill="FFFFFF"/>
              </w:rPr>
            </w:pPr>
            <w:r w:rsidRPr="008826FA">
              <w:rPr>
                <w:sz w:val="23"/>
                <w:szCs w:val="23"/>
                <w:shd w:val="clear" w:color="auto" w:fill="FFFFFF"/>
              </w:rPr>
              <w:t>2) MK noteikumu projekts paredz precizēt kumulācijas nosacījumus finanšu atbalstam, kas tiek sniegts saskaņā ar:</w:t>
            </w:r>
          </w:p>
          <w:p w14:paraId="723A409E" w14:textId="3D2EB989" w:rsidR="00BF2FC7" w:rsidRPr="008826FA" w:rsidRDefault="00BF2FC7" w:rsidP="00BF2FC7">
            <w:pPr>
              <w:pStyle w:val="naiskr"/>
              <w:tabs>
                <w:tab w:val="left" w:pos="2628"/>
              </w:tabs>
              <w:spacing w:before="0" w:beforeAutospacing="0" w:after="0" w:afterAutospacing="0"/>
              <w:jc w:val="both"/>
              <w:rPr>
                <w:sz w:val="23"/>
                <w:szCs w:val="23"/>
                <w:shd w:val="clear" w:color="auto" w:fill="FFFFFF"/>
              </w:rPr>
            </w:pPr>
            <w:r w:rsidRPr="008826FA">
              <w:rPr>
                <w:sz w:val="23"/>
                <w:szCs w:val="23"/>
                <w:shd w:val="clear" w:color="auto" w:fill="FFFFFF"/>
              </w:rPr>
              <w:t xml:space="preserve">- Komisijas </w:t>
            </w:r>
            <w:proofErr w:type="gramStart"/>
            <w:r w:rsidRPr="008826FA">
              <w:rPr>
                <w:sz w:val="23"/>
                <w:szCs w:val="23"/>
                <w:shd w:val="clear" w:color="auto" w:fill="FFFFFF"/>
              </w:rPr>
              <w:t>2013.gada</w:t>
            </w:r>
            <w:proofErr w:type="gramEnd"/>
            <w:r w:rsidRPr="008826FA">
              <w:rPr>
                <w:sz w:val="23"/>
                <w:szCs w:val="23"/>
                <w:shd w:val="clear" w:color="auto" w:fill="FFFFFF"/>
              </w:rPr>
              <w:t xml:space="preserve"> 18.decembra Regulu (ES) Nr.1407/2013 par Līguma par ES darbību 107. un 108.panta piemērošanu </w:t>
            </w:r>
            <w:proofErr w:type="spellStart"/>
            <w:r w:rsidRPr="008826FA">
              <w:rPr>
                <w:i/>
                <w:sz w:val="23"/>
                <w:szCs w:val="23"/>
                <w:shd w:val="clear" w:color="auto" w:fill="FFFFFF"/>
              </w:rPr>
              <w:t>de</w:t>
            </w:r>
            <w:proofErr w:type="spellEnd"/>
            <w:r w:rsidRPr="008826FA">
              <w:rPr>
                <w:i/>
                <w:sz w:val="23"/>
                <w:szCs w:val="23"/>
                <w:shd w:val="clear" w:color="auto" w:fill="FFFFFF"/>
              </w:rPr>
              <w:t xml:space="preserve"> </w:t>
            </w:r>
            <w:proofErr w:type="spellStart"/>
            <w:r w:rsidRPr="008826FA">
              <w:rPr>
                <w:i/>
                <w:sz w:val="23"/>
                <w:szCs w:val="23"/>
                <w:shd w:val="clear" w:color="auto" w:fill="FFFFFF"/>
              </w:rPr>
              <w:t>minimis</w:t>
            </w:r>
            <w:proofErr w:type="spellEnd"/>
            <w:r w:rsidRPr="008826FA">
              <w:rPr>
                <w:sz w:val="23"/>
                <w:szCs w:val="23"/>
                <w:shd w:val="clear" w:color="auto" w:fill="FFFFFF"/>
              </w:rPr>
              <w:t xml:space="preserve"> atbalstam (ES Oficiālais Vēstnesis, 2013.gada 24.decembris, </w:t>
            </w:r>
            <w:proofErr w:type="spellStart"/>
            <w:r w:rsidRPr="008826FA">
              <w:rPr>
                <w:sz w:val="23"/>
                <w:szCs w:val="23"/>
                <w:shd w:val="clear" w:color="auto" w:fill="FFFFFF"/>
              </w:rPr>
              <w:t>Nr.L</w:t>
            </w:r>
            <w:proofErr w:type="spellEnd"/>
            <w:r w:rsidRPr="008826FA">
              <w:rPr>
                <w:sz w:val="23"/>
                <w:szCs w:val="23"/>
                <w:shd w:val="clear" w:color="auto" w:fill="FFFFFF"/>
              </w:rPr>
              <w:t xml:space="preserve"> 352/1) (turpmāk – Komisijas regula Nr.1407/2013);</w:t>
            </w:r>
          </w:p>
          <w:p w14:paraId="3FCDECED" w14:textId="7B83FE1B" w:rsidR="00BF2FC7" w:rsidRPr="008826FA" w:rsidRDefault="00BF2FC7" w:rsidP="00BF2FC7">
            <w:pPr>
              <w:pStyle w:val="naiskr"/>
              <w:tabs>
                <w:tab w:val="left" w:pos="2628"/>
              </w:tabs>
              <w:spacing w:before="0" w:beforeAutospacing="0" w:after="0" w:afterAutospacing="0"/>
              <w:jc w:val="both"/>
              <w:rPr>
                <w:sz w:val="23"/>
                <w:szCs w:val="23"/>
                <w:shd w:val="clear" w:color="auto" w:fill="FFFFFF"/>
              </w:rPr>
            </w:pPr>
            <w:r w:rsidRPr="008826FA">
              <w:rPr>
                <w:sz w:val="23"/>
                <w:szCs w:val="23"/>
                <w:shd w:val="clear" w:color="auto" w:fill="FFFFFF"/>
              </w:rPr>
              <w:lastRenderedPageBreak/>
              <w:t xml:space="preserve">- Komisijas </w:t>
            </w:r>
            <w:proofErr w:type="gramStart"/>
            <w:r w:rsidRPr="008826FA">
              <w:rPr>
                <w:sz w:val="23"/>
                <w:szCs w:val="23"/>
                <w:shd w:val="clear" w:color="auto" w:fill="FFFFFF"/>
              </w:rPr>
              <w:t>2014.gada</w:t>
            </w:r>
            <w:proofErr w:type="gramEnd"/>
            <w:r w:rsidRPr="008826FA">
              <w:rPr>
                <w:sz w:val="23"/>
                <w:szCs w:val="23"/>
                <w:shd w:val="clear" w:color="auto" w:fill="FFFFFF"/>
              </w:rPr>
              <w:t xml:space="preserve"> 27.jūnija Regulu (EK) Nr.717/2014 par Līguma par ES darbību 107. un 108.panta piemērošanu </w:t>
            </w:r>
            <w:proofErr w:type="spellStart"/>
            <w:r w:rsidRPr="008826FA">
              <w:rPr>
                <w:i/>
                <w:sz w:val="23"/>
                <w:szCs w:val="23"/>
                <w:shd w:val="clear" w:color="auto" w:fill="FFFFFF"/>
              </w:rPr>
              <w:t>de</w:t>
            </w:r>
            <w:proofErr w:type="spellEnd"/>
            <w:r w:rsidRPr="008826FA">
              <w:rPr>
                <w:i/>
                <w:sz w:val="23"/>
                <w:szCs w:val="23"/>
                <w:shd w:val="clear" w:color="auto" w:fill="FFFFFF"/>
              </w:rPr>
              <w:t xml:space="preserve"> </w:t>
            </w:r>
            <w:proofErr w:type="spellStart"/>
            <w:r w:rsidRPr="008826FA">
              <w:rPr>
                <w:i/>
                <w:sz w:val="23"/>
                <w:szCs w:val="23"/>
                <w:shd w:val="clear" w:color="auto" w:fill="FFFFFF"/>
              </w:rPr>
              <w:t>minimis</w:t>
            </w:r>
            <w:proofErr w:type="spellEnd"/>
            <w:r w:rsidRPr="008826FA">
              <w:rPr>
                <w:sz w:val="23"/>
                <w:szCs w:val="23"/>
                <w:shd w:val="clear" w:color="auto" w:fill="FFFFFF"/>
              </w:rPr>
              <w:t xml:space="preserve"> atbalstam zvejniecības un akvakultūras nozarē (ES Oficiālais Vēstnesis, 2014.gada 28.jūnijs, </w:t>
            </w:r>
            <w:proofErr w:type="spellStart"/>
            <w:r w:rsidRPr="008826FA">
              <w:rPr>
                <w:sz w:val="23"/>
                <w:szCs w:val="23"/>
                <w:shd w:val="clear" w:color="auto" w:fill="FFFFFF"/>
              </w:rPr>
              <w:t>Nr.L</w:t>
            </w:r>
            <w:proofErr w:type="spellEnd"/>
            <w:r w:rsidRPr="008826FA">
              <w:rPr>
                <w:sz w:val="23"/>
                <w:szCs w:val="23"/>
                <w:shd w:val="clear" w:color="auto" w:fill="FFFFFF"/>
              </w:rPr>
              <w:t xml:space="preserve"> 190/45) (turpmāk – Komisijas regula Nr.717/2014) (attiecībā uz darba devējiem, kuri darbojas zivsaimniecības nozarē saskaņā ar Eiropas Parlamenta un Padomes 2013.gada 11.decembra Regulu (ES) Nr.1379/2013 par zvejas un akvakultūras produktu tirgu kopīgo organizāciju un ar ko groza Padomes Regulas (EK) Nr.1184/2006 un (EK) Nr.1224/2009 un atceļ Padomes Regulu (EK) Nr. 104/2000 (turpmāk - Eiropas Parlamenta un Padomes regulu Nr.1379/2013));</w:t>
            </w:r>
          </w:p>
          <w:p w14:paraId="0D658B52" w14:textId="66463963" w:rsidR="00BF2FC7" w:rsidRPr="008826FA" w:rsidRDefault="00BF2FC7" w:rsidP="00BF2FC7">
            <w:pPr>
              <w:pStyle w:val="naiskr"/>
              <w:tabs>
                <w:tab w:val="left" w:pos="2628"/>
              </w:tabs>
              <w:spacing w:before="0" w:beforeAutospacing="0" w:after="0" w:afterAutospacing="0"/>
              <w:jc w:val="both"/>
              <w:rPr>
                <w:color w:val="000000"/>
                <w:sz w:val="23"/>
                <w:szCs w:val="23"/>
                <w:lang w:eastAsia="en-US"/>
              </w:rPr>
            </w:pPr>
            <w:r w:rsidRPr="008826FA">
              <w:rPr>
                <w:sz w:val="23"/>
                <w:szCs w:val="23"/>
                <w:shd w:val="clear" w:color="auto" w:fill="FFFFFF"/>
              </w:rPr>
              <w:t xml:space="preserve">- Komisijas </w:t>
            </w:r>
            <w:proofErr w:type="gramStart"/>
            <w:r w:rsidRPr="008826FA">
              <w:rPr>
                <w:sz w:val="23"/>
                <w:szCs w:val="23"/>
                <w:shd w:val="clear" w:color="auto" w:fill="FFFFFF"/>
              </w:rPr>
              <w:t>2013.gada</w:t>
            </w:r>
            <w:proofErr w:type="gramEnd"/>
            <w:r w:rsidRPr="008826FA">
              <w:rPr>
                <w:sz w:val="23"/>
                <w:szCs w:val="23"/>
                <w:shd w:val="clear" w:color="auto" w:fill="FFFFFF"/>
              </w:rPr>
              <w:t xml:space="preserve"> 18.decembra Regulu (ES) Nr. 1408/2013 par Līguma par ES darbību 107. un 108.panta piemērošanu </w:t>
            </w:r>
            <w:proofErr w:type="spellStart"/>
            <w:r w:rsidRPr="008826FA">
              <w:rPr>
                <w:sz w:val="23"/>
                <w:szCs w:val="23"/>
                <w:shd w:val="clear" w:color="auto" w:fill="FFFFFF"/>
              </w:rPr>
              <w:t>de</w:t>
            </w:r>
            <w:proofErr w:type="spellEnd"/>
            <w:r w:rsidRPr="008826FA">
              <w:rPr>
                <w:sz w:val="23"/>
                <w:szCs w:val="23"/>
                <w:shd w:val="clear" w:color="auto" w:fill="FFFFFF"/>
              </w:rPr>
              <w:t xml:space="preserve"> </w:t>
            </w:r>
            <w:proofErr w:type="spellStart"/>
            <w:r w:rsidRPr="008826FA">
              <w:rPr>
                <w:sz w:val="23"/>
                <w:szCs w:val="23"/>
                <w:shd w:val="clear" w:color="auto" w:fill="FFFFFF"/>
              </w:rPr>
              <w:t>minimis</w:t>
            </w:r>
            <w:proofErr w:type="spellEnd"/>
            <w:r w:rsidRPr="008826FA">
              <w:rPr>
                <w:sz w:val="23"/>
                <w:szCs w:val="23"/>
                <w:shd w:val="clear" w:color="auto" w:fill="FFFFFF"/>
              </w:rPr>
              <w:t xml:space="preserve"> atbalstam lauksaimniecības nozarē (ES Oficiālais Vēstnesis, 2013.gada 24.decembris, </w:t>
            </w:r>
            <w:proofErr w:type="spellStart"/>
            <w:r w:rsidRPr="008826FA">
              <w:rPr>
                <w:sz w:val="23"/>
                <w:szCs w:val="23"/>
                <w:shd w:val="clear" w:color="auto" w:fill="FFFFFF"/>
              </w:rPr>
              <w:t>Nr.L</w:t>
            </w:r>
            <w:proofErr w:type="spellEnd"/>
            <w:r w:rsidRPr="008826FA">
              <w:rPr>
                <w:sz w:val="23"/>
                <w:szCs w:val="23"/>
                <w:shd w:val="clear" w:color="auto" w:fill="FFFFFF"/>
              </w:rPr>
              <w:t xml:space="preserve"> 352/9) (turpmāk – Komisijas regula Nr.1408/2013) (attiecībā uz darba devējiem, kuri darbojas lauksaimniecības produktu ražošanas nozarē).</w:t>
            </w:r>
          </w:p>
        </w:tc>
      </w:tr>
      <w:tr w:rsidR="00875F5E" w:rsidRPr="00CD592E" w14:paraId="2481D62A" w14:textId="77777777" w:rsidTr="00662D85">
        <w:tc>
          <w:tcPr>
            <w:tcW w:w="426" w:type="dxa"/>
            <w:tcBorders>
              <w:top w:val="single" w:sz="4" w:space="0" w:color="auto"/>
              <w:left w:val="single" w:sz="4" w:space="0" w:color="auto"/>
              <w:bottom w:val="single" w:sz="4" w:space="0" w:color="auto"/>
              <w:right w:val="single" w:sz="4" w:space="0" w:color="auto"/>
            </w:tcBorders>
            <w:hideMark/>
          </w:tcPr>
          <w:p w14:paraId="5D340A4B" w14:textId="754E0B43"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14:paraId="307BB9C3" w14:textId="77777777" w:rsidR="00875F5E" w:rsidRPr="00CD592E" w:rsidRDefault="00875F5E" w:rsidP="00875F5E">
            <w:pPr>
              <w:tabs>
                <w:tab w:val="left" w:pos="2628"/>
              </w:tabs>
              <w:spacing w:after="0" w:line="240" w:lineRule="auto"/>
              <w:rPr>
                <w:rFonts w:ascii="Times New Roman" w:hAnsi="Times New Roman" w:cs="Times New Roman"/>
                <w:iCs/>
                <w:color w:val="000000"/>
                <w:sz w:val="23"/>
                <w:szCs w:val="23"/>
              </w:rPr>
            </w:pPr>
            <w:r w:rsidRPr="00CD592E">
              <w:rPr>
                <w:rFonts w:ascii="Times New Roman" w:hAnsi="Times New Roman" w:cs="Times New Roman"/>
                <w:color w:val="000000"/>
                <w:sz w:val="23"/>
                <w:szCs w:val="23"/>
              </w:rPr>
              <w:t>Citas starptautiskās saistības</w:t>
            </w:r>
          </w:p>
        </w:tc>
        <w:tc>
          <w:tcPr>
            <w:tcW w:w="6379" w:type="dxa"/>
            <w:tcBorders>
              <w:top w:val="single" w:sz="4" w:space="0" w:color="auto"/>
              <w:left w:val="single" w:sz="4" w:space="0" w:color="auto"/>
              <w:bottom w:val="single" w:sz="4" w:space="0" w:color="auto"/>
              <w:right w:val="single" w:sz="4" w:space="0" w:color="auto"/>
            </w:tcBorders>
            <w:hideMark/>
          </w:tcPr>
          <w:p w14:paraId="15923181" w14:textId="77777777" w:rsidR="00875F5E" w:rsidRPr="008826FA" w:rsidRDefault="00875F5E" w:rsidP="00875F5E">
            <w:pPr>
              <w:pStyle w:val="naiskr"/>
              <w:tabs>
                <w:tab w:val="left" w:pos="2628"/>
              </w:tabs>
              <w:spacing w:before="0" w:beforeAutospacing="0" w:after="0" w:afterAutospacing="0"/>
              <w:jc w:val="both"/>
              <w:rPr>
                <w:iCs/>
                <w:color w:val="000000"/>
                <w:sz w:val="23"/>
                <w:szCs w:val="23"/>
                <w:lang w:eastAsia="en-US"/>
              </w:rPr>
            </w:pPr>
            <w:r w:rsidRPr="008826FA">
              <w:rPr>
                <w:iCs/>
                <w:color w:val="000000"/>
                <w:sz w:val="23"/>
                <w:szCs w:val="23"/>
                <w:lang w:eastAsia="en-US"/>
              </w:rPr>
              <w:t>MK noteikumu projekts šo jomu neskar.</w:t>
            </w:r>
          </w:p>
        </w:tc>
      </w:tr>
      <w:tr w:rsidR="00875F5E" w:rsidRPr="00CD592E" w14:paraId="7272BCDB" w14:textId="77777777" w:rsidTr="00662D85">
        <w:tc>
          <w:tcPr>
            <w:tcW w:w="426" w:type="dxa"/>
            <w:tcBorders>
              <w:top w:val="single" w:sz="4" w:space="0" w:color="auto"/>
              <w:left w:val="single" w:sz="4" w:space="0" w:color="auto"/>
              <w:bottom w:val="single" w:sz="4" w:space="0" w:color="auto"/>
              <w:right w:val="single" w:sz="4" w:space="0" w:color="auto"/>
            </w:tcBorders>
            <w:hideMark/>
          </w:tcPr>
          <w:p w14:paraId="2401DADB"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3.</w:t>
            </w:r>
          </w:p>
        </w:tc>
        <w:tc>
          <w:tcPr>
            <w:tcW w:w="2835" w:type="dxa"/>
            <w:tcBorders>
              <w:top w:val="single" w:sz="4" w:space="0" w:color="auto"/>
              <w:left w:val="single" w:sz="4" w:space="0" w:color="auto"/>
              <w:bottom w:val="single" w:sz="4" w:space="0" w:color="auto"/>
              <w:right w:val="single" w:sz="4" w:space="0" w:color="auto"/>
            </w:tcBorders>
            <w:hideMark/>
          </w:tcPr>
          <w:p w14:paraId="7635D5FA" w14:textId="77777777" w:rsidR="00875F5E" w:rsidRPr="00CD592E" w:rsidRDefault="00875F5E" w:rsidP="00875F5E">
            <w:pPr>
              <w:tabs>
                <w:tab w:val="left" w:pos="2628"/>
              </w:tabs>
              <w:spacing w:after="0" w:line="240" w:lineRule="auto"/>
              <w:rPr>
                <w:rFonts w:ascii="Times New Roman" w:hAnsi="Times New Roman" w:cs="Times New Roman"/>
                <w:color w:val="000000"/>
                <w:sz w:val="23"/>
                <w:szCs w:val="23"/>
              </w:rPr>
            </w:pPr>
            <w:r w:rsidRPr="00CD592E">
              <w:rPr>
                <w:rFonts w:ascii="Times New Roman" w:hAnsi="Times New Roman" w:cs="Times New Roman"/>
                <w:color w:val="000000"/>
                <w:sz w:val="23"/>
                <w:szCs w:val="23"/>
              </w:rPr>
              <w:t>Cita informācija</w:t>
            </w:r>
          </w:p>
        </w:tc>
        <w:tc>
          <w:tcPr>
            <w:tcW w:w="6379" w:type="dxa"/>
            <w:tcBorders>
              <w:top w:val="single" w:sz="4" w:space="0" w:color="auto"/>
              <w:left w:val="single" w:sz="4" w:space="0" w:color="auto"/>
              <w:bottom w:val="single" w:sz="4" w:space="0" w:color="auto"/>
              <w:right w:val="single" w:sz="4" w:space="0" w:color="auto"/>
            </w:tcBorders>
            <w:hideMark/>
          </w:tcPr>
          <w:p w14:paraId="0A5ED089" w14:textId="77777777" w:rsidR="00875F5E" w:rsidRPr="00CD592E" w:rsidRDefault="00875F5E" w:rsidP="00875F5E">
            <w:pPr>
              <w:pStyle w:val="naiskr"/>
              <w:tabs>
                <w:tab w:val="left" w:pos="2628"/>
              </w:tabs>
              <w:spacing w:before="0" w:beforeAutospacing="0" w:after="0" w:afterAutospacing="0"/>
              <w:jc w:val="both"/>
              <w:rPr>
                <w:iCs/>
                <w:color w:val="000000"/>
                <w:sz w:val="23"/>
                <w:szCs w:val="23"/>
                <w:lang w:eastAsia="en-US"/>
              </w:rPr>
            </w:pPr>
            <w:r w:rsidRPr="00CD592E">
              <w:rPr>
                <w:color w:val="000000"/>
                <w:sz w:val="23"/>
                <w:szCs w:val="23"/>
                <w:lang w:eastAsia="en-US"/>
              </w:rPr>
              <w:t>Nav.</w:t>
            </w:r>
          </w:p>
        </w:tc>
      </w:tr>
    </w:tbl>
    <w:p w14:paraId="36C41A64" w14:textId="77777777" w:rsidR="00875F5E" w:rsidRPr="00CD592E" w:rsidRDefault="00875F5E" w:rsidP="00875F5E">
      <w:pPr>
        <w:spacing w:after="0" w:line="240" w:lineRule="auto"/>
        <w:jc w:val="center"/>
        <w:rPr>
          <w:rFonts w:ascii="Times New Roman" w:hAnsi="Times New Roman" w:cs="Times New Roman"/>
          <w:color w:val="000000"/>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681"/>
        <w:gridCol w:w="2034"/>
        <w:gridCol w:w="2502"/>
      </w:tblGrid>
      <w:tr w:rsidR="00875F5E" w:rsidRPr="00CD592E" w14:paraId="40EB04A4" w14:textId="77777777" w:rsidTr="00F11D91">
        <w:tc>
          <w:tcPr>
            <w:tcW w:w="9640" w:type="dxa"/>
            <w:gridSpan w:val="4"/>
            <w:tcBorders>
              <w:top w:val="single" w:sz="4" w:space="0" w:color="auto"/>
              <w:left w:val="single" w:sz="4" w:space="0" w:color="auto"/>
              <w:bottom w:val="single" w:sz="4" w:space="0" w:color="auto"/>
              <w:right w:val="single" w:sz="4" w:space="0" w:color="auto"/>
            </w:tcBorders>
            <w:hideMark/>
          </w:tcPr>
          <w:p w14:paraId="1C35397C" w14:textId="77777777" w:rsidR="00875F5E" w:rsidRPr="00CD592E" w:rsidRDefault="00875F5E" w:rsidP="00875F5E">
            <w:pPr>
              <w:pStyle w:val="naisnod"/>
              <w:spacing w:before="0" w:beforeAutospacing="0" w:after="0" w:afterAutospacing="0"/>
              <w:jc w:val="center"/>
              <w:rPr>
                <w:color w:val="000000"/>
                <w:sz w:val="23"/>
                <w:szCs w:val="23"/>
                <w:lang w:eastAsia="en-US"/>
              </w:rPr>
            </w:pPr>
            <w:r w:rsidRPr="00CD592E">
              <w:rPr>
                <w:b/>
                <w:color w:val="000000"/>
                <w:sz w:val="23"/>
                <w:szCs w:val="23"/>
                <w:lang w:eastAsia="en-US"/>
              </w:rPr>
              <w:t>1.tabula. Tiesību akta projekta atbilstība ES tiesību aktiem</w:t>
            </w:r>
          </w:p>
        </w:tc>
      </w:tr>
      <w:tr w:rsidR="00875F5E" w:rsidRPr="00CD592E" w14:paraId="4890CF4C" w14:textId="77777777" w:rsidTr="00F11D91">
        <w:tc>
          <w:tcPr>
            <w:tcW w:w="2423" w:type="dxa"/>
            <w:tcBorders>
              <w:top w:val="single" w:sz="4" w:space="0" w:color="auto"/>
              <w:left w:val="single" w:sz="4" w:space="0" w:color="auto"/>
              <w:bottom w:val="single" w:sz="4" w:space="0" w:color="auto"/>
              <w:right w:val="single" w:sz="4" w:space="0" w:color="auto"/>
            </w:tcBorders>
            <w:hideMark/>
          </w:tcPr>
          <w:p w14:paraId="131DE312" w14:textId="77777777" w:rsidR="00875F5E" w:rsidRPr="00CD592E" w:rsidRDefault="00875F5E" w:rsidP="00875F5E">
            <w:pPr>
              <w:spacing w:after="0" w:line="240" w:lineRule="auto"/>
              <w:rPr>
                <w:rFonts w:ascii="Times New Roman" w:hAnsi="Times New Roman" w:cs="Times New Roman"/>
                <w:color w:val="000000"/>
                <w:sz w:val="23"/>
                <w:szCs w:val="23"/>
              </w:rPr>
            </w:pPr>
            <w:r w:rsidRPr="00CD592E">
              <w:rPr>
                <w:rFonts w:ascii="Times New Roman" w:hAnsi="Times New Roman" w:cs="Times New Roman"/>
                <w:color w:val="000000"/>
                <w:sz w:val="23"/>
                <w:szCs w:val="23"/>
              </w:rPr>
              <w:t>Attiecīgā ES tiesību akta datums, numurs un nosaukums</w:t>
            </w:r>
          </w:p>
        </w:tc>
        <w:tc>
          <w:tcPr>
            <w:tcW w:w="7217" w:type="dxa"/>
            <w:gridSpan w:val="3"/>
            <w:tcBorders>
              <w:top w:val="single" w:sz="4" w:space="0" w:color="auto"/>
              <w:left w:val="single" w:sz="4" w:space="0" w:color="auto"/>
              <w:bottom w:val="single" w:sz="4" w:space="0" w:color="auto"/>
              <w:right w:val="single" w:sz="4" w:space="0" w:color="auto"/>
            </w:tcBorders>
            <w:hideMark/>
          </w:tcPr>
          <w:p w14:paraId="119BC2E6" w14:textId="77777777" w:rsidR="00875F5E" w:rsidRPr="008826FA" w:rsidRDefault="00BF2FC7" w:rsidP="002B5570">
            <w:pPr>
              <w:pStyle w:val="naiskr"/>
              <w:tabs>
                <w:tab w:val="left" w:pos="2628"/>
              </w:tabs>
              <w:spacing w:before="0" w:beforeAutospacing="0" w:after="0" w:afterAutospacing="0"/>
              <w:jc w:val="both"/>
              <w:rPr>
                <w:bCs/>
                <w:iCs/>
                <w:sz w:val="23"/>
                <w:szCs w:val="23"/>
                <w:shd w:val="clear" w:color="auto" w:fill="FFFFFF"/>
              </w:rPr>
            </w:pPr>
            <w:r w:rsidRPr="00CD592E">
              <w:rPr>
                <w:bCs/>
                <w:iCs/>
                <w:sz w:val="23"/>
                <w:szCs w:val="23"/>
                <w:shd w:val="clear" w:color="auto" w:fill="FFFFFF"/>
              </w:rPr>
              <w:t xml:space="preserve">1) </w:t>
            </w:r>
            <w:r w:rsidR="00875F5E" w:rsidRPr="00CD592E">
              <w:rPr>
                <w:bCs/>
                <w:iCs/>
                <w:sz w:val="23"/>
                <w:szCs w:val="23"/>
                <w:shd w:val="clear" w:color="auto" w:fill="FFFFFF"/>
              </w:rPr>
              <w:t xml:space="preserve">Eiropas Parlamenta un </w:t>
            </w:r>
            <w:r w:rsidR="00875F5E" w:rsidRPr="008826FA">
              <w:rPr>
                <w:bCs/>
                <w:iCs/>
                <w:sz w:val="23"/>
                <w:szCs w:val="23"/>
                <w:shd w:val="clear" w:color="auto" w:fill="FFFFFF"/>
              </w:rPr>
              <w:t>Padomes r</w:t>
            </w:r>
            <w:r w:rsidRPr="008826FA">
              <w:rPr>
                <w:bCs/>
                <w:iCs/>
                <w:sz w:val="23"/>
                <w:szCs w:val="23"/>
                <w:shd w:val="clear" w:color="auto" w:fill="FFFFFF"/>
              </w:rPr>
              <w:t>egulas Nr.1304/2013 1.pielikums;</w:t>
            </w:r>
          </w:p>
          <w:p w14:paraId="023AB588" w14:textId="5425E019" w:rsidR="002B5570" w:rsidRPr="008826FA" w:rsidRDefault="002B5570" w:rsidP="002B5570">
            <w:pPr>
              <w:pStyle w:val="naiskr"/>
              <w:spacing w:before="0" w:beforeAutospacing="0" w:after="0" w:afterAutospacing="0"/>
              <w:rPr>
                <w:color w:val="000000"/>
                <w:sz w:val="23"/>
                <w:szCs w:val="23"/>
              </w:rPr>
            </w:pPr>
            <w:r w:rsidRPr="008826FA">
              <w:rPr>
                <w:color w:val="000000"/>
                <w:sz w:val="23"/>
                <w:szCs w:val="23"/>
              </w:rPr>
              <w:t>2) Komisijas regula Nr.1407/2013;</w:t>
            </w:r>
          </w:p>
          <w:p w14:paraId="2152D62F" w14:textId="0F967F64" w:rsidR="002B5570" w:rsidRPr="008826FA" w:rsidRDefault="002B5570" w:rsidP="002B5570">
            <w:pPr>
              <w:pStyle w:val="naiskr"/>
              <w:spacing w:before="0" w:beforeAutospacing="0" w:after="0" w:afterAutospacing="0"/>
              <w:rPr>
                <w:color w:val="000000"/>
                <w:sz w:val="23"/>
                <w:szCs w:val="23"/>
              </w:rPr>
            </w:pPr>
            <w:r w:rsidRPr="008826FA">
              <w:rPr>
                <w:color w:val="000000"/>
                <w:sz w:val="23"/>
                <w:szCs w:val="23"/>
              </w:rPr>
              <w:t>3) Komisijas regula Nr.717/2014;</w:t>
            </w:r>
          </w:p>
          <w:p w14:paraId="0A5A62E6" w14:textId="1AAFD4D5" w:rsidR="00BF2FC7" w:rsidRPr="00CD592E" w:rsidRDefault="002B5570" w:rsidP="002B5570">
            <w:pPr>
              <w:pStyle w:val="naiskr"/>
              <w:tabs>
                <w:tab w:val="left" w:pos="2628"/>
              </w:tabs>
              <w:spacing w:before="0" w:beforeAutospacing="0" w:after="0" w:afterAutospacing="0"/>
              <w:jc w:val="both"/>
              <w:rPr>
                <w:color w:val="000000"/>
                <w:sz w:val="23"/>
                <w:szCs w:val="23"/>
                <w:lang w:eastAsia="en-US"/>
              </w:rPr>
            </w:pPr>
            <w:r w:rsidRPr="008826FA">
              <w:rPr>
                <w:color w:val="000000"/>
                <w:sz w:val="23"/>
                <w:szCs w:val="23"/>
                <w:lang w:eastAsia="en-US"/>
              </w:rPr>
              <w:t>4) Komisijas regula Nr.1408/2013.</w:t>
            </w:r>
          </w:p>
        </w:tc>
      </w:tr>
      <w:tr w:rsidR="00875F5E" w:rsidRPr="00CD592E" w14:paraId="6ACADF5F" w14:textId="77777777" w:rsidTr="00F11D91">
        <w:tc>
          <w:tcPr>
            <w:tcW w:w="2423" w:type="dxa"/>
            <w:tcBorders>
              <w:top w:val="single" w:sz="4" w:space="0" w:color="auto"/>
              <w:left w:val="single" w:sz="4" w:space="0" w:color="auto"/>
              <w:bottom w:val="single" w:sz="4" w:space="0" w:color="auto"/>
              <w:right w:val="single" w:sz="4" w:space="0" w:color="auto"/>
            </w:tcBorders>
            <w:hideMark/>
          </w:tcPr>
          <w:p w14:paraId="766D63DC" w14:textId="1F90AD20"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A</w:t>
            </w:r>
          </w:p>
        </w:tc>
        <w:tc>
          <w:tcPr>
            <w:tcW w:w="2681" w:type="dxa"/>
            <w:tcBorders>
              <w:top w:val="single" w:sz="4" w:space="0" w:color="auto"/>
              <w:left w:val="single" w:sz="4" w:space="0" w:color="auto"/>
              <w:bottom w:val="single" w:sz="4" w:space="0" w:color="auto"/>
              <w:right w:val="single" w:sz="4" w:space="0" w:color="auto"/>
            </w:tcBorders>
            <w:hideMark/>
          </w:tcPr>
          <w:p w14:paraId="5D9CD32D"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B</w:t>
            </w:r>
          </w:p>
        </w:tc>
        <w:tc>
          <w:tcPr>
            <w:tcW w:w="2034" w:type="dxa"/>
            <w:tcBorders>
              <w:top w:val="single" w:sz="4" w:space="0" w:color="auto"/>
              <w:left w:val="single" w:sz="4" w:space="0" w:color="auto"/>
              <w:bottom w:val="single" w:sz="4" w:space="0" w:color="auto"/>
              <w:right w:val="single" w:sz="4" w:space="0" w:color="auto"/>
            </w:tcBorders>
            <w:hideMark/>
          </w:tcPr>
          <w:p w14:paraId="645E40AF"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C</w:t>
            </w:r>
          </w:p>
        </w:tc>
        <w:tc>
          <w:tcPr>
            <w:tcW w:w="2502" w:type="dxa"/>
            <w:tcBorders>
              <w:top w:val="single" w:sz="4" w:space="0" w:color="auto"/>
              <w:left w:val="single" w:sz="4" w:space="0" w:color="auto"/>
              <w:bottom w:val="single" w:sz="4" w:space="0" w:color="auto"/>
              <w:right w:val="single" w:sz="4" w:space="0" w:color="auto"/>
            </w:tcBorders>
            <w:hideMark/>
          </w:tcPr>
          <w:p w14:paraId="0EE46387"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D</w:t>
            </w:r>
          </w:p>
        </w:tc>
      </w:tr>
      <w:tr w:rsidR="00875F5E" w:rsidRPr="00CD592E" w14:paraId="7D536571" w14:textId="77777777" w:rsidTr="00F11D91">
        <w:tc>
          <w:tcPr>
            <w:tcW w:w="2423" w:type="dxa"/>
            <w:tcBorders>
              <w:top w:val="single" w:sz="4" w:space="0" w:color="auto"/>
              <w:left w:val="single" w:sz="4" w:space="0" w:color="auto"/>
              <w:bottom w:val="single" w:sz="4" w:space="0" w:color="auto"/>
              <w:right w:val="single" w:sz="4" w:space="0" w:color="auto"/>
            </w:tcBorders>
            <w:hideMark/>
          </w:tcPr>
          <w:p w14:paraId="03E83B99"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Attiecīgā ES tiesību akta panta numurs (uzskaitot katru tiesību akta vienību – pantu, daļu, punktu, apakšpunktu)</w:t>
            </w:r>
          </w:p>
        </w:tc>
        <w:tc>
          <w:tcPr>
            <w:tcW w:w="2681" w:type="dxa"/>
            <w:tcBorders>
              <w:top w:val="single" w:sz="4" w:space="0" w:color="auto"/>
              <w:left w:val="single" w:sz="4" w:space="0" w:color="auto"/>
              <w:bottom w:val="single" w:sz="4" w:space="0" w:color="auto"/>
              <w:right w:val="single" w:sz="4" w:space="0" w:color="auto"/>
            </w:tcBorders>
            <w:hideMark/>
          </w:tcPr>
          <w:p w14:paraId="7F430843"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Projekta vienība, kas pārņem vai ievieš katru šīs tabulas A ailē minēto ES tiesību akta vienību, vai tiesību akts, kur attiecīgā ES tiesību akta vienība pārņemta vai ieviesta</w:t>
            </w:r>
          </w:p>
        </w:tc>
        <w:tc>
          <w:tcPr>
            <w:tcW w:w="2034" w:type="dxa"/>
            <w:tcBorders>
              <w:top w:val="single" w:sz="4" w:space="0" w:color="auto"/>
              <w:left w:val="single" w:sz="4" w:space="0" w:color="auto"/>
              <w:bottom w:val="single" w:sz="4" w:space="0" w:color="auto"/>
              <w:right w:val="single" w:sz="4" w:space="0" w:color="auto"/>
            </w:tcBorders>
            <w:hideMark/>
          </w:tcPr>
          <w:p w14:paraId="49A0EE92" w14:textId="77777777" w:rsidR="00875F5E" w:rsidRPr="00CD592E" w:rsidRDefault="00875F5E" w:rsidP="00875F5E">
            <w:pPr>
              <w:pStyle w:val="naiskr"/>
              <w:spacing w:before="0" w:beforeAutospacing="0" w:after="0" w:afterAutospacing="0"/>
              <w:jc w:val="center"/>
              <w:rPr>
                <w:color w:val="000000"/>
                <w:sz w:val="23"/>
                <w:szCs w:val="23"/>
                <w:lang w:eastAsia="en-US"/>
              </w:rPr>
            </w:pPr>
            <w:r w:rsidRPr="00CD592E">
              <w:rPr>
                <w:color w:val="000000"/>
                <w:sz w:val="23"/>
                <w:szCs w:val="23"/>
                <w:lang w:eastAsia="en-US"/>
              </w:rPr>
              <w:t>Informācija par to, vai šīs tabulas A ailē minētās ES tiesību akta vienības tiek pārņemtas vai ieviestas pilnībā vai daļēji.</w:t>
            </w:r>
          </w:p>
          <w:p w14:paraId="3DED372C" w14:textId="77777777" w:rsidR="00875F5E" w:rsidRPr="00CD592E" w:rsidRDefault="00875F5E" w:rsidP="00875F5E">
            <w:pPr>
              <w:pStyle w:val="naiskr"/>
              <w:spacing w:before="0" w:beforeAutospacing="0" w:after="0" w:afterAutospacing="0"/>
              <w:jc w:val="center"/>
              <w:rPr>
                <w:color w:val="000000"/>
                <w:sz w:val="23"/>
                <w:szCs w:val="23"/>
                <w:lang w:eastAsia="en-US"/>
              </w:rPr>
            </w:pPr>
            <w:r w:rsidRPr="00CD592E">
              <w:rPr>
                <w:color w:val="000000"/>
                <w:sz w:val="23"/>
                <w:szCs w:val="23"/>
                <w:lang w:eastAsia="en-US"/>
              </w:rPr>
              <w:t>Ja attiecīgā ES tiesību akta vienība tiek pārņemta vai ieviesta daļēji, – sniedz attiecīgu skaidrojumu, kā arī precīzi norāda, kad un kādā veidā ES tiesību akta vienība tiks pārņemta vai ieviesta pilnībā.</w:t>
            </w:r>
          </w:p>
          <w:p w14:paraId="506A6E8C"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Norāda institūciju, kas ir atbildīga par šo saistību izpildi pilnībā</w:t>
            </w:r>
          </w:p>
        </w:tc>
        <w:tc>
          <w:tcPr>
            <w:tcW w:w="2502" w:type="dxa"/>
            <w:tcBorders>
              <w:top w:val="single" w:sz="4" w:space="0" w:color="auto"/>
              <w:left w:val="single" w:sz="4" w:space="0" w:color="auto"/>
              <w:bottom w:val="single" w:sz="4" w:space="0" w:color="auto"/>
              <w:right w:val="single" w:sz="4" w:space="0" w:color="auto"/>
            </w:tcBorders>
            <w:hideMark/>
          </w:tcPr>
          <w:p w14:paraId="1E1FC95A" w14:textId="77777777" w:rsidR="00875F5E" w:rsidRPr="00CD592E" w:rsidRDefault="00875F5E" w:rsidP="00875F5E">
            <w:pPr>
              <w:pStyle w:val="naiskr"/>
              <w:spacing w:before="0" w:beforeAutospacing="0" w:after="0" w:afterAutospacing="0"/>
              <w:jc w:val="center"/>
              <w:rPr>
                <w:color w:val="000000"/>
                <w:sz w:val="23"/>
                <w:szCs w:val="23"/>
                <w:lang w:eastAsia="en-US"/>
              </w:rPr>
            </w:pPr>
            <w:r w:rsidRPr="00CD592E">
              <w:rPr>
                <w:color w:val="000000"/>
                <w:sz w:val="23"/>
                <w:szCs w:val="23"/>
                <w:lang w:eastAsia="en-US"/>
              </w:rPr>
              <w:t>Informācija par to, vai šīs tabulas B ailē minētās projekta vienības paredz stingrākas prasības nekā šīs tabulas A ailē minētās ES tiesību akta vienības.</w:t>
            </w:r>
          </w:p>
          <w:p w14:paraId="447C4907" w14:textId="77777777" w:rsidR="00875F5E" w:rsidRPr="00CD592E" w:rsidRDefault="00875F5E" w:rsidP="00875F5E">
            <w:pPr>
              <w:pStyle w:val="naiskr"/>
              <w:spacing w:before="0" w:beforeAutospacing="0" w:after="0" w:afterAutospacing="0"/>
              <w:jc w:val="center"/>
              <w:rPr>
                <w:color w:val="000000"/>
                <w:sz w:val="23"/>
                <w:szCs w:val="23"/>
                <w:lang w:eastAsia="en-US"/>
              </w:rPr>
            </w:pPr>
            <w:r w:rsidRPr="00CD592E">
              <w:rPr>
                <w:color w:val="000000"/>
                <w:sz w:val="23"/>
                <w:szCs w:val="23"/>
                <w:lang w:eastAsia="en-US"/>
              </w:rPr>
              <w:t>Ja projekts satur stingrākas prasības nekā attiecīgais ES tiesību akts, – norāda pamatojumu un samērīgumu.</w:t>
            </w:r>
          </w:p>
          <w:p w14:paraId="6F0A6862"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color w:val="000000"/>
                <w:sz w:val="23"/>
                <w:szCs w:val="23"/>
              </w:rPr>
              <w:t>Norāda iespējamās alternatīvas (t.sk. alternatīvas, kas neparedz tiesiskā regulējuma izstrādi) – kādos gadījumos būtu iespējams izvairīties no stingrāku prasību noteikšanas, nekā paredzēts attiecīgajos ES tiesību aktos</w:t>
            </w:r>
          </w:p>
        </w:tc>
      </w:tr>
      <w:tr w:rsidR="00875F5E" w:rsidRPr="00CD592E" w14:paraId="2DA380AB" w14:textId="77777777" w:rsidTr="00F11D91">
        <w:tc>
          <w:tcPr>
            <w:tcW w:w="2423" w:type="dxa"/>
            <w:tcBorders>
              <w:top w:val="single" w:sz="4" w:space="0" w:color="auto"/>
              <w:left w:val="single" w:sz="4" w:space="0" w:color="auto"/>
              <w:bottom w:val="single" w:sz="4" w:space="0" w:color="auto"/>
              <w:right w:val="single" w:sz="4" w:space="0" w:color="auto"/>
            </w:tcBorders>
          </w:tcPr>
          <w:p w14:paraId="239F57CB" w14:textId="77777777" w:rsidR="00875F5E" w:rsidRPr="008826FA" w:rsidRDefault="00875F5E" w:rsidP="00875F5E">
            <w:pPr>
              <w:pStyle w:val="naiskr"/>
              <w:spacing w:before="0" w:beforeAutospacing="0" w:after="0" w:afterAutospacing="0"/>
              <w:rPr>
                <w:bCs/>
                <w:color w:val="000000"/>
                <w:sz w:val="23"/>
                <w:szCs w:val="23"/>
                <w:lang w:eastAsia="en-US"/>
              </w:rPr>
            </w:pPr>
            <w:r w:rsidRPr="008826FA">
              <w:rPr>
                <w:bCs/>
                <w:iCs/>
                <w:color w:val="000000"/>
                <w:sz w:val="23"/>
                <w:szCs w:val="23"/>
                <w:lang w:eastAsia="en-US"/>
              </w:rPr>
              <w:t>Eiropas Parlamenta un Padomes regulas Nr.1304/2013 1.pielikums</w:t>
            </w:r>
          </w:p>
        </w:tc>
        <w:tc>
          <w:tcPr>
            <w:tcW w:w="2681" w:type="dxa"/>
            <w:tcBorders>
              <w:top w:val="single" w:sz="4" w:space="0" w:color="auto"/>
              <w:left w:val="single" w:sz="4" w:space="0" w:color="auto"/>
              <w:bottom w:val="single" w:sz="4" w:space="0" w:color="auto"/>
              <w:right w:val="single" w:sz="4" w:space="0" w:color="auto"/>
            </w:tcBorders>
          </w:tcPr>
          <w:p w14:paraId="32F7C3D0" w14:textId="100F5B6D" w:rsidR="00875F5E" w:rsidRPr="008826FA" w:rsidRDefault="00875F5E" w:rsidP="00BA05D3">
            <w:pPr>
              <w:spacing w:after="0" w:line="240" w:lineRule="auto"/>
              <w:jc w:val="center"/>
              <w:rPr>
                <w:rFonts w:ascii="Times New Roman" w:hAnsi="Times New Roman" w:cs="Times New Roman"/>
                <w:iCs/>
                <w:color w:val="000000"/>
                <w:sz w:val="23"/>
                <w:szCs w:val="23"/>
              </w:rPr>
            </w:pPr>
            <w:r w:rsidRPr="008826FA">
              <w:rPr>
                <w:rFonts w:ascii="Times New Roman" w:hAnsi="Times New Roman" w:cs="Times New Roman"/>
                <w:iCs/>
                <w:color w:val="000000"/>
                <w:sz w:val="23"/>
                <w:szCs w:val="23"/>
              </w:rPr>
              <w:t xml:space="preserve">MK noteikumu projekta </w:t>
            </w:r>
            <w:r w:rsidR="00BA05D3" w:rsidRPr="008826FA">
              <w:rPr>
                <w:rFonts w:ascii="Times New Roman" w:hAnsi="Times New Roman" w:cs="Times New Roman"/>
                <w:iCs/>
                <w:color w:val="000000"/>
                <w:sz w:val="23"/>
                <w:szCs w:val="23"/>
              </w:rPr>
              <w:t>9</w:t>
            </w:r>
            <w:r w:rsidRPr="008826FA">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tcPr>
          <w:p w14:paraId="661FDDD3" w14:textId="77777777" w:rsidR="00875F5E" w:rsidRPr="00CD592E" w:rsidRDefault="00875F5E" w:rsidP="00875F5E">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tcPr>
          <w:p w14:paraId="6F8DCAA1" w14:textId="77777777" w:rsidR="00875F5E" w:rsidRPr="00CD592E" w:rsidRDefault="00875F5E" w:rsidP="00875F5E">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Netiek paredzētas stingrākas prasības.</w:t>
            </w:r>
          </w:p>
        </w:tc>
      </w:tr>
      <w:tr w:rsidR="002B5570" w:rsidRPr="00CD592E" w14:paraId="43A1B3BE" w14:textId="77777777" w:rsidTr="00F11D91">
        <w:tc>
          <w:tcPr>
            <w:tcW w:w="2423" w:type="dxa"/>
            <w:tcBorders>
              <w:top w:val="single" w:sz="4" w:space="0" w:color="auto"/>
              <w:left w:val="single" w:sz="4" w:space="0" w:color="auto"/>
              <w:bottom w:val="single" w:sz="4" w:space="0" w:color="auto"/>
              <w:right w:val="single" w:sz="4" w:space="0" w:color="auto"/>
            </w:tcBorders>
          </w:tcPr>
          <w:p w14:paraId="1142F604" w14:textId="66849FDB" w:rsidR="002B5570" w:rsidRPr="008826FA" w:rsidRDefault="002B5570" w:rsidP="002B5570">
            <w:pPr>
              <w:pStyle w:val="naiskr"/>
              <w:spacing w:before="0" w:beforeAutospacing="0" w:after="0" w:afterAutospacing="0"/>
              <w:rPr>
                <w:bCs/>
                <w:iCs/>
                <w:color w:val="000000"/>
                <w:sz w:val="23"/>
                <w:szCs w:val="23"/>
                <w:lang w:eastAsia="en-US"/>
              </w:rPr>
            </w:pPr>
            <w:r w:rsidRPr="008826FA">
              <w:rPr>
                <w:bCs/>
                <w:iCs/>
                <w:color w:val="000000"/>
                <w:sz w:val="23"/>
                <w:szCs w:val="23"/>
                <w:lang w:eastAsia="en-US"/>
              </w:rPr>
              <w:t xml:space="preserve">Komisijas regulas Nr.1407/2013 </w:t>
            </w:r>
            <w:proofErr w:type="gramStart"/>
            <w:r w:rsidRPr="008826FA">
              <w:rPr>
                <w:bCs/>
                <w:iCs/>
                <w:color w:val="000000"/>
                <w:sz w:val="23"/>
                <w:szCs w:val="23"/>
                <w:lang w:eastAsia="en-US"/>
              </w:rPr>
              <w:t>3.panta</w:t>
            </w:r>
            <w:proofErr w:type="gramEnd"/>
            <w:r w:rsidRPr="008826FA">
              <w:rPr>
                <w:bCs/>
                <w:iCs/>
                <w:color w:val="000000"/>
                <w:sz w:val="23"/>
                <w:szCs w:val="23"/>
                <w:lang w:eastAsia="en-US"/>
              </w:rPr>
              <w:t xml:space="preserve"> 2.punkts, 5.panta 1. un 2.punkts</w:t>
            </w:r>
          </w:p>
        </w:tc>
        <w:tc>
          <w:tcPr>
            <w:tcW w:w="2681" w:type="dxa"/>
            <w:tcBorders>
              <w:top w:val="single" w:sz="4" w:space="0" w:color="auto"/>
              <w:left w:val="single" w:sz="4" w:space="0" w:color="auto"/>
              <w:bottom w:val="single" w:sz="4" w:space="0" w:color="auto"/>
              <w:right w:val="single" w:sz="4" w:space="0" w:color="auto"/>
            </w:tcBorders>
          </w:tcPr>
          <w:p w14:paraId="50E4C321" w14:textId="24A4E353" w:rsidR="002B5570" w:rsidRPr="008826FA" w:rsidRDefault="002B5570" w:rsidP="00BA05D3">
            <w:pPr>
              <w:spacing w:after="0" w:line="240" w:lineRule="auto"/>
              <w:jc w:val="center"/>
              <w:rPr>
                <w:rFonts w:ascii="Times New Roman" w:hAnsi="Times New Roman" w:cs="Times New Roman"/>
                <w:iCs/>
                <w:color w:val="000000"/>
                <w:sz w:val="23"/>
                <w:szCs w:val="23"/>
              </w:rPr>
            </w:pPr>
            <w:r w:rsidRPr="008826FA">
              <w:rPr>
                <w:rFonts w:ascii="Times New Roman" w:hAnsi="Times New Roman" w:cs="Times New Roman"/>
                <w:iCs/>
                <w:color w:val="000000"/>
                <w:sz w:val="23"/>
                <w:szCs w:val="23"/>
              </w:rPr>
              <w:t>MK noteikumu projekta 1</w:t>
            </w:r>
            <w:r w:rsidR="00BA05D3" w:rsidRPr="008826FA">
              <w:rPr>
                <w:rFonts w:ascii="Times New Roman" w:hAnsi="Times New Roman" w:cs="Times New Roman"/>
                <w:iCs/>
                <w:color w:val="000000"/>
                <w:sz w:val="23"/>
                <w:szCs w:val="23"/>
              </w:rPr>
              <w:t>1</w:t>
            </w:r>
            <w:r w:rsidRPr="008826FA">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tcPr>
          <w:p w14:paraId="731EB45C" w14:textId="3FDCCEEB" w:rsidR="002B5570" w:rsidRPr="00CD592E" w:rsidRDefault="002B5570" w:rsidP="002B5570">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tcPr>
          <w:p w14:paraId="7BFA126C" w14:textId="14FAD348" w:rsidR="002B5570" w:rsidRPr="00CD592E" w:rsidRDefault="002B5570" w:rsidP="002B5570">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Netiek paredzētas stingrākas prasības.</w:t>
            </w:r>
          </w:p>
        </w:tc>
      </w:tr>
      <w:tr w:rsidR="002B5570" w:rsidRPr="00CD592E" w14:paraId="291CA909" w14:textId="77777777" w:rsidTr="00F11D91">
        <w:tc>
          <w:tcPr>
            <w:tcW w:w="2423" w:type="dxa"/>
            <w:tcBorders>
              <w:top w:val="single" w:sz="4" w:space="0" w:color="auto"/>
              <w:left w:val="single" w:sz="4" w:space="0" w:color="auto"/>
              <w:bottom w:val="single" w:sz="4" w:space="0" w:color="auto"/>
              <w:right w:val="single" w:sz="4" w:space="0" w:color="auto"/>
            </w:tcBorders>
          </w:tcPr>
          <w:p w14:paraId="40A7DC2C" w14:textId="4D988E32" w:rsidR="002B5570" w:rsidRPr="008826FA" w:rsidRDefault="002B5570" w:rsidP="002B5570">
            <w:pPr>
              <w:pStyle w:val="naiskr"/>
              <w:spacing w:before="0" w:beforeAutospacing="0" w:after="0" w:afterAutospacing="0"/>
              <w:rPr>
                <w:bCs/>
                <w:iCs/>
                <w:color w:val="000000"/>
                <w:sz w:val="23"/>
                <w:szCs w:val="23"/>
                <w:lang w:eastAsia="en-US"/>
              </w:rPr>
            </w:pPr>
            <w:r w:rsidRPr="008826FA">
              <w:rPr>
                <w:bCs/>
                <w:iCs/>
                <w:color w:val="000000"/>
                <w:sz w:val="23"/>
                <w:szCs w:val="23"/>
                <w:lang w:eastAsia="en-US"/>
              </w:rPr>
              <w:t xml:space="preserve">Komisijas regulas Nr.717/2014 </w:t>
            </w:r>
            <w:proofErr w:type="gramStart"/>
            <w:r w:rsidRPr="008826FA">
              <w:rPr>
                <w:bCs/>
                <w:iCs/>
                <w:color w:val="000000"/>
                <w:sz w:val="23"/>
                <w:szCs w:val="23"/>
                <w:lang w:eastAsia="en-US"/>
              </w:rPr>
              <w:t>3.panta</w:t>
            </w:r>
            <w:proofErr w:type="gramEnd"/>
            <w:r w:rsidRPr="008826FA">
              <w:rPr>
                <w:bCs/>
                <w:iCs/>
                <w:color w:val="000000"/>
                <w:sz w:val="23"/>
                <w:szCs w:val="23"/>
                <w:lang w:eastAsia="en-US"/>
              </w:rPr>
              <w:t xml:space="preserve"> 2.punkts, 5.panta 1., 2. un 3.punkts</w:t>
            </w:r>
          </w:p>
        </w:tc>
        <w:tc>
          <w:tcPr>
            <w:tcW w:w="2681" w:type="dxa"/>
            <w:tcBorders>
              <w:top w:val="single" w:sz="4" w:space="0" w:color="auto"/>
              <w:left w:val="single" w:sz="4" w:space="0" w:color="auto"/>
              <w:bottom w:val="single" w:sz="4" w:space="0" w:color="auto"/>
              <w:right w:val="single" w:sz="4" w:space="0" w:color="auto"/>
            </w:tcBorders>
          </w:tcPr>
          <w:p w14:paraId="02B65B5B" w14:textId="7C83AAF4" w:rsidR="002B5570" w:rsidRPr="008826FA" w:rsidRDefault="002B5570" w:rsidP="00BA05D3">
            <w:pPr>
              <w:spacing w:after="0" w:line="240" w:lineRule="auto"/>
              <w:jc w:val="center"/>
              <w:rPr>
                <w:rFonts w:ascii="Times New Roman" w:hAnsi="Times New Roman" w:cs="Times New Roman"/>
                <w:iCs/>
                <w:color w:val="000000"/>
                <w:sz w:val="23"/>
                <w:szCs w:val="23"/>
              </w:rPr>
            </w:pPr>
            <w:r w:rsidRPr="008826FA">
              <w:rPr>
                <w:rFonts w:ascii="Times New Roman" w:hAnsi="Times New Roman" w:cs="Times New Roman"/>
                <w:iCs/>
                <w:color w:val="000000"/>
                <w:sz w:val="23"/>
                <w:szCs w:val="23"/>
              </w:rPr>
              <w:t>MK noteikumu projekta 1</w:t>
            </w:r>
            <w:r w:rsidR="00BA05D3" w:rsidRPr="008826FA">
              <w:rPr>
                <w:rFonts w:ascii="Times New Roman" w:hAnsi="Times New Roman" w:cs="Times New Roman"/>
                <w:iCs/>
                <w:color w:val="000000"/>
                <w:sz w:val="23"/>
                <w:szCs w:val="23"/>
              </w:rPr>
              <w:t>1</w:t>
            </w:r>
            <w:r w:rsidRPr="008826FA">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tcPr>
          <w:p w14:paraId="28DB5D98" w14:textId="25C2CC71" w:rsidR="002B5570" w:rsidRPr="00CD592E" w:rsidRDefault="002B5570" w:rsidP="002B5570">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tcPr>
          <w:p w14:paraId="02A25828" w14:textId="3D29DA7A" w:rsidR="002B5570" w:rsidRPr="00CD592E" w:rsidRDefault="002B5570" w:rsidP="002B5570">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Netiek paredzētas stingrākas prasības.</w:t>
            </w:r>
          </w:p>
        </w:tc>
      </w:tr>
      <w:tr w:rsidR="002B5570" w:rsidRPr="00CD592E" w14:paraId="394784DE" w14:textId="77777777" w:rsidTr="00F11D91">
        <w:tc>
          <w:tcPr>
            <w:tcW w:w="2423" w:type="dxa"/>
            <w:tcBorders>
              <w:top w:val="single" w:sz="4" w:space="0" w:color="auto"/>
              <w:left w:val="single" w:sz="4" w:space="0" w:color="auto"/>
              <w:bottom w:val="single" w:sz="4" w:space="0" w:color="auto"/>
              <w:right w:val="single" w:sz="4" w:space="0" w:color="auto"/>
            </w:tcBorders>
          </w:tcPr>
          <w:p w14:paraId="506D9952" w14:textId="7093F9C4" w:rsidR="002B5570" w:rsidRPr="008826FA" w:rsidRDefault="002B5570" w:rsidP="002B5570">
            <w:pPr>
              <w:pStyle w:val="naiskr"/>
              <w:spacing w:before="0" w:beforeAutospacing="0" w:after="0" w:afterAutospacing="0"/>
              <w:rPr>
                <w:bCs/>
                <w:iCs/>
                <w:color w:val="000000"/>
                <w:sz w:val="23"/>
                <w:szCs w:val="23"/>
                <w:lang w:eastAsia="en-US"/>
              </w:rPr>
            </w:pPr>
            <w:r w:rsidRPr="008826FA">
              <w:rPr>
                <w:bCs/>
                <w:iCs/>
                <w:color w:val="000000"/>
                <w:sz w:val="23"/>
                <w:szCs w:val="23"/>
                <w:lang w:eastAsia="en-US"/>
              </w:rPr>
              <w:t xml:space="preserve">Komisijas regulas Nr.1408/2013 </w:t>
            </w:r>
            <w:proofErr w:type="gramStart"/>
            <w:r w:rsidRPr="008826FA">
              <w:rPr>
                <w:bCs/>
                <w:iCs/>
                <w:color w:val="000000"/>
                <w:sz w:val="23"/>
                <w:szCs w:val="23"/>
                <w:lang w:eastAsia="en-US"/>
              </w:rPr>
              <w:t>3.panta</w:t>
            </w:r>
            <w:proofErr w:type="gramEnd"/>
            <w:r w:rsidRPr="008826FA">
              <w:rPr>
                <w:bCs/>
                <w:iCs/>
                <w:color w:val="000000"/>
                <w:sz w:val="23"/>
                <w:szCs w:val="23"/>
                <w:lang w:eastAsia="en-US"/>
              </w:rPr>
              <w:t xml:space="preserve"> 2.punkts, 5.panta 1., 2. un 3.punkts</w:t>
            </w:r>
          </w:p>
        </w:tc>
        <w:tc>
          <w:tcPr>
            <w:tcW w:w="2681" w:type="dxa"/>
            <w:tcBorders>
              <w:top w:val="single" w:sz="4" w:space="0" w:color="auto"/>
              <w:left w:val="single" w:sz="4" w:space="0" w:color="auto"/>
              <w:bottom w:val="single" w:sz="4" w:space="0" w:color="auto"/>
              <w:right w:val="single" w:sz="4" w:space="0" w:color="auto"/>
            </w:tcBorders>
          </w:tcPr>
          <w:p w14:paraId="179FC6B8" w14:textId="77230DC9" w:rsidR="002B5570" w:rsidRPr="008826FA" w:rsidRDefault="002B5570" w:rsidP="00BA05D3">
            <w:pPr>
              <w:spacing w:after="0" w:line="240" w:lineRule="auto"/>
              <w:jc w:val="center"/>
              <w:rPr>
                <w:rFonts w:ascii="Times New Roman" w:hAnsi="Times New Roman" w:cs="Times New Roman"/>
                <w:iCs/>
                <w:color w:val="000000"/>
                <w:sz w:val="23"/>
                <w:szCs w:val="23"/>
              </w:rPr>
            </w:pPr>
            <w:r w:rsidRPr="008826FA">
              <w:rPr>
                <w:rFonts w:ascii="Times New Roman" w:hAnsi="Times New Roman" w:cs="Times New Roman"/>
                <w:iCs/>
                <w:color w:val="000000"/>
                <w:sz w:val="23"/>
                <w:szCs w:val="23"/>
              </w:rPr>
              <w:t>MK noteikumu projekta 1</w:t>
            </w:r>
            <w:r w:rsidR="00BA05D3" w:rsidRPr="008826FA">
              <w:rPr>
                <w:rFonts w:ascii="Times New Roman" w:hAnsi="Times New Roman" w:cs="Times New Roman"/>
                <w:iCs/>
                <w:color w:val="000000"/>
                <w:sz w:val="23"/>
                <w:szCs w:val="23"/>
              </w:rPr>
              <w:t>1</w:t>
            </w:r>
            <w:r w:rsidRPr="008826FA">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tcPr>
          <w:p w14:paraId="679731D8" w14:textId="75134D0A" w:rsidR="002B5570" w:rsidRPr="00CD592E" w:rsidRDefault="002B5570" w:rsidP="002B5570">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tcPr>
          <w:p w14:paraId="2E6023BB" w14:textId="007F6BCD" w:rsidR="002B5570" w:rsidRPr="00CD592E" w:rsidRDefault="002B5570" w:rsidP="002B5570">
            <w:pPr>
              <w:spacing w:after="0" w:line="240" w:lineRule="auto"/>
              <w:jc w:val="center"/>
              <w:rPr>
                <w:rFonts w:ascii="Times New Roman" w:hAnsi="Times New Roman" w:cs="Times New Roman"/>
                <w:iCs/>
                <w:color w:val="000000"/>
                <w:sz w:val="23"/>
                <w:szCs w:val="23"/>
              </w:rPr>
            </w:pPr>
            <w:r w:rsidRPr="00CD592E">
              <w:rPr>
                <w:rFonts w:ascii="Times New Roman" w:hAnsi="Times New Roman" w:cs="Times New Roman"/>
                <w:iCs/>
                <w:color w:val="000000"/>
                <w:sz w:val="23"/>
                <w:szCs w:val="23"/>
              </w:rPr>
              <w:t>Netiek paredzētas stingrākas prasības.</w:t>
            </w:r>
          </w:p>
        </w:tc>
      </w:tr>
      <w:tr w:rsidR="002B5570" w:rsidRPr="00CD592E" w14:paraId="401640FB" w14:textId="77777777" w:rsidTr="00F11D91">
        <w:tc>
          <w:tcPr>
            <w:tcW w:w="5104" w:type="dxa"/>
            <w:gridSpan w:val="2"/>
            <w:tcBorders>
              <w:top w:val="single" w:sz="4" w:space="0" w:color="auto"/>
              <w:left w:val="single" w:sz="4" w:space="0" w:color="auto"/>
              <w:bottom w:val="single" w:sz="4" w:space="0" w:color="auto"/>
              <w:right w:val="single" w:sz="4" w:space="0" w:color="auto"/>
            </w:tcBorders>
            <w:hideMark/>
          </w:tcPr>
          <w:p w14:paraId="748BF576" w14:textId="77777777" w:rsidR="002B5570" w:rsidRPr="00CD592E" w:rsidRDefault="002B5570" w:rsidP="002B5570">
            <w:pPr>
              <w:spacing w:after="0" w:line="240" w:lineRule="auto"/>
              <w:rPr>
                <w:rFonts w:ascii="Times New Roman" w:hAnsi="Times New Roman" w:cs="Times New Roman"/>
                <w:color w:val="000000"/>
                <w:sz w:val="23"/>
                <w:szCs w:val="23"/>
              </w:rPr>
            </w:pPr>
            <w:proofErr w:type="gramStart"/>
            <w:r w:rsidRPr="00CD592E">
              <w:rPr>
                <w:rFonts w:ascii="Times New Roman" w:hAnsi="Times New Roman" w:cs="Times New Roman"/>
                <w:color w:val="000000"/>
                <w:sz w:val="23"/>
                <w:szCs w:val="23"/>
              </w:rPr>
              <w:t>Kā ir izmantota ES tiesību aktā paredzētā rīcības brīvība dalībvalstij pārņemt vai ieviest</w:t>
            </w:r>
            <w:proofErr w:type="gramEnd"/>
            <w:r w:rsidRPr="00CD592E">
              <w:rPr>
                <w:rFonts w:ascii="Times New Roman" w:hAnsi="Times New Roman" w:cs="Times New Roman"/>
                <w:color w:val="000000"/>
                <w:sz w:val="23"/>
                <w:szCs w:val="23"/>
              </w:rPr>
              <w:t xml:space="preserve"> noteiktas ES tiesību akta normas?</w:t>
            </w:r>
          </w:p>
          <w:p w14:paraId="3854ABCD" w14:textId="77777777" w:rsidR="002B5570" w:rsidRPr="00CD592E" w:rsidRDefault="002B5570" w:rsidP="002B5570">
            <w:pPr>
              <w:spacing w:after="0" w:line="240" w:lineRule="auto"/>
              <w:rPr>
                <w:rFonts w:ascii="Times New Roman" w:hAnsi="Times New Roman" w:cs="Times New Roman"/>
                <w:i/>
                <w:color w:val="000000"/>
                <w:sz w:val="23"/>
                <w:szCs w:val="23"/>
              </w:rPr>
            </w:pPr>
            <w:r w:rsidRPr="00CD592E">
              <w:rPr>
                <w:rFonts w:ascii="Times New Roman" w:hAnsi="Times New Roman" w:cs="Times New Roman"/>
                <w:color w:val="000000"/>
                <w:sz w:val="23"/>
                <w:szCs w:val="23"/>
              </w:rPr>
              <w:t>Kādēļ?</w:t>
            </w:r>
          </w:p>
        </w:tc>
        <w:tc>
          <w:tcPr>
            <w:tcW w:w="4536" w:type="dxa"/>
            <w:gridSpan w:val="2"/>
            <w:tcBorders>
              <w:top w:val="single" w:sz="4" w:space="0" w:color="auto"/>
              <w:left w:val="single" w:sz="4" w:space="0" w:color="auto"/>
              <w:bottom w:val="single" w:sz="4" w:space="0" w:color="auto"/>
              <w:right w:val="single" w:sz="4" w:space="0" w:color="auto"/>
            </w:tcBorders>
            <w:hideMark/>
          </w:tcPr>
          <w:p w14:paraId="234F9BBC" w14:textId="77777777" w:rsidR="002B5570" w:rsidRPr="00CD592E" w:rsidRDefault="002B5570" w:rsidP="002B5570">
            <w:pPr>
              <w:spacing w:after="0" w:line="240" w:lineRule="auto"/>
              <w:rPr>
                <w:rFonts w:ascii="Times New Roman" w:hAnsi="Times New Roman" w:cs="Times New Roman"/>
                <w:color w:val="000000"/>
                <w:sz w:val="23"/>
                <w:szCs w:val="23"/>
              </w:rPr>
            </w:pPr>
            <w:r w:rsidRPr="00CD592E">
              <w:rPr>
                <w:rFonts w:ascii="Times New Roman" w:hAnsi="Times New Roman" w:cs="Times New Roman"/>
                <w:iCs/>
                <w:color w:val="000000"/>
                <w:sz w:val="23"/>
                <w:szCs w:val="23"/>
              </w:rPr>
              <w:t>MK noteikumu projekts šo jomu neskar.</w:t>
            </w:r>
          </w:p>
        </w:tc>
      </w:tr>
      <w:tr w:rsidR="002B5570" w:rsidRPr="00CD592E" w14:paraId="61C8F6BD" w14:textId="77777777" w:rsidTr="00F11D91">
        <w:tc>
          <w:tcPr>
            <w:tcW w:w="5104" w:type="dxa"/>
            <w:gridSpan w:val="2"/>
            <w:tcBorders>
              <w:top w:val="single" w:sz="4" w:space="0" w:color="auto"/>
              <w:left w:val="single" w:sz="4" w:space="0" w:color="auto"/>
              <w:bottom w:val="single" w:sz="4" w:space="0" w:color="auto"/>
              <w:right w:val="single" w:sz="4" w:space="0" w:color="auto"/>
            </w:tcBorders>
            <w:hideMark/>
          </w:tcPr>
          <w:p w14:paraId="30C7B42D" w14:textId="77777777" w:rsidR="002B5570" w:rsidRPr="00CD592E" w:rsidRDefault="002B5570" w:rsidP="002B5570">
            <w:pPr>
              <w:spacing w:after="0" w:line="240" w:lineRule="auto"/>
              <w:rPr>
                <w:rFonts w:ascii="Times New Roman" w:hAnsi="Times New Roman" w:cs="Times New Roman"/>
                <w:i/>
                <w:color w:val="000000"/>
                <w:sz w:val="23"/>
                <w:szCs w:val="23"/>
              </w:rPr>
            </w:pPr>
            <w:r w:rsidRPr="00CD592E">
              <w:rPr>
                <w:rFonts w:ascii="Times New Roman" w:hAnsi="Times New Roman" w:cs="Times New Roman"/>
                <w:color w:val="000000"/>
                <w:sz w:val="23"/>
                <w:szCs w:val="23"/>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6" w:type="dxa"/>
            <w:gridSpan w:val="2"/>
            <w:tcBorders>
              <w:top w:val="single" w:sz="4" w:space="0" w:color="auto"/>
              <w:left w:val="single" w:sz="4" w:space="0" w:color="auto"/>
              <w:bottom w:val="single" w:sz="4" w:space="0" w:color="auto"/>
              <w:right w:val="single" w:sz="4" w:space="0" w:color="auto"/>
            </w:tcBorders>
            <w:hideMark/>
          </w:tcPr>
          <w:p w14:paraId="7857F7C3" w14:textId="77777777" w:rsidR="002B5570" w:rsidRPr="00CD592E" w:rsidRDefault="002B5570" w:rsidP="002B5570">
            <w:pPr>
              <w:spacing w:after="0" w:line="240" w:lineRule="auto"/>
              <w:rPr>
                <w:rFonts w:ascii="Times New Roman" w:hAnsi="Times New Roman" w:cs="Times New Roman"/>
                <w:color w:val="000000"/>
                <w:sz w:val="23"/>
                <w:szCs w:val="23"/>
              </w:rPr>
            </w:pPr>
            <w:r w:rsidRPr="00CD592E">
              <w:rPr>
                <w:rFonts w:ascii="Times New Roman" w:hAnsi="Times New Roman" w:cs="Times New Roman"/>
                <w:iCs/>
                <w:color w:val="000000"/>
                <w:sz w:val="23"/>
                <w:szCs w:val="23"/>
              </w:rPr>
              <w:t>MK noteikumu projekts šo jomu neskar.</w:t>
            </w:r>
          </w:p>
        </w:tc>
      </w:tr>
      <w:tr w:rsidR="002B5570" w:rsidRPr="00CD592E" w14:paraId="4BD54928" w14:textId="77777777" w:rsidTr="00F11D91">
        <w:tc>
          <w:tcPr>
            <w:tcW w:w="5104" w:type="dxa"/>
            <w:gridSpan w:val="2"/>
            <w:tcBorders>
              <w:top w:val="single" w:sz="4" w:space="0" w:color="auto"/>
              <w:left w:val="single" w:sz="4" w:space="0" w:color="auto"/>
              <w:bottom w:val="single" w:sz="4" w:space="0" w:color="auto"/>
              <w:right w:val="single" w:sz="4" w:space="0" w:color="auto"/>
            </w:tcBorders>
            <w:hideMark/>
          </w:tcPr>
          <w:p w14:paraId="75AE9716" w14:textId="77777777" w:rsidR="002B5570" w:rsidRPr="00CD592E" w:rsidRDefault="002B5570" w:rsidP="002B5570">
            <w:pPr>
              <w:pStyle w:val="naiskr"/>
              <w:spacing w:before="0" w:beforeAutospacing="0" w:after="0" w:afterAutospacing="0"/>
              <w:rPr>
                <w:i/>
                <w:color w:val="000000"/>
                <w:sz w:val="23"/>
                <w:szCs w:val="23"/>
                <w:lang w:eastAsia="en-US"/>
              </w:rPr>
            </w:pPr>
            <w:r w:rsidRPr="00CD592E">
              <w:rPr>
                <w:color w:val="000000"/>
                <w:sz w:val="23"/>
                <w:szCs w:val="23"/>
                <w:lang w:eastAsia="en-US"/>
              </w:rPr>
              <w:t>Cita informācija</w:t>
            </w:r>
          </w:p>
        </w:tc>
        <w:tc>
          <w:tcPr>
            <w:tcW w:w="4536" w:type="dxa"/>
            <w:gridSpan w:val="2"/>
            <w:tcBorders>
              <w:top w:val="single" w:sz="4" w:space="0" w:color="auto"/>
              <w:left w:val="single" w:sz="4" w:space="0" w:color="auto"/>
              <w:bottom w:val="single" w:sz="4" w:space="0" w:color="auto"/>
              <w:right w:val="single" w:sz="4" w:space="0" w:color="auto"/>
            </w:tcBorders>
            <w:hideMark/>
          </w:tcPr>
          <w:p w14:paraId="45E70C72" w14:textId="77777777" w:rsidR="002B5570" w:rsidRPr="00CD592E" w:rsidRDefault="002B5570" w:rsidP="002B5570">
            <w:pPr>
              <w:spacing w:after="0" w:line="240" w:lineRule="auto"/>
              <w:rPr>
                <w:rFonts w:ascii="Times New Roman" w:hAnsi="Times New Roman" w:cs="Times New Roman"/>
                <w:color w:val="000000"/>
                <w:sz w:val="23"/>
                <w:szCs w:val="23"/>
              </w:rPr>
            </w:pPr>
            <w:r w:rsidRPr="00CD592E">
              <w:rPr>
                <w:rFonts w:ascii="Times New Roman" w:hAnsi="Times New Roman" w:cs="Times New Roman"/>
                <w:color w:val="000000"/>
                <w:sz w:val="23"/>
                <w:szCs w:val="23"/>
              </w:rPr>
              <w:t>Nav.</w:t>
            </w:r>
          </w:p>
        </w:tc>
      </w:tr>
    </w:tbl>
    <w:p w14:paraId="506451E8" w14:textId="77777777" w:rsidR="00875F5E" w:rsidRPr="00CD592E" w:rsidRDefault="00875F5E" w:rsidP="00875F5E">
      <w:pPr>
        <w:spacing w:after="0" w:line="240" w:lineRule="auto"/>
        <w:jc w:val="center"/>
        <w:rPr>
          <w:rFonts w:ascii="Times New Roman" w:hAnsi="Times New Roman" w:cs="Times New Roman"/>
          <w:color w:val="000000"/>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096"/>
        <w:gridCol w:w="3160"/>
      </w:tblGrid>
      <w:tr w:rsidR="00875F5E" w:rsidRPr="00CD592E" w14:paraId="41C6576F" w14:textId="77777777" w:rsidTr="00F11D91">
        <w:tc>
          <w:tcPr>
            <w:tcW w:w="9640" w:type="dxa"/>
            <w:gridSpan w:val="3"/>
            <w:tcBorders>
              <w:top w:val="single" w:sz="4" w:space="0" w:color="auto"/>
              <w:left w:val="single" w:sz="4" w:space="0" w:color="auto"/>
              <w:bottom w:val="single" w:sz="4" w:space="0" w:color="auto"/>
              <w:right w:val="single" w:sz="4" w:space="0" w:color="auto"/>
            </w:tcBorders>
            <w:hideMark/>
          </w:tcPr>
          <w:p w14:paraId="33A70AF9" w14:textId="77777777" w:rsidR="00875F5E" w:rsidRPr="00CD592E" w:rsidRDefault="00875F5E" w:rsidP="00875F5E">
            <w:pPr>
              <w:pStyle w:val="naisnod"/>
              <w:spacing w:before="0" w:beforeAutospacing="0" w:after="0" w:afterAutospacing="0"/>
              <w:jc w:val="center"/>
              <w:rPr>
                <w:b/>
                <w:color w:val="000000"/>
                <w:sz w:val="23"/>
                <w:szCs w:val="23"/>
                <w:lang w:eastAsia="en-US"/>
              </w:rPr>
            </w:pPr>
            <w:r w:rsidRPr="00CD592E">
              <w:rPr>
                <w:b/>
                <w:color w:val="000000"/>
                <w:sz w:val="23"/>
                <w:szCs w:val="23"/>
                <w:lang w:eastAsia="en-US"/>
              </w:rPr>
              <w:t>2.tabula. Ar tiesību akta projektu uzņemtās saistības, kas izriet no starptautiskajiem tiesību aktiem vai starptautiskas institūcijas vai organizācijas dokumentiem</w:t>
            </w:r>
          </w:p>
          <w:p w14:paraId="2A5CB632" w14:textId="77777777" w:rsidR="00875F5E" w:rsidRPr="00CD592E" w:rsidRDefault="00875F5E" w:rsidP="00875F5E">
            <w:pPr>
              <w:spacing w:after="0" w:line="240" w:lineRule="auto"/>
              <w:jc w:val="center"/>
              <w:rPr>
                <w:rFonts w:ascii="Times New Roman" w:hAnsi="Times New Roman" w:cs="Times New Roman"/>
                <w:color w:val="000000"/>
                <w:sz w:val="23"/>
                <w:szCs w:val="23"/>
              </w:rPr>
            </w:pPr>
            <w:r w:rsidRPr="00CD592E">
              <w:rPr>
                <w:rFonts w:ascii="Times New Roman" w:hAnsi="Times New Roman" w:cs="Times New Roman"/>
                <w:b/>
                <w:color w:val="000000"/>
                <w:sz w:val="23"/>
                <w:szCs w:val="23"/>
              </w:rPr>
              <w:t>Pasākumi šo saistību izpildei</w:t>
            </w:r>
          </w:p>
        </w:tc>
      </w:tr>
      <w:tr w:rsidR="00875F5E" w:rsidRPr="00CD592E" w14:paraId="38717EF7" w14:textId="77777777" w:rsidTr="00F11D91">
        <w:tc>
          <w:tcPr>
            <w:tcW w:w="3384" w:type="dxa"/>
            <w:tcBorders>
              <w:top w:val="single" w:sz="4" w:space="0" w:color="auto"/>
              <w:left w:val="single" w:sz="4" w:space="0" w:color="auto"/>
              <w:bottom w:val="single" w:sz="4" w:space="0" w:color="auto"/>
              <w:right w:val="single" w:sz="4" w:space="0" w:color="auto"/>
            </w:tcBorders>
            <w:hideMark/>
          </w:tcPr>
          <w:p w14:paraId="71150ACC" w14:textId="77777777" w:rsidR="00875F5E" w:rsidRPr="00CD592E" w:rsidRDefault="00875F5E"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Attiecīgā starptautiskā tiesību akta vai starptautiskas institūcijas vai organizācijas dokumenta (turpmāk – starptautiskais dokuments) datums, numurs un nosaukums</w:t>
            </w:r>
          </w:p>
        </w:tc>
        <w:tc>
          <w:tcPr>
            <w:tcW w:w="6256" w:type="dxa"/>
            <w:gridSpan w:val="2"/>
            <w:tcBorders>
              <w:top w:val="single" w:sz="4" w:space="0" w:color="auto"/>
              <w:left w:val="single" w:sz="4" w:space="0" w:color="auto"/>
              <w:bottom w:val="single" w:sz="4" w:space="0" w:color="auto"/>
              <w:right w:val="single" w:sz="4" w:space="0" w:color="auto"/>
            </w:tcBorders>
            <w:hideMark/>
          </w:tcPr>
          <w:p w14:paraId="4F4C2D45" w14:textId="77777777" w:rsidR="00875F5E" w:rsidRPr="00CD592E" w:rsidRDefault="00875F5E" w:rsidP="00875F5E">
            <w:pPr>
              <w:tabs>
                <w:tab w:val="left" w:pos="325"/>
              </w:tabs>
              <w:spacing w:after="0" w:line="240" w:lineRule="auto"/>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r>
      <w:tr w:rsidR="00875F5E" w:rsidRPr="00CD592E" w14:paraId="0CCA491B" w14:textId="77777777" w:rsidTr="00F11D91">
        <w:tc>
          <w:tcPr>
            <w:tcW w:w="3384" w:type="dxa"/>
            <w:tcBorders>
              <w:top w:val="single" w:sz="4" w:space="0" w:color="auto"/>
              <w:left w:val="single" w:sz="4" w:space="0" w:color="auto"/>
              <w:bottom w:val="single" w:sz="4" w:space="0" w:color="auto"/>
              <w:right w:val="single" w:sz="4" w:space="0" w:color="auto"/>
            </w:tcBorders>
            <w:hideMark/>
          </w:tcPr>
          <w:p w14:paraId="7520ADD5" w14:textId="77777777" w:rsidR="00875F5E" w:rsidRPr="00CD592E" w:rsidRDefault="00875F5E" w:rsidP="00875F5E">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A</w:t>
            </w:r>
          </w:p>
        </w:tc>
        <w:tc>
          <w:tcPr>
            <w:tcW w:w="3096" w:type="dxa"/>
            <w:tcBorders>
              <w:top w:val="single" w:sz="4" w:space="0" w:color="auto"/>
              <w:left w:val="single" w:sz="4" w:space="0" w:color="auto"/>
              <w:bottom w:val="single" w:sz="4" w:space="0" w:color="auto"/>
              <w:right w:val="single" w:sz="4" w:space="0" w:color="auto"/>
            </w:tcBorders>
            <w:hideMark/>
          </w:tcPr>
          <w:p w14:paraId="01B9B7FF" w14:textId="77777777" w:rsidR="00875F5E" w:rsidRPr="00CD592E" w:rsidRDefault="00875F5E" w:rsidP="00875F5E">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B</w:t>
            </w:r>
          </w:p>
        </w:tc>
        <w:tc>
          <w:tcPr>
            <w:tcW w:w="3160" w:type="dxa"/>
            <w:tcBorders>
              <w:top w:val="single" w:sz="4" w:space="0" w:color="auto"/>
              <w:left w:val="single" w:sz="4" w:space="0" w:color="auto"/>
              <w:bottom w:val="single" w:sz="4" w:space="0" w:color="auto"/>
              <w:right w:val="single" w:sz="4" w:space="0" w:color="auto"/>
            </w:tcBorders>
            <w:hideMark/>
          </w:tcPr>
          <w:p w14:paraId="4CD46F9A" w14:textId="77777777" w:rsidR="00875F5E" w:rsidRPr="00CD592E" w:rsidRDefault="00875F5E" w:rsidP="00875F5E">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C</w:t>
            </w:r>
          </w:p>
        </w:tc>
      </w:tr>
      <w:tr w:rsidR="00875F5E" w:rsidRPr="00CD592E" w14:paraId="0BB3EEC8" w14:textId="77777777" w:rsidTr="00F11D91">
        <w:tc>
          <w:tcPr>
            <w:tcW w:w="3384" w:type="dxa"/>
            <w:tcBorders>
              <w:top w:val="single" w:sz="4" w:space="0" w:color="auto"/>
              <w:left w:val="single" w:sz="4" w:space="0" w:color="auto"/>
              <w:bottom w:val="single" w:sz="4" w:space="0" w:color="auto"/>
              <w:right w:val="single" w:sz="4" w:space="0" w:color="auto"/>
            </w:tcBorders>
            <w:hideMark/>
          </w:tcPr>
          <w:p w14:paraId="47635957" w14:textId="77777777" w:rsidR="00875F5E" w:rsidRPr="00CD592E" w:rsidRDefault="00875F5E" w:rsidP="00875F5E">
            <w:pPr>
              <w:pStyle w:val="naiskr"/>
              <w:spacing w:before="0" w:beforeAutospacing="0" w:after="0" w:afterAutospacing="0"/>
              <w:jc w:val="center"/>
              <w:rPr>
                <w:rFonts w:eastAsiaTheme="minorHAnsi"/>
                <w:sz w:val="23"/>
                <w:szCs w:val="23"/>
                <w:lang w:eastAsia="en-US"/>
              </w:rPr>
            </w:pPr>
            <w:r w:rsidRPr="00CD592E">
              <w:rPr>
                <w:rFonts w:eastAsiaTheme="minorHAnsi"/>
                <w:sz w:val="23"/>
                <w:szCs w:val="23"/>
                <w:lang w:eastAsia="en-US"/>
              </w:rPr>
              <w:t>Starptautiskās saistības (pēc būtības), kas izriet no norādītā starptautiskā dokumenta.</w:t>
            </w:r>
          </w:p>
          <w:p w14:paraId="496731DA" w14:textId="77777777" w:rsidR="00875F5E" w:rsidRPr="00CD592E" w:rsidRDefault="00875F5E" w:rsidP="00875F5E">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16F04A78" w14:textId="77777777" w:rsidR="00875F5E" w:rsidRPr="00CD592E" w:rsidRDefault="00875F5E" w:rsidP="00875F5E">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60" w:type="dxa"/>
            <w:tcBorders>
              <w:top w:val="single" w:sz="4" w:space="0" w:color="auto"/>
              <w:left w:val="single" w:sz="4" w:space="0" w:color="auto"/>
              <w:bottom w:val="single" w:sz="4" w:space="0" w:color="auto"/>
              <w:right w:val="single" w:sz="4" w:space="0" w:color="auto"/>
            </w:tcBorders>
            <w:hideMark/>
          </w:tcPr>
          <w:p w14:paraId="1B65A201" w14:textId="77777777" w:rsidR="00875F5E" w:rsidRPr="00CD592E" w:rsidRDefault="00875F5E" w:rsidP="00875F5E">
            <w:pPr>
              <w:pStyle w:val="naiskr"/>
              <w:spacing w:before="0" w:beforeAutospacing="0" w:after="0" w:afterAutospacing="0"/>
              <w:jc w:val="center"/>
              <w:rPr>
                <w:rFonts w:eastAsiaTheme="minorHAnsi"/>
                <w:sz w:val="23"/>
                <w:szCs w:val="23"/>
                <w:lang w:eastAsia="en-US"/>
              </w:rPr>
            </w:pPr>
            <w:r w:rsidRPr="00CD592E">
              <w:rPr>
                <w:rFonts w:eastAsiaTheme="minorHAnsi"/>
                <w:sz w:val="23"/>
                <w:szCs w:val="23"/>
                <w:lang w:eastAsia="en-US"/>
              </w:rPr>
              <w:t>Informācija par to, vai starptautiskās saistības, kas minētas šīs tabulas A ailē, tiek izpildītas pilnībā vai daļēji.</w:t>
            </w:r>
          </w:p>
          <w:p w14:paraId="2504D3FC" w14:textId="77777777" w:rsidR="00875F5E" w:rsidRPr="00CD592E" w:rsidRDefault="00875F5E" w:rsidP="00875F5E">
            <w:pPr>
              <w:pStyle w:val="naiskr"/>
              <w:spacing w:before="0" w:beforeAutospacing="0" w:after="0" w:afterAutospacing="0"/>
              <w:jc w:val="center"/>
              <w:rPr>
                <w:rFonts w:eastAsiaTheme="minorHAnsi"/>
                <w:sz w:val="23"/>
                <w:szCs w:val="23"/>
                <w:lang w:eastAsia="en-US"/>
              </w:rPr>
            </w:pPr>
            <w:r w:rsidRPr="00CD592E">
              <w:rPr>
                <w:rFonts w:eastAsiaTheme="minorHAnsi"/>
                <w:sz w:val="23"/>
                <w:szCs w:val="23"/>
                <w:lang w:eastAsia="en-US"/>
              </w:rPr>
              <w:t>Ja attiecīgās starptautiskās saistības tiek izpildītas daļēji, sniedz attiecīgu skaidrojumu, kā arī precīzi norāda, kad un kādā veidā starptautiskās saistības tiks izpildītas pilnībā.</w:t>
            </w:r>
          </w:p>
          <w:p w14:paraId="4545394C" w14:textId="77777777" w:rsidR="00875F5E" w:rsidRPr="00CD592E" w:rsidRDefault="00875F5E" w:rsidP="00875F5E">
            <w:pPr>
              <w:spacing w:after="0" w:line="240" w:lineRule="auto"/>
              <w:jc w:val="center"/>
              <w:rPr>
                <w:rFonts w:ascii="Times New Roman" w:hAnsi="Times New Roman" w:cs="Times New Roman"/>
                <w:sz w:val="23"/>
                <w:szCs w:val="23"/>
              </w:rPr>
            </w:pPr>
            <w:r w:rsidRPr="00CD592E">
              <w:rPr>
                <w:rFonts w:ascii="Times New Roman" w:hAnsi="Times New Roman" w:cs="Times New Roman"/>
                <w:sz w:val="23"/>
                <w:szCs w:val="23"/>
              </w:rPr>
              <w:t>Norāda institūciju, kas ir atbildīga par šo saistību izpildi pilnībā</w:t>
            </w:r>
          </w:p>
        </w:tc>
      </w:tr>
      <w:tr w:rsidR="00875F5E" w:rsidRPr="00CD592E" w14:paraId="1FE04A82" w14:textId="77777777" w:rsidTr="00F11D91">
        <w:tc>
          <w:tcPr>
            <w:tcW w:w="3384" w:type="dxa"/>
            <w:tcBorders>
              <w:top w:val="single" w:sz="4" w:space="0" w:color="auto"/>
              <w:left w:val="single" w:sz="4" w:space="0" w:color="auto"/>
              <w:bottom w:val="single" w:sz="4" w:space="0" w:color="auto"/>
              <w:right w:val="single" w:sz="4" w:space="0" w:color="auto"/>
            </w:tcBorders>
            <w:hideMark/>
          </w:tcPr>
          <w:p w14:paraId="10DC1DCA" w14:textId="77777777" w:rsidR="00875F5E" w:rsidRPr="00CD592E" w:rsidRDefault="00875F5E"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676F8B86" w14:textId="77777777" w:rsidR="00875F5E" w:rsidRPr="00CD592E" w:rsidRDefault="00875F5E"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c>
          <w:tcPr>
            <w:tcW w:w="3160" w:type="dxa"/>
            <w:tcBorders>
              <w:top w:val="single" w:sz="4" w:space="0" w:color="auto"/>
              <w:left w:val="single" w:sz="4" w:space="0" w:color="auto"/>
              <w:bottom w:val="single" w:sz="4" w:space="0" w:color="auto"/>
              <w:right w:val="single" w:sz="4" w:space="0" w:color="auto"/>
            </w:tcBorders>
            <w:hideMark/>
          </w:tcPr>
          <w:p w14:paraId="3D4875E9" w14:textId="77777777" w:rsidR="00875F5E" w:rsidRPr="00CD592E" w:rsidRDefault="00875F5E"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r>
      <w:tr w:rsidR="00875F5E" w:rsidRPr="00CD592E" w14:paraId="1E04749C" w14:textId="77777777" w:rsidTr="00F11D91">
        <w:tc>
          <w:tcPr>
            <w:tcW w:w="3384" w:type="dxa"/>
            <w:tcBorders>
              <w:top w:val="single" w:sz="4" w:space="0" w:color="auto"/>
              <w:left w:val="single" w:sz="4" w:space="0" w:color="auto"/>
              <w:bottom w:val="single" w:sz="4" w:space="0" w:color="auto"/>
              <w:right w:val="single" w:sz="4" w:space="0" w:color="auto"/>
            </w:tcBorders>
            <w:hideMark/>
          </w:tcPr>
          <w:p w14:paraId="7A970F0D" w14:textId="77777777" w:rsidR="00875F5E" w:rsidRPr="00CD592E" w:rsidRDefault="00875F5E"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Vai starptautiskajā dokumentā paredzētās saistības nav pretrunā ar jau esošajām Latvijas Republikas starptautiskajām saistībām</w:t>
            </w:r>
          </w:p>
        </w:tc>
        <w:tc>
          <w:tcPr>
            <w:tcW w:w="6256" w:type="dxa"/>
            <w:gridSpan w:val="2"/>
            <w:tcBorders>
              <w:top w:val="single" w:sz="4" w:space="0" w:color="auto"/>
              <w:left w:val="single" w:sz="4" w:space="0" w:color="auto"/>
              <w:bottom w:val="single" w:sz="4" w:space="0" w:color="auto"/>
              <w:right w:val="single" w:sz="4" w:space="0" w:color="auto"/>
            </w:tcBorders>
            <w:hideMark/>
          </w:tcPr>
          <w:p w14:paraId="10295DE9" w14:textId="77777777" w:rsidR="00875F5E" w:rsidRPr="00CD592E" w:rsidRDefault="00875F5E"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MK noteikumu projekts šo jomu neskar.</w:t>
            </w:r>
          </w:p>
        </w:tc>
      </w:tr>
      <w:tr w:rsidR="00875F5E" w:rsidRPr="00CD592E" w14:paraId="2108DBB5" w14:textId="77777777" w:rsidTr="00F11D91">
        <w:tc>
          <w:tcPr>
            <w:tcW w:w="3384" w:type="dxa"/>
            <w:tcBorders>
              <w:top w:val="single" w:sz="4" w:space="0" w:color="auto"/>
              <w:left w:val="single" w:sz="4" w:space="0" w:color="auto"/>
              <w:bottom w:val="single" w:sz="4" w:space="0" w:color="auto"/>
              <w:right w:val="single" w:sz="4" w:space="0" w:color="auto"/>
            </w:tcBorders>
            <w:hideMark/>
          </w:tcPr>
          <w:p w14:paraId="2BFA4AA8" w14:textId="77777777" w:rsidR="00875F5E" w:rsidRPr="00CD592E" w:rsidRDefault="00875F5E"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Cita informācija</w:t>
            </w:r>
          </w:p>
        </w:tc>
        <w:tc>
          <w:tcPr>
            <w:tcW w:w="6256" w:type="dxa"/>
            <w:gridSpan w:val="2"/>
            <w:tcBorders>
              <w:top w:val="single" w:sz="4" w:space="0" w:color="auto"/>
              <w:left w:val="single" w:sz="4" w:space="0" w:color="auto"/>
              <w:bottom w:val="single" w:sz="4" w:space="0" w:color="auto"/>
              <w:right w:val="single" w:sz="4" w:space="0" w:color="auto"/>
            </w:tcBorders>
            <w:hideMark/>
          </w:tcPr>
          <w:p w14:paraId="3C0EDB89" w14:textId="77777777" w:rsidR="00875F5E" w:rsidRPr="00CD592E" w:rsidRDefault="00875F5E"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Nav.</w:t>
            </w:r>
          </w:p>
        </w:tc>
      </w:tr>
    </w:tbl>
    <w:p w14:paraId="32BA4377" w14:textId="77777777" w:rsidR="00875F5E" w:rsidRPr="00CD592E" w:rsidRDefault="00875F5E" w:rsidP="00875F5E">
      <w:pPr>
        <w:spacing w:after="0" w:line="240" w:lineRule="auto"/>
        <w:rPr>
          <w:rFonts w:ascii="Times New Roman" w:hAnsi="Times New Roman" w:cs="Times New Roman"/>
          <w:sz w:val="23"/>
          <w:szCs w:val="23"/>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044"/>
        <w:gridCol w:w="6206"/>
      </w:tblGrid>
      <w:tr w:rsidR="00CA0D50" w:rsidRPr="00CD592E" w14:paraId="19766C35" w14:textId="77777777" w:rsidTr="00CA0D50">
        <w:trPr>
          <w:trHeight w:val="421"/>
          <w:jc w:val="center"/>
        </w:trPr>
        <w:tc>
          <w:tcPr>
            <w:tcW w:w="9671" w:type="dxa"/>
            <w:gridSpan w:val="3"/>
            <w:vAlign w:val="center"/>
          </w:tcPr>
          <w:p w14:paraId="6356F15D" w14:textId="77777777" w:rsidR="00CA0D50" w:rsidRPr="00CD592E" w:rsidRDefault="00CA0D50" w:rsidP="00875F5E">
            <w:pPr>
              <w:pStyle w:val="naisnod"/>
              <w:spacing w:before="0" w:beforeAutospacing="0" w:after="0" w:afterAutospacing="0"/>
              <w:ind w:left="57" w:right="57"/>
              <w:jc w:val="center"/>
              <w:rPr>
                <w:rFonts w:eastAsiaTheme="minorHAnsi"/>
                <w:b/>
                <w:sz w:val="23"/>
                <w:szCs w:val="23"/>
                <w:lang w:eastAsia="en-US"/>
              </w:rPr>
            </w:pPr>
            <w:r w:rsidRPr="00CD592E">
              <w:rPr>
                <w:rFonts w:eastAsiaTheme="minorHAnsi"/>
                <w:b/>
                <w:sz w:val="23"/>
                <w:szCs w:val="23"/>
                <w:lang w:eastAsia="en-US"/>
              </w:rPr>
              <w:t>VI. Sabiedrības līdzdalība un komunikācijas aktivitātes</w:t>
            </w:r>
          </w:p>
        </w:tc>
      </w:tr>
      <w:tr w:rsidR="00CA0D50" w:rsidRPr="00CD592E" w14:paraId="1FC09178" w14:textId="77777777" w:rsidTr="00CA0D50">
        <w:trPr>
          <w:trHeight w:val="553"/>
          <w:jc w:val="center"/>
        </w:trPr>
        <w:tc>
          <w:tcPr>
            <w:tcW w:w="421" w:type="dxa"/>
          </w:tcPr>
          <w:p w14:paraId="6F21E48C" w14:textId="77777777" w:rsidR="00CA0D50" w:rsidRPr="00CD592E" w:rsidRDefault="00CA0D50" w:rsidP="00875F5E">
            <w:pPr>
              <w:spacing w:after="0" w:line="240" w:lineRule="auto"/>
              <w:ind w:left="57" w:right="57"/>
              <w:jc w:val="both"/>
              <w:rPr>
                <w:rFonts w:ascii="Times New Roman" w:hAnsi="Times New Roman" w:cs="Times New Roman"/>
                <w:sz w:val="23"/>
                <w:szCs w:val="23"/>
              </w:rPr>
            </w:pPr>
            <w:r w:rsidRPr="00CD592E">
              <w:rPr>
                <w:rFonts w:ascii="Times New Roman" w:hAnsi="Times New Roman" w:cs="Times New Roman"/>
                <w:sz w:val="23"/>
                <w:szCs w:val="23"/>
              </w:rPr>
              <w:t>1.</w:t>
            </w:r>
          </w:p>
        </w:tc>
        <w:tc>
          <w:tcPr>
            <w:tcW w:w="3044" w:type="dxa"/>
          </w:tcPr>
          <w:p w14:paraId="0249D104" w14:textId="77777777" w:rsidR="00CA0D50" w:rsidRPr="00CD592E" w:rsidRDefault="00CA0D50" w:rsidP="00875F5E">
            <w:pPr>
              <w:tabs>
                <w:tab w:val="left" w:pos="170"/>
              </w:tabs>
              <w:spacing w:after="0" w:line="240" w:lineRule="auto"/>
              <w:ind w:left="57" w:right="57"/>
              <w:rPr>
                <w:rFonts w:ascii="Times New Roman" w:hAnsi="Times New Roman" w:cs="Times New Roman"/>
                <w:sz w:val="23"/>
                <w:szCs w:val="23"/>
              </w:rPr>
            </w:pPr>
            <w:r w:rsidRPr="00CD592E">
              <w:rPr>
                <w:rFonts w:ascii="Times New Roman" w:hAnsi="Times New Roman" w:cs="Times New Roman"/>
                <w:sz w:val="23"/>
                <w:szCs w:val="23"/>
              </w:rPr>
              <w:t>Plānotās sabiedrības līdzdalības un komunikācijas aktivitātes saistībā ar projektu</w:t>
            </w:r>
          </w:p>
        </w:tc>
        <w:tc>
          <w:tcPr>
            <w:tcW w:w="6206" w:type="dxa"/>
          </w:tcPr>
          <w:p w14:paraId="64E42732" w14:textId="77777777" w:rsidR="00CA0D50" w:rsidRPr="00CD592E" w:rsidRDefault="00CA0D50" w:rsidP="00875F5E">
            <w:pPr>
              <w:shd w:val="clear" w:color="auto" w:fill="FFFFFF"/>
              <w:spacing w:after="0" w:line="240" w:lineRule="auto"/>
              <w:ind w:left="57" w:right="113"/>
              <w:jc w:val="both"/>
              <w:rPr>
                <w:rFonts w:ascii="Times New Roman" w:hAnsi="Times New Roman" w:cs="Times New Roman"/>
                <w:sz w:val="23"/>
                <w:szCs w:val="23"/>
              </w:rPr>
            </w:pPr>
            <w:bookmarkStart w:id="2" w:name="p61"/>
            <w:bookmarkEnd w:id="2"/>
            <w:r w:rsidRPr="00CD592E">
              <w:rPr>
                <w:rFonts w:ascii="Times New Roman" w:hAnsi="Times New Roman" w:cs="Times New Roman"/>
                <w:sz w:val="23"/>
                <w:szCs w:val="23"/>
              </w:rPr>
              <w:t>MK noteikumu projekts šo jomu neskar.</w:t>
            </w:r>
          </w:p>
        </w:tc>
      </w:tr>
      <w:tr w:rsidR="00CA0D50" w:rsidRPr="00CD592E" w14:paraId="28DCBD95" w14:textId="77777777" w:rsidTr="00CA0D50">
        <w:trPr>
          <w:trHeight w:val="339"/>
          <w:jc w:val="center"/>
        </w:trPr>
        <w:tc>
          <w:tcPr>
            <w:tcW w:w="421" w:type="dxa"/>
          </w:tcPr>
          <w:p w14:paraId="39996D14" w14:textId="77777777" w:rsidR="00CA0D50" w:rsidRPr="00CD592E" w:rsidRDefault="00CA0D50" w:rsidP="00875F5E">
            <w:pPr>
              <w:spacing w:after="0" w:line="240" w:lineRule="auto"/>
              <w:ind w:left="57" w:right="57"/>
              <w:jc w:val="both"/>
              <w:rPr>
                <w:rFonts w:ascii="Times New Roman" w:hAnsi="Times New Roman" w:cs="Times New Roman"/>
                <w:sz w:val="23"/>
                <w:szCs w:val="23"/>
              </w:rPr>
            </w:pPr>
            <w:r w:rsidRPr="00CD592E">
              <w:rPr>
                <w:rFonts w:ascii="Times New Roman" w:hAnsi="Times New Roman" w:cs="Times New Roman"/>
                <w:sz w:val="23"/>
                <w:szCs w:val="23"/>
              </w:rPr>
              <w:t>2.</w:t>
            </w:r>
          </w:p>
        </w:tc>
        <w:tc>
          <w:tcPr>
            <w:tcW w:w="3044" w:type="dxa"/>
          </w:tcPr>
          <w:p w14:paraId="4DFA72DA" w14:textId="77777777" w:rsidR="00CA0D50" w:rsidRPr="00CD592E" w:rsidRDefault="00CA0D50" w:rsidP="00875F5E">
            <w:pPr>
              <w:spacing w:after="0" w:line="240" w:lineRule="auto"/>
              <w:ind w:left="57" w:right="57"/>
              <w:rPr>
                <w:rFonts w:ascii="Times New Roman" w:hAnsi="Times New Roman" w:cs="Times New Roman"/>
                <w:sz w:val="23"/>
                <w:szCs w:val="23"/>
              </w:rPr>
            </w:pPr>
            <w:r w:rsidRPr="00CD592E">
              <w:rPr>
                <w:rFonts w:ascii="Times New Roman" w:hAnsi="Times New Roman" w:cs="Times New Roman"/>
                <w:sz w:val="23"/>
                <w:szCs w:val="23"/>
              </w:rPr>
              <w:t>Sabiedrības līdzdalība projekta izstrādē</w:t>
            </w:r>
          </w:p>
        </w:tc>
        <w:tc>
          <w:tcPr>
            <w:tcW w:w="6206" w:type="dxa"/>
          </w:tcPr>
          <w:p w14:paraId="7672B027" w14:textId="5667DD88" w:rsidR="00CA0D50" w:rsidRPr="00CD592E" w:rsidRDefault="00856AF9" w:rsidP="00875F5E">
            <w:pPr>
              <w:shd w:val="clear" w:color="auto" w:fill="FFFFFF"/>
              <w:spacing w:after="0" w:line="240" w:lineRule="auto"/>
              <w:ind w:left="79" w:right="93"/>
              <w:jc w:val="both"/>
              <w:rPr>
                <w:rFonts w:ascii="Times New Roman" w:hAnsi="Times New Roman" w:cs="Times New Roman"/>
                <w:sz w:val="23"/>
                <w:szCs w:val="23"/>
              </w:rPr>
            </w:pPr>
            <w:bookmarkStart w:id="3" w:name="p62"/>
            <w:bookmarkEnd w:id="3"/>
            <w:r w:rsidRPr="00CD592E">
              <w:rPr>
                <w:rFonts w:ascii="Times New Roman" w:hAnsi="Times New Roman" w:cs="Times New Roman"/>
                <w:sz w:val="23"/>
                <w:szCs w:val="23"/>
              </w:rPr>
              <w:t xml:space="preserve">Sabiedrības līdzdalība MK noteikumu projekta izstrādē tika nodrošināta, ievietojot MK noteikumu projektu Labklājības ministrijas tīmekļa vietnē </w:t>
            </w:r>
            <w:hyperlink r:id="rId8" w:history="1">
              <w:r w:rsidRPr="00CD592E">
                <w:rPr>
                  <w:rFonts w:ascii="Times New Roman" w:hAnsi="Times New Roman" w:cs="Times New Roman"/>
                  <w:sz w:val="23"/>
                  <w:szCs w:val="23"/>
                  <w:u w:val="single"/>
                </w:rPr>
                <w:t>www.lm.gov.lv</w:t>
              </w:r>
            </w:hyperlink>
            <w:r w:rsidRPr="00CD592E">
              <w:rPr>
                <w:rFonts w:ascii="Times New Roman" w:hAnsi="Times New Roman" w:cs="Times New Roman"/>
                <w:sz w:val="23"/>
                <w:szCs w:val="23"/>
              </w:rPr>
              <w:t xml:space="preserve"> un aicinot sabiedrības pārstāvjus sniegt viedokli.</w:t>
            </w:r>
          </w:p>
        </w:tc>
      </w:tr>
      <w:tr w:rsidR="00CA0D50" w:rsidRPr="00CD592E" w14:paraId="3D654853" w14:textId="77777777" w:rsidTr="00CA0D50">
        <w:trPr>
          <w:trHeight w:val="476"/>
          <w:jc w:val="center"/>
        </w:trPr>
        <w:tc>
          <w:tcPr>
            <w:tcW w:w="421" w:type="dxa"/>
          </w:tcPr>
          <w:p w14:paraId="3761C8E2" w14:textId="77777777" w:rsidR="00CA0D50" w:rsidRPr="00CD592E" w:rsidRDefault="00CA0D50" w:rsidP="00875F5E">
            <w:pPr>
              <w:spacing w:after="0" w:line="240" w:lineRule="auto"/>
              <w:ind w:left="57" w:right="57"/>
              <w:jc w:val="both"/>
              <w:rPr>
                <w:rFonts w:ascii="Times New Roman" w:hAnsi="Times New Roman" w:cs="Times New Roman"/>
                <w:sz w:val="23"/>
                <w:szCs w:val="23"/>
              </w:rPr>
            </w:pPr>
            <w:r w:rsidRPr="00CD592E">
              <w:rPr>
                <w:rFonts w:ascii="Times New Roman" w:hAnsi="Times New Roman" w:cs="Times New Roman"/>
                <w:sz w:val="23"/>
                <w:szCs w:val="23"/>
              </w:rPr>
              <w:t>3.</w:t>
            </w:r>
          </w:p>
        </w:tc>
        <w:tc>
          <w:tcPr>
            <w:tcW w:w="3044" w:type="dxa"/>
          </w:tcPr>
          <w:p w14:paraId="3D645214" w14:textId="77777777" w:rsidR="00CA0D50" w:rsidRPr="00CD592E" w:rsidRDefault="00CA0D50" w:rsidP="00875F5E">
            <w:pPr>
              <w:spacing w:after="0" w:line="240" w:lineRule="auto"/>
              <w:ind w:left="57" w:right="57"/>
              <w:rPr>
                <w:rFonts w:ascii="Times New Roman" w:hAnsi="Times New Roman" w:cs="Times New Roman"/>
                <w:sz w:val="23"/>
                <w:szCs w:val="23"/>
              </w:rPr>
            </w:pPr>
            <w:r w:rsidRPr="00CD592E">
              <w:rPr>
                <w:rFonts w:ascii="Times New Roman" w:hAnsi="Times New Roman" w:cs="Times New Roman"/>
                <w:sz w:val="23"/>
                <w:szCs w:val="23"/>
              </w:rPr>
              <w:t>Sabiedrības līdzdalības rezultāti</w:t>
            </w:r>
          </w:p>
        </w:tc>
        <w:tc>
          <w:tcPr>
            <w:tcW w:w="6206" w:type="dxa"/>
          </w:tcPr>
          <w:p w14:paraId="4CADAA26" w14:textId="77777777" w:rsidR="00CA0D50" w:rsidRPr="00CD592E" w:rsidRDefault="00CA0D50" w:rsidP="00875F5E">
            <w:pPr>
              <w:shd w:val="clear" w:color="auto" w:fill="FFFFFF"/>
              <w:spacing w:after="0" w:line="240" w:lineRule="auto"/>
              <w:ind w:left="57" w:right="113"/>
              <w:jc w:val="both"/>
              <w:rPr>
                <w:rFonts w:ascii="Times New Roman" w:hAnsi="Times New Roman" w:cs="Times New Roman"/>
                <w:sz w:val="23"/>
                <w:szCs w:val="23"/>
              </w:rPr>
            </w:pPr>
            <w:r w:rsidRPr="00CD592E">
              <w:rPr>
                <w:rFonts w:ascii="Times New Roman" w:hAnsi="Times New Roman" w:cs="Times New Roman"/>
                <w:sz w:val="23"/>
                <w:szCs w:val="23"/>
              </w:rPr>
              <w:t>Nav.</w:t>
            </w:r>
          </w:p>
        </w:tc>
      </w:tr>
      <w:tr w:rsidR="00CA0D50" w:rsidRPr="00CD592E" w14:paraId="2AD019F3" w14:textId="77777777" w:rsidTr="00CA0D50">
        <w:trPr>
          <w:trHeight w:val="476"/>
          <w:jc w:val="center"/>
        </w:trPr>
        <w:tc>
          <w:tcPr>
            <w:tcW w:w="421" w:type="dxa"/>
          </w:tcPr>
          <w:p w14:paraId="71946DCB" w14:textId="77777777" w:rsidR="00CA0D50" w:rsidRPr="00CD592E" w:rsidRDefault="00CA0D50" w:rsidP="00875F5E">
            <w:pPr>
              <w:spacing w:after="0" w:line="240" w:lineRule="auto"/>
              <w:ind w:left="57" w:right="57"/>
              <w:jc w:val="both"/>
              <w:rPr>
                <w:rFonts w:ascii="Times New Roman" w:hAnsi="Times New Roman" w:cs="Times New Roman"/>
                <w:sz w:val="23"/>
                <w:szCs w:val="23"/>
              </w:rPr>
            </w:pPr>
            <w:r w:rsidRPr="00CD592E">
              <w:rPr>
                <w:rFonts w:ascii="Times New Roman" w:hAnsi="Times New Roman" w:cs="Times New Roman"/>
                <w:sz w:val="23"/>
                <w:szCs w:val="23"/>
              </w:rPr>
              <w:t>4.</w:t>
            </w:r>
          </w:p>
        </w:tc>
        <w:tc>
          <w:tcPr>
            <w:tcW w:w="3044" w:type="dxa"/>
          </w:tcPr>
          <w:p w14:paraId="6644F62F" w14:textId="77777777" w:rsidR="00CA0D50" w:rsidRPr="00CD592E" w:rsidRDefault="00CA0D50" w:rsidP="00875F5E">
            <w:pPr>
              <w:spacing w:after="0" w:line="240" w:lineRule="auto"/>
              <w:ind w:left="57" w:right="57"/>
              <w:rPr>
                <w:rFonts w:ascii="Times New Roman" w:hAnsi="Times New Roman" w:cs="Times New Roman"/>
                <w:sz w:val="23"/>
                <w:szCs w:val="23"/>
              </w:rPr>
            </w:pPr>
            <w:r w:rsidRPr="00CD592E">
              <w:rPr>
                <w:rFonts w:ascii="Times New Roman" w:hAnsi="Times New Roman" w:cs="Times New Roman"/>
                <w:sz w:val="23"/>
                <w:szCs w:val="23"/>
              </w:rPr>
              <w:t>Cita informācija</w:t>
            </w:r>
          </w:p>
        </w:tc>
        <w:tc>
          <w:tcPr>
            <w:tcW w:w="6206" w:type="dxa"/>
          </w:tcPr>
          <w:p w14:paraId="7EA56993" w14:textId="77777777" w:rsidR="00CA0D50" w:rsidRPr="00CD592E" w:rsidRDefault="00CA0D50" w:rsidP="00875F5E">
            <w:pPr>
              <w:spacing w:after="0" w:line="240" w:lineRule="auto"/>
              <w:ind w:left="57" w:right="113"/>
              <w:jc w:val="both"/>
              <w:rPr>
                <w:rFonts w:ascii="Times New Roman" w:hAnsi="Times New Roman" w:cs="Times New Roman"/>
                <w:sz w:val="23"/>
                <w:szCs w:val="23"/>
              </w:rPr>
            </w:pPr>
            <w:r w:rsidRPr="00CD592E">
              <w:rPr>
                <w:rFonts w:ascii="Times New Roman" w:hAnsi="Times New Roman" w:cs="Times New Roman"/>
                <w:sz w:val="23"/>
                <w:szCs w:val="23"/>
              </w:rPr>
              <w:t>Nav.</w:t>
            </w:r>
          </w:p>
        </w:tc>
      </w:tr>
    </w:tbl>
    <w:p w14:paraId="4C07D3D8" w14:textId="77777777" w:rsidR="00CA0D50" w:rsidRPr="00CD592E" w:rsidRDefault="00CA0D50" w:rsidP="00875F5E">
      <w:pPr>
        <w:spacing w:after="0" w:line="240" w:lineRule="auto"/>
        <w:rPr>
          <w:rFonts w:ascii="Times New Roman" w:hAnsi="Times New Roman" w:cs="Times New Roman"/>
          <w:sz w:val="23"/>
          <w:szCs w:val="23"/>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976"/>
        <w:gridCol w:w="6268"/>
      </w:tblGrid>
      <w:tr w:rsidR="00CC1A56" w:rsidRPr="00CD592E" w14:paraId="621941AE" w14:textId="77777777" w:rsidTr="0089655E">
        <w:trPr>
          <w:trHeight w:val="381"/>
          <w:jc w:val="center"/>
        </w:trPr>
        <w:tc>
          <w:tcPr>
            <w:tcW w:w="9665" w:type="dxa"/>
            <w:gridSpan w:val="3"/>
            <w:vAlign w:val="center"/>
          </w:tcPr>
          <w:p w14:paraId="5898343F" w14:textId="049142DD" w:rsidR="00CC1A56" w:rsidRPr="00CD592E" w:rsidRDefault="002F7324" w:rsidP="00875F5E">
            <w:pPr>
              <w:pStyle w:val="naisnod"/>
              <w:spacing w:before="0" w:beforeAutospacing="0" w:after="0" w:afterAutospacing="0"/>
              <w:ind w:left="57" w:right="57"/>
              <w:jc w:val="center"/>
              <w:rPr>
                <w:sz w:val="23"/>
                <w:szCs w:val="23"/>
              </w:rPr>
            </w:pPr>
            <w:r w:rsidRPr="00CD592E">
              <w:rPr>
                <w:b/>
                <w:sz w:val="23"/>
                <w:szCs w:val="23"/>
              </w:rPr>
              <w:t>V</w:t>
            </w:r>
            <w:r w:rsidR="008D0993" w:rsidRPr="00CD592E">
              <w:rPr>
                <w:b/>
                <w:sz w:val="23"/>
                <w:szCs w:val="23"/>
              </w:rPr>
              <w:t>II</w:t>
            </w:r>
            <w:r w:rsidR="00CC1A56" w:rsidRPr="00CD592E">
              <w:rPr>
                <w:b/>
                <w:sz w:val="23"/>
                <w:szCs w:val="23"/>
              </w:rPr>
              <w:t>. Tiesību akta projekta izpildes nodrošināšana un tās ietekme uz institūcijām</w:t>
            </w:r>
          </w:p>
        </w:tc>
      </w:tr>
      <w:tr w:rsidR="00CC1A56" w:rsidRPr="00CD592E" w14:paraId="09EAE2BA" w14:textId="77777777" w:rsidTr="00CA0D50">
        <w:trPr>
          <w:trHeight w:val="427"/>
          <w:jc w:val="center"/>
        </w:trPr>
        <w:tc>
          <w:tcPr>
            <w:tcW w:w="421" w:type="dxa"/>
          </w:tcPr>
          <w:p w14:paraId="7DF9A685" w14:textId="77777777" w:rsidR="00CC1A56" w:rsidRPr="00CD592E" w:rsidRDefault="00CC1A56" w:rsidP="00875F5E">
            <w:pPr>
              <w:pStyle w:val="naisnod"/>
              <w:spacing w:before="0" w:beforeAutospacing="0" w:after="0" w:afterAutospacing="0"/>
              <w:ind w:left="57" w:right="57"/>
              <w:jc w:val="both"/>
              <w:rPr>
                <w:sz w:val="23"/>
                <w:szCs w:val="23"/>
              </w:rPr>
            </w:pPr>
            <w:r w:rsidRPr="00CD592E">
              <w:rPr>
                <w:sz w:val="23"/>
                <w:szCs w:val="23"/>
              </w:rPr>
              <w:t>1.</w:t>
            </w:r>
          </w:p>
        </w:tc>
        <w:tc>
          <w:tcPr>
            <w:tcW w:w="2976" w:type="dxa"/>
          </w:tcPr>
          <w:p w14:paraId="6D763540" w14:textId="77777777" w:rsidR="00CC1A56" w:rsidRPr="00CD592E" w:rsidRDefault="00CC1A56" w:rsidP="00875F5E">
            <w:pPr>
              <w:pStyle w:val="naisf"/>
              <w:spacing w:before="0" w:beforeAutospacing="0" w:after="0" w:afterAutospacing="0"/>
              <w:ind w:left="57" w:right="57"/>
              <w:rPr>
                <w:sz w:val="23"/>
                <w:szCs w:val="23"/>
              </w:rPr>
            </w:pPr>
            <w:r w:rsidRPr="00CD592E">
              <w:rPr>
                <w:sz w:val="23"/>
                <w:szCs w:val="23"/>
              </w:rPr>
              <w:t>Projekta izpildē iesaistītās institūcijas</w:t>
            </w:r>
          </w:p>
        </w:tc>
        <w:tc>
          <w:tcPr>
            <w:tcW w:w="6268" w:type="dxa"/>
          </w:tcPr>
          <w:p w14:paraId="6AE5B8AE" w14:textId="2439CDB1" w:rsidR="00CC1A56" w:rsidRPr="00CD592E" w:rsidRDefault="00674496" w:rsidP="00875F5E">
            <w:pPr>
              <w:shd w:val="clear" w:color="auto" w:fill="FFFFFF"/>
              <w:spacing w:after="0" w:line="240" w:lineRule="auto"/>
              <w:ind w:left="57" w:right="113"/>
              <w:jc w:val="both"/>
              <w:rPr>
                <w:rFonts w:ascii="Times New Roman" w:hAnsi="Times New Roman" w:cs="Times New Roman"/>
                <w:sz w:val="23"/>
                <w:szCs w:val="23"/>
                <w:lang w:eastAsia="lv-LV"/>
              </w:rPr>
            </w:pPr>
            <w:bookmarkStart w:id="4" w:name="p66"/>
            <w:bookmarkStart w:id="5" w:name="p67"/>
            <w:bookmarkStart w:id="6" w:name="p68"/>
            <w:bookmarkStart w:id="7" w:name="p69"/>
            <w:bookmarkEnd w:id="4"/>
            <w:bookmarkEnd w:id="5"/>
            <w:bookmarkEnd w:id="6"/>
            <w:bookmarkEnd w:id="7"/>
            <w:r w:rsidRPr="00CD592E">
              <w:rPr>
                <w:rFonts w:ascii="Times New Roman" w:hAnsi="Times New Roman" w:cs="Times New Roman"/>
                <w:sz w:val="23"/>
                <w:szCs w:val="23"/>
              </w:rPr>
              <w:t xml:space="preserve">Labklājības ministrija kā </w:t>
            </w:r>
            <w:r w:rsidR="00A578DC" w:rsidRPr="00CD592E">
              <w:rPr>
                <w:rFonts w:ascii="Times New Roman" w:hAnsi="Times New Roman" w:cs="Times New Roman"/>
                <w:sz w:val="23"/>
                <w:szCs w:val="23"/>
              </w:rPr>
              <w:t>atbildīgā iestāde</w:t>
            </w:r>
            <w:r w:rsidR="00F21C20" w:rsidRPr="00CD592E">
              <w:rPr>
                <w:rFonts w:ascii="Times New Roman" w:hAnsi="Times New Roman" w:cs="Times New Roman"/>
                <w:sz w:val="23"/>
                <w:szCs w:val="23"/>
              </w:rPr>
              <w:t xml:space="preserve">, </w:t>
            </w:r>
            <w:r w:rsidR="00475EDD" w:rsidRPr="00CD592E">
              <w:rPr>
                <w:rFonts w:ascii="Times New Roman" w:hAnsi="Times New Roman" w:cs="Times New Roman"/>
                <w:sz w:val="23"/>
                <w:szCs w:val="23"/>
              </w:rPr>
              <w:t xml:space="preserve">Centrālā finanšu un līgumu aģentūra kā sadarbības iestāde un </w:t>
            </w:r>
            <w:r w:rsidR="004678F1" w:rsidRPr="00CD592E">
              <w:rPr>
                <w:rFonts w:ascii="Times New Roman" w:hAnsi="Times New Roman" w:cs="Times New Roman"/>
                <w:sz w:val="23"/>
                <w:szCs w:val="23"/>
              </w:rPr>
              <w:t>Nodarbinātības valsts aģentūra</w:t>
            </w:r>
            <w:r w:rsidR="00F21C20" w:rsidRPr="00CD592E">
              <w:rPr>
                <w:rFonts w:ascii="Times New Roman" w:hAnsi="Times New Roman" w:cs="Times New Roman"/>
                <w:sz w:val="23"/>
                <w:szCs w:val="23"/>
              </w:rPr>
              <w:t xml:space="preserve"> kā </w:t>
            </w:r>
            <w:r w:rsidR="008829D4" w:rsidRPr="00CD592E">
              <w:rPr>
                <w:rFonts w:ascii="Times New Roman" w:hAnsi="Times New Roman" w:cs="Times New Roman"/>
                <w:sz w:val="23"/>
                <w:szCs w:val="23"/>
              </w:rPr>
              <w:t>ES</w:t>
            </w:r>
            <w:r w:rsidR="00F21C20" w:rsidRPr="00CD592E">
              <w:rPr>
                <w:rFonts w:ascii="Times New Roman" w:hAnsi="Times New Roman" w:cs="Times New Roman"/>
                <w:sz w:val="23"/>
                <w:szCs w:val="23"/>
              </w:rPr>
              <w:t xml:space="preserve"> fondu finansējuma saņēmējs.</w:t>
            </w:r>
          </w:p>
        </w:tc>
      </w:tr>
      <w:tr w:rsidR="00CC1A56" w:rsidRPr="00CD592E" w14:paraId="3510445C" w14:textId="77777777" w:rsidTr="00CA0D50">
        <w:trPr>
          <w:trHeight w:val="463"/>
          <w:jc w:val="center"/>
        </w:trPr>
        <w:tc>
          <w:tcPr>
            <w:tcW w:w="421" w:type="dxa"/>
          </w:tcPr>
          <w:p w14:paraId="1308A242" w14:textId="77777777" w:rsidR="00CC1A56" w:rsidRPr="00CD592E" w:rsidRDefault="00CC1A56" w:rsidP="00875F5E">
            <w:pPr>
              <w:pStyle w:val="naisnod"/>
              <w:spacing w:before="0" w:beforeAutospacing="0" w:after="0" w:afterAutospacing="0"/>
              <w:ind w:left="57" w:right="57"/>
              <w:jc w:val="both"/>
              <w:rPr>
                <w:sz w:val="23"/>
                <w:szCs w:val="23"/>
              </w:rPr>
            </w:pPr>
            <w:r w:rsidRPr="00CD592E">
              <w:rPr>
                <w:sz w:val="23"/>
                <w:szCs w:val="23"/>
              </w:rPr>
              <w:t>2.</w:t>
            </w:r>
          </w:p>
        </w:tc>
        <w:tc>
          <w:tcPr>
            <w:tcW w:w="2976" w:type="dxa"/>
          </w:tcPr>
          <w:p w14:paraId="4D4589A7" w14:textId="77777777" w:rsidR="00CC1A56" w:rsidRPr="00CD592E" w:rsidRDefault="00CC1A56" w:rsidP="00875F5E">
            <w:pPr>
              <w:pStyle w:val="naisf"/>
              <w:spacing w:before="0" w:beforeAutospacing="0" w:after="0" w:afterAutospacing="0"/>
              <w:ind w:left="57" w:right="57"/>
              <w:rPr>
                <w:sz w:val="23"/>
                <w:szCs w:val="23"/>
              </w:rPr>
            </w:pPr>
            <w:r w:rsidRPr="00CD592E">
              <w:rPr>
                <w:sz w:val="23"/>
                <w:szCs w:val="23"/>
              </w:rPr>
              <w:t>Projekta izpildes ietekme uz pār</w:t>
            </w:r>
            <w:r w:rsidRPr="00CD592E">
              <w:rPr>
                <w:sz w:val="23"/>
                <w:szCs w:val="23"/>
              </w:rPr>
              <w:softHyphen/>
              <w:t>valdes funkcijām un institucionālo struktūru.</w:t>
            </w:r>
          </w:p>
          <w:p w14:paraId="7FBEB709" w14:textId="77777777" w:rsidR="00CC1A56" w:rsidRPr="00CD592E" w:rsidRDefault="00CC1A56" w:rsidP="00875F5E">
            <w:pPr>
              <w:pStyle w:val="naisf"/>
              <w:spacing w:before="0" w:beforeAutospacing="0" w:after="0" w:afterAutospacing="0"/>
              <w:ind w:left="57" w:right="57"/>
              <w:rPr>
                <w:sz w:val="23"/>
                <w:szCs w:val="23"/>
              </w:rPr>
            </w:pPr>
            <w:r w:rsidRPr="00CD592E">
              <w:rPr>
                <w:sz w:val="23"/>
                <w:szCs w:val="23"/>
              </w:rPr>
              <w:t>Jaunu institūciju izveide, esošu institūciju likvidācija vai reorga</w:t>
            </w:r>
            <w:r w:rsidRPr="00CD592E">
              <w:rPr>
                <w:sz w:val="23"/>
                <w:szCs w:val="23"/>
              </w:rPr>
              <w:softHyphen/>
              <w:t>nizācija, to ietekme uz institūcijas cilvēkresursiem</w:t>
            </w:r>
          </w:p>
        </w:tc>
        <w:tc>
          <w:tcPr>
            <w:tcW w:w="6268" w:type="dxa"/>
          </w:tcPr>
          <w:p w14:paraId="5280DFA3" w14:textId="77777777" w:rsidR="00CC1A56" w:rsidRPr="00CD592E" w:rsidRDefault="00232033" w:rsidP="00875F5E">
            <w:pPr>
              <w:shd w:val="clear" w:color="auto" w:fill="FFFFFF"/>
              <w:spacing w:after="0" w:line="240" w:lineRule="auto"/>
              <w:ind w:left="57" w:right="113"/>
              <w:jc w:val="both"/>
              <w:rPr>
                <w:rFonts w:ascii="Times New Roman" w:hAnsi="Times New Roman" w:cs="Times New Roman"/>
                <w:sz w:val="23"/>
                <w:szCs w:val="23"/>
                <w:lang w:eastAsia="lv-LV"/>
              </w:rPr>
            </w:pPr>
            <w:r w:rsidRPr="00CD592E">
              <w:rPr>
                <w:rFonts w:ascii="Times New Roman" w:hAnsi="Times New Roman" w:cs="Times New Roman"/>
                <w:sz w:val="23"/>
                <w:szCs w:val="23"/>
              </w:rPr>
              <w:t xml:space="preserve">MK </w:t>
            </w:r>
            <w:r w:rsidR="00B10319" w:rsidRPr="00CD592E">
              <w:rPr>
                <w:rFonts w:ascii="Times New Roman" w:hAnsi="Times New Roman" w:cs="Times New Roman"/>
                <w:sz w:val="23"/>
                <w:szCs w:val="23"/>
              </w:rPr>
              <w:t>noteikumu</w:t>
            </w:r>
            <w:r w:rsidRPr="00CD592E">
              <w:rPr>
                <w:rFonts w:ascii="Times New Roman" w:hAnsi="Times New Roman" w:cs="Times New Roman"/>
                <w:sz w:val="23"/>
                <w:szCs w:val="23"/>
              </w:rPr>
              <w:t xml:space="preserve"> projekts šo jomu neskar.</w:t>
            </w:r>
          </w:p>
        </w:tc>
      </w:tr>
      <w:tr w:rsidR="00CC1A56" w:rsidRPr="00CD592E" w14:paraId="216C7616" w14:textId="77777777" w:rsidTr="00CA0D50">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4C1B5696" w14:textId="77777777" w:rsidR="00CC1A56" w:rsidRPr="00CD592E" w:rsidRDefault="00CC1A56" w:rsidP="00875F5E">
            <w:pPr>
              <w:pStyle w:val="naisnod"/>
              <w:spacing w:before="0" w:beforeAutospacing="0" w:after="0" w:afterAutospacing="0"/>
              <w:ind w:left="57" w:right="57"/>
              <w:jc w:val="both"/>
              <w:rPr>
                <w:sz w:val="23"/>
                <w:szCs w:val="23"/>
              </w:rPr>
            </w:pPr>
            <w:r w:rsidRPr="00CD592E">
              <w:rPr>
                <w:sz w:val="23"/>
                <w:szCs w:val="23"/>
              </w:rPr>
              <w:t>3.</w:t>
            </w:r>
          </w:p>
        </w:tc>
        <w:tc>
          <w:tcPr>
            <w:tcW w:w="2976" w:type="dxa"/>
            <w:tcBorders>
              <w:top w:val="single" w:sz="4" w:space="0" w:color="auto"/>
              <w:left w:val="single" w:sz="4" w:space="0" w:color="auto"/>
              <w:bottom w:val="single" w:sz="4" w:space="0" w:color="auto"/>
              <w:right w:val="single" w:sz="4" w:space="0" w:color="auto"/>
            </w:tcBorders>
          </w:tcPr>
          <w:p w14:paraId="4FD5982D" w14:textId="77777777" w:rsidR="00CC1A56" w:rsidRPr="00CD592E" w:rsidRDefault="00CC1A56" w:rsidP="00875F5E">
            <w:pPr>
              <w:pStyle w:val="naisf"/>
              <w:spacing w:before="0" w:beforeAutospacing="0" w:after="0" w:afterAutospacing="0"/>
              <w:ind w:left="57" w:right="57"/>
              <w:rPr>
                <w:sz w:val="23"/>
                <w:szCs w:val="23"/>
              </w:rPr>
            </w:pPr>
            <w:r w:rsidRPr="00CD592E">
              <w:rPr>
                <w:sz w:val="23"/>
                <w:szCs w:val="23"/>
              </w:rPr>
              <w:t>Cita informācija</w:t>
            </w:r>
          </w:p>
        </w:tc>
        <w:tc>
          <w:tcPr>
            <w:tcW w:w="6268" w:type="dxa"/>
            <w:tcBorders>
              <w:top w:val="single" w:sz="4" w:space="0" w:color="auto"/>
              <w:left w:val="single" w:sz="4" w:space="0" w:color="auto"/>
              <w:bottom w:val="single" w:sz="4" w:space="0" w:color="auto"/>
              <w:right w:val="single" w:sz="4" w:space="0" w:color="auto"/>
            </w:tcBorders>
          </w:tcPr>
          <w:p w14:paraId="503BCE76" w14:textId="77777777" w:rsidR="00CC1A56" w:rsidRPr="00CD592E" w:rsidRDefault="00232033" w:rsidP="00875F5E">
            <w:pPr>
              <w:spacing w:after="0" w:line="240" w:lineRule="auto"/>
              <w:ind w:left="57" w:right="57"/>
              <w:jc w:val="both"/>
              <w:rPr>
                <w:rFonts w:ascii="Times New Roman" w:hAnsi="Times New Roman" w:cs="Times New Roman"/>
                <w:sz w:val="23"/>
                <w:szCs w:val="23"/>
                <w:lang w:eastAsia="lv-LV"/>
              </w:rPr>
            </w:pPr>
            <w:r w:rsidRPr="00CD592E">
              <w:rPr>
                <w:rFonts w:ascii="Times New Roman" w:hAnsi="Times New Roman" w:cs="Times New Roman"/>
                <w:sz w:val="23"/>
                <w:szCs w:val="23"/>
              </w:rPr>
              <w:t>Nav.</w:t>
            </w:r>
          </w:p>
        </w:tc>
      </w:tr>
    </w:tbl>
    <w:p w14:paraId="1E3D533C" w14:textId="5EBAA26F" w:rsidR="00FD0C6A" w:rsidRPr="00CD592E" w:rsidRDefault="00CA0D50" w:rsidP="00875F5E">
      <w:pPr>
        <w:spacing w:after="0" w:line="240" w:lineRule="auto"/>
        <w:rPr>
          <w:rFonts w:ascii="Times New Roman" w:hAnsi="Times New Roman" w:cs="Times New Roman"/>
          <w:sz w:val="23"/>
          <w:szCs w:val="23"/>
        </w:rPr>
      </w:pPr>
      <w:r w:rsidRPr="00CD592E">
        <w:rPr>
          <w:rFonts w:ascii="Times New Roman" w:hAnsi="Times New Roman" w:cs="Times New Roman"/>
          <w:sz w:val="23"/>
          <w:szCs w:val="23"/>
        </w:rPr>
        <w:t xml:space="preserve">Anotācijas </w:t>
      </w:r>
      <w:proofErr w:type="spellStart"/>
      <w:r w:rsidRPr="00CD592E">
        <w:rPr>
          <w:rFonts w:ascii="Times New Roman" w:hAnsi="Times New Roman" w:cs="Times New Roman"/>
          <w:sz w:val="23"/>
          <w:szCs w:val="23"/>
        </w:rPr>
        <w:t>III.</w:t>
      </w:r>
      <w:r w:rsidR="00FD0C6A" w:rsidRPr="00CD592E">
        <w:rPr>
          <w:rFonts w:ascii="Times New Roman" w:hAnsi="Times New Roman" w:cs="Times New Roman"/>
          <w:sz w:val="23"/>
          <w:szCs w:val="23"/>
        </w:rPr>
        <w:t>sadaļ</w:t>
      </w:r>
      <w:r w:rsidR="00662D85" w:rsidRPr="00CD592E">
        <w:rPr>
          <w:rFonts w:ascii="Times New Roman" w:hAnsi="Times New Roman" w:cs="Times New Roman"/>
          <w:sz w:val="23"/>
          <w:szCs w:val="23"/>
        </w:rPr>
        <w:t>u</w:t>
      </w:r>
      <w:proofErr w:type="spellEnd"/>
      <w:r w:rsidR="00FD0C6A" w:rsidRPr="00CD592E">
        <w:rPr>
          <w:rFonts w:ascii="Times New Roman" w:hAnsi="Times New Roman" w:cs="Times New Roman"/>
          <w:sz w:val="23"/>
          <w:szCs w:val="23"/>
        </w:rPr>
        <w:t xml:space="preserve"> MK noteikumu projekts šo jomu neskar.</w:t>
      </w:r>
    </w:p>
    <w:p w14:paraId="21B24F2E" w14:textId="77777777" w:rsidR="00C33C97" w:rsidRPr="00CD592E" w:rsidRDefault="00C33C97" w:rsidP="00875F5E">
      <w:pPr>
        <w:spacing w:after="0" w:line="240" w:lineRule="auto"/>
        <w:rPr>
          <w:rFonts w:ascii="Times New Roman" w:hAnsi="Times New Roman" w:cs="Times New Roman"/>
          <w:sz w:val="23"/>
          <w:szCs w:val="23"/>
        </w:rPr>
      </w:pPr>
    </w:p>
    <w:p w14:paraId="68EC7897" w14:textId="77777777" w:rsidR="00752263" w:rsidRPr="00CD592E" w:rsidRDefault="00752263" w:rsidP="00875F5E">
      <w:pPr>
        <w:spacing w:after="0" w:line="240" w:lineRule="auto"/>
        <w:jc w:val="both"/>
        <w:rPr>
          <w:rFonts w:ascii="Times New Roman" w:eastAsia="Times New Roman" w:hAnsi="Times New Roman" w:cs="Times New Roman"/>
          <w:sz w:val="23"/>
          <w:szCs w:val="23"/>
          <w:lang w:eastAsia="lv-LV"/>
        </w:rPr>
      </w:pPr>
    </w:p>
    <w:p w14:paraId="768A8DE3" w14:textId="5C0B3C17" w:rsidR="00A2311F" w:rsidRPr="00CD592E" w:rsidRDefault="00A2311F" w:rsidP="00875F5E">
      <w:pPr>
        <w:spacing w:after="0" w:line="240" w:lineRule="auto"/>
        <w:jc w:val="both"/>
        <w:rPr>
          <w:rFonts w:ascii="Times New Roman" w:eastAsia="Times New Roman" w:hAnsi="Times New Roman" w:cs="Times New Roman"/>
          <w:sz w:val="23"/>
          <w:szCs w:val="23"/>
          <w:lang w:eastAsia="lv-LV"/>
        </w:rPr>
      </w:pPr>
      <w:r w:rsidRPr="00CD592E">
        <w:rPr>
          <w:rFonts w:ascii="Times New Roman" w:eastAsia="Times New Roman" w:hAnsi="Times New Roman" w:cs="Times New Roman"/>
          <w:sz w:val="23"/>
          <w:szCs w:val="23"/>
          <w:lang w:eastAsia="lv-LV"/>
        </w:rPr>
        <w:t>Labklājības ministrs</w:t>
      </w:r>
      <w:r w:rsidRPr="00CD592E">
        <w:rPr>
          <w:rFonts w:ascii="Times New Roman" w:eastAsia="Times New Roman" w:hAnsi="Times New Roman" w:cs="Times New Roman"/>
          <w:sz w:val="23"/>
          <w:szCs w:val="23"/>
          <w:lang w:eastAsia="lv-LV"/>
        </w:rPr>
        <w:tab/>
      </w:r>
      <w:r w:rsidRPr="00CD592E">
        <w:rPr>
          <w:rFonts w:ascii="Times New Roman" w:eastAsia="Times New Roman" w:hAnsi="Times New Roman" w:cs="Times New Roman"/>
          <w:sz w:val="23"/>
          <w:szCs w:val="23"/>
          <w:lang w:eastAsia="lv-LV"/>
        </w:rPr>
        <w:tab/>
      </w:r>
      <w:r w:rsidRPr="00CD592E">
        <w:rPr>
          <w:rFonts w:ascii="Times New Roman" w:eastAsia="Times New Roman" w:hAnsi="Times New Roman" w:cs="Times New Roman"/>
          <w:sz w:val="23"/>
          <w:szCs w:val="23"/>
          <w:lang w:eastAsia="lv-LV"/>
        </w:rPr>
        <w:tab/>
      </w:r>
      <w:r w:rsidRPr="00CD592E">
        <w:rPr>
          <w:rFonts w:ascii="Times New Roman" w:eastAsia="Times New Roman" w:hAnsi="Times New Roman" w:cs="Times New Roman"/>
          <w:sz w:val="23"/>
          <w:szCs w:val="23"/>
          <w:lang w:eastAsia="lv-LV"/>
        </w:rPr>
        <w:tab/>
      </w:r>
      <w:r w:rsidRPr="00CD592E">
        <w:rPr>
          <w:rFonts w:ascii="Times New Roman" w:eastAsia="Times New Roman" w:hAnsi="Times New Roman" w:cs="Times New Roman"/>
          <w:sz w:val="23"/>
          <w:szCs w:val="23"/>
          <w:lang w:eastAsia="lv-LV"/>
        </w:rPr>
        <w:tab/>
      </w:r>
      <w:r w:rsidR="0050490E" w:rsidRPr="00CD592E">
        <w:rPr>
          <w:rFonts w:ascii="Times New Roman" w:eastAsia="Times New Roman" w:hAnsi="Times New Roman" w:cs="Times New Roman"/>
          <w:sz w:val="23"/>
          <w:szCs w:val="23"/>
          <w:lang w:eastAsia="lv-LV"/>
        </w:rPr>
        <w:tab/>
      </w:r>
      <w:r w:rsidR="0050490E" w:rsidRPr="00CD592E">
        <w:rPr>
          <w:rFonts w:ascii="Times New Roman" w:eastAsia="Times New Roman" w:hAnsi="Times New Roman" w:cs="Times New Roman"/>
          <w:sz w:val="23"/>
          <w:szCs w:val="23"/>
          <w:lang w:eastAsia="lv-LV"/>
        </w:rPr>
        <w:tab/>
      </w:r>
      <w:r w:rsidR="001C3004" w:rsidRPr="00CD592E">
        <w:rPr>
          <w:rFonts w:ascii="Times New Roman" w:eastAsia="Times New Roman" w:hAnsi="Times New Roman" w:cs="Times New Roman"/>
          <w:sz w:val="23"/>
          <w:szCs w:val="23"/>
          <w:lang w:eastAsia="lv-LV"/>
        </w:rPr>
        <w:tab/>
      </w:r>
      <w:r w:rsidRPr="00CD592E">
        <w:rPr>
          <w:rFonts w:ascii="Times New Roman" w:eastAsia="Times New Roman" w:hAnsi="Times New Roman" w:cs="Times New Roman"/>
          <w:sz w:val="23"/>
          <w:szCs w:val="23"/>
          <w:lang w:eastAsia="lv-LV"/>
        </w:rPr>
        <w:t>U.Augulis</w:t>
      </w:r>
    </w:p>
    <w:p w14:paraId="3C722757" w14:textId="77777777" w:rsidR="00A2311F" w:rsidRPr="00CD592E" w:rsidRDefault="00A2311F" w:rsidP="00875F5E">
      <w:pPr>
        <w:spacing w:after="0" w:line="240" w:lineRule="auto"/>
        <w:rPr>
          <w:rFonts w:ascii="Times New Roman" w:hAnsi="Times New Roman" w:cs="Times New Roman"/>
          <w:sz w:val="23"/>
          <w:szCs w:val="23"/>
        </w:rPr>
      </w:pPr>
    </w:p>
    <w:p w14:paraId="61705BA8" w14:textId="77777777" w:rsidR="00C33C97" w:rsidRPr="00CD592E" w:rsidRDefault="00C33C97" w:rsidP="00875F5E">
      <w:pPr>
        <w:spacing w:after="0" w:line="240" w:lineRule="auto"/>
        <w:rPr>
          <w:rFonts w:ascii="Times New Roman" w:hAnsi="Times New Roman" w:cs="Times New Roman"/>
          <w:sz w:val="23"/>
          <w:szCs w:val="23"/>
        </w:rPr>
      </w:pPr>
    </w:p>
    <w:p w14:paraId="5BA88D56" w14:textId="329EE2AF" w:rsidR="00D473ED" w:rsidRPr="00CD592E" w:rsidRDefault="00970EAA" w:rsidP="00F22353">
      <w:pPr>
        <w:tabs>
          <w:tab w:val="left" w:pos="1995"/>
        </w:tabs>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D592E" w:rsidRPr="00CD592E">
        <w:rPr>
          <w:rFonts w:ascii="Times New Roman" w:hAnsi="Times New Roman" w:cs="Times New Roman"/>
          <w:sz w:val="20"/>
          <w:szCs w:val="20"/>
        </w:rPr>
        <w:t>.12</w:t>
      </w:r>
      <w:r w:rsidR="00EF6FD1" w:rsidRPr="00CD592E">
        <w:rPr>
          <w:rFonts w:ascii="Times New Roman" w:hAnsi="Times New Roman" w:cs="Times New Roman"/>
          <w:sz w:val="20"/>
          <w:szCs w:val="20"/>
        </w:rPr>
        <w:t>.2015</w:t>
      </w:r>
      <w:r w:rsidR="00D473ED" w:rsidRPr="00CD592E">
        <w:rPr>
          <w:rFonts w:ascii="Times New Roman" w:hAnsi="Times New Roman" w:cs="Times New Roman"/>
          <w:sz w:val="20"/>
          <w:szCs w:val="20"/>
        </w:rPr>
        <w:t xml:space="preserve">. </w:t>
      </w:r>
      <w:r w:rsidR="008826FA">
        <w:rPr>
          <w:rFonts w:ascii="Times New Roman" w:hAnsi="Times New Roman" w:cs="Times New Roman"/>
          <w:sz w:val="20"/>
          <w:szCs w:val="20"/>
        </w:rPr>
        <w:t>1</w:t>
      </w:r>
      <w:r w:rsidR="0074104D">
        <w:rPr>
          <w:rFonts w:ascii="Times New Roman" w:hAnsi="Times New Roman" w:cs="Times New Roman"/>
          <w:sz w:val="20"/>
          <w:szCs w:val="20"/>
        </w:rPr>
        <w:t>6</w:t>
      </w:r>
      <w:r w:rsidR="009905E8" w:rsidRPr="00CD592E">
        <w:rPr>
          <w:rFonts w:ascii="Times New Roman" w:hAnsi="Times New Roman" w:cs="Times New Roman"/>
          <w:sz w:val="20"/>
          <w:szCs w:val="20"/>
        </w:rPr>
        <w:t>:</w:t>
      </w:r>
      <w:r w:rsidR="0074104D">
        <w:rPr>
          <w:rFonts w:ascii="Times New Roman" w:hAnsi="Times New Roman" w:cs="Times New Roman"/>
          <w:sz w:val="20"/>
          <w:szCs w:val="20"/>
        </w:rPr>
        <w:t>44</w:t>
      </w:r>
      <w:bookmarkStart w:id="8" w:name="_GoBack"/>
      <w:bookmarkEnd w:id="8"/>
      <w:r w:rsidR="00F22353" w:rsidRPr="00CD592E">
        <w:rPr>
          <w:rFonts w:ascii="Times New Roman" w:hAnsi="Times New Roman" w:cs="Times New Roman"/>
          <w:sz w:val="20"/>
          <w:szCs w:val="20"/>
        </w:rPr>
        <w:tab/>
      </w:r>
    </w:p>
    <w:p w14:paraId="6C42FD1F" w14:textId="5A09C4FE" w:rsidR="00D473ED" w:rsidRPr="00CD592E" w:rsidRDefault="00C33C97" w:rsidP="00875F5E">
      <w:pPr>
        <w:spacing w:after="0" w:line="240" w:lineRule="auto"/>
        <w:rPr>
          <w:rFonts w:ascii="Times New Roman" w:hAnsi="Times New Roman" w:cs="Times New Roman"/>
          <w:sz w:val="20"/>
          <w:szCs w:val="20"/>
        </w:rPr>
      </w:pPr>
      <w:r w:rsidRPr="00CD592E">
        <w:rPr>
          <w:rFonts w:ascii="Times New Roman" w:hAnsi="Times New Roman" w:cs="Times New Roman"/>
          <w:sz w:val="20"/>
          <w:szCs w:val="20"/>
        </w:rPr>
        <w:t xml:space="preserve">1 </w:t>
      </w:r>
      <w:r w:rsidR="007C611F">
        <w:rPr>
          <w:rFonts w:ascii="Times New Roman" w:hAnsi="Times New Roman" w:cs="Times New Roman"/>
          <w:sz w:val="20"/>
          <w:szCs w:val="20"/>
        </w:rPr>
        <w:t>97</w:t>
      </w:r>
      <w:r w:rsidR="0074104D">
        <w:rPr>
          <w:rFonts w:ascii="Times New Roman" w:hAnsi="Times New Roman" w:cs="Times New Roman"/>
          <w:sz w:val="20"/>
          <w:szCs w:val="20"/>
        </w:rPr>
        <w:t>3</w:t>
      </w:r>
    </w:p>
    <w:p w14:paraId="60F58924" w14:textId="337D1565" w:rsidR="00D473ED" w:rsidRPr="00CD592E" w:rsidRDefault="008829D4" w:rsidP="00875F5E">
      <w:pPr>
        <w:spacing w:after="0" w:line="240" w:lineRule="auto"/>
        <w:rPr>
          <w:rFonts w:ascii="Times New Roman" w:hAnsi="Times New Roman" w:cs="Times New Roman"/>
          <w:sz w:val="20"/>
          <w:szCs w:val="20"/>
        </w:rPr>
      </w:pPr>
      <w:proofErr w:type="spellStart"/>
      <w:r w:rsidRPr="00CD592E">
        <w:rPr>
          <w:rFonts w:ascii="Times New Roman" w:hAnsi="Times New Roman" w:cs="Times New Roman"/>
          <w:sz w:val="20"/>
          <w:szCs w:val="20"/>
        </w:rPr>
        <w:t>A.Vībe</w:t>
      </w:r>
      <w:proofErr w:type="spellEnd"/>
      <w:r w:rsidR="00D473ED" w:rsidRPr="00CD592E">
        <w:rPr>
          <w:rFonts w:ascii="Times New Roman" w:hAnsi="Times New Roman" w:cs="Times New Roman"/>
          <w:sz w:val="20"/>
          <w:szCs w:val="20"/>
        </w:rPr>
        <w:t>, 670216</w:t>
      </w:r>
      <w:r w:rsidRPr="00CD592E">
        <w:rPr>
          <w:rFonts w:ascii="Times New Roman" w:hAnsi="Times New Roman" w:cs="Times New Roman"/>
          <w:sz w:val="20"/>
          <w:szCs w:val="20"/>
        </w:rPr>
        <w:t>48</w:t>
      </w:r>
    </w:p>
    <w:p w14:paraId="6F592EBF" w14:textId="23E3CDCA" w:rsidR="00D473ED" w:rsidRPr="00CD592E" w:rsidRDefault="0074104D" w:rsidP="00875F5E">
      <w:pPr>
        <w:spacing w:after="0" w:line="240" w:lineRule="auto"/>
        <w:rPr>
          <w:rFonts w:ascii="Times New Roman" w:hAnsi="Times New Roman" w:cs="Times New Roman"/>
          <w:sz w:val="20"/>
          <w:szCs w:val="20"/>
        </w:rPr>
      </w:pPr>
      <w:hyperlink r:id="rId9" w:history="1">
        <w:r w:rsidR="008829D4" w:rsidRPr="00CD592E">
          <w:rPr>
            <w:rStyle w:val="Hyperlink"/>
            <w:rFonts w:ascii="Times New Roman" w:hAnsi="Times New Roman" w:cs="Times New Roman"/>
            <w:sz w:val="20"/>
            <w:szCs w:val="20"/>
          </w:rPr>
          <w:t>Anna.Vibe@lm.gov.lv</w:t>
        </w:r>
      </w:hyperlink>
      <w:r w:rsidR="00B673D4" w:rsidRPr="00CD592E">
        <w:rPr>
          <w:rFonts w:ascii="Times New Roman" w:hAnsi="Times New Roman" w:cs="Times New Roman"/>
          <w:sz w:val="20"/>
          <w:szCs w:val="20"/>
        </w:rPr>
        <w:tab/>
      </w:r>
    </w:p>
    <w:sectPr w:rsidR="00D473ED" w:rsidRPr="00CD592E" w:rsidSect="005E1FE1">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DFAC" w14:textId="77777777" w:rsidR="002C45E5" w:rsidRDefault="002C45E5" w:rsidP="006D6C82">
      <w:pPr>
        <w:spacing w:after="0" w:line="240" w:lineRule="auto"/>
      </w:pPr>
      <w:r>
        <w:separator/>
      </w:r>
    </w:p>
  </w:endnote>
  <w:endnote w:type="continuationSeparator" w:id="0">
    <w:p w14:paraId="77B92B0E" w14:textId="77777777" w:rsidR="002C45E5" w:rsidRDefault="002C45E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4A2C665E" w:rsidR="00A01B7A" w:rsidRPr="00EF6FD1" w:rsidRDefault="004678F1" w:rsidP="00EF6FD1">
    <w:pPr>
      <w:pStyle w:val="Footer"/>
      <w:jc w:val="both"/>
    </w:pPr>
    <w:r w:rsidRPr="008829D4">
      <w:rPr>
        <w:rFonts w:ascii="Times New Roman" w:eastAsia="Times New Roman" w:hAnsi="Times New Roman" w:cs="Times New Roman"/>
        <w:sz w:val="20"/>
        <w:szCs w:val="20"/>
        <w:lang w:eastAsia="lv-LV"/>
      </w:rPr>
      <w:t>LMAnot_</w:t>
    </w:r>
    <w:r w:rsidR="00970EAA">
      <w:rPr>
        <w:rFonts w:ascii="Times New Roman" w:eastAsia="Times New Roman" w:hAnsi="Times New Roman" w:cs="Times New Roman"/>
        <w:color w:val="000000" w:themeColor="text1"/>
        <w:sz w:val="20"/>
        <w:szCs w:val="20"/>
        <w:lang w:eastAsia="lv-LV"/>
      </w:rPr>
      <w:t>11</w:t>
    </w:r>
    <w:r w:rsidR="00CD592E">
      <w:rPr>
        <w:rFonts w:ascii="Times New Roman" w:eastAsia="Times New Roman" w:hAnsi="Times New Roman" w:cs="Times New Roman"/>
        <w:color w:val="000000" w:themeColor="text1"/>
        <w:sz w:val="20"/>
        <w:szCs w:val="20"/>
        <w:lang w:eastAsia="lv-LV"/>
      </w:rPr>
      <w:t>12</w:t>
    </w:r>
    <w:r w:rsidR="00EF6FD1" w:rsidRPr="00EF6FD1">
      <w:rPr>
        <w:rFonts w:ascii="Times New Roman" w:eastAsia="Times New Roman" w:hAnsi="Times New Roman" w:cs="Times New Roman"/>
        <w:color w:val="000000" w:themeColor="text1"/>
        <w:sz w:val="20"/>
        <w:szCs w:val="20"/>
        <w:lang w:eastAsia="lv-LV"/>
      </w:rPr>
      <w:t>2015_SAM711groz; Ministru kabineta noteikumu “</w:t>
    </w:r>
    <w:r w:rsidR="00EF6FD1" w:rsidRPr="00EF6FD1">
      <w:rPr>
        <w:rFonts w:ascii="Times New Roman" w:eastAsia="Times New Roman" w:hAnsi="Times New Roman" w:cs="Times New Roman"/>
        <w:bCs/>
        <w:color w:val="000000" w:themeColor="text1"/>
        <w:sz w:val="20"/>
        <w:szCs w:val="20"/>
        <w:lang w:eastAsia="lv-LV"/>
      </w:rPr>
      <w:t xml:space="preserve">Grozījumi “Ministru kabineta </w:t>
    </w:r>
    <w:proofErr w:type="gramStart"/>
    <w:r w:rsidR="00EF6FD1" w:rsidRPr="00EF6FD1">
      <w:rPr>
        <w:rFonts w:ascii="Times New Roman" w:eastAsia="Times New Roman" w:hAnsi="Times New Roman" w:cs="Times New Roman"/>
        <w:bCs/>
        <w:color w:val="000000" w:themeColor="text1"/>
        <w:sz w:val="20"/>
        <w:szCs w:val="20"/>
        <w:lang w:eastAsia="lv-LV"/>
      </w:rPr>
      <w:t>2014.gada</w:t>
    </w:r>
    <w:proofErr w:type="gramEnd"/>
    <w:r w:rsidR="00EF6FD1" w:rsidRPr="00EF6FD1">
      <w:rPr>
        <w:rFonts w:ascii="Times New Roman" w:eastAsia="Times New Roman" w:hAnsi="Times New Roman" w:cs="Times New Roman"/>
        <w:bCs/>
        <w:color w:val="000000" w:themeColor="text1"/>
        <w:sz w:val="20"/>
        <w:szCs w:val="20"/>
        <w:lang w:eastAsia="lv-LV"/>
      </w:rPr>
      <w:t xml:space="preserve"> 23.decembra noteikumos Nr.836 “Darbības programmas “Izaugsme un nodarbinātība” 7.1.1. specifiskā atbalsta mērķa “Paaugstināt bezdarbnieku kvalifikāciju un prasmes atbilstoši darba tirgus pieprasījumam” īstenošanas noteikumi”” </w:t>
    </w:r>
    <w:r w:rsidR="00EF6FD1" w:rsidRPr="00EF6FD1">
      <w:rPr>
        <w:rFonts w:ascii="Times New Roman" w:eastAsia="Times New Roman" w:hAnsi="Times New Roman" w:cs="Times New Roman"/>
        <w:color w:val="000000" w:themeColor="text1"/>
        <w:sz w:val="20"/>
        <w:szCs w:val="20"/>
        <w:lang w:eastAsia="lv-LV"/>
      </w:rPr>
      <w:t>projekta</w:t>
    </w:r>
    <w:r w:rsidR="00EF6FD1" w:rsidRPr="00EF6FD1">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4C465A7B" w:rsidR="00D0364B" w:rsidRPr="000521D5" w:rsidRDefault="00A01B7A"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970EAA">
      <w:rPr>
        <w:rFonts w:ascii="Times New Roman" w:eastAsia="Times New Roman" w:hAnsi="Times New Roman" w:cs="Times New Roman"/>
        <w:sz w:val="20"/>
        <w:szCs w:val="20"/>
        <w:lang w:eastAsia="lv-LV"/>
      </w:rPr>
      <w:t>11</w:t>
    </w:r>
    <w:r w:rsidR="00CD592E">
      <w:rPr>
        <w:rFonts w:ascii="Times New Roman" w:eastAsia="Times New Roman" w:hAnsi="Times New Roman" w:cs="Times New Roman"/>
        <w:sz w:val="20"/>
        <w:szCs w:val="20"/>
        <w:lang w:eastAsia="lv-LV"/>
      </w:rPr>
      <w:t>12</w:t>
    </w:r>
    <w:r w:rsidR="00EF6FD1" w:rsidRPr="00EF6FD1">
      <w:rPr>
        <w:rFonts w:ascii="Times New Roman" w:eastAsia="Times New Roman" w:hAnsi="Times New Roman" w:cs="Times New Roman"/>
        <w:sz w:val="20"/>
        <w:szCs w:val="20"/>
        <w:lang w:eastAsia="lv-LV"/>
      </w:rPr>
      <w:t>2015</w:t>
    </w:r>
    <w:r w:rsidRPr="00EF6FD1">
      <w:rPr>
        <w:rFonts w:ascii="Times New Roman" w:eastAsia="Times New Roman" w:hAnsi="Times New Roman" w:cs="Times New Roman"/>
        <w:sz w:val="20"/>
        <w:szCs w:val="20"/>
        <w:lang w:eastAsia="lv-LV"/>
      </w:rPr>
      <w:t>_SAM71</w:t>
    </w:r>
    <w:r w:rsidR="008829D4" w:rsidRPr="00EF6FD1">
      <w:rPr>
        <w:rFonts w:ascii="Times New Roman" w:eastAsia="Times New Roman" w:hAnsi="Times New Roman" w:cs="Times New Roman"/>
        <w:sz w:val="20"/>
        <w:szCs w:val="20"/>
        <w:lang w:eastAsia="lv-LV"/>
      </w:rPr>
      <w:t>1</w:t>
    </w:r>
    <w:r w:rsidR="00EF6FD1" w:rsidRPr="00EF6FD1">
      <w:rPr>
        <w:rFonts w:ascii="Times New Roman" w:eastAsia="Times New Roman" w:hAnsi="Times New Roman" w:cs="Times New Roman"/>
        <w:sz w:val="20"/>
        <w:szCs w:val="20"/>
        <w:lang w:eastAsia="lv-LV"/>
      </w:rPr>
      <w:t>groz</w:t>
    </w:r>
    <w:r w:rsidR="000521D5" w:rsidRPr="00EF6FD1">
      <w:rPr>
        <w:rFonts w:ascii="Times New Roman" w:eastAsia="Times New Roman" w:hAnsi="Times New Roman" w:cs="Times New Roman"/>
        <w:sz w:val="20"/>
        <w:szCs w:val="20"/>
        <w:lang w:eastAsia="lv-LV"/>
      </w:rPr>
      <w:t xml:space="preserve">; </w:t>
    </w:r>
    <w:r w:rsidR="00EF6FD1" w:rsidRPr="00EF6FD1">
      <w:rPr>
        <w:rFonts w:ascii="Times New Roman" w:hAnsi="Times New Roman"/>
        <w:sz w:val="20"/>
        <w:szCs w:val="20"/>
      </w:rPr>
      <w:t>Ministru kabineta noteikumu “</w:t>
    </w:r>
    <w:r w:rsidR="00EF6FD1" w:rsidRPr="00EF6FD1">
      <w:rPr>
        <w:rFonts w:ascii="Times New Roman" w:hAnsi="Times New Roman"/>
        <w:bCs/>
        <w:sz w:val="20"/>
        <w:szCs w:val="20"/>
      </w:rPr>
      <w:t xml:space="preserve">Grozījumi “Ministru kabineta </w:t>
    </w:r>
    <w:proofErr w:type="gramStart"/>
    <w:r w:rsidR="00EF6FD1" w:rsidRPr="00EF6FD1">
      <w:rPr>
        <w:rFonts w:ascii="Times New Roman" w:hAnsi="Times New Roman"/>
        <w:bCs/>
        <w:sz w:val="20"/>
        <w:szCs w:val="20"/>
      </w:rPr>
      <w:t>2014.gada</w:t>
    </w:r>
    <w:proofErr w:type="gramEnd"/>
    <w:r w:rsidR="00EF6FD1" w:rsidRPr="00EF6FD1">
      <w:rPr>
        <w:rFonts w:ascii="Times New Roman" w:hAnsi="Times New Roman"/>
        <w:bCs/>
        <w:sz w:val="20"/>
        <w:szCs w:val="20"/>
      </w:rPr>
      <w:t xml:space="preserve"> 23.decembra noteikumos Nr.836 “Darbības programmas “Izaugsme un nodarbinātība” 7.1.1. specifiskā atbalsta mērķa “Paaugstināt bezdarbnieku kvalifikāciju un prasmes atbilstoši darba tirgus pieprasījumam” īstenošanas noteikumi”” </w:t>
    </w:r>
    <w:r w:rsidR="00EF6FD1" w:rsidRPr="00EF6FD1">
      <w:rPr>
        <w:rFonts w:ascii="Times New Roman" w:hAnsi="Times New Roman"/>
        <w:sz w:val="20"/>
        <w:szCs w:val="20"/>
      </w:rPr>
      <w:t>projekta</w:t>
    </w:r>
    <w:r w:rsidR="00EF6FD1" w:rsidRPr="00EF6FD1">
      <w:rPr>
        <w:rFonts w:ascii="Times New Roman" w:hAnsi="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E8FDF" w14:textId="77777777" w:rsidR="002C45E5" w:rsidRDefault="002C45E5" w:rsidP="006D6C82">
      <w:pPr>
        <w:spacing w:after="0" w:line="240" w:lineRule="auto"/>
      </w:pPr>
      <w:r>
        <w:separator/>
      </w:r>
    </w:p>
  </w:footnote>
  <w:footnote w:type="continuationSeparator" w:id="0">
    <w:p w14:paraId="76480D04" w14:textId="77777777" w:rsidR="002C45E5" w:rsidRDefault="002C45E5"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32311"/>
      <w:docPartObj>
        <w:docPartGallery w:val="Page Numbers (Top of Page)"/>
        <w:docPartUnique/>
      </w:docPartObj>
    </w:sdtPr>
    <w:sdtEndPr>
      <w:rPr>
        <w:noProof/>
      </w:rPr>
    </w:sdtEndPr>
    <w:sdtContent>
      <w:p w14:paraId="798729B5" w14:textId="77777777" w:rsidR="00D0364B" w:rsidRDefault="00D0364B">
        <w:pPr>
          <w:pStyle w:val="Header"/>
          <w:jc w:val="center"/>
        </w:pPr>
        <w:r>
          <w:fldChar w:fldCharType="begin"/>
        </w:r>
        <w:r>
          <w:instrText xml:space="preserve"> PAGE   \* MERGEFORMAT </w:instrText>
        </w:r>
        <w:r>
          <w:fldChar w:fldCharType="separate"/>
        </w:r>
        <w:r w:rsidR="0074104D">
          <w:rPr>
            <w:noProof/>
          </w:rPr>
          <w:t>5</w:t>
        </w:r>
        <w:r>
          <w:rPr>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136D02"/>
    <w:multiLevelType w:val="hybridMultilevel"/>
    <w:tmpl w:val="38E29A14"/>
    <w:lvl w:ilvl="0" w:tplc="1B1C80D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6"/>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8"/>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3926"/>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729E7"/>
    <w:rsid w:val="00073983"/>
    <w:rsid w:val="000853C0"/>
    <w:rsid w:val="00090609"/>
    <w:rsid w:val="00093BB9"/>
    <w:rsid w:val="00094F04"/>
    <w:rsid w:val="000A2A2F"/>
    <w:rsid w:val="000A48CD"/>
    <w:rsid w:val="000A50F4"/>
    <w:rsid w:val="000A556B"/>
    <w:rsid w:val="000A6213"/>
    <w:rsid w:val="000A69BD"/>
    <w:rsid w:val="000B3753"/>
    <w:rsid w:val="000B6BFA"/>
    <w:rsid w:val="000C042F"/>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6539"/>
    <w:rsid w:val="0011756F"/>
    <w:rsid w:val="00120927"/>
    <w:rsid w:val="00121551"/>
    <w:rsid w:val="00122C32"/>
    <w:rsid w:val="00124F56"/>
    <w:rsid w:val="00140CF3"/>
    <w:rsid w:val="00151074"/>
    <w:rsid w:val="00151B2A"/>
    <w:rsid w:val="00160A74"/>
    <w:rsid w:val="00161A38"/>
    <w:rsid w:val="00162400"/>
    <w:rsid w:val="00162A45"/>
    <w:rsid w:val="0016361D"/>
    <w:rsid w:val="00166E6E"/>
    <w:rsid w:val="00167190"/>
    <w:rsid w:val="001679C6"/>
    <w:rsid w:val="001727BC"/>
    <w:rsid w:val="00174E03"/>
    <w:rsid w:val="00176916"/>
    <w:rsid w:val="0018780A"/>
    <w:rsid w:val="00191247"/>
    <w:rsid w:val="00193FB1"/>
    <w:rsid w:val="001943F6"/>
    <w:rsid w:val="001950D6"/>
    <w:rsid w:val="00195986"/>
    <w:rsid w:val="00197E17"/>
    <w:rsid w:val="001A7327"/>
    <w:rsid w:val="001B0E13"/>
    <w:rsid w:val="001B1214"/>
    <w:rsid w:val="001B3759"/>
    <w:rsid w:val="001B6876"/>
    <w:rsid w:val="001B7660"/>
    <w:rsid w:val="001C3004"/>
    <w:rsid w:val="001C3597"/>
    <w:rsid w:val="001C366A"/>
    <w:rsid w:val="001C50E5"/>
    <w:rsid w:val="001C7D4E"/>
    <w:rsid w:val="001E04D8"/>
    <w:rsid w:val="001E2D9C"/>
    <w:rsid w:val="001E5DCA"/>
    <w:rsid w:val="001E6208"/>
    <w:rsid w:val="001E645F"/>
    <w:rsid w:val="001F21C4"/>
    <w:rsid w:val="001F41D8"/>
    <w:rsid w:val="001F5194"/>
    <w:rsid w:val="001F792A"/>
    <w:rsid w:val="00204981"/>
    <w:rsid w:val="00206171"/>
    <w:rsid w:val="00210AA3"/>
    <w:rsid w:val="0021153C"/>
    <w:rsid w:val="002123C9"/>
    <w:rsid w:val="002141C0"/>
    <w:rsid w:val="00216066"/>
    <w:rsid w:val="0021686B"/>
    <w:rsid w:val="002202EB"/>
    <w:rsid w:val="00220CB7"/>
    <w:rsid w:val="0022527B"/>
    <w:rsid w:val="00232033"/>
    <w:rsid w:val="00235486"/>
    <w:rsid w:val="00246498"/>
    <w:rsid w:val="00246978"/>
    <w:rsid w:val="0025245B"/>
    <w:rsid w:val="00254049"/>
    <w:rsid w:val="00254F1A"/>
    <w:rsid w:val="002551BF"/>
    <w:rsid w:val="00257C93"/>
    <w:rsid w:val="00260E17"/>
    <w:rsid w:val="00260F04"/>
    <w:rsid w:val="002665C2"/>
    <w:rsid w:val="0026710C"/>
    <w:rsid w:val="002675CE"/>
    <w:rsid w:val="00270EBE"/>
    <w:rsid w:val="00277744"/>
    <w:rsid w:val="0028094F"/>
    <w:rsid w:val="002874DE"/>
    <w:rsid w:val="0029098B"/>
    <w:rsid w:val="00291D87"/>
    <w:rsid w:val="002938C7"/>
    <w:rsid w:val="00297EC2"/>
    <w:rsid w:val="002A161A"/>
    <w:rsid w:val="002A2FE7"/>
    <w:rsid w:val="002A5126"/>
    <w:rsid w:val="002A55E4"/>
    <w:rsid w:val="002B0D05"/>
    <w:rsid w:val="002B1692"/>
    <w:rsid w:val="002B5570"/>
    <w:rsid w:val="002B7E3A"/>
    <w:rsid w:val="002C1473"/>
    <w:rsid w:val="002C1581"/>
    <w:rsid w:val="002C1A63"/>
    <w:rsid w:val="002C45E5"/>
    <w:rsid w:val="002C563C"/>
    <w:rsid w:val="002C6E24"/>
    <w:rsid w:val="002C722B"/>
    <w:rsid w:val="002D1F05"/>
    <w:rsid w:val="002D2016"/>
    <w:rsid w:val="002D5017"/>
    <w:rsid w:val="002E284F"/>
    <w:rsid w:val="002E6B41"/>
    <w:rsid w:val="002F2310"/>
    <w:rsid w:val="002F2D45"/>
    <w:rsid w:val="002F70D8"/>
    <w:rsid w:val="002F7324"/>
    <w:rsid w:val="00301B68"/>
    <w:rsid w:val="00301CB2"/>
    <w:rsid w:val="00303FFC"/>
    <w:rsid w:val="003060C0"/>
    <w:rsid w:val="00306DFF"/>
    <w:rsid w:val="00314E0B"/>
    <w:rsid w:val="00314F7C"/>
    <w:rsid w:val="00315AB8"/>
    <w:rsid w:val="00316A8E"/>
    <w:rsid w:val="00320A19"/>
    <w:rsid w:val="00321D39"/>
    <w:rsid w:val="0032589C"/>
    <w:rsid w:val="003259BB"/>
    <w:rsid w:val="00326E13"/>
    <w:rsid w:val="00327D5C"/>
    <w:rsid w:val="003352F8"/>
    <w:rsid w:val="00336B3A"/>
    <w:rsid w:val="00345771"/>
    <w:rsid w:val="003460F3"/>
    <w:rsid w:val="00351DB7"/>
    <w:rsid w:val="00355126"/>
    <w:rsid w:val="0035641C"/>
    <w:rsid w:val="00360CC3"/>
    <w:rsid w:val="00364C7E"/>
    <w:rsid w:val="00364DA7"/>
    <w:rsid w:val="00365B8E"/>
    <w:rsid w:val="0037120C"/>
    <w:rsid w:val="00374579"/>
    <w:rsid w:val="003775ED"/>
    <w:rsid w:val="0038217F"/>
    <w:rsid w:val="00382C79"/>
    <w:rsid w:val="00382F6F"/>
    <w:rsid w:val="00384481"/>
    <w:rsid w:val="00384B1F"/>
    <w:rsid w:val="003919EB"/>
    <w:rsid w:val="00392ABD"/>
    <w:rsid w:val="00393677"/>
    <w:rsid w:val="00396161"/>
    <w:rsid w:val="003A3A21"/>
    <w:rsid w:val="003A4860"/>
    <w:rsid w:val="003A5522"/>
    <w:rsid w:val="003A55C7"/>
    <w:rsid w:val="003A77B7"/>
    <w:rsid w:val="003B0FBE"/>
    <w:rsid w:val="003C0358"/>
    <w:rsid w:val="003C1407"/>
    <w:rsid w:val="003D58F4"/>
    <w:rsid w:val="003D7FCC"/>
    <w:rsid w:val="003E2523"/>
    <w:rsid w:val="003E2633"/>
    <w:rsid w:val="003E4EA9"/>
    <w:rsid w:val="003E5B4D"/>
    <w:rsid w:val="003F2EE7"/>
    <w:rsid w:val="003F700D"/>
    <w:rsid w:val="003F7723"/>
    <w:rsid w:val="004001DB"/>
    <w:rsid w:val="00403A2F"/>
    <w:rsid w:val="00404002"/>
    <w:rsid w:val="00406DE5"/>
    <w:rsid w:val="00407CC6"/>
    <w:rsid w:val="004118EF"/>
    <w:rsid w:val="00415B33"/>
    <w:rsid w:val="00416790"/>
    <w:rsid w:val="00417496"/>
    <w:rsid w:val="00421B9D"/>
    <w:rsid w:val="0042221E"/>
    <w:rsid w:val="00423467"/>
    <w:rsid w:val="00426289"/>
    <w:rsid w:val="00427093"/>
    <w:rsid w:val="00427EFE"/>
    <w:rsid w:val="00430112"/>
    <w:rsid w:val="0043187B"/>
    <w:rsid w:val="00431F46"/>
    <w:rsid w:val="00432D28"/>
    <w:rsid w:val="00444D42"/>
    <w:rsid w:val="00445A9C"/>
    <w:rsid w:val="00446630"/>
    <w:rsid w:val="0044755D"/>
    <w:rsid w:val="00450395"/>
    <w:rsid w:val="00451DE5"/>
    <w:rsid w:val="00454771"/>
    <w:rsid w:val="00462F04"/>
    <w:rsid w:val="00467554"/>
    <w:rsid w:val="004678F1"/>
    <w:rsid w:val="00470125"/>
    <w:rsid w:val="00472A75"/>
    <w:rsid w:val="00473FE0"/>
    <w:rsid w:val="00475C8F"/>
    <w:rsid w:val="00475EDD"/>
    <w:rsid w:val="00481F9F"/>
    <w:rsid w:val="004863B9"/>
    <w:rsid w:val="00486A99"/>
    <w:rsid w:val="00486BA1"/>
    <w:rsid w:val="00487C61"/>
    <w:rsid w:val="004A0562"/>
    <w:rsid w:val="004A470F"/>
    <w:rsid w:val="004A51B4"/>
    <w:rsid w:val="004A79B6"/>
    <w:rsid w:val="004B287A"/>
    <w:rsid w:val="004B291A"/>
    <w:rsid w:val="004B4392"/>
    <w:rsid w:val="004B4BC8"/>
    <w:rsid w:val="004C0127"/>
    <w:rsid w:val="004C0612"/>
    <w:rsid w:val="004C31E6"/>
    <w:rsid w:val="004C48A0"/>
    <w:rsid w:val="004C55C1"/>
    <w:rsid w:val="004C7840"/>
    <w:rsid w:val="004C7866"/>
    <w:rsid w:val="004C7EB0"/>
    <w:rsid w:val="004D24D9"/>
    <w:rsid w:val="004D2900"/>
    <w:rsid w:val="004D4173"/>
    <w:rsid w:val="004D4A4C"/>
    <w:rsid w:val="004D5618"/>
    <w:rsid w:val="004D5B45"/>
    <w:rsid w:val="004D642A"/>
    <w:rsid w:val="004D654A"/>
    <w:rsid w:val="004E03A9"/>
    <w:rsid w:val="004E0703"/>
    <w:rsid w:val="004F135B"/>
    <w:rsid w:val="004F1BD2"/>
    <w:rsid w:val="005007A2"/>
    <w:rsid w:val="0050327A"/>
    <w:rsid w:val="00504183"/>
    <w:rsid w:val="0050490E"/>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64828"/>
    <w:rsid w:val="00570C5B"/>
    <w:rsid w:val="00571EAA"/>
    <w:rsid w:val="00571FAE"/>
    <w:rsid w:val="00575810"/>
    <w:rsid w:val="00575941"/>
    <w:rsid w:val="005759B6"/>
    <w:rsid w:val="00575CBB"/>
    <w:rsid w:val="00590E26"/>
    <w:rsid w:val="005913E4"/>
    <w:rsid w:val="005914D9"/>
    <w:rsid w:val="00591BA7"/>
    <w:rsid w:val="005935C2"/>
    <w:rsid w:val="005A00A7"/>
    <w:rsid w:val="005A0987"/>
    <w:rsid w:val="005A5C59"/>
    <w:rsid w:val="005A5D2D"/>
    <w:rsid w:val="005A646A"/>
    <w:rsid w:val="005A705B"/>
    <w:rsid w:val="005A7179"/>
    <w:rsid w:val="005B104F"/>
    <w:rsid w:val="005B1977"/>
    <w:rsid w:val="005B1A2E"/>
    <w:rsid w:val="005B5313"/>
    <w:rsid w:val="005C3BBF"/>
    <w:rsid w:val="005C5E5B"/>
    <w:rsid w:val="005C718F"/>
    <w:rsid w:val="005D1219"/>
    <w:rsid w:val="005D46AF"/>
    <w:rsid w:val="005D6EC7"/>
    <w:rsid w:val="005E044D"/>
    <w:rsid w:val="005E1FE1"/>
    <w:rsid w:val="005E361F"/>
    <w:rsid w:val="005E5D66"/>
    <w:rsid w:val="005F05CE"/>
    <w:rsid w:val="005F05CF"/>
    <w:rsid w:val="005F0DF3"/>
    <w:rsid w:val="005F403C"/>
    <w:rsid w:val="005F4D8E"/>
    <w:rsid w:val="0060421D"/>
    <w:rsid w:val="00614CDA"/>
    <w:rsid w:val="00615406"/>
    <w:rsid w:val="0061611B"/>
    <w:rsid w:val="00620A76"/>
    <w:rsid w:val="006210E5"/>
    <w:rsid w:val="006226FE"/>
    <w:rsid w:val="00622ABE"/>
    <w:rsid w:val="00623238"/>
    <w:rsid w:val="00630B64"/>
    <w:rsid w:val="006318CB"/>
    <w:rsid w:val="00637E1F"/>
    <w:rsid w:val="00644079"/>
    <w:rsid w:val="00645815"/>
    <w:rsid w:val="00653BCC"/>
    <w:rsid w:val="00654303"/>
    <w:rsid w:val="00657B8C"/>
    <w:rsid w:val="00660D3B"/>
    <w:rsid w:val="00662D55"/>
    <w:rsid w:val="00662D85"/>
    <w:rsid w:val="0066392D"/>
    <w:rsid w:val="006673B6"/>
    <w:rsid w:val="0067184D"/>
    <w:rsid w:val="00674496"/>
    <w:rsid w:val="00677B45"/>
    <w:rsid w:val="00682E06"/>
    <w:rsid w:val="006831EC"/>
    <w:rsid w:val="006833BD"/>
    <w:rsid w:val="006838C8"/>
    <w:rsid w:val="006861B4"/>
    <w:rsid w:val="00692D5D"/>
    <w:rsid w:val="00693711"/>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54BE"/>
    <w:rsid w:val="006D573E"/>
    <w:rsid w:val="006D6C82"/>
    <w:rsid w:val="006E0343"/>
    <w:rsid w:val="006E169E"/>
    <w:rsid w:val="006E2EBF"/>
    <w:rsid w:val="006E3024"/>
    <w:rsid w:val="006E3A88"/>
    <w:rsid w:val="006F5DBA"/>
    <w:rsid w:val="006F615E"/>
    <w:rsid w:val="006F6735"/>
    <w:rsid w:val="007005A5"/>
    <w:rsid w:val="007032FF"/>
    <w:rsid w:val="007040B5"/>
    <w:rsid w:val="00706A2D"/>
    <w:rsid w:val="00715808"/>
    <w:rsid w:val="00720177"/>
    <w:rsid w:val="00726959"/>
    <w:rsid w:val="00731A91"/>
    <w:rsid w:val="00734D79"/>
    <w:rsid w:val="0074104D"/>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E2E"/>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85C"/>
    <w:rsid w:val="007B1908"/>
    <w:rsid w:val="007B55C1"/>
    <w:rsid w:val="007C397D"/>
    <w:rsid w:val="007C5BDB"/>
    <w:rsid w:val="007C611F"/>
    <w:rsid w:val="007D385B"/>
    <w:rsid w:val="007D41A0"/>
    <w:rsid w:val="007D4624"/>
    <w:rsid w:val="007E25D2"/>
    <w:rsid w:val="007E29DA"/>
    <w:rsid w:val="007E415D"/>
    <w:rsid w:val="007E49EA"/>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6AF9"/>
    <w:rsid w:val="00857C5B"/>
    <w:rsid w:val="00860ADE"/>
    <w:rsid w:val="00863CD4"/>
    <w:rsid w:val="00864B01"/>
    <w:rsid w:val="0087007F"/>
    <w:rsid w:val="00870319"/>
    <w:rsid w:val="0087043A"/>
    <w:rsid w:val="00874136"/>
    <w:rsid w:val="008745E4"/>
    <w:rsid w:val="00874FAD"/>
    <w:rsid w:val="0087502F"/>
    <w:rsid w:val="00875F5E"/>
    <w:rsid w:val="008806F3"/>
    <w:rsid w:val="00882510"/>
    <w:rsid w:val="008826FA"/>
    <w:rsid w:val="008829D4"/>
    <w:rsid w:val="00883BC7"/>
    <w:rsid w:val="00883FE0"/>
    <w:rsid w:val="00884628"/>
    <w:rsid w:val="00891D72"/>
    <w:rsid w:val="00893F92"/>
    <w:rsid w:val="00895B1F"/>
    <w:rsid w:val="00895B23"/>
    <w:rsid w:val="0089655E"/>
    <w:rsid w:val="00897E02"/>
    <w:rsid w:val="008A08C8"/>
    <w:rsid w:val="008A10C7"/>
    <w:rsid w:val="008A16D3"/>
    <w:rsid w:val="008A4CB4"/>
    <w:rsid w:val="008A660F"/>
    <w:rsid w:val="008A79E9"/>
    <w:rsid w:val="008B16D7"/>
    <w:rsid w:val="008B39BD"/>
    <w:rsid w:val="008B4290"/>
    <w:rsid w:val="008B6024"/>
    <w:rsid w:val="008C04F8"/>
    <w:rsid w:val="008C4D11"/>
    <w:rsid w:val="008C6D46"/>
    <w:rsid w:val="008C7B33"/>
    <w:rsid w:val="008D0993"/>
    <w:rsid w:val="008D2146"/>
    <w:rsid w:val="008D5379"/>
    <w:rsid w:val="008D7EEB"/>
    <w:rsid w:val="008E47D7"/>
    <w:rsid w:val="008F39D3"/>
    <w:rsid w:val="008F6700"/>
    <w:rsid w:val="008F6D8E"/>
    <w:rsid w:val="008F742D"/>
    <w:rsid w:val="009019B3"/>
    <w:rsid w:val="00902AA6"/>
    <w:rsid w:val="00902D3F"/>
    <w:rsid w:val="009034AE"/>
    <w:rsid w:val="0090399E"/>
    <w:rsid w:val="009068BA"/>
    <w:rsid w:val="00907C4E"/>
    <w:rsid w:val="00914774"/>
    <w:rsid w:val="00914A21"/>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65B"/>
    <w:rsid w:val="00965695"/>
    <w:rsid w:val="009661DC"/>
    <w:rsid w:val="009665F6"/>
    <w:rsid w:val="009666DB"/>
    <w:rsid w:val="00970AEC"/>
    <w:rsid w:val="00970EAA"/>
    <w:rsid w:val="009711A1"/>
    <w:rsid w:val="009716C7"/>
    <w:rsid w:val="009728D3"/>
    <w:rsid w:val="00973321"/>
    <w:rsid w:val="00974CF0"/>
    <w:rsid w:val="00975BC8"/>
    <w:rsid w:val="00981F38"/>
    <w:rsid w:val="00984E0C"/>
    <w:rsid w:val="009905E8"/>
    <w:rsid w:val="009945CD"/>
    <w:rsid w:val="00994FB5"/>
    <w:rsid w:val="00995B4E"/>
    <w:rsid w:val="009A0679"/>
    <w:rsid w:val="009A23DD"/>
    <w:rsid w:val="009A5F8B"/>
    <w:rsid w:val="009B252C"/>
    <w:rsid w:val="009B4385"/>
    <w:rsid w:val="009B5667"/>
    <w:rsid w:val="009B5EDB"/>
    <w:rsid w:val="009B7605"/>
    <w:rsid w:val="009C0B81"/>
    <w:rsid w:val="009C39B5"/>
    <w:rsid w:val="009C4313"/>
    <w:rsid w:val="009C4BBC"/>
    <w:rsid w:val="009C5386"/>
    <w:rsid w:val="009D7CD8"/>
    <w:rsid w:val="009E12A1"/>
    <w:rsid w:val="009E1B92"/>
    <w:rsid w:val="009E5995"/>
    <w:rsid w:val="009F029E"/>
    <w:rsid w:val="009F37C9"/>
    <w:rsid w:val="009F3C67"/>
    <w:rsid w:val="009F788A"/>
    <w:rsid w:val="00A01B7A"/>
    <w:rsid w:val="00A02169"/>
    <w:rsid w:val="00A03690"/>
    <w:rsid w:val="00A06DED"/>
    <w:rsid w:val="00A07A9E"/>
    <w:rsid w:val="00A1504C"/>
    <w:rsid w:val="00A22686"/>
    <w:rsid w:val="00A2311F"/>
    <w:rsid w:val="00A240CC"/>
    <w:rsid w:val="00A33379"/>
    <w:rsid w:val="00A347F0"/>
    <w:rsid w:val="00A35878"/>
    <w:rsid w:val="00A37357"/>
    <w:rsid w:val="00A41BAE"/>
    <w:rsid w:val="00A44A57"/>
    <w:rsid w:val="00A46FE2"/>
    <w:rsid w:val="00A472BA"/>
    <w:rsid w:val="00A578DC"/>
    <w:rsid w:val="00A60497"/>
    <w:rsid w:val="00A60D7E"/>
    <w:rsid w:val="00A65744"/>
    <w:rsid w:val="00A65B55"/>
    <w:rsid w:val="00A6792B"/>
    <w:rsid w:val="00A7043B"/>
    <w:rsid w:val="00A74718"/>
    <w:rsid w:val="00A76ADD"/>
    <w:rsid w:val="00A81161"/>
    <w:rsid w:val="00A856F0"/>
    <w:rsid w:val="00A90517"/>
    <w:rsid w:val="00A920FA"/>
    <w:rsid w:val="00A96537"/>
    <w:rsid w:val="00A971FA"/>
    <w:rsid w:val="00AA1E9D"/>
    <w:rsid w:val="00AA222B"/>
    <w:rsid w:val="00AA2AC4"/>
    <w:rsid w:val="00AA5D5A"/>
    <w:rsid w:val="00AB23D6"/>
    <w:rsid w:val="00AB321F"/>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10319"/>
    <w:rsid w:val="00B105FC"/>
    <w:rsid w:val="00B11B77"/>
    <w:rsid w:val="00B13677"/>
    <w:rsid w:val="00B14BC8"/>
    <w:rsid w:val="00B20194"/>
    <w:rsid w:val="00B22E4A"/>
    <w:rsid w:val="00B25DB8"/>
    <w:rsid w:val="00B30266"/>
    <w:rsid w:val="00B31B7A"/>
    <w:rsid w:val="00B321EE"/>
    <w:rsid w:val="00B34704"/>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BB5"/>
    <w:rsid w:val="00B74763"/>
    <w:rsid w:val="00B76187"/>
    <w:rsid w:val="00B771AF"/>
    <w:rsid w:val="00B80868"/>
    <w:rsid w:val="00B81498"/>
    <w:rsid w:val="00B81A6C"/>
    <w:rsid w:val="00B8344A"/>
    <w:rsid w:val="00B8482D"/>
    <w:rsid w:val="00B8687D"/>
    <w:rsid w:val="00B90D82"/>
    <w:rsid w:val="00B919EA"/>
    <w:rsid w:val="00B93F3D"/>
    <w:rsid w:val="00B96AE8"/>
    <w:rsid w:val="00B97ACC"/>
    <w:rsid w:val="00BA05D3"/>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0B59"/>
    <w:rsid w:val="00BF1C90"/>
    <w:rsid w:val="00BF1CAA"/>
    <w:rsid w:val="00BF2FC7"/>
    <w:rsid w:val="00BF37CF"/>
    <w:rsid w:val="00BF68BE"/>
    <w:rsid w:val="00BF7058"/>
    <w:rsid w:val="00C072EC"/>
    <w:rsid w:val="00C07C88"/>
    <w:rsid w:val="00C14C5A"/>
    <w:rsid w:val="00C20F59"/>
    <w:rsid w:val="00C24A5B"/>
    <w:rsid w:val="00C24E8B"/>
    <w:rsid w:val="00C26F4E"/>
    <w:rsid w:val="00C27268"/>
    <w:rsid w:val="00C302D7"/>
    <w:rsid w:val="00C33C97"/>
    <w:rsid w:val="00C377D0"/>
    <w:rsid w:val="00C43430"/>
    <w:rsid w:val="00C436D9"/>
    <w:rsid w:val="00C475F0"/>
    <w:rsid w:val="00C51095"/>
    <w:rsid w:val="00C521A6"/>
    <w:rsid w:val="00C52432"/>
    <w:rsid w:val="00C52A42"/>
    <w:rsid w:val="00C53303"/>
    <w:rsid w:val="00C5332B"/>
    <w:rsid w:val="00C53C19"/>
    <w:rsid w:val="00C541BC"/>
    <w:rsid w:val="00C6238D"/>
    <w:rsid w:val="00C63017"/>
    <w:rsid w:val="00C63E56"/>
    <w:rsid w:val="00C64158"/>
    <w:rsid w:val="00C64A63"/>
    <w:rsid w:val="00C664CE"/>
    <w:rsid w:val="00C67A0E"/>
    <w:rsid w:val="00C67AF8"/>
    <w:rsid w:val="00C713D8"/>
    <w:rsid w:val="00C72760"/>
    <w:rsid w:val="00C7617A"/>
    <w:rsid w:val="00C771F7"/>
    <w:rsid w:val="00C80769"/>
    <w:rsid w:val="00C81D58"/>
    <w:rsid w:val="00C845E5"/>
    <w:rsid w:val="00C8589F"/>
    <w:rsid w:val="00C87E76"/>
    <w:rsid w:val="00C92466"/>
    <w:rsid w:val="00C96472"/>
    <w:rsid w:val="00CA0D50"/>
    <w:rsid w:val="00CA39D4"/>
    <w:rsid w:val="00CA3BE3"/>
    <w:rsid w:val="00CA668E"/>
    <w:rsid w:val="00CA6864"/>
    <w:rsid w:val="00CA74AB"/>
    <w:rsid w:val="00CA7833"/>
    <w:rsid w:val="00CB1CA0"/>
    <w:rsid w:val="00CB2095"/>
    <w:rsid w:val="00CB26A7"/>
    <w:rsid w:val="00CC1A56"/>
    <w:rsid w:val="00CC7BD9"/>
    <w:rsid w:val="00CD2E50"/>
    <w:rsid w:val="00CD3D07"/>
    <w:rsid w:val="00CD592E"/>
    <w:rsid w:val="00CD67CD"/>
    <w:rsid w:val="00CE197A"/>
    <w:rsid w:val="00CE1E89"/>
    <w:rsid w:val="00CE5F74"/>
    <w:rsid w:val="00CE6517"/>
    <w:rsid w:val="00CE71A7"/>
    <w:rsid w:val="00CF0350"/>
    <w:rsid w:val="00CF13D1"/>
    <w:rsid w:val="00CF1723"/>
    <w:rsid w:val="00CF4EE7"/>
    <w:rsid w:val="00D0364B"/>
    <w:rsid w:val="00D05580"/>
    <w:rsid w:val="00D06691"/>
    <w:rsid w:val="00D074D8"/>
    <w:rsid w:val="00D07EF9"/>
    <w:rsid w:val="00D21A8F"/>
    <w:rsid w:val="00D22B97"/>
    <w:rsid w:val="00D2367B"/>
    <w:rsid w:val="00D24B46"/>
    <w:rsid w:val="00D31445"/>
    <w:rsid w:val="00D31CB0"/>
    <w:rsid w:val="00D343A0"/>
    <w:rsid w:val="00D37528"/>
    <w:rsid w:val="00D404FE"/>
    <w:rsid w:val="00D40F2E"/>
    <w:rsid w:val="00D428C0"/>
    <w:rsid w:val="00D473ED"/>
    <w:rsid w:val="00D504D3"/>
    <w:rsid w:val="00D52C77"/>
    <w:rsid w:val="00D53088"/>
    <w:rsid w:val="00D530B1"/>
    <w:rsid w:val="00D53B1F"/>
    <w:rsid w:val="00D5496D"/>
    <w:rsid w:val="00D5750F"/>
    <w:rsid w:val="00D61C0C"/>
    <w:rsid w:val="00D61CB4"/>
    <w:rsid w:val="00D67874"/>
    <w:rsid w:val="00D741A3"/>
    <w:rsid w:val="00D74D00"/>
    <w:rsid w:val="00D74F83"/>
    <w:rsid w:val="00D77819"/>
    <w:rsid w:val="00D80A27"/>
    <w:rsid w:val="00D81398"/>
    <w:rsid w:val="00D8774F"/>
    <w:rsid w:val="00D90A3F"/>
    <w:rsid w:val="00D93F13"/>
    <w:rsid w:val="00D95EA5"/>
    <w:rsid w:val="00D95FDE"/>
    <w:rsid w:val="00DA3550"/>
    <w:rsid w:val="00DA5407"/>
    <w:rsid w:val="00DB474A"/>
    <w:rsid w:val="00DB4E8D"/>
    <w:rsid w:val="00DC43E1"/>
    <w:rsid w:val="00DC4BEE"/>
    <w:rsid w:val="00DD00CA"/>
    <w:rsid w:val="00DD1390"/>
    <w:rsid w:val="00DD1F36"/>
    <w:rsid w:val="00DD2C81"/>
    <w:rsid w:val="00DD3888"/>
    <w:rsid w:val="00DD4A0D"/>
    <w:rsid w:val="00DD5A4C"/>
    <w:rsid w:val="00DD5E9C"/>
    <w:rsid w:val="00DD6BB2"/>
    <w:rsid w:val="00DD7A86"/>
    <w:rsid w:val="00DE0F62"/>
    <w:rsid w:val="00DE1693"/>
    <w:rsid w:val="00DE2FFA"/>
    <w:rsid w:val="00DE4A4A"/>
    <w:rsid w:val="00E022DC"/>
    <w:rsid w:val="00E04C89"/>
    <w:rsid w:val="00E055E0"/>
    <w:rsid w:val="00E06DE4"/>
    <w:rsid w:val="00E0751F"/>
    <w:rsid w:val="00E1297A"/>
    <w:rsid w:val="00E139C6"/>
    <w:rsid w:val="00E13C41"/>
    <w:rsid w:val="00E1563C"/>
    <w:rsid w:val="00E20737"/>
    <w:rsid w:val="00E21E83"/>
    <w:rsid w:val="00E23CBA"/>
    <w:rsid w:val="00E243BF"/>
    <w:rsid w:val="00E2764C"/>
    <w:rsid w:val="00E31FAF"/>
    <w:rsid w:val="00E3446E"/>
    <w:rsid w:val="00E35333"/>
    <w:rsid w:val="00E421E9"/>
    <w:rsid w:val="00E44861"/>
    <w:rsid w:val="00E46B62"/>
    <w:rsid w:val="00E479F2"/>
    <w:rsid w:val="00E55912"/>
    <w:rsid w:val="00E57D20"/>
    <w:rsid w:val="00E70FE8"/>
    <w:rsid w:val="00E74162"/>
    <w:rsid w:val="00E7560D"/>
    <w:rsid w:val="00E76D0C"/>
    <w:rsid w:val="00E77ED8"/>
    <w:rsid w:val="00E80958"/>
    <w:rsid w:val="00E813BA"/>
    <w:rsid w:val="00E83230"/>
    <w:rsid w:val="00E858D5"/>
    <w:rsid w:val="00E869D3"/>
    <w:rsid w:val="00E90E54"/>
    <w:rsid w:val="00E9206A"/>
    <w:rsid w:val="00EA1B7F"/>
    <w:rsid w:val="00EA55C8"/>
    <w:rsid w:val="00EA6120"/>
    <w:rsid w:val="00EA62E8"/>
    <w:rsid w:val="00EB3B4E"/>
    <w:rsid w:val="00EB4471"/>
    <w:rsid w:val="00EB63F5"/>
    <w:rsid w:val="00EC0484"/>
    <w:rsid w:val="00EC1C7E"/>
    <w:rsid w:val="00EC4331"/>
    <w:rsid w:val="00EC4A1C"/>
    <w:rsid w:val="00EC4B33"/>
    <w:rsid w:val="00ED194E"/>
    <w:rsid w:val="00ED4855"/>
    <w:rsid w:val="00ED56D4"/>
    <w:rsid w:val="00ED63AA"/>
    <w:rsid w:val="00EE0D9F"/>
    <w:rsid w:val="00EE5B3B"/>
    <w:rsid w:val="00EE6945"/>
    <w:rsid w:val="00EF1768"/>
    <w:rsid w:val="00EF6FD1"/>
    <w:rsid w:val="00EF6FED"/>
    <w:rsid w:val="00F00CD5"/>
    <w:rsid w:val="00F07BB7"/>
    <w:rsid w:val="00F11F5B"/>
    <w:rsid w:val="00F12401"/>
    <w:rsid w:val="00F15C0D"/>
    <w:rsid w:val="00F16D63"/>
    <w:rsid w:val="00F211E0"/>
    <w:rsid w:val="00F21C20"/>
    <w:rsid w:val="00F21E42"/>
    <w:rsid w:val="00F22353"/>
    <w:rsid w:val="00F23F1D"/>
    <w:rsid w:val="00F32FAB"/>
    <w:rsid w:val="00F41771"/>
    <w:rsid w:val="00F473C3"/>
    <w:rsid w:val="00F50896"/>
    <w:rsid w:val="00F50DCB"/>
    <w:rsid w:val="00F51925"/>
    <w:rsid w:val="00F568C0"/>
    <w:rsid w:val="00F574AF"/>
    <w:rsid w:val="00F5790D"/>
    <w:rsid w:val="00F62DFD"/>
    <w:rsid w:val="00F666B4"/>
    <w:rsid w:val="00F73FA9"/>
    <w:rsid w:val="00F74740"/>
    <w:rsid w:val="00F8484C"/>
    <w:rsid w:val="00F85E6D"/>
    <w:rsid w:val="00F86C1C"/>
    <w:rsid w:val="00F9013A"/>
    <w:rsid w:val="00F91BD8"/>
    <w:rsid w:val="00F925CF"/>
    <w:rsid w:val="00F92702"/>
    <w:rsid w:val="00F93860"/>
    <w:rsid w:val="00F97AE4"/>
    <w:rsid w:val="00FA0151"/>
    <w:rsid w:val="00FA52A9"/>
    <w:rsid w:val="00FB1CB0"/>
    <w:rsid w:val="00FC3A40"/>
    <w:rsid w:val="00FC6320"/>
    <w:rsid w:val="00FC6CF7"/>
    <w:rsid w:val="00FC7E55"/>
    <w:rsid w:val="00FD0304"/>
    <w:rsid w:val="00FD0C6A"/>
    <w:rsid w:val="00FD1665"/>
    <w:rsid w:val="00FD3D15"/>
    <w:rsid w:val="00FD4006"/>
    <w:rsid w:val="00FE11AA"/>
    <w:rsid w:val="00FE23B4"/>
    <w:rsid w:val="00FE25D4"/>
    <w:rsid w:val="00FE27C9"/>
    <w:rsid w:val="00FE56B3"/>
    <w:rsid w:val="00FE75DC"/>
    <w:rsid w:val="00FE7DD2"/>
    <w:rsid w:val="00FF1DDA"/>
    <w:rsid w:val="00FF3242"/>
    <w:rsid w:val="00FF341E"/>
    <w:rsid w:val="00FF55E4"/>
    <w:rsid w:val="00FF6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6494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Vib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9EAE-E768-4526-8728-F827766C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10382</Words>
  <Characters>5919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2014.gada 23.decembra noteikumos Nr.836 “Darbības programmas “Izaugsme un nodarbinātība” 7.1.1. specifiskā atbalsta mērķa “Paaugstināt bezdarbnieku kvalifikāciju un prasmes atbilstoši darba tirgus </vt:lpstr>
    </vt:vector>
  </TitlesOfParts>
  <Company>Labklājības ministrija</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2014.gada 23.decembra noteikumos Nr.836 “Darbības programmas “Izaugsme un nodarbinātība” 7.1.1. specifiskā atbalsta mērķa “Paaugstināt bezdarbnieku kvalifikāciju un prasmes atbilstoši darba tirgus pieprasījumam” īstenošanas noteikumi”” projekta sākotnējās ietekmes novērtējuma ziņojums (anotācija)</dc:title>
  <dc:subject>Anotācija</dc:subject>
  <dc:creator>Anna Vībe</dc:creator>
  <dc:description>E-pasts: Anna.Vibe@lm.gov.lv_x000d_
Tālr.: 67021648</dc:description>
  <cp:lastModifiedBy>Anna Vibe</cp:lastModifiedBy>
  <cp:revision>27</cp:revision>
  <cp:lastPrinted>2014-12-12T10:30:00Z</cp:lastPrinted>
  <dcterms:created xsi:type="dcterms:W3CDTF">2014-12-18T14:07:00Z</dcterms:created>
  <dcterms:modified xsi:type="dcterms:W3CDTF">2015-12-11T14:44:00Z</dcterms:modified>
</cp:coreProperties>
</file>