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A8" w:rsidRPr="008F7F51" w:rsidRDefault="006C07A8" w:rsidP="006C07A8">
      <w:pPr>
        <w:jc w:val="center"/>
        <w:rPr>
          <w:b/>
        </w:rPr>
      </w:pPr>
      <w:bookmarkStart w:id="0" w:name="OLE_LINK3"/>
      <w:bookmarkStart w:id="1" w:name="OLE_LINK4"/>
    </w:p>
    <w:p w:rsidR="006C07A8" w:rsidRPr="008F7F51" w:rsidRDefault="006C07A8" w:rsidP="006C07A8">
      <w:pPr>
        <w:jc w:val="center"/>
        <w:rPr>
          <w:b/>
        </w:rPr>
      </w:pPr>
      <w:r w:rsidRPr="008F7F51">
        <w:rPr>
          <w:b/>
        </w:rPr>
        <w:t>Ministru kabine</w:t>
      </w:r>
      <w:r w:rsidR="000A7456">
        <w:rPr>
          <w:b/>
        </w:rPr>
        <w:t>ta noteikumu projekta „Grozījums</w:t>
      </w:r>
      <w:r w:rsidRPr="008F7F51">
        <w:rPr>
          <w:b/>
        </w:rPr>
        <w:t xml:space="preserve"> Ministru kabineta 2012.gada 4.septembra noteikumos Nr.619 „Noteikumi par atpūtas kuģu vadītāju apmācību, sertificēšanu un reģistrāciju”” sākotnējās ietekmes novērtējuma ziņojums (anotācija)</w:t>
      </w:r>
    </w:p>
    <w:bookmarkEnd w:id="0"/>
    <w:bookmarkEnd w:id="1"/>
    <w:p w:rsidR="006C07A8" w:rsidRPr="008F7F51" w:rsidRDefault="006C07A8" w:rsidP="006C07A8">
      <w:pPr>
        <w:jc w:val="center"/>
      </w:pPr>
    </w:p>
    <w:p w:rsidR="006C07A8" w:rsidRPr="008F7F51" w:rsidRDefault="006C07A8" w:rsidP="006C07A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863"/>
        <w:gridCol w:w="6800"/>
      </w:tblGrid>
      <w:tr w:rsidR="006C07A8" w:rsidRPr="008F7F51" w:rsidTr="008970A7">
        <w:trPr>
          <w:trHeight w:val="495"/>
        </w:trPr>
        <w:tc>
          <w:tcPr>
            <w:tcW w:w="9089" w:type="dxa"/>
            <w:gridSpan w:val="3"/>
          </w:tcPr>
          <w:p w:rsidR="006C07A8" w:rsidRPr="008F7F51" w:rsidRDefault="006C07A8" w:rsidP="008970A7">
            <w:pPr>
              <w:jc w:val="center"/>
            </w:pPr>
            <w:r w:rsidRPr="008F7F51">
              <w:rPr>
                <w:b/>
              </w:rPr>
              <w:t>I. Tiesību akta projekta izstrādes nepieciešamība</w:t>
            </w:r>
          </w:p>
        </w:tc>
      </w:tr>
      <w:tr w:rsidR="006C07A8" w:rsidRPr="008F7F51" w:rsidTr="008970A7">
        <w:trPr>
          <w:trHeight w:val="1087"/>
        </w:trPr>
        <w:tc>
          <w:tcPr>
            <w:tcW w:w="426" w:type="dxa"/>
          </w:tcPr>
          <w:p w:rsidR="006C07A8" w:rsidRPr="008F7F51" w:rsidRDefault="006C07A8" w:rsidP="008970A7">
            <w:pPr>
              <w:jc w:val="center"/>
            </w:pPr>
            <w:r w:rsidRPr="008F7F51">
              <w:t>1.</w:t>
            </w:r>
          </w:p>
        </w:tc>
        <w:tc>
          <w:tcPr>
            <w:tcW w:w="1863" w:type="dxa"/>
          </w:tcPr>
          <w:p w:rsidR="006C07A8" w:rsidRPr="008F7F51" w:rsidRDefault="006C07A8" w:rsidP="008970A7">
            <w:r w:rsidRPr="008F7F51">
              <w:t>Pamatojums</w:t>
            </w:r>
          </w:p>
        </w:tc>
        <w:tc>
          <w:tcPr>
            <w:tcW w:w="6800" w:type="dxa"/>
          </w:tcPr>
          <w:p w:rsidR="006C07A8" w:rsidRPr="008F7F51" w:rsidRDefault="00DD7440" w:rsidP="000A7456">
            <w:pPr>
              <w:jc w:val="both"/>
            </w:pPr>
            <w:r>
              <w:t xml:space="preserve">            </w:t>
            </w:r>
            <w:r w:rsidR="006C07A8" w:rsidRPr="008F7F51">
              <w:t>Ministru kabineta noteikumu projekts „Grozījum</w:t>
            </w:r>
            <w:r w:rsidR="000A7456">
              <w:t>s</w:t>
            </w:r>
            <w:r w:rsidR="006C07A8" w:rsidRPr="008F7F51">
              <w:t xml:space="preserve"> Ministru kabineta 2012.gada 4.septembra noteikumos Nr.619 „Noteikumi par atpūtas kuģu vadītāju apmācību, sertificēšanu un reģistrāciju”” (turpmāk –</w:t>
            </w:r>
            <w:r>
              <w:t xml:space="preserve"> </w:t>
            </w:r>
            <w:r w:rsidR="006C07A8" w:rsidRPr="008F7F51">
              <w:t>projekts) izstrādāts, pamatojoties uz Jūrlietu pārvaldes un jūras drošības likuma 26.panta ceturto daļu, kas noteic, ka atpūtas kuģu vadītāju apmācības, sertificēšanas un reģistrācijas kārtību nosaka Ministru kabinets.</w:t>
            </w:r>
          </w:p>
        </w:tc>
      </w:tr>
      <w:tr w:rsidR="006C07A8" w:rsidRPr="00E53741" w:rsidTr="008970A7">
        <w:trPr>
          <w:trHeight w:val="416"/>
        </w:trPr>
        <w:tc>
          <w:tcPr>
            <w:tcW w:w="426" w:type="dxa"/>
          </w:tcPr>
          <w:p w:rsidR="006C07A8" w:rsidRPr="00E53741" w:rsidRDefault="006C07A8" w:rsidP="008970A7">
            <w:pPr>
              <w:jc w:val="center"/>
            </w:pPr>
            <w:r w:rsidRPr="00E53741">
              <w:t>2.</w:t>
            </w:r>
          </w:p>
        </w:tc>
        <w:tc>
          <w:tcPr>
            <w:tcW w:w="1863" w:type="dxa"/>
          </w:tcPr>
          <w:p w:rsidR="006C07A8" w:rsidRPr="00E53741" w:rsidRDefault="006C07A8" w:rsidP="008970A7">
            <w:r w:rsidRPr="00E53741">
              <w:t>Pašreizējā situācija un problēmas, kuru risināšanai tiesību akta projekts izstrādāts, tiesiskā regulējuma mērķis un būtība</w:t>
            </w:r>
          </w:p>
        </w:tc>
        <w:tc>
          <w:tcPr>
            <w:tcW w:w="6800" w:type="dxa"/>
          </w:tcPr>
          <w:p w:rsidR="00DD7440" w:rsidRDefault="00DA6E59" w:rsidP="00F9496C">
            <w:pPr>
              <w:ind w:firstLine="722"/>
              <w:jc w:val="both"/>
            </w:pPr>
            <w:r>
              <w:t xml:space="preserve">Atbilstoši </w:t>
            </w:r>
            <w:r w:rsidRPr="00DA6E59">
              <w:t xml:space="preserve">Ministru kabineta 2012.gada 4.septembra noteikumu Nr.619 „Noteikumi par atpūtas kuģu vadītāju apmācību, sertificēšanu un reģistrāciju”” </w:t>
            </w:r>
            <w:r>
              <w:t xml:space="preserve">(turpmāk – noteikumi Nr.619) 69.punktam </w:t>
            </w:r>
            <w:r w:rsidR="00DD7440" w:rsidRPr="00DD7440">
              <w:t xml:space="preserve">valsts akciju sabiedrības “Ceļu satiksmes drošības direkcija” (turpmāk – CSDD) </w:t>
            </w:r>
            <w:r>
              <w:t>agrāk izsniegtās</w:t>
            </w:r>
            <w:r w:rsidRPr="003A36AB">
              <w:t xml:space="preserve"> mazizmēra kuģoš</w:t>
            </w:r>
            <w:r>
              <w:t>anas līdzekļu vadītāja apliecības</w:t>
            </w:r>
            <w:r w:rsidRPr="003A36AB">
              <w:t xml:space="preserve"> un atpūtas kuģ</w:t>
            </w:r>
            <w:r>
              <w:t xml:space="preserve">u vadītāja apliecības (ko persona pirmo reizi ieguvusi </w:t>
            </w:r>
            <w:r w:rsidRPr="003A36AB">
              <w:t>līdz 2012.gada 31.decembrim</w:t>
            </w:r>
            <w:r>
              <w:t>)</w:t>
            </w:r>
            <w:r w:rsidRPr="003A36AB">
              <w:t xml:space="preserve"> </w:t>
            </w:r>
            <w:r>
              <w:t xml:space="preserve">līdz 2015.gada 31.decembrim varēja samainīt CSDD pret apliecībām, kas deva tiesības vadīt </w:t>
            </w:r>
            <w:r w:rsidRPr="00DA6E59">
              <w:t>motorizēto atpūtas kuģu</w:t>
            </w:r>
            <w:r>
              <w:t xml:space="preserve">s, kuru </w:t>
            </w:r>
            <w:r w:rsidRPr="00DA6E59">
              <w:t xml:space="preserve"> garums nepārsniedz 12 metrus, kuģošanai Latv</w:t>
            </w:r>
            <w:r>
              <w:t xml:space="preserve">ijas Republikas iekšējos ūdeņos. </w:t>
            </w:r>
          </w:p>
          <w:p w:rsidR="003A36AB" w:rsidRDefault="00DD7440" w:rsidP="00F9496C">
            <w:pPr>
              <w:ind w:firstLine="722"/>
              <w:jc w:val="both"/>
            </w:pPr>
            <w:r>
              <w:t xml:space="preserve">Pieņemot </w:t>
            </w:r>
            <w:r w:rsidR="006C07A8" w:rsidRPr="008F7F51">
              <w:t>Ministru kabineta</w:t>
            </w:r>
            <w:r w:rsidR="006C07A8">
              <w:t xml:space="preserve"> 2015.gada 15.decembra noteikum</w:t>
            </w:r>
            <w:r>
              <w:t>us</w:t>
            </w:r>
            <w:r w:rsidR="006C07A8">
              <w:t xml:space="preserve"> Nr.730</w:t>
            </w:r>
            <w:r w:rsidR="006C07A8" w:rsidRPr="008F7F51">
              <w:t xml:space="preserve"> „Grozījumi Ministru kabineta 2012.gada 4.septembra noteikum</w:t>
            </w:r>
            <w:r w:rsidR="00E1147F">
              <w:t>u</w:t>
            </w:r>
            <w:r w:rsidR="006C07A8" w:rsidRPr="008F7F51">
              <w:t xml:space="preserve"> Nr.619 „Noteikumi par atpūtas kuģu vadītāju apmācību, sertificēšanu un reģistrāciju””</w:t>
            </w:r>
            <w:r w:rsidR="006C07A8">
              <w:t xml:space="preserve"> </w:t>
            </w:r>
            <w:r w:rsidR="00716103">
              <w:t>(</w:t>
            </w:r>
            <w:r w:rsidR="00716103" w:rsidRPr="008F7F51">
              <w:t>turpmāk</w:t>
            </w:r>
            <w:r w:rsidR="00716103">
              <w:t xml:space="preserve"> </w:t>
            </w:r>
            <w:r w:rsidR="003F2DBD">
              <w:t>–</w:t>
            </w:r>
            <w:r w:rsidR="00716103">
              <w:t xml:space="preserve"> noteikumi</w:t>
            </w:r>
            <w:r w:rsidR="003F2DBD">
              <w:t xml:space="preserve"> N</w:t>
            </w:r>
            <w:r w:rsidR="000A7456">
              <w:t>r</w:t>
            </w:r>
            <w:r w:rsidR="003F2DBD">
              <w:t>.730</w:t>
            </w:r>
            <w:r w:rsidR="00716103">
              <w:t>)</w:t>
            </w:r>
            <w:r>
              <w:t xml:space="preserve">, </w:t>
            </w:r>
            <w:r w:rsidR="00716103">
              <w:t xml:space="preserve"> </w:t>
            </w:r>
            <w:r>
              <w:t xml:space="preserve">noteikumu Nr.619 </w:t>
            </w:r>
            <w:r w:rsidR="003F2DBD">
              <w:t>69.punkt</w:t>
            </w:r>
            <w:r>
              <w:t>ā ir</w:t>
            </w:r>
            <w:r w:rsidR="003F2DBD">
              <w:t xml:space="preserve"> paredz</w:t>
            </w:r>
            <w:r>
              <w:t>ēts</w:t>
            </w:r>
            <w:r w:rsidR="003F2DBD">
              <w:t xml:space="preserve">, ka CSDD </w:t>
            </w:r>
            <w:r>
              <w:t>izsniegtās</w:t>
            </w:r>
            <w:r w:rsidR="003F2DBD" w:rsidRPr="003F2DBD">
              <w:t xml:space="preserve"> mazizmēra kuģoš</w:t>
            </w:r>
            <w:r>
              <w:t>anas līdzekļu vadītāja apliecības</w:t>
            </w:r>
            <w:r w:rsidR="003F2DBD" w:rsidRPr="003F2DBD">
              <w:t xml:space="preserve"> un </w:t>
            </w:r>
            <w:r w:rsidR="008F3B4D">
              <w:t>atpūtas kuģu vadītāja apliecīb</w:t>
            </w:r>
            <w:r>
              <w:t>as</w:t>
            </w:r>
            <w:r w:rsidR="003F2DBD">
              <w:t xml:space="preserve">, </w:t>
            </w:r>
            <w:r w:rsidR="003F2DBD" w:rsidRPr="003F2DBD">
              <w:t xml:space="preserve">ja </w:t>
            </w:r>
            <w:r w:rsidR="003F2DBD">
              <w:t>šāda apliecība</w:t>
            </w:r>
            <w:r w:rsidR="003F2DBD" w:rsidRPr="003F2DBD">
              <w:t xml:space="preserve"> ir nozaudēta vai nozagta, var atjaunot </w:t>
            </w:r>
            <w:r w:rsidR="00C36AF6">
              <w:t>CSDD</w:t>
            </w:r>
            <w:r w:rsidR="0013787B">
              <w:t>,</w:t>
            </w:r>
            <w:r w:rsidR="00C36AF6">
              <w:t xml:space="preserve"> sākot ar 2016.gada 1.janvāri</w:t>
            </w:r>
            <w:r w:rsidR="0013787B">
              <w:t>,</w:t>
            </w:r>
            <w:r w:rsidR="00C36AF6" w:rsidRPr="003F2DBD">
              <w:t xml:space="preserve"> </w:t>
            </w:r>
            <w:r w:rsidR="003F2DBD" w:rsidRPr="003F2DBD">
              <w:t>saņemot jaunu apliecību, kas apliecina tiesības vadīt motorizētos atpūtas kuģus, kuru garums nepārsniedz 24 metrus</w:t>
            </w:r>
            <w:r w:rsidR="00B73B8B">
              <w:t>,</w:t>
            </w:r>
            <w:r w:rsidR="00B73B8B" w:rsidRPr="003F2DBD">
              <w:t xml:space="preserve"> iekšējos ūdeņos</w:t>
            </w:r>
            <w:r w:rsidR="00F9496C">
              <w:t>.</w:t>
            </w:r>
            <w:r w:rsidR="00E1147F">
              <w:t xml:space="preserve"> </w:t>
            </w:r>
          </w:p>
          <w:p w:rsidR="00E1147F" w:rsidRDefault="00DD7440" w:rsidP="00F9496C">
            <w:pPr>
              <w:ind w:firstLine="722"/>
              <w:jc w:val="both"/>
            </w:pPr>
            <w:r>
              <w:t xml:space="preserve">Lai nodrošinātu līdzvērtīgas tiesības </w:t>
            </w:r>
            <w:r>
              <w:t>iegūt jau</w:t>
            </w:r>
            <w:r>
              <w:t>nās apliecības</w:t>
            </w:r>
            <w:r>
              <w:t xml:space="preserve"> par tiesībām vadīt atpūtas kuģus, kuru garums nepārsniedz 24 metrus </w:t>
            </w:r>
            <w:r w:rsidR="00E1147F">
              <w:t>visiem CSDD agrāk izsniegto apliecību īpašniekiem</w:t>
            </w:r>
            <w:r>
              <w:t xml:space="preserve"> </w:t>
            </w:r>
            <w:r w:rsidR="003A36AB">
              <w:t xml:space="preserve">(t.i. ne tikai personām, kas veco apliecību ir nozaudējušas vai kam </w:t>
            </w:r>
            <w:r>
              <w:t>tā ir nozagta), m</w:t>
            </w:r>
            <w:r>
              <w:t>inēto normu nepieciešams</w:t>
            </w:r>
            <w:r>
              <w:t xml:space="preserve"> papildināt, paredzot arī tās apmaiņu pret jauno apliecību. </w:t>
            </w:r>
          </w:p>
          <w:p w:rsidR="00E1147F" w:rsidRDefault="00E1147F" w:rsidP="00F9496C">
            <w:pPr>
              <w:ind w:firstLine="722"/>
              <w:jc w:val="both"/>
            </w:pPr>
          </w:p>
          <w:p w:rsidR="00E1147F" w:rsidRPr="00E53741" w:rsidRDefault="00E1147F" w:rsidP="00E1147F">
            <w:pPr>
              <w:ind w:firstLine="722"/>
              <w:jc w:val="both"/>
            </w:pPr>
            <w:r w:rsidRPr="00E53741">
              <w:t>Projektā ietvertās tiesiskā regulējuma izmaiņas minēt</w:t>
            </w:r>
            <w:r w:rsidR="00DD7440">
              <w:t>o</w:t>
            </w:r>
            <w:r w:rsidRPr="00E53741">
              <w:t xml:space="preserve"> problēm</w:t>
            </w:r>
            <w:r w:rsidR="00DD7440">
              <w:t>u</w:t>
            </w:r>
            <w:r w:rsidRPr="00E53741">
              <w:t xml:space="preserve"> atrisinās pilnībā.</w:t>
            </w:r>
          </w:p>
          <w:p w:rsidR="00E1147F" w:rsidRDefault="00E1147F" w:rsidP="003F2DBD">
            <w:pPr>
              <w:ind w:firstLine="722"/>
              <w:jc w:val="both"/>
            </w:pPr>
          </w:p>
          <w:p w:rsidR="00E1147F" w:rsidRDefault="00E1147F" w:rsidP="003F2DBD">
            <w:pPr>
              <w:ind w:firstLine="722"/>
              <w:jc w:val="both"/>
            </w:pPr>
          </w:p>
          <w:p w:rsidR="003F2DBD" w:rsidRPr="00E53741" w:rsidRDefault="003F2DBD" w:rsidP="003F2DBD">
            <w:pPr>
              <w:ind w:firstLine="722"/>
              <w:jc w:val="both"/>
            </w:pPr>
          </w:p>
        </w:tc>
      </w:tr>
      <w:tr w:rsidR="006C07A8" w:rsidRPr="00E53741" w:rsidTr="008970A7">
        <w:trPr>
          <w:trHeight w:val="983"/>
        </w:trPr>
        <w:tc>
          <w:tcPr>
            <w:tcW w:w="426" w:type="dxa"/>
          </w:tcPr>
          <w:p w:rsidR="006C07A8" w:rsidRPr="00E53741" w:rsidRDefault="006C07A8" w:rsidP="008970A7">
            <w:r w:rsidRPr="00E53741">
              <w:lastRenderedPageBreak/>
              <w:t>3.</w:t>
            </w:r>
          </w:p>
        </w:tc>
        <w:tc>
          <w:tcPr>
            <w:tcW w:w="1863" w:type="dxa"/>
          </w:tcPr>
          <w:p w:rsidR="006C07A8" w:rsidRPr="00E53741" w:rsidRDefault="006C07A8" w:rsidP="008970A7">
            <w:r w:rsidRPr="00E53741">
              <w:t>Projekta izstrādē iesaistītās institūcijas</w:t>
            </w:r>
          </w:p>
        </w:tc>
        <w:tc>
          <w:tcPr>
            <w:tcW w:w="6800" w:type="dxa"/>
          </w:tcPr>
          <w:p w:rsidR="006C07A8" w:rsidRPr="00E53741" w:rsidRDefault="006C07A8" w:rsidP="008970A7">
            <w:r w:rsidRPr="00E53741">
              <w:t>CSDD, Satiksmes ministrija.</w:t>
            </w:r>
          </w:p>
        </w:tc>
      </w:tr>
      <w:tr w:rsidR="006C07A8" w:rsidRPr="00E53741" w:rsidTr="008970A7">
        <w:trPr>
          <w:trHeight w:val="406"/>
        </w:trPr>
        <w:tc>
          <w:tcPr>
            <w:tcW w:w="426" w:type="dxa"/>
          </w:tcPr>
          <w:p w:rsidR="006C07A8" w:rsidRPr="00E53741" w:rsidRDefault="006C07A8" w:rsidP="008970A7">
            <w:r w:rsidRPr="00E53741">
              <w:t>4.</w:t>
            </w:r>
          </w:p>
        </w:tc>
        <w:tc>
          <w:tcPr>
            <w:tcW w:w="1863" w:type="dxa"/>
          </w:tcPr>
          <w:p w:rsidR="006C07A8" w:rsidRPr="00E53741" w:rsidRDefault="006C07A8" w:rsidP="008970A7">
            <w:r w:rsidRPr="00E53741">
              <w:t>Cita informācija</w:t>
            </w:r>
          </w:p>
        </w:tc>
        <w:tc>
          <w:tcPr>
            <w:tcW w:w="6800" w:type="dxa"/>
          </w:tcPr>
          <w:p w:rsidR="006C07A8" w:rsidRPr="00E53741" w:rsidRDefault="003A1AE6" w:rsidP="0024470D">
            <w:pPr>
              <w:jc w:val="both"/>
            </w:pPr>
            <w:r>
              <w:rPr>
                <w:noProof/>
              </w:rPr>
              <w:t xml:space="preserve">Ar projektu piedāvātais grozījums noteikumu Nr.619 69.punktā atbilst tiesību normai, kāda bija paredzēta Satiksmes ministrijas virzītajā </w:t>
            </w:r>
            <w:r w:rsidRPr="003A1AE6">
              <w:rPr>
                <w:noProof/>
              </w:rPr>
              <w:t>Ministru kabineta noteikumu projekt</w:t>
            </w:r>
            <w:r>
              <w:rPr>
                <w:noProof/>
              </w:rPr>
              <w:t>ā</w:t>
            </w:r>
            <w:r w:rsidRPr="003A1AE6">
              <w:rPr>
                <w:noProof/>
              </w:rPr>
              <w:t xml:space="preserve"> “Grozījumi Ministru kabineta 2012.gada 4.septembra noteikumos Nr.619 "Noteikumi par atpūtas kuģu vadītāju apmācību, sertificēšanu un reģistrāciju”” (VSS-670)</w:t>
            </w:r>
            <w:r>
              <w:rPr>
                <w:noProof/>
              </w:rPr>
              <w:t xml:space="preserve">, kas tika saskaņots ar </w:t>
            </w:r>
            <w:r w:rsidR="0024470D">
              <w:rPr>
                <w:noProof/>
              </w:rPr>
              <w:t xml:space="preserve">Tieslietu ministriju, Finanšu ministriju u.c. </w:t>
            </w:r>
            <w:r>
              <w:rPr>
                <w:noProof/>
              </w:rPr>
              <w:t xml:space="preserve">ministrijām </w:t>
            </w:r>
            <w:r w:rsidR="0024470D">
              <w:rPr>
                <w:noProof/>
              </w:rPr>
              <w:t xml:space="preserve">un Valsts kancelejas Politikas koordinācijas departamentu </w:t>
            </w:r>
            <w:r>
              <w:rPr>
                <w:noProof/>
              </w:rPr>
              <w:t xml:space="preserve">un </w:t>
            </w:r>
            <w:r w:rsidR="0024470D">
              <w:rPr>
                <w:noProof/>
              </w:rPr>
              <w:t xml:space="preserve">ar </w:t>
            </w:r>
            <w:r w:rsidR="0024470D">
              <w:rPr>
                <w:noProof/>
              </w:rPr>
              <w:t xml:space="preserve">Satiksmes ministrijas </w:t>
            </w:r>
            <w:r>
              <w:rPr>
                <w:noProof/>
              </w:rPr>
              <w:t xml:space="preserve">2015.gada </w:t>
            </w:r>
            <w:r w:rsidR="0024470D">
              <w:rPr>
                <w:noProof/>
              </w:rPr>
              <w:t>20.</w:t>
            </w:r>
            <w:r>
              <w:rPr>
                <w:noProof/>
              </w:rPr>
              <w:t>novembr</w:t>
            </w:r>
            <w:r w:rsidR="0024470D">
              <w:rPr>
                <w:noProof/>
              </w:rPr>
              <w:t>a</w:t>
            </w:r>
            <w:r>
              <w:rPr>
                <w:noProof/>
              </w:rPr>
              <w:t xml:space="preserve"> </w:t>
            </w:r>
            <w:r w:rsidR="0024470D">
              <w:rPr>
                <w:noProof/>
              </w:rPr>
              <w:t xml:space="preserve">vēstuli Nr.01-10/186 </w:t>
            </w:r>
            <w:r>
              <w:rPr>
                <w:noProof/>
              </w:rPr>
              <w:t xml:space="preserve">iesniegts Valsts kancelejā izskatīšanai Ministru kabineta sēdē.  </w:t>
            </w:r>
          </w:p>
        </w:tc>
      </w:tr>
    </w:tbl>
    <w:p w:rsidR="006C07A8" w:rsidRPr="00E53741" w:rsidRDefault="006C07A8" w:rsidP="006C07A8">
      <w:pPr>
        <w:rPr>
          <w:b/>
        </w:rPr>
      </w:pPr>
    </w:p>
    <w:p w:rsidR="006C07A8" w:rsidRPr="00E53741" w:rsidRDefault="006C07A8" w:rsidP="006C07A8">
      <w:pPr>
        <w:jc w:val="center"/>
        <w:rPr>
          <w:b/>
        </w:rPr>
      </w:pPr>
    </w:p>
    <w:p w:rsidR="006C07A8" w:rsidRPr="00E53741" w:rsidRDefault="006C07A8" w:rsidP="006C07A8">
      <w:pPr>
        <w:jc w:val="center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94"/>
        <w:gridCol w:w="5953"/>
      </w:tblGrid>
      <w:tr w:rsidR="006C07A8" w:rsidRPr="00E53741" w:rsidTr="008970A7">
        <w:trPr>
          <w:trHeight w:val="835"/>
        </w:trPr>
        <w:tc>
          <w:tcPr>
            <w:tcW w:w="9214" w:type="dxa"/>
            <w:gridSpan w:val="3"/>
          </w:tcPr>
          <w:p w:rsidR="006C07A8" w:rsidRPr="00E53741" w:rsidRDefault="006C07A8" w:rsidP="008970A7">
            <w:pPr>
              <w:jc w:val="center"/>
            </w:pPr>
            <w:r w:rsidRPr="00E53741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6C07A8" w:rsidRPr="00E53741" w:rsidTr="008970A7">
        <w:trPr>
          <w:trHeight w:val="1269"/>
        </w:trPr>
        <w:tc>
          <w:tcPr>
            <w:tcW w:w="567" w:type="dxa"/>
          </w:tcPr>
          <w:p w:rsidR="006C07A8" w:rsidRPr="00E53741" w:rsidRDefault="006C07A8" w:rsidP="008970A7">
            <w:pPr>
              <w:jc w:val="center"/>
            </w:pPr>
            <w:r w:rsidRPr="00E53741">
              <w:t>1.</w:t>
            </w:r>
          </w:p>
        </w:tc>
        <w:tc>
          <w:tcPr>
            <w:tcW w:w="2694" w:type="dxa"/>
          </w:tcPr>
          <w:p w:rsidR="006C07A8" w:rsidRPr="00E53741" w:rsidRDefault="006C07A8" w:rsidP="008970A7">
            <w:r w:rsidRPr="00E53741">
              <w:t xml:space="preserve">Sabiedrības </w:t>
            </w:r>
            <w:proofErr w:type="spellStart"/>
            <w:r w:rsidRPr="00E53741">
              <w:t>mērķgrupas</w:t>
            </w:r>
            <w:proofErr w:type="spellEnd"/>
            <w:r w:rsidRPr="00E53741">
              <w:t>, kuras tiesiskais regulējums ietekmē vai varētu ietekmēt</w:t>
            </w:r>
          </w:p>
        </w:tc>
        <w:tc>
          <w:tcPr>
            <w:tcW w:w="5953" w:type="dxa"/>
          </w:tcPr>
          <w:p w:rsidR="006C07A8" w:rsidRPr="00E53741" w:rsidRDefault="006C07A8" w:rsidP="008F3B4D">
            <w:pPr>
              <w:jc w:val="both"/>
            </w:pPr>
            <w:r w:rsidRPr="00E53741">
              <w:t>CSDD līdz 31.12.2012. izsniegto mazizmēra kuģošanas līdzekļu vadītāja apliecību un atpūtas kuģu vadītāju apliecību īpašnieki – ap 10 000 personas.</w:t>
            </w:r>
          </w:p>
          <w:p w:rsidR="006C07A8" w:rsidRPr="00E53741" w:rsidRDefault="006C07A8" w:rsidP="008970A7"/>
        </w:tc>
      </w:tr>
      <w:tr w:rsidR="006C07A8" w:rsidRPr="00E53741" w:rsidTr="008970A7">
        <w:trPr>
          <w:trHeight w:val="1247"/>
        </w:trPr>
        <w:tc>
          <w:tcPr>
            <w:tcW w:w="567" w:type="dxa"/>
          </w:tcPr>
          <w:p w:rsidR="006C07A8" w:rsidRPr="00E53741" w:rsidRDefault="006C07A8" w:rsidP="008970A7">
            <w:r w:rsidRPr="00E53741">
              <w:t>2.</w:t>
            </w:r>
          </w:p>
        </w:tc>
        <w:tc>
          <w:tcPr>
            <w:tcW w:w="2694" w:type="dxa"/>
          </w:tcPr>
          <w:p w:rsidR="006C07A8" w:rsidRPr="00E53741" w:rsidRDefault="006C07A8" w:rsidP="008970A7">
            <w:r w:rsidRPr="00E53741">
              <w:t>Tiesiskā regulējuma ietekme uz tautsaimniecību un administratīvo slogu</w:t>
            </w:r>
          </w:p>
        </w:tc>
        <w:tc>
          <w:tcPr>
            <w:tcW w:w="5953" w:type="dxa"/>
          </w:tcPr>
          <w:p w:rsidR="006C07A8" w:rsidRPr="00E53741" w:rsidRDefault="000A7456" w:rsidP="008970A7">
            <w:pPr>
              <w:jc w:val="both"/>
              <w:rPr>
                <w:strike/>
              </w:rPr>
            </w:pPr>
            <w:r w:rsidRPr="00E53741">
              <w:t>Projekts šo jomu neskar.</w:t>
            </w:r>
          </w:p>
          <w:p w:rsidR="006C07A8" w:rsidRPr="00E53741" w:rsidRDefault="006C07A8" w:rsidP="008970A7">
            <w:pPr>
              <w:jc w:val="both"/>
              <w:rPr>
                <w:strike/>
              </w:rPr>
            </w:pPr>
          </w:p>
        </w:tc>
      </w:tr>
      <w:tr w:rsidR="006C07A8" w:rsidRPr="00E53741" w:rsidTr="008970A7">
        <w:trPr>
          <w:trHeight w:val="881"/>
        </w:trPr>
        <w:tc>
          <w:tcPr>
            <w:tcW w:w="567" w:type="dxa"/>
          </w:tcPr>
          <w:p w:rsidR="006C07A8" w:rsidRPr="00E53741" w:rsidRDefault="006C07A8" w:rsidP="008970A7">
            <w:r w:rsidRPr="00E53741">
              <w:t>3.</w:t>
            </w:r>
          </w:p>
        </w:tc>
        <w:tc>
          <w:tcPr>
            <w:tcW w:w="2694" w:type="dxa"/>
          </w:tcPr>
          <w:p w:rsidR="006C07A8" w:rsidRPr="00E53741" w:rsidRDefault="006C07A8" w:rsidP="008970A7">
            <w:r w:rsidRPr="00E53741">
              <w:t>Administratīvo izmaksu monetārs novērtējums</w:t>
            </w:r>
          </w:p>
        </w:tc>
        <w:tc>
          <w:tcPr>
            <w:tcW w:w="5953" w:type="dxa"/>
          </w:tcPr>
          <w:p w:rsidR="006C07A8" w:rsidRPr="00E53741" w:rsidRDefault="006C07A8" w:rsidP="008970A7">
            <w:r w:rsidRPr="00E53741">
              <w:t>Projekts šo jomu neskar.</w:t>
            </w:r>
          </w:p>
        </w:tc>
      </w:tr>
      <w:tr w:rsidR="006C07A8" w:rsidRPr="00E53741" w:rsidTr="008970A7">
        <w:trPr>
          <w:trHeight w:val="498"/>
        </w:trPr>
        <w:tc>
          <w:tcPr>
            <w:tcW w:w="567" w:type="dxa"/>
          </w:tcPr>
          <w:p w:rsidR="006C07A8" w:rsidRPr="00E53741" w:rsidRDefault="006C07A8" w:rsidP="008970A7">
            <w:r w:rsidRPr="00E53741">
              <w:t>4.</w:t>
            </w:r>
          </w:p>
        </w:tc>
        <w:tc>
          <w:tcPr>
            <w:tcW w:w="2694" w:type="dxa"/>
          </w:tcPr>
          <w:p w:rsidR="006C07A8" w:rsidRPr="00E53741" w:rsidRDefault="006C07A8" w:rsidP="008970A7">
            <w:r w:rsidRPr="00E53741">
              <w:t>Cita informācija</w:t>
            </w:r>
          </w:p>
        </w:tc>
        <w:tc>
          <w:tcPr>
            <w:tcW w:w="5953" w:type="dxa"/>
          </w:tcPr>
          <w:p w:rsidR="006C07A8" w:rsidRPr="00E53741" w:rsidRDefault="008F3B4D" w:rsidP="008970A7">
            <w:pPr>
              <w:jc w:val="both"/>
            </w:pPr>
            <w:r>
              <w:t>Nav.</w:t>
            </w:r>
          </w:p>
        </w:tc>
      </w:tr>
    </w:tbl>
    <w:p w:rsidR="006C07A8" w:rsidRPr="00E53741" w:rsidRDefault="006C07A8" w:rsidP="006C07A8">
      <w:pPr>
        <w:rPr>
          <w:b/>
        </w:rPr>
      </w:pPr>
    </w:p>
    <w:p w:rsidR="006C07A8" w:rsidRPr="00E53741" w:rsidRDefault="006C07A8" w:rsidP="006C07A8">
      <w:pPr>
        <w:rPr>
          <w:b/>
        </w:rPr>
      </w:pP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5919"/>
      </w:tblGrid>
      <w:tr w:rsidR="006C07A8" w:rsidRPr="00E53741" w:rsidTr="008970A7">
        <w:tc>
          <w:tcPr>
            <w:tcW w:w="9180" w:type="dxa"/>
            <w:gridSpan w:val="3"/>
          </w:tcPr>
          <w:p w:rsidR="006C07A8" w:rsidRPr="00E53741" w:rsidRDefault="006C07A8" w:rsidP="008970A7">
            <w:pPr>
              <w:jc w:val="center"/>
              <w:rPr>
                <w:b/>
              </w:rPr>
            </w:pPr>
            <w:r w:rsidRPr="00E53741">
              <w:rPr>
                <w:b/>
              </w:rPr>
              <w:t>VI. Sabiedrības līdzdalība un komunikācijas aktivitātes</w:t>
            </w:r>
          </w:p>
          <w:p w:rsidR="006C07A8" w:rsidRPr="00E53741" w:rsidRDefault="006C07A8" w:rsidP="008970A7">
            <w:pPr>
              <w:jc w:val="center"/>
              <w:rPr>
                <w:b/>
              </w:rPr>
            </w:pPr>
          </w:p>
        </w:tc>
      </w:tr>
      <w:tr w:rsidR="006C07A8" w:rsidRPr="00E53741" w:rsidTr="008970A7">
        <w:tc>
          <w:tcPr>
            <w:tcW w:w="567" w:type="dxa"/>
          </w:tcPr>
          <w:p w:rsidR="006C07A8" w:rsidRPr="00E53741" w:rsidRDefault="006C07A8" w:rsidP="008970A7">
            <w:r w:rsidRPr="00E53741">
              <w:t>1.</w:t>
            </w:r>
          </w:p>
        </w:tc>
        <w:tc>
          <w:tcPr>
            <w:tcW w:w="2694" w:type="dxa"/>
          </w:tcPr>
          <w:p w:rsidR="006C07A8" w:rsidRPr="00E53741" w:rsidRDefault="006C07A8" w:rsidP="008970A7">
            <w:r w:rsidRPr="00E53741">
              <w:t>Plānotās sabiedrības līdzdalības un komunikācijas aktivitātes saistībā ar projektu</w:t>
            </w:r>
          </w:p>
        </w:tc>
        <w:tc>
          <w:tcPr>
            <w:tcW w:w="5919" w:type="dxa"/>
          </w:tcPr>
          <w:p w:rsidR="006C07A8" w:rsidRPr="00E53741" w:rsidRDefault="0013787B" w:rsidP="0013787B">
            <w:pPr>
              <w:ind w:right="57"/>
              <w:jc w:val="both"/>
            </w:pPr>
            <w:r>
              <w:t>Sabiedrības līdzdalība tika nodrošināta, sagatavojot izskatīšanai Ministru kabineta sēdē noteikumus Nr.730</w:t>
            </w:r>
            <w:r w:rsidR="006C07A8" w:rsidRPr="00E53741">
              <w:t>.</w:t>
            </w:r>
          </w:p>
        </w:tc>
      </w:tr>
      <w:tr w:rsidR="006C07A8" w:rsidRPr="00E53741" w:rsidTr="008970A7">
        <w:tc>
          <w:tcPr>
            <w:tcW w:w="567" w:type="dxa"/>
          </w:tcPr>
          <w:p w:rsidR="006C07A8" w:rsidRPr="00E53741" w:rsidRDefault="006C07A8" w:rsidP="008970A7">
            <w:r w:rsidRPr="00E53741">
              <w:t xml:space="preserve">2. </w:t>
            </w:r>
          </w:p>
        </w:tc>
        <w:tc>
          <w:tcPr>
            <w:tcW w:w="2694" w:type="dxa"/>
          </w:tcPr>
          <w:p w:rsidR="006C07A8" w:rsidRPr="00E53741" w:rsidRDefault="006C07A8" w:rsidP="008970A7">
            <w:r w:rsidRPr="00E53741">
              <w:t>Sabiedrības līdzdalība projekta izstrādē</w:t>
            </w:r>
          </w:p>
        </w:tc>
        <w:tc>
          <w:tcPr>
            <w:tcW w:w="5919" w:type="dxa"/>
          </w:tcPr>
          <w:p w:rsidR="006C07A8" w:rsidRPr="00E53741" w:rsidRDefault="008F3B4D" w:rsidP="006C07A8">
            <w:pPr>
              <w:spacing w:before="75" w:after="75"/>
              <w:jc w:val="both"/>
            </w:pPr>
            <w:r w:rsidRPr="008F3B4D">
              <w:t>Projekts šo jomu neskar.</w:t>
            </w:r>
          </w:p>
        </w:tc>
      </w:tr>
      <w:tr w:rsidR="006C07A8" w:rsidRPr="00E53741" w:rsidTr="008970A7">
        <w:tc>
          <w:tcPr>
            <w:tcW w:w="567" w:type="dxa"/>
          </w:tcPr>
          <w:p w:rsidR="006C07A8" w:rsidRPr="00E53741" w:rsidRDefault="006C07A8" w:rsidP="008970A7">
            <w:r w:rsidRPr="00E53741">
              <w:t>3.</w:t>
            </w:r>
          </w:p>
        </w:tc>
        <w:tc>
          <w:tcPr>
            <w:tcW w:w="2694" w:type="dxa"/>
          </w:tcPr>
          <w:p w:rsidR="006C07A8" w:rsidRPr="00E53741" w:rsidRDefault="006C07A8" w:rsidP="008970A7">
            <w:r w:rsidRPr="00E53741">
              <w:t>Sabiedrības līdzdalības rezultāti</w:t>
            </w:r>
          </w:p>
        </w:tc>
        <w:tc>
          <w:tcPr>
            <w:tcW w:w="5919" w:type="dxa"/>
          </w:tcPr>
          <w:p w:rsidR="006C07A8" w:rsidRPr="00E53741" w:rsidRDefault="008F3B4D" w:rsidP="006C07A8">
            <w:pPr>
              <w:spacing w:before="75" w:after="75"/>
              <w:jc w:val="both"/>
            </w:pPr>
            <w:r w:rsidRPr="00E53741">
              <w:t>Projekts šo jomu neskar.</w:t>
            </w:r>
          </w:p>
        </w:tc>
      </w:tr>
      <w:tr w:rsidR="006C07A8" w:rsidRPr="00E53741" w:rsidTr="008970A7">
        <w:tc>
          <w:tcPr>
            <w:tcW w:w="567" w:type="dxa"/>
          </w:tcPr>
          <w:p w:rsidR="006C07A8" w:rsidRPr="00E53741" w:rsidRDefault="006C07A8" w:rsidP="008970A7">
            <w:r w:rsidRPr="00E53741">
              <w:t>4.</w:t>
            </w:r>
          </w:p>
        </w:tc>
        <w:tc>
          <w:tcPr>
            <w:tcW w:w="2694" w:type="dxa"/>
          </w:tcPr>
          <w:p w:rsidR="006C07A8" w:rsidRPr="00E53741" w:rsidRDefault="006C07A8" w:rsidP="008970A7">
            <w:r w:rsidRPr="00E53741">
              <w:t>Cita informācija.</w:t>
            </w:r>
          </w:p>
        </w:tc>
        <w:tc>
          <w:tcPr>
            <w:tcW w:w="5919" w:type="dxa"/>
          </w:tcPr>
          <w:p w:rsidR="006C07A8" w:rsidRPr="00E53741" w:rsidRDefault="006C07A8" w:rsidP="008970A7">
            <w:r w:rsidRPr="00E53741">
              <w:t>Nav.</w:t>
            </w:r>
          </w:p>
          <w:p w:rsidR="006C07A8" w:rsidRPr="00E53741" w:rsidRDefault="006C07A8" w:rsidP="008970A7"/>
          <w:p w:rsidR="006C07A8" w:rsidRPr="00E53741" w:rsidRDefault="006C07A8" w:rsidP="008970A7"/>
        </w:tc>
      </w:tr>
    </w:tbl>
    <w:p w:rsidR="006C07A8" w:rsidRPr="00E53741" w:rsidRDefault="006C07A8" w:rsidP="006C07A8">
      <w:pPr>
        <w:jc w:val="center"/>
        <w:rPr>
          <w:b/>
        </w:rPr>
      </w:pPr>
    </w:p>
    <w:p w:rsidR="006C07A8" w:rsidRPr="00E53741" w:rsidRDefault="006C07A8" w:rsidP="006C07A8">
      <w:pPr>
        <w:jc w:val="center"/>
        <w:rPr>
          <w:b/>
        </w:rPr>
      </w:pPr>
    </w:p>
    <w:p w:rsidR="006C07A8" w:rsidRPr="00E53741" w:rsidRDefault="006C07A8" w:rsidP="006C07A8">
      <w:pPr>
        <w:jc w:val="center"/>
        <w:rPr>
          <w:b/>
        </w:rPr>
      </w:pPr>
    </w:p>
    <w:p w:rsidR="006C07A8" w:rsidRPr="00E53741" w:rsidRDefault="006C07A8" w:rsidP="006C07A8">
      <w:pPr>
        <w:jc w:val="center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103"/>
        <w:gridCol w:w="3544"/>
      </w:tblGrid>
      <w:tr w:rsidR="006C07A8" w:rsidRPr="00E53741" w:rsidTr="008970A7">
        <w:trPr>
          <w:trHeight w:val="502"/>
        </w:trPr>
        <w:tc>
          <w:tcPr>
            <w:tcW w:w="9214" w:type="dxa"/>
            <w:gridSpan w:val="3"/>
          </w:tcPr>
          <w:p w:rsidR="006C07A8" w:rsidRPr="00E53741" w:rsidRDefault="006C07A8" w:rsidP="008970A7">
            <w:pPr>
              <w:jc w:val="center"/>
              <w:rPr>
                <w:b/>
              </w:rPr>
            </w:pPr>
            <w:r w:rsidRPr="00E53741">
              <w:rPr>
                <w:b/>
              </w:rPr>
              <w:t>VII. Tiesību akta projekta izpildes nodrošināšana un tās ietekme uz institūcijām</w:t>
            </w:r>
          </w:p>
          <w:p w:rsidR="006C07A8" w:rsidRPr="00E53741" w:rsidRDefault="006C07A8" w:rsidP="008970A7">
            <w:pPr>
              <w:spacing w:before="100" w:beforeAutospacing="1" w:after="100" w:afterAutospacing="1"/>
            </w:pPr>
          </w:p>
        </w:tc>
      </w:tr>
      <w:tr w:rsidR="006C07A8" w:rsidRPr="00E53741" w:rsidTr="00C36AF6">
        <w:trPr>
          <w:trHeight w:val="502"/>
        </w:trPr>
        <w:tc>
          <w:tcPr>
            <w:tcW w:w="567" w:type="dxa"/>
          </w:tcPr>
          <w:p w:rsidR="006C07A8" w:rsidRPr="00E53741" w:rsidRDefault="006C07A8" w:rsidP="008970A7">
            <w:r w:rsidRPr="00E53741">
              <w:t>1.</w:t>
            </w:r>
          </w:p>
        </w:tc>
        <w:tc>
          <w:tcPr>
            <w:tcW w:w="5103" w:type="dxa"/>
          </w:tcPr>
          <w:p w:rsidR="006C07A8" w:rsidRPr="00E53741" w:rsidRDefault="006C07A8" w:rsidP="008970A7">
            <w:pPr>
              <w:spacing w:before="100" w:beforeAutospacing="1" w:after="100" w:afterAutospacing="1"/>
            </w:pPr>
            <w:r w:rsidRPr="00E53741">
              <w:t> Projekta izpildē iesaistītās institūcijas</w:t>
            </w:r>
          </w:p>
        </w:tc>
        <w:tc>
          <w:tcPr>
            <w:tcW w:w="3544" w:type="dxa"/>
          </w:tcPr>
          <w:p w:rsidR="006C07A8" w:rsidRPr="00E53741" w:rsidRDefault="006C07A8" w:rsidP="008970A7">
            <w:pPr>
              <w:spacing w:before="100" w:beforeAutospacing="1" w:after="100" w:afterAutospacing="1"/>
            </w:pPr>
            <w:r w:rsidRPr="00E53741">
              <w:t>CSDD</w:t>
            </w:r>
          </w:p>
        </w:tc>
      </w:tr>
      <w:tr w:rsidR="006C07A8" w:rsidRPr="00E53741" w:rsidTr="00C36AF6">
        <w:trPr>
          <w:trHeight w:val="557"/>
        </w:trPr>
        <w:tc>
          <w:tcPr>
            <w:tcW w:w="567" w:type="dxa"/>
          </w:tcPr>
          <w:p w:rsidR="006C07A8" w:rsidRPr="00E53741" w:rsidRDefault="006C07A8" w:rsidP="008970A7">
            <w:r w:rsidRPr="00E53741">
              <w:lastRenderedPageBreak/>
              <w:t>2.</w:t>
            </w:r>
          </w:p>
        </w:tc>
        <w:tc>
          <w:tcPr>
            <w:tcW w:w="5103" w:type="dxa"/>
          </w:tcPr>
          <w:p w:rsidR="006C07A8" w:rsidRPr="00E53741" w:rsidRDefault="006C07A8" w:rsidP="008970A7">
            <w:pPr>
              <w:spacing w:before="100" w:beforeAutospacing="1" w:after="100" w:afterAutospacing="1"/>
            </w:pPr>
            <w:r w:rsidRPr="00E53741"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3544" w:type="dxa"/>
          </w:tcPr>
          <w:p w:rsidR="006C07A8" w:rsidRPr="00E53741" w:rsidRDefault="008F3B4D" w:rsidP="000A7456">
            <w:pPr>
              <w:jc w:val="both"/>
            </w:pPr>
            <w:r>
              <w:t>P</w:t>
            </w:r>
            <w:r w:rsidR="006C07A8" w:rsidRPr="00E53741">
              <w:t>rojekta izpilde neradīs ietekmi uz CSDD pieejamajiem cilvēkresursiem.</w:t>
            </w:r>
            <w:r w:rsidR="000A7456">
              <w:t xml:space="preserve"> Jaunu</w:t>
            </w:r>
            <w:r w:rsidR="000A7456" w:rsidRPr="000A7456">
              <w:t xml:space="preserve"> institūciju izveide</w:t>
            </w:r>
            <w:r w:rsidR="000A7456">
              <w:t xml:space="preserve"> nav paredzēta.</w:t>
            </w:r>
          </w:p>
        </w:tc>
      </w:tr>
      <w:tr w:rsidR="006C07A8" w:rsidRPr="00E53741" w:rsidTr="00C36AF6">
        <w:trPr>
          <w:trHeight w:val="219"/>
        </w:trPr>
        <w:tc>
          <w:tcPr>
            <w:tcW w:w="567" w:type="dxa"/>
          </w:tcPr>
          <w:p w:rsidR="006C07A8" w:rsidRPr="00E53741" w:rsidRDefault="006C07A8" w:rsidP="008970A7">
            <w:r w:rsidRPr="00E53741">
              <w:t>3.</w:t>
            </w:r>
          </w:p>
        </w:tc>
        <w:tc>
          <w:tcPr>
            <w:tcW w:w="5103" w:type="dxa"/>
          </w:tcPr>
          <w:p w:rsidR="006C07A8" w:rsidRPr="00E53741" w:rsidRDefault="006C07A8" w:rsidP="008970A7">
            <w:pPr>
              <w:spacing w:before="100" w:beforeAutospacing="1" w:after="100" w:afterAutospacing="1"/>
            </w:pPr>
            <w:r w:rsidRPr="00E53741">
              <w:t> Cita informācija</w:t>
            </w:r>
          </w:p>
        </w:tc>
        <w:tc>
          <w:tcPr>
            <w:tcW w:w="3544" w:type="dxa"/>
          </w:tcPr>
          <w:p w:rsidR="006C07A8" w:rsidRPr="00E53741" w:rsidRDefault="006C07A8" w:rsidP="008970A7">
            <w:pPr>
              <w:spacing w:before="100" w:beforeAutospacing="1" w:after="100" w:afterAutospacing="1"/>
            </w:pPr>
            <w:r w:rsidRPr="00E53741">
              <w:t> Nav</w:t>
            </w:r>
          </w:p>
        </w:tc>
      </w:tr>
    </w:tbl>
    <w:p w:rsidR="006C07A8" w:rsidRPr="00E53741" w:rsidRDefault="006C07A8" w:rsidP="006C07A8">
      <w:pPr>
        <w:jc w:val="center"/>
      </w:pPr>
    </w:p>
    <w:p w:rsidR="006C07A8" w:rsidRDefault="006C07A8" w:rsidP="006C07A8">
      <w:pPr>
        <w:ind w:firstLine="709"/>
      </w:pPr>
    </w:p>
    <w:p w:rsidR="00E37ACE" w:rsidRDefault="00E37ACE" w:rsidP="006C07A8">
      <w:pPr>
        <w:ind w:firstLine="709"/>
      </w:pPr>
    </w:p>
    <w:p w:rsidR="000A7456" w:rsidRPr="00E53741" w:rsidRDefault="000A7456" w:rsidP="006C07A8">
      <w:pPr>
        <w:ind w:firstLine="709"/>
      </w:pPr>
    </w:p>
    <w:p w:rsidR="006C07A8" w:rsidRPr="00E53741" w:rsidRDefault="006C07A8" w:rsidP="006C07A8">
      <w:pPr>
        <w:ind w:firstLine="709"/>
      </w:pPr>
      <w:r w:rsidRPr="00E53741">
        <w:t>Anotācijas III, IV, un V sadaļa – projekts šīs jomas neskar.</w:t>
      </w:r>
    </w:p>
    <w:p w:rsidR="006C07A8" w:rsidRPr="00E53741" w:rsidRDefault="006C07A8" w:rsidP="006C07A8"/>
    <w:p w:rsidR="006C07A8" w:rsidRPr="00E53741" w:rsidRDefault="006C07A8" w:rsidP="006C07A8"/>
    <w:p w:rsidR="006C07A8" w:rsidRPr="00E53741" w:rsidRDefault="006C07A8" w:rsidP="006C07A8"/>
    <w:p w:rsidR="006C07A8" w:rsidRDefault="006C07A8" w:rsidP="006C07A8">
      <w:r>
        <w:t>Satiksmes ministra p. i.</w:t>
      </w:r>
      <w:r w:rsidR="00C36AF6">
        <w:t>,</w:t>
      </w:r>
    </w:p>
    <w:p w:rsidR="006C07A8" w:rsidRDefault="006C07A8" w:rsidP="006C07A8">
      <w:r>
        <w:t xml:space="preserve">iekšlietu ministrs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R.Kozlovskis</w:t>
      </w:r>
      <w:proofErr w:type="spellEnd"/>
    </w:p>
    <w:p w:rsidR="006C07A8" w:rsidRPr="008F7F51" w:rsidRDefault="006C07A8" w:rsidP="006C07A8"/>
    <w:p w:rsidR="006C07A8" w:rsidRPr="008F7F51" w:rsidRDefault="006C07A8" w:rsidP="006C07A8"/>
    <w:p w:rsidR="006C07A8" w:rsidRPr="008F7F51" w:rsidRDefault="006C07A8" w:rsidP="006C07A8"/>
    <w:p w:rsidR="006C07A8" w:rsidRPr="008F7F51" w:rsidRDefault="006C07A8" w:rsidP="006C07A8">
      <w:r w:rsidRPr="008F7F51">
        <w:t xml:space="preserve">Vīza: Valsts sekretārs </w:t>
      </w:r>
      <w:r w:rsidRPr="008F7F51">
        <w:tab/>
      </w:r>
      <w:r w:rsidRPr="008F7F51">
        <w:tab/>
      </w:r>
      <w:r w:rsidRPr="008F7F51">
        <w:tab/>
      </w:r>
      <w:r w:rsidRPr="008F7F51">
        <w:tab/>
      </w:r>
      <w:r w:rsidRPr="008F7F51">
        <w:tab/>
      </w:r>
      <w:r w:rsidRPr="008F7F51">
        <w:tab/>
      </w:r>
      <w:r w:rsidRPr="008F7F51">
        <w:tab/>
      </w:r>
      <w:r w:rsidR="00E37ACE">
        <w:tab/>
      </w:r>
      <w:r>
        <w:t>K.</w:t>
      </w:r>
      <w:r w:rsidRPr="008F7F51">
        <w:t>Ozoliņš</w:t>
      </w:r>
    </w:p>
    <w:p w:rsidR="006C07A8" w:rsidRPr="008F7F51" w:rsidRDefault="006C07A8" w:rsidP="006C07A8"/>
    <w:p w:rsidR="006C07A8" w:rsidRPr="008F7F51" w:rsidRDefault="006C07A8" w:rsidP="006C07A8"/>
    <w:p w:rsidR="006C07A8" w:rsidRPr="008F7F51" w:rsidRDefault="006C07A8" w:rsidP="006C07A8"/>
    <w:p w:rsidR="00716103" w:rsidRPr="00E37ACE" w:rsidRDefault="00116CD9" w:rsidP="006C07A8">
      <w:pPr>
        <w:rPr>
          <w:sz w:val="20"/>
          <w:szCs w:val="20"/>
        </w:rPr>
      </w:pPr>
      <w:r>
        <w:rPr>
          <w:sz w:val="20"/>
          <w:szCs w:val="20"/>
        </w:rPr>
        <w:t>08</w:t>
      </w:r>
      <w:r w:rsidR="00716103" w:rsidRPr="00E37ACE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="00716103" w:rsidRPr="00E37ACE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="00716103" w:rsidRPr="00E37ACE">
        <w:rPr>
          <w:sz w:val="20"/>
          <w:szCs w:val="20"/>
        </w:rPr>
        <w:t xml:space="preserve">. </w:t>
      </w:r>
      <w:r w:rsidR="00E37ACE" w:rsidRPr="00E37ACE">
        <w:rPr>
          <w:sz w:val="20"/>
          <w:szCs w:val="20"/>
        </w:rPr>
        <w:t>1</w:t>
      </w:r>
      <w:r w:rsidR="00AE69B2">
        <w:rPr>
          <w:sz w:val="20"/>
          <w:szCs w:val="20"/>
        </w:rPr>
        <w:t>4</w:t>
      </w:r>
      <w:r w:rsidR="00716103" w:rsidRPr="00E37ACE">
        <w:rPr>
          <w:sz w:val="20"/>
          <w:szCs w:val="20"/>
        </w:rPr>
        <w:t>:28</w:t>
      </w:r>
    </w:p>
    <w:p w:rsidR="00716103" w:rsidRPr="00E37ACE" w:rsidRDefault="005104C7" w:rsidP="006C07A8">
      <w:pPr>
        <w:rPr>
          <w:sz w:val="20"/>
          <w:szCs w:val="20"/>
        </w:rPr>
      </w:pPr>
      <w:r>
        <w:rPr>
          <w:sz w:val="20"/>
          <w:szCs w:val="20"/>
        </w:rPr>
        <w:t>581</w:t>
      </w:r>
    </w:p>
    <w:p w:rsidR="006C07A8" w:rsidRPr="00E37ACE" w:rsidRDefault="00AE69B2" w:rsidP="006C07A8">
      <w:pPr>
        <w:rPr>
          <w:sz w:val="20"/>
          <w:szCs w:val="20"/>
        </w:rPr>
      </w:pPr>
      <w:r>
        <w:rPr>
          <w:sz w:val="20"/>
          <w:szCs w:val="20"/>
        </w:rPr>
        <w:t>M.Augstmane</w:t>
      </w:r>
      <w:r w:rsidR="006C07A8" w:rsidRPr="00E37ACE">
        <w:rPr>
          <w:sz w:val="20"/>
          <w:szCs w:val="20"/>
        </w:rPr>
        <w:t xml:space="preserve"> </w:t>
      </w:r>
      <w:r>
        <w:rPr>
          <w:sz w:val="20"/>
          <w:szCs w:val="20"/>
        </w:rPr>
        <w:t>67028194</w:t>
      </w:r>
    </w:p>
    <w:p w:rsidR="006C07A8" w:rsidRPr="00E37ACE" w:rsidRDefault="00AE69B2" w:rsidP="006C07A8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>m</w:t>
      </w:r>
      <w:bookmarkStart w:id="2" w:name="_GoBack"/>
      <w:bookmarkEnd w:id="2"/>
      <w:r>
        <w:rPr>
          <w:sz w:val="20"/>
          <w:szCs w:val="20"/>
        </w:rPr>
        <w:t>arite.augstmane</w:t>
      </w:r>
      <w:r w:rsidR="006C07A8" w:rsidRPr="00E37ACE">
        <w:rPr>
          <w:sz w:val="20"/>
          <w:szCs w:val="20"/>
        </w:rPr>
        <w:t>@</w:t>
      </w:r>
      <w:r>
        <w:rPr>
          <w:sz w:val="20"/>
          <w:szCs w:val="20"/>
        </w:rPr>
        <w:t>sam</w:t>
      </w:r>
      <w:r w:rsidR="006C07A8" w:rsidRPr="00E37ACE">
        <w:rPr>
          <w:sz w:val="20"/>
          <w:szCs w:val="20"/>
        </w:rPr>
        <w:t>.gov.lv</w:t>
      </w:r>
    </w:p>
    <w:p w:rsidR="007244D6" w:rsidRDefault="007244D6"/>
    <w:sectPr w:rsidR="007244D6" w:rsidSect="00C77709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03" w:rsidRDefault="00716103" w:rsidP="00716103">
      <w:r>
        <w:separator/>
      </w:r>
    </w:p>
  </w:endnote>
  <w:endnote w:type="continuationSeparator" w:id="0">
    <w:p w:rsidR="00716103" w:rsidRDefault="00716103" w:rsidP="0071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95" w:rsidRDefault="00F952A9" w:rsidP="00106C0F">
    <w:pPr>
      <w:pStyle w:val="Footer"/>
      <w:jc w:val="both"/>
    </w:pPr>
    <w:r>
      <w:rPr>
        <w:sz w:val="20"/>
        <w:szCs w:val="20"/>
      </w:rPr>
      <w:t>SAM</w:t>
    </w:r>
    <w:r w:rsidRPr="00DE0B7D">
      <w:rPr>
        <w:sz w:val="20"/>
        <w:szCs w:val="20"/>
      </w:rPr>
      <w:t>Anot_</w:t>
    </w:r>
    <w:r w:rsidR="0050107D">
      <w:rPr>
        <w:sz w:val="20"/>
        <w:szCs w:val="20"/>
      </w:rPr>
      <w:t>080116</w:t>
    </w:r>
    <w:r w:rsidRPr="00DE0B7D">
      <w:rPr>
        <w:sz w:val="20"/>
        <w:szCs w:val="20"/>
      </w:rPr>
      <w:t>_</w:t>
    </w:r>
    <w:r>
      <w:rPr>
        <w:sz w:val="20"/>
        <w:szCs w:val="20"/>
      </w:rPr>
      <w:t>groz619</w:t>
    </w:r>
    <w:r w:rsidRPr="00DE0B7D">
      <w:rPr>
        <w:sz w:val="20"/>
        <w:szCs w:val="20"/>
      </w:rPr>
      <w:t xml:space="preserve">; </w:t>
    </w:r>
    <w:r w:rsidRPr="007C41D0">
      <w:rPr>
        <w:sz w:val="20"/>
        <w:szCs w:val="20"/>
      </w:rPr>
      <w:t>Ministru kabineta noteikumu projekta „Grozījum</w:t>
    </w:r>
    <w:r w:rsidR="00E37ACE">
      <w:rPr>
        <w:sz w:val="20"/>
        <w:szCs w:val="20"/>
      </w:rPr>
      <w:t>s</w:t>
    </w:r>
    <w:r>
      <w:rPr>
        <w:sz w:val="20"/>
        <w:szCs w:val="20"/>
      </w:rPr>
      <w:t xml:space="preserve"> Ministru kabineta 2012</w:t>
    </w:r>
    <w:r w:rsidRPr="007C41D0">
      <w:rPr>
        <w:sz w:val="20"/>
        <w:szCs w:val="20"/>
      </w:rPr>
      <w:t xml:space="preserve">.gada </w:t>
    </w:r>
    <w:r>
      <w:rPr>
        <w:sz w:val="20"/>
        <w:szCs w:val="20"/>
      </w:rPr>
      <w:t>4.septembra</w:t>
    </w:r>
    <w:r w:rsidRPr="007C41D0">
      <w:rPr>
        <w:sz w:val="20"/>
        <w:szCs w:val="20"/>
      </w:rPr>
      <w:t xml:space="preserve"> noteikumos Nr.</w:t>
    </w:r>
    <w:r>
      <w:rPr>
        <w:sz w:val="20"/>
        <w:szCs w:val="20"/>
      </w:rPr>
      <w:t>619</w:t>
    </w:r>
    <w:r w:rsidRPr="007C41D0">
      <w:rPr>
        <w:sz w:val="20"/>
        <w:szCs w:val="20"/>
      </w:rPr>
      <w:t xml:space="preserve"> „</w:t>
    </w:r>
    <w:r>
      <w:rPr>
        <w:sz w:val="20"/>
        <w:szCs w:val="20"/>
      </w:rPr>
      <w:t>Noteikumi par atpūtas kuģu vadītāju apmācību, sertificēšanu un reģistrāciju””</w:t>
    </w:r>
    <w:r w:rsidRPr="007C41D0">
      <w:rPr>
        <w:sz w:val="20"/>
        <w:szCs w:val="20"/>
      </w:rPr>
      <w:t xml:space="preserve"> sākotnējās ietekmes n</w:t>
    </w:r>
    <w:r>
      <w:rPr>
        <w:sz w:val="20"/>
        <w:szCs w:val="20"/>
      </w:rPr>
      <w:t>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95" w:rsidRPr="009F3C4D" w:rsidRDefault="00F952A9" w:rsidP="009F3C4D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SAM</w:t>
    </w:r>
    <w:r w:rsidRPr="00DE0B7D">
      <w:rPr>
        <w:sz w:val="20"/>
        <w:szCs w:val="20"/>
      </w:rPr>
      <w:t>Anot_</w:t>
    </w:r>
    <w:r w:rsidR="0050107D">
      <w:rPr>
        <w:sz w:val="20"/>
        <w:szCs w:val="20"/>
      </w:rPr>
      <w:t>080116</w:t>
    </w:r>
    <w:r w:rsidRPr="00DE0B7D">
      <w:rPr>
        <w:sz w:val="20"/>
        <w:szCs w:val="20"/>
      </w:rPr>
      <w:t>_</w:t>
    </w:r>
    <w:r>
      <w:rPr>
        <w:sz w:val="20"/>
        <w:szCs w:val="20"/>
      </w:rPr>
      <w:t>groz619</w:t>
    </w:r>
    <w:r w:rsidRPr="00DE0B7D">
      <w:rPr>
        <w:sz w:val="20"/>
        <w:szCs w:val="20"/>
      </w:rPr>
      <w:t xml:space="preserve">; </w:t>
    </w:r>
    <w:r w:rsidRPr="007C41D0">
      <w:rPr>
        <w:sz w:val="20"/>
        <w:szCs w:val="20"/>
      </w:rPr>
      <w:t>Ministru kabineta noteikumu projekta „Grozījum</w:t>
    </w:r>
    <w:r w:rsidR="00E37ACE">
      <w:rPr>
        <w:sz w:val="20"/>
        <w:szCs w:val="20"/>
      </w:rPr>
      <w:t>s</w:t>
    </w:r>
    <w:r>
      <w:rPr>
        <w:sz w:val="20"/>
        <w:szCs w:val="20"/>
      </w:rPr>
      <w:t xml:space="preserve"> Ministru kabineta 2012</w:t>
    </w:r>
    <w:r w:rsidRPr="007C41D0">
      <w:rPr>
        <w:sz w:val="20"/>
        <w:szCs w:val="20"/>
      </w:rPr>
      <w:t xml:space="preserve">.gada </w:t>
    </w:r>
    <w:r>
      <w:rPr>
        <w:sz w:val="20"/>
        <w:szCs w:val="20"/>
      </w:rPr>
      <w:t>4.septembra</w:t>
    </w:r>
    <w:r w:rsidRPr="007C41D0">
      <w:rPr>
        <w:sz w:val="20"/>
        <w:szCs w:val="20"/>
      </w:rPr>
      <w:t xml:space="preserve"> noteikumos Nr.</w:t>
    </w:r>
    <w:r>
      <w:rPr>
        <w:sz w:val="20"/>
        <w:szCs w:val="20"/>
      </w:rPr>
      <w:t>619</w:t>
    </w:r>
    <w:r w:rsidRPr="007C41D0">
      <w:rPr>
        <w:sz w:val="20"/>
        <w:szCs w:val="20"/>
      </w:rPr>
      <w:t xml:space="preserve"> „</w:t>
    </w:r>
    <w:r>
      <w:rPr>
        <w:sz w:val="20"/>
        <w:szCs w:val="20"/>
      </w:rPr>
      <w:t>Noteikumi par atpūtas kuģu vadītāju apmācību, sertificēšanu un reģistrāciju””</w:t>
    </w:r>
    <w:r w:rsidRPr="007C41D0">
      <w:rPr>
        <w:sz w:val="20"/>
        <w:szCs w:val="20"/>
      </w:rPr>
      <w:t xml:space="preserve"> sākotnējās ietekmes n</w:t>
    </w:r>
    <w:r>
      <w:rPr>
        <w:sz w:val="20"/>
        <w:szCs w:val="20"/>
      </w:rPr>
      <w:t>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03" w:rsidRDefault="00716103" w:rsidP="00716103">
      <w:r>
        <w:separator/>
      </w:r>
    </w:p>
  </w:footnote>
  <w:footnote w:type="continuationSeparator" w:id="0">
    <w:p w:rsidR="00716103" w:rsidRDefault="00716103" w:rsidP="00716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95" w:rsidRDefault="00F952A9" w:rsidP="009F22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995" w:rsidRDefault="00AE6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95" w:rsidRDefault="00F952A9" w:rsidP="009F22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69B2">
      <w:rPr>
        <w:rStyle w:val="PageNumber"/>
        <w:noProof/>
      </w:rPr>
      <w:t>3</w:t>
    </w:r>
    <w:r>
      <w:rPr>
        <w:rStyle w:val="PageNumber"/>
      </w:rPr>
      <w:fldChar w:fldCharType="end"/>
    </w:r>
  </w:p>
  <w:p w:rsidR="00200995" w:rsidRDefault="00AE6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A8"/>
    <w:rsid w:val="000A7456"/>
    <w:rsid w:val="00116CD9"/>
    <w:rsid w:val="0013787B"/>
    <w:rsid w:val="0024470D"/>
    <w:rsid w:val="00252098"/>
    <w:rsid w:val="00291BC5"/>
    <w:rsid w:val="003A1AE6"/>
    <w:rsid w:val="003A36AB"/>
    <w:rsid w:val="003A57C2"/>
    <w:rsid w:val="003D253A"/>
    <w:rsid w:val="003F2DBD"/>
    <w:rsid w:val="0050107D"/>
    <w:rsid w:val="005104C7"/>
    <w:rsid w:val="005E2CE9"/>
    <w:rsid w:val="006C07A8"/>
    <w:rsid w:val="00716103"/>
    <w:rsid w:val="007244D6"/>
    <w:rsid w:val="008F3B4D"/>
    <w:rsid w:val="009B026E"/>
    <w:rsid w:val="00AE69B2"/>
    <w:rsid w:val="00B73B8B"/>
    <w:rsid w:val="00B80675"/>
    <w:rsid w:val="00C36AF6"/>
    <w:rsid w:val="00CE54C4"/>
    <w:rsid w:val="00CF0A7F"/>
    <w:rsid w:val="00DA6E59"/>
    <w:rsid w:val="00DD7440"/>
    <w:rsid w:val="00E1147F"/>
    <w:rsid w:val="00E37ACE"/>
    <w:rsid w:val="00F9496C"/>
    <w:rsid w:val="00F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07A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07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7A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C07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A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6C07A8"/>
    <w:rPr>
      <w:rFonts w:cs="Times New Roman"/>
    </w:rPr>
  </w:style>
  <w:style w:type="paragraph" w:styleId="NoSpacing">
    <w:name w:val="No Spacing"/>
    <w:uiPriority w:val="1"/>
    <w:qFormat/>
    <w:rsid w:val="006C07A8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C07A8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07A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07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7A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C07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A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6C07A8"/>
    <w:rPr>
      <w:rFonts w:cs="Times New Roman"/>
    </w:rPr>
  </w:style>
  <w:style w:type="paragraph" w:styleId="NoSpacing">
    <w:name w:val="No Spacing"/>
    <w:uiPriority w:val="1"/>
    <w:qFormat/>
    <w:rsid w:val="006C07A8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C07A8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593</Words>
  <Characters>4344</Characters>
  <Application>Microsoft Office Word</Application>
  <DocSecurity>0</DocSecurity>
  <Lines>181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„Grozījums Ministru kabineta 2012.gada 4.septembra noteikumos Nr.619 „Noteikumi par atpūtas kuģu vadītāju apmācību, sertificēšanu un reģistrāciju”” sākotnējās ietekmes novērtējuma ziņojums (anotācija)</vt:lpstr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2012.gada 4.septembra noteikumos Nr.619 „Noteikumi par atpūtas kuģu vadītāju apmācību, sertificēšanu un reģistrāciju”” sākotnējās ietekmes novērtējuma ziņojums (anotācija)</dc:title>
  <dc:subject>Anotācija</dc:subject>
  <dc:creator>Satiksmes ministrija</dc:creator>
  <dc:description>Ojārs Maščinskis, 67025726, ojars.mascinskis@csdd.gov.lv
Laima Rituma, 67028198, laima.rituma@sam.gov.lv</dc:description>
  <cp:lastModifiedBy>Mārīte Augstmane</cp:lastModifiedBy>
  <cp:revision>7</cp:revision>
  <cp:lastPrinted>2016-01-06T11:47:00Z</cp:lastPrinted>
  <dcterms:created xsi:type="dcterms:W3CDTF">2016-01-06T07:51:00Z</dcterms:created>
  <dcterms:modified xsi:type="dcterms:W3CDTF">2016-01-06T13:04:00Z</dcterms:modified>
</cp:coreProperties>
</file>