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B9" w:rsidRPr="000E3842" w:rsidRDefault="008A3AB9" w:rsidP="003B37BB">
      <w:pPr>
        <w:jc w:val="center"/>
        <w:rPr>
          <w:b/>
        </w:rPr>
      </w:pPr>
      <w:r w:rsidRPr="000E3842">
        <w:rPr>
          <w:b/>
        </w:rPr>
        <w:t>Ministru kabineta noteikumu projekta</w:t>
      </w:r>
    </w:p>
    <w:p w:rsidR="00560A24" w:rsidRDefault="008A3AB9" w:rsidP="008A04D6">
      <w:pPr>
        <w:jc w:val="center"/>
        <w:rPr>
          <w:b/>
        </w:rPr>
      </w:pPr>
      <w:r w:rsidRPr="000E3842">
        <w:rPr>
          <w:b/>
        </w:rPr>
        <w:t>„</w:t>
      </w:r>
      <w:r w:rsidR="00A517D7">
        <w:rPr>
          <w:b/>
        </w:rPr>
        <w:t>Gaisa telpas pārvaldības kārtība, tās struktūra un mainīšanas kārtība</w:t>
      </w:r>
      <w:r w:rsidRPr="000E3842">
        <w:rPr>
          <w:b/>
        </w:rPr>
        <w:t>”</w:t>
      </w:r>
      <w:r w:rsidR="003617D2">
        <w:rPr>
          <w:b/>
        </w:rPr>
        <w:t xml:space="preserve"> </w:t>
      </w:r>
    </w:p>
    <w:p w:rsidR="008A3AB9" w:rsidRDefault="008A3AB9" w:rsidP="008A04D6">
      <w:pPr>
        <w:jc w:val="center"/>
        <w:rPr>
          <w:b/>
          <w:bCs/>
        </w:rPr>
      </w:pPr>
      <w:r w:rsidRPr="000E3842">
        <w:rPr>
          <w:b/>
          <w:bCs/>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571"/>
        <w:gridCol w:w="1119"/>
        <w:gridCol w:w="686"/>
        <w:gridCol w:w="271"/>
        <w:gridCol w:w="592"/>
        <w:gridCol w:w="546"/>
        <w:gridCol w:w="688"/>
        <w:gridCol w:w="1062"/>
        <w:gridCol w:w="470"/>
        <w:gridCol w:w="955"/>
        <w:gridCol w:w="1944"/>
      </w:tblGrid>
      <w:tr w:rsidR="0013353A" w:rsidTr="00174653">
        <w:trPr>
          <w:trHeight w:val="405"/>
          <w:tblCellSpacing w:w="15" w:type="dxa"/>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13353A" w:rsidRDefault="0013353A">
            <w:pPr>
              <w:pStyle w:val="tvhtml"/>
              <w:jc w:val="center"/>
              <w:rPr>
                <w:b/>
                <w:bCs/>
              </w:rPr>
            </w:pPr>
            <w:r>
              <w:rPr>
                <w:b/>
                <w:bCs/>
              </w:rPr>
              <w:t>I. Tiesību akta projekta izstrādes nepieciešamība</w:t>
            </w:r>
          </w:p>
        </w:tc>
      </w:tr>
      <w:tr w:rsidR="0013353A" w:rsidTr="000F0670">
        <w:trPr>
          <w:trHeight w:val="405"/>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pPr>
              <w:pStyle w:val="tvhtml"/>
              <w:jc w:val="center"/>
            </w:pPr>
            <w:r>
              <w:t>1.</w:t>
            </w:r>
          </w:p>
        </w:tc>
        <w:tc>
          <w:tcPr>
            <w:tcW w:w="1741" w:type="pct"/>
            <w:gridSpan w:val="5"/>
            <w:tcBorders>
              <w:top w:val="outset" w:sz="6" w:space="0" w:color="auto"/>
              <w:left w:val="outset" w:sz="6" w:space="0" w:color="auto"/>
              <w:bottom w:val="outset" w:sz="6" w:space="0" w:color="auto"/>
              <w:right w:val="outset" w:sz="6" w:space="0" w:color="auto"/>
            </w:tcBorders>
            <w:hideMark/>
          </w:tcPr>
          <w:p w:rsidR="0013353A" w:rsidRDefault="0013353A">
            <w:r>
              <w:t>Pamatojums</w:t>
            </w:r>
          </w:p>
        </w:tc>
        <w:tc>
          <w:tcPr>
            <w:tcW w:w="3047" w:type="pct"/>
            <w:gridSpan w:val="6"/>
            <w:tcBorders>
              <w:top w:val="outset" w:sz="6" w:space="0" w:color="auto"/>
              <w:left w:val="outset" w:sz="6" w:space="0" w:color="auto"/>
              <w:bottom w:val="outset" w:sz="6" w:space="0" w:color="auto"/>
              <w:right w:val="outset" w:sz="6" w:space="0" w:color="auto"/>
            </w:tcBorders>
            <w:hideMark/>
          </w:tcPr>
          <w:p w:rsidR="0013353A" w:rsidRDefault="0013353A" w:rsidP="00D0773D">
            <w:pPr>
              <w:ind w:firstLine="208"/>
              <w:jc w:val="both"/>
            </w:pPr>
            <w:r>
              <w:t>Izdoti saskaņā ar likuma "Par aviāciju" 39.panta otro daļu</w:t>
            </w:r>
            <w:r w:rsidR="00D0773D">
              <w:t>.</w:t>
            </w:r>
          </w:p>
        </w:tc>
      </w:tr>
      <w:tr w:rsidR="0013353A" w:rsidTr="000F0670">
        <w:trPr>
          <w:trHeight w:val="465"/>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pPr>
              <w:pStyle w:val="tvhtml"/>
              <w:jc w:val="center"/>
            </w:pPr>
            <w:r>
              <w:t>2.</w:t>
            </w:r>
          </w:p>
        </w:tc>
        <w:tc>
          <w:tcPr>
            <w:tcW w:w="1741" w:type="pct"/>
            <w:gridSpan w:val="5"/>
            <w:tcBorders>
              <w:top w:val="outset" w:sz="6" w:space="0" w:color="auto"/>
              <w:left w:val="outset" w:sz="6" w:space="0" w:color="auto"/>
              <w:bottom w:val="outset" w:sz="6" w:space="0" w:color="auto"/>
              <w:right w:val="outset" w:sz="6" w:space="0" w:color="auto"/>
            </w:tcBorders>
            <w:hideMark/>
          </w:tcPr>
          <w:p w:rsidR="0013353A" w:rsidRDefault="0013353A">
            <w:r>
              <w:t>Pašreizējā situācija un problēmas, kuru risināšanai tiesību akta projekts izstrādāts, tiesiskā regulējuma mērķis un būtība</w:t>
            </w:r>
          </w:p>
        </w:tc>
        <w:tc>
          <w:tcPr>
            <w:tcW w:w="3047" w:type="pct"/>
            <w:gridSpan w:val="6"/>
            <w:tcBorders>
              <w:top w:val="outset" w:sz="6" w:space="0" w:color="auto"/>
              <w:left w:val="outset" w:sz="6" w:space="0" w:color="auto"/>
              <w:bottom w:val="outset" w:sz="6" w:space="0" w:color="auto"/>
              <w:right w:val="outset" w:sz="6" w:space="0" w:color="auto"/>
            </w:tcBorders>
          </w:tcPr>
          <w:p w:rsidR="0013353A" w:rsidRDefault="00B33600" w:rsidP="000D2BC8">
            <w:pPr>
              <w:ind w:firstLine="208"/>
              <w:jc w:val="both"/>
            </w:pPr>
            <w:r>
              <w:t>2011.gada 28.jūnijā tika pieņemti Ministru kabineta noteikumi Nr.507 „Noteikumi par gaisa telpas pārvaldību, struktūru un tās mainīšanas kārtību”</w:t>
            </w:r>
            <w:r w:rsidR="00CA03DC">
              <w:t xml:space="preserve"> (turpmāk – noteikumi Nr.507)</w:t>
            </w:r>
            <w:r w:rsidR="000D2BC8">
              <w:t>, ar kur</w:t>
            </w:r>
            <w:r w:rsidR="00167589">
              <w:t>iem</w:t>
            </w:r>
            <w:r w:rsidR="000D2BC8">
              <w:t xml:space="preserve"> Latvijas Republikā </w:t>
            </w:r>
            <w:r w:rsidR="00167589">
              <w:t xml:space="preserve">ieviesa </w:t>
            </w:r>
            <w:r w:rsidR="000D2BC8">
              <w:t>elastīgas gaisa telpas izmantošanas principu, tādējādi nodrošinot Eiropas Savienības tiesību prasību izpildi un sasnie</w:t>
            </w:r>
            <w:r w:rsidR="00672B4F">
              <w:t>dzot</w:t>
            </w:r>
            <w:r w:rsidR="000D2BC8">
              <w:t xml:space="preserve"> Pamatnostādn</w:t>
            </w:r>
            <w:r w:rsidR="00167589">
              <w:t>ē</w:t>
            </w:r>
            <w:r w:rsidR="000D2BC8">
              <w:t>s gaisa telpas elastīgas izmantošanas 2009.-2014.gadam, kas tik</w:t>
            </w:r>
            <w:r w:rsidR="00C22EFB">
              <w:t>a</w:t>
            </w:r>
            <w:r w:rsidR="000D2BC8">
              <w:t xml:space="preserve"> pieņemta</w:t>
            </w:r>
            <w:r w:rsidR="00C22EFB">
              <w:t>s</w:t>
            </w:r>
            <w:r w:rsidR="000D2BC8">
              <w:t xml:space="preserve"> ar Ministr</w:t>
            </w:r>
            <w:r w:rsidR="00167589">
              <w:t>u</w:t>
            </w:r>
            <w:r w:rsidR="000D2BC8">
              <w:t xml:space="preserve"> kabineta 2009.gada 25.februāra rīkojumu Nr.139 „</w:t>
            </w:r>
            <w:r w:rsidR="000D2BC8" w:rsidRPr="000D2BC8">
              <w:t>Pamatnostādnes gaisa telpas elastīgas izmantošanas 2009.-2014.gadam</w:t>
            </w:r>
            <w:r w:rsidR="000D2BC8">
              <w:t>”, izvirzīto mērķu realizācij</w:t>
            </w:r>
            <w:r w:rsidR="00167589">
              <w:t>u</w:t>
            </w:r>
            <w:r w:rsidR="000D2BC8">
              <w:t>.</w:t>
            </w:r>
          </w:p>
          <w:p w:rsidR="00B129E9" w:rsidRDefault="00CA03DC" w:rsidP="00BC25EA">
            <w:pPr>
              <w:jc w:val="both"/>
            </w:pPr>
            <w:r>
              <w:t xml:space="preserve">Kopš 2011.gada, kad stājās spēkā noteikumi Nr.507, ir </w:t>
            </w:r>
            <w:r w:rsidR="00672B4F">
              <w:t>pieņemti</w:t>
            </w:r>
            <w:r w:rsidR="009848EA">
              <w:t xml:space="preserve"> vairāk</w:t>
            </w:r>
            <w:r w:rsidR="00672B4F">
              <w:t>i jauni</w:t>
            </w:r>
            <w:r w:rsidR="009848EA">
              <w:t xml:space="preserve"> Eiropas Savienības tiesību akti, kuri attiecas uz gaisa telpas pārvaldību un </w:t>
            </w:r>
            <w:r w:rsidR="00B129E9">
              <w:t xml:space="preserve">gaisa telpas struktūras izveidi, līdz ar to </w:t>
            </w:r>
            <w:r w:rsidR="00B129E9" w:rsidRPr="00B129E9">
              <w:t>ir izstrādāts Ministru kabineta noteikumu projekts „Gaisa telpas pārvaldības kārtība, tās struktūra un mainīšanas kārtība” (turpmāk –Projekts)</w:t>
            </w:r>
            <w:r w:rsidR="00B129E9">
              <w:t xml:space="preserve"> </w:t>
            </w:r>
          </w:p>
          <w:p w:rsidR="007A3D56" w:rsidRDefault="009848EA" w:rsidP="00BC25EA">
            <w:pPr>
              <w:jc w:val="both"/>
            </w:pPr>
            <w:r>
              <w:t>Noteikumu Nr.507 6.punktā ir sniegts gaisa telpas struktūra</w:t>
            </w:r>
            <w:r w:rsidR="00C22EFB">
              <w:t>s</w:t>
            </w:r>
            <w:r>
              <w:t xml:space="preserve"> elementu uzskaitījums. </w:t>
            </w:r>
            <w:r w:rsidR="00672B4F">
              <w:t>Laika gaitā t</w:t>
            </w:r>
            <w:r>
              <w:t>ika konstatēts, ka iedalījum</w:t>
            </w:r>
            <w:r w:rsidR="000644B0">
              <w:t>ā</w:t>
            </w:r>
            <w:r>
              <w:t xml:space="preserve"> </w:t>
            </w:r>
            <w:r w:rsidR="000644B0">
              <w:t>„</w:t>
            </w:r>
            <w:r>
              <w:t>gaisa satiksmes vadības rajoni un zonas</w:t>
            </w:r>
            <w:r w:rsidR="000644B0">
              <w:t>”</w:t>
            </w:r>
            <w:r>
              <w:t xml:space="preserve"> ir iekļauti gaisa telpas struktūras elementi, kuros gaisa satiksmes pakalpojumi netiek sniegti, piemēram, </w:t>
            </w:r>
            <w:r w:rsidR="001812C2">
              <w:t>lidlauku gaisa satiksmes zonā (ATZ)</w:t>
            </w:r>
            <w:r w:rsidR="000644B0">
              <w:t>, līdz ar to ir nepieciešams precizē</w:t>
            </w:r>
            <w:r w:rsidR="00672B4F">
              <w:t xml:space="preserve">t </w:t>
            </w:r>
            <w:r w:rsidR="00672B4F" w:rsidRPr="00672B4F">
              <w:t>gaisa telpas</w:t>
            </w:r>
            <w:r w:rsidR="00672B4F">
              <w:t xml:space="preserve"> struktūra</w:t>
            </w:r>
            <w:r w:rsidR="00C22EFB">
              <w:t>s</w:t>
            </w:r>
            <w:r w:rsidR="00672B4F">
              <w:t xml:space="preserve"> elementu uzskaitījumu</w:t>
            </w:r>
            <w:r w:rsidR="000644B0">
              <w:t xml:space="preserve">. </w:t>
            </w:r>
            <w:r w:rsidR="00E0157B">
              <w:t>K</w:t>
            </w:r>
            <w:r w:rsidR="000644B0">
              <w:t>opš noteikumu</w:t>
            </w:r>
            <w:r w:rsidR="00672B4F">
              <w:t xml:space="preserve"> Nr.507</w:t>
            </w:r>
            <w:r w:rsidR="000644B0">
              <w:t xml:space="preserve"> spēkā stāšanās Latvijas Republikas gaisa telpā ir radusies nepieciešamība izveidot jaunus gaisa telpas struktūras elementus, kuru izveidi pieļauj Starptautiskās civilās aviācijas organizācijas izdotie dokumenti, bet kuri nebija iekļauti noteikum</w:t>
            </w:r>
            <w:r w:rsidR="00672B4F">
              <w:t>os</w:t>
            </w:r>
            <w:r w:rsidR="000644B0">
              <w:t xml:space="preserve"> Nr.507. Ņemot vērā minēto, ir nepieciešams aktualizēt gaisa telpas struktūras elementu uzskaitījumu, jo īpaši nepieciešams </w:t>
            </w:r>
            <w:r w:rsidR="00672B4F">
              <w:t>to papildināt ar pastāvīgo</w:t>
            </w:r>
            <w:r w:rsidR="000644B0">
              <w:t xml:space="preserve"> gaisa telpas struktūras </w:t>
            </w:r>
            <w:r w:rsidR="00672B4F">
              <w:t>element</w:t>
            </w:r>
            <w:r w:rsidR="00167589">
              <w:t>iem</w:t>
            </w:r>
            <w:r w:rsidR="000644B0">
              <w:t>, piemēram satiksmes informācijas zon</w:t>
            </w:r>
            <w:r w:rsidR="00167589">
              <w:t>u</w:t>
            </w:r>
            <w:r w:rsidR="000644B0">
              <w:t xml:space="preserve"> (TIZ), satiksmes informācijas rajon</w:t>
            </w:r>
            <w:r w:rsidR="00167589">
              <w:t>u</w:t>
            </w:r>
            <w:r w:rsidR="000644B0">
              <w:t xml:space="preserve"> (TIA)</w:t>
            </w:r>
            <w:r w:rsidR="00672B4F">
              <w:t>, l</w:t>
            </w:r>
            <w:r w:rsidR="00672B4F" w:rsidRPr="00672B4F">
              <w:t>idlauka gaisa satiksmes vadības rajon</w:t>
            </w:r>
            <w:r w:rsidR="00167589">
              <w:t>u</w:t>
            </w:r>
            <w:r w:rsidR="00672B4F" w:rsidRPr="00672B4F">
              <w:t xml:space="preserve"> (TMA)</w:t>
            </w:r>
            <w:r w:rsidR="000644B0" w:rsidRPr="00672B4F">
              <w:t>.</w:t>
            </w:r>
          </w:p>
          <w:p w:rsidR="00E94713" w:rsidRDefault="002C04F3" w:rsidP="00BC25EA">
            <w:pPr>
              <w:jc w:val="both"/>
            </w:pPr>
            <w:r>
              <w:t xml:space="preserve">Noteikumu Nr.507 </w:t>
            </w:r>
            <w:r w:rsidR="000D3327">
              <w:t xml:space="preserve">8.punktā ir noteikts, ka bīstamā zona (D) un ierobežotu lidojumu zona (R) ir elastīgs gaisa telpas struktūras elements, taču laika gaitā tika konstatēts, ka minētie struktūras elementi var tikt </w:t>
            </w:r>
            <w:r w:rsidR="00167589">
              <w:t xml:space="preserve">izveidoti </w:t>
            </w:r>
            <w:r w:rsidR="000D3327">
              <w:t>gan kā elastīgs</w:t>
            </w:r>
            <w:r w:rsidR="00E0157B">
              <w:t>,</w:t>
            </w:r>
            <w:r w:rsidR="000D3327">
              <w:t xml:space="preserve"> gan kā neelastīgs gaisa telpas struktūras elements.</w:t>
            </w:r>
            <w:r w:rsidR="00C6629C">
              <w:t xml:space="preserve"> E</w:t>
            </w:r>
            <w:r w:rsidR="00C6629C" w:rsidRPr="00C6629C">
              <w:t>lastīg</w:t>
            </w:r>
            <w:r w:rsidR="00C6629C">
              <w:t>s</w:t>
            </w:r>
            <w:r w:rsidR="00C6629C" w:rsidRPr="00C6629C">
              <w:t xml:space="preserve"> gaisa telpas struktūras </w:t>
            </w:r>
            <w:r w:rsidR="00C6629C" w:rsidRPr="00C6629C">
              <w:lastRenderedPageBreak/>
              <w:t>element</w:t>
            </w:r>
            <w:r w:rsidR="00C6629C">
              <w:t>s nozīmē to, ka  šo elementu izmanto īslaicīgām gaisa telpas lietotāju vajadzībām un šā elementa izmantošanu var pieteikt iepriekšējās dienas laikā</w:t>
            </w:r>
            <w:r w:rsidR="00C22EFB">
              <w:t>, ja tas ir izveidots un publicēts Aeronavigācijas informācijas publikācijā (AIP)</w:t>
            </w:r>
            <w:r w:rsidR="00C6629C">
              <w:t>. Bet neelastīgo</w:t>
            </w:r>
            <w:r w:rsidR="00C22EFB">
              <w:t>s</w:t>
            </w:r>
            <w:r w:rsidR="00C6629C">
              <w:t xml:space="preserve"> gaisa telpas struktūras elementu</w:t>
            </w:r>
            <w:r w:rsidR="00C22EFB">
              <w:t>s drīkst</w:t>
            </w:r>
            <w:r w:rsidR="00C6629C">
              <w:t xml:space="preserve"> izmanto</w:t>
            </w:r>
            <w:r w:rsidR="00C22EFB">
              <w:t>t</w:t>
            </w:r>
            <w:r w:rsidR="00C6629C">
              <w:t xml:space="preserve"> </w:t>
            </w:r>
            <w:r w:rsidR="00C22EFB">
              <w:t xml:space="preserve">tikai saskaņā ar </w:t>
            </w:r>
            <w:r w:rsidR="00C6629C">
              <w:t>iepriekš</w:t>
            </w:r>
            <w:r w:rsidR="00C22EFB">
              <w:t xml:space="preserve"> apstiprinātu grafiku</w:t>
            </w:r>
            <w:r w:rsidR="00C6629C">
              <w:t xml:space="preserve">. Ņemot vērā </w:t>
            </w:r>
            <w:r w:rsidR="00167589">
              <w:t xml:space="preserve">iepriekš </w:t>
            </w:r>
            <w:r w:rsidR="00C6629C">
              <w:t>minēto</w:t>
            </w:r>
            <w:r w:rsidR="00167589">
              <w:t>,</w:t>
            </w:r>
            <w:r w:rsidR="00C6629C">
              <w:t xml:space="preserve"> projektā </w:t>
            </w:r>
            <w:r w:rsidR="00E94713">
              <w:t>ir skaidri noteikts, kuri gaisa telpas struktūras elementi ir uzskatāmi par elastīgajiem un, kuri par neelastīgajiem elementiem.</w:t>
            </w:r>
          </w:p>
          <w:p w:rsidR="00E1009F" w:rsidRDefault="001E4EA6" w:rsidP="00BC25EA">
            <w:pPr>
              <w:jc w:val="both"/>
            </w:pPr>
            <w:r>
              <w:t xml:space="preserve">Lai efektīvi nodrošinātu elastīgas gaisa telpas izmantošanas principu ieviešanu, tajā skaitā civilo un militāro (turpmāk – </w:t>
            </w:r>
            <w:proofErr w:type="spellStart"/>
            <w:r>
              <w:t>civilmilitāro</w:t>
            </w:r>
            <w:proofErr w:type="spellEnd"/>
            <w:r>
              <w:t xml:space="preserve">) sadarbību, ar noteikumiem Nr.507 tika ieviesta gaisa telpas pārvaldības stratēģiskais līmenis, </w:t>
            </w:r>
            <w:proofErr w:type="spellStart"/>
            <w:r>
              <w:t>pirmstaktiskais</w:t>
            </w:r>
            <w:proofErr w:type="spellEnd"/>
            <w:r>
              <w:t xml:space="preserve"> līmenis un taktiskais līmenis</w:t>
            </w:r>
            <w:r w:rsidR="00D24AA2">
              <w:t xml:space="preserve">, kā to paredz Komisijas 2005.gada 23.decembra Regula (EK) Nr.2150/2005, ar ko nosaka kopīgus noteikumus gaisa telpas elastīgai izmantošanai. Projektā ir saglabāts ar </w:t>
            </w:r>
            <w:r w:rsidR="00D24AA2" w:rsidRPr="00D24AA2">
              <w:t>noteikumiem Nr.507 ieviesta</w:t>
            </w:r>
            <w:r w:rsidR="00D24AA2">
              <w:t>is</w:t>
            </w:r>
            <w:r w:rsidR="00D24AA2" w:rsidRPr="00D24AA2">
              <w:t xml:space="preserve"> gaisa telpas pārvaldības</w:t>
            </w:r>
            <w:r w:rsidR="00D24AA2">
              <w:t xml:space="preserve"> mehānisms</w:t>
            </w:r>
            <w:r w:rsidR="00102C17">
              <w:t xml:space="preserve">. </w:t>
            </w:r>
          </w:p>
          <w:p w:rsidR="00DB7124" w:rsidRPr="009E141A" w:rsidRDefault="00102C17" w:rsidP="0074364C">
            <w:pPr>
              <w:ind w:firstLine="208"/>
              <w:jc w:val="both"/>
            </w:pPr>
            <w:r>
              <w:t>Projektā stratēģiskā līmeņa gaisa telpas pārvaldība ir noteikta tādā pašā kārtībā</w:t>
            </w:r>
            <w:r w:rsidR="00E0157B">
              <w:t>,</w:t>
            </w:r>
            <w:r>
              <w:t xml:space="preserve"> kā to paredz noteikumi Nr.507, tas ir stratēģiskā līmeņa gaisa telpas pārvaldību īstenos valsts aģentūra „Civilās aviācijas aģentūra” (turpmāk – Civilās aviācijas aģentūra)</w:t>
            </w:r>
            <w:r w:rsidR="007764FF">
              <w:t xml:space="preserve"> sadarbībā ar </w:t>
            </w:r>
            <w:proofErr w:type="spellStart"/>
            <w:r w:rsidR="007764FF" w:rsidRPr="007764FF">
              <w:t>Civilmilitārās</w:t>
            </w:r>
            <w:proofErr w:type="spellEnd"/>
            <w:r w:rsidR="007764FF" w:rsidRPr="007764FF">
              <w:t xml:space="preserve"> gaisa telpas plānošanas un koordinācijas ekspertu grupu</w:t>
            </w:r>
            <w:r w:rsidR="00E1009F">
              <w:t xml:space="preserve"> (turpmāk – ekspertu grupa)</w:t>
            </w:r>
            <w:r w:rsidR="007764FF" w:rsidRPr="007764FF">
              <w:t>, kuras sastāvā ir Satiksmes ministrijas, Aizsardzības ministrijas, Civilās aviācijas aģentūras un Nacionālo bruņoto spēku deleģēti pārstāvji. Šāda ekspertu grupa ir nepieciešama, lai nodrošinātu gaisa telpas izmantošanas plānošanu</w:t>
            </w:r>
            <w:r w:rsidR="00C22EFB">
              <w:t xml:space="preserve"> militārajām vajadzībām</w:t>
            </w:r>
            <w:r w:rsidR="007764FF" w:rsidRPr="007764FF">
              <w:t xml:space="preserve"> un</w:t>
            </w:r>
            <w:r w:rsidR="00C22EFB">
              <w:t xml:space="preserve"> militārām vajadzībām izveidotu</w:t>
            </w:r>
            <w:r w:rsidR="007764FF" w:rsidRPr="007764FF">
              <w:t xml:space="preserve"> gaisa telpas struktūras elementu izmantošanas procedūru ieviešanu</w:t>
            </w:r>
            <w:r w:rsidR="007764FF" w:rsidRPr="009E141A">
              <w:t xml:space="preserve">, tādējādi ņemot vērā gan civilo, gan militāro gaisa telpas lietotāju intereses. </w:t>
            </w:r>
            <w:r w:rsidR="00B5790C">
              <w:t>E</w:t>
            </w:r>
            <w:r w:rsidR="0074364C" w:rsidRPr="009E141A">
              <w:t xml:space="preserve">kspertu grupa sastāv tikai no Satiksmes ministrijas un Aizsardzības ministrijas pārstāvjiem, kā arī minēto ministriju padotībā esošo iestāžu pārstāvjiem, projekts paredz, ka ekspertu grupu izveido minētās ministrijas ar  savstarpēju vienošanos.  </w:t>
            </w:r>
            <w:r w:rsidR="0074364C" w:rsidRPr="0074364C">
              <w:t xml:space="preserve">Projektā noteikti ekspertu grupas uzdevumi, līdz ar to projektā nav nepieciešams iekļaut pilnvarojumus Ministru kabinetam izdot instrukciju par ekspertu grupas lēmumu pieņemšanas kārtību.  </w:t>
            </w:r>
          </w:p>
          <w:p w:rsidR="002C04F3" w:rsidRDefault="001364ED" w:rsidP="004E1858">
            <w:pPr>
              <w:jc w:val="both"/>
            </w:pPr>
            <w:proofErr w:type="spellStart"/>
            <w:r>
              <w:t>Pirmstaktiskā</w:t>
            </w:r>
            <w:proofErr w:type="spellEnd"/>
            <w:r>
              <w:t xml:space="preserve"> līmeņa gaisa telpas pārvaldību  </w:t>
            </w:r>
            <w:r w:rsidRPr="001364ED">
              <w:t xml:space="preserve">īsteno valsts akciju sabiedrība "Latvijas gaisa satiksme" (turpmāk – Latvijas gaisa satiksme). Jautājumus, kuri skar militāro aviāciju, Latvijas gaisa satiksme </w:t>
            </w:r>
            <w:proofErr w:type="spellStart"/>
            <w:r w:rsidRPr="001364ED">
              <w:t>pirmstaktiskajā</w:t>
            </w:r>
            <w:proofErr w:type="spellEnd"/>
            <w:r w:rsidRPr="001364ED">
              <w:t xml:space="preserve"> līmenī īsteno kopīgi ar Nacionālajiem bruņotajiem spēkiem</w:t>
            </w:r>
            <w:r w:rsidR="00D0773D">
              <w:t>. Projekts paredz precizēt</w:t>
            </w:r>
            <w:r>
              <w:t xml:space="preserve"> </w:t>
            </w:r>
            <w:r w:rsidRPr="001364ED">
              <w:t>Latvijas gaisa satiksme</w:t>
            </w:r>
            <w:r>
              <w:t xml:space="preserve">i noteikto uzdevumus </w:t>
            </w:r>
            <w:proofErr w:type="spellStart"/>
            <w:r>
              <w:t>pirmstaktiskajā</w:t>
            </w:r>
            <w:proofErr w:type="spellEnd"/>
            <w:r>
              <w:t xml:space="preserve"> līmeni, </w:t>
            </w:r>
            <w:r w:rsidR="00D0773D">
              <w:t>piemēram</w:t>
            </w:r>
            <w:r>
              <w:t xml:space="preserve">, precizēts laiks, līdz kuram Latvijas gaisa satiksmes </w:t>
            </w:r>
            <w:r w:rsidRPr="001364ED">
              <w:t xml:space="preserve">izplata gaisa telpas ikdienas </w:t>
            </w:r>
            <w:r w:rsidRPr="001364ED">
              <w:lastRenderedPageBreak/>
              <w:t>izmantošanas plānu</w:t>
            </w:r>
            <w:r w:rsidR="00CD1FEC">
              <w:t xml:space="preserve">. Noteikumi Nr.507 paredz, ka  </w:t>
            </w:r>
            <w:r w:rsidR="00CD1FEC" w:rsidRPr="004F27D2">
              <w:t>gaisa telpas ikdienas izmantošanas plānu</w:t>
            </w:r>
            <w:r w:rsidR="00CD1FEC">
              <w:t xml:space="preserve"> izplata līdz plkst.14.00, bet ņemot vērā</w:t>
            </w:r>
            <w:r w:rsidR="00167589">
              <w:t xml:space="preserve"> to,</w:t>
            </w:r>
            <w:r w:rsidR="00CD1FEC">
              <w:t xml:space="preserve"> ka vasaras un ziemas laiks ir atšķir</w:t>
            </w:r>
            <w:r w:rsidR="000B2A78">
              <w:t xml:space="preserve">īgs, projektā noteiks, ka </w:t>
            </w:r>
            <w:r w:rsidR="000B2A78" w:rsidRPr="000B2A78">
              <w:t>gaisa telpas ikdienas izmantošanas plānu izplata līdz plkst.</w:t>
            </w:r>
            <w:r w:rsidR="000B2A78">
              <w:t xml:space="preserve">15.00 </w:t>
            </w:r>
            <w:r w:rsidR="000B2A78" w:rsidRPr="000B2A78">
              <w:t>ziemas periodā un 14.00 vasaras periodā</w:t>
            </w:r>
            <w:r w:rsidR="000B2A78">
              <w:t>.</w:t>
            </w:r>
            <w:r w:rsidR="000B2A78" w:rsidRPr="000B2A78">
              <w:t xml:space="preserve"> </w:t>
            </w:r>
            <w:r w:rsidR="00167589">
              <w:t>Kā arī projektā ir noteikt</w:t>
            </w:r>
            <w:r w:rsidR="000B2A78">
              <w:t xml:space="preserve">s Latvijas gaisa satiksmei par pienākumu </w:t>
            </w:r>
            <w:r w:rsidR="000B2A78" w:rsidRPr="000B2A78">
              <w:t>nosūt</w:t>
            </w:r>
            <w:r w:rsidR="00167589">
              <w:t>īt</w:t>
            </w:r>
            <w:r w:rsidR="000B2A78" w:rsidRPr="000B2A78">
              <w:t xml:space="preserve"> gaisa telpas ikdienas izmantošanas plānu un atjaunoto gaisa telpas izmantošanas plānu </w:t>
            </w:r>
            <w:r w:rsidR="00B30B58" w:rsidRPr="00B30B58">
              <w:t>Eiropas Aeronavigācijas drošības organizācija</w:t>
            </w:r>
            <w:r w:rsidR="00B30B58">
              <w:t>i</w:t>
            </w:r>
            <w:r w:rsidR="00777241">
              <w:t xml:space="preserve">,  </w:t>
            </w:r>
            <w:r w:rsidR="00777241" w:rsidRPr="00777241">
              <w:t>ņemot vērā gaisa telpas izmantošanas plānu, sagatavo un izdod  NOTAM paziņojumu</w:t>
            </w:r>
            <w:r w:rsidR="00777241">
              <w:t>.</w:t>
            </w:r>
          </w:p>
          <w:p w:rsidR="00777241" w:rsidRDefault="00777241" w:rsidP="00BC25EA">
            <w:pPr>
              <w:jc w:val="both"/>
            </w:pPr>
            <w:r>
              <w:t xml:space="preserve">Noteikumi Nr.507 ir noteikts, ka </w:t>
            </w:r>
            <w:proofErr w:type="spellStart"/>
            <w:r>
              <w:t>p</w:t>
            </w:r>
            <w:r w:rsidRPr="00777241">
              <w:t>irmstaktisk</w:t>
            </w:r>
            <w:r>
              <w:t>ajā</w:t>
            </w:r>
            <w:proofErr w:type="spellEnd"/>
            <w:r>
              <w:t xml:space="preserve"> līmenī g</w:t>
            </w:r>
            <w:r w:rsidRPr="009D2BF6">
              <w:t>aisa telpas lietotājs</w:t>
            </w:r>
            <w:r w:rsidRPr="004F27D2">
              <w:t xml:space="preserve"> iesniedz Latvijas gaisa satiksmē pieteikumu</w:t>
            </w:r>
            <w:r>
              <w:t xml:space="preserve"> </w:t>
            </w:r>
            <w:r w:rsidRPr="004F27D2">
              <w:t xml:space="preserve">par </w:t>
            </w:r>
            <w:r w:rsidRPr="00777241">
              <w:t>elastīgo</w:t>
            </w:r>
            <w:r w:rsidRPr="00D45F44">
              <w:rPr>
                <w:color w:val="00B050"/>
              </w:rPr>
              <w:t xml:space="preserve"> </w:t>
            </w:r>
            <w:r w:rsidRPr="004F27D2">
              <w:t>gaisa telpas struktūras elementa izmantošanu</w:t>
            </w:r>
            <w:r>
              <w:t xml:space="preserve"> un noteikumos bija uzskaitīts</w:t>
            </w:r>
            <w:r w:rsidR="00E0157B">
              <w:t>,</w:t>
            </w:r>
            <w:r>
              <w:t xml:space="preserve"> kāda informācija ir jāiekļauj pieteikumā. Taču prakse liecina, ka nepieciešamā informācija pilnvērtīgi tiek iesniegta</w:t>
            </w:r>
            <w:r w:rsidR="00167589">
              <w:t xml:space="preserve"> tad</w:t>
            </w:r>
            <w:r>
              <w:t xml:space="preserve">, ja ir noteikta konkrēta pieteikumu iesniegšanas forma. Ņemot vērā </w:t>
            </w:r>
            <w:r w:rsidR="00167589">
              <w:t xml:space="preserve">iepriekš </w:t>
            </w:r>
            <w:r>
              <w:t>minēto, projektā ir pievienota  e</w:t>
            </w:r>
            <w:r w:rsidRPr="00777241">
              <w:t>lastīgi izmantojamo gaisa telpas struktūras elementu izmantošanas pieteikum</w:t>
            </w:r>
            <w:r>
              <w:t>a veidlapa.</w:t>
            </w:r>
          </w:p>
          <w:p w:rsidR="00777241" w:rsidRDefault="00777241" w:rsidP="00BC25EA">
            <w:pPr>
              <w:jc w:val="both"/>
            </w:pPr>
            <w:r>
              <w:t>Noteikumu Nr.507 25.punktā ir noteikts, j</w:t>
            </w:r>
            <w:r w:rsidRPr="004F27D2">
              <w:t>a gaisa telpas struktūras elementu vēlas izmantot civilais un militārais gaisa telpas lietotājs</w:t>
            </w:r>
            <w:r w:rsidR="00167589">
              <w:t>, tad</w:t>
            </w:r>
            <w:r>
              <w:rPr>
                <w:color w:val="00B050"/>
              </w:rPr>
              <w:t xml:space="preserve"> </w:t>
            </w:r>
            <w:r w:rsidRPr="00777241">
              <w:t>par gaisa telpas struktūras elementa piešķiršanu Latvijas gaisa satiksme lemj kopīgi ar Nacionālajiem bruņotajiem spēkiem.</w:t>
            </w:r>
            <w:r>
              <w:t xml:space="preserve"> </w:t>
            </w:r>
            <w:r w:rsidR="00F72A65">
              <w:t>Taču Ministru kabineta 2006.gada 26.novembra noteikumu Nr.966 „</w:t>
            </w:r>
            <w:r w:rsidR="00F72A65" w:rsidRPr="00F72A65">
              <w:t>Kārtība, kādā militārās aviācijas gaisa kuģi veic lidojumus Latvijas Republikas gaisa telpā</w:t>
            </w:r>
            <w:r w:rsidR="00F72A65">
              <w:t>” 5.punktā ir noteikts, kādiem militāriem gaisa kuģiem ir prioritāte gaisa telpas izmantošanā attiecībā pret pārējiem gaisa kuģiem. Ņemot vērā minēto</w:t>
            </w:r>
            <w:r w:rsidR="00E0157B">
              <w:t>,</w:t>
            </w:r>
            <w:r w:rsidR="00F72A65">
              <w:t xml:space="preserve"> ar projektu tiek novērsta tiesību normu kolīzija un noteikts, ka</w:t>
            </w:r>
            <w:r w:rsidR="00F72A65" w:rsidRPr="00F72A65">
              <w:t xml:space="preserve"> militārajam gaisa telpas lietotājam </w:t>
            </w:r>
            <w:r w:rsidR="00F72A65">
              <w:t xml:space="preserve">ir </w:t>
            </w:r>
            <w:r w:rsidR="00F72A65" w:rsidRPr="00F72A65">
              <w:t xml:space="preserve">prioritāte </w:t>
            </w:r>
            <w:r w:rsidR="00F72A65">
              <w:t>gaisa telpas struktūras izmantošanās attiecībā pret civilo gaisa telpas izmantotāju.</w:t>
            </w:r>
          </w:p>
          <w:p w:rsidR="002C04F3" w:rsidRDefault="00774BDF" w:rsidP="00BC25EA">
            <w:pPr>
              <w:jc w:val="both"/>
            </w:pPr>
            <w:r w:rsidRPr="00774BDF">
              <w:t xml:space="preserve">Noteikumu Nr.507 </w:t>
            </w:r>
            <w:r w:rsidR="00C8091D">
              <w:t>33.punkt</w:t>
            </w:r>
            <w:r w:rsidR="00555CC9">
              <w:t xml:space="preserve">ā ir noteiks, ka </w:t>
            </w:r>
            <w:r w:rsidR="00555CC9" w:rsidRPr="00555CC9">
              <w:t xml:space="preserve">Nacionālo bruņoto spēku atbildīgās struktūrvienības aktivizē un deaktivizē Nacionālo bruņoto spēku pārvaldībā esošos </w:t>
            </w:r>
            <w:proofErr w:type="spellStart"/>
            <w:r w:rsidR="00555CC9" w:rsidRPr="00555CC9">
              <w:t>pirmstaktiskajā</w:t>
            </w:r>
            <w:proofErr w:type="spellEnd"/>
            <w:r w:rsidR="00555CC9" w:rsidRPr="00555CC9">
              <w:t xml:space="preserve"> līmenī ikdienas īslaicīgai izmantošanai piešķirtos gaisa telpas struktūras elementus</w:t>
            </w:r>
            <w:r w:rsidR="00555CC9">
              <w:t>. Izstrādājot minētos noteikumus</w:t>
            </w:r>
            <w:r w:rsidR="00E0157B">
              <w:t>,</w:t>
            </w:r>
            <w:r w:rsidR="008C1922">
              <w:t xml:space="preserve"> bija paredzēts, ka</w:t>
            </w:r>
            <w:r w:rsidR="00555CC9">
              <w:t xml:space="preserve"> Nacionāl</w:t>
            </w:r>
            <w:r w:rsidR="00167589">
              <w:t>ie</w:t>
            </w:r>
            <w:r w:rsidR="00555CC9">
              <w:t xml:space="preserve"> bruņot</w:t>
            </w:r>
            <w:r w:rsidR="00167589">
              <w:t>ie</w:t>
            </w:r>
            <w:r w:rsidR="00555CC9">
              <w:t xml:space="preserve"> spēki izveidos </w:t>
            </w:r>
            <w:r w:rsidR="0095155B">
              <w:t>gaisa telpas izmantošanas servisu</w:t>
            </w:r>
            <w:r w:rsidR="00555CC9">
              <w:t xml:space="preserve">, kas </w:t>
            </w:r>
            <w:r w:rsidR="0095155B">
              <w:t xml:space="preserve">būtu spējīgs sniegt gaisa satiksmes pakalpojumus. Taču kopš </w:t>
            </w:r>
            <w:r w:rsidR="008C1922">
              <w:t>noteikumu Nr.507 spēkā stāšanās</w:t>
            </w:r>
            <w:r w:rsidR="0095155B" w:rsidRPr="0095155B">
              <w:t xml:space="preserve"> Nacionāl</w:t>
            </w:r>
            <w:r w:rsidR="00167589">
              <w:t>ie</w:t>
            </w:r>
            <w:r w:rsidR="0095155B" w:rsidRPr="0095155B">
              <w:t xml:space="preserve"> bruņot</w:t>
            </w:r>
            <w:r w:rsidR="00167589">
              <w:t>ie</w:t>
            </w:r>
            <w:r w:rsidR="0095155B" w:rsidRPr="0095155B">
              <w:t xml:space="preserve"> spēki</w:t>
            </w:r>
            <w:r w:rsidR="0095155B">
              <w:t xml:space="preserve"> minēto servisu nav izveidojuši un Latvijas Republikā vienīgais gaisa satiksmes pakalpojumu sniedzējs ir Latvijas gaisa satiksme. Ņemot vērā minēto, projektā ir paredzēts, ka </w:t>
            </w:r>
            <w:r w:rsidR="0095155B" w:rsidRPr="0095155B">
              <w:t xml:space="preserve">gaisa telpas struktūras elementus, kas </w:t>
            </w:r>
            <w:proofErr w:type="spellStart"/>
            <w:r w:rsidR="0095155B" w:rsidRPr="0095155B">
              <w:t>pirmstaktiskajā</w:t>
            </w:r>
            <w:proofErr w:type="spellEnd"/>
            <w:r w:rsidR="0095155B" w:rsidRPr="0095155B">
              <w:t xml:space="preserve"> līmenī piešķirti īslaicīgai izmantošanai</w:t>
            </w:r>
            <w:r w:rsidR="0095155B">
              <w:t xml:space="preserve">, </w:t>
            </w:r>
            <w:r w:rsidR="0095155B" w:rsidRPr="0095155B">
              <w:t>aktivizē</w:t>
            </w:r>
            <w:r w:rsidR="0095155B">
              <w:t>s</w:t>
            </w:r>
            <w:r w:rsidR="0095155B" w:rsidRPr="0095155B">
              <w:t xml:space="preserve"> un </w:t>
            </w:r>
            <w:r w:rsidR="0095155B" w:rsidRPr="0095155B">
              <w:lastRenderedPageBreak/>
              <w:t>deaktivizē</w:t>
            </w:r>
            <w:r w:rsidR="0095155B">
              <w:t>s Latvijas gaisa satiksme.</w:t>
            </w:r>
          </w:p>
          <w:p w:rsidR="00DC562A" w:rsidRDefault="0095155B" w:rsidP="000644B0">
            <w:pPr>
              <w:ind w:firstLine="208"/>
              <w:jc w:val="both"/>
            </w:pPr>
            <w:r w:rsidRPr="00DD0FDF">
              <w:t>Noteikumu Nr.507</w:t>
            </w:r>
            <w:r>
              <w:t xml:space="preserve"> </w:t>
            </w:r>
            <w:r w:rsidR="008E0537">
              <w:t>39.punkts</w:t>
            </w:r>
            <w:r>
              <w:t xml:space="preserve"> </w:t>
            </w:r>
            <w:r w:rsidR="008E0537">
              <w:t xml:space="preserve">nosaka termiņus, kuros ir iesniedzams </w:t>
            </w:r>
            <w:r w:rsidR="008E0537" w:rsidRPr="008E0537">
              <w:t>iesniegum</w:t>
            </w:r>
            <w:r w:rsidR="008E0537">
              <w:t>s</w:t>
            </w:r>
            <w:r w:rsidR="008E0537" w:rsidRPr="008E0537">
              <w:t xml:space="preserve"> par gaisa telpas struktūras izmaiņām</w:t>
            </w:r>
            <w:r w:rsidR="00DC562A">
              <w:t>. Taču tika konstatēts, ka noteiktais termiņš 30 dienas ir par īsu, jo šajā laika periodā ir nepieciešams saņemt gan iesaistīto institūciju</w:t>
            </w:r>
            <w:r w:rsidR="00167589">
              <w:t>, piemēram pašvaldību, viedokli</w:t>
            </w:r>
            <w:r w:rsidR="00DC562A">
              <w:t>, kā arī ir nepieciešams izstrādāt gaisa telpas struktūras elementa izmantošanas procedūru, kas ir laikietilpīgs darbs. Ņemot vērā</w:t>
            </w:r>
            <w:r w:rsidR="00167589">
              <w:t xml:space="preserve"> iepriekš</w:t>
            </w:r>
            <w:r w:rsidR="00DC562A">
              <w:t xml:space="preserve"> minēto, projektā ir paredzēti trīs iesnieguma iesniegšanas termiņi</w:t>
            </w:r>
            <w:r w:rsidR="00167589">
              <w:t>,</w:t>
            </w:r>
            <w:r w:rsidR="00DC562A">
              <w:t xml:space="preserve"> atkarībā no plānotā gaisa telpas struktūras elementa izveidošanas un tā </w:t>
            </w:r>
            <w:r w:rsidR="00167589">
              <w:t>ietekmes</w:t>
            </w:r>
            <w:r w:rsidR="00DC562A">
              <w:t xml:space="preserve"> uz pārējo gaisa telpu. </w:t>
            </w:r>
          </w:p>
          <w:p w:rsidR="0095155B" w:rsidRDefault="00DC562A" w:rsidP="000644B0">
            <w:pPr>
              <w:ind w:firstLine="208"/>
              <w:jc w:val="both"/>
            </w:pPr>
            <w:r>
              <w:t xml:space="preserve">Projektā papildus ir noteikta prasība, ka gaisa telpas struktūras izmaiņu ierosinātājam ir pašam jāsaņem saskaņojums ar zemes īpašniekiem, </w:t>
            </w:r>
            <w:r w:rsidRPr="00DC562A">
              <w:t xml:space="preserve">ja plānotās izmaiņas gaisa telpas struktūrā </w:t>
            </w:r>
            <w:r w:rsidR="004B68B8">
              <w:t xml:space="preserve">ir </w:t>
            </w:r>
            <w:r w:rsidRPr="00DC562A">
              <w:t>saistītas</w:t>
            </w:r>
            <w:r w:rsidR="004B68B8">
              <w:t xml:space="preserve"> ar</w:t>
            </w:r>
            <w:r w:rsidRPr="00DC562A">
              <w:t xml:space="preserve"> zemes virsmas izmantošanu vai gaisa kuģu lidojumiem tuvu virs zemes virsmas (piemēram, izpletņlēcēju </w:t>
            </w:r>
            <w:proofErr w:type="spellStart"/>
            <w:r w:rsidRPr="00DC562A">
              <w:t>desantēšana</w:t>
            </w:r>
            <w:proofErr w:type="spellEnd"/>
            <w:r w:rsidRPr="00DC562A">
              <w:t>, gaisa kuģu akrobātiskie lidojumi)</w:t>
            </w:r>
            <w:r>
              <w:t>.</w:t>
            </w:r>
            <w:r w:rsidR="00064A83">
              <w:t xml:space="preserve"> </w:t>
            </w:r>
          </w:p>
          <w:p w:rsidR="00064A83" w:rsidRDefault="00064A83" w:rsidP="000644B0">
            <w:pPr>
              <w:ind w:firstLine="208"/>
              <w:jc w:val="both"/>
            </w:pPr>
            <w:r>
              <w:t>Veicot izmaiņas gaisa telpas struktūrā, tas ir</w:t>
            </w:r>
            <w:r w:rsidR="00E0157B">
              <w:t>,</w:t>
            </w:r>
            <w:r>
              <w:t xml:space="preserve"> izveidojot jaunu elementu vai veicot izmaiņas jau esošā elementā, ir nepieciešams izstrādāt </w:t>
            </w:r>
            <w:r w:rsidRPr="00064A83">
              <w:t>gaisa telpas struktūras elementa izmantošanas procedūru</w:t>
            </w:r>
            <w:r>
              <w:t>. Šādu procedūru var izstrādāt izmaiņu ierosinātājs sadarbojoties ar Latvijas gaisa satiksmi un to apstiprina Civilās aviācijas aģentūra. Šobrīd Civilās aviācijas</w:t>
            </w:r>
            <w:r w:rsidR="004B68B8">
              <w:t xml:space="preserve"> aģentūra bieži tiek iesaistīta</w:t>
            </w:r>
            <w:r>
              <w:t xml:space="preserve"> procedūras izstrādes procesā kā starpnieks starp ierosinātāju un Latvijas gaisa satiksmi, kā rezultātā procedūras izstrāde ieilgst.</w:t>
            </w:r>
            <w:r w:rsidR="009801DF">
              <w:t xml:space="preserve"> </w:t>
            </w:r>
            <w:r>
              <w:t xml:space="preserve">Projektā ir paredzēts skaidri noteikt, ka </w:t>
            </w:r>
            <w:r w:rsidRPr="00064A83">
              <w:t>gaisa telpas struktūras elementa izmantošanas procedūru</w:t>
            </w:r>
            <w:r>
              <w:t xml:space="preserve"> izstrādā ierosinātājs</w:t>
            </w:r>
            <w:r w:rsidR="00E0157B">
              <w:t>, saskaņojot to</w:t>
            </w:r>
            <w:r>
              <w:t xml:space="preserve"> ar Latvijas gaisa satiksmi un tikai izstrādātu procedūru iesniedz apstiprināšanai Civilās aviācijas aģentūrā. Projekts arī paredz, ka </w:t>
            </w:r>
            <w:r w:rsidRPr="00064A83">
              <w:t>gaisa telpas struktūras e</w:t>
            </w:r>
            <w:r>
              <w:t>lementa izmantošanas procedūras izstrādāšanas izmaksas sedz ierosinātājs.</w:t>
            </w:r>
          </w:p>
          <w:p w:rsidR="005758F9" w:rsidRDefault="005758F9" w:rsidP="000644B0">
            <w:pPr>
              <w:ind w:firstLine="208"/>
              <w:jc w:val="both"/>
            </w:pPr>
            <w:r>
              <w:t>Ņemot vērā visas minētās izmaiņas, k</w:t>
            </w:r>
            <w:r w:rsidR="004B68B8">
              <w:t>uras</w:t>
            </w:r>
            <w:r>
              <w:t xml:space="preserve"> būtu nepieciešams veikt noteikumos Nr.507, ievērojot </w:t>
            </w:r>
            <w:r w:rsidRPr="005758F9">
              <w:t>Ministru kabinet</w:t>
            </w:r>
            <w:r w:rsidR="004B68B8">
              <w:t>a 2009.gada 3.februāra noteikumu</w:t>
            </w:r>
            <w:r w:rsidRPr="005758F9">
              <w:t xml:space="preserve"> Nr.108 „Normatīvo aktu projektu sagatavošanas noteikumi” </w:t>
            </w:r>
            <w:r>
              <w:t>140.</w:t>
            </w:r>
            <w:r w:rsidRPr="005758F9">
              <w:t>punkta prasību</w:t>
            </w:r>
            <w:r w:rsidR="004B68B8">
              <w:t>,</w:t>
            </w:r>
            <w:r>
              <w:t xml:space="preserve"> netiek izstrādāti g</w:t>
            </w:r>
            <w:r w:rsidRPr="005758F9">
              <w:t>rozījum</w:t>
            </w:r>
            <w:r w:rsidR="004B68B8">
              <w:t>i</w:t>
            </w:r>
            <w:r w:rsidRPr="005758F9">
              <w:t xml:space="preserve"> noteikum</w:t>
            </w:r>
            <w:r>
              <w:t xml:space="preserve">os Nr.507, bet </w:t>
            </w:r>
            <w:r w:rsidRPr="005758F9">
              <w:t xml:space="preserve"> </w:t>
            </w:r>
            <w:r>
              <w:t xml:space="preserve">ir </w:t>
            </w:r>
            <w:r w:rsidRPr="005758F9">
              <w:t>sagatavo</w:t>
            </w:r>
            <w:r>
              <w:t>ts</w:t>
            </w:r>
            <w:r w:rsidRPr="005758F9">
              <w:t xml:space="preserve"> jaun</w:t>
            </w:r>
            <w:r>
              <w:t>s</w:t>
            </w:r>
            <w:r w:rsidRPr="005758F9">
              <w:t xml:space="preserve"> noteikumu projekt</w:t>
            </w:r>
            <w:r>
              <w:t>s</w:t>
            </w:r>
            <w:r w:rsidRPr="005758F9">
              <w:t>.</w:t>
            </w:r>
          </w:p>
          <w:p w:rsidR="00BB21A9" w:rsidRDefault="005758F9" w:rsidP="004E1858">
            <w:pPr>
              <w:ind w:firstLine="208"/>
              <w:jc w:val="both"/>
            </w:pPr>
            <w:r>
              <w:t>Turklāt n</w:t>
            </w:r>
            <w:r w:rsidR="00DD0FDF" w:rsidRPr="00DD0FDF">
              <w:t>oteikumu Nr.507</w:t>
            </w:r>
            <w:r w:rsidR="0095155B">
              <w:t xml:space="preserve"> </w:t>
            </w:r>
            <w:r w:rsidR="00DD0FDF">
              <w:t>ir strukturizēti tādā veidā, ka sākotnēji ir aprakstīta gaisa telpas pārvaldības kārtība, un ta</w:t>
            </w:r>
            <w:r w:rsidR="006D69D1">
              <w:t xml:space="preserve">d </w:t>
            </w:r>
            <w:r w:rsidR="00DD0FDF">
              <w:t xml:space="preserve">seko </w:t>
            </w:r>
            <w:r w:rsidR="006D69D1">
              <w:t>gaisa telpas struktūras elementu izveidošanas un to mainīšanas kārtība. Taču loģiska secība ir tāda, ka vispirms izveido gaisa telpas struktūr</w:t>
            </w:r>
            <w:r w:rsidR="004B68B8">
              <w:t xml:space="preserve">u </w:t>
            </w:r>
            <w:r w:rsidR="006D69D1">
              <w:t>un tikai pēc tam ir īstenojama</w:t>
            </w:r>
            <w:r w:rsidR="009801DF">
              <w:t xml:space="preserve"> elastīga</w:t>
            </w:r>
            <w:r w:rsidR="006D69D1">
              <w:t xml:space="preserve"> gaisa telpas pārvaldība. Ievērojot Ministru kabineta 2009.gada 3.februāra noteikumi Nr.108</w:t>
            </w:r>
            <w:r w:rsidR="00CA03DC">
              <w:t xml:space="preserve"> </w:t>
            </w:r>
            <w:r w:rsidR="006D69D1">
              <w:t>„</w:t>
            </w:r>
            <w:r w:rsidR="006D69D1" w:rsidRPr="006D69D1">
              <w:t>Normatīvo aktu projektu sagatavošanas noteikumi</w:t>
            </w:r>
            <w:r w:rsidR="006D69D1">
              <w:t>” 2.punkta prasību n</w:t>
            </w:r>
            <w:r w:rsidR="006D69D1" w:rsidRPr="006D69D1">
              <w:t>ormatīvā akta projekta tekstu raksta</w:t>
            </w:r>
            <w:r w:rsidR="006D69D1">
              <w:t xml:space="preserve">, izklāstot to loģiskā secībā, </w:t>
            </w:r>
            <w:r>
              <w:t>projektā</w:t>
            </w:r>
            <w:r w:rsidR="006D69D1">
              <w:t xml:space="preserve"> </w:t>
            </w:r>
            <w:r>
              <w:lastRenderedPageBreak/>
              <w:t xml:space="preserve">vispirms ir noteikta kārtība kādā izveido gaisa telpas struktūru un pēc tam </w:t>
            </w:r>
            <w:r w:rsidR="009801DF">
              <w:t xml:space="preserve">elastīga </w:t>
            </w:r>
            <w:r>
              <w:t>gaisa telpas pārvaldības mehānisms.</w:t>
            </w:r>
          </w:p>
        </w:tc>
      </w:tr>
      <w:tr w:rsidR="0013353A" w:rsidTr="000F0670">
        <w:trPr>
          <w:trHeight w:val="465"/>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pPr>
              <w:pStyle w:val="tvhtml"/>
              <w:jc w:val="center"/>
            </w:pPr>
            <w:r>
              <w:lastRenderedPageBreak/>
              <w:t>3.</w:t>
            </w:r>
          </w:p>
        </w:tc>
        <w:tc>
          <w:tcPr>
            <w:tcW w:w="1741" w:type="pct"/>
            <w:gridSpan w:val="5"/>
            <w:tcBorders>
              <w:top w:val="outset" w:sz="6" w:space="0" w:color="auto"/>
              <w:left w:val="outset" w:sz="6" w:space="0" w:color="auto"/>
              <w:bottom w:val="outset" w:sz="6" w:space="0" w:color="auto"/>
              <w:right w:val="outset" w:sz="6" w:space="0" w:color="auto"/>
            </w:tcBorders>
            <w:hideMark/>
          </w:tcPr>
          <w:p w:rsidR="0013353A" w:rsidRDefault="0013353A">
            <w:r>
              <w:t>Projekta izstrādē iesaistītās institūcijas</w:t>
            </w:r>
          </w:p>
        </w:tc>
        <w:tc>
          <w:tcPr>
            <w:tcW w:w="3047" w:type="pct"/>
            <w:gridSpan w:val="6"/>
            <w:tcBorders>
              <w:top w:val="outset" w:sz="6" w:space="0" w:color="auto"/>
              <w:left w:val="outset" w:sz="6" w:space="0" w:color="auto"/>
              <w:bottom w:val="outset" w:sz="6" w:space="0" w:color="auto"/>
              <w:right w:val="outset" w:sz="6" w:space="0" w:color="auto"/>
            </w:tcBorders>
          </w:tcPr>
          <w:p w:rsidR="0013353A" w:rsidRDefault="00B33600" w:rsidP="00CA03DC">
            <w:pPr>
              <w:ind w:firstLine="208"/>
              <w:jc w:val="both"/>
            </w:pPr>
            <w:r>
              <w:t>Valsts aģentūra „Civilās aviācijas aģentūra”, valsts akciju sabiedrība „Latvijas gaisa satiksme”, Satiksmes ministrija</w:t>
            </w:r>
            <w:r w:rsidR="00A755F1">
              <w:t>.</w:t>
            </w:r>
          </w:p>
        </w:tc>
      </w:tr>
      <w:tr w:rsidR="0013353A" w:rsidTr="000F0670">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pPr>
              <w:pStyle w:val="tvhtml"/>
              <w:jc w:val="center"/>
            </w:pPr>
            <w:r>
              <w:t>4.</w:t>
            </w:r>
          </w:p>
        </w:tc>
        <w:tc>
          <w:tcPr>
            <w:tcW w:w="1741" w:type="pct"/>
            <w:gridSpan w:val="5"/>
            <w:tcBorders>
              <w:top w:val="outset" w:sz="6" w:space="0" w:color="auto"/>
              <w:left w:val="outset" w:sz="6" w:space="0" w:color="auto"/>
              <w:bottom w:val="outset" w:sz="6" w:space="0" w:color="auto"/>
              <w:right w:val="outset" w:sz="6" w:space="0" w:color="auto"/>
            </w:tcBorders>
            <w:hideMark/>
          </w:tcPr>
          <w:p w:rsidR="0013353A" w:rsidRDefault="0013353A">
            <w:r>
              <w:t>Cita informācija</w:t>
            </w:r>
          </w:p>
        </w:tc>
        <w:tc>
          <w:tcPr>
            <w:tcW w:w="3047" w:type="pct"/>
            <w:gridSpan w:val="6"/>
            <w:tcBorders>
              <w:top w:val="outset" w:sz="6" w:space="0" w:color="auto"/>
              <w:left w:val="outset" w:sz="6" w:space="0" w:color="auto"/>
              <w:bottom w:val="outset" w:sz="6" w:space="0" w:color="auto"/>
              <w:right w:val="outset" w:sz="6" w:space="0" w:color="auto"/>
            </w:tcBorders>
          </w:tcPr>
          <w:p w:rsidR="007B2B58" w:rsidRPr="007B2B58" w:rsidRDefault="007B2B58" w:rsidP="000C146A">
            <w:pPr>
              <w:jc w:val="both"/>
              <w:rPr>
                <w:spacing w:val="-2"/>
              </w:rPr>
            </w:pPr>
            <w:r w:rsidRPr="007B2B58">
              <w:rPr>
                <w:spacing w:val="-2"/>
              </w:rPr>
              <w:t xml:space="preserve">Gaisa telpas pārvaldība kopā ar gaisa satiksmes pakalpojumiem ir integrāla gaisa satiksmes pārvaldības sastāvdaļa. Izmaiņas gaisa telpas struktūrā tiek izskatītas kā izmaiņas gaisa satiksmes pārvaldības sistēmā atbilstoši Regulas 1034/2011 10.panta prasībām. Lai izmaiņas gaisa telpas struktūrā stātos spēkā, tās ir jāpublicē zināšanai pārējiem gaisa telpas izmantotājiem NOTAM (paziņojums, kas satur informāciju par jebkuras aeronavigācijas iekārtas, pakalpojuma, procedūras ieviešanu vai izmaiņām tajā) atbilstoši EK Regulas Nr.73/2010 3.Pielikuma un 1944.gada 7.decembra Konvencijas par starptautisko civilo aviāciju (turpmāk – Konvencija) 15.pielikuma prasībām. Lai sagatavotu izmaiņas publikācijai, tās nepieciešams iesniegt Latvijas Gaisa satiksmei vismaz 84 dienas pirms izmaiņu spēkā stāšanās datuma. Turklāt izmaiņas gaisa telpas struktūrā ietver sevī  ICAO noteikto Aeronavigācijas informācijas regulācijas un kontroles ciklu (AIRAC), kas nosaka konkrētus datumus, kuros drīkst publicēt informāciju ilglaicīgai lietošanai.  </w:t>
            </w:r>
          </w:p>
          <w:p w:rsidR="007B2B58" w:rsidRPr="00212F72" w:rsidRDefault="007B2B58" w:rsidP="007B2B58">
            <w:pPr>
              <w:jc w:val="both"/>
            </w:pPr>
            <w:r w:rsidRPr="00212F72">
              <w:rPr>
                <w:spacing w:val="-2"/>
              </w:rPr>
              <w:t>Secinājums</w:t>
            </w:r>
            <w:r w:rsidR="00E0157B" w:rsidRPr="00212F72">
              <w:rPr>
                <w:spacing w:val="-2"/>
              </w:rPr>
              <w:t>: Starptautiskie tiesību akti (</w:t>
            </w:r>
            <w:r w:rsidRPr="00212F72">
              <w:rPr>
                <w:spacing w:val="-2"/>
              </w:rPr>
              <w:t>Konvencijas 15.pielikums) nosaka aeronavigācijas informācijas publikācijas ter</w:t>
            </w:r>
            <w:r w:rsidR="00E0157B" w:rsidRPr="00212F72">
              <w:rPr>
                <w:spacing w:val="-2"/>
              </w:rPr>
              <w:t>miņus, kā arī ES tiesību akti (</w:t>
            </w:r>
            <w:r w:rsidRPr="00212F72">
              <w:rPr>
                <w:spacing w:val="-2"/>
              </w:rPr>
              <w:t>regula Nr.1034/2011 un regula Nr.1035/2011) nosaka prasības uzraudzības iestādei, t.i., Civilās aviācijas aģentūrai un aeronavigācijas pakalpojuma sniedzējam gais</w:t>
            </w:r>
            <w:r w:rsidR="00E0157B" w:rsidRPr="00212F72">
              <w:rPr>
                <w:spacing w:val="-2"/>
              </w:rPr>
              <w:t xml:space="preserve">a satiksmes pārvaldības jomā. </w:t>
            </w:r>
          </w:p>
          <w:p w:rsidR="00622884" w:rsidRDefault="00622884" w:rsidP="00594C03">
            <w:pPr>
              <w:jc w:val="both"/>
            </w:pPr>
            <w:r>
              <w:t>Saskaņā ar  Konvencijas  11.pielikumu lidlauku gaisa satiksmes vadības rajons (TMA) tiek izveidots ar mērķi, lai nodrošinātu drošu gaisa sati</w:t>
            </w:r>
            <w:r w:rsidR="00AA739E">
              <w:t xml:space="preserve">ksmes plūsmu. Gaisa telpa ir </w:t>
            </w:r>
            <w:r w:rsidR="00AA739E" w:rsidRPr="00212F72">
              <w:t>Eiropas vienotā</w:t>
            </w:r>
            <w:r>
              <w:t xml:space="preserve"> aviācijas gaisa telpa un pārējās zonas ir jāpakārto izveidotajām trasēm (trajektorijām), kur notiek regulārie gaisa pārvadājumi. Līdz ar to militārās mācības ir jāorganizē tā, lai netraucētu regulāros civilos gaisa pārvadājumus. Lidlauku gaisa satiksmes vadības rajonu var izveidot virs viena vai vairākiem lidlaukiem, tādējādi veidojot vienu kopīgu gaisa satiksmes tīklu. Līdz ar to, ja Lielvārdes lidlauka gaisa telpa pārklātos ar  lidlauka „Rīga” gaisa telpu, tiktu veidots kā viens gaisa satiksmes vadības rajons. Lidlauku gaisa satiksmes vadības rajoni tiek izveidoti, lai tajos prioritāri nodrošinātu regulārus gaisa transporta pārvadājumus, kā arī lai nodrošinātu drošus gaisa satiksmes pakalpojumus. Tā kā Lielvārdes lidlauka gaisa telpa instrumentālo lidojumu veikšanai pārklāsies ar </w:t>
            </w:r>
            <w:r>
              <w:lastRenderedPageBreak/>
              <w:t>lidlauka „Rīga” instrumentālo lidojumu procedūrām, Lielvārdes lidlauka gaisa telpa tiks izstrādāta tādā veidā, lai nodrošinātu abu lidlauku ielidojošo un izlidojošo gaisa kuģu lidojumu drošumu. Civilās aviācijas aģentūra nodrošina visas  Regulas EK1034/2011 13.pantā noteiktās darbības gaisa telpas izmaiņu ieviešanai.</w:t>
            </w:r>
          </w:p>
          <w:p w:rsidR="00E63080" w:rsidRPr="00182BB4" w:rsidRDefault="00E63080" w:rsidP="000C146A">
            <w:pPr>
              <w:pStyle w:val="naisf"/>
              <w:tabs>
                <w:tab w:val="left" w:pos="11400"/>
              </w:tabs>
              <w:spacing w:before="0" w:after="0"/>
              <w:ind w:firstLine="0"/>
              <w:rPr>
                <w:spacing w:val="-2"/>
              </w:rPr>
            </w:pPr>
            <w:r w:rsidRPr="004219F7">
              <w:t xml:space="preserve">Saskaņā ar likuma „Par aviāciju” 6.panta otrās daļas 1.punktu Civilās aviācijas aģentūra veic LR gaisa telpas izmantošanas un civilās aviācijas darbības valsts uzraudzību. Gaisa telpas pārvaldības uzdevumus stratēģiskajā līmenī īsteno Civilās aviācijas aģentūra atbilstoši Regulas Nr.2150/2005 4.pantā 1.punktā noteiktajām prasībām. </w:t>
            </w:r>
          </w:p>
          <w:p w:rsidR="00622884" w:rsidRDefault="00622884" w:rsidP="00594C03">
            <w:pPr>
              <w:pStyle w:val="naisf"/>
              <w:tabs>
                <w:tab w:val="left" w:pos="11400"/>
              </w:tabs>
              <w:spacing w:before="0" w:after="0"/>
              <w:ind w:firstLine="0"/>
            </w:pPr>
            <w:r>
              <w:t xml:space="preserve">Saskaņā ar EK Regulas Nr.2150/2004 prasībām gaisa telpas izmantošana militārajām vajadzībām iepriekš ir jāplāno un šo militāro aktivitāšu laikā jānodrošina visu lidojumu drošuma prasību izpilde attiecībā uz pārējiem gaisa telpas lietotājiem. Turklāt viens no drošuma prasību nosacījumiem, lai ieviestu apstiprinātās izmaiņas gaisa telpas struktūrā, ir nepieciešamība publicēt izmaiņas NOTAM </w:t>
            </w:r>
            <w:r w:rsidRPr="008B1F6E">
              <w:t>(paziņojums, kas satur informāciju par jebkuras aeronavigācijas iekārtas, pakalpojuma, procedūras ieviešanu vai izmaiņām tajā)</w:t>
            </w:r>
            <w:r>
              <w:t xml:space="preserve">, lai pārējie gaisa telpas izmantotāji būtu informēti par izmaiņām gaisa telpas izmantošanā. Līdz ar to ir nepieciešams laiks, lai pieteiktās izmaiņas izskatītu atbilstoši Regulas Nr.1035/2011 un Regulas Nr.1034/2011 prasībām un pieņemtu lēmumu par izmaiņām gaisa telpā, kā arī pašam publikācijas procesam nepieciešams laiks, jo ir jāievēro Konvencijas 15.pielikumā noteiktais </w:t>
            </w:r>
            <w:r w:rsidRPr="008B1F6E">
              <w:t>AIRAC</w:t>
            </w:r>
            <w:r>
              <w:t xml:space="preserve"> cikls. </w:t>
            </w:r>
          </w:p>
          <w:p w:rsidR="00622884" w:rsidRDefault="00622884" w:rsidP="00594C03">
            <w:pPr>
              <w:jc w:val="both"/>
            </w:pPr>
            <w:r>
              <w:t>Saskaņā ar EK regulu Nr.923/2012 Eiropas vienotie lidojumu noteikumi attiecas uz vispārējo gaisa satiksmi. No spēkā esošajiem MK 2006.gada 21.novembra noteikumiem Nr.966 „</w:t>
            </w:r>
            <w:r w:rsidRPr="00107C73">
              <w:rPr>
                <w:bCs/>
              </w:rPr>
              <w:t>Kārtība, kādā militārās aviācijas gaisa kuģi veic lidojumus Latvijas Republikas gaisa telpā</w:t>
            </w:r>
            <w:r>
              <w:rPr>
                <w:bCs/>
              </w:rPr>
              <w:t>”</w:t>
            </w:r>
            <w:r w:rsidR="00BF1B0A">
              <w:rPr>
                <w:bCs/>
              </w:rPr>
              <w:t xml:space="preserve"> </w:t>
            </w:r>
            <w:r w:rsidR="00BF1B0A" w:rsidRPr="00212F72">
              <w:rPr>
                <w:bCs/>
              </w:rPr>
              <w:t>izriet, ka uz militāro gaisa kuģu lidojumiem attiecas vispārējās gaisa satiksmes noteikumi,  atšķirība ir noteikta lidojuma ātrumiem- gaisa kuģa lidojumā izmērītais gaisa ātrums nedrīkst sasniegt  skaņas ātrumu un gaisa kuģa lidojuma augstumam jābūt ne zemākam par 610 metriem (2000 pēdu) virs pārlidojamās virsmas.</w:t>
            </w:r>
            <w:r>
              <w:t xml:space="preserve"> Militāros lidojumus zemākā augstumā ir iespējams veikt speciāli izveidotās no pārējās gaisa satiksmes norobežotās zonās atbilstoši augstāk minētajiem MK noteikumiem. Saskaņā ar projekta </w:t>
            </w:r>
            <w:r w:rsidR="00963829">
              <w:t>15</w:t>
            </w:r>
            <w:r>
              <w:t>.punktu gaisa telpas izmaiņām, kuras paredzētas militāriem mērķiem, saskaņojums ar pašvaldībām un valsts iestādēm nav nepieciešams.</w:t>
            </w:r>
          </w:p>
          <w:p w:rsidR="0013353A" w:rsidRDefault="00622884" w:rsidP="00182BB4">
            <w:pPr>
              <w:spacing w:before="120"/>
              <w:jc w:val="both"/>
            </w:pPr>
            <w:r>
              <w:t xml:space="preserve">Elastīgi izveidojamo gaisa telpas struktūru elementu definīcijas ir noteiktas Regulā Nr.549/2004, kā arī </w:t>
            </w:r>
            <w:proofErr w:type="spellStart"/>
            <w:r>
              <w:t>Eirokontroles</w:t>
            </w:r>
            <w:proofErr w:type="spellEnd"/>
            <w:r>
              <w:t xml:space="preserve"> izstrādātajā Gaisa telpas pārvaldības </w:t>
            </w:r>
            <w:r>
              <w:lastRenderedPageBreak/>
              <w:t>rokasgrāmatā, kuras pielietošanu nosaka iepriekš minētā Regula Nr.549/2004. Minētā Regula neparedz speciālas definīcijas un prasības attiecībā uz militārajiem lidlaukiem un gaisa telpas struktūru virs tās.</w:t>
            </w:r>
          </w:p>
          <w:p w:rsidR="006D6B81" w:rsidRPr="00212F72" w:rsidRDefault="006D6B81" w:rsidP="00182BB4">
            <w:pPr>
              <w:spacing w:before="120"/>
              <w:jc w:val="both"/>
            </w:pPr>
            <w:r w:rsidRPr="00212F72">
              <w:t>Saskaņā ar EK Regulas Nr.2150/2004 prasībām nepieciešamā gaisa telpa militārajām vajadzībām iepriekš ir jāplāno un šo militāro aktivitāšu laikā jānodrošina visu lidojumu drošuma prasību izpilde attiecībā uz pārējiem gaisa telpas lietotājiem. Kārtību, kādā tiek veikta gaisa telpas izmantošana</w:t>
            </w:r>
            <w:r w:rsidR="00EB1394">
              <w:t>,</w:t>
            </w:r>
            <w:r w:rsidRPr="00212F72">
              <w:t xml:space="preserve"> nosaka ES regula Nr. 923/2012, kura paredz vienotus lidojumu noteikumus un gaisa telpas izmantošanas kārtību Eiropas savienībā. Turklāt viens no drošuma prasību nosacījumiem, lai ieviestu apstiprinātās izmaiņas gaisa telpas struktūrā, ir nepieciešamība publicēt izmaiņas NOTAM (paziņojums, kas satur informāciju par jebkuras aeronavigācijas iekārtas, pakalpojuma, procedūras ieviešanu vai izmaiņām tajā), lai pārējie gaisa telpas izmantotāji būtu informēti par izmaiņām gaisa telpas izmantošanā. Līdz ar to ir nepieciešams laiks, lai pieteiktās izmaiņas izskatītu atbilstoši Regulas Nr.1035/2011 un Regulas Nr.1034/2011 prasībām un pieņemtu lēmumu par izmaiņām gaisa telpā, kā arī pašam publikācijas procesam nepieciešams laiks, jo ir jāievēro Konvencijas 15.pielikumā noteiktais AIRAC cikls. Aeronavigācijas informācijas ģenerēšana, apstrāde un publicēšana tiek veikta atbilstoši  Komisijas 2010.gada 26.janvāra Regulas (ES) Nr.73/2010 un konvencijas 15. pielikuma prasībām. Nacionālie bruņotie spēki  ir viens no Civilās aviācijas aģentūras apstiprinātajiem datu ģenerētājiem, kuriem ir saistoši starptautiskie un ES tiesību akti.</w:t>
            </w:r>
          </w:p>
          <w:p w:rsidR="006D6B81" w:rsidRPr="00212F72" w:rsidRDefault="006D6B81" w:rsidP="00182BB4">
            <w:pPr>
              <w:spacing w:before="120"/>
              <w:jc w:val="both"/>
            </w:pPr>
            <w:r w:rsidRPr="00212F72">
              <w:t>Saskaņā ar EK Regulas Nr.2150/2004 prasībām gaisa telpas izmantošana militārajām vajadzībām iepriekš ir jāplāno un šo militāro aktivitāšu laikā jānodrošina visu lidojumu drošuma prasību izpilde attiecībā uz pārējiem gaisa telpas lietotājiem. Neatkarīgi no tā, vai izmaiņas ievieš civilais vai militārais gaisa telpas izmantotājs, drošuma novērtējuma metodoloģija  par ietekmi uz gaisa satiksmes pārvaldības sistēmu  ir tā pati, un visu gaisa telpas izmantotāju radītās izmaiņas gaisa satiksmes pārvaldības sistēmā tiek izskatītas līdzvērtīgi, jo radītie riski savstarpēji neatšķiras.</w:t>
            </w:r>
          </w:p>
          <w:p w:rsidR="006D6B81" w:rsidRPr="00212F72" w:rsidRDefault="006D6B81" w:rsidP="006D6B81">
            <w:pPr>
              <w:spacing w:before="120"/>
              <w:jc w:val="both"/>
            </w:pPr>
            <w:r w:rsidRPr="00212F72">
              <w:t xml:space="preserve">Aeronavigācijas pakalpojumu sniedzējs drošuma novērtējumu par radīto ietekmi uz gaisa satiksmes pārvaldības sistēmu veic atbilstoši Civilās aviācijas  apstiprinātajām Drošuma pārvaldības sistēmas procedūrām, kuras ir izstrādātas, lai pildītu Regulas Nr. 1035/2011 un Konvencijas 19.pielikuma prasības par drošuma </w:t>
            </w:r>
            <w:r w:rsidR="00D22E43">
              <w:t>pārvaldības sistēmas ieviešanu.</w:t>
            </w:r>
            <w:r w:rsidR="00F41B90">
              <w:t xml:space="preserve"> Konvencijas 19.pielikums un R</w:t>
            </w:r>
            <w:r w:rsidRPr="00212F72">
              <w:t xml:space="preserve">egula Nr. 390/2013 nosaka, ka </w:t>
            </w:r>
            <w:r w:rsidRPr="00212F72">
              <w:lastRenderedPageBreak/>
              <w:t>dalībvalstīs ir jābūt ieviestai lidojumu drošuma programmai, kurā tiek iesaistīti visi gaisa telpas izmantotāji, lidostas, gaisa kuģu operatori un aeronavigācijas pakalpojumu sniedzēji. Nacionālie bruņotie spēki ir līdzvērtīgs gaisa telpas izmantotājs un tie ir integrāla sastāvdaļa no Latvijas lidojumu drošuma programmas.</w:t>
            </w:r>
            <w:r w:rsidR="0001015D">
              <w:t xml:space="preserve"> </w:t>
            </w:r>
            <w:r w:rsidRPr="00212F72">
              <w:t xml:space="preserve">Civilās aviācijas aģentūra 2015.gada 10.martā  izdeva administratīvo aktu par  gaisa satiksmes izveides zonu Lielvārdes lidlaukā, kas paredz, ka Nacionālie bruņotie spēki var veikt lidojumus administratīvajā aktā noteiktajā kārtībā. </w:t>
            </w:r>
          </w:p>
          <w:p w:rsidR="006D6B81" w:rsidRPr="00212F72" w:rsidRDefault="006D6B81" w:rsidP="006D6B81">
            <w:pPr>
              <w:spacing w:before="120"/>
              <w:jc w:val="both"/>
            </w:pPr>
            <w:r w:rsidRPr="00212F72">
              <w:t>Visi iesniegtie pieteikumi par militārās gaisa telpas zonas izveidi virs Lielvārdes un Ādažiem tiks izskatīti un lēmumi tiks pieņemti atbilstoši spēkā esošajiem normatīvajiem aktiem un, stājoties spēkā  noteikumu projektam, atkārtoti pieteikums par tās pašas gaisa telpas zonas izveidi nebūs jāiesniedz.</w:t>
            </w:r>
          </w:p>
          <w:p w:rsidR="00665F69" w:rsidRPr="00665F69" w:rsidRDefault="00665F69" w:rsidP="00665F69">
            <w:pPr>
              <w:spacing w:before="120"/>
              <w:jc w:val="both"/>
              <w:rPr>
                <w:u w:val="single"/>
              </w:rPr>
            </w:pPr>
            <w:r w:rsidRPr="00212F72">
              <w:t>Attiecībā uz Noteikumu projekta 6.punktā noteikto gaisa telpas struktūras m</w:t>
            </w:r>
            <w:r w:rsidR="00F41B90">
              <w:t>ainīšanas mērķi norādām, ka EK R</w:t>
            </w:r>
            <w:r w:rsidRPr="00212F72">
              <w:t>egula 677/2011, ar ko nosaka sīki izstrādātus noteikumus gaisa satiksmes pārvaldības (ATM) tīkla funkciju īstenošanai un ar ko groza Regulu (ES) Nr. 691/2010 ir tieši piemērojama Latvijas gaisa telpā, kura ir integrāla Eiropas vienot</w:t>
            </w:r>
            <w:r w:rsidR="00F41B90">
              <w:t>ās gaisa telpas sastāvdaļa. EK R</w:t>
            </w:r>
            <w:r w:rsidRPr="00212F72">
              <w:t>egula 677/2011 nosaka, ka dalībvalstu kompetencē paliek gaisa telpas struktūru detalizēta izstrāde, apstiprināšana un izveide dalībvalsts atbildībā esošajai gaisa telpai. T</w:t>
            </w:r>
            <w:r w:rsidR="00F41B90">
              <w:t>ajā pašā laikā R</w:t>
            </w:r>
            <w:r w:rsidRPr="00212F72">
              <w:t>egula 677/2011 nosaka gaisa telpas struktūras plānošanas principus dalībvalstīm, gaisa telpas izmantotājiem, aeronavigācijas pakalpojumu sniedzējiem 1. pieliku</w:t>
            </w:r>
            <w:r w:rsidR="00F41B90">
              <w:t>ma B un C daļās. Atbilstoši EK R</w:t>
            </w:r>
            <w:r w:rsidRPr="00212F72">
              <w:t>egulas 2150/2005 3. pantā noteiktajiem gaisa telpas elastīgas izmantošanas principiem dalībvalstīm ir jānodrošina gaisa telpas plānošana, piešķiršana un jānodrošina lietošanas efektivitāte visu gaisa telpas lietotāju interesēs.</w:t>
            </w:r>
          </w:p>
        </w:tc>
      </w:tr>
      <w:tr w:rsidR="0013353A" w:rsidTr="00174653">
        <w:trPr>
          <w:trHeight w:val="555"/>
          <w:tblCellSpacing w:w="15" w:type="dxa"/>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13353A" w:rsidRDefault="0013353A">
            <w:pPr>
              <w:pStyle w:val="tvhtml"/>
              <w:jc w:val="center"/>
              <w:rPr>
                <w:b/>
                <w:bCs/>
              </w:rPr>
            </w:pPr>
            <w:r>
              <w:lastRenderedPageBreak/>
              <w:t> </w:t>
            </w:r>
            <w:r>
              <w:rPr>
                <w:b/>
                <w:bCs/>
              </w:rPr>
              <w:t>II. Tiesību akta projekta ietekme uz sabiedrību, tautsaimniecības attīstību un administratīvo slogu</w:t>
            </w:r>
          </w:p>
        </w:tc>
      </w:tr>
      <w:tr w:rsidR="0013353A" w:rsidTr="00AB002D">
        <w:trPr>
          <w:trHeight w:val="465"/>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t>1.</w:t>
            </w:r>
          </w:p>
        </w:tc>
        <w:tc>
          <w:tcPr>
            <w:tcW w:w="2032" w:type="pct"/>
            <w:gridSpan w:val="6"/>
            <w:tcBorders>
              <w:top w:val="outset" w:sz="6" w:space="0" w:color="auto"/>
              <w:left w:val="outset" w:sz="6" w:space="0" w:color="auto"/>
              <w:bottom w:val="outset" w:sz="6" w:space="0" w:color="auto"/>
              <w:right w:val="outset" w:sz="6" w:space="0" w:color="auto"/>
            </w:tcBorders>
            <w:hideMark/>
          </w:tcPr>
          <w:p w:rsidR="0013353A" w:rsidRDefault="0013353A">
            <w:r>
              <w:t xml:space="preserve">Sabiedrības </w:t>
            </w:r>
            <w:proofErr w:type="spellStart"/>
            <w:r>
              <w:t>mērķgrupas</w:t>
            </w:r>
            <w:proofErr w:type="spellEnd"/>
            <w:r>
              <w:t>, kuras tiesiskais regulējums ietekmē vai varētu ietekmēt</w:t>
            </w:r>
          </w:p>
        </w:tc>
        <w:tc>
          <w:tcPr>
            <w:tcW w:w="2755" w:type="pct"/>
            <w:gridSpan w:val="5"/>
            <w:tcBorders>
              <w:top w:val="outset" w:sz="6" w:space="0" w:color="auto"/>
              <w:left w:val="outset" w:sz="6" w:space="0" w:color="auto"/>
              <w:bottom w:val="outset" w:sz="6" w:space="0" w:color="auto"/>
              <w:right w:val="outset" w:sz="6" w:space="0" w:color="auto"/>
            </w:tcBorders>
          </w:tcPr>
          <w:p w:rsidR="00B33600" w:rsidRDefault="00B33600" w:rsidP="00B33600">
            <w:pPr>
              <w:jc w:val="both"/>
            </w:pPr>
            <w:r>
              <w:t>Noteikumu projekts attiecas uz aeronavigācijas pakalpojumu snie</w:t>
            </w:r>
            <w:r w:rsidR="004403E6">
              <w:t>dzēju, kas Latvijas R</w:t>
            </w:r>
            <w:r>
              <w:t xml:space="preserve">epublikā, saskaņā ar likumu „Par aviāciju” 42.panta pirmo daļu ir </w:t>
            </w:r>
            <w:r w:rsidRPr="00B33600">
              <w:t>valsts akciju sabiedrība „Latvijas gaisa satiksme”</w:t>
            </w:r>
            <w:r w:rsidR="004403E6">
              <w:t>,</w:t>
            </w:r>
            <w:r>
              <w:t xml:space="preserve"> un gaisa telpas lietotājiem.</w:t>
            </w:r>
          </w:p>
          <w:p w:rsidR="00B33600" w:rsidRDefault="00B33600" w:rsidP="00B33600">
            <w:pPr>
              <w:jc w:val="both"/>
            </w:pPr>
            <w:r>
              <w:t xml:space="preserve">Sabiedrības </w:t>
            </w:r>
            <w:proofErr w:type="spellStart"/>
            <w:r>
              <w:t>mērķgrupas</w:t>
            </w:r>
            <w:proofErr w:type="spellEnd"/>
            <w:r>
              <w:t xml:space="preserve"> aptuveno skaitu nevar norādīt, jo gaisa telpas lietotājs var būt jebkura iestāde, fiziska vai juridiska persona.</w:t>
            </w:r>
          </w:p>
        </w:tc>
      </w:tr>
      <w:tr w:rsidR="0013353A" w:rsidTr="00AB002D">
        <w:trPr>
          <w:trHeight w:val="510"/>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t>2.</w:t>
            </w:r>
          </w:p>
        </w:tc>
        <w:tc>
          <w:tcPr>
            <w:tcW w:w="2032" w:type="pct"/>
            <w:gridSpan w:val="6"/>
            <w:tcBorders>
              <w:top w:val="outset" w:sz="6" w:space="0" w:color="auto"/>
              <w:left w:val="outset" w:sz="6" w:space="0" w:color="auto"/>
              <w:bottom w:val="outset" w:sz="6" w:space="0" w:color="auto"/>
              <w:right w:val="outset" w:sz="6" w:space="0" w:color="auto"/>
            </w:tcBorders>
            <w:hideMark/>
          </w:tcPr>
          <w:p w:rsidR="0013353A" w:rsidRDefault="0013353A">
            <w:r>
              <w:t>Tiesiskā regulējuma ietekme uz tautsaimniecību un administratīvo slogu</w:t>
            </w:r>
          </w:p>
        </w:tc>
        <w:tc>
          <w:tcPr>
            <w:tcW w:w="2755" w:type="pct"/>
            <w:gridSpan w:val="5"/>
            <w:tcBorders>
              <w:top w:val="outset" w:sz="6" w:space="0" w:color="auto"/>
              <w:left w:val="outset" w:sz="6" w:space="0" w:color="auto"/>
              <w:bottom w:val="outset" w:sz="6" w:space="0" w:color="auto"/>
              <w:right w:val="outset" w:sz="6" w:space="0" w:color="auto"/>
            </w:tcBorders>
          </w:tcPr>
          <w:p w:rsidR="0013353A" w:rsidRDefault="00CB706E" w:rsidP="00DB3FFD">
            <w:pPr>
              <w:jc w:val="both"/>
            </w:pPr>
            <w:r w:rsidRPr="00CB706E">
              <w:t xml:space="preserve">Administratīvais slogs attiecībā uz šīs anotācijas daļas 1.punktā minētajām sabiedrības </w:t>
            </w:r>
            <w:proofErr w:type="spellStart"/>
            <w:r w:rsidRPr="00CB706E">
              <w:t>mērķgrupām</w:t>
            </w:r>
            <w:proofErr w:type="spellEnd"/>
            <w:r w:rsidRPr="00CB706E">
              <w:t xml:space="preserve"> nemainās, jo netiek mainīti to līdzšinējie pienākumi </w:t>
            </w:r>
            <w:r w:rsidRPr="00CB706E">
              <w:lastRenderedPageBreak/>
              <w:t>un tiesības.</w:t>
            </w:r>
            <w:r w:rsidR="00624B6A">
              <w:t xml:space="preserve"> </w:t>
            </w:r>
            <w:r w:rsidR="00624B6A" w:rsidRPr="00624B6A">
              <w:t xml:space="preserve">Sabiedrības </w:t>
            </w:r>
            <w:proofErr w:type="spellStart"/>
            <w:r w:rsidR="00624B6A">
              <w:t>mērķ</w:t>
            </w:r>
            <w:r w:rsidR="00624B6A" w:rsidRPr="00624B6A">
              <w:t>grupām</w:t>
            </w:r>
            <w:proofErr w:type="spellEnd"/>
            <w:r w:rsidR="00624B6A" w:rsidRPr="00624B6A">
              <w:t xml:space="preserve"> projekta tiesiskais regulējums nemaina to tiesības un pienākumus.</w:t>
            </w:r>
          </w:p>
        </w:tc>
      </w:tr>
      <w:tr w:rsidR="0013353A" w:rsidTr="00AB002D">
        <w:trPr>
          <w:trHeight w:val="510"/>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lastRenderedPageBreak/>
              <w:t>3.</w:t>
            </w:r>
          </w:p>
        </w:tc>
        <w:tc>
          <w:tcPr>
            <w:tcW w:w="2032" w:type="pct"/>
            <w:gridSpan w:val="6"/>
            <w:tcBorders>
              <w:top w:val="outset" w:sz="6" w:space="0" w:color="auto"/>
              <w:left w:val="outset" w:sz="6" w:space="0" w:color="auto"/>
              <w:bottom w:val="outset" w:sz="6" w:space="0" w:color="auto"/>
              <w:right w:val="outset" w:sz="6" w:space="0" w:color="auto"/>
            </w:tcBorders>
            <w:hideMark/>
          </w:tcPr>
          <w:p w:rsidR="0013353A" w:rsidRDefault="0013353A">
            <w:r>
              <w:t>Administratīvo izmaksu monetārs novērtējums</w:t>
            </w:r>
          </w:p>
        </w:tc>
        <w:tc>
          <w:tcPr>
            <w:tcW w:w="2755" w:type="pct"/>
            <w:gridSpan w:val="5"/>
            <w:tcBorders>
              <w:top w:val="outset" w:sz="6" w:space="0" w:color="auto"/>
              <w:left w:val="outset" w:sz="6" w:space="0" w:color="auto"/>
              <w:bottom w:val="outset" w:sz="6" w:space="0" w:color="auto"/>
              <w:right w:val="outset" w:sz="6" w:space="0" w:color="auto"/>
            </w:tcBorders>
          </w:tcPr>
          <w:p w:rsidR="00622884" w:rsidRDefault="00622884" w:rsidP="00622884">
            <w:pPr>
              <w:jc w:val="both"/>
            </w:pPr>
            <w:r w:rsidRPr="003A79A7">
              <w:t xml:space="preserve"> Papildus administratīvās izmaksas neradīsies.</w:t>
            </w:r>
          </w:p>
          <w:p w:rsidR="00622884" w:rsidRDefault="00622884" w:rsidP="00622884">
            <w:pPr>
              <w:jc w:val="both"/>
            </w:pPr>
            <w:r>
              <w:t>Paredzamo administratīvo izmaksu monetārs novērtējums valsts pārvaldes iestādei noteikumu projektā noteikto darbību veikšanai:</w:t>
            </w:r>
          </w:p>
          <w:p w:rsidR="00622884" w:rsidRDefault="00622884" w:rsidP="00622884">
            <w:pPr>
              <w:jc w:val="both"/>
            </w:pPr>
            <w:r>
              <w:t xml:space="preserve">1) 11.punkts - 12,52 </w:t>
            </w:r>
            <w:proofErr w:type="spellStart"/>
            <w:r>
              <w:t>euro</w:t>
            </w:r>
            <w:proofErr w:type="spellEnd"/>
            <w:r>
              <w:t xml:space="preserve"> (vidējā stundas likme Civilās aviācijas aģentūras Aeronavigācijas daļas inspektoram) x 160 stundas (noteikumu projekta 11.punktā noteikto darbību veikšana) x 9 (personu skaits) x 1 (biežums gadā) = 18028,80 </w:t>
            </w:r>
            <w:proofErr w:type="spellStart"/>
            <w:r>
              <w:t>euro</w:t>
            </w:r>
            <w:proofErr w:type="spellEnd"/>
            <w:r>
              <w:t>;</w:t>
            </w:r>
          </w:p>
          <w:p w:rsidR="00622884" w:rsidRDefault="00622884" w:rsidP="00622884">
            <w:pPr>
              <w:jc w:val="both"/>
            </w:pPr>
            <w:r>
              <w:t xml:space="preserve">2) 16.punkts - 12,52 </w:t>
            </w:r>
            <w:proofErr w:type="spellStart"/>
            <w:r>
              <w:t>euro</w:t>
            </w:r>
            <w:proofErr w:type="spellEnd"/>
            <w:r>
              <w:t xml:space="preserve"> (vidējā stundas likme Civilās aviācijas aģentūras Aeronavigācijas daļas inspektoram) x 8 stundas (</w:t>
            </w:r>
            <w:r w:rsidRPr="009A296A">
              <w:t>noteikumu projekt</w:t>
            </w:r>
            <w:r>
              <w:t>a</w:t>
            </w:r>
            <w:r w:rsidRPr="009A296A">
              <w:t xml:space="preserve"> 1</w:t>
            </w:r>
            <w:r>
              <w:t>6</w:t>
            </w:r>
            <w:r w:rsidRPr="009A296A">
              <w:t>.punktā noteikto darbību veikšana</w:t>
            </w:r>
            <w:r>
              <w:t xml:space="preserve">) x 3 (personu skaits) x 10 (biežums gadā) = 3004,80 </w:t>
            </w:r>
            <w:proofErr w:type="spellStart"/>
            <w:r>
              <w:t>euro</w:t>
            </w:r>
            <w:proofErr w:type="spellEnd"/>
            <w:r>
              <w:t>;</w:t>
            </w:r>
          </w:p>
          <w:p w:rsidR="00622884" w:rsidRDefault="00622884" w:rsidP="00622884">
            <w:pPr>
              <w:jc w:val="both"/>
            </w:pPr>
            <w:r>
              <w:t xml:space="preserve">3) 18.punkts - 12,52 </w:t>
            </w:r>
            <w:proofErr w:type="spellStart"/>
            <w:r>
              <w:t>euro</w:t>
            </w:r>
            <w:proofErr w:type="spellEnd"/>
            <w:r>
              <w:t xml:space="preserve"> (vidējā stundas likme Civilās aviācijas aģentūras Aeronavigācijas daļas inspektoram) x 8 stundas (noteikumu projekta 18</w:t>
            </w:r>
            <w:r w:rsidRPr="009A296A">
              <w:t>.punktā noteikto darbību veikšana</w:t>
            </w:r>
            <w:r>
              <w:t xml:space="preserve">) x 3 (personu skaits) x 20 (biežums gadā) = 6009,60 </w:t>
            </w:r>
            <w:proofErr w:type="spellStart"/>
            <w:r>
              <w:t>euro</w:t>
            </w:r>
            <w:proofErr w:type="spellEnd"/>
            <w:r>
              <w:t>;</w:t>
            </w:r>
          </w:p>
          <w:p w:rsidR="0013353A" w:rsidRDefault="00622884" w:rsidP="00622884">
            <w:r>
              <w:t xml:space="preserve">4) 19., 20., 21.punkts - 12,52 </w:t>
            </w:r>
            <w:proofErr w:type="spellStart"/>
            <w:r>
              <w:t>euro</w:t>
            </w:r>
            <w:proofErr w:type="spellEnd"/>
            <w:r>
              <w:t xml:space="preserve"> (vidējā stundas likme Civilās aviācijas aģentūras Aeronavigācijas daļas inspektoram) x 14 stundas (</w:t>
            </w:r>
            <w:r w:rsidRPr="009A296A">
              <w:t>noteikumu projekta 1</w:t>
            </w:r>
            <w:r>
              <w:t>9</w:t>
            </w:r>
            <w:r w:rsidRPr="009A296A">
              <w:t>.</w:t>
            </w:r>
            <w:r>
              <w:t>, 20. un 21.</w:t>
            </w:r>
            <w:r w:rsidRPr="009A296A">
              <w:t>punktā noteikto darbību veikšana</w:t>
            </w:r>
            <w:r>
              <w:t xml:space="preserve">) x 9 (personu skaits) x 80 (biežums gadā) = 126201,60 </w:t>
            </w:r>
            <w:proofErr w:type="spellStart"/>
            <w:r>
              <w:t>euro</w:t>
            </w:r>
            <w:proofErr w:type="spellEnd"/>
            <w:r>
              <w:t>.</w:t>
            </w:r>
          </w:p>
        </w:tc>
      </w:tr>
      <w:tr w:rsidR="0013353A" w:rsidTr="00AB002D">
        <w:trPr>
          <w:trHeight w:val="345"/>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t>4.</w:t>
            </w:r>
          </w:p>
        </w:tc>
        <w:tc>
          <w:tcPr>
            <w:tcW w:w="2032" w:type="pct"/>
            <w:gridSpan w:val="6"/>
            <w:tcBorders>
              <w:top w:val="outset" w:sz="6" w:space="0" w:color="auto"/>
              <w:left w:val="outset" w:sz="6" w:space="0" w:color="auto"/>
              <w:bottom w:val="outset" w:sz="6" w:space="0" w:color="auto"/>
              <w:right w:val="outset" w:sz="6" w:space="0" w:color="auto"/>
            </w:tcBorders>
            <w:hideMark/>
          </w:tcPr>
          <w:p w:rsidR="0013353A" w:rsidRDefault="0013353A">
            <w:r>
              <w:t>Cita informācija</w:t>
            </w:r>
          </w:p>
        </w:tc>
        <w:tc>
          <w:tcPr>
            <w:tcW w:w="2755" w:type="pct"/>
            <w:gridSpan w:val="5"/>
            <w:tcBorders>
              <w:top w:val="outset" w:sz="6" w:space="0" w:color="auto"/>
              <w:left w:val="outset" w:sz="6" w:space="0" w:color="auto"/>
              <w:bottom w:val="outset" w:sz="6" w:space="0" w:color="auto"/>
              <w:right w:val="outset" w:sz="6" w:space="0" w:color="auto"/>
            </w:tcBorders>
          </w:tcPr>
          <w:p w:rsidR="00280979" w:rsidRDefault="00E22F02" w:rsidP="00EB1394">
            <w:pPr>
              <w:pStyle w:val="tvhtml"/>
              <w:jc w:val="both"/>
            </w:pPr>
            <w:r w:rsidRPr="00E91940">
              <w:t>No AS „Latvijas Gaisa satiksme</w:t>
            </w:r>
            <w:r w:rsidR="004F5DFC" w:rsidRPr="00E91940">
              <w:t xml:space="preserve">” 2015.gada 15.jūlijā saņemta vēstule, kurā </w:t>
            </w:r>
            <w:r w:rsidRPr="00E91940">
              <w:t>tiek sniegta informācija ar</w:t>
            </w:r>
            <w:r w:rsidR="000F6B39" w:rsidRPr="00E91940">
              <w:t xml:space="preserve"> noteikumu projekta 17.1.punktā minētās procedūras izstrādi saistītajām izmaksām</w:t>
            </w:r>
            <w:r w:rsidRPr="00E91940">
              <w:t>. Latvijas gaisa satiksme</w:t>
            </w:r>
            <w:r w:rsidR="000F6B39" w:rsidRPr="00E91940">
              <w:t xml:space="preserve"> norāda, ka vidējais laika patēriņ</w:t>
            </w:r>
            <w:r w:rsidRPr="00E91940">
              <w:t>š vienai procedūras izstrādei ir 16 stundas, faktiskā (vidējā</w:t>
            </w:r>
            <w:r w:rsidR="00392FBE" w:rsidRPr="00E91940">
              <w:t>) iesaistīto darbinieku stundas likm</w:t>
            </w:r>
            <w:r w:rsidRPr="00E91940">
              <w:t xml:space="preserve">e ir 31,14 </w:t>
            </w:r>
            <w:proofErr w:type="spellStart"/>
            <w:r w:rsidRPr="00E91940">
              <w:t>euro</w:t>
            </w:r>
            <w:proofErr w:type="spellEnd"/>
            <w:r w:rsidRPr="00E91940">
              <w:t xml:space="preserve">, līdz ar to  Latvijas Gaisa satiksmes kopējās personāla izmaksas, kas saistītas ar procedūras izstrādi, </w:t>
            </w:r>
            <w:r w:rsidR="00392FBE" w:rsidRPr="00E91940">
              <w:t xml:space="preserve"> sastāda 498,24 </w:t>
            </w:r>
            <w:proofErr w:type="spellStart"/>
            <w:r w:rsidR="00392FBE" w:rsidRPr="00E91940">
              <w:t>euro</w:t>
            </w:r>
            <w:proofErr w:type="spellEnd"/>
            <w:r w:rsidR="00392FBE" w:rsidRPr="00E91940">
              <w:t xml:space="preserve">. </w:t>
            </w:r>
          </w:p>
          <w:p w:rsidR="000F6B39" w:rsidRDefault="00E22F02" w:rsidP="00EB1394">
            <w:pPr>
              <w:pStyle w:val="tvhtml"/>
              <w:jc w:val="both"/>
            </w:pPr>
            <w:r w:rsidRPr="00212F72">
              <w:t xml:space="preserve">Ievērojot </w:t>
            </w:r>
            <w:r w:rsidR="00EB1394">
              <w:t>iepriekš minēto</w:t>
            </w:r>
            <w:r w:rsidRPr="00212F72">
              <w:t>, p</w:t>
            </w:r>
            <w:r w:rsidR="000F6B39" w:rsidRPr="00212F72">
              <w:t>aredzamās administratīvās izmaksas, kas saistītas ar noteikumu projekta 17.1.p</w:t>
            </w:r>
            <w:r w:rsidRPr="00212F72">
              <w:t>unktā noteikto darbību veikšanu</w:t>
            </w:r>
            <w:r w:rsidR="009C12FA" w:rsidRPr="00212F72">
              <w:t>,</w:t>
            </w:r>
            <w:r w:rsidRPr="00212F72">
              <w:t xml:space="preserve"> ir šādas:</w:t>
            </w:r>
            <w:r w:rsidR="000F6B39" w:rsidRPr="00212F72">
              <w:t xml:space="preserve"> 31,14 </w:t>
            </w:r>
            <w:proofErr w:type="spellStart"/>
            <w:r w:rsidR="000F6B39" w:rsidRPr="00212F72">
              <w:t>euro</w:t>
            </w:r>
            <w:proofErr w:type="spellEnd"/>
            <w:r w:rsidR="000F6B39" w:rsidRPr="00212F72">
              <w:t xml:space="preserve"> </w:t>
            </w:r>
            <w:r w:rsidRPr="00212F72">
              <w:t>(</w:t>
            </w:r>
            <w:r w:rsidR="000F6B39" w:rsidRPr="00212F72">
              <w:t>stundas likme Latvijas gaisa satiksmes Gaisa satiksmes vadības departamenta darbiniekam) x 2 (personu skaits) x 8 stundas x 8 (biežums gadā) = 3985,92</w:t>
            </w:r>
            <w:r w:rsidR="0078231E" w:rsidRPr="00212F72">
              <w:t xml:space="preserve"> </w:t>
            </w:r>
            <w:proofErr w:type="spellStart"/>
            <w:r w:rsidR="0078231E" w:rsidRPr="00212F72">
              <w:t>euro</w:t>
            </w:r>
            <w:proofErr w:type="spellEnd"/>
            <w:r w:rsidR="0078231E" w:rsidRPr="00212F72">
              <w:t>.</w:t>
            </w:r>
          </w:p>
        </w:tc>
      </w:tr>
      <w:tr w:rsidR="001863D0" w:rsidTr="001863D0">
        <w:trPr>
          <w:trHeight w:val="345"/>
          <w:tblCellSpacing w:w="15" w:type="dxa"/>
        </w:trPr>
        <w:tc>
          <w:tcPr>
            <w:tcW w:w="4967" w:type="pct"/>
            <w:gridSpan w:val="12"/>
            <w:tcBorders>
              <w:top w:val="outset" w:sz="6" w:space="0" w:color="auto"/>
              <w:left w:val="outset" w:sz="6" w:space="0" w:color="auto"/>
              <w:bottom w:val="outset" w:sz="6" w:space="0" w:color="auto"/>
              <w:right w:val="outset" w:sz="6" w:space="0" w:color="auto"/>
            </w:tcBorders>
          </w:tcPr>
          <w:p w:rsidR="001863D0" w:rsidRPr="00182BB4" w:rsidRDefault="002856A1" w:rsidP="00182BB4">
            <w:pPr>
              <w:pStyle w:val="tvhtml"/>
              <w:jc w:val="center"/>
              <w:rPr>
                <w:b/>
              </w:rPr>
            </w:pPr>
            <w:r w:rsidRPr="00182BB4">
              <w:rPr>
                <w:b/>
              </w:rPr>
              <w:t>IV. Tiesību akta projekta ietekme uz spēkā esošo tiesību normu sistēmu</w:t>
            </w:r>
          </w:p>
        </w:tc>
      </w:tr>
      <w:tr w:rsidR="001863D0" w:rsidTr="00AB002D">
        <w:trPr>
          <w:trHeight w:val="345"/>
          <w:tblCellSpacing w:w="15" w:type="dxa"/>
        </w:trPr>
        <w:tc>
          <w:tcPr>
            <w:tcW w:w="147" w:type="pct"/>
            <w:tcBorders>
              <w:top w:val="outset" w:sz="6" w:space="0" w:color="auto"/>
              <w:left w:val="outset" w:sz="6" w:space="0" w:color="auto"/>
              <w:bottom w:val="outset" w:sz="6" w:space="0" w:color="auto"/>
              <w:right w:val="outset" w:sz="6" w:space="0" w:color="auto"/>
            </w:tcBorders>
          </w:tcPr>
          <w:p w:rsidR="001863D0" w:rsidRDefault="002856A1">
            <w:r>
              <w:t>1.</w:t>
            </w:r>
          </w:p>
        </w:tc>
        <w:tc>
          <w:tcPr>
            <w:tcW w:w="2032" w:type="pct"/>
            <w:gridSpan w:val="6"/>
            <w:tcBorders>
              <w:top w:val="outset" w:sz="6" w:space="0" w:color="auto"/>
              <w:left w:val="outset" w:sz="6" w:space="0" w:color="auto"/>
              <w:bottom w:val="outset" w:sz="6" w:space="0" w:color="auto"/>
              <w:right w:val="outset" w:sz="6" w:space="0" w:color="auto"/>
            </w:tcBorders>
          </w:tcPr>
          <w:p w:rsidR="001863D0" w:rsidRDefault="002856A1">
            <w:r w:rsidRPr="002856A1">
              <w:t>Nepieciešamie saistītie tiesību aktu projekti</w:t>
            </w:r>
          </w:p>
        </w:tc>
        <w:tc>
          <w:tcPr>
            <w:tcW w:w="2755" w:type="pct"/>
            <w:gridSpan w:val="5"/>
            <w:tcBorders>
              <w:top w:val="outset" w:sz="6" w:space="0" w:color="auto"/>
              <w:left w:val="outset" w:sz="6" w:space="0" w:color="auto"/>
              <w:bottom w:val="outset" w:sz="6" w:space="0" w:color="auto"/>
              <w:right w:val="outset" w:sz="6" w:space="0" w:color="auto"/>
            </w:tcBorders>
          </w:tcPr>
          <w:p w:rsidR="004403E6" w:rsidRDefault="00EB58A9" w:rsidP="00594C03">
            <w:pPr>
              <w:pStyle w:val="tvhtml"/>
              <w:spacing w:before="0" w:beforeAutospacing="0" w:after="0" w:afterAutospacing="0"/>
              <w:jc w:val="both"/>
            </w:pPr>
            <w:r>
              <w:t xml:space="preserve">Nepieciešams </w:t>
            </w:r>
            <w:r w:rsidR="00B23043">
              <w:t>sagatavot</w:t>
            </w:r>
            <w:r>
              <w:t xml:space="preserve"> </w:t>
            </w:r>
            <w:r w:rsidRPr="00EB58A9">
              <w:t>Ministru kabineta instrukcij</w:t>
            </w:r>
            <w:r>
              <w:t>as projektu</w:t>
            </w:r>
            <w:r w:rsidRPr="00EB58A9">
              <w:t xml:space="preserve"> „</w:t>
            </w:r>
            <w:proofErr w:type="spellStart"/>
            <w:r w:rsidRPr="00EB58A9">
              <w:t>Civilmilitārās</w:t>
            </w:r>
            <w:proofErr w:type="spellEnd"/>
            <w:r w:rsidRPr="00EB58A9">
              <w:t xml:space="preserve"> gaisa telpas plānošanas un koordinācijas ekspertu grupas </w:t>
            </w:r>
            <w:r>
              <w:lastRenderedPageBreak/>
              <w:t xml:space="preserve">darbība un </w:t>
            </w:r>
            <w:r w:rsidRPr="00EB58A9">
              <w:t>lēmumu pieņemšanas kārtība”</w:t>
            </w:r>
            <w:r w:rsidR="004403E6">
              <w:t>, kura</w:t>
            </w:r>
            <w:r w:rsidR="0079280C">
              <w:t xml:space="preserve"> </w:t>
            </w:r>
            <w:r w:rsidR="0079280C" w:rsidRPr="0079280C">
              <w:t>no</w:t>
            </w:r>
            <w:r w:rsidR="0079280C">
              <w:t>teiks</w:t>
            </w:r>
            <w:r w:rsidR="0079280C" w:rsidRPr="0079280C">
              <w:t xml:space="preserve"> kārtību, kādā </w:t>
            </w:r>
            <w:proofErr w:type="spellStart"/>
            <w:r w:rsidR="0079280C" w:rsidRPr="0079280C">
              <w:t>civilmilitārās</w:t>
            </w:r>
            <w:proofErr w:type="spellEnd"/>
            <w:r w:rsidR="0079280C" w:rsidRPr="0079280C">
              <w:t xml:space="preserve"> gaisa telpas plānošanas un koordinācijas ekspertu grupa darbosies </w:t>
            </w:r>
            <w:r w:rsidR="0079280C">
              <w:t xml:space="preserve">un </w:t>
            </w:r>
            <w:r w:rsidR="0079280C" w:rsidRPr="0079280C">
              <w:t>pieņem</w:t>
            </w:r>
            <w:r w:rsidR="0079280C">
              <w:t>s</w:t>
            </w:r>
            <w:r w:rsidR="0079280C" w:rsidRPr="0079280C">
              <w:t xml:space="preserve"> lēmumus gaisa telpas pārvaldības stratēģiskajā līmenī.</w:t>
            </w:r>
          </w:p>
          <w:p w:rsidR="00BC25EA" w:rsidRDefault="0061230E" w:rsidP="00594C03">
            <w:pPr>
              <w:pStyle w:val="tvhtml"/>
              <w:spacing w:before="0" w:beforeAutospacing="0" w:after="0" w:afterAutospacing="0"/>
              <w:jc w:val="both"/>
            </w:pPr>
            <w:r>
              <w:t xml:space="preserve">Projekts paredz atzīt par </w:t>
            </w:r>
            <w:r w:rsidRPr="00BB21A9">
              <w:t>spēku zaudējuš</w:t>
            </w:r>
            <w:r>
              <w:t>iem šādus spēkā</w:t>
            </w:r>
            <w:r w:rsidRPr="00BB21A9">
              <w:t xml:space="preserve"> esoš</w:t>
            </w:r>
            <w:r>
              <w:t>us</w:t>
            </w:r>
            <w:r w:rsidRPr="00BB21A9">
              <w:t xml:space="preserve"> tiesību akt</w:t>
            </w:r>
            <w:r>
              <w:t>us:1) </w:t>
            </w:r>
            <w:r w:rsidRPr="00BB21A9">
              <w:t>Ministru kabineta 2011.gada 28.jūnija noteikumus Nr.507 „Noteikumi par gaisa telpas pārvaldību, struktūru un tās mainīšanas kārtību” (Latvijas Vēstnesis, 2011, 102.nr.)</w:t>
            </w:r>
            <w:r>
              <w:t>;</w:t>
            </w:r>
          </w:p>
          <w:p w:rsidR="0061230E" w:rsidRDefault="0061230E" w:rsidP="00594C03">
            <w:pPr>
              <w:pStyle w:val="tvhtml"/>
              <w:spacing w:before="0" w:beforeAutospacing="0" w:after="0" w:afterAutospacing="0"/>
              <w:jc w:val="both"/>
            </w:pPr>
            <w:r>
              <w:t>2) </w:t>
            </w:r>
            <w:r w:rsidRPr="00BB21A9">
              <w:t>Ministru kabineta 2012.gada 28.februāra instrukciju Nr.1 „</w:t>
            </w:r>
            <w:proofErr w:type="spellStart"/>
            <w:r w:rsidRPr="00BB21A9">
              <w:t>Civilmilitārās</w:t>
            </w:r>
            <w:proofErr w:type="spellEnd"/>
            <w:r w:rsidRPr="00BB21A9">
              <w:t xml:space="preserve"> gaisa telpas plānošanas un koordinācijas ekspertu grupas lēmumu pieņemšanas kārtība” (Latvijas Vēstnesis, 2012, 38.nr.)</w:t>
            </w:r>
            <w:r>
              <w:t>;</w:t>
            </w:r>
          </w:p>
          <w:p w:rsidR="0061230E" w:rsidRDefault="0061230E" w:rsidP="00594C03">
            <w:pPr>
              <w:pStyle w:val="tvhtml"/>
              <w:spacing w:before="0" w:beforeAutospacing="0" w:after="0" w:afterAutospacing="0"/>
              <w:jc w:val="both"/>
            </w:pPr>
            <w:r>
              <w:t>3) </w:t>
            </w:r>
            <w:r w:rsidRPr="00BB21A9">
              <w:t xml:space="preserve">Ministru kabineta 2012.gada 25.aprīļa rīkojumu Nr.193 „Par </w:t>
            </w:r>
            <w:proofErr w:type="spellStart"/>
            <w:r w:rsidRPr="00BB21A9">
              <w:t>civilmilitārās</w:t>
            </w:r>
            <w:proofErr w:type="spellEnd"/>
            <w:r w:rsidRPr="00BB21A9">
              <w:t xml:space="preserve"> gaisa telpas plānošanas un koordinācijas ekspertu grupu” (Latvijas Vēstnesis, 2012, 66.nr.)</w:t>
            </w:r>
            <w:r>
              <w:t>.</w:t>
            </w:r>
          </w:p>
        </w:tc>
      </w:tr>
      <w:tr w:rsidR="001863D0" w:rsidTr="00AB002D">
        <w:trPr>
          <w:trHeight w:val="345"/>
          <w:tblCellSpacing w:w="15" w:type="dxa"/>
        </w:trPr>
        <w:tc>
          <w:tcPr>
            <w:tcW w:w="147" w:type="pct"/>
            <w:tcBorders>
              <w:top w:val="outset" w:sz="6" w:space="0" w:color="auto"/>
              <w:left w:val="outset" w:sz="6" w:space="0" w:color="auto"/>
              <w:bottom w:val="outset" w:sz="6" w:space="0" w:color="auto"/>
              <w:right w:val="outset" w:sz="6" w:space="0" w:color="auto"/>
            </w:tcBorders>
          </w:tcPr>
          <w:p w:rsidR="001863D0" w:rsidRDefault="002856A1">
            <w:r>
              <w:lastRenderedPageBreak/>
              <w:t>2.</w:t>
            </w:r>
          </w:p>
        </w:tc>
        <w:tc>
          <w:tcPr>
            <w:tcW w:w="2032" w:type="pct"/>
            <w:gridSpan w:val="6"/>
            <w:tcBorders>
              <w:top w:val="outset" w:sz="6" w:space="0" w:color="auto"/>
              <w:left w:val="outset" w:sz="6" w:space="0" w:color="auto"/>
              <w:bottom w:val="outset" w:sz="6" w:space="0" w:color="auto"/>
              <w:right w:val="outset" w:sz="6" w:space="0" w:color="auto"/>
            </w:tcBorders>
          </w:tcPr>
          <w:p w:rsidR="001863D0" w:rsidRDefault="002856A1">
            <w:r w:rsidRPr="002856A1">
              <w:t>Atbildīgā institūcija</w:t>
            </w:r>
          </w:p>
        </w:tc>
        <w:tc>
          <w:tcPr>
            <w:tcW w:w="2755" w:type="pct"/>
            <w:gridSpan w:val="5"/>
            <w:tcBorders>
              <w:top w:val="outset" w:sz="6" w:space="0" w:color="auto"/>
              <w:left w:val="outset" w:sz="6" w:space="0" w:color="auto"/>
              <w:bottom w:val="outset" w:sz="6" w:space="0" w:color="auto"/>
              <w:right w:val="outset" w:sz="6" w:space="0" w:color="auto"/>
            </w:tcBorders>
          </w:tcPr>
          <w:p w:rsidR="001863D0" w:rsidRDefault="00EB58A9">
            <w:pPr>
              <w:pStyle w:val="tvhtml"/>
            </w:pPr>
            <w:r>
              <w:t>Satiksmes ministrija</w:t>
            </w:r>
          </w:p>
        </w:tc>
      </w:tr>
      <w:tr w:rsidR="001863D0" w:rsidTr="00AB002D">
        <w:trPr>
          <w:trHeight w:val="345"/>
          <w:tblCellSpacing w:w="15" w:type="dxa"/>
        </w:trPr>
        <w:tc>
          <w:tcPr>
            <w:tcW w:w="147" w:type="pct"/>
            <w:tcBorders>
              <w:top w:val="outset" w:sz="6" w:space="0" w:color="auto"/>
              <w:left w:val="outset" w:sz="6" w:space="0" w:color="auto"/>
              <w:bottom w:val="outset" w:sz="6" w:space="0" w:color="auto"/>
              <w:right w:val="outset" w:sz="6" w:space="0" w:color="auto"/>
            </w:tcBorders>
          </w:tcPr>
          <w:p w:rsidR="001863D0" w:rsidRDefault="002856A1">
            <w:r>
              <w:t>3.</w:t>
            </w:r>
          </w:p>
        </w:tc>
        <w:tc>
          <w:tcPr>
            <w:tcW w:w="2032" w:type="pct"/>
            <w:gridSpan w:val="6"/>
            <w:tcBorders>
              <w:top w:val="outset" w:sz="6" w:space="0" w:color="auto"/>
              <w:left w:val="outset" w:sz="6" w:space="0" w:color="auto"/>
              <w:bottom w:val="outset" w:sz="6" w:space="0" w:color="auto"/>
              <w:right w:val="outset" w:sz="6" w:space="0" w:color="auto"/>
            </w:tcBorders>
          </w:tcPr>
          <w:p w:rsidR="001863D0" w:rsidRDefault="002856A1">
            <w:r w:rsidRPr="002856A1">
              <w:t>Cita informācija</w:t>
            </w:r>
          </w:p>
        </w:tc>
        <w:tc>
          <w:tcPr>
            <w:tcW w:w="2755" w:type="pct"/>
            <w:gridSpan w:val="5"/>
            <w:tcBorders>
              <w:top w:val="outset" w:sz="6" w:space="0" w:color="auto"/>
              <w:left w:val="outset" w:sz="6" w:space="0" w:color="auto"/>
              <w:bottom w:val="outset" w:sz="6" w:space="0" w:color="auto"/>
              <w:right w:val="outset" w:sz="6" w:space="0" w:color="auto"/>
            </w:tcBorders>
          </w:tcPr>
          <w:p w:rsidR="001863D0" w:rsidRDefault="00EB58A9">
            <w:pPr>
              <w:pStyle w:val="tvhtml"/>
            </w:pPr>
            <w:r w:rsidRPr="00EB3C23">
              <w:t>Nav</w:t>
            </w:r>
          </w:p>
        </w:tc>
      </w:tr>
      <w:tr w:rsidR="0013353A" w:rsidTr="00174653">
        <w:trPr>
          <w:tblCellSpacing w:w="15" w:type="dxa"/>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13353A" w:rsidRDefault="0013353A">
            <w:pPr>
              <w:pStyle w:val="tvhtml"/>
              <w:jc w:val="center"/>
              <w:rPr>
                <w:b/>
                <w:bCs/>
              </w:rPr>
            </w:pPr>
            <w:r>
              <w:t> </w:t>
            </w:r>
            <w:r>
              <w:rPr>
                <w:b/>
                <w:bCs/>
              </w:rPr>
              <w:t>V. Tiesību akta projekta atbilstība Latvijas Republikas starptautiskajām saistībām</w:t>
            </w:r>
          </w:p>
        </w:tc>
      </w:tr>
      <w:tr w:rsidR="0013353A" w:rsidTr="00AB002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t>1.</w:t>
            </w:r>
          </w:p>
        </w:tc>
        <w:tc>
          <w:tcPr>
            <w:tcW w:w="1424" w:type="pct"/>
            <w:gridSpan w:val="4"/>
            <w:tcBorders>
              <w:top w:val="outset" w:sz="6" w:space="0" w:color="auto"/>
              <w:left w:val="outset" w:sz="6" w:space="0" w:color="auto"/>
              <w:bottom w:val="outset" w:sz="6" w:space="0" w:color="auto"/>
              <w:right w:val="outset" w:sz="6" w:space="0" w:color="auto"/>
            </w:tcBorders>
            <w:hideMark/>
          </w:tcPr>
          <w:p w:rsidR="0013353A" w:rsidRDefault="0013353A">
            <w:r>
              <w:t>Saistības pret Eiropas Savienību</w:t>
            </w:r>
          </w:p>
        </w:tc>
        <w:tc>
          <w:tcPr>
            <w:tcW w:w="3364" w:type="pct"/>
            <w:gridSpan w:val="7"/>
            <w:tcBorders>
              <w:top w:val="outset" w:sz="6" w:space="0" w:color="auto"/>
              <w:left w:val="outset" w:sz="6" w:space="0" w:color="auto"/>
              <w:bottom w:val="outset" w:sz="6" w:space="0" w:color="auto"/>
              <w:right w:val="outset" w:sz="6" w:space="0" w:color="auto"/>
            </w:tcBorders>
          </w:tcPr>
          <w:p w:rsidR="0013353A" w:rsidRPr="0013353A" w:rsidRDefault="0013353A" w:rsidP="001953D7">
            <w:pPr>
              <w:spacing w:before="120"/>
              <w:jc w:val="both"/>
            </w:pPr>
            <w:r w:rsidRPr="0013353A">
              <w:t xml:space="preserve">Eiropas Parlamenta un Padomes 2004.gada 10.marta Regula (EK) Nr. </w:t>
            </w:r>
            <w:hyperlink r:id="rId9" w:tgtFrame="_blank" w:history="1">
              <w:r w:rsidRPr="0013353A">
                <w:t>549/2004</w:t>
              </w:r>
            </w:hyperlink>
            <w:r w:rsidRPr="0013353A">
              <w:t>, ar ko nosaka pamatu Eiropas vienotās gaisa telpas izveidošanai (</w:t>
            </w:r>
            <w:proofErr w:type="spellStart"/>
            <w:r w:rsidRPr="0013353A">
              <w:t>pamatregula</w:t>
            </w:r>
            <w:proofErr w:type="spellEnd"/>
            <w:r w:rsidRPr="0013353A">
              <w:t>)</w:t>
            </w:r>
            <w:r>
              <w:t xml:space="preserve"> (publicēta „Eiropas Savienības Oficiālajā Vēstnesī” L 96, 31.03.2004.)</w:t>
            </w:r>
            <w:r w:rsidRPr="0013353A">
              <w:t>;</w:t>
            </w:r>
          </w:p>
          <w:p w:rsidR="0013353A" w:rsidRPr="0013353A" w:rsidRDefault="0013353A" w:rsidP="001953D7">
            <w:pPr>
              <w:spacing w:before="120"/>
              <w:jc w:val="both"/>
            </w:pPr>
            <w:r w:rsidRPr="0013353A">
              <w:t>Eiropas Parlamenta un Padomes 2004.gada 10.marta Regula (EK) Nr.551/2004 par gaisa telpas organizāciju un izmantošanu vienotajā Eiropas gaisa telpā (gaisa telpas regula)</w:t>
            </w:r>
            <w:r w:rsidR="001953D7">
              <w:t xml:space="preserve"> (publicēta „Eiropas Savienības Oficiālajā Vēstnesī” L 96, 31.03.2004.)</w:t>
            </w:r>
            <w:r w:rsidRPr="0013353A">
              <w:t>;</w:t>
            </w:r>
          </w:p>
          <w:p w:rsidR="0013353A" w:rsidRPr="0013353A" w:rsidRDefault="0013353A" w:rsidP="001953D7">
            <w:pPr>
              <w:spacing w:before="120"/>
              <w:jc w:val="both"/>
            </w:pPr>
            <w:r w:rsidRPr="0013353A">
              <w:t xml:space="preserve">Komisijas 2005.gada 23.decembra Regula (EK) Nr. </w:t>
            </w:r>
            <w:hyperlink r:id="rId10" w:tgtFrame="_blank" w:history="1">
              <w:r w:rsidRPr="0013353A">
                <w:t>2150/2005</w:t>
              </w:r>
            </w:hyperlink>
            <w:r w:rsidRPr="0013353A">
              <w:t>, ar ko nosaka kopīgus noteikumus gaisa telpas elastīgai izmantošanai</w:t>
            </w:r>
            <w:r w:rsidR="001953D7">
              <w:t xml:space="preserve"> (publicēta „Eiropas Savienības Oficiālajā Vēstnesī” L 342, 24.15.2005.)</w:t>
            </w:r>
            <w:r w:rsidRPr="0013353A">
              <w:t>;</w:t>
            </w:r>
          </w:p>
          <w:p w:rsidR="0013353A" w:rsidRPr="0013353A" w:rsidRDefault="0013353A" w:rsidP="001953D7">
            <w:pPr>
              <w:spacing w:before="120"/>
              <w:jc w:val="both"/>
            </w:pPr>
            <w:r w:rsidRPr="0013353A">
              <w:t>Komisijas 2011.gada 17.oktobra Īstenošanas Regula (ES) Nr.1034/2011 par drošības uzraudzību gaisa satiksmes pārvaldībā un aeronavigācijas pakalpojumu sniegšanā un ar ko groza Regulu (ES) Nr.691/2010</w:t>
            </w:r>
            <w:r w:rsidR="001953D7">
              <w:t xml:space="preserve"> (publicēta „Eiropas Savienības Oficiālajā Vēstnesī” L </w:t>
            </w:r>
            <w:r w:rsidR="004B68B8" w:rsidRPr="004B68B8">
              <w:t>271, 18.10.2011</w:t>
            </w:r>
            <w:r w:rsidR="001953D7">
              <w:t>.);</w:t>
            </w:r>
          </w:p>
          <w:p w:rsidR="001953D7" w:rsidRDefault="0013353A" w:rsidP="001953D7">
            <w:pPr>
              <w:spacing w:before="120"/>
              <w:jc w:val="both"/>
            </w:pPr>
            <w:r w:rsidRPr="0013353A">
              <w:t>Komisijas 2011.gada 17.</w:t>
            </w:r>
            <w:r w:rsidR="004B68B8">
              <w:t>oktobra</w:t>
            </w:r>
            <w:r w:rsidRPr="0013353A">
              <w:t xml:space="preserve"> Īstenošanas Regula (ES) Nr.1035/2011 ar ko nosaka kopīgas prasības aeronavigācijas pakalpojumu sniegšanai un groza Regulu (EK) Nr.482/2008 un (ES) Nr.691/2010. </w:t>
            </w:r>
            <w:r w:rsidR="001953D7">
              <w:t>(publicēta „Eiropas Savienības Oficiālajā Vēstnesī” L 271, 18.10.2011.);</w:t>
            </w:r>
          </w:p>
          <w:p w:rsidR="0013353A" w:rsidRPr="0013353A" w:rsidRDefault="0013353A" w:rsidP="001953D7">
            <w:pPr>
              <w:spacing w:before="120"/>
              <w:jc w:val="both"/>
            </w:pPr>
            <w:r w:rsidRPr="0013353A">
              <w:t>Komi</w:t>
            </w:r>
            <w:r w:rsidR="004B68B8">
              <w:t>sijas 2011.gada 7.jūlija Regula</w:t>
            </w:r>
            <w:r w:rsidRPr="0013353A">
              <w:t xml:space="preserve"> (ES) Nr.677/2011, ar ko nosaka sīki izstrādātus noteikumus gaisa satiksmes pārvaldības </w:t>
            </w:r>
            <w:r w:rsidRPr="0013353A">
              <w:lastRenderedPageBreak/>
              <w:t>(ATM) tīkla funkciju īstenošanai un ar ko groza Regulu (ES) Nr.691/2010</w:t>
            </w:r>
            <w:r w:rsidR="001953D7">
              <w:t>(publicēta „Eiropas Savienības Oficiālajā Vēstnesī” L 185, 15.07.2011.)</w:t>
            </w:r>
            <w:r w:rsidRPr="0013353A">
              <w:t>;</w:t>
            </w:r>
          </w:p>
          <w:p w:rsidR="0013353A" w:rsidRPr="0013353A" w:rsidRDefault="0013353A" w:rsidP="001953D7">
            <w:pPr>
              <w:spacing w:before="120"/>
              <w:jc w:val="both"/>
            </w:pPr>
            <w:r w:rsidRPr="0013353A">
              <w:t>Komi</w:t>
            </w:r>
            <w:r w:rsidR="004B68B8">
              <w:t>sijas 2010.gada 25.marta Regula</w:t>
            </w:r>
            <w:r w:rsidRPr="0013353A">
              <w:t xml:space="preserve"> (ES) Nr.255/2010, ar ko nosaka kopējus gaisa satiksmes plūsmas pārvaldības noteikumus </w:t>
            </w:r>
            <w:r w:rsidR="001953D7">
              <w:t>(publicēta „Eiropas Savienības Oficiālajā Vēstnesī” L 80, 26.03.2010.)</w:t>
            </w:r>
            <w:r w:rsidRPr="0013353A">
              <w:t>;</w:t>
            </w:r>
          </w:p>
          <w:p w:rsidR="0013353A" w:rsidRDefault="0013353A" w:rsidP="001953D7">
            <w:pPr>
              <w:spacing w:before="120"/>
              <w:jc w:val="both"/>
            </w:pPr>
            <w:r w:rsidRPr="0013353A">
              <w:t xml:space="preserve">Komisijas 2012.gada </w:t>
            </w:r>
            <w:r w:rsidR="004B68B8">
              <w:t>26.septembra Īstenošanas Regula</w:t>
            </w:r>
            <w:r w:rsidRPr="0013353A">
              <w:t xml:space="preserve"> (ES) Nr.923/2012, ar ko nosaka vienotus lidojumu noteikumus un ekspluatācijas normas aeronavigācijas pakalpojumiem un procedūrām un ar ko groza Īstenošanas regulu (ES) Nr.1035/2011 un Regulas (EK) Nr.1265/2007, (EK) Nr.1794/2006, (EK) Nr.730/2006, (EK) Nr.1033/2006 un (ES) Nr.255/2010 </w:t>
            </w:r>
            <w:r w:rsidR="001953D7">
              <w:t>(publicēta „Eiropas Savienības Oficiālajā Vēstnesī” L 281, 13.10.2012.)</w:t>
            </w:r>
            <w:r w:rsidRPr="0013353A">
              <w:t>.</w:t>
            </w:r>
          </w:p>
        </w:tc>
      </w:tr>
      <w:tr w:rsidR="0013353A" w:rsidTr="00AB002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lastRenderedPageBreak/>
              <w:t>2.</w:t>
            </w:r>
          </w:p>
        </w:tc>
        <w:tc>
          <w:tcPr>
            <w:tcW w:w="1424" w:type="pct"/>
            <w:gridSpan w:val="4"/>
            <w:tcBorders>
              <w:top w:val="outset" w:sz="6" w:space="0" w:color="auto"/>
              <w:left w:val="outset" w:sz="6" w:space="0" w:color="auto"/>
              <w:bottom w:val="outset" w:sz="6" w:space="0" w:color="auto"/>
              <w:right w:val="outset" w:sz="6" w:space="0" w:color="auto"/>
            </w:tcBorders>
            <w:hideMark/>
          </w:tcPr>
          <w:p w:rsidR="0013353A" w:rsidRDefault="0013353A">
            <w:r>
              <w:t>Citas starptautiskās saistības</w:t>
            </w:r>
          </w:p>
        </w:tc>
        <w:tc>
          <w:tcPr>
            <w:tcW w:w="3364" w:type="pct"/>
            <w:gridSpan w:val="7"/>
            <w:tcBorders>
              <w:top w:val="outset" w:sz="6" w:space="0" w:color="auto"/>
              <w:left w:val="outset" w:sz="6" w:space="0" w:color="auto"/>
              <w:bottom w:val="outset" w:sz="6" w:space="0" w:color="auto"/>
              <w:right w:val="outset" w:sz="6" w:space="0" w:color="auto"/>
            </w:tcBorders>
          </w:tcPr>
          <w:p w:rsidR="0013353A" w:rsidRDefault="00246780" w:rsidP="00246780">
            <w:pPr>
              <w:jc w:val="both"/>
            </w:pPr>
            <w:r w:rsidRPr="00246780">
              <w:t>Saskaņā ar 1944.gada 7.decembra Konvenciju par starptautisko civilo aviāciju (Latvija tai pievienojusies 1992.gada 3. jūnijā) Starptautiskās civilās aviācijas organizācija (ICAO) ir pilnvarota izdot standartus un rekomendācijas dažādās civilās aviācijas jomās. Latvijas Republikai kā Konvencijas dalībvalstij jānodrošina, lai minētās Konvencijas, kā arī Starptautiskās civilās aviācijas organizācijas (ICAO) prasības tiktu īstenotas. Ar šo normatīvo aktu tiks nodrošinātas Starptautiskās civilās aviācijas organizācija (ICAO) dokumentu, kas regulē aeronavigācijas informācijas pakalpojumus sniegšanas prasības.</w:t>
            </w:r>
          </w:p>
        </w:tc>
      </w:tr>
      <w:tr w:rsidR="0013353A" w:rsidTr="00AB002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rsidR="0013353A" w:rsidRDefault="0013353A">
            <w:r>
              <w:t>3.</w:t>
            </w:r>
          </w:p>
        </w:tc>
        <w:tc>
          <w:tcPr>
            <w:tcW w:w="1424" w:type="pct"/>
            <w:gridSpan w:val="4"/>
            <w:tcBorders>
              <w:top w:val="outset" w:sz="6" w:space="0" w:color="auto"/>
              <w:left w:val="outset" w:sz="6" w:space="0" w:color="auto"/>
              <w:bottom w:val="outset" w:sz="6" w:space="0" w:color="auto"/>
              <w:right w:val="outset" w:sz="6" w:space="0" w:color="auto"/>
            </w:tcBorders>
            <w:hideMark/>
          </w:tcPr>
          <w:p w:rsidR="0013353A" w:rsidRDefault="0013353A">
            <w:r>
              <w:t>Cita informācija</w:t>
            </w:r>
          </w:p>
        </w:tc>
        <w:tc>
          <w:tcPr>
            <w:tcW w:w="3364" w:type="pct"/>
            <w:gridSpan w:val="7"/>
            <w:tcBorders>
              <w:top w:val="outset" w:sz="6" w:space="0" w:color="auto"/>
              <w:left w:val="outset" w:sz="6" w:space="0" w:color="auto"/>
              <w:bottom w:val="outset" w:sz="6" w:space="0" w:color="auto"/>
              <w:right w:val="outset" w:sz="6" w:space="0" w:color="auto"/>
            </w:tcBorders>
          </w:tcPr>
          <w:p w:rsidR="0013353A" w:rsidRDefault="0013353A">
            <w:pPr>
              <w:pStyle w:val="tvhtml"/>
            </w:pPr>
            <w:r>
              <w:t>Nav.</w:t>
            </w:r>
          </w:p>
        </w:tc>
      </w:tr>
      <w:tr w:rsidR="0013353A" w:rsidTr="0013353A">
        <w:tblPrEx>
          <w:jc w:val="cente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3353A" w:rsidRDefault="0013353A">
            <w:pPr>
              <w:pStyle w:val="tvhtml"/>
              <w:jc w:val="center"/>
              <w:rPr>
                <w:b/>
                <w:bCs/>
              </w:rPr>
            </w:pPr>
            <w:r>
              <w:t> </w:t>
            </w:r>
            <w:r>
              <w:rPr>
                <w:b/>
                <w:bCs/>
              </w:rPr>
              <w:t>1.tabula</w:t>
            </w:r>
            <w:r>
              <w:rPr>
                <w:b/>
                <w:bCs/>
              </w:rPr>
              <w:br/>
              <w:t>Tiesību akta projekta atbilstība ES tiesību aktiem</w:t>
            </w:r>
          </w:p>
        </w:tc>
      </w:tr>
      <w:tr w:rsidR="001953D7"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hideMark/>
          </w:tcPr>
          <w:p w:rsidR="001953D7" w:rsidRDefault="001953D7">
            <w:r>
              <w:t>Attiecīgā ES tiesību akta datums, numurs un nosaukums</w:t>
            </w:r>
          </w:p>
        </w:tc>
        <w:tc>
          <w:tcPr>
            <w:tcW w:w="3886" w:type="pct"/>
            <w:gridSpan w:val="9"/>
            <w:tcBorders>
              <w:top w:val="outset" w:sz="6" w:space="0" w:color="auto"/>
              <w:left w:val="outset" w:sz="6" w:space="0" w:color="auto"/>
              <w:bottom w:val="outset" w:sz="6" w:space="0" w:color="auto"/>
              <w:right w:val="outset" w:sz="6" w:space="0" w:color="auto"/>
            </w:tcBorders>
            <w:hideMark/>
          </w:tcPr>
          <w:p w:rsidR="001953D7" w:rsidRPr="0013353A" w:rsidRDefault="001953D7" w:rsidP="003D0074">
            <w:pPr>
              <w:spacing w:before="120"/>
              <w:jc w:val="both"/>
            </w:pPr>
            <w:r w:rsidRPr="0013353A">
              <w:t>Eiropas Parlamenta un Pa</w:t>
            </w:r>
            <w:r w:rsidR="004B68B8">
              <w:t>domes 2004.gada 10.marta Regula</w:t>
            </w:r>
            <w:r w:rsidRPr="0013353A">
              <w:t xml:space="preserve"> (EK) Nr. </w:t>
            </w:r>
            <w:hyperlink r:id="rId11" w:tgtFrame="_blank" w:history="1">
              <w:r w:rsidRPr="0013353A">
                <w:t>549/2004</w:t>
              </w:r>
            </w:hyperlink>
            <w:r w:rsidRPr="0013353A">
              <w:t>, ar ko nosaka pamatu Eiropas vienotās gaisa telpas izveidošanai (</w:t>
            </w:r>
            <w:proofErr w:type="spellStart"/>
            <w:r w:rsidRPr="0013353A">
              <w:t>pamatregula</w:t>
            </w:r>
            <w:proofErr w:type="spellEnd"/>
            <w:r w:rsidRPr="0013353A">
              <w:t>)</w:t>
            </w:r>
            <w:r>
              <w:t xml:space="preserve"> (publicēta „Eiropas Savienības Oficiālajā Vēstnesī” L 96, 31.03.2004.)</w:t>
            </w:r>
            <w:r w:rsidRPr="0013353A">
              <w:t>;</w:t>
            </w:r>
          </w:p>
          <w:p w:rsidR="001953D7" w:rsidRPr="0013353A" w:rsidRDefault="001953D7" w:rsidP="003D0074">
            <w:pPr>
              <w:spacing w:before="120"/>
              <w:jc w:val="both"/>
            </w:pPr>
            <w:r w:rsidRPr="0013353A">
              <w:t>Eiropas Parlamenta un Pa</w:t>
            </w:r>
            <w:r w:rsidR="004B68B8">
              <w:t>domes 2004.gada 10.marta Regula</w:t>
            </w:r>
            <w:r w:rsidRPr="0013353A">
              <w:t xml:space="preserve"> (EK) Nr.551/2004 par gaisa telpas organizāciju un izmantošanu vienotajā Eiropas gaisa telpā (gaisa telpas regula)</w:t>
            </w:r>
            <w:r>
              <w:t xml:space="preserve"> (publicēta „Eiropas Savienības Oficiālajā Vēstnesī” L 96, 31.03.2004.)</w:t>
            </w:r>
            <w:r w:rsidRPr="0013353A">
              <w:t>;</w:t>
            </w:r>
          </w:p>
          <w:p w:rsidR="001953D7" w:rsidRPr="0013353A" w:rsidRDefault="001953D7" w:rsidP="003D0074">
            <w:pPr>
              <w:spacing w:before="120"/>
              <w:jc w:val="both"/>
            </w:pPr>
            <w:r w:rsidRPr="0013353A">
              <w:t>Komisij</w:t>
            </w:r>
            <w:r w:rsidR="004B68B8">
              <w:t>as 2005.gada 23.decembra Regula</w:t>
            </w:r>
            <w:r w:rsidRPr="0013353A">
              <w:t xml:space="preserve"> (EK) Nr. </w:t>
            </w:r>
            <w:hyperlink r:id="rId12" w:tgtFrame="_blank" w:history="1">
              <w:r w:rsidRPr="0013353A">
                <w:t>2150/2005</w:t>
              </w:r>
            </w:hyperlink>
            <w:r w:rsidRPr="0013353A">
              <w:t>, ar ko nosaka kopīgus noteikumus gaisa telpas elastīgai izmantošanai</w:t>
            </w:r>
            <w:r>
              <w:t xml:space="preserve"> (publicēta „Eiropas Savienības Oficiālajā Vēstnesī” L 342, 24.15.2005.)</w:t>
            </w:r>
            <w:r w:rsidRPr="0013353A">
              <w:t>;</w:t>
            </w:r>
          </w:p>
          <w:p w:rsidR="001953D7" w:rsidRPr="0013353A" w:rsidRDefault="001953D7" w:rsidP="003D0074">
            <w:pPr>
              <w:spacing w:before="120"/>
              <w:jc w:val="both"/>
            </w:pPr>
            <w:r w:rsidRPr="0013353A">
              <w:t>Komisijas 2011.gad</w:t>
            </w:r>
            <w:r w:rsidR="004B68B8">
              <w:t>a 17.oktobra Īstenošanas Regula</w:t>
            </w:r>
            <w:r w:rsidRPr="0013353A">
              <w:t xml:space="preserve"> (ES) Nr.1034/2011 par drošības uzraudzību gaisa satiksmes pārvaldībā un aeronavigācijas pakalpojumu sniegšanā un ar ko groza Regulu (ES) Nr.691/2010</w:t>
            </w:r>
            <w:r>
              <w:t xml:space="preserve"> (publicēta „Eiropas Savienības Oficiālajā Vēstnesī” L </w:t>
            </w:r>
            <w:r w:rsidR="004B68B8" w:rsidRPr="004B68B8">
              <w:t>271, 18.10.2011</w:t>
            </w:r>
            <w:r>
              <w:t>.);</w:t>
            </w:r>
          </w:p>
          <w:p w:rsidR="001953D7" w:rsidRDefault="001953D7" w:rsidP="003D0074">
            <w:pPr>
              <w:spacing w:before="120"/>
              <w:jc w:val="both"/>
            </w:pPr>
            <w:r w:rsidRPr="0013353A">
              <w:t>Komisijas 2011.gada</w:t>
            </w:r>
            <w:r w:rsidR="004B68B8">
              <w:t xml:space="preserve"> 17.novembra Īstenošanas Regula</w:t>
            </w:r>
            <w:r w:rsidRPr="0013353A">
              <w:t xml:space="preserve"> (ES) Nr.1035/2011 ar ko nosaka kopīgas prasības aeronavigācijas pakalpojumu sniegšanai un groza Regulu (EK) Nr.482/2008 un (ES) </w:t>
            </w:r>
            <w:r w:rsidRPr="0013353A">
              <w:lastRenderedPageBreak/>
              <w:t xml:space="preserve">Nr.691/2010. </w:t>
            </w:r>
            <w:r>
              <w:t>(publicēta „Eiropas Savienības Oficiālajā Vēstnesī” L 271, 18.10.2011.);</w:t>
            </w:r>
          </w:p>
          <w:p w:rsidR="001953D7" w:rsidRPr="0013353A" w:rsidRDefault="001953D7" w:rsidP="003D0074">
            <w:pPr>
              <w:spacing w:before="120"/>
              <w:jc w:val="both"/>
            </w:pPr>
            <w:r w:rsidRPr="0013353A">
              <w:t>Komisijas 2011.gada 7.jūlija Regula (ES) Nr.677/2011, ar ko nosaka sīki izstrādātus noteikumus gaisa satiksmes pārvaldības (ATM) tīkla funkciju īstenošanai un ar ko groza Regulu (ES) Nr.691/2010</w:t>
            </w:r>
            <w:r>
              <w:t>(publicēta „Eiropas Savienības Oficiālajā Vēstnesī” L 185, 15.07.2011.)</w:t>
            </w:r>
            <w:r w:rsidRPr="0013353A">
              <w:t>;</w:t>
            </w:r>
          </w:p>
          <w:p w:rsidR="001953D7" w:rsidRPr="0013353A" w:rsidRDefault="001953D7" w:rsidP="003D0074">
            <w:pPr>
              <w:spacing w:before="120"/>
              <w:jc w:val="both"/>
            </w:pPr>
            <w:r w:rsidRPr="0013353A">
              <w:t>Komi</w:t>
            </w:r>
            <w:r w:rsidR="004B68B8">
              <w:t>sijas 2010.gada 25.marta Regula</w:t>
            </w:r>
            <w:r w:rsidRPr="0013353A">
              <w:t xml:space="preserve"> (ES) Nr.255/2010, ar ko nosaka kopējus gaisa satiksmes plūsmas pārvaldības noteikumus </w:t>
            </w:r>
            <w:r>
              <w:t>(publicēta „Eiropas Savienības Oficiālajā Vēstnesī” L 80, 26.03.2010.)</w:t>
            </w:r>
            <w:r w:rsidRPr="0013353A">
              <w:t>;</w:t>
            </w:r>
          </w:p>
          <w:p w:rsidR="001953D7" w:rsidRDefault="001953D7" w:rsidP="004B68B8">
            <w:pPr>
              <w:spacing w:before="120"/>
              <w:jc w:val="both"/>
            </w:pPr>
            <w:r w:rsidRPr="0013353A">
              <w:t xml:space="preserve">Komisijas 2012.gada 26.septembra Īstenošanas Regula (ES) Nr.923/2012, ar ko nosaka vienotus lidojumu noteikumus un ekspluatācijas normas aeronavigācijas pakalpojumiem un procedūrām un ar ko groza Īstenošanas regulu (ES) Nr.1035/2011 un Regulas (EK) Nr.1265/2007, (EK) Nr.1794/2006, (EK) Nr.730/2006, (EK) Nr.1033/2006 un (ES) Nr.255/2010 </w:t>
            </w:r>
            <w:r>
              <w:t>(publicēta „Eiropas Savienības Oficiālajā Vēstnesī” L 281, 13.10.2012.)</w:t>
            </w:r>
            <w:r w:rsidRPr="0013353A">
              <w:t>.</w:t>
            </w:r>
          </w:p>
        </w:tc>
      </w:tr>
      <w:tr w:rsidR="001953D7"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lastRenderedPageBreak/>
              <w:t>A</w:t>
            </w:r>
          </w:p>
        </w:tc>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B</w:t>
            </w:r>
          </w:p>
        </w:tc>
        <w:tc>
          <w:tcPr>
            <w:tcW w:w="768" w:type="pct"/>
            <w:gridSpan w:val="2"/>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C</w:t>
            </w:r>
          </w:p>
        </w:tc>
        <w:tc>
          <w:tcPr>
            <w:tcW w:w="1035" w:type="pct"/>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D</w:t>
            </w:r>
          </w:p>
        </w:tc>
      </w:tr>
      <w:tr w:rsidR="001953D7"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t>Attiecīgā ES tiesību akta panta numurs (uzskaitot katru tiesību akta vienību – pantu, daļu, punktu, apakšpunktu)</w:t>
            </w:r>
          </w:p>
        </w:tc>
        <w:tc>
          <w:tcPr>
            <w:tcW w:w="2050" w:type="pct"/>
            <w:gridSpan w:val="6"/>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t>Projekta vienība, kas pārņem vai ievieš katru šīs tabulas A ailē minēto ES tiesību akta vienību, vai tiesību akts, kur attiecīgā ES tiesību akta vienība pārņemta vai ieviesta</w:t>
            </w:r>
          </w:p>
        </w:tc>
        <w:tc>
          <w:tcPr>
            <w:tcW w:w="768" w:type="pct"/>
            <w:gridSpan w:val="2"/>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t xml:space="preserve">Informācija par to, vai šīs tabulas A ailē minētās ES tiesību akta vienības tiek pārņemtas vai ieviestas pilnībā vai daļēji. </w:t>
            </w:r>
          </w:p>
          <w:p w:rsidR="001953D7" w:rsidRPr="004B68B8" w:rsidRDefault="001953D7">
            <w:pPr>
              <w:pStyle w:val="tvhtml"/>
              <w:rPr>
                <w:sz w:val="20"/>
                <w:szCs w:val="20"/>
              </w:rPr>
            </w:pPr>
            <w:r w:rsidRPr="004B68B8">
              <w:rPr>
                <w:sz w:val="20"/>
                <w:szCs w:val="20"/>
              </w:rPr>
              <w:t>Ja attiecīgā ES tiesību akta vienība tiek pārņemta vai ieviesta daļēji, sniedz attiecīgu skaidrojumu, kā arī precīzi norāda, kad un kādā veidā ES tiesību akta vienība tiks pārņemta vai ieviesta pilnībā.</w:t>
            </w:r>
          </w:p>
          <w:p w:rsidR="001953D7" w:rsidRPr="004B68B8" w:rsidRDefault="001953D7">
            <w:pPr>
              <w:pStyle w:val="tvhtml"/>
              <w:rPr>
                <w:sz w:val="20"/>
                <w:szCs w:val="20"/>
              </w:rPr>
            </w:pPr>
            <w:r w:rsidRPr="004B68B8">
              <w:rPr>
                <w:sz w:val="20"/>
                <w:szCs w:val="20"/>
              </w:rPr>
              <w:t>Norāda institūciju, kas ir atbildīga par šo saistību izpildi pilnībā</w:t>
            </w:r>
          </w:p>
        </w:tc>
        <w:tc>
          <w:tcPr>
            <w:tcW w:w="1035" w:type="pct"/>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t xml:space="preserve">Informācija par to, vai šīs tabulas B ailē minētās projekta vienības paredz stingrākas prasības nekā šīs tabulas A ailē minētās ES tiesību akta vienības. </w:t>
            </w:r>
          </w:p>
          <w:p w:rsidR="001953D7" w:rsidRPr="004B68B8" w:rsidRDefault="001953D7">
            <w:pPr>
              <w:pStyle w:val="tvhtml"/>
              <w:rPr>
                <w:sz w:val="20"/>
                <w:szCs w:val="20"/>
              </w:rPr>
            </w:pPr>
            <w:r w:rsidRPr="004B68B8">
              <w:rPr>
                <w:sz w:val="20"/>
                <w:szCs w:val="20"/>
              </w:rPr>
              <w:t>Ja projekts satur stingrākas prasības nekā attiecīgais ES tiesību akts, norāda pamatojumu un samērīgumu.</w:t>
            </w:r>
          </w:p>
          <w:p w:rsidR="001953D7" w:rsidRPr="004B68B8" w:rsidRDefault="001953D7">
            <w:pPr>
              <w:pStyle w:val="tvhtml"/>
              <w:rPr>
                <w:sz w:val="20"/>
                <w:szCs w:val="20"/>
              </w:rPr>
            </w:pPr>
            <w:r w:rsidRPr="004B68B8">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Default="004D1715" w:rsidP="004D1715">
            <w:r w:rsidRPr="004D1715">
              <w:t>Regulas Nr. 549/2004</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Default="002A09B9">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131E38" w:rsidRDefault="004D1715" w:rsidP="00191A9F">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Default="004D1715" w:rsidP="00E32FC0">
            <w:r w:rsidRPr="0070002B">
              <w:t>Projekts stingrākas 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1342CF">
            <w:pPr>
              <w:rPr>
                <w:u w:val="single"/>
              </w:rPr>
            </w:pPr>
            <w:r w:rsidRPr="004D1715">
              <w:t>Regulas Nr. 2150/2005</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 xml:space="preserve">Tiesību norma </w:t>
            </w:r>
            <w:r w:rsidRPr="0070002B">
              <w:lastRenderedPageBreak/>
              <w:t>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lastRenderedPageBreak/>
              <w:t xml:space="preserve">Projekts stingrākas </w:t>
            </w:r>
            <w:r w:rsidRPr="0070002B">
              <w:lastRenderedPageBreak/>
              <w:t>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4D1715">
            <w:pPr>
              <w:rPr>
                <w:u w:val="single"/>
              </w:rPr>
            </w:pPr>
            <w:r w:rsidRPr="004D1715">
              <w:lastRenderedPageBreak/>
              <w:t xml:space="preserve">Regulas Nr. 1034/2011 </w:t>
            </w:r>
            <w:r>
              <w:t>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 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Projekts stingrākas 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1342CF">
            <w:pPr>
              <w:rPr>
                <w:u w:val="single"/>
              </w:rPr>
            </w:pPr>
            <w:r w:rsidRPr="004D1715">
              <w:t>Regulas Nr. 1035/2011</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Projekts stingrākas 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1342CF">
            <w:pPr>
              <w:rPr>
                <w:u w:val="single"/>
              </w:rPr>
            </w:pPr>
            <w:r w:rsidRPr="004D1715">
              <w:t xml:space="preserve">Regulas Nr. </w:t>
            </w:r>
            <w:r w:rsidR="001D70F7" w:rsidRPr="001D70F7">
              <w:t>677/2011</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Projekts stingrākas 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1342CF">
            <w:pPr>
              <w:rPr>
                <w:u w:val="single"/>
              </w:rPr>
            </w:pPr>
            <w:r w:rsidRPr="004D1715">
              <w:t xml:space="preserve">Regulas Nr. </w:t>
            </w:r>
            <w:r w:rsidR="001D70F7" w:rsidRPr="001D70F7">
              <w:t>255/2010</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Projekts stingrākas prasības neparedz</w:t>
            </w:r>
          </w:p>
        </w:tc>
      </w:tr>
      <w:tr w:rsidR="004D1715"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D1715" w:rsidRPr="004C7F6B" w:rsidRDefault="004D1715" w:rsidP="001342CF">
            <w:pPr>
              <w:rPr>
                <w:u w:val="single"/>
              </w:rPr>
            </w:pPr>
            <w:r w:rsidRPr="004D1715">
              <w:t xml:space="preserve">Regulas Nr. </w:t>
            </w:r>
            <w:r w:rsidR="00DE2A54" w:rsidRPr="00DE2A54">
              <w:t>923/2012</w:t>
            </w:r>
            <w:r>
              <w:t xml:space="preserve"> 2.pants</w:t>
            </w:r>
          </w:p>
        </w:tc>
        <w:tc>
          <w:tcPr>
            <w:tcW w:w="2050" w:type="pct"/>
            <w:gridSpan w:val="6"/>
            <w:tcBorders>
              <w:top w:val="outset" w:sz="6" w:space="0" w:color="auto"/>
              <w:left w:val="outset" w:sz="6" w:space="0" w:color="auto"/>
              <w:bottom w:val="outset" w:sz="6" w:space="0" w:color="auto"/>
              <w:right w:val="outset" w:sz="6" w:space="0" w:color="auto"/>
            </w:tcBorders>
          </w:tcPr>
          <w:p w:rsidR="004D1715" w:rsidRPr="004C7F6B" w:rsidRDefault="002A09B9" w:rsidP="001342CF">
            <w:pPr>
              <w:rPr>
                <w:u w:val="single"/>
              </w:rPr>
            </w:pPr>
            <w:r>
              <w:t xml:space="preserve">Projekta </w:t>
            </w:r>
            <w:r w:rsidR="004D1715">
              <w:t>2.punkts</w:t>
            </w:r>
          </w:p>
        </w:tc>
        <w:tc>
          <w:tcPr>
            <w:tcW w:w="768" w:type="pct"/>
            <w:gridSpan w:val="2"/>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D1715" w:rsidRPr="004C7F6B" w:rsidRDefault="004D1715" w:rsidP="00191A9F">
            <w:pPr>
              <w:rPr>
                <w:u w:val="single"/>
              </w:rPr>
            </w:pPr>
            <w:r w:rsidRPr="0070002B">
              <w:t>Projekts stingrākas prasības neparedz</w:t>
            </w:r>
          </w:p>
        </w:tc>
      </w:tr>
      <w:tr w:rsidR="001342CF"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1342CF" w:rsidRPr="00BC6C48" w:rsidRDefault="001342CF" w:rsidP="001342CF">
            <w:r w:rsidRPr="00BC6C48">
              <w:t>Regulas Nr.923/2012 pielikuma SERA 6001.punkts</w:t>
            </w:r>
          </w:p>
        </w:tc>
        <w:tc>
          <w:tcPr>
            <w:tcW w:w="2050" w:type="pct"/>
            <w:gridSpan w:val="6"/>
            <w:tcBorders>
              <w:top w:val="outset" w:sz="6" w:space="0" w:color="auto"/>
              <w:left w:val="outset" w:sz="6" w:space="0" w:color="auto"/>
              <w:bottom w:val="outset" w:sz="6" w:space="0" w:color="auto"/>
              <w:right w:val="outset" w:sz="6" w:space="0" w:color="auto"/>
            </w:tcBorders>
          </w:tcPr>
          <w:p w:rsidR="001342CF" w:rsidRPr="00200F8D" w:rsidRDefault="002A09B9" w:rsidP="001342CF">
            <w:r>
              <w:t>Projekta</w:t>
            </w:r>
            <w:r w:rsidRPr="00200F8D">
              <w:t xml:space="preserve"> </w:t>
            </w:r>
            <w:r w:rsidR="001342CF" w:rsidRPr="00200F8D">
              <w:t>11.punkts</w:t>
            </w:r>
          </w:p>
        </w:tc>
        <w:tc>
          <w:tcPr>
            <w:tcW w:w="768" w:type="pct"/>
            <w:gridSpan w:val="2"/>
            <w:tcBorders>
              <w:top w:val="outset" w:sz="6" w:space="0" w:color="auto"/>
              <w:left w:val="outset" w:sz="6" w:space="0" w:color="auto"/>
              <w:bottom w:val="outset" w:sz="6" w:space="0" w:color="auto"/>
              <w:right w:val="outset" w:sz="6" w:space="0" w:color="auto"/>
            </w:tcBorders>
          </w:tcPr>
          <w:p w:rsidR="001342CF" w:rsidRPr="00200F8D" w:rsidRDefault="001342CF" w:rsidP="00191A9F">
            <w:r w:rsidRPr="00200F8D">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1342CF" w:rsidRPr="00200F8D" w:rsidRDefault="001342CF" w:rsidP="00191A9F">
            <w:r w:rsidRPr="00200F8D">
              <w:t>Projekts stingrākas prasības neparedz</w:t>
            </w:r>
          </w:p>
        </w:tc>
      </w:tr>
      <w:tr w:rsidR="005679D8"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5679D8" w:rsidRPr="00CF00FE" w:rsidRDefault="005679D8" w:rsidP="001342CF">
            <w:r w:rsidRPr="005679D8">
              <w:t>Regulas Nr.923/2012</w:t>
            </w:r>
            <w:r>
              <w:t xml:space="preserve"> </w:t>
            </w:r>
            <w:r w:rsidRPr="005679D8">
              <w:t>pielikuma SERA.5005</w:t>
            </w:r>
            <w:r>
              <w:t>.</w:t>
            </w:r>
            <w:r w:rsidRPr="005679D8">
              <w:t xml:space="preserve"> </w:t>
            </w:r>
            <w:r w:rsidR="001342CF">
              <w:t>un</w:t>
            </w:r>
            <w:r w:rsidRPr="005679D8">
              <w:t xml:space="preserve"> SERA.5015.punkt</w:t>
            </w:r>
            <w:r>
              <w:t>s</w:t>
            </w:r>
          </w:p>
        </w:tc>
        <w:tc>
          <w:tcPr>
            <w:tcW w:w="2050" w:type="pct"/>
            <w:gridSpan w:val="6"/>
            <w:tcBorders>
              <w:top w:val="outset" w:sz="6" w:space="0" w:color="auto"/>
              <w:left w:val="outset" w:sz="6" w:space="0" w:color="auto"/>
              <w:bottom w:val="outset" w:sz="6" w:space="0" w:color="auto"/>
              <w:right w:val="outset" w:sz="6" w:space="0" w:color="auto"/>
            </w:tcBorders>
          </w:tcPr>
          <w:p w:rsidR="005679D8" w:rsidRDefault="002A09B9">
            <w:r>
              <w:t>Projekta</w:t>
            </w:r>
            <w:r w:rsidRPr="00212F72">
              <w:t xml:space="preserve"> </w:t>
            </w:r>
            <w:r w:rsidR="00077A08" w:rsidRPr="00212F72">
              <w:t>14.2.6.</w:t>
            </w:r>
            <w:r w:rsidR="00077A08">
              <w:t xml:space="preserve"> un </w:t>
            </w:r>
            <w:r w:rsidR="004403E6">
              <w:t>14</w:t>
            </w:r>
            <w:r w:rsidR="005679D8">
              <w:t>.4.apakšpunkts</w:t>
            </w:r>
          </w:p>
        </w:tc>
        <w:tc>
          <w:tcPr>
            <w:tcW w:w="768" w:type="pct"/>
            <w:gridSpan w:val="2"/>
            <w:tcBorders>
              <w:top w:val="outset" w:sz="6" w:space="0" w:color="auto"/>
              <w:left w:val="outset" w:sz="6" w:space="0" w:color="auto"/>
              <w:bottom w:val="outset" w:sz="6" w:space="0" w:color="auto"/>
              <w:right w:val="outset" w:sz="6" w:space="0" w:color="auto"/>
            </w:tcBorders>
          </w:tcPr>
          <w:p w:rsidR="005679D8" w:rsidRPr="00BF6A02" w:rsidRDefault="005679D8" w:rsidP="00191A9F">
            <w:r w:rsidRPr="00BF6A02">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5679D8" w:rsidRPr="00BF6A02" w:rsidRDefault="005679D8" w:rsidP="00191A9F">
            <w:r w:rsidRPr="00BF6A02">
              <w:t>Projekts stingrākas prasības neparedz</w:t>
            </w:r>
          </w:p>
        </w:tc>
      </w:tr>
      <w:tr w:rsidR="00E32FC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E32FC0" w:rsidRPr="00200F8D" w:rsidRDefault="00BA6D00" w:rsidP="000741B5">
            <w:r w:rsidRPr="00200F8D">
              <w:t xml:space="preserve">Regulas Nr.1034/2011 </w:t>
            </w:r>
            <w:r w:rsidR="00BC6C48" w:rsidRPr="00200F8D">
              <w:t xml:space="preserve"> </w:t>
            </w:r>
            <w:r w:rsidR="00385384" w:rsidRPr="00200F8D">
              <w:t>9. pants</w:t>
            </w:r>
          </w:p>
        </w:tc>
        <w:tc>
          <w:tcPr>
            <w:tcW w:w="2050" w:type="pct"/>
            <w:gridSpan w:val="6"/>
            <w:tcBorders>
              <w:top w:val="outset" w:sz="6" w:space="0" w:color="auto"/>
              <w:left w:val="outset" w:sz="6" w:space="0" w:color="auto"/>
              <w:bottom w:val="outset" w:sz="6" w:space="0" w:color="auto"/>
              <w:right w:val="outset" w:sz="6" w:space="0" w:color="auto"/>
            </w:tcBorders>
          </w:tcPr>
          <w:p w:rsidR="00E32FC0" w:rsidRPr="00212F72" w:rsidRDefault="002A09B9" w:rsidP="000741B5">
            <w:r>
              <w:t>Projekta</w:t>
            </w:r>
            <w:r w:rsidRPr="00212F72">
              <w:t xml:space="preserve"> </w:t>
            </w:r>
            <w:r w:rsidR="00077A08" w:rsidRPr="00212F72">
              <w:t>17.2</w:t>
            </w:r>
            <w:r w:rsidR="00BA6D00" w:rsidRPr="00212F72">
              <w:t>.</w:t>
            </w:r>
            <w:r w:rsidR="000741B5" w:rsidRPr="00212F72">
              <w:t>apakš</w:t>
            </w:r>
            <w:r w:rsidR="00BA6D00" w:rsidRPr="00212F72">
              <w:t>punkts</w:t>
            </w:r>
          </w:p>
        </w:tc>
        <w:tc>
          <w:tcPr>
            <w:tcW w:w="768" w:type="pct"/>
            <w:gridSpan w:val="2"/>
            <w:tcBorders>
              <w:top w:val="outset" w:sz="6" w:space="0" w:color="auto"/>
              <w:left w:val="outset" w:sz="6" w:space="0" w:color="auto"/>
              <w:bottom w:val="outset" w:sz="6" w:space="0" w:color="auto"/>
              <w:right w:val="outset" w:sz="6" w:space="0" w:color="auto"/>
            </w:tcBorders>
          </w:tcPr>
          <w:p w:rsidR="00E32FC0" w:rsidRPr="00BF6A02" w:rsidRDefault="00E32FC0" w:rsidP="00191A9F">
            <w:r w:rsidRPr="00BF6A02">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E32FC0" w:rsidRDefault="00E32FC0" w:rsidP="00191A9F">
            <w:r w:rsidRPr="00BF6A02">
              <w:t>Projekts stingrākas prasības neparedz</w:t>
            </w:r>
          </w:p>
        </w:tc>
      </w:tr>
      <w:tr w:rsidR="00E32FC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E32FC0" w:rsidRPr="00200F8D" w:rsidRDefault="00ED68B1" w:rsidP="004C1D56">
            <w:r w:rsidRPr="00200F8D">
              <w:t xml:space="preserve">Regulas Nr. 1035/2011 </w:t>
            </w:r>
            <w:r w:rsidR="00BC6C48" w:rsidRPr="00200F8D">
              <w:t xml:space="preserve">  </w:t>
            </w:r>
            <w:r w:rsidRPr="00200F8D">
              <w:t xml:space="preserve">2. </w:t>
            </w:r>
            <w:r w:rsidR="004C1D56" w:rsidRPr="00200F8D">
              <w:t>p</w:t>
            </w:r>
            <w:r w:rsidRPr="00200F8D">
              <w:t>ielikuma 3. punkts</w:t>
            </w:r>
          </w:p>
        </w:tc>
        <w:tc>
          <w:tcPr>
            <w:tcW w:w="2050" w:type="pct"/>
            <w:gridSpan w:val="6"/>
            <w:tcBorders>
              <w:top w:val="outset" w:sz="6" w:space="0" w:color="auto"/>
              <w:left w:val="outset" w:sz="6" w:space="0" w:color="auto"/>
              <w:bottom w:val="outset" w:sz="6" w:space="0" w:color="auto"/>
              <w:right w:val="outset" w:sz="6" w:space="0" w:color="auto"/>
            </w:tcBorders>
          </w:tcPr>
          <w:p w:rsidR="00E32FC0" w:rsidRPr="00212F72" w:rsidRDefault="002A09B9" w:rsidP="00077A08">
            <w:r>
              <w:t>Projekta</w:t>
            </w:r>
            <w:r w:rsidRPr="00212F72">
              <w:t xml:space="preserve"> </w:t>
            </w:r>
            <w:r w:rsidR="00ED68B1" w:rsidRPr="00212F72">
              <w:t>17.2</w:t>
            </w:r>
            <w:r w:rsidR="00BA6D00" w:rsidRPr="00212F72">
              <w:t>.</w:t>
            </w:r>
            <w:r w:rsidR="00DC6DC0" w:rsidRPr="00212F72">
              <w:t>apakš</w:t>
            </w:r>
            <w:r w:rsidR="00BA6D00" w:rsidRPr="00212F72">
              <w:t>punkts</w:t>
            </w:r>
          </w:p>
        </w:tc>
        <w:tc>
          <w:tcPr>
            <w:tcW w:w="768" w:type="pct"/>
            <w:gridSpan w:val="2"/>
            <w:tcBorders>
              <w:top w:val="outset" w:sz="6" w:space="0" w:color="auto"/>
              <w:left w:val="outset" w:sz="6" w:space="0" w:color="auto"/>
              <w:bottom w:val="outset" w:sz="6" w:space="0" w:color="auto"/>
              <w:right w:val="outset" w:sz="6" w:space="0" w:color="auto"/>
            </w:tcBorders>
          </w:tcPr>
          <w:p w:rsidR="00E32FC0" w:rsidRPr="00BF6A02" w:rsidRDefault="00E32FC0" w:rsidP="00191A9F">
            <w:r w:rsidRPr="00BF6A02">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E32FC0" w:rsidRDefault="00E32FC0" w:rsidP="00191A9F">
            <w:r w:rsidRPr="00BF6A02">
              <w:t>Projekts stingrākas prasības neparedz</w:t>
            </w:r>
          </w:p>
        </w:tc>
      </w:tr>
      <w:tr w:rsidR="004C1D56"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4C1D56" w:rsidRPr="00200F8D" w:rsidRDefault="004C1D56" w:rsidP="00A92A9A">
            <w:r w:rsidRPr="00200F8D">
              <w:t>Regulas Nr.1034/2011 10.pants</w:t>
            </w:r>
          </w:p>
        </w:tc>
        <w:tc>
          <w:tcPr>
            <w:tcW w:w="2050" w:type="pct"/>
            <w:gridSpan w:val="6"/>
            <w:tcBorders>
              <w:top w:val="outset" w:sz="6" w:space="0" w:color="auto"/>
              <w:left w:val="outset" w:sz="6" w:space="0" w:color="auto"/>
              <w:bottom w:val="outset" w:sz="6" w:space="0" w:color="auto"/>
              <w:right w:val="outset" w:sz="6" w:space="0" w:color="auto"/>
            </w:tcBorders>
          </w:tcPr>
          <w:p w:rsidR="004C1D56" w:rsidRPr="00212F72" w:rsidRDefault="002A09B9" w:rsidP="00B82E07">
            <w:r>
              <w:t>Projekta</w:t>
            </w:r>
            <w:r w:rsidRPr="00212F72">
              <w:t xml:space="preserve"> </w:t>
            </w:r>
            <w:r w:rsidR="004C1D56" w:rsidRPr="00212F72">
              <w:t>18.punkts</w:t>
            </w:r>
          </w:p>
        </w:tc>
        <w:tc>
          <w:tcPr>
            <w:tcW w:w="768" w:type="pct"/>
            <w:gridSpan w:val="2"/>
            <w:tcBorders>
              <w:top w:val="outset" w:sz="6" w:space="0" w:color="auto"/>
              <w:left w:val="outset" w:sz="6" w:space="0" w:color="auto"/>
              <w:bottom w:val="outset" w:sz="6" w:space="0" w:color="auto"/>
              <w:right w:val="outset" w:sz="6" w:space="0" w:color="auto"/>
            </w:tcBorders>
          </w:tcPr>
          <w:p w:rsidR="004C1D56" w:rsidRPr="00200F8D" w:rsidRDefault="004C1D56" w:rsidP="00191A9F">
            <w:r w:rsidRPr="00200F8D">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4C1D56" w:rsidRPr="00200F8D" w:rsidRDefault="004C1D56" w:rsidP="00191A9F">
            <w:r w:rsidRPr="00200F8D">
              <w:t>Projekts stingrākas prasības neparedz</w:t>
            </w:r>
          </w:p>
        </w:tc>
      </w:tr>
      <w:tr w:rsidR="00A92A9A"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A92A9A" w:rsidRPr="00200F8D" w:rsidRDefault="00A92A9A" w:rsidP="00A92A9A">
            <w:r w:rsidRPr="00200F8D">
              <w:t>Regulas Nr.2150/2005 4., 5. un 6.pants</w:t>
            </w:r>
          </w:p>
        </w:tc>
        <w:tc>
          <w:tcPr>
            <w:tcW w:w="2050" w:type="pct"/>
            <w:gridSpan w:val="6"/>
            <w:tcBorders>
              <w:top w:val="outset" w:sz="6" w:space="0" w:color="auto"/>
              <w:left w:val="outset" w:sz="6" w:space="0" w:color="auto"/>
              <w:bottom w:val="outset" w:sz="6" w:space="0" w:color="auto"/>
              <w:right w:val="outset" w:sz="6" w:space="0" w:color="auto"/>
            </w:tcBorders>
          </w:tcPr>
          <w:p w:rsidR="00A92A9A" w:rsidRPr="00212F72" w:rsidRDefault="002A09B9" w:rsidP="00B82E07">
            <w:r>
              <w:t>Projekta</w:t>
            </w:r>
            <w:r w:rsidRPr="00212F72">
              <w:t xml:space="preserve"> </w:t>
            </w:r>
            <w:r w:rsidR="00A92A9A" w:rsidRPr="00212F72">
              <w:t>21.punkts</w:t>
            </w:r>
          </w:p>
          <w:p w:rsidR="00A92A9A" w:rsidRPr="004C7F6B" w:rsidRDefault="00A92A9A">
            <w:pPr>
              <w:rPr>
                <w:u w:val="single"/>
              </w:rPr>
            </w:pPr>
          </w:p>
        </w:tc>
        <w:tc>
          <w:tcPr>
            <w:tcW w:w="768" w:type="pct"/>
            <w:gridSpan w:val="2"/>
            <w:tcBorders>
              <w:top w:val="outset" w:sz="6" w:space="0" w:color="auto"/>
              <w:left w:val="outset" w:sz="6" w:space="0" w:color="auto"/>
              <w:bottom w:val="outset" w:sz="6" w:space="0" w:color="auto"/>
              <w:right w:val="outset" w:sz="6" w:space="0" w:color="auto"/>
            </w:tcBorders>
          </w:tcPr>
          <w:p w:rsidR="00A92A9A" w:rsidRPr="00200F8D" w:rsidRDefault="00A92A9A" w:rsidP="00191A9F">
            <w:r w:rsidRPr="00200F8D">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A92A9A" w:rsidRPr="00200F8D" w:rsidRDefault="00A92A9A" w:rsidP="00191A9F">
            <w:r w:rsidRPr="00200F8D">
              <w:t>Projekts stingrākas prasības neparedz</w:t>
            </w:r>
          </w:p>
        </w:tc>
      </w:tr>
      <w:tr w:rsidR="00B0706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B07060" w:rsidRPr="00200F8D" w:rsidRDefault="00B07060" w:rsidP="00D3627C">
            <w:r w:rsidRPr="00200F8D">
              <w:lastRenderedPageBreak/>
              <w:t>Regulas Nr.2150/2005</w:t>
            </w:r>
          </w:p>
          <w:p w:rsidR="00B07060" w:rsidRPr="00200F8D" w:rsidRDefault="00B07060" w:rsidP="00B07060">
            <w:r w:rsidRPr="00200F8D">
              <w:t xml:space="preserve">4.panta 1.punkts </w:t>
            </w:r>
          </w:p>
        </w:tc>
        <w:tc>
          <w:tcPr>
            <w:tcW w:w="2050" w:type="pct"/>
            <w:gridSpan w:val="6"/>
            <w:tcBorders>
              <w:top w:val="outset" w:sz="6" w:space="0" w:color="auto"/>
              <w:left w:val="outset" w:sz="6" w:space="0" w:color="auto"/>
              <w:bottom w:val="outset" w:sz="6" w:space="0" w:color="auto"/>
              <w:right w:val="outset" w:sz="6" w:space="0" w:color="auto"/>
            </w:tcBorders>
          </w:tcPr>
          <w:p w:rsidR="00B07060" w:rsidRPr="00212F72" w:rsidRDefault="002A09B9" w:rsidP="00B07060">
            <w:r>
              <w:t>Projekta</w:t>
            </w:r>
            <w:r w:rsidRPr="00212F72">
              <w:t xml:space="preserve"> </w:t>
            </w:r>
            <w:r w:rsidR="00802D6E" w:rsidRPr="00212F72">
              <w:t>25. un 33</w:t>
            </w:r>
            <w:r w:rsidR="00B07060" w:rsidRPr="00212F72">
              <w:t>.punkts</w:t>
            </w:r>
          </w:p>
        </w:tc>
        <w:tc>
          <w:tcPr>
            <w:tcW w:w="768" w:type="pct"/>
            <w:gridSpan w:val="2"/>
            <w:tcBorders>
              <w:top w:val="outset" w:sz="6" w:space="0" w:color="auto"/>
              <w:left w:val="outset" w:sz="6" w:space="0" w:color="auto"/>
              <w:bottom w:val="outset" w:sz="6" w:space="0" w:color="auto"/>
              <w:right w:val="outset" w:sz="6" w:space="0" w:color="auto"/>
            </w:tcBorders>
          </w:tcPr>
          <w:p w:rsidR="00B07060" w:rsidRPr="00200F8D" w:rsidRDefault="00B07060" w:rsidP="00191A9F">
            <w:r w:rsidRPr="00200F8D">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B07060" w:rsidRPr="00200F8D" w:rsidRDefault="00B07060" w:rsidP="00191A9F">
            <w:r w:rsidRPr="00200F8D">
              <w:t>Projekts stingrākas prasības neparedz</w:t>
            </w:r>
          </w:p>
        </w:tc>
      </w:tr>
      <w:tr w:rsidR="00DC6DC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DC6DC0" w:rsidRPr="00200F8D" w:rsidRDefault="00DC6DC0" w:rsidP="00DC6DC0">
            <w:r w:rsidRPr="00200F8D">
              <w:t xml:space="preserve">Regulas Nr.2150/2005 </w:t>
            </w:r>
            <w:r w:rsidR="00BC6C48" w:rsidRPr="00200F8D">
              <w:t xml:space="preserve"> </w:t>
            </w:r>
            <w:r w:rsidRPr="00200F8D">
              <w:t>5. pants</w:t>
            </w:r>
          </w:p>
        </w:tc>
        <w:tc>
          <w:tcPr>
            <w:tcW w:w="2050" w:type="pct"/>
            <w:gridSpan w:val="6"/>
            <w:tcBorders>
              <w:top w:val="outset" w:sz="6" w:space="0" w:color="auto"/>
              <w:left w:val="outset" w:sz="6" w:space="0" w:color="auto"/>
              <w:bottom w:val="outset" w:sz="6" w:space="0" w:color="auto"/>
              <w:right w:val="outset" w:sz="6" w:space="0" w:color="auto"/>
            </w:tcBorders>
          </w:tcPr>
          <w:p w:rsidR="00DC6DC0" w:rsidRPr="00212F72" w:rsidRDefault="002A09B9" w:rsidP="00DC6DC0">
            <w:r>
              <w:t>Projekta</w:t>
            </w:r>
            <w:r w:rsidRPr="00212F72">
              <w:t xml:space="preserve"> </w:t>
            </w:r>
            <w:r w:rsidR="00802D6E" w:rsidRPr="00212F72">
              <w:t>36</w:t>
            </w:r>
            <w:r w:rsidR="00DC6DC0" w:rsidRPr="00212F72">
              <w:t>.punkts</w:t>
            </w:r>
          </w:p>
        </w:tc>
        <w:tc>
          <w:tcPr>
            <w:tcW w:w="768" w:type="pct"/>
            <w:gridSpan w:val="2"/>
            <w:tcBorders>
              <w:top w:val="outset" w:sz="6" w:space="0" w:color="auto"/>
              <w:left w:val="outset" w:sz="6" w:space="0" w:color="auto"/>
              <w:bottom w:val="outset" w:sz="6" w:space="0" w:color="auto"/>
              <w:right w:val="outset" w:sz="6" w:space="0" w:color="auto"/>
            </w:tcBorders>
          </w:tcPr>
          <w:p w:rsidR="00DC6DC0" w:rsidRPr="00200F8D" w:rsidRDefault="00DC6DC0" w:rsidP="00191A9F">
            <w:r w:rsidRPr="00200F8D">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DC6DC0" w:rsidRPr="00200F8D" w:rsidRDefault="00DC6DC0" w:rsidP="00191A9F">
            <w:r w:rsidRPr="00200F8D">
              <w:t>Projekts stingrākas prasības neparedz</w:t>
            </w:r>
          </w:p>
        </w:tc>
      </w:tr>
      <w:tr w:rsidR="00E32FC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E32FC0" w:rsidRPr="00200F8D" w:rsidRDefault="00550BCB" w:rsidP="00AF6EA6">
            <w:r w:rsidRPr="00200F8D">
              <w:t>Regulas Nr.255/2010 6.pant</w:t>
            </w:r>
            <w:r w:rsidR="00AF6EA6" w:rsidRPr="00200F8D">
              <w:t>a</w:t>
            </w:r>
            <w:r w:rsidRPr="00200F8D">
              <w:t xml:space="preserve"> 5.punkta e) un </w:t>
            </w:r>
            <w:proofErr w:type="spellStart"/>
            <w:r w:rsidRPr="00200F8D">
              <w:t>h)</w:t>
            </w:r>
            <w:r w:rsidR="00DD7D30" w:rsidRPr="00200F8D">
              <w:t>punkts</w:t>
            </w:r>
            <w:proofErr w:type="spellEnd"/>
          </w:p>
        </w:tc>
        <w:tc>
          <w:tcPr>
            <w:tcW w:w="2050" w:type="pct"/>
            <w:gridSpan w:val="6"/>
            <w:tcBorders>
              <w:top w:val="outset" w:sz="6" w:space="0" w:color="auto"/>
              <w:left w:val="outset" w:sz="6" w:space="0" w:color="auto"/>
              <w:bottom w:val="outset" w:sz="6" w:space="0" w:color="auto"/>
              <w:right w:val="outset" w:sz="6" w:space="0" w:color="auto"/>
            </w:tcBorders>
          </w:tcPr>
          <w:p w:rsidR="00E32FC0" w:rsidRPr="00212F72" w:rsidRDefault="002A09B9">
            <w:r>
              <w:t>Projekta</w:t>
            </w:r>
            <w:r w:rsidRPr="00212F72">
              <w:t xml:space="preserve"> </w:t>
            </w:r>
            <w:r w:rsidR="00802D6E" w:rsidRPr="00212F72">
              <w:t>37</w:t>
            </w:r>
            <w:r w:rsidR="00550BCB" w:rsidRPr="00212F72">
              <w:t>.6</w:t>
            </w:r>
            <w:r w:rsidR="00373DD8" w:rsidRPr="00212F72">
              <w:t>.</w:t>
            </w:r>
            <w:r w:rsidR="005C72DB" w:rsidRPr="00212F72">
              <w:t>apakš</w:t>
            </w:r>
            <w:r w:rsidR="00373DD8" w:rsidRPr="00212F72">
              <w:t>punkts</w:t>
            </w:r>
          </w:p>
          <w:p w:rsidR="00E1009F" w:rsidRPr="004C7F6B" w:rsidRDefault="00E1009F" w:rsidP="0060584E">
            <w:pPr>
              <w:rPr>
                <w:u w:val="single"/>
              </w:rPr>
            </w:pPr>
          </w:p>
        </w:tc>
        <w:tc>
          <w:tcPr>
            <w:tcW w:w="768" w:type="pct"/>
            <w:gridSpan w:val="2"/>
            <w:tcBorders>
              <w:top w:val="outset" w:sz="6" w:space="0" w:color="auto"/>
              <w:left w:val="outset" w:sz="6" w:space="0" w:color="auto"/>
              <w:bottom w:val="outset" w:sz="6" w:space="0" w:color="auto"/>
              <w:right w:val="outset" w:sz="6" w:space="0" w:color="auto"/>
            </w:tcBorders>
          </w:tcPr>
          <w:p w:rsidR="00E32FC0" w:rsidRPr="00BF6A02" w:rsidRDefault="00E32FC0" w:rsidP="00191A9F">
            <w:r w:rsidRPr="00BF6A02">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E32FC0" w:rsidRDefault="00E32FC0" w:rsidP="00191A9F">
            <w:r w:rsidRPr="00BF6A02">
              <w:t>Projekts stingrākas prasības neparedz</w:t>
            </w:r>
          </w:p>
        </w:tc>
      </w:tr>
      <w:tr w:rsidR="00E32FC0" w:rsidTr="00AB002D">
        <w:tblPrEx>
          <w:jc w:val="center"/>
        </w:tblPrEx>
        <w:trPr>
          <w:tblCellSpacing w:w="15" w:type="dxa"/>
          <w:jc w:val="center"/>
        </w:trPr>
        <w:tc>
          <w:tcPr>
            <w:tcW w:w="1065" w:type="pct"/>
            <w:gridSpan w:val="3"/>
            <w:tcBorders>
              <w:top w:val="outset" w:sz="6" w:space="0" w:color="auto"/>
              <w:left w:val="outset" w:sz="6" w:space="0" w:color="auto"/>
              <w:bottom w:val="outset" w:sz="6" w:space="0" w:color="auto"/>
              <w:right w:val="outset" w:sz="6" w:space="0" w:color="auto"/>
            </w:tcBorders>
          </w:tcPr>
          <w:p w:rsidR="00E32FC0" w:rsidRPr="00200F8D" w:rsidRDefault="00215EAB" w:rsidP="00907351">
            <w:r w:rsidRPr="00200F8D">
              <w:t>Regulas Nr.2150/2005  6.pant</w:t>
            </w:r>
            <w:r w:rsidR="00DC6DC0" w:rsidRPr="00200F8D">
              <w:t>s</w:t>
            </w:r>
            <w:r w:rsidRPr="00200F8D">
              <w:t xml:space="preserve"> </w:t>
            </w:r>
          </w:p>
        </w:tc>
        <w:tc>
          <w:tcPr>
            <w:tcW w:w="2050" w:type="pct"/>
            <w:gridSpan w:val="6"/>
            <w:tcBorders>
              <w:top w:val="outset" w:sz="6" w:space="0" w:color="auto"/>
              <w:left w:val="outset" w:sz="6" w:space="0" w:color="auto"/>
              <w:bottom w:val="outset" w:sz="6" w:space="0" w:color="auto"/>
              <w:right w:val="outset" w:sz="6" w:space="0" w:color="auto"/>
            </w:tcBorders>
          </w:tcPr>
          <w:p w:rsidR="00E32FC0" w:rsidRPr="00212F72" w:rsidRDefault="002A09B9" w:rsidP="000E414B">
            <w:r>
              <w:t>Projekta</w:t>
            </w:r>
            <w:r w:rsidRPr="00212F72">
              <w:t xml:space="preserve"> </w:t>
            </w:r>
            <w:r w:rsidR="00802D6E" w:rsidRPr="00212F72">
              <w:t>44.</w:t>
            </w:r>
            <w:r w:rsidR="000F3E87" w:rsidRPr="00212F72">
              <w:t xml:space="preserve"> </w:t>
            </w:r>
            <w:r w:rsidR="00373DD8" w:rsidRPr="00212F72">
              <w:t>punkts</w:t>
            </w:r>
          </w:p>
        </w:tc>
        <w:tc>
          <w:tcPr>
            <w:tcW w:w="768" w:type="pct"/>
            <w:gridSpan w:val="2"/>
            <w:tcBorders>
              <w:top w:val="outset" w:sz="6" w:space="0" w:color="auto"/>
              <w:left w:val="outset" w:sz="6" w:space="0" w:color="auto"/>
              <w:bottom w:val="outset" w:sz="6" w:space="0" w:color="auto"/>
              <w:right w:val="outset" w:sz="6" w:space="0" w:color="auto"/>
            </w:tcBorders>
          </w:tcPr>
          <w:p w:rsidR="00E32FC0" w:rsidRPr="00BF6A02" w:rsidRDefault="00E32FC0" w:rsidP="00191A9F">
            <w:r w:rsidRPr="00BF6A02">
              <w:t>Tiesību norma izpildīta pilnībā</w:t>
            </w:r>
          </w:p>
        </w:tc>
        <w:tc>
          <w:tcPr>
            <w:tcW w:w="1035" w:type="pct"/>
            <w:tcBorders>
              <w:top w:val="outset" w:sz="6" w:space="0" w:color="auto"/>
              <w:left w:val="outset" w:sz="6" w:space="0" w:color="auto"/>
              <w:bottom w:val="outset" w:sz="6" w:space="0" w:color="auto"/>
              <w:right w:val="outset" w:sz="6" w:space="0" w:color="auto"/>
            </w:tcBorders>
          </w:tcPr>
          <w:p w:rsidR="00E32FC0" w:rsidRDefault="00E32FC0" w:rsidP="00191A9F">
            <w:r w:rsidRPr="00BF6A02">
              <w:t>Projekts stingrākas prasības neparedz</w:t>
            </w:r>
          </w:p>
        </w:tc>
      </w:tr>
      <w:tr w:rsidR="001953D7" w:rsidTr="00AB002D">
        <w:tblPrEx>
          <w:jc w:val="center"/>
        </w:tblPrEx>
        <w:trPr>
          <w:tblCellSpacing w:w="15" w:type="dxa"/>
          <w:jc w:val="center"/>
        </w:trPr>
        <w:tc>
          <w:tcPr>
            <w:tcW w:w="3131" w:type="pct"/>
            <w:gridSpan w:val="9"/>
            <w:tcBorders>
              <w:top w:val="outset" w:sz="6" w:space="0" w:color="auto"/>
              <w:left w:val="outset" w:sz="6" w:space="0" w:color="auto"/>
              <w:bottom w:val="outset" w:sz="6" w:space="0" w:color="auto"/>
              <w:right w:val="outset" w:sz="6" w:space="0" w:color="auto"/>
            </w:tcBorders>
            <w:hideMark/>
          </w:tcPr>
          <w:p w:rsidR="001953D7" w:rsidRDefault="001953D7">
            <w:r>
              <w:t>Kā ir izmantota ES tiesību aktā paredzētā rīcības brīvība dalībvalstij pārņemt vai ieviest noteiktas ES tiesību akta normas?</w:t>
            </w:r>
            <w:r>
              <w:br/>
              <w:t>Kādēļ?</w:t>
            </w:r>
          </w:p>
        </w:tc>
        <w:tc>
          <w:tcPr>
            <w:tcW w:w="1820" w:type="pct"/>
            <w:gridSpan w:val="3"/>
            <w:tcBorders>
              <w:top w:val="outset" w:sz="6" w:space="0" w:color="auto"/>
              <w:left w:val="outset" w:sz="6" w:space="0" w:color="auto"/>
              <w:bottom w:val="outset" w:sz="6" w:space="0" w:color="auto"/>
              <w:right w:val="outset" w:sz="6" w:space="0" w:color="auto"/>
            </w:tcBorders>
            <w:hideMark/>
          </w:tcPr>
          <w:p w:rsidR="001953D7" w:rsidRDefault="00246780">
            <w:r>
              <w:t>Projekts šo jomu neskar.</w:t>
            </w:r>
          </w:p>
        </w:tc>
      </w:tr>
      <w:tr w:rsidR="001953D7" w:rsidTr="00AB002D">
        <w:tblPrEx>
          <w:jc w:val="center"/>
        </w:tblPrEx>
        <w:trPr>
          <w:tblCellSpacing w:w="15" w:type="dxa"/>
          <w:jc w:val="center"/>
        </w:trPr>
        <w:tc>
          <w:tcPr>
            <w:tcW w:w="3131" w:type="pct"/>
            <w:gridSpan w:val="9"/>
            <w:tcBorders>
              <w:top w:val="outset" w:sz="6" w:space="0" w:color="auto"/>
              <w:left w:val="outset" w:sz="6" w:space="0" w:color="auto"/>
              <w:bottom w:val="outset" w:sz="6" w:space="0" w:color="auto"/>
              <w:right w:val="outset" w:sz="6" w:space="0" w:color="auto"/>
            </w:tcBorders>
            <w:hideMark/>
          </w:tcPr>
          <w:p w:rsidR="001953D7" w:rsidRDefault="001953D7">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20" w:type="pct"/>
            <w:gridSpan w:val="3"/>
            <w:tcBorders>
              <w:top w:val="outset" w:sz="6" w:space="0" w:color="auto"/>
              <w:left w:val="outset" w:sz="6" w:space="0" w:color="auto"/>
              <w:bottom w:val="outset" w:sz="6" w:space="0" w:color="auto"/>
              <w:right w:val="outset" w:sz="6" w:space="0" w:color="auto"/>
            </w:tcBorders>
            <w:hideMark/>
          </w:tcPr>
          <w:p w:rsidR="001953D7" w:rsidRDefault="00622884">
            <w:r w:rsidRPr="00740C87">
              <w:t>Ievērojot Regulas 2150/2005 4.panta 3.punkt</w:t>
            </w:r>
            <w:r w:rsidRPr="00B93325">
              <w:t>ā noteikto Satiksmes ministrija ar 2001.gada 13.</w:t>
            </w:r>
            <w:r w:rsidRPr="00285200">
              <w:t xml:space="preserve">janvāra vēstuli Nr. </w:t>
            </w:r>
            <w:r w:rsidRPr="004C7F6B">
              <w:t xml:space="preserve">Nr.13-1/209 </w:t>
            </w:r>
            <w:r w:rsidRPr="00740C87">
              <w:t xml:space="preserve"> </w:t>
            </w:r>
            <w:r>
              <w:t xml:space="preserve">ir paziņojusi Eiropas Komisijai, ka Civilās aviācijas aģentūra ir atbildīga par Regulas 2150/2005 4.panta 1.punktā dotā uzdevuma izpildi. </w:t>
            </w:r>
          </w:p>
        </w:tc>
      </w:tr>
      <w:tr w:rsidR="001953D7" w:rsidTr="00AB002D">
        <w:tblPrEx>
          <w:jc w:val="center"/>
        </w:tblPrEx>
        <w:trPr>
          <w:tblCellSpacing w:w="15" w:type="dxa"/>
          <w:jc w:val="center"/>
        </w:trPr>
        <w:tc>
          <w:tcPr>
            <w:tcW w:w="3131" w:type="pct"/>
            <w:gridSpan w:val="9"/>
            <w:tcBorders>
              <w:top w:val="outset" w:sz="6" w:space="0" w:color="auto"/>
              <w:left w:val="outset" w:sz="6" w:space="0" w:color="auto"/>
              <w:bottom w:val="outset" w:sz="6" w:space="0" w:color="auto"/>
              <w:right w:val="outset" w:sz="6" w:space="0" w:color="auto"/>
            </w:tcBorders>
            <w:hideMark/>
          </w:tcPr>
          <w:p w:rsidR="001953D7" w:rsidRDefault="001953D7">
            <w:r>
              <w:t>Cita informācija</w:t>
            </w:r>
          </w:p>
        </w:tc>
        <w:tc>
          <w:tcPr>
            <w:tcW w:w="1820" w:type="pct"/>
            <w:gridSpan w:val="3"/>
            <w:tcBorders>
              <w:top w:val="outset" w:sz="6" w:space="0" w:color="auto"/>
              <w:left w:val="outset" w:sz="6" w:space="0" w:color="auto"/>
              <w:bottom w:val="outset" w:sz="6" w:space="0" w:color="auto"/>
              <w:right w:val="outset" w:sz="6" w:space="0" w:color="auto"/>
            </w:tcBorders>
            <w:hideMark/>
          </w:tcPr>
          <w:p w:rsidR="001953D7" w:rsidRDefault="00246780">
            <w:pPr>
              <w:pStyle w:val="tvhtml"/>
            </w:pPr>
            <w:r>
              <w:t>Nav.</w:t>
            </w:r>
          </w:p>
        </w:tc>
      </w:tr>
      <w:tr w:rsidR="001953D7" w:rsidTr="0013353A">
        <w:tblPrEx>
          <w:jc w:val="cente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rPr>
                <w:b/>
                <w:bCs/>
              </w:rPr>
            </w:pPr>
            <w:r>
              <w:rPr>
                <w:b/>
                <w:bCs/>
              </w:rPr>
              <w:t>2.tabula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vAlign w:val="center"/>
            <w:hideMark/>
          </w:tcPr>
          <w:p w:rsidR="001953D7" w:rsidRDefault="001953D7">
            <w:r>
              <w:t>Attiecīgā starptautiskā tiesību akta vai starptautiskas institūcijas vai organizācijas dokumenta (turpmāk – starptautiskais dokuments) datums, numurs un nosaukums</w:t>
            </w:r>
          </w:p>
        </w:tc>
        <w:tc>
          <w:tcPr>
            <w:tcW w:w="3516" w:type="pct"/>
            <w:gridSpan w:val="8"/>
            <w:tcBorders>
              <w:top w:val="outset" w:sz="6" w:space="0" w:color="auto"/>
              <w:left w:val="outset" w:sz="6" w:space="0" w:color="auto"/>
              <w:bottom w:val="outset" w:sz="6" w:space="0" w:color="auto"/>
              <w:right w:val="outset" w:sz="6" w:space="0" w:color="auto"/>
            </w:tcBorders>
            <w:hideMark/>
          </w:tcPr>
          <w:p w:rsidR="001953D7" w:rsidRDefault="001953D7" w:rsidP="00E1009F">
            <w:pPr>
              <w:jc w:val="both"/>
            </w:pP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A</w:t>
            </w:r>
          </w:p>
        </w:tc>
        <w:tc>
          <w:tcPr>
            <w:tcW w:w="1943" w:type="pct"/>
            <w:gridSpan w:val="6"/>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B</w:t>
            </w:r>
          </w:p>
        </w:tc>
        <w:tc>
          <w:tcPr>
            <w:tcW w:w="1557" w:type="pct"/>
            <w:gridSpan w:val="2"/>
            <w:tcBorders>
              <w:top w:val="outset" w:sz="6" w:space="0" w:color="auto"/>
              <w:left w:val="outset" w:sz="6" w:space="0" w:color="auto"/>
              <w:bottom w:val="outset" w:sz="6" w:space="0" w:color="auto"/>
              <w:right w:val="outset" w:sz="6" w:space="0" w:color="auto"/>
            </w:tcBorders>
            <w:vAlign w:val="center"/>
            <w:hideMark/>
          </w:tcPr>
          <w:p w:rsidR="001953D7" w:rsidRDefault="001953D7">
            <w:pPr>
              <w:pStyle w:val="tvhtml"/>
              <w:jc w:val="center"/>
            </w:pPr>
            <w:r>
              <w:t>C</w:t>
            </w: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t xml:space="preserve">Starptautiskās saistības (pēc būtības), kas izriet no norādītā starptautiskā dokumenta. </w:t>
            </w:r>
          </w:p>
          <w:p w:rsidR="001953D7" w:rsidRPr="004B68B8" w:rsidRDefault="001953D7">
            <w:pPr>
              <w:pStyle w:val="tvhtml"/>
              <w:rPr>
                <w:sz w:val="20"/>
                <w:szCs w:val="20"/>
              </w:rPr>
            </w:pPr>
            <w:r w:rsidRPr="004B68B8">
              <w:rPr>
                <w:sz w:val="20"/>
                <w:szCs w:val="20"/>
              </w:rPr>
              <w:t xml:space="preserve">Konkrēti veicamie pasākumi </w:t>
            </w:r>
            <w:r w:rsidRPr="004B68B8">
              <w:rPr>
                <w:sz w:val="20"/>
                <w:szCs w:val="20"/>
              </w:rPr>
              <w:lastRenderedPageBreak/>
              <w:t>vai uzdevumi, kas nepieciešami šo starptautisko saistību izpildei</w:t>
            </w:r>
          </w:p>
        </w:tc>
        <w:tc>
          <w:tcPr>
            <w:tcW w:w="1943" w:type="pct"/>
            <w:gridSpan w:val="6"/>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lastRenderedPageBreak/>
              <w:t xml:space="preserve">Ja pasākumi vai uzdevumi, ar ko tiks izpildītas starptautiskās saistības, tiek noteikti projektā, norāda attiecīgo projekta vienību vai dokumentu, kurā sniegts izvērsts skaidrojums, kādā veidā tiks </w:t>
            </w:r>
            <w:r w:rsidRPr="004B68B8">
              <w:rPr>
                <w:sz w:val="20"/>
                <w:szCs w:val="20"/>
              </w:rPr>
              <w:lastRenderedPageBreak/>
              <w:t>nodrošināta starptautisko saistību izpilde</w:t>
            </w:r>
          </w:p>
        </w:tc>
        <w:tc>
          <w:tcPr>
            <w:tcW w:w="1557" w:type="pct"/>
            <w:gridSpan w:val="2"/>
            <w:tcBorders>
              <w:top w:val="outset" w:sz="6" w:space="0" w:color="auto"/>
              <w:left w:val="outset" w:sz="6" w:space="0" w:color="auto"/>
              <w:bottom w:val="outset" w:sz="6" w:space="0" w:color="auto"/>
              <w:right w:val="outset" w:sz="6" w:space="0" w:color="auto"/>
            </w:tcBorders>
            <w:hideMark/>
          </w:tcPr>
          <w:p w:rsidR="001953D7" w:rsidRPr="004B68B8" w:rsidRDefault="001953D7">
            <w:pPr>
              <w:rPr>
                <w:sz w:val="20"/>
                <w:szCs w:val="20"/>
              </w:rPr>
            </w:pPr>
            <w:r w:rsidRPr="004B68B8">
              <w:rPr>
                <w:sz w:val="20"/>
                <w:szCs w:val="20"/>
              </w:rPr>
              <w:lastRenderedPageBreak/>
              <w:t xml:space="preserve">Informācija par to, vai starptautiskās saistības, kas minētas šīs tabulas A ailē, tiek izpildītas pilnībā vai daļēji. </w:t>
            </w:r>
          </w:p>
          <w:p w:rsidR="001953D7" w:rsidRPr="004B68B8" w:rsidRDefault="001953D7">
            <w:pPr>
              <w:pStyle w:val="tvhtml"/>
              <w:rPr>
                <w:sz w:val="20"/>
                <w:szCs w:val="20"/>
              </w:rPr>
            </w:pPr>
            <w:r w:rsidRPr="004B68B8">
              <w:rPr>
                <w:sz w:val="20"/>
                <w:szCs w:val="20"/>
              </w:rPr>
              <w:lastRenderedPageBreak/>
              <w:t>Ja attiecīgās starptautiskās saistības tiek izpildītas daļēji, sniedz skaidrojumu, kā arī precīzi norāda, kad un kādā veidā starptautiskās saistības tiks izpildītas pilnībā.</w:t>
            </w:r>
          </w:p>
          <w:p w:rsidR="001953D7" w:rsidRPr="004B68B8" w:rsidRDefault="001953D7">
            <w:pPr>
              <w:pStyle w:val="tvhtml"/>
              <w:rPr>
                <w:sz w:val="20"/>
                <w:szCs w:val="20"/>
              </w:rPr>
            </w:pPr>
            <w:r w:rsidRPr="004B68B8">
              <w:rPr>
                <w:sz w:val="20"/>
                <w:szCs w:val="20"/>
              </w:rPr>
              <w:t>Norāda institūciju, kas ir atbildīga par šo saistību izpildi pilnībā</w:t>
            </w: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tcPr>
          <w:p w:rsidR="00F1061A" w:rsidRDefault="00F1061A"/>
        </w:tc>
        <w:tc>
          <w:tcPr>
            <w:tcW w:w="1943" w:type="pct"/>
            <w:gridSpan w:val="6"/>
            <w:tcBorders>
              <w:top w:val="outset" w:sz="6" w:space="0" w:color="auto"/>
              <w:left w:val="outset" w:sz="6" w:space="0" w:color="auto"/>
              <w:bottom w:val="outset" w:sz="6" w:space="0" w:color="auto"/>
              <w:right w:val="outset" w:sz="6" w:space="0" w:color="auto"/>
            </w:tcBorders>
          </w:tcPr>
          <w:p w:rsidR="001953D7" w:rsidRDefault="001953D7"/>
        </w:tc>
        <w:tc>
          <w:tcPr>
            <w:tcW w:w="1557" w:type="pct"/>
            <w:gridSpan w:val="2"/>
            <w:tcBorders>
              <w:top w:val="outset" w:sz="6" w:space="0" w:color="auto"/>
              <w:left w:val="outset" w:sz="6" w:space="0" w:color="auto"/>
              <w:bottom w:val="outset" w:sz="6" w:space="0" w:color="auto"/>
              <w:right w:val="outset" w:sz="6" w:space="0" w:color="auto"/>
            </w:tcBorders>
          </w:tcPr>
          <w:p w:rsidR="001953D7" w:rsidRDefault="001953D7" w:rsidP="00F1061A">
            <w:pPr>
              <w:pStyle w:val="tvhtml"/>
              <w:jc w:val="both"/>
            </w:pP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hideMark/>
          </w:tcPr>
          <w:p w:rsidR="001953D7" w:rsidRDefault="001953D7">
            <w:r>
              <w:t>Vai starptautiskajā dokumentā paredzētās saistības nav pretrunā ar jau esošajām Latvijas Republikas starptautiskajām saistībām</w:t>
            </w:r>
          </w:p>
        </w:tc>
        <w:tc>
          <w:tcPr>
            <w:tcW w:w="3516" w:type="pct"/>
            <w:gridSpan w:val="8"/>
            <w:tcBorders>
              <w:top w:val="outset" w:sz="6" w:space="0" w:color="auto"/>
              <w:left w:val="outset" w:sz="6" w:space="0" w:color="auto"/>
              <w:bottom w:val="outset" w:sz="6" w:space="0" w:color="auto"/>
              <w:right w:val="outset" w:sz="6" w:space="0" w:color="auto"/>
            </w:tcBorders>
          </w:tcPr>
          <w:p w:rsidR="001953D7" w:rsidRDefault="00F1061A">
            <w:r>
              <w:t>Projekts šo jomu neskar.</w:t>
            </w:r>
          </w:p>
        </w:tc>
      </w:tr>
      <w:tr w:rsidR="001953D7" w:rsidTr="00AB002D">
        <w:tblPrEx>
          <w:jc w:val="center"/>
        </w:tblPrEx>
        <w:trPr>
          <w:tblCellSpacing w:w="15" w:type="dxa"/>
          <w:jc w:val="center"/>
        </w:trPr>
        <w:tc>
          <w:tcPr>
            <w:tcW w:w="1435" w:type="pct"/>
            <w:gridSpan w:val="4"/>
            <w:tcBorders>
              <w:top w:val="outset" w:sz="6" w:space="0" w:color="auto"/>
              <w:left w:val="outset" w:sz="6" w:space="0" w:color="auto"/>
              <w:bottom w:val="outset" w:sz="6" w:space="0" w:color="auto"/>
              <w:right w:val="outset" w:sz="6" w:space="0" w:color="auto"/>
            </w:tcBorders>
            <w:hideMark/>
          </w:tcPr>
          <w:p w:rsidR="001953D7" w:rsidRDefault="001953D7">
            <w:r>
              <w:t>Cita informācija</w:t>
            </w:r>
          </w:p>
        </w:tc>
        <w:tc>
          <w:tcPr>
            <w:tcW w:w="3516" w:type="pct"/>
            <w:gridSpan w:val="8"/>
            <w:tcBorders>
              <w:top w:val="outset" w:sz="6" w:space="0" w:color="auto"/>
              <w:left w:val="outset" w:sz="6" w:space="0" w:color="auto"/>
              <w:bottom w:val="outset" w:sz="6" w:space="0" w:color="auto"/>
              <w:right w:val="outset" w:sz="6" w:space="0" w:color="auto"/>
            </w:tcBorders>
          </w:tcPr>
          <w:p w:rsidR="001953D7" w:rsidRDefault="00F1061A">
            <w:pPr>
              <w:pStyle w:val="tvhtml"/>
            </w:pPr>
            <w:r>
              <w:t>Nav.</w:t>
            </w:r>
          </w:p>
        </w:tc>
      </w:tr>
      <w:tr w:rsidR="0013353A" w:rsidTr="0013353A">
        <w:tblPrEx>
          <w:jc w:val="center"/>
        </w:tblPrEx>
        <w:trPr>
          <w:trHeight w:val="375"/>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3353A" w:rsidRDefault="0013353A" w:rsidP="004D0101">
            <w:pPr>
              <w:pStyle w:val="tvhtml"/>
              <w:jc w:val="center"/>
              <w:rPr>
                <w:b/>
                <w:bCs/>
              </w:rPr>
            </w:pPr>
            <w:r>
              <w:t> </w:t>
            </w:r>
            <w:r w:rsidR="004D0101" w:rsidRPr="004D0101">
              <w:rPr>
                <w:b/>
                <w:bCs/>
              </w:rPr>
              <w:t>VI. Sabiedrības līdzdalība un komunikācijas aktivitātes</w:t>
            </w:r>
          </w:p>
        </w:tc>
      </w:tr>
      <w:tr w:rsidR="004D0101" w:rsidTr="00AB002D">
        <w:tblPrEx>
          <w:jc w:val="center"/>
        </w:tblPrEx>
        <w:trPr>
          <w:trHeight w:val="42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tcPr>
          <w:p w:rsidR="004D0101" w:rsidRDefault="004D0101">
            <w:r>
              <w:t>1.</w:t>
            </w:r>
          </w:p>
        </w:tc>
        <w:tc>
          <w:tcPr>
            <w:tcW w:w="2098" w:type="pct"/>
            <w:gridSpan w:val="6"/>
            <w:tcBorders>
              <w:top w:val="outset" w:sz="6" w:space="0" w:color="auto"/>
              <w:left w:val="outset" w:sz="6" w:space="0" w:color="auto"/>
              <w:bottom w:val="outset" w:sz="6" w:space="0" w:color="auto"/>
              <w:right w:val="outset" w:sz="6" w:space="0" w:color="auto"/>
            </w:tcBorders>
          </w:tcPr>
          <w:p w:rsidR="004D0101" w:rsidRDefault="004D0101">
            <w:r w:rsidRPr="004D0101">
              <w:t>Plānotās sabiedrības līdzdalības un komunikācijas aktivitātes saistībā ar projektu</w:t>
            </w:r>
          </w:p>
        </w:tc>
        <w:tc>
          <w:tcPr>
            <w:tcW w:w="2385" w:type="pct"/>
            <w:gridSpan w:val="4"/>
            <w:tcBorders>
              <w:top w:val="outset" w:sz="6" w:space="0" w:color="auto"/>
              <w:left w:val="outset" w:sz="6" w:space="0" w:color="auto"/>
              <w:bottom w:val="outset" w:sz="6" w:space="0" w:color="auto"/>
              <w:right w:val="outset" w:sz="6" w:space="0" w:color="auto"/>
            </w:tcBorders>
          </w:tcPr>
          <w:p w:rsidR="00E13403" w:rsidRDefault="00E13403" w:rsidP="00E13403">
            <w:pPr>
              <w:jc w:val="both"/>
            </w:pPr>
            <w:r w:rsidRPr="00E13403">
              <w:t xml:space="preserve">Projekts ir izstrādāts tādēļ, ka </w:t>
            </w:r>
            <w:r>
              <w:t xml:space="preserve">nepieciešams </w:t>
            </w:r>
            <w:r w:rsidRPr="00E13403">
              <w:t>noteikum</w:t>
            </w:r>
            <w:r>
              <w:t>us</w:t>
            </w:r>
            <w:r w:rsidRPr="00E13403">
              <w:t xml:space="preserve"> Nr.507</w:t>
            </w:r>
            <w:r>
              <w:t xml:space="preserve"> precizēt atbilstoši </w:t>
            </w:r>
            <w:r w:rsidR="004C506F">
              <w:t xml:space="preserve">tam, kas noteikts </w:t>
            </w:r>
            <w:r w:rsidRPr="00E13403">
              <w:t>Eiropas Savienības tiesību akt</w:t>
            </w:r>
            <w:r>
              <w:t>os</w:t>
            </w:r>
            <w:r w:rsidR="00173E31">
              <w:t xml:space="preserve"> (regulās)</w:t>
            </w:r>
            <w:r w:rsidRPr="00E13403">
              <w:t>, kuri attiecas uz gaisa telpas pārvaldību un gaisa telpas struktūras izveidi</w:t>
            </w:r>
            <w:r w:rsidR="004C506F">
              <w:t xml:space="preserve"> un </w:t>
            </w:r>
            <w:r>
              <w:t xml:space="preserve">kas izdoti pēc </w:t>
            </w:r>
            <w:r w:rsidRPr="00E13403">
              <w:t>2011.gada, kad stājās spēkā noteikum</w:t>
            </w:r>
            <w:r>
              <w:t>i</w:t>
            </w:r>
            <w:r w:rsidRPr="00E13403">
              <w:t xml:space="preserve"> Nr.507</w:t>
            </w:r>
            <w:r>
              <w:t>,</w:t>
            </w:r>
            <w:r w:rsidRPr="00E13403">
              <w:t xml:space="preserve"> </w:t>
            </w:r>
            <w:r>
              <w:t>noteiktajam.</w:t>
            </w:r>
            <w:r w:rsidR="00173E31">
              <w:t xml:space="preserve"> </w:t>
            </w:r>
            <w:r>
              <w:t xml:space="preserve">Līdz ar to tieša sabiedrības informēšana par projekta izstrādi nav iepriekš veikta. </w:t>
            </w:r>
          </w:p>
          <w:p w:rsidR="004D0101" w:rsidRDefault="00E13403" w:rsidP="00173E31">
            <w:pPr>
              <w:jc w:val="both"/>
            </w:pPr>
            <w:r>
              <w:t>Laika periodā no 2012. līdz 2014.gadam Civilās aviācijas aģentūra organizēja vairākas sanāksmes ar</w:t>
            </w:r>
            <w:r w:rsidR="0002259C">
              <w:t xml:space="preserve"> Latvijas gaisa satiksmi</w:t>
            </w:r>
            <w:r>
              <w:t xml:space="preserve">. Šajās sanāksmēs tika izdiskutēts par </w:t>
            </w:r>
            <w:r w:rsidR="00173E31" w:rsidRPr="00173E31">
              <w:t>Eiropas Savienības tiesību akt</w:t>
            </w:r>
            <w:r w:rsidR="00173E31">
              <w:t>u</w:t>
            </w:r>
            <w:r w:rsidR="00173E31" w:rsidRPr="00173E31">
              <w:t xml:space="preserve"> (regul</w:t>
            </w:r>
            <w:r w:rsidR="00173E31">
              <w:t>u</w:t>
            </w:r>
            <w:r w:rsidR="00173E31" w:rsidRPr="00173E31">
              <w:t>), kuri attiecas uz gaisa telpas pārvaldību un gaisa telpas struktūras izveidi</w:t>
            </w:r>
            <w:r w:rsidR="00173E31">
              <w:t>,</w:t>
            </w:r>
            <w:r>
              <w:t xml:space="preserve"> prasību piemērošanas jautājumiem.</w:t>
            </w:r>
          </w:p>
        </w:tc>
      </w:tr>
      <w:tr w:rsidR="004D0101" w:rsidTr="00AB002D">
        <w:tblPrEx>
          <w:jc w:val="center"/>
        </w:tblPrEx>
        <w:trPr>
          <w:trHeight w:val="42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tcPr>
          <w:p w:rsidR="004D0101" w:rsidRDefault="004D0101">
            <w:r>
              <w:t>2.</w:t>
            </w:r>
          </w:p>
        </w:tc>
        <w:tc>
          <w:tcPr>
            <w:tcW w:w="2098" w:type="pct"/>
            <w:gridSpan w:val="6"/>
            <w:tcBorders>
              <w:top w:val="outset" w:sz="6" w:space="0" w:color="auto"/>
              <w:left w:val="outset" w:sz="6" w:space="0" w:color="auto"/>
              <w:bottom w:val="outset" w:sz="6" w:space="0" w:color="auto"/>
              <w:right w:val="outset" w:sz="6" w:space="0" w:color="auto"/>
            </w:tcBorders>
          </w:tcPr>
          <w:p w:rsidR="004D0101" w:rsidRDefault="004D0101">
            <w:r w:rsidRPr="004D0101">
              <w:t>Sabiedrības līdzdalība projekta izstrādē</w:t>
            </w:r>
          </w:p>
        </w:tc>
        <w:tc>
          <w:tcPr>
            <w:tcW w:w="2385" w:type="pct"/>
            <w:gridSpan w:val="4"/>
            <w:tcBorders>
              <w:top w:val="outset" w:sz="6" w:space="0" w:color="auto"/>
              <w:left w:val="outset" w:sz="6" w:space="0" w:color="auto"/>
              <w:bottom w:val="outset" w:sz="6" w:space="0" w:color="auto"/>
              <w:right w:val="outset" w:sz="6" w:space="0" w:color="auto"/>
            </w:tcBorders>
          </w:tcPr>
          <w:p w:rsidR="004D0101" w:rsidRDefault="004D0101" w:rsidP="00F1061A">
            <w:pPr>
              <w:jc w:val="both"/>
            </w:pPr>
            <w:r w:rsidRPr="004D0101">
              <w:t xml:space="preserve">Projekts ir publicēts Civilās aviācijas aģentūras </w:t>
            </w:r>
            <w:proofErr w:type="spellStart"/>
            <w:r w:rsidRPr="004D0101">
              <w:t>mājaslapā</w:t>
            </w:r>
            <w:proofErr w:type="spellEnd"/>
            <w:r w:rsidRPr="004D0101">
              <w:t xml:space="preserve"> internetā (</w:t>
            </w:r>
            <w:proofErr w:type="spellStart"/>
            <w:r w:rsidRPr="004D0101">
              <w:t>www.caa.lv</w:t>
            </w:r>
            <w:proofErr w:type="spellEnd"/>
            <w:r w:rsidRPr="004D0101">
              <w:t>).</w:t>
            </w:r>
          </w:p>
        </w:tc>
      </w:tr>
      <w:tr w:rsidR="004D0101" w:rsidTr="00AB002D">
        <w:tblPrEx>
          <w:jc w:val="center"/>
        </w:tblPrEx>
        <w:trPr>
          <w:trHeight w:val="42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tcPr>
          <w:p w:rsidR="004D0101" w:rsidRDefault="004D0101">
            <w:r>
              <w:t>3.</w:t>
            </w:r>
          </w:p>
        </w:tc>
        <w:tc>
          <w:tcPr>
            <w:tcW w:w="2098" w:type="pct"/>
            <w:gridSpan w:val="6"/>
            <w:tcBorders>
              <w:top w:val="outset" w:sz="6" w:space="0" w:color="auto"/>
              <w:left w:val="outset" w:sz="6" w:space="0" w:color="auto"/>
              <w:bottom w:val="outset" w:sz="6" w:space="0" w:color="auto"/>
              <w:right w:val="outset" w:sz="6" w:space="0" w:color="auto"/>
            </w:tcBorders>
          </w:tcPr>
          <w:p w:rsidR="004D0101" w:rsidRDefault="004D0101">
            <w:r w:rsidRPr="004D0101">
              <w:t>Sabiedrības līdzdalības rezultāti</w:t>
            </w:r>
          </w:p>
        </w:tc>
        <w:tc>
          <w:tcPr>
            <w:tcW w:w="2385" w:type="pct"/>
            <w:gridSpan w:val="4"/>
            <w:tcBorders>
              <w:top w:val="outset" w:sz="6" w:space="0" w:color="auto"/>
              <w:left w:val="outset" w:sz="6" w:space="0" w:color="auto"/>
              <w:bottom w:val="outset" w:sz="6" w:space="0" w:color="auto"/>
              <w:right w:val="outset" w:sz="6" w:space="0" w:color="auto"/>
            </w:tcBorders>
          </w:tcPr>
          <w:p w:rsidR="004D0101" w:rsidRDefault="004D0101" w:rsidP="00F1061A">
            <w:pPr>
              <w:jc w:val="both"/>
            </w:pPr>
            <w:r w:rsidRPr="004D0101">
              <w:t>Sabiedrības pārstāvji par projektu nav snieguši viedokli.</w:t>
            </w:r>
          </w:p>
        </w:tc>
      </w:tr>
      <w:tr w:rsidR="004D0101" w:rsidTr="00AB002D">
        <w:tblPrEx>
          <w:jc w:val="center"/>
        </w:tblPrEx>
        <w:trPr>
          <w:trHeight w:val="42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tcPr>
          <w:p w:rsidR="004D0101" w:rsidRDefault="004D0101">
            <w:r>
              <w:t>4.</w:t>
            </w:r>
          </w:p>
        </w:tc>
        <w:tc>
          <w:tcPr>
            <w:tcW w:w="2098" w:type="pct"/>
            <w:gridSpan w:val="6"/>
            <w:tcBorders>
              <w:top w:val="outset" w:sz="6" w:space="0" w:color="auto"/>
              <w:left w:val="outset" w:sz="6" w:space="0" w:color="auto"/>
              <w:bottom w:val="outset" w:sz="6" w:space="0" w:color="auto"/>
              <w:right w:val="outset" w:sz="6" w:space="0" w:color="auto"/>
            </w:tcBorders>
          </w:tcPr>
          <w:p w:rsidR="004D0101" w:rsidRDefault="004D0101">
            <w:r w:rsidRPr="004D0101">
              <w:t>Cita informācija</w:t>
            </w:r>
          </w:p>
        </w:tc>
        <w:tc>
          <w:tcPr>
            <w:tcW w:w="2385" w:type="pct"/>
            <w:gridSpan w:val="4"/>
            <w:tcBorders>
              <w:top w:val="outset" w:sz="6" w:space="0" w:color="auto"/>
              <w:left w:val="outset" w:sz="6" w:space="0" w:color="auto"/>
              <w:bottom w:val="outset" w:sz="6" w:space="0" w:color="auto"/>
              <w:right w:val="outset" w:sz="6" w:space="0" w:color="auto"/>
            </w:tcBorders>
          </w:tcPr>
          <w:p w:rsidR="004D0101" w:rsidRDefault="004D0101" w:rsidP="00F1061A">
            <w:pPr>
              <w:jc w:val="both"/>
            </w:pPr>
            <w:r>
              <w:t>Nav.</w:t>
            </w:r>
          </w:p>
        </w:tc>
      </w:tr>
      <w:tr w:rsidR="004D0101" w:rsidTr="004D0101">
        <w:tblPrEx>
          <w:jc w:val="center"/>
        </w:tblPrEx>
        <w:trPr>
          <w:trHeight w:val="420"/>
          <w:tblCellSpacing w:w="15" w:type="dxa"/>
          <w:jc w:val="center"/>
        </w:trPr>
        <w:tc>
          <w:tcPr>
            <w:tcW w:w="4967" w:type="pct"/>
            <w:gridSpan w:val="12"/>
            <w:tcBorders>
              <w:top w:val="outset" w:sz="6" w:space="0" w:color="auto"/>
              <w:left w:val="outset" w:sz="6" w:space="0" w:color="auto"/>
              <w:bottom w:val="outset" w:sz="6" w:space="0" w:color="auto"/>
              <w:right w:val="outset" w:sz="6" w:space="0" w:color="auto"/>
            </w:tcBorders>
          </w:tcPr>
          <w:p w:rsidR="004D0101" w:rsidRPr="00182BB4" w:rsidRDefault="004D0101" w:rsidP="00182BB4">
            <w:pPr>
              <w:jc w:val="center"/>
              <w:rPr>
                <w:b/>
              </w:rPr>
            </w:pPr>
            <w:r w:rsidRPr="00182BB4">
              <w:rPr>
                <w:b/>
              </w:rPr>
              <w:t>VII. Tiesību akta projekta izpildes nodrošināšana un tās ietekme uz institūcijām</w:t>
            </w:r>
          </w:p>
        </w:tc>
      </w:tr>
      <w:tr w:rsidR="0013353A" w:rsidTr="00AB002D">
        <w:tblPrEx>
          <w:jc w:val="center"/>
        </w:tblPrEx>
        <w:trPr>
          <w:trHeight w:val="42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hideMark/>
          </w:tcPr>
          <w:p w:rsidR="0013353A" w:rsidRDefault="0013353A">
            <w:r>
              <w:t>1.</w:t>
            </w:r>
          </w:p>
        </w:tc>
        <w:tc>
          <w:tcPr>
            <w:tcW w:w="2098" w:type="pct"/>
            <w:gridSpan w:val="6"/>
            <w:tcBorders>
              <w:top w:val="outset" w:sz="6" w:space="0" w:color="auto"/>
              <w:left w:val="outset" w:sz="6" w:space="0" w:color="auto"/>
              <w:bottom w:val="outset" w:sz="6" w:space="0" w:color="auto"/>
              <w:right w:val="outset" w:sz="6" w:space="0" w:color="auto"/>
            </w:tcBorders>
            <w:hideMark/>
          </w:tcPr>
          <w:p w:rsidR="0013353A" w:rsidRDefault="0013353A">
            <w:r>
              <w:t>Projekta izpildē iesaistītās institūcijas</w:t>
            </w:r>
          </w:p>
        </w:tc>
        <w:tc>
          <w:tcPr>
            <w:tcW w:w="2385" w:type="pct"/>
            <w:gridSpan w:val="4"/>
            <w:tcBorders>
              <w:top w:val="outset" w:sz="6" w:space="0" w:color="auto"/>
              <w:left w:val="outset" w:sz="6" w:space="0" w:color="auto"/>
              <w:bottom w:val="outset" w:sz="6" w:space="0" w:color="auto"/>
              <w:right w:val="outset" w:sz="6" w:space="0" w:color="auto"/>
            </w:tcBorders>
          </w:tcPr>
          <w:p w:rsidR="0013353A" w:rsidRDefault="00F1061A" w:rsidP="00F1061A">
            <w:pPr>
              <w:jc w:val="both"/>
            </w:pPr>
            <w:r>
              <w:t>Normatīvā akta izpildē ir iesaistīta Satiksmes ministrija, Civilās aviācijas aģentūra, Latvijas gaisa satiksmes, Aizsardzības ministrija un Nacionālie bruņotie spēki.</w:t>
            </w:r>
          </w:p>
        </w:tc>
      </w:tr>
      <w:tr w:rsidR="0013353A" w:rsidTr="00AB002D">
        <w:tblPrEx>
          <w:jc w:val="center"/>
        </w:tblPrEx>
        <w:trPr>
          <w:trHeight w:val="45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hideMark/>
          </w:tcPr>
          <w:p w:rsidR="0013353A" w:rsidRDefault="0013353A">
            <w:r>
              <w:lastRenderedPageBreak/>
              <w:t>2.</w:t>
            </w:r>
          </w:p>
        </w:tc>
        <w:tc>
          <w:tcPr>
            <w:tcW w:w="2098" w:type="pct"/>
            <w:gridSpan w:val="6"/>
            <w:tcBorders>
              <w:top w:val="outset" w:sz="6" w:space="0" w:color="auto"/>
              <w:left w:val="outset" w:sz="6" w:space="0" w:color="auto"/>
              <w:bottom w:val="outset" w:sz="6" w:space="0" w:color="auto"/>
              <w:right w:val="outset" w:sz="6" w:space="0" w:color="auto"/>
            </w:tcBorders>
            <w:hideMark/>
          </w:tcPr>
          <w:p w:rsidR="0013353A" w:rsidRDefault="0013353A">
            <w:r>
              <w:t xml:space="preserve">Projekta izpildes ietekme uz pārvaldes funkcijām un institucionālo struktūru. </w:t>
            </w:r>
          </w:p>
          <w:p w:rsidR="0013353A" w:rsidRDefault="0013353A">
            <w:pPr>
              <w:pStyle w:val="tvhtml"/>
            </w:pPr>
            <w:r>
              <w:t>Jaunu institūciju izveide, esošu institūciju likvidācija vai reorganizācija, to ietekme uz institūcijas cilvēkresursiem</w:t>
            </w:r>
          </w:p>
        </w:tc>
        <w:tc>
          <w:tcPr>
            <w:tcW w:w="2385" w:type="pct"/>
            <w:gridSpan w:val="4"/>
            <w:tcBorders>
              <w:top w:val="outset" w:sz="6" w:space="0" w:color="auto"/>
              <w:left w:val="outset" w:sz="6" w:space="0" w:color="auto"/>
              <w:bottom w:val="outset" w:sz="6" w:space="0" w:color="auto"/>
              <w:right w:val="outset" w:sz="6" w:space="0" w:color="auto"/>
            </w:tcBorders>
          </w:tcPr>
          <w:p w:rsidR="0013353A" w:rsidRDefault="00F1061A" w:rsidP="00D10D76">
            <w:pPr>
              <w:jc w:val="both"/>
            </w:pPr>
            <w:r>
              <w:t>Katra minētā institūcija turpinās pildīt funkcijas, kas tai ir deleģētas ar likumu „Par aviāciju” un citiem ar aviāciju saistītajiem tiesību aktiem</w:t>
            </w:r>
            <w:r w:rsidR="00D10D76">
              <w:t>. Ar šo normatīvo aktu tiek izveidots minēto institūciju sadarbības mehānisms.</w:t>
            </w:r>
          </w:p>
          <w:p w:rsidR="00E90FF8" w:rsidRDefault="00E90FF8" w:rsidP="00E90FF8">
            <w:pPr>
              <w:jc w:val="both"/>
            </w:pPr>
            <w:r>
              <w:t xml:space="preserve">Izpilde tiks nodrošināta </w:t>
            </w:r>
            <w:r w:rsidRPr="00E90FF8">
              <w:t>Satiksmes ministrija</w:t>
            </w:r>
            <w:r>
              <w:t>s</w:t>
            </w:r>
            <w:r w:rsidRPr="00E90FF8">
              <w:t>,</w:t>
            </w:r>
            <w:r>
              <w:t xml:space="preserve"> Civilās aviācijas aģentūras, </w:t>
            </w:r>
            <w:r w:rsidRPr="00E90FF8">
              <w:t>Latvijas gaisa satiksmes, Aizsardzības ministrija</w:t>
            </w:r>
            <w:r>
              <w:t>s</w:t>
            </w:r>
            <w:r w:rsidRPr="00E90FF8">
              <w:t xml:space="preserve"> un Nacionāl</w:t>
            </w:r>
            <w:r>
              <w:t>o</w:t>
            </w:r>
            <w:r w:rsidRPr="00E90FF8">
              <w:t xml:space="preserve"> bruņot</w:t>
            </w:r>
            <w:r>
              <w:t>o</w:t>
            </w:r>
            <w:r w:rsidRPr="00E90FF8">
              <w:t xml:space="preserve"> spēk</w:t>
            </w:r>
            <w:r>
              <w:t>u</w:t>
            </w:r>
            <w:r w:rsidRPr="00E90FF8">
              <w:t xml:space="preserve"> </w:t>
            </w:r>
            <w:r>
              <w:t xml:space="preserve">līdzšinējo funkciju un cilvēkresursu ietvaros. </w:t>
            </w:r>
          </w:p>
          <w:p w:rsidR="00E90FF8" w:rsidRDefault="00E90FF8" w:rsidP="00601B1D">
            <w:pPr>
              <w:jc w:val="both"/>
            </w:pPr>
            <w:r>
              <w:t>Noteikumu projekta izpildē nav nepieciešams veidot jaunas institūcijas, likvidēt vai reorganizēt esošās.</w:t>
            </w:r>
          </w:p>
        </w:tc>
      </w:tr>
      <w:tr w:rsidR="0013353A" w:rsidTr="00AB002D">
        <w:tblPrEx>
          <w:jc w:val="center"/>
        </w:tblPrEx>
        <w:trPr>
          <w:trHeight w:val="390"/>
          <w:tblCellSpacing w:w="15" w:type="dxa"/>
          <w:jc w:val="center"/>
        </w:trPr>
        <w:tc>
          <w:tcPr>
            <w:tcW w:w="452" w:type="pct"/>
            <w:gridSpan w:val="2"/>
            <w:tcBorders>
              <w:top w:val="outset" w:sz="6" w:space="0" w:color="auto"/>
              <w:left w:val="outset" w:sz="6" w:space="0" w:color="auto"/>
              <w:bottom w:val="outset" w:sz="6" w:space="0" w:color="auto"/>
              <w:right w:val="outset" w:sz="6" w:space="0" w:color="auto"/>
            </w:tcBorders>
            <w:hideMark/>
          </w:tcPr>
          <w:p w:rsidR="0013353A" w:rsidRDefault="0013353A">
            <w:r>
              <w:t>3.</w:t>
            </w:r>
          </w:p>
        </w:tc>
        <w:tc>
          <w:tcPr>
            <w:tcW w:w="2098" w:type="pct"/>
            <w:gridSpan w:val="6"/>
            <w:tcBorders>
              <w:top w:val="outset" w:sz="6" w:space="0" w:color="auto"/>
              <w:left w:val="outset" w:sz="6" w:space="0" w:color="auto"/>
              <w:bottom w:val="outset" w:sz="6" w:space="0" w:color="auto"/>
              <w:right w:val="outset" w:sz="6" w:space="0" w:color="auto"/>
            </w:tcBorders>
            <w:hideMark/>
          </w:tcPr>
          <w:p w:rsidR="0013353A" w:rsidRDefault="0013353A">
            <w:r>
              <w:t>Cita informācija</w:t>
            </w:r>
          </w:p>
        </w:tc>
        <w:tc>
          <w:tcPr>
            <w:tcW w:w="2385" w:type="pct"/>
            <w:gridSpan w:val="4"/>
            <w:tcBorders>
              <w:top w:val="outset" w:sz="6" w:space="0" w:color="auto"/>
              <w:left w:val="outset" w:sz="6" w:space="0" w:color="auto"/>
              <w:bottom w:val="outset" w:sz="6" w:space="0" w:color="auto"/>
              <w:right w:val="outset" w:sz="6" w:space="0" w:color="auto"/>
            </w:tcBorders>
          </w:tcPr>
          <w:p w:rsidR="0013353A" w:rsidRDefault="00E90FF8">
            <w:pPr>
              <w:pStyle w:val="tvhtml"/>
            </w:pPr>
            <w:r>
              <w:t>Nav</w:t>
            </w:r>
          </w:p>
        </w:tc>
      </w:tr>
    </w:tbl>
    <w:p w:rsidR="00113313" w:rsidRDefault="00113313" w:rsidP="007D68BD"/>
    <w:p w:rsidR="007D68BD" w:rsidRDefault="00B37EA6" w:rsidP="007D68BD">
      <w:r>
        <w:t>Anotācijas III</w:t>
      </w:r>
      <w:r w:rsidR="00174653">
        <w:t xml:space="preserve"> </w:t>
      </w:r>
      <w:r w:rsidR="005521F3">
        <w:t>sadaļa – projekts šo jomu</w:t>
      </w:r>
      <w:r w:rsidR="007D68BD">
        <w:t xml:space="preserve"> neskar. </w:t>
      </w:r>
    </w:p>
    <w:p w:rsidR="007D68BD" w:rsidRDefault="007D68BD" w:rsidP="007D68BD"/>
    <w:p w:rsidR="005521F3" w:rsidRDefault="005521F3" w:rsidP="00C67349">
      <w:pPr>
        <w:ind w:left="6480" w:hanging="6480"/>
      </w:pPr>
      <w:r>
        <w:t>Satiksmes ministra p. i.</w:t>
      </w:r>
    </w:p>
    <w:p w:rsidR="00C67349" w:rsidRDefault="00C67349" w:rsidP="00C67349">
      <w:pPr>
        <w:ind w:left="6480" w:hanging="6480"/>
      </w:pPr>
      <w:r>
        <w:t xml:space="preserve">iekšlietu ministrs                                                              </w:t>
      </w:r>
      <w:r w:rsidR="005521F3">
        <w:t xml:space="preserve">                  </w:t>
      </w:r>
      <w:r>
        <w:t xml:space="preserve">R. </w:t>
      </w:r>
      <w:proofErr w:type="spellStart"/>
      <w:r>
        <w:t>Kozlovskis</w:t>
      </w:r>
      <w:proofErr w:type="spellEnd"/>
      <w:r>
        <w:t xml:space="preserve"> </w:t>
      </w:r>
    </w:p>
    <w:p w:rsidR="00C67349" w:rsidRDefault="00C67349" w:rsidP="007D68BD"/>
    <w:p w:rsidR="00113313" w:rsidRDefault="00113313" w:rsidP="007D68BD"/>
    <w:p w:rsidR="00AB002D" w:rsidRDefault="00EB57D4" w:rsidP="005A59E7">
      <w:r>
        <w:t>Vīza: v</w:t>
      </w:r>
      <w:r w:rsidR="007D68BD">
        <w:t>als</w:t>
      </w:r>
      <w:r w:rsidR="005A59E7">
        <w:t>ts sekretārs</w:t>
      </w:r>
      <w:r w:rsidR="005A59E7">
        <w:tab/>
      </w:r>
      <w:r w:rsidR="005A59E7">
        <w:tab/>
      </w:r>
      <w:r w:rsidR="005A59E7">
        <w:tab/>
      </w:r>
      <w:r w:rsidR="005A59E7">
        <w:tab/>
      </w:r>
      <w:r w:rsidR="005A59E7">
        <w:tab/>
      </w:r>
      <w:r w:rsidR="005A59E7">
        <w:tab/>
      </w:r>
      <w:r w:rsidR="005A59E7">
        <w:tab/>
        <w:t>K. Ozoliņš</w:t>
      </w:r>
    </w:p>
    <w:p w:rsidR="001C3C90" w:rsidRDefault="001C3C90" w:rsidP="005A59E7"/>
    <w:p w:rsidR="001C3C90" w:rsidRDefault="001C3C90" w:rsidP="005A59E7"/>
    <w:p w:rsidR="007D68BD" w:rsidRDefault="007D68BD" w:rsidP="005A59E7">
      <w:r>
        <w:tab/>
      </w:r>
      <w:r>
        <w:tab/>
      </w:r>
    </w:p>
    <w:p w:rsidR="007D68BD" w:rsidRPr="00AB002D" w:rsidRDefault="005A4AAA" w:rsidP="00A32CF9">
      <w:pPr>
        <w:spacing w:before="120"/>
        <w:rPr>
          <w:sz w:val="20"/>
          <w:szCs w:val="20"/>
        </w:rPr>
      </w:pPr>
      <w:r>
        <w:rPr>
          <w:sz w:val="20"/>
          <w:szCs w:val="20"/>
        </w:rPr>
        <w:t>02.12</w:t>
      </w:r>
      <w:r w:rsidR="007D68BD" w:rsidRPr="00AB002D">
        <w:rPr>
          <w:sz w:val="20"/>
          <w:szCs w:val="20"/>
        </w:rPr>
        <w:t>.201</w:t>
      </w:r>
      <w:r w:rsidR="00202241" w:rsidRPr="00AB002D">
        <w:rPr>
          <w:sz w:val="20"/>
          <w:szCs w:val="20"/>
        </w:rPr>
        <w:t>5</w:t>
      </w:r>
      <w:r w:rsidR="007D68BD" w:rsidRPr="00AB002D">
        <w:rPr>
          <w:sz w:val="20"/>
          <w:szCs w:val="20"/>
        </w:rPr>
        <w:t xml:space="preserve">. </w:t>
      </w:r>
      <w:r w:rsidR="00174653" w:rsidRPr="00AB002D">
        <w:rPr>
          <w:sz w:val="20"/>
          <w:szCs w:val="20"/>
        </w:rPr>
        <w:t>1</w:t>
      </w:r>
      <w:r w:rsidR="00052340" w:rsidRPr="00AB002D">
        <w:rPr>
          <w:sz w:val="20"/>
          <w:szCs w:val="20"/>
        </w:rPr>
        <w:t>1</w:t>
      </w:r>
      <w:r w:rsidR="007D68BD" w:rsidRPr="00AB002D">
        <w:rPr>
          <w:sz w:val="20"/>
          <w:szCs w:val="20"/>
        </w:rPr>
        <w:t>:40</w:t>
      </w:r>
    </w:p>
    <w:p w:rsidR="007D68BD" w:rsidRPr="00AB002D" w:rsidRDefault="008F2B16" w:rsidP="007D68BD">
      <w:pPr>
        <w:rPr>
          <w:sz w:val="20"/>
          <w:szCs w:val="20"/>
        </w:rPr>
      </w:pPr>
      <w:r>
        <w:rPr>
          <w:sz w:val="20"/>
          <w:szCs w:val="20"/>
        </w:rPr>
        <w:t>4641</w:t>
      </w:r>
      <w:bookmarkStart w:id="0" w:name="_GoBack"/>
      <w:bookmarkEnd w:id="0"/>
    </w:p>
    <w:p w:rsidR="00202241" w:rsidRPr="00AB002D" w:rsidRDefault="002703E8" w:rsidP="00022139">
      <w:pPr>
        <w:rPr>
          <w:sz w:val="20"/>
          <w:szCs w:val="20"/>
        </w:rPr>
      </w:pPr>
      <w:proofErr w:type="spellStart"/>
      <w:r>
        <w:rPr>
          <w:sz w:val="20"/>
          <w:szCs w:val="20"/>
        </w:rPr>
        <w:t>I.Prancāne</w:t>
      </w:r>
      <w:proofErr w:type="spellEnd"/>
      <w:r>
        <w:rPr>
          <w:sz w:val="20"/>
          <w:szCs w:val="20"/>
        </w:rPr>
        <w:t>, 67830</w:t>
      </w:r>
      <w:r w:rsidR="00202241" w:rsidRPr="00AB002D">
        <w:rPr>
          <w:sz w:val="20"/>
          <w:szCs w:val="20"/>
        </w:rPr>
        <w:t>951</w:t>
      </w:r>
    </w:p>
    <w:p w:rsidR="00202241" w:rsidRPr="00AB002D" w:rsidRDefault="00202241" w:rsidP="00022139">
      <w:pPr>
        <w:rPr>
          <w:sz w:val="20"/>
          <w:szCs w:val="20"/>
        </w:rPr>
      </w:pPr>
      <w:r w:rsidRPr="00AB002D">
        <w:rPr>
          <w:sz w:val="20"/>
          <w:szCs w:val="20"/>
        </w:rPr>
        <w:t>Inga.Prancane@latcaa.gov.lv</w:t>
      </w:r>
    </w:p>
    <w:sectPr w:rsidR="00202241" w:rsidRPr="00AB002D" w:rsidSect="00593E5B">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ED" w:rsidRDefault="00C41EED">
      <w:r>
        <w:separator/>
      </w:r>
    </w:p>
  </w:endnote>
  <w:endnote w:type="continuationSeparator" w:id="0">
    <w:p w:rsidR="00C41EED" w:rsidRDefault="00C4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7D68BD" w:rsidRDefault="00174653" w:rsidP="007D68BD">
    <w:pPr>
      <w:pStyle w:val="Footer"/>
      <w:jc w:val="both"/>
      <w:rPr>
        <w:sz w:val="20"/>
        <w:szCs w:val="20"/>
      </w:rPr>
    </w:pPr>
    <w:r w:rsidRPr="00174653">
      <w:rPr>
        <w:sz w:val="20"/>
        <w:szCs w:val="20"/>
      </w:rPr>
      <w:t>S</w:t>
    </w:r>
    <w:r w:rsidR="00A75489">
      <w:rPr>
        <w:sz w:val="20"/>
        <w:szCs w:val="20"/>
      </w:rPr>
      <w:t>AManot_0212</w:t>
    </w:r>
    <w:r w:rsidR="008C38E0">
      <w:rPr>
        <w:sz w:val="20"/>
        <w:szCs w:val="20"/>
      </w:rPr>
      <w:t>15</w:t>
    </w:r>
    <w:r w:rsidRPr="00174653">
      <w:rPr>
        <w:sz w:val="20"/>
        <w:szCs w:val="20"/>
      </w:rPr>
      <w:t>_gaisa</w:t>
    </w:r>
    <w:r w:rsidR="008C38E0">
      <w:rPr>
        <w:sz w:val="20"/>
        <w:szCs w:val="20"/>
      </w:rPr>
      <w:t xml:space="preserve"> </w:t>
    </w:r>
    <w:r w:rsidRPr="00174653">
      <w:rPr>
        <w:sz w:val="20"/>
        <w:szCs w:val="20"/>
      </w:rPr>
      <w:t>telpa; Ministru kabinet</w:t>
    </w:r>
    <w:r w:rsidR="000449B7">
      <w:rPr>
        <w:sz w:val="20"/>
        <w:szCs w:val="20"/>
      </w:rPr>
      <w:t>a noteikumu projekta „</w:t>
    </w:r>
    <w:r w:rsidR="000449B7" w:rsidRPr="000449B7">
      <w:rPr>
        <w:sz w:val="20"/>
        <w:szCs w:val="20"/>
      </w:rPr>
      <w:t>Gaisa telpas pārvaldības kārtība, tās struktūra un mainīšanas kārtība</w:t>
    </w:r>
    <w:r w:rsidRPr="00174653">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7D68BD" w:rsidRDefault="00113313" w:rsidP="00C74BF0">
    <w:pPr>
      <w:pStyle w:val="Footer"/>
      <w:jc w:val="both"/>
      <w:rPr>
        <w:sz w:val="20"/>
        <w:szCs w:val="20"/>
      </w:rPr>
    </w:pPr>
    <w:r w:rsidRPr="00113313">
      <w:rPr>
        <w:sz w:val="20"/>
        <w:szCs w:val="20"/>
      </w:rPr>
      <w:t>SAManot_</w:t>
    </w:r>
    <w:r w:rsidR="00A75489">
      <w:rPr>
        <w:sz w:val="20"/>
        <w:szCs w:val="20"/>
      </w:rPr>
      <w:t>0212</w:t>
    </w:r>
    <w:r w:rsidR="00E63080">
      <w:rPr>
        <w:sz w:val="20"/>
        <w:szCs w:val="20"/>
      </w:rPr>
      <w:t>15</w:t>
    </w:r>
    <w:r w:rsidRPr="00113313">
      <w:rPr>
        <w:sz w:val="20"/>
        <w:szCs w:val="20"/>
      </w:rPr>
      <w:t>_g</w:t>
    </w:r>
    <w:r w:rsidR="00174653">
      <w:rPr>
        <w:sz w:val="20"/>
        <w:szCs w:val="20"/>
      </w:rPr>
      <w:t>aisa</w:t>
    </w:r>
    <w:r w:rsidR="00E63080">
      <w:rPr>
        <w:sz w:val="20"/>
        <w:szCs w:val="20"/>
      </w:rPr>
      <w:t xml:space="preserve"> </w:t>
    </w:r>
    <w:r w:rsidR="00174653">
      <w:rPr>
        <w:sz w:val="20"/>
        <w:szCs w:val="20"/>
      </w:rPr>
      <w:t>telpa</w:t>
    </w:r>
    <w:r w:rsidRPr="00113313">
      <w:rPr>
        <w:sz w:val="20"/>
        <w:szCs w:val="20"/>
      </w:rPr>
      <w:t>; Ministru kabineta noteikumu projekta „</w:t>
    </w:r>
    <w:r w:rsidR="000449B7" w:rsidRPr="000449B7">
      <w:rPr>
        <w:sz w:val="20"/>
        <w:szCs w:val="20"/>
      </w:rPr>
      <w:t>Gaisa telpas pārvaldības kārtība, tās struktūra un mainīšanas kārtība</w:t>
    </w:r>
    <w:r w:rsidRPr="00113313">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ED" w:rsidRDefault="00C41EED">
      <w:r>
        <w:separator/>
      </w:r>
    </w:p>
  </w:footnote>
  <w:footnote w:type="continuationSeparator" w:id="0">
    <w:p w:rsidR="00C41EED" w:rsidRDefault="00C41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B16">
      <w:rPr>
        <w:rStyle w:val="PageNumber"/>
        <w:noProof/>
      </w:rPr>
      <w:t>16</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857"/>
    <w:rsid w:val="0001015D"/>
    <w:rsid w:val="00011D24"/>
    <w:rsid w:val="00013FF4"/>
    <w:rsid w:val="00020FE1"/>
    <w:rsid w:val="00022139"/>
    <w:rsid w:val="0002259C"/>
    <w:rsid w:val="00022E13"/>
    <w:rsid w:val="00025C69"/>
    <w:rsid w:val="00026E1B"/>
    <w:rsid w:val="0003026A"/>
    <w:rsid w:val="00030C74"/>
    <w:rsid w:val="00032388"/>
    <w:rsid w:val="000336DB"/>
    <w:rsid w:val="00035CE2"/>
    <w:rsid w:val="000407C3"/>
    <w:rsid w:val="000449B7"/>
    <w:rsid w:val="000450DF"/>
    <w:rsid w:val="00052340"/>
    <w:rsid w:val="0005553B"/>
    <w:rsid w:val="000604D2"/>
    <w:rsid w:val="0006138E"/>
    <w:rsid w:val="000644B0"/>
    <w:rsid w:val="00064A83"/>
    <w:rsid w:val="00071976"/>
    <w:rsid w:val="000741B5"/>
    <w:rsid w:val="00074863"/>
    <w:rsid w:val="00074D7C"/>
    <w:rsid w:val="00077A08"/>
    <w:rsid w:val="00080764"/>
    <w:rsid w:val="0009005E"/>
    <w:rsid w:val="000941C5"/>
    <w:rsid w:val="000A6451"/>
    <w:rsid w:val="000A74D6"/>
    <w:rsid w:val="000B064E"/>
    <w:rsid w:val="000B0E1D"/>
    <w:rsid w:val="000B2A78"/>
    <w:rsid w:val="000B34DA"/>
    <w:rsid w:val="000B3517"/>
    <w:rsid w:val="000B69CF"/>
    <w:rsid w:val="000C146A"/>
    <w:rsid w:val="000C395A"/>
    <w:rsid w:val="000C790C"/>
    <w:rsid w:val="000D0487"/>
    <w:rsid w:val="000D2BC8"/>
    <w:rsid w:val="000D3327"/>
    <w:rsid w:val="000D3721"/>
    <w:rsid w:val="000D5894"/>
    <w:rsid w:val="000E3842"/>
    <w:rsid w:val="000E40E5"/>
    <w:rsid w:val="000E414B"/>
    <w:rsid w:val="000F061D"/>
    <w:rsid w:val="000F0670"/>
    <w:rsid w:val="000F3E87"/>
    <w:rsid w:val="000F4794"/>
    <w:rsid w:val="000F6B39"/>
    <w:rsid w:val="000F7520"/>
    <w:rsid w:val="00102C17"/>
    <w:rsid w:val="001062CC"/>
    <w:rsid w:val="00106D77"/>
    <w:rsid w:val="00106EBF"/>
    <w:rsid w:val="00111140"/>
    <w:rsid w:val="00113313"/>
    <w:rsid w:val="00123045"/>
    <w:rsid w:val="00124F12"/>
    <w:rsid w:val="00127A62"/>
    <w:rsid w:val="0013353A"/>
    <w:rsid w:val="001342CF"/>
    <w:rsid w:val="001364ED"/>
    <w:rsid w:val="00137EBD"/>
    <w:rsid w:val="00141E71"/>
    <w:rsid w:val="00144E3A"/>
    <w:rsid w:val="00145EEF"/>
    <w:rsid w:val="0015060C"/>
    <w:rsid w:val="001545B6"/>
    <w:rsid w:val="0016018A"/>
    <w:rsid w:val="00161F0E"/>
    <w:rsid w:val="00167589"/>
    <w:rsid w:val="00170E2A"/>
    <w:rsid w:val="0017317F"/>
    <w:rsid w:val="00173E31"/>
    <w:rsid w:val="00174653"/>
    <w:rsid w:val="00177394"/>
    <w:rsid w:val="001812C2"/>
    <w:rsid w:val="00182BB4"/>
    <w:rsid w:val="00182C18"/>
    <w:rsid w:val="00183CC2"/>
    <w:rsid w:val="0018511F"/>
    <w:rsid w:val="001863D0"/>
    <w:rsid w:val="001900E4"/>
    <w:rsid w:val="00190469"/>
    <w:rsid w:val="00190542"/>
    <w:rsid w:val="00190754"/>
    <w:rsid w:val="00190AE3"/>
    <w:rsid w:val="00190F88"/>
    <w:rsid w:val="00191A9F"/>
    <w:rsid w:val="001953D7"/>
    <w:rsid w:val="001A0275"/>
    <w:rsid w:val="001A1D14"/>
    <w:rsid w:val="001A3E63"/>
    <w:rsid w:val="001A4066"/>
    <w:rsid w:val="001A6AE4"/>
    <w:rsid w:val="001B01FD"/>
    <w:rsid w:val="001B4A71"/>
    <w:rsid w:val="001B5A5A"/>
    <w:rsid w:val="001B7151"/>
    <w:rsid w:val="001C3C90"/>
    <w:rsid w:val="001C5257"/>
    <w:rsid w:val="001D5B54"/>
    <w:rsid w:val="001D5E6F"/>
    <w:rsid w:val="001D70F7"/>
    <w:rsid w:val="001D7AB0"/>
    <w:rsid w:val="001E14C5"/>
    <w:rsid w:val="001E1DBF"/>
    <w:rsid w:val="001E4639"/>
    <w:rsid w:val="001E49BC"/>
    <w:rsid w:val="001E4A7D"/>
    <w:rsid w:val="001E4EA6"/>
    <w:rsid w:val="001E581B"/>
    <w:rsid w:val="001F0FBD"/>
    <w:rsid w:val="001F4209"/>
    <w:rsid w:val="001F43A8"/>
    <w:rsid w:val="001F5CD6"/>
    <w:rsid w:val="002001A8"/>
    <w:rsid w:val="00200F8D"/>
    <w:rsid w:val="00202241"/>
    <w:rsid w:val="0021263D"/>
    <w:rsid w:val="00212F72"/>
    <w:rsid w:val="00213F0C"/>
    <w:rsid w:val="00214094"/>
    <w:rsid w:val="00214AE6"/>
    <w:rsid w:val="0021592D"/>
    <w:rsid w:val="00215EAB"/>
    <w:rsid w:val="00215EF1"/>
    <w:rsid w:val="00217797"/>
    <w:rsid w:val="00222D76"/>
    <w:rsid w:val="00223EB1"/>
    <w:rsid w:val="00231344"/>
    <w:rsid w:val="00231CDF"/>
    <w:rsid w:val="0023436E"/>
    <w:rsid w:val="002347C0"/>
    <w:rsid w:val="00241A6C"/>
    <w:rsid w:val="00242D2B"/>
    <w:rsid w:val="00245D28"/>
    <w:rsid w:val="00246780"/>
    <w:rsid w:val="00251342"/>
    <w:rsid w:val="00256095"/>
    <w:rsid w:val="00257960"/>
    <w:rsid w:val="00262E2B"/>
    <w:rsid w:val="00264CB9"/>
    <w:rsid w:val="002703E8"/>
    <w:rsid w:val="00270429"/>
    <w:rsid w:val="002723E9"/>
    <w:rsid w:val="00277929"/>
    <w:rsid w:val="00280979"/>
    <w:rsid w:val="00283B82"/>
    <w:rsid w:val="002846E9"/>
    <w:rsid w:val="00284C34"/>
    <w:rsid w:val="002856A1"/>
    <w:rsid w:val="00286753"/>
    <w:rsid w:val="0029066C"/>
    <w:rsid w:val="002906F2"/>
    <w:rsid w:val="002A09B9"/>
    <w:rsid w:val="002A445C"/>
    <w:rsid w:val="002B1A40"/>
    <w:rsid w:val="002B3032"/>
    <w:rsid w:val="002B50DB"/>
    <w:rsid w:val="002C04F3"/>
    <w:rsid w:val="002C0DD2"/>
    <w:rsid w:val="002C12AB"/>
    <w:rsid w:val="002C3EB3"/>
    <w:rsid w:val="002C6F48"/>
    <w:rsid w:val="002C7CAC"/>
    <w:rsid w:val="002D3306"/>
    <w:rsid w:val="002D48AA"/>
    <w:rsid w:val="002D524A"/>
    <w:rsid w:val="002D7331"/>
    <w:rsid w:val="002D7BAA"/>
    <w:rsid w:val="002D7F54"/>
    <w:rsid w:val="002E00A9"/>
    <w:rsid w:val="002E16E1"/>
    <w:rsid w:val="002E2C61"/>
    <w:rsid w:val="002E3FF4"/>
    <w:rsid w:val="002E415D"/>
    <w:rsid w:val="002F3905"/>
    <w:rsid w:val="002F6647"/>
    <w:rsid w:val="002F78C8"/>
    <w:rsid w:val="00301CF3"/>
    <w:rsid w:val="003136F9"/>
    <w:rsid w:val="0032715C"/>
    <w:rsid w:val="0033609D"/>
    <w:rsid w:val="003375F9"/>
    <w:rsid w:val="00337CA5"/>
    <w:rsid w:val="003408C1"/>
    <w:rsid w:val="0034589E"/>
    <w:rsid w:val="00346164"/>
    <w:rsid w:val="00346F6A"/>
    <w:rsid w:val="0035128E"/>
    <w:rsid w:val="00351743"/>
    <w:rsid w:val="00356BDE"/>
    <w:rsid w:val="003617D2"/>
    <w:rsid w:val="00362478"/>
    <w:rsid w:val="00363A7E"/>
    <w:rsid w:val="00373DD8"/>
    <w:rsid w:val="00375B25"/>
    <w:rsid w:val="0038132C"/>
    <w:rsid w:val="00384503"/>
    <w:rsid w:val="00385384"/>
    <w:rsid w:val="00387FA3"/>
    <w:rsid w:val="00392FBE"/>
    <w:rsid w:val="00396542"/>
    <w:rsid w:val="00396780"/>
    <w:rsid w:val="0039685B"/>
    <w:rsid w:val="003A31A6"/>
    <w:rsid w:val="003A79A7"/>
    <w:rsid w:val="003A7F0C"/>
    <w:rsid w:val="003A7F79"/>
    <w:rsid w:val="003B37BB"/>
    <w:rsid w:val="003B6404"/>
    <w:rsid w:val="003B7CFE"/>
    <w:rsid w:val="003C3316"/>
    <w:rsid w:val="003C449B"/>
    <w:rsid w:val="003C4D88"/>
    <w:rsid w:val="003C589C"/>
    <w:rsid w:val="003D0074"/>
    <w:rsid w:val="003D21FF"/>
    <w:rsid w:val="003D2A6B"/>
    <w:rsid w:val="003E4DF9"/>
    <w:rsid w:val="003F0112"/>
    <w:rsid w:val="003F071A"/>
    <w:rsid w:val="003F160B"/>
    <w:rsid w:val="003F29E1"/>
    <w:rsid w:val="003F3B79"/>
    <w:rsid w:val="00400032"/>
    <w:rsid w:val="00400B5B"/>
    <w:rsid w:val="00403411"/>
    <w:rsid w:val="00405A00"/>
    <w:rsid w:val="00406CA2"/>
    <w:rsid w:val="00406D77"/>
    <w:rsid w:val="00420870"/>
    <w:rsid w:val="0042603C"/>
    <w:rsid w:val="00432D0C"/>
    <w:rsid w:val="0043634E"/>
    <w:rsid w:val="0043791B"/>
    <w:rsid w:val="004403E6"/>
    <w:rsid w:val="00441483"/>
    <w:rsid w:val="00441BCB"/>
    <w:rsid w:val="004462AE"/>
    <w:rsid w:val="0045010E"/>
    <w:rsid w:val="0045176A"/>
    <w:rsid w:val="00455EE4"/>
    <w:rsid w:val="00456332"/>
    <w:rsid w:val="00461826"/>
    <w:rsid w:val="00464AC4"/>
    <w:rsid w:val="00470608"/>
    <w:rsid w:val="0047634C"/>
    <w:rsid w:val="004800F9"/>
    <w:rsid w:val="00482F9C"/>
    <w:rsid w:val="0049129B"/>
    <w:rsid w:val="0049134A"/>
    <w:rsid w:val="00491D17"/>
    <w:rsid w:val="00494214"/>
    <w:rsid w:val="004944CB"/>
    <w:rsid w:val="00494577"/>
    <w:rsid w:val="004A58CB"/>
    <w:rsid w:val="004A7863"/>
    <w:rsid w:val="004B1795"/>
    <w:rsid w:val="004B56DD"/>
    <w:rsid w:val="004B68B8"/>
    <w:rsid w:val="004C020F"/>
    <w:rsid w:val="004C1AFD"/>
    <w:rsid w:val="004C1D56"/>
    <w:rsid w:val="004C3EE3"/>
    <w:rsid w:val="004C506F"/>
    <w:rsid w:val="004C558B"/>
    <w:rsid w:val="004C7E1A"/>
    <w:rsid w:val="004C7F6B"/>
    <w:rsid w:val="004D0101"/>
    <w:rsid w:val="004D1715"/>
    <w:rsid w:val="004D7B02"/>
    <w:rsid w:val="004E1858"/>
    <w:rsid w:val="004E6C43"/>
    <w:rsid w:val="004F0CC5"/>
    <w:rsid w:val="004F1F88"/>
    <w:rsid w:val="004F4561"/>
    <w:rsid w:val="004F5DFC"/>
    <w:rsid w:val="004F5F1B"/>
    <w:rsid w:val="0050100F"/>
    <w:rsid w:val="00501421"/>
    <w:rsid w:val="00502374"/>
    <w:rsid w:val="0050492A"/>
    <w:rsid w:val="00504A66"/>
    <w:rsid w:val="00505A0F"/>
    <w:rsid w:val="005060A1"/>
    <w:rsid w:val="00516072"/>
    <w:rsid w:val="005267DE"/>
    <w:rsid w:val="00530BB4"/>
    <w:rsid w:val="005332EC"/>
    <w:rsid w:val="00534418"/>
    <w:rsid w:val="005353AB"/>
    <w:rsid w:val="00537FC7"/>
    <w:rsid w:val="00550BCB"/>
    <w:rsid w:val="005521F3"/>
    <w:rsid w:val="005522BB"/>
    <w:rsid w:val="00555C41"/>
    <w:rsid w:val="00555CC9"/>
    <w:rsid w:val="005560BC"/>
    <w:rsid w:val="005573BE"/>
    <w:rsid w:val="00560A24"/>
    <w:rsid w:val="00564ACB"/>
    <w:rsid w:val="005679D8"/>
    <w:rsid w:val="00572700"/>
    <w:rsid w:val="00572A4A"/>
    <w:rsid w:val="005758F9"/>
    <w:rsid w:val="00580468"/>
    <w:rsid w:val="00582231"/>
    <w:rsid w:val="00583DE4"/>
    <w:rsid w:val="00585FAA"/>
    <w:rsid w:val="0058603B"/>
    <w:rsid w:val="00590234"/>
    <w:rsid w:val="00593E5B"/>
    <w:rsid w:val="0059431B"/>
    <w:rsid w:val="00594C03"/>
    <w:rsid w:val="00595E4F"/>
    <w:rsid w:val="005A39CC"/>
    <w:rsid w:val="005A4AAA"/>
    <w:rsid w:val="005A59E7"/>
    <w:rsid w:val="005A636B"/>
    <w:rsid w:val="005B26DA"/>
    <w:rsid w:val="005B4730"/>
    <w:rsid w:val="005B5C4C"/>
    <w:rsid w:val="005B772E"/>
    <w:rsid w:val="005C5633"/>
    <w:rsid w:val="005C6710"/>
    <w:rsid w:val="005C72DB"/>
    <w:rsid w:val="005E05D7"/>
    <w:rsid w:val="005E41E7"/>
    <w:rsid w:val="005E450F"/>
    <w:rsid w:val="005E4605"/>
    <w:rsid w:val="005F03ED"/>
    <w:rsid w:val="005F2139"/>
    <w:rsid w:val="005F6562"/>
    <w:rsid w:val="00601B1D"/>
    <w:rsid w:val="00604B24"/>
    <w:rsid w:val="0060584E"/>
    <w:rsid w:val="00610FD1"/>
    <w:rsid w:val="0061230E"/>
    <w:rsid w:val="00614DB3"/>
    <w:rsid w:val="00617DE4"/>
    <w:rsid w:val="00622649"/>
    <w:rsid w:val="00622884"/>
    <w:rsid w:val="0062298A"/>
    <w:rsid w:val="00624B6A"/>
    <w:rsid w:val="006263B3"/>
    <w:rsid w:val="00626514"/>
    <w:rsid w:val="00626589"/>
    <w:rsid w:val="006312AF"/>
    <w:rsid w:val="006339A0"/>
    <w:rsid w:val="00635735"/>
    <w:rsid w:val="006413A8"/>
    <w:rsid w:val="00642E56"/>
    <w:rsid w:val="0064598B"/>
    <w:rsid w:val="00651E00"/>
    <w:rsid w:val="00660C11"/>
    <w:rsid w:val="006633DA"/>
    <w:rsid w:val="00665F69"/>
    <w:rsid w:val="006663A7"/>
    <w:rsid w:val="00672B4F"/>
    <w:rsid w:val="00674572"/>
    <w:rsid w:val="00687763"/>
    <w:rsid w:val="00692B0D"/>
    <w:rsid w:val="00693E0E"/>
    <w:rsid w:val="006A0C48"/>
    <w:rsid w:val="006A1AE3"/>
    <w:rsid w:val="006A2E9A"/>
    <w:rsid w:val="006B79B3"/>
    <w:rsid w:val="006C1012"/>
    <w:rsid w:val="006C30E1"/>
    <w:rsid w:val="006C4607"/>
    <w:rsid w:val="006C7EB2"/>
    <w:rsid w:val="006D48F1"/>
    <w:rsid w:val="006D56EC"/>
    <w:rsid w:val="006D69D1"/>
    <w:rsid w:val="006D6B81"/>
    <w:rsid w:val="006E2BF4"/>
    <w:rsid w:val="006F008D"/>
    <w:rsid w:val="006F45BE"/>
    <w:rsid w:val="006F6D6F"/>
    <w:rsid w:val="006F7C4A"/>
    <w:rsid w:val="007004FC"/>
    <w:rsid w:val="007011CF"/>
    <w:rsid w:val="00702997"/>
    <w:rsid w:val="00706670"/>
    <w:rsid w:val="00706A69"/>
    <w:rsid w:val="00711F59"/>
    <w:rsid w:val="00712265"/>
    <w:rsid w:val="00714909"/>
    <w:rsid w:val="007221B9"/>
    <w:rsid w:val="00723C22"/>
    <w:rsid w:val="0072417C"/>
    <w:rsid w:val="00732FCA"/>
    <w:rsid w:val="00734450"/>
    <w:rsid w:val="007344D3"/>
    <w:rsid w:val="00735554"/>
    <w:rsid w:val="00741D0B"/>
    <w:rsid w:val="0074364C"/>
    <w:rsid w:val="007450A4"/>
    <w:rsid w:val="00745F67"/>
    <w:rsid w:val="0075039E"/>
    <w:rsid w:val="00752D9D"/>
    <w:rsid w:val="00753FAB"/>
    <w:rsid w:val="00754784"/>
    <w:rsid w:val="00754C65"/>
    <w:rsid w:val="00757C6E"/>
    <w:rsid w:val="00762BDA"/>
    <w:rsid w:val="00771F88"/>
    <w:rsid w:val="00774BDF"/>
    <w:rsid w:val="007764FF"/>
    <w:rsid w:val="00777241"/>
    <w:rsid w:val="007805FD"/>
    <w:rsid w:val="0078231E"/>
    <w:rsid w:val="0078259D"/>
    <w:rsid w:val="00784422"/>
    <w:rsid w:val="0079234B"/>
    <w:rsid w:val="0079280C"/>
    <w:rsid w:val="007974D0"/>
    <w:rsid w:val="007A3CDE"/>
    <w:rsid w:val="007A3D56"/>
    <w:rsid w:val="007B2B58"/>
    <w:rsid w:val="007B3B54"/>
    <w:rsid w:val="007B3FA0"/>
    <w:rsid w:val="007C0F2C"/>
    <w:rsid w:val="007C2BCC"/>
    <w:rsid w:val="007C4EF0"/>
    <w:rsid w:val="007C7C2F"/>
    <w:rsid w:val="007D099D"/>
    <w:rsid w:val="007D68BD"/>
    <w:rsid w:val="007E00EA"/>
    <w:rsid w:val="007E2664"/>
    <w:rsid w:val="007E3ABF"/>
    <w:rsid w:val="007E5BFA"/>
    <w:rsid w:val="007E6689"/>
    <w:rsid w:val="007E731C"/>
    <w:rsid w:val="007F08DB"/>
    <w:rsid w:val="007F0A03"/>
    <w:rsid w:val="007F41A0"/>
    <w:rsid w:val="007F7BA8"/>
    <w:rsid w:val="00802D6E"/>
    <w:rsid w:val="00810040"/>
    <w:rsid w:val="0082023A"/>
    <w:rsid w:val="00821A7A"/>
    <w:rsid w:val="008253F8"/>
    <w:rsid w:val="00825BE7"/>
    <w:rsid w:val="008301F4"/>
    <w:rsid w:val="008325E4"/>
    <w:rsid w:val="00832A2B"/>
    <w:rsid w:val="0083321E"/>
    <w:rsid w:val="00836EA7"/>
    <w:rsid w:val="00845811"/>
    <w:rsid w:val="00846994"/>
    <w:rsid w:val="00847350"/>
    <w:rsid w:val="00850451"/>
    <w:rsid w:val="00850847"/>
    <w:rsid w:val="00852042"/>
    <w:rsid w:val="00852F14"/>
    <w:rsid w:val="008534C9"/>
    <w:rsid w:val="0085599D"/>
    <w:rsid w:val="0085703A"/>
    <w:rsid w:val="00857BC7"/>
    <w:rsid w:val="00864A02"/>
    <w:rsid w:val="00866C85"/>
    <w:rsid w:val="008673AA"/>
    <w:rsid w:val="0087510C"/>
    <w:rsid w:val="00876769"/>
    <w:rsid w:val="00881780"/>
    <w:rsid w:val="00881FC6"/>
    <w:rsid w:val="00887325"/>
    <w:rsid w:val="00893BDA"/>
    <w:rsid w:val="00896887"/>
    <w:rsid w:val="008968D2"/>
    <w:rsid w:val="0089738E"/>
    <w:rsid w:val="008A04D6"/>
    <w:rsid w:val="008A3AB9"/>
    <w:rsid w:val="008A4C62"/>
    <w:rsid w:val="008B5FDB"/>
    <w:rsid w:val="008C1922"/>
    <w:rsid w:val="008C23FE"/>
    <w:rsid w:val="008C38E0"/>
    <w:rsid w:val="008C50F4"/>
    <w:rsid w:val="008C5649"/>
    <w:rsid w:val="008C7BB9"/>
    <w:rsid w:val="008D0743"/>
    <w:rsid w:val="008E0537"/>
    <w:rsid w:val="008E0B37"/>
    <w:rsid w:val="008E21F4"/>
    <w:rsid w:val="008E44A2"/>
    <w:rsid w:val="008E5020"/>
    <w:rsid w:val="008E697D"/>
    <w:rsid w:val="008F02E7"/>
    <w:rsid w:val="008F27FE"/>
    <w:rsid w:val="008F2B16"/>
    <w:rsid w:val="008F3B7C"/>
    <w:rsid w:val="008F58E1"/>
    <w:rsid w:val="00903263"/>
    <w:rsid w:val="00906A21"/>
    <w:rsid w:val="00907351"/>
    <w:rsid w:val="0090770A"/>
    <w:rsid w:val="009079C3"/>
    <w:rsid w:val="00910462"/>
    <w:rsid w:val="00914CAA"/>
    <w:rsid w:val="00915AB1"/>
    <w:rsid w:val="0091643C"/>
    <w:rsid w:val="00917532"/>
    <w:rsid w:val="0092051F"/>
    <w:rsid w:val="009235BA"/>
    <w:rsid w:val="00924023"/>
    <w:rsid w:val="00924CE2"/>
    <w:rsid w:val="00925B9F"/>
    <w:rsid w:val="00931AED"/>
    <w:rsid w:val="00935223"/>
    <w:rsid w:val="00944F90"/>
    <w:rsid w:val="009476A3"/>
    <w:rsid w:val="0095155B"/>
    <w:rsid w:val="0095334F"/>
    <w:rsid w:val="00954CDD"/>
    <w:rsid w:val="0095535B"/>
    <w:rsid w:val="00963829"/>
    <w:rsid w:val="00964580"/>
    <w:rsid w:val="00965897"/>
    <w:rsid w:val="0096765C"/>
    <w:rsid w:val="009704F4"/>
    <w:rsid w:val="0097240C"/>
    <w:rsid w:val="009727E4"/>
    <w:rsid w:val="00975329"/>
    <w:rsid w:val="00976C9B"/>
    <w:rsid w:val="009801DF"/>
    <w:rsid w:val="009804D8"/>
    <w:rsid w:val="00980E54"/>
    <w:rsid w:val="009848EA"/>
    <w:rsid w:val="0099039F"/>
    <w:rsid w:val="00990BF2"/>
    <w:rsid w:val="00992535"/>
    <w:rsid w:val="009934C5"/>
    <w:rsid w:val="00994C0F"/>
    <w:rsid w:val="0099648A"/>
    <w:rsid w:val="009A1DB9"/>
    <w:rsid w:val="009B22D7"/>
    <w:rsid w:val="009B72ED"/>
    <w:rsid w:val="009C0A85"/>
    <w:rsid w:val="009C12FA"/>
    <w:rsid w:val="009C6DEB"/>
    <w:rsid w:val="009D6504"/>
    <w:rsid w:val="009E047B"/>
    <w:rsid w:val="009E12D7"/>
    <w:rsid w:val="009E141A"/>
    <w:rsid w:val="009E25E0"/>
    <w:rsid w:val="009E661A"/>
    <w:rsid w:val="009F045A"/>
    <w:rsid w:val="009F5E89"/>
    <w:rsid w:val="00A00957"/>
    <w:rsid w:val="00A01916"/>
    <w:rsid w:val="00A06781"/>
    <w:rsid w:val="00A074C3"/>
    <w:rsid w:val="00A1509C"/>
    <w:rsid w:val="00A249B9"/>
    <w:rsid w:val="00A25138"/>
    <w:rsid w:val="00A32CF9"/>
    <w:rsid w:val="00A34260"/>
    <w:rsid w:val="00A44A7B"/>
    <w:rsid w:val="00A517D7"/>
    <w:rsid w:val="00A533C4"/>
    <w:rsid w:val="00A60212"/>
    <w:rsid w:val="00A64DC5"/>
    <w:rsid w:val="00A67673"/>
    <w:rsid w:val="00A70CFD"/>
    <w:rsid w:val="00A72728"/>
    <w:rsid w:val="00A72A0B"/>
    <w:rsid w:val="00A75489"/>
    <w:rsid w:val="00A755F1"/>
    <w:rsid w:val="00A81E42"/>
    <w:rsid w:val="00A82230"/>
    <w:rsid w:val="00A85E49"/>
    <w:rsid w:val="00A8609C"/>
    <w:rsid w:val="00A8622C"/>
    <w:rsid w:val="00A864FE"/>
    <w:rsid w:val="00A86F41"/>
    <w:rsid w:val="00A87D04"/>
    <w:rsid w:val="00A92A9A"/>
    <w:rsid w:val="00A950C5"/>
    <w:rsid w:val="00A970E9"/>
    <w:rsid w:val="00AA1D25"/>
    <w:rsid w:val="00AA425B"/>
    <w:rsid w:val="00AA739E"/>
    <w:rsid w:val="00AB002D"/>
    <w:rsid w:val="00AB2B1A"/>
    <w:rsid w:val="00AB397F"/>
    <w:rsid w:val="00AB5832"/>
    <w:rsid w:val="00AC01A2"/>
    <w:rsid w:val="00AC511C"/>
    <w:rsid w:val="00AC51F2"/>
    <w:rsid w:val="00AD3269"/>
    <w:rsid w:val="00AD3313"/>
    <w:rsid w:val="00AE5066"/>
    <w:rsid w:val="00AE5E24"/>
    <w:rsid w:val="00AE61B7"/>
    <w:rsid w:val="00AE6CBA"/>
    <w:rsid w:val="00AE79AD"/>
    <w:rsid w:val="00AF35E4"/>
    <w:rsid w:val="00AF5CDE"/>
    <w:rsid w:val="00AF6EA6"/>
    <w:rsid w:val="00AF6F28"/>
    <w:rsid w:val="00B003CF"/>
    <w:rsid w:val="00B02278"/>
    <w:rsid w:val="00B07060"/>
    <w:rsid w:val="00B11A57"/>
    <w:rsid w:val="00B129E9"/>
    <w:rsid w:val="00B15F65"/>
    <w:rsid w:val="00B211C3"/>
    <w:rsid w:val="00B21235"/>
    <w:rsid w:val="00B23043"/>
    <w:rsid w:val="00B2414F"/>
    <w:rsid w:val="00B24D8C"/>
    <w:rsid w:val="00B25597"/>
    <w:rsid w:val="00B26525"/>
    <w:rsid w:val="00B267B9"/>
    <w:rsid w:val="00B27E68"/>
    <w:rsid w:val="00B3040D"/>
    <w:rsid w:val="00B30B58"/>
    <w:rsid w:val="00B31E79"/>
    <w:rsid w:val="00B33600"/>
    <w:rsid w:val="00B33E09"/>
    <w:rsid w:val="00B37D9A"/>
    <w:rsid w:val="00B37EA6"/>
    <w:rsid w:val="00B4108E"/>
    <w:rsid w:val="00B50708"/>
    <w:rsid w:val="00B50C68"/>
    <w:rsid w:val="00B51293"/>
    <w:rsid w:val="00B52B1E"/>
    <w:rsid w:val="00B55481"/>
    <w:rsid w:val="00B56C32"/>
    <w:rsid w:val="00B5790C"/>
    <w:rsid w:val="00B57ACF"/>
    <w:rsid w:val="00B614D1"/>
    <w:rsid w:val="00B64BB1"/>
    <w:rsid w:val="00B6620C"/>
    <w:rsid w:val="00B73166"/>
    <w:rsid w:val="00B8041C"/>
    <w:rsid w:val="00B8426C"/>
    <w:rsid w:val="00B91B8D"/>
    <w:rsid w:val="00B94911"/>
    <w:rsid w:val="00B94E90"/>
    <w:rsid w:val="00BA6D00"/>
    <w:rsid w:val="00BB0A82"/>
    <w:rsid w:val="00BB187A"/>
    <w:rsid w:val="00BB21A9"/>
    <w:rsid w:val="00BB7512"/>
    <w:rsid w:val="00BB789B"/>
    <w:rsid w:val="00BB7C94"/>
    <w:rsid w:val="00BC0A9D"/>
    <w:rsid w:val="00BC0FA1"/>
    <w:rsid w:val="00BC25EA"/>
    <w:rsid w:val="00BC6C48"/>
    <w:rsid w:val="00BD3820"/>
    <w:rsid w:val="00BD4098"/>
    <w:rsid w:val="00BD5E3C"/>
    <w:rsid w:val="00BE4EEB"/>
    <w:rsid w:val="00BE5AED"/>
    <w:rsid w:val="00BF1B0A"/>
    <w:rsid w:val="00BF251B"/>
    <w:rsid w:val="00BF40ED"/>
    <w:rsid w:val="00BF5BC2"/>
    <w:rsid w:val="00C1133D"/>
    <w:rsid w:val="00C2192B"/>
    <w:rsid w:val="00C22EFB"/>
    <w:rsid w:val="00C25868"/>
    <w:rsid w:val="00C27A08"/>
    <w:rsid w:val="00C31312"/>
    <w:rsid w:val="00C31E36"/>
    <w:rsid w:val="00C326C6"/>
    <w:rsid w:val="00C336D5"/>
    <w:rsid w:val="00C342EA"/>
    <w:rsid w:val="00C35295"/>
    <w:rsid w:val="00C36ADD"/>
    <w:rsid w:val="00C36E74"/>
    <w:rsid w:val="00C40595"/>
    <w:rsid w:val="00C41621"/>
    <w:rsid w:val="00C41EED"/>
    <w:rsid w:val="00C449FA"/>
    <w:rsid w:val="00C46E9D"/>
    <w:rsid w:val="00C517B7"/>
    <w:rsid w:val="00C523E6"/>
    <w:rsid w:val="00C52900"/>
    <w:rsid w:val="00C5384F"/>
    <w:rsid w:val="00C56964"/>
    <w:rsid w:val="00C57B28"/>
    <w:rsid w:val="00C656D5"/>
    <w:rsid w:val="00C6629C"/>
    <w:rsid w:val="00C66E02"/>
    <w:rsid w:val="00C67103"/>
    <w:rsid w:val="00C67349"/>
    <w:rsid w:val="00C70832"/>
    <w:rsid w:val="00C71BB9"/>
    <w:rsid w:val="00C7321E"/>
    <w:rsid w:val="00C74BF0"/>
    <w:rsid w:val="00C76A9D"/>
    <w:rsid w:val="00C8091D"/>
    <w:rsid w:val="00C825EA"/>
    <w:rsid w:val="00C829CC"/>
    <w:rsid w:val="00C87BA3"/>
    <w:rsid w:val="00C92DF3"/>
    <w:rsid w:val="00C94C28"/>
    <w:rsid w:val="00C9581D"/>
    <w:rsid w:val="00CA03DC"/>
    <w:rsid w:val="00CA151C"/>
    <w:rsid w:val="00CB0247"/>
    <w:rsid w:val="00CB3440"/>
    <w:rsid w:val="00CB706E"/>
    <w:rsid w:val="00CB7285"/>
    <w:rsid w:val="00CC1692"/>
    <w:rsid w:val="00CD0F7F"/>
    <w:rsid w:val="00CD138B"/>
    <w:rsid w:val="00CD1FEC"/>
    <w:rsid w:val="00CD3E31"/>
    <w:rsid w:val="00CD40C2"/>
    <w:rsid w:val="00CD5B16"/>
    <w:rsid w:val="00CD74A3"/>
    <w:rsid w:val="00CE0527"/>
    <w:rsid w:val="00CE5B23"/>
    <w:rsid w:val="00CE63DD"/>
    <w:rsid w:val="00CE7469"/>
    <w:rsid w:val="00CF00FE"/>
    <w:rsid w:val="00CF5217"/>
    <w:rsid w:val="00CF66E2"/>
    <w:rsid w:val="00CF70AD"/>
    <w:rsid w:val="00CF7729"/>
    <w:rsid w:val="00D00059"/>
    <w:rsid w:val="00D0773D"/>
    <w:rsid w:val="00D10216"/>
    <w:rsid w:val="00D107FA"/>
    <w:rsid w:val="00D10D76"/>
    <w:rsid w:val="00D12275"/>
    <w:rsid w:val="00D12766"/>
    <w:rsid w:val="00D13535"/>
    <w:rsid w:val="00D136A5"/>
    <w:rsid w:val="00D16A53"/>
    <w:rsid w:val="00D20FF4"/>
    <w:rsid w:val="00D22E43"/>
    <w:rsid w:val="00D24AA2"/>
    <w:rsid w:val="00D24D2C"/>
    <w:rsid w:val="00D35881"/>
    <w:rsid w:val="00D359F3"/>
    <w:rsid w:val="00D539D0"/>
    <w:rsid w:val="00D553DF"/>
    <w:rsid w:val="00D56C0C"/>
    <w:rsid w:val="00D64B16"/>
    <w:rsid w:val="00D658FF"/>
    <w:rsid w:val="00D75C22"/>
    <w:rsid w:val="00D805EE"/>
    <w:rsid w:val="00D90272"/>
    <w:rsid w:val="00D94CFE"/>
    <w:rsid w:val="00DA7DA5"/>
    <w:rsid w:val="00DB073B"/>
    <w:rsid w:val="00DB3FFD"/>
    <w:rsid w:val="00DB7124"/>
    <w:rsid w:val="00DB75F8"/>
    <w:rsid w:val="00DB78F0"/>
    <w:rsid w:val="00DC0CEA"/>
    <w:rsid w:val="00DC109F"/>
    <w:rsid w:val="00DC2E43"/>
    <w:rsid w:val="00DC562A"/>
    <w:rsid w:val="00DC6DC0"/>
    <w:rsid w:val="00DD095C"/>
    <w:rsid w:val="00DD0FDF"/>
    <w:rsid w:val="00DD1020"/>
    <w:rsid w:val="00DD1330"/>
    <w:rsid w:val="00DD7D30"/>
    <w:rsid w:val="00DE0B83"/>
    <w:rsid w:val="00DE1A81"/>
    <w:rsid w:val="00DE1C13"/>
    <w:rsid w:val="00DE2A54"/>
    <w:rsid w:val="00DE4E10"/>
    <w:rsid w:val="00DE6381"/>
    <w:rsid w:val="00DF1831"/>
    <w:rsid w:val="00E0157B"/>
    <w:rsid w:val="00E02ABF"/>
    <w:rsid w:val="00E06009"/>
    <w:rsid w:val="00E06AA7"/>
    <w:rsid w:val="00E1009F"/>
    <w:rsid w:val="00E107CC"/>
    <w:rsid w:val="00E13403"/>
    <w:rsid w:val="00E14995"/>
    <w:rsid w:val="00E179CD"/>
    <w:rsid w:val="00E17BAD"/>
    <w:rsid w:val="00E22F02"/>
    <w:rsid w:val="00E23E8D"/>
    <w:rsid w:val="00E2402C"/>
    <w:rsid w:val="00E32FC0"/>
    <w:rsid w:val="00E352B3"/>
    <w:rsid w:val="00E37F98"/>
    <w:rsid w:val="00E46559"/>
    <w:rsid w:val="00E51D39"/>
    <w:rsid w:val="00E613BC"/>
    <w:rsid w:val="00E63080"/>
    <w:rsid w:val="00E6670C"/>
    <w:rsid w:val="00E676D9"/>
    <w:rsid w:val="00E70871"/>
    <w:rsid w:val="00E74E1D"/>
    <w:rsid w:val="00E776E8"/>
    <w:rsid w:val="00E83CBE"/>
    <w:rsid w:val="00E90FF8"/>
    <w:rsid w:val="00E91940"/>
    <w:rsid w:val="00E92C1F"/>
    <w:rsid w:val="00E94713"/>
    <w:rsid w:val="00E95D4B"/>
    <w:rsid w:val="00E95DE2"/>
    <w:rsid w:val="00EB1394"/>
    <w:rsid w:val="00EB199F"/>
    <w:rsid w:val="00EB57D4"/>
    <w:rsid w:val="00EB58A9"/>
    <w:rsid w:val="00EB60F7"/>
    <w:rsid w:val="00EC0193"/>
    <w:rsid w:val="00EC23F7"/>
    <w:rsid w:val="00EC4BD8"/>
    <w:rsid w:val="00EC63EB"/>
    <w:rsid w:val="00EC6B45"/>
    <w:rsid w:val="00EC77EB"/>
    <w:rsid w:val="00ED3AA5"/>
    <w:rsid w:val="00ED412F"/>
    <w:rsid w:val="00ED60F3"/>
    <w:rsid w:val="00ED68B1"/>
    <w:rsid w:val="00ED7A34"/>
    <w:rsid w:val="00EE534B"/>
    <w:rsid w:val="00EF36B2"/>
    <w:rsid w:val="00EF49F5"/>
    <w:rsid w:val="00F04436"/>
    <w:rsid w:val="00F04BB6"/>
    <w:rsid w:val="00F1061A"/>
    <w:rsid w:val="00F1246B"/>
    <w:rsid w:val="00F154AE"/>
    <w:rsid w:val="00F15ECA"/>
    <w:rsid w:val="00F162D8"/>
    <w:rsid w:val="00F201EC"/>
    <w:rsid w:val="00F208A9"/>
    <w:rsid w:val="00F41B90"/>
    <w:rsid w:val="00F41D75"/>
    <w:rsid w:val="00F5139D"/>
    <w:rsid w:val="00F63DAC"/>
    <w:rsid w:val="00F66793"/>
    <w:rsid w:val="00F66AAD"/>
    <w:rsid w:val="00F72A65"/>
    <w:rsid w:val="00F7454F"/>
    <w:rsid w:val="00F77988"/>
    <w:rsid w:val="00F77F48"/>
    <w:rsid w:val="00F80ADC"/>
    <w:rsid w:val="00F92B50"/>
    <w:rsid w:val="00FA1778"/>
    <w:rsid w:val="00FA1E66"/>
    <w:rsid w:val="00FA6EAF"/>
    <w:rsid w:val="00FB1ACD"/>
    <w:rsid w:val="00FB30F1"/>
    <w:rsid w:val="00FB53E7"/>
    <w:rsid w:val="00FD09A3"/>
    <w:rsid w:val="00FD2A8A"/>
    <w:rsid w:val="00FD79FD"/>
    <w:rsid w:val="00FE6B21"/>
    <w:rsid w:val="00FE7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labojumupamats">
    <w:name w:val="labojumu_pamats"/>
    <w:basedOn w:val="Normal"/>
    <w:rsid w:val="00C517B7"/>
    <w:pPr>
      <w:spacing w:before="100" w:beforeAutospacing="1" w:after="100" w:afterAutospacing="1"/>
    </w:pPr>
  </w:style>
  <w:style w:type="paragraph" w:customStyle="1" w:styleId="tvhtml">
    <w:name w:val="tv_html"/>
    <w:basedOn w:val="Normal"/>
    <w:rsid w:val="00C517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labojumupamats">
    <w:name w:val="labojumu_pamats"/>
    <w:basedOn w:val="Normal"/>
    <w:rsid w:val="00C517B7"/>
    <w:pPr>
      <w:spacing w:before="100" w:beforeAutospacing="1" w:after="100" w:afterAutospacing="1"/>
    </w:pPr>
  </w:style>
  <w:style w:type="paragraph" w:customStyle="1" w:styleId="tvhtml">
    <w:name w:val="tv_html"/>
    <w:basedOn w:val="Normal"/>
    <w:rsid w:val="00C51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3744">
      <w:bodyDiv w:val="1"/>
      <w:marLeft w:val="0"/>
      <w:marRight w:val="0"/>
      <w:marTop w:val="0"/>
      <w:marBottom w:val="0"/>
      <w:divBdr>
        <w:top w:val="none" w:sz="0" w:space="0" w:color="auto"/>
        <w:left w:val="none" w:sz="0" w:space="0" w:color="auto"/>
        <w:bottom w:val="none" w:sz="0" w:space="0" w:color="auto"/>
        <w:right w:val="none" w:sz="0" w:space="0" w:color="auto"/>
      </w:divBdr>
    </w:div>
    <w:div w:id="783158507">
      <w:bodyDiv w:val="1"/>
      <w:marLeft w:val="0"/>
      <w:marRight w:val="0"/>
      <w:marTop w:val="0"/>
      <w:marBottom w:val="0"/>
      <w:divBdr>
        <w:top w:val="none" w:sz="0" w:space="0" w:color="auto"/>
        <w:left w:val="none" w:sz="0" w:space="0" w:color="auto"/>
        <w:bottom w:val="none" w:sz="0" w:space="0" w:color="auto"/>
        <w:right w:val="none" w:sz="0" w:space="0" w:color="auto"/>
      </w:divBdr>
      <w:divsChild>
        <w:div w:id="324864347">
          <w:marLeft w:val="0"/>
          <w:marRight w:val="0"/>
          <w:marTop w:val="0"/>
          <w:marBottom w:val="0"/>
          <w:divBdr>
            <w:top w:val="none" w:sz="0" w:space="0" w:color="auto"/>
            <w:left w:val="none" w:sz="0" w:space="0" w:color="auto"/>
            <w:bottom w:val="none" w:sz="0" w:space="0" w:color="auto"/>
            <w:right w:val="none" w:sz="0" w:space="0" w:color="auto"/>
          </w:divBdr>
        </w:div>
        <w:div w:id="1960649658">
          <w:marLeft w:val="0"/>
          <w:marRight w:val="0"/>
          <w:marTop w:val="0"/>
          <w:marBottom w:val="0"/>
          <w:divBdr>
            <w:top w:val="none" w:sz="0" w:space="0" w:color="auto"/>
            <w:left w:val="none" w:sz="0" w:space="0" w:color="auto"/>
            <w:bottom w:val="none" w:sz="0" w:space="0" w:color="auto"/>
            <w:right w:val="none" w:sz="0" w:space="0" w:color="auto"/>
          </w:divBdr>
        </w:div>
      </w:divsChild>
    </w:div>
    <w:div w:id="1685672334">
      <w:bodyDiv w:val="1"/>
      <w:marLeft w:val="0"/>
      <w:marRight w:val="0"/>
      <w:marTop w:val="0"/>
      <w:marBottom w:val="0"/>
      <w:divBdr>
        <w:top w:val="none" w:sz="0" w:space="0" w:color="auto"/>
        <w:left w:val="none" w:sz="0" w:space="0" w:color="auto"/>
        <w:bottom w:val="none" w:sz="0" w:space="0" w:color="auto"/>
        <w:right w:val="none" w:sz="0" w:space="0" w:color="auto"/>
      </w:divBdr>
      <w:divsChild>
        <w:div w:id="2035226331">
          <w:marLeft w:val="0"/>
          <w:marRight w:val="0"/>
          <w:marTop w:val="0"/>
          <w:marBottom w:val="0"/>
          <w:divBdr>
            <w:top w:val="none" w:sz="0" w:space="0" w:color="auto"/>
            <w:left w:val="none" w:sz="0" w:space="0" w:color="auto"/>
            <w:bottom w:val="none" w:sz="0" w:space="0" w:color="auto"/>
            <w:right w:val="none" w:sz="0" w:space="0" w:color="auto"/>
          </w:divBdr>
        </w:div>
        <w:div w:id="2073195537">
          <w:marLeft w:val="0"/>
          <w:marRight w:val="0"/>
          <w:marTop w:val="0"/>
          <w:marBottom w:val="0"/>
          <w:divBdr>
            <w:top w:val="none" w:sz="0" w:space="0" w:color="auto"/>
            <w:left w:val="none" w:sz="0" w:space="0" w:color="auto"/>
            <w:bottom w:val="none" w:sz="0" w:space="0" w:color="auto"/>
            <w:right w:val="none" w:sz="0" w:space="0" w:color="auto"/>
          </w:divBdr>
        </w:div>
      </w:divsChild>
    </w:div>
    <w:div w:id="1876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5:342:0020:01:L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4R0549:20091204:LV: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OJ:L:2005:342:0020: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4R0549:20091204:LV: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C270-4BFE-4DB1-B2C4-6420D19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16</Pages>
  <Words>4641</Words>
  <Characters>32643</Characters>
  <Application>Microsoft Office Word</Application>
  <DocSecurity>0</DocSecurity>
  <Lines>1020</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5.maija noteikumos Nr.415 „Noteikumi par Civilās aviācijas drošības kvalitātes kontroles programmu” sākotnējās ietekmes novērtējuma ziņojums (anotācija)”</vt:lpstr>
      <vt:lpstr>Ministru kabineta instrukcijas projekts “Tiesību akta projekta sākotnējās ietekmes izvērtēšanas kārtība”</vt:lpstr>
    </vt:vector>
  </TitlesOfParts>
  <Company>Satiksmes ministrija</Company>
  <LinksUpToDate>false</LinksUpToDate>
  <CharactersWithSpaces>37207</CharactersWithSpaces>
  <SharedDoc>false</SharedDoc>
  <HLinks>
    <vt:vector size="30" baseType="variant">
      <vt:variant>
        <vt:i4>786492</vt:i4>
      </vt:variant>
      <vt:variant>
        <vt:i4>12</vt:i4>
      </vt:variant>
      <vt:variant>
        <vt:i4>0</vt:i4>
      </vt:variant>
      <vt:variant>
        <vt:i4>5</vt:i4>
      </vt:variant>
      <vt:variant>
        <vt:lpwstr>mailto:Maris.Cernonoks@latcaa.gov.lv</vt:lpwstr>
      </vt:variant>
      <vt:variant>
        <vt:lpwstr/>
      </vt:variant>
      <vt:variant>
        <vt:i4>7012411</vt:i4>
      </vt:variant>
      <vt:variant>
        <vt:i4>9</vt:i4>
      </vt:variant>
      <vt:variant>
        <vt:i4>0</vt:i4>
      </vt:variant>
      <vt:variant>
        <vt:i4>5</vt:i4>
      </vt:variant>
      <vt:variant>
        <vt:lpwstr>http://eur-lex.europa.eu/LexUriServ/LexUriServ.do?uri=OJ:L:2005:342:0020:01:LV:HTML</vt:lpwstr>
      </vt:variant>
      <vt:variant>
        <vt:lpwstr/>
      </vt:variant>
      <vt:variant>
        <vt:i4>1704011</vt:i4>
      </vt:variant>
      <vt:variant>
        <vt:i4>6</vt:i4>
      </vt:variant>
      <vt:variant>
        <vt:i4>0</vt:i4>
      </vt:variant>
      <vt:variant>
        <vt:i4>5</vt:i4>
      </vt:variant>
      <vt:variant>
        <vt:lpwstr>http://eur-lex.europa.eu/LexUriServ/LexUriServ.do?uri=CONSLEG:2004R0549:20091204:LV:HTML</vt:lpwstr>
      </vt:variant>
      <vt:variant>
        <vt:lpwstr/>
      </vt:variant>
      <vt:variant>
        <vt:i4>7012411</vt:i4>
      </vt:variant>
      <vt:variant>
        <vt:i4>3</vt:i4>
      </vt:variant>
      <vt:variant>
        <vt:i4>0</vt:i4>
      </vt:variant>
      <vt:variant>
        <vt:i4>5</vt:i4>
      </vt:variant>
      <vt:variant>
        <vt:lpwstr>http://eur-lex.europa.eu/LexUriServ/LexUriServ.do?uri=OJ:L:2005:342:0020:01:LV:HTML</vt:lpwstr>
      </vt:variant>
      <vt:variant>
        <vt:lpwstr/>
      </vt:variant>
      <vt:variant>
        <vt:i4>1704011</vt:i4>
      </vt:variant>
      <vt:variant>
        <vt:i4>0</vt:i4>
      </vt:variant>
      <vt:variant>
        <vt:i4>0</vt:i4>
      </vt:variant>
      <vt:variant>
        <vt:i4>5</vt:i4>
      </vt:variant>
      <vt:variant>
        <vt:lpwstr>http://eur-lex.europa.eu/LexUriServ/LexUriServ.do?uri=CONSLEG:2004R0549:20091204:LV:HTML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Gaisa telpas pārvaldības kārtība, tās struktūra un mainīšanas kārtība”</dc:title>
  <dc:subject>Anotācija</dc:subject>
  <dc:creator>M.Čerņonoks</dc:creator>
  <dc:description>67830951_x000d_
Inga.Prancane@latcaa.gov.lv</dc:description>
  <cp:lastModifiedBy>Inga Prancāne/caa/lv</cp:lastModifiedBy>
  <cp:revision>59</cp:revision>
  <cp:lastPrinted>2015-07-16T08:19:00Z</cp:lastPrinted>
  <dcterms:created xsi:type="dcterms:W3CDTF">2015-06-29T12:37:00Z</dcterms:created>
  <dcterms:modified xsi:type="dcterms:W3CDTF">2015-12-08T07:52:00Z</dcterms:modified>
</cp:coreProperties>
</file>