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5C2338" w:rsidRDefault="003A2701" w:rsidP="003A2701">
      <w:pPr>
        <w:ind w:firstLine="0"/>
        <w:jc w:val="center"/>
        <w:rPr>
          <w:sz w:val="24"/>
          <w:szCs w:val="24"/>
        </w:rPr>
      </w:pPr>
      <w:r w:rsidRPr="00E9463C">
        <w:rPr>
          <w:b/>
          <w:bCs/>
          <w:sz w:val="24"/>
          <w:szCs w:val="24"/>
        </w:rPr>
        <w:t>Ministru kabineta noteikumu projekta </w:t>
      </w:r>
      <w:r w:rsidRPr="00E9463C">
        <w:rPr>
          <w:b/>
          <w:sz w:val="24"/>
          <w:szCs w:val="24"/>
        </w:rPr>
        <w:t>„Grozījumi Ministru kabineta 2005.gada 1.novembra noteikumos Nr.836 „Noteikumi par transportlīdzekļa vadītāja darba un atpūtas laika uzskaites digitālās kontrolierīces (tahogrāfa) karšu izsniegšanu, anulēšanu un apturēšanu uz laiku””</w:t>
      </w:r>
      <w:r w:rsidR="002D1699" w:rsidRPr="005C2338">
        <w:rPr>
          <w:b/>
          <w:bCs/>
          <w:sz w:val="24"/>
          <w:szCs w:val="24"/>
        </w:rPr>
        <w:t xml:space="preserve"> sākotnējās ietekmes novērtējuma ziņojums (anotācija)</w:t>
      </w:r>
    </w:p>
    <w:p w:rsidR="002D1699" w:rsidRPr="003D6F09" w:rsidRDefault="002D1699" w:rsidP="002D1699">
      <w:pPr>
        <w:ind w:firstLine="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I. Tiesību akta projekta izstrādes nepieciešamība</w:t>
            </w:r>
          </w:p>
        </w:tc>
      </w:tr>
      <w:tr w:rsidR="002D1699" w:rsidRPr="00C81EDF"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863EB9">
            <w:pPr>
              <w:ind w:firstLine="0"/>
              <w:jc w:val="both"/>
              <w:rPr>
                <w:rFonts w:eastAsia="Calibri" w:cs="Times New Roman"/>
                <w:sz w:val="24"/>
                <w:szCs w:val="24"/>
              </w:rPr>
            </w:pPr>
            <w:r w:rsidRPr="00C81EDF">
              <w:rPr>
                <w:rFonts w:eastAsia="Calibri" w:cs="Times New Roman"/>
                <w:sz w:val="24"/>
                <w:szCs w:val="24"/>
              </w:rPr>
              <w:t>1) Autopārvadājumu likuma</w:t>
            </w:r>
            <w:r w:rsidR="00DA0781" w:rsidRPr="00C81EDF">
              <w:rPr>
                <w:rFonts w:eastAsia="Calibri" w:cs="Times New Roman"/>
                <w:sz w:val="24"/>
                <w:szCs w:val="24"/>
              </w:rPr>
              <w:t xml:space="preserve"> </w:t>
            </w:r>
            <w:r w:rsidR="003A2701">
              <w:rPr>
                <w:rFonts w:eastAsia="Calibri" w:cs="Times New Roman"/>
                <w:sz w:val="24"/>
                <w:szCs w:val="24"/>
              </w:rPr>
              <w:t>5</w:t>
            </w:r>
            <w:r w:rsidRPr="00C81EDF">
              <w:rPr>
                <w:rFonts w:eastAsia="Calibri" w:cs="Times New Roman"/>
                <w:sz w:val="24"/>
                <w:szCs w:val="24"/>
              </w:rPr>
              <w:t>.</w:t>
            </w:r>
            <w:r w:rsidR="003A2701">
              <w:rPr>
                <w:rFonts w:eastAsia="Calibri" w:cs="Times New Roman"/>
                <w:sz w:val="24"/>
                <w:szCs w:val="24"/>
                <w:vertAlign w:val="superscript"/>
              </w:rPr>
              <w:t xml:space="preserve">1 </w:t>
            </w:r>
            <w:r w:rsidRPr="00C81EDF">
              <w:rPr>
                <w:rFonts w:eastAsia="Calibri" w:cs="Times New Roman"/>
                <w:sz w:val="24"/>
                <w:szCs w:val="24"/>
              </w:rPr>
              <w:t xml:space="preserve">panta </w:t>
            </w:r>
            <w:r w:rsidR="003A2701">
              <w:rPr>
                <w:rFonts w:eastAsia="Calibri" w:cs="Times New Roman"/>
                <w:sz w:val="24"/>
                <w:szCs w:val="24"/>
              </w:rPr>
              <w:t>pirmās</w:t>
            </w:r>
            <w:r w:rsidR="00DA0781" w:rsidRPr="00C81EDF">
              <w:rPr>
                <w:rFonts w:eastAsia="Calibri" w:cs="Times New Roman"/>
                <w:sz w:val="24"/>
                <w:szCs w:val="24"/>
              </w:rPr>
              <w:t xml:space="preserve"> </w:t>
            </w:r>
            <w:r w:rsidRPr="00C81EDF">
              <w:rPr>
                <w:rFonts w:eastAsia="Calibri" w:cs="Times New Roman"/>
                <w:sz w:val="24"/>
                <w:szCs w:val="24"/>
              </w:rPr>
              <w:t>daļa</w:t>
            </w:r>
            <w:r w:rsidR="003A2701">
              <w:rPr>
                <w:rFonts w:eastAsia="Calibri" w:cs="Times New Roman"/>
                <w:sz w:val="24"/>
                <w:szCs w:val="24"/>
              </w:rPr>
              <w:t>s 6.punkts</w:t>
            </w:r>
            <w:r w:rsidRPr="00C81EDF">
              <w:rPr>
                <w:rFonts w:eastAsia="Calibri" w:cs="Times New Roman"/>
                <w:sz w:val="24"/>
                <w:szCs w:val="24"/>
              </w:rPr>
              <w:t>.</w:t>
            </w:r>
          </w:p>
          <w:p w:rsidR="002D1699" w:rsidRPr="00C81EDF" w:rsidRDefault="002D1699" w:rsidP="00863EB9">
            <w:pPr>
              <w:ind w:firstLine="0"/>
              <w:jc w:val="both"/>
              <w:rPr>
                <w:rFonts w:cs="Times New Roman"/>
                <w:color w:val="000000"/>
                <w:sz w:val="24"/>
                <w:szCs w:val="24"/>
              </w:rPr>
            </w:pPr>
            <w:r w:rsidRPr="00C81EDF">
              <w:rPr>
                <w:rFonts w:eastAsia="Calibri" w:cs="Times New Roman"/>
                <w:sz w:val="24"/>
                <w:szCs w:val="24"/>
              </w:rPr>
              <w:t xml:space="preserve">2) </w:t>
            </w:r>
            <w:r w:rsidR="003A2701" w:rsidRPr="003A2701">
              <w:rPr>
                <w:sz w:val="24"/>
                <w:szCs w:val="24"/>
              </w:rPr>
              <w:t>Eiropas Parlamenta un Padomes 2006.gada 15.marta </w:t>
            </w:r>
            <w:hyperlink r:id="rId9" w:history="1">
              <w:r w:rsidR="003A2701" w:rsidRPr="003A2701">
                <w:rPr>
                  <w:rStyle w:val="Strong"/>
                  <w:b w:val="0"/>
                  <w:color w:val="auto"/>
                  <w:sz w:val="24"/>
                  <w:szCs w:val="24"/>
                </w:rPr>
                <w:t>Regulas (EK) Nr.561/2006</w:t>
              </w:r>
            </w:hyperlink>
            <w:r w:rsidR="003A2701" w:rsidRPr="003A2701">
              <w:rPr>
                <w:b/>
                <w:sz w:val="24"/>
                <w:szCs w:val="24"/>
              </w:rPr>
              <w:t>,</w:t>
            </w:r>
            <w:r w:rsidR="003A2701" w:rsidRPr="003A2701">
              <w:rPr>
                <w:sz w:val="24"/>
                <w:szCs w:val="24"/>
              </w:rPr>
              <w:t xml:space="preserve"> ar ko paredz dažu sociālās jomas tiesību aktu saskaņošanu saistībā ar autotransportu, groza Padomes Regulu (</w:t>
            </w:r>
            <w:smartTag w:uri="schemas-tilde-lv/tildestengine" w:element="currency2">
              <w:smartTagPr>
                <w:attr w:name="currency_text" w:val="EEK"/>
                <w:attr w:name="currency_value" w:val="1"/>
                <w:attr w:name="currency_key" w:val="EEK"/>
                <w:attr w:name="currency_id" w:val="14"/>
              </w:smartTagPr>
              <w:r w:rsidR="003A2701" w:rsidRPr="003A2701">
                <w:rPr>
                  <w:sz w:val="24"/>
                  <w:szCs w:val="24"/>
                </w:rPr>
                <w:t>EEK</w:t>
              </w:r>
            </w:smartTag>
            <w:r w:rsidR="003A2701" w:rsidRPr="003A2701">
              <w:rPr>
                <w:sz w:val="24"/>
                <w:szCs w:val="24"/>
              </w:rPr>
              <w:t>) Nr.3821/85 un Padomes Regulu (EK) Nr.2135/98 un atceļ Padomes Regulu (</w:t>
            </w:r>
            <w:smartTag w:uri="schemas-tilde-lv/tildestengine" w:element="currency2">
              <w:smartTagPr>
                <w:attr w:name="currency_text" w:val="EEK"/>
                <w:attr w:name="currency_value" w:val="1"/>
                <w:attr w:name="currency_key" w:val="EEK"/>
                <w:attr w:name="currency_id" w:val="14"/>
              </w:smartTagPr>
              <w:r w:rsidR="003A2701" w:rsidRPr="003A2701">
                <w:rPr>
                  <w:sz w:val="24"/>
                  <w:szCs w:val="24"/>
                </w:rPr>
                <w:t>EEK</w:t>
              </w:r>
            </w:smartTag>
            <w:r w:rsidR="003A2701" w:rsidRPr="003A2701">
              <w:rPr>
                <w:sz w:val="24"/>
                <w:szCs w:val="24"/>
              </w:rPr>
              <w:t>) Nr.3820/85</w:t>
            </w:r>
            <w:r w:rsidR="003A2701" w:rsidRPr="003A2701">
              <w:rPr>
                <w:rFonts w:cs="Times New Roman"/>
                <w:sz w:val="24"/>
                <w:szCs w:val="24"/>
              </w:rPr>
              <w:t xml:space="preserve"> </w:t>
            </w:r>
            <w:r w:rsidR="00871BF6" w:rsidRPr="00C81EDF">
              <w:rPr>
                <w:rFonts w:cs="Times New Roman"/>
                <w:color w:val="000000"/>
                <w:sz w:val="24"/>
                <w:szCs w:val="24"/>
              </w:rPr>
              <w:t>(turpmāk</w:t>
            </w:r>
            <w:r w:rsidR="00C0701A" w:rsidRPr="00C81EDF">
              <w:rPr>
                <w:rFonts w:cs="Times New Roman"/>
                <w:color w:val="000000"/>
                <w:sz w:val="24"/>
                <w:szCs w:val="24"/>
              </w:rPr>
              <w:t xml:space="preserve"> – </w:t>
            </w:r>
            <w:r w:rsidR="004948D9">
              <w:rPr>
                <w:rFonts w:cs="Times New Roman"/>
                <w:color w:val="000000"/>
                <w:sz w:val="24"/>
                <w:szCs w:val="24"/>
              </w:rPr>
              <w:t>R</w:t>
            </w:r>
            <w:r w:rsidR="00871BF6" w:rsidRPr="00C81EDF">
              <w:rPr>
                <w:rFonts w:cs="Times New Roman"/>
                <w:color w:val="000000"/>
                <w:sz w:val="24"/>
                <w:szCs w:val="24"/>
              </w:rPr>
              <w:t xml:space="preserve">egula </w:t>
            </w:r>
            <w:r w:rsidR="00E00901" w:rsidRPr="00C81EDF">
              <w:rPr>
                <w:rFonts w:cs="Times New Roman"/>
                <w:color w:val="000000"/>
                <w:sz w:val="24"/>
                <w:szCs w:val="24"/>
              </w:rPr>
              <w:t>Nr.</w:t>
            </w:r>
            <w:r w:rsidR="003A2701">
              <w:rPr>
                <w:rFonts w:cs="Times New Roman"/>
                <w:color w:val="000000"/>
                <w:sz w:val="24"/>
                <w:szCs w:val="24"/>
              </w:rPr>
              <w:t>561</w:t>
            </w:r>
            <w:r w:rsidR="00871BF6" w:rsidRPr="00C81EDF">
              <w:rPr>
                <w:rFonts w:cs="Times New Roman"/>
                <w:color w:val="000000"/>
                <w:sz w:val="24"/>
                <w:szCs w:val="24"/>
              </w:rPr>
              <w:t>/200</w:t>
            </w:r>
            <w:r w:rsidR="003A2701">
              <w:rPr>
                <w:rFonts w:cs="Times New Roman"/>
                <w:color w:val="000000"/>
                <w:sz w:val="24"/>
                <w:szCs w:val="24"/>
              </w:rPr>
              <w:t>6</w:t>
            </w:r>
            <w:r w:rsidR="00871BF6" w:rsidRPr="00C81EDF">
              <w:rPr>
                <w:rFonts w:cs="Times New Roman"/>
                <w:color w:val="000000"/>
                <w:sz w:val="24"/>
                <w:szCs w:val="24"/>
              </w:rPr>
              <w:t>).</w:t>
            </w:r>
          </w:p>
          <w:p w:rsidR="002D1699" w:rsidRPr="003A2701" w:rsidRDefault="00866C46" w:rsidP="00866C46">
            <w:pPr>
              <w:ind w:firstLine="0"/>
              <w:jc w:val="both"/>
              <w:rPr>
                <w:sz w:val="24"/>
                <w:szCs w:val="24"/>
              </w:rPr>
            </w:pPr>
            <w:r>
              <w:rPr>
                <w:rFonts w:cs="Times New Roman"/>
                <w:sz w:val="24"/>
                <w:szCs w:val="24"/>
              </w:rPr>
              <w:t>3</w:t>
            </w:r>
            <w:r w:rsidR="00340368" w:rsidRPr="003A2701">
              <w:rPr>
                <w:rFonts w:cs="Times New Roman"/>
                <w:sz w:val="24"/>
                <w:szCs w:val="24"/>
              </w:rPr>
              <w:t xml:space="preserve">) </w:t>
            </w:r>
            <w:r w:rsidR="003A2701" w:rsidRPr="003A2701">
              <w:rPr>
                <w:sz w:val="24"/>
                <w:szCs w:val="24"/>
              </w:rPr>
              <w:t xml:space="preserve">Eiropas Parlamenta un Padomes 2014.gada 4.februāra Regula (ES) Nr.165/2014 par tahogrāfiem autotransportā, ar kuru atceļ Padomes Regulu (EEK) Nr.3821/85 par reģistrācijas kontrolierīcēm, ko izmanto autotransportā, un groza Eiropas Parlamenta un Padomes Regulu (EK) Nr.561/2006, ar ko paredz dažu sociālās jomas tiesību aktu saskaņošanu saistībā ar autotransportu </w:t>
            </w:r>
            <w:r w:rsidR="003A2701" w:rsidRPr="003A2701">
              <w:rPr>
                <w:rFonts w:cs="Times New Roman"/>
                <w:sz w:val="24"/>
                <w:szCs w:val="24"/>
              </w:rPr>
              <w:t xml:space="preserve">(turpmāk – </w:t>
            </w:r>
            <w:r w:rsidR="004948D9">
              <w:rPr>
                <w:sz w:val="24"/>
                <w:szCs w:val="24"/>
              </w:rPr>
              <w:t>R</w:t>
            </w:r>
            <w:r w:rsidR="003A2701" w:rsidRPr="003A2701">
              <w:rPr>
                <w:sz w:val="24"/>
                <w:szCs w:val="24"/>
              </w:rPr>
              <w:t>egula</w:t>
            </w:r>
            <w:r w:rsidR="004948D9">
              <w:rPr>
                <w:sz w:val="24"/>
                <w:szCs w:val="24"/>
              </w:rPr>
              <w:t xml:space="preserve"> (ES)</w:t>
            </w:r>
            <w:r w:rsidR="003A2701" w:rsidRPr="003A2701">
              <w:rPr>
                <w:sz w:val="24"/>
                <w:szCs w:val="24"/>
              </w:rPr>
              <w:t xml:space="preserve"> Nr. 165/2014</w:t>
            </w:r>
            <w:r w:rsidR="003A2701">
              <w:rPr>
                <w:sz w:val="24"/>
                <w:szCs w:val="24"/>
              </w:rPr>
              <w:t>).</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3A2701" w:rsidRDefault="003A2701" w:rsidP="002545D7">
            <w:pPr>
              <w:ind w:firstLine="0"/>
              <w:jc w:val="both"/>
              <w:rPr>
                <w:sz w:val="24"/>
                <w:szCs w:val="24"/>
              </w:rPr>
            </w:pPr>
            <w:r w:rsidRPr="003A2701">
              <w:rPr>
                <w:sz w:val="24"/>
                <w:szCs w:val="24"/>
              </w:rPr>
              <w:t xml:space="preserve">Spēkā esošie normatīvie akti nosaka, ka, veicot kravu pārvadājumus ar transportlīdzekļiem, kuru maksimāli pieļaujamā pilnā masa, ieskaitot piekabi vai puspiekabi, pārsniedz </w:t>
            </w:r>
            <w:smartTag w:uri="schemas-tilde-lv/tildestengine" w:element="metric2">
              <w:smartTagPr>
                <w:attr w:name="metric_text" w:val="tonnas"/>
                <w:attr w:name="metric_value" w:val="3.5"/>
              </w:smartTagPr>
              <w:smartTag w:uri="schemas-tilde-lv/tildestengine" w:element="metric">
                <w:smartTagPr>
                  <w:attr w:name="metric_text" w:val="tonnas"/>
                  <w:attr w:name="metric_value" w:val="3.5"/>
                </w:smartTagPr>
                <w:r w:rsidRPr="003A2701">
                  <w:rPr>
                    <w:sz w:val="24"/>
                    <w:szCs w:val="24"/>
                  </w:rPr>
                  <w:t>3,5 tonnas</w:t>
                </w:r>
              </w:smartTag>
            </w:smartTag>
            <w:r w:rsidRPr="003A2701">
              <w:rPr>
                <w:sz w:val="24"/>
                <w:szCs w:val="24"/>
              </w:rPr>
              <w:t xml:space="preserve">, vai arī veicot pasažieru pārvadājumus ar transportlīdzekļiem, kuru konstrukcija un aprīkojums ir piemērots vairāk kā deviņu personu pārvadāšanai, ieskaitot vadītāju, nepieciešams ievērot </w:t>
            </w:r>
            <w:hyperlink r:id="rId10" w:history="1">
              <w:r w:rsidR="004E62B3">
                <w:rPr>
                  <w:rStyle w:val="Strong"/>
                  <w:b w:val="0"/>
                  <w:color w:val="auto"/>
                  <w:sz w:val="24"/>
                  <w:szCs w:val="24"/>
                </w:rPr>
                <w:t xml:space="preserve">Regulas </w:t>
              </w:r>
              <w:r w:rsidRPr="003A2701">
                <w:rPr>
                  <w:rStyle w:val="Strong"/>
                  <w:b w:val="0"/>
                  <w:color w:val="auto"/>
                  <w:sz w:val="24"/>
                  <w:szCs w:val="24"/>
                </w:rPr>
                <w:t>Nr.561/2006</w:t>
              </w:r>
            </w:hyperlink>
            <w:r w:rsidRPr="003A2701">
              <w:rPr>
                <w:sz w:val="24"/>
                <w:szCs w:val="24"/>
              </w:rPr>
              <w:t xml:space="preserve"> prasības un uzskaitīt</w:t>
            </w:r>
            <w:r w:rsidRPr="003A2701">
              <w:rPr>
                <w:b/>
                <w:sz w:val="24"/>
                <w:szCs w:val="24"/>
              </w:rPr>
              <w:t xml:space="preserve"> </w:t>
            </w:r>
            <w:r w:rsidRPr="003A2701">
              <w:rPr>
                <w:sz w:val="24"/>
                <w:szCs w:val="24"/>
              </w:rPr>
              <w:t>transportlīdzekļa vadītāja braukšanas un atpūtas laiku, izmantojot reģistrācijas kontro</w:t>
            </w:r>
            <w:r w:rsidR="004705B1">
              <w:rPr>
                <w:sz w:val="24"/>
                <w:szCs w:val="24"/>
              </w:rPr>
              <w:t>lierīci – tahogrāfu. Ņemot vērā</w:t>
            </w:r>
            <w:r w:rsidRPr="003A2701">
              <w:rPr>
                <w:sz w:val="24"/>
                <w:szCs w:val="24"/>
              </w:rPr>
              <w:t xml:space="preserve"> tehnisko progresu un nepieciešamību precīzāk uzskaitīt braukšanas un atpūtas laiku, transportlīdzekļi no 2006.gada 1.maija tiek aprīkoti tikai un vienīgi ar digitālo tahogrāfu. Lai šo ierīci varētu izmantot, katrai Eiropas Savienības dalībvalstij ir jānodrošina digitālā tahogrāfa karšu izdošana un kontrole. Latvijā digitālā tahogrāfa karšu izsniegšanu un administrēšanu nodrošina </w:t>
            </w:r>
            <w:r w:rsidR="009A62BF">
              <w:rPr>
                <w:sz w:val="24"/>
                <w:szCs w:val="24"/>
              </w:rPr>
              <w:t>V</w:t>
            </w:r>
            <w:r w:rsidRPr="003A2701">
              <w:rPr>
                <w:sz w:val="24"/>
                <w:szCs w:val="24"/>
              </w:rPr>
              <w:t>SIA „Autotransporta direkcija”.</w:t>
            </w:r>
          </w:p>
          <w:p w:rsidR="003A2701" w:rsidRDefault="003E551F" w:rsidP="002545D7">
            <w:pPr>
              <w:ind w:firstLine="0"/>
              <w:jc w:val="both"/>
              <w:rPr>
                <w:rFonts w:cs="Times New Roman"/>
                <w:sz w:val="24"/>
                <w:szCs w:val="24"/>
              </w:rPr>
            </w:pPr>
            <w:r>
              <w:rPr>
                <w:rFonts w:cs="Times New Roman"/>
                <w:sz w:val="24"/>
                <w:szCs w:val="24"/>
              </w:rPr>
              <w:t>Noteikumu p</w:t>
            </w:r>
            <w:r w:rsidR="00027476">
              <w:rPr>
                <w:rFonts w:cs="Times New Roman"/>
                <w:sz w:val="24"/>
                <w:szCs w:val="24"/>
              </w:rPr>
              <w:t>rojekts paredz</w:t>
            </w:r>
            <w:r w:rsidR="003A2701">
              <w:rPr>
                <w:rFonts w:cs="Times New Roman"/>
                <w:sz w:val="24"/>
                <w:szCs w:val="24"/>
              </w:rPr>
              <w:t>:</w:t>
            </w:r>
          </w:p>
          <w:p w:rsidR="003A2701" w:rsidRPr="003A2701" w:rsidRDefault="003A2701" w:rsidP="003E28A8">
            <w:pPr>
              <w:numPr>
                <w:ilvl w:val="0"/>
                <w:numId w:val="7"/>
              </w:numPr>
              <w:ind w:left="66" w:hanging="66"/>
              <w:jc w:val="both"/>
              <w:rPr>
                <w:sz w:val="24"/>
                <w:szCs w:val="24"/>
              </w:rPr>
            </w:pPr>
            <w:r w:rsidRPr="003A2701">
              <w:rPr>
                <w:sz w:val="24"/>
                <w:szCs w:val="24"/>
              </w:rPr>
              <w:t xml:space="preserve">aizstāt atsauces uz </w:t>
            </w:r>
            <w:r w:rsidRPr="00086977">
              <w:rPr>
                <w:sz w:val="24"/>
                <w:szCs w:val="24"/>
              </w:rPr>
              <w:t>spēku zaudējušo</w:t>
            </w:r>
            <w:r w:rsidRPr="003A2701">
              <w:rPr>
                <w:sz w:val="24"/>
                <w:szCs w:val="24"/>
              </w:rPr>
              <w:t xml:space="preserve"> </w:t>
            </w:r>
            <w:r w:rsidR="00C25E4E" w:rsidRPr="003A2701">
              <w:rPr>
                <w:sz w:val="24"/>
                <w:szCs w:val="24"/>
              </w:rPr>
              <w:t>Regul</w:t>
            </w:r>
            <w:r w:rsidR="00027476">
              <w:rPr>
                <w:sz w:val="24"/>
                <w:szCs w:val="24"/>
              </w:rPr>
              <w:t>u</w:t>
            </w:r>
            <w:r w:rsidR="00C25E4E" w:rsidRPr="003A2701">
              <w:rPr>
                <w:sz w:val="24"/>
                <w:szCs w:val="24"/>
              </w:rPr>
              <w:t xml:space="preserve"> (</w:t>
            </w:r>
            <w:smartTag w:uri="schemas-tilde-lv/tildestengine" w:element="currency2">
              <w:smartTagPr>
                <w:attr w:name="currency_id" w:val="14"/>
                <w:attr w:name="currency_key" w:val="EEK"/>
                <w:attr w:name="currency_value" w:val="1"/>
                <w:attr w:name="currency_text" w:val="EEK"/>
              </w:smartTagPr>
              <w:smartTag w:uri="schemas-tilde-lv/tildestengine" w:element="currency">
                <w:smartTagPr>
                  <w:attr w:name="currency_id" w:val="14"/>
                  <w:attr w:name="currency_key" w:val="EEK"/>
                  <w:attr w:name="currency_value" w:val="1"/>
                  <w:attr w:name="currency_text" w:val="EEK"/>
                </w:smartTagPr>
                <w:r w:rsidR="00C25E4E" w:rsidRPr="003A2701">
                  <w:rPr>
                    <w:sz w:val="24"/>
                    <w:szCs w:val="24"/>
                  </w:rPr>
                  <w:t>EEK</w:t>
                </w:r>
              </w:smartTag>
            </w:smartTag>
            <w:r w:rsidR="00C25E4E" w:rsidRPr="003A2701">
              <w:rPr>
                <w:sz w:val="24"/>
                <w:szCs w:val="24"/>
              </w:rPr>
              <w:t>) Nr. 3821/85</w:t>
            </w:r>
            <w:r w:rsidR="00027476">
              <w:rPr>
                <w:sz w:val="24"/>
                <w:szCs w:val="24"/>
              </w:rPr>
              <w:t xml:space="preserve"> </w:t>
            </w:r>
            <w:r w:rsidRPr="003A2701">
              <w:rPr>
                <w:sz w:val="24"/>
                <w:szCs w:val="24"/>
              </w:rPr>
              <w:t>ar jaun</w:t>
            </w:r>
            <w:r w:rsidR="00027476">
              <w:rPr>
                <w:sz w:val="24"/>
                <w:szCs w:val="24"/>
              </w:rPr>
              <w:t>o</w:t>
            </w:r>
            <w:r w:rsidR="00C25E4E">
              <w:rPr>
                <w:sz w:val="24"/>
                <w:szCs w:val="24"/>
              </w:rPr>
              <w:t xml:space="preserve"> </w:t>
            </w:r>
            <w:r w:rsidR="00C25E4E" w:rsidRPr="003A2701">
              <w:rPr>
                <w:sz w:val="24"/>
                <w:szCs w:val="24"/>
              </w:rPr>
              <w:t>Reg</w:t>
            </w:r>
            <w:r w:rsidR="00C25E4E">
              <w:rPr>
                <w:sz w:val="24"/>
                <w:szCs w:val="24"/>
              </w:rPr>
              <w:t>ul</w:t>
            </w:r>
            <w:r w:rsidR="00027476">
              <w:rPr>
                <w:sz w:val="24"/>
                <w:szCs w:val="24"/>
              </w:rPr>
              <w:t>u</w:t>
            </w:r>
            <w:r w:rsidR="00C25E4E">
              <w:rPr>
                <w:sz w:val="24"/>
                <w:szCs w:val="24"/>
              </w:rPr>
              <w:t xml:space="preserve"> (ES) Nr. 165/2014)</w:t>
            </w:r>
            <w:r w:rsidR="00C05D77">
              <w:rPr>
                <w:sz w:val="24"/>
                <w:szCs w:val="24"/>
              </w:rPr>
              <w:t>, veicot attiecīgus redakcionālus precizējumus</w:t>
            </w:r>
            <w:r w:rsidR="00D80DCE">
              <w:rPr>
                <w:sz w:val="24"/>
                <w:szCs w:val="24"/>
              </w:rPr>
              <w:t>;</w:t>
            </w:r>
          </w:p>
          <w:p w:rsidR="003A2701" w:rsidRDefault="003A2701" w:rsidP="003E28A8">
            <w:pPr>
              <w:numPr>
                <w:ilvl w:val="0"/>
                <w:numId w:val="7"/>
              </w:numPr>
              <w:ind w:left="66" w:hanging="66"/>
              <w:jc w:val="both"/>
              <w:rPr>
                <w:sz w:val="24"/>
                <w:szCs w:val="24"/>
              </w:rPr>
            </w:pPr>
            <w:r w:rsidRPr="003A2701">
              <w:rPr>
                <w:sz w:val="24"/>
                <w:szCs w:val="24"/>
              </w:rPr>
              <w:t>iespēj</w:t>
            </w:r>
            <w:r w:rsidR="00027476">
              <w:rPr>
                <w:sz w:val="24"/>
                <w:szCs w:val="24"/>
              </w:rPr>
              <w:t>u</w:t>
            </w:r>
            <w:r w:rsidRPr="003A2701">
              <w:rPr>
                <w:sz w:val="24"/>
                <w:szCs w:val="24"/>
              </w:rPr>
              <w:t xml:space="preserve"> transportlīdzekļa īpašniekiem vai turētājiem pieteikties </w:t>
            </w:r>
            <w:r>
              <w:rPr>
                <w:sz w:val="24"/>
                <w:szCs w:val="24"/>
              </w:rPr>
              <w:t xml:space="preserve">uzņēmuma kartei </w:t>
            </w:r>
            <w:r w:rsidRPr="003A2701">
              <w:rPr>
                <w:sz w:val="24"/>
                <w:szCs w:val="24"/>
              </w:rPr>
              <w:t xml:space="preserve">arī elektroniski, aizpildot </w:t>
            </w:r>
            <w:r w:rsidRPr="003A2701">
              <w:rPr>
                <w:sz w:val="24"/>
                <w:szCs w:val="24"/>
              </w:rPr>
              <w:lastRenderedPageBreak/>
              <w:t xml:space="preserve">speciālu tiešsaistes formu </w:t>
            </w:r>
            <w:r w:rsidR="009A62BF">
              <w:rPr>
                <w:sz w:val="24"/>
                <w:szCs w:val="24"/>
              </w:rPr>
              <w:t>VSIA “</w:t>
            </w:r>
            <w:r w:rsidRPr="003A2701">
              <w:rPr>
                <w:sz w:val="24"/>
                <w:szCs w:val="24"/>
              </w:rPr>
              <w:t>Autotransporta direkcija</w:t>
            </w:r>
            <w:r w:rsidR="009A62BF">
              <w:rPr>
                <w:sz w:val="24"/>
                <w:szCs w:val="24"/>
              </w:rPr>
              <w:t>”</w:t>
            </w:r>
            <w:bookmarkStart w:id="0" w:name="_GoBack"/>
            <w:bookmarkEnd w:id="0"/>
            <w:r w:rsidRPr="003A2701">
              <w:rPr>
                <w:sz w:val="24"/>
                <w:szCs w:val="24"/>
              </w:rPr>
              <w:t xml:space="preserve"> tīmekļa vietnē </w:t>
            </w:r>
            <w:hyperlink r:id="rId11" w:history="1">
              <w:r w:rsidRPr="003A2701">
                <w:rPr>
                  <w:rStyle w:val="Hyperlink"/>
                  <w:sz w:val="24"/>
                  <w:szCs w:val="24"/>
                </w:rPr>
                <w:t>www.atd.lv</w:t>
              </w:r>
            </w:hyperlink>
            <w:r w:rsidRPr="003A2701">
              <w:rPr>
                <w:sz w:val="24"/>
                <w:szCs w:val="24"/>
              </w:rPr>
              <w:t xml:space="preserve"> (e-pakalpojums) un identifikācijai izmantojot vienotajā valsts un pašvaldību pakalpojumu portālā </w:t>
            </w:r>
            <w:hyperlink r:id="rId12" w:history="1">
              <w:r w:rsidRPr="003A2701">
                <w:rPr>
                  <w:rStyle w:val="Hyperlink"/>
                  <w:sz w:val="24"/>
                  <w:szCs w:val="24"/>
                </w:rPr>
                <w:t>www.latvija.lv</w:t>
              </w:r>
            </w:hyperlink>
            <w:r w:rsidRPr="003A2701">
              <w:rPr>
                <w:sz w:val="24"/>
                <w:szCs w:val="24"/>
              </w:rPr>
              <w:t xml:space="preserve"> pieejamos pers</w:t>
            </w:r>
            <w:r w:rsidR="00086977">
              <w:rPr>
                <w:sz w:val="24"/>
                <w:szCs w:val="24"/>
              </w:rPr>
              <w:t>onas identifikācijas līdzekļus</w:t>
            </w:r>
            <w:r w:rsidR="00D80DCE">
              <w:rPr>
                <w:sz w:val="24"/>
                <w:szCs w:val="24"/>
              </w:rPr>
              <w:t>;</w:t>
            </w:r>
          </w:p>
          <w:p w:rsidR="00072346" w:rsidRPr="00764D6D" w:rsidRDefault="00F352D9" w:rsidP="003E28A8">
            <w:pPr>
              <w:numPr>
                <w:ilvl w:val="0"/>
                <w:numId w:val="7"/>
              </w:numPr>
              <w:ind w:left="66" w:hanging="66"/>
              <w:jc w:val="both"/>
              <w:rPr>
                <w:sz w:val="24"/>
                <w:szCs w:val="24"/>
              </w:rPr>
            </w:pPr>
            <w:r>
              <w:rPr>
                <w:sz w:val="24"/>
                <w:szCs w:val="24"/>
              </w:rPr>
              <w:t>s</w:t>
            </w:r>
            <w:r>
              <w:rPr>
                <w:rFonts w:cs="Times New Roman"/>
                <w:sz w:val="24"/>
                <w:szCs w:val="24"/>
              </w:rPr>
              <w:t>a</w:t>
            </w:r>
            <w:r w:rsidRPr="00C81EDF">
              <w:rPr>
                <w:rFonts w:cs="Times New Roman"/>
                <w:sz w:val="24"/>
                <w:szCs w:val="24"/>
              </w:rPr>
              <w:t>mazināt administratīv</w:t>
            </w:r>
            <w:r w:rsidR="00027476">
              <w:rPr>
                <w:rFonts w:cs="Times New Roman"/>
                <w:sz w:val="24"/>
                <w:szCs w:val="24"/>
              </w:rPr>
              <w:t>o</w:t>
            </w:r>
            <w:r w:rsidRPr="00C81EDF">
              <w:rPr>
                <w:rFonts w:cs="Times New Roman"/>
                <w:sz w:val="24"/>
                <w:szCs w:val="24"/>
              </w:rPr>
              <w:t xml:space="preserve"> slog</w:t>
            </w:r>
            <w:r w:rsidR="00027476">
              <w:rPr>
                <w:rFonts w:cs="Times New Roman"/>
                <w:sz w:val="24"/>
                <w:szCs w:val="24"/>
              </w:rPr>
              <w:t>u</w:t>
            </w:r>
            <w:r>
              <w:rPr>
                <w:rFonts w:cs="Times New Roman"/>
                <w:sz w:val="24"/>
                <w:szCs w:val="24"/>
              </w:rPr>
              <w:t xml:space="preserve"> fiziskām un juridiskām personām</w:t>
            </w:r>
            <w:r w:rsidR="00027476">
              <w:rPr>
                <w:rFonts w:cs="Times New Roman"/>
                <w:sz w:val="24"/>
                <w:szCs w:val="24"/>
              </w:rPr>
              <w:t>,</w:t>
            </w:r>
            <w:r>
              <w:rPr>
                <w:rFonts w:cs="Times New Roman"/>
                <w:sz w:val="24"/>
                <w:szCs w:val="24"/>
              </w:rPr>
              <w:t xml:space="preserve"> </w:t>
            </w:r>
            <w:r w:rsidR="00027476">
              <w:rPr>
                <w:sz w:val="24"/>
                <w:szCs w:val="24"/>
              </w:rPr>
              <w:t>saņemot</w:t>
            </w:r>
            <w:r w:rsidR="00027476">
              <w:rPr>
                <w:rFonts w:cs="Times New Roman"/>
                <w:sz w:val="24"/>
                <w:szCs w:val="24"/>
              </w:rPr>
              <w:t xml:space="preserve"> </w:t>
            </w:r>
            <w:r w:rsidRPr="003A2701">
              <w:rPr>
                <w:sz w:val="24"/>
                <w:szCs w:val="24"/>
              </w:rPr>
              <w:t>digitālā tahogrāfa kar</w:t>
            </w:r>
            <w:r w:rsidR="00027476">
              <w:rPr>
                <w:sz w:val="24"/>
                <w:szCs w:val="24"/>
              </w:rPr>
              <w:t>tes,</w:t>
            </w:r>
            <w:r w:rsidRPr="003A2701">
              <w:rPr>
                <w:sz w:val="24"/>
                <w:szCs w:val="24"/>
              </w:rPr>
              <w:t xml:space="preserve"> </w:t>
            </w:r>
            <w:r>
              <w:rPr>
                <w:rFonts w:cs="Times New Roman"/>
                <w:sz w:val="24"/>
                <w:szCs w:val="24"/>
              </w:rPr>
              <w:t>un</w:t>
            </w:r>
            <w:r w:rsidR="00F36C26">
              <w:rPr>
                <w:rFonts w:cs="Times New Roman"/>
                <w:sz w:val="24"/>
                <w:szCs w:val="24"/>
              </w:rPr>
              <w:t xml:space="preserve"> pa</w:t>
            </w:r>
            <w:r w:rsidR="00CE683C">
              <w:rPr>
                <w:rFonts w:cs="Times New Roman"/>
                <w:sz w:val="24"/>
                <w:szCs w:val="24"/>
              </w:rPr>
              <w:t>lielināt resursu efektīv</w:t>
            </w:r>
            <w:r w:rsidR="00027476">
              <w:rPr>
                <w:rFonts w:cs="Times New Roman"/>
                <w:sz w:val="24"/>
                <w:szCs w:val="24"/>
              </w:rPr>
              <w:t>u</w:t>
            </w:r>
            <w:r w:rsidR="00CE683C">
              <w:rPr>
                <w:rFonts w:cs="Times New Roman"/>
                <w:sz w:val="24"/>
                <w:szCs w:val="24"/>
              </w:rPr>
              <w:t xml:space="preserve"> </w:t>
            </w:r>
            <w:r>
              <w:rPr>
                <w:rFonts w:cs="Times New Roman"/>
                <w:sz w:val="24"/>
                <w:szCs w:val="24"/>
              </w:rPr>
              <w:t>izmantošan</w:t>
            </w:r>
            <w:r w:rsidR="00027476">
              <w:rPr>
                <w:rFonts w:cs="Times New Roman"/>
                <w:sz w:val="24"/>
                <w:szCs w:val="24"/>
              </w:rPr>
              <w:t>u</w:t>
            </w:r>
            <w:r w:rsidR="00D80DCE">
              <w:rPr>
                <w:rFonts w:cs="Times New Roman"/>
                <w:sz w:val="24"/>
                <w:szCs w:val="24"/>
              </w:rPr>
              <w:t>;</w:t>
            </w:r>
            <w:r>
              <w:rPr>
                <w:rFonts w:cs="Times New Roman"/>
                <w:sz w:val="24"/>
                <w:szCs w:val="24"/>
              </w:rPr>
              <w:t xml:space="preserve"> </w:t>
            </w:r>
          </w:p>
          <w:p w:rsidR="0017257B" w:rsidRDefault="00027476" w:rsidP="003E28A8">
            <w:pPr>
              <w:numPr>
                <w:ilvl w:val="0"/>
                <w:numId w:val="7"/>
              </w:numPr>
              <w:ind w:left="66" w:hanging="66"/>
              <w:jc w:val="both"/>
              <w:rPr>
                <w:sz w:val="24"/>
                <w:szCs w:val="24"/>
              </w:rPr>
            </w:pPr>
            <w:r>
              <w:rPr>
                <w:sz w:val="24"/>
                <w:szCs w:val="24"/>
              </w:rPr>
              <w:t xml:space="preserve">noteikt, ka karšu </w:t>
            </w:r>
            <w:r w:rsidRPr="004948D9">
              <w:rPr>
                <w:sz w:val="24"/>
                <w:szCs w:val="24"/>
              </w:rPr>
              <w:t>atjaunošanai var pieteikties ne ātrāk kā 3 mēnešus līdz kartes derīguma termiņa beigām</w:t>
            </w:r>
            <w:r>
              <w:rPr>
                <w:sz w:val="24"/>
                <w:szCs w:val="24"/>
              </w:rPr>
              <w:t>. Šādu termiņu rekomendē</w:t>
            </w:r>
            <w:r w:rsidRPr="004948D9">
              <w:rPr>
                <w:sz w:val="24"/>
                <w:szCs w:val="24"/>
              </w:rPr>
              <w:t xml:space="preserve"> </w:t>
            </w:r>
            <w:r w:rsidR="00361CFD">
              <w:rPr>
                <w:sz w:val="24"/>
                <w:szCs w:val="24"/>
              </w:rPr>
              <w:t>Eiropas Komisijas</w:t>
            </w:r>
            <w:r>
              <w:rPr>
                <w:sz w:val="24"/>
                <w:szCs w:val="24"/>
              </w:rPr>
              <w:t xml:space="preserve"> dokuments</w:t>
            </w:r>
            <w:r w:rsidR="00361CFD">
              <w:rPr>
                <w:sz w:val="24"/>
                <w:szCs w:val="24"/>
              </w:rPr>
              <w:t xml:space="preserve"> </w:t>
            </w:r>
            <w:r>
              <w:rPr>
                <w:sz w:val="24"/>
                <w:szCs w:val="24"/>
              </w:rPr>
              <w:t>„</w:t>
            </w:r>
            <w:r w:rsidR="007F4EFB" w:rsidRPr="004948D9">
              <w:rPr>
                <w:sz w:val="24"/>
                <w:szCs w:val="24"/>
              </w:rPr>
              <w:t>Lab</w:t>
            </w:r>
            <w:r>
              <w:rPr>
                <w:sz w:val="24"/>
                <w:szCs w:val="24"/>
              </w:rPr>
              <w:t>ā</w:t>
            </w:r>
            <w:r w:rsidR="007F4EFB" w:rsidRPr="004948D9">
              <w:rPr>
                <w:sz w:val="24"/>
                <w:szCs w:val="24"/>
              </w:rPr>
              <w:t xml:space="preserve"> praks</w:t>
            </w:r>
            <w:r>
              <w:rPr>
                <w:sz w:val="24"/>
                <w:szCs w:val="24"/>
              </w:rPr>
              <w:t>e</w:t>
            </w:r>
            <w:r w:rsidR="007F4EFB" w:rsidRPr="004948D9">
              <w:rPr>
                <w:sz w:val="24"/>
                <w:szCs w:val="24"/>
              </w:rPr>
              <w:t xml:space="preserve"> digitālā tahogrāfa karšu izsniegšanā</w:t>
            </w:r>
            <w:r>
              <w:rPr>
                <w:sz w:val="24"/>
                <w:szCs w:val="24"/>
              </w:rPr>
              <w:t>”</w:t>
            </w:r>
            <w:r w:rsidR="00361CFD">
              <w:rPr>
                <w:sz w:val="24"/>
                <w:szCs w:val="24"/>
              </w:rPr>
              <w:t xml:space="preserve"> (</w:t>
            </w:r>
            <w:r w:rsidR="00361CFD" w:rsidRPr="00361CFD">
              <w:rPr>
                <w:sz w:val="24"/>
                <w:szCs w:val="24"/>
              </w:rPr>
              <w:t>„</w:t>
            </w:r>
            <w:proofErr w:type="spellStart"/>
            <w:r w:rsidR="00361CFD" w:rsidRPr="00027476">
              <w:rPr>
                <w:i/>
                <w:sz w:val="24"/>
                <w:szCs w:val="24"/>
              </w:rPr>
              <w:t>Digital</w:t>
            </w:r>
            <w:proofErr w:type="spellEnd"/>
            <w:r w:rsidR="00361CFD" w:rsidRPr="00027476">
              <w:rPr>
                <w:i/>
                <w:sz w:val="24"/>
                <w:szCs w:val="24"/>
              </w:rPr>
              <w:t xml:space="preserve"> </w:t>
            </w:r>
            <w:proofErr w:type="spellStart"/>
            <w:r w:rsidR="00361CFD" w:rsidRPr="00027476">
              <w:rPr>
                <w:i/>
                <w:sz w:val="24"/>
                <w:szCs w:val="24"/>
              </w:rPr>
              <w:t>tachographs</w:t>
            </w:r>
            <w:proofErr w:type="spellEnd"/>
            <w:r w:rsidR="00361CFD" w:rsidRPr="00027476">
              <w:rPr>
                <w:i/>
                <w:sz w:val="24"/>
                <w:szCs w:val="24"/>
              </w:rPr>
              <w:t xml:space="preserve"> </w:t>
            </w:r>
            <w:proofErr w:type="spellStart"/>
            <w:r w:rsidR="00361CFD" w:rsidRPr="00027476">
              <w:rPr>
                <w:i/>
                <w:sz w:val="24"/>
                <w:szCs w:val="24"/>
              </w:rPr>
              <w:t>card</w:t>
            </w:r>
            <w:proofErr w:type="spellEnd"/>
            <w:r w:rsidR="00361CFD" w:rsidRPr="00027476">
              <w:rPr>
                <w:i/>
                <w:sz w:val="24"/>
                <w:szCs w:val="24"/>
              </w:rPr>
              <w:t xml:space="preserve"> </w:t>
            </w:r>
            <w:proofErr w:type="spellStart"/>
            <w:r w:rsidR="00361CFD" w:rsidRPr="00027476">
              <w:rPr>
                <w:i/>
                <w:sz w:val="24"/>
                <w:szCs w:val="24"/>
              </w:rPr>
              <w:t>issuing</w:t>
            </w:r>
            <w:proofErr w:type="spellEnd"/>
            <w:r w:rsidR="00361CFD" w:rsidRPr="00027476">
              <w:rPr>
                <w:i/>
                <w:sz w:val="24"/>
                <w:szCs w:val="24"/>
              </w:rPr>
              <w:t xml:space="preserve"> </w:t>
            </w:r>
            <w:proofErr w:type="spellStart"/>
            <w:r w:rsidR="00361CFD" w:rsidRPr="00027476">
              <w:rPr>
                <w:i/>
                <w:sz w:val="24"/>
                <w:szCs w:val="24"/>
              </w:rPr>
              <w:t>best</w:t>
            </w:r>
            <w:proofErr w:type="spellEnd"/>
            <w:r w:rsidR="00361CFD" w:rsidRPr="00027476">
              <w:rPr>
                <w:i/>
                <w:sz w:val="24"/>
                <w:szCs w:val="24"/>
              </w:rPr>
              <w:t xml:space="preserve"> </w:t>
            </w:r>
            <w:proofErr w:type="spellStart"/>
            <w:r w:rsidR="00361CFD" w:rsidRPr="00027476">
              <w:rPr>
                <w:i/>
                <w:sz w:val="24"/>
                <w:szCs w:val="24"/>
              </w:rPr>
              <w:t>practice</w:t>
            </w:r>
            <w:proofErr w:type="spellEnd"/>
            <w:r w:rsidR="00361CFD" w:rsidRPr="00027476">
              <w:rPr>
                <w:i/>
                <w:sz w:val="24"/>
                <w:szCs w:val="24"/>
              </w:rPr>
              <w:t xml:space="preserve"> </w:t>
            </w:r>
            <w:proofErr w:type="spellStart"/>
            <w:r w:rsidR="00361CFD" w:rsidRPr="00027476">
              <w:rPr>
                <w:i/>
                <w:sz w:val="24"/>
                <w:szCs w:val="24"/>
              </w:rPr>
              <w:t>guidelines</w:t>
            </w:r>
            <w:proofErr w:type="spellEnd"/>
            <w:r w:rsidR="00361CFD" w:rsidRPr="00361CFD">
              <w:rPr>
                <w:sz w:val="24"/>
                <w:szCs w:val="24"/>
              </w:rPr>
              <w:t>”</w:t>
            </w:r>
            <w:r w:rsidR="00361CFD">
              <w:rPr>
                <w:sz w:val="24"/>
                <w:szCs w:val="24"/>
              </w:rPr>
              <w:t>)</w:t>
            </w:r>
            <w:r>
              <w:rPr>
                <w:sz w:val="24"/>
                <w:szCs w:val="24"/>
              </w:rPr>
              <w:t xml:space="preserve"> un tāds ir noteikts arī citās Eiropas Savienības dalībvalstīs.</w:t>
            </w:r>
          </w:p>
          <w:p w:rsidR="00B9319D" w:rsidRPr="00361CFE" w:rsidRDefault="0017257B" w:rsidP="0017257B">
            <w:pPr>
              <w:pStyle w:val="ListParagraph"/>
              <w:ind w:left="66" w:firstLine="0"/>
              <w:jc w:val="both"/>
              <w:rPr>
                <w:color w:val="FF0000"/>
                <w:sz w:val="24"/>
                <w:szCs w:val="24"/>
              </w:rPr>
            </w:pPr>
            <w:r w:rsidRPr="004948D9">
              <w:rPr>
                <w:rFonts w:cs="Times New Roman"/>
                <w:sz w:val="24"/>
                <w:szCs w:val="24"/>
              </w:rPr>
              <w:t xml:space="preserve">Ņemot vērā, ka </w:t>
            </w:r>
            <w:r w:rsidRPr="004948D9">
              <w:rPr>
                <w:sz w:val="24"/>
                <w:szCs w:val="24"/>
              </w:rPr>
              <w:t xml:space="preserve">Regula (ES) Nr. 165/2014 piemērojama no 2016.gada 2.marta, </w:t>
            </w:r>
            <w:r w:rsidRPr="004948D9">
              <w:rPr>
                <w:rFonts w:cs="Times New Roman"/>
                <w:sz w:val="24"/>
                <w:szCs w:val="24"/>
              </w:rPr>
              <w:t xml:space="preserve">noteikumi stājas spēkā 2016.gada 2.martā. </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F36C26" w:rsidRPr="00C81EDF" w:rsidRDefault="00826940" w:rsidP="00F36C26">
            <w:pPr>
              <w:ind w:firstLine="0"/>
              <w:jc w:val="both"/>
              <w:rPr>
                <w:rFonts w:cs="Times New Roman"/>
                <w:sz w:val="24"/>
                <w:szCs w:val="24"/>
              </w:rPr>
            </w:pPr>
            <w:r w:rsidRPr="00826940">
              <w:rPr>
                <w:rFonts w:cs="Times New Roman"/>
                <w:sz w:val="24"/>
                <w:szCs w:val="24"/>
              </w:rPr>
              <w:t xml:space="preserve">Satiksmes ministrija, </w:t>
            </w:r>
            <w:r w:rsidR="002D1699" w:rsidRPr="00C81EDF">
              <w:rPr>
                <w:rFonts w:cs="Times New Roman"/>
                <w:sz w:val="24"/>
                <w:szCs w:val="24"/>
              </w:rPr>
              <w:t>VSIA „Autotransporta direkcija”</w:t>
            </w:r>
          </w:p>
          <w:p w:rsidR="002D1699" w:rsidRPr="00C81EDF" w:rsidRDefault="002D1699" w:rsidP="00920A49">
            <w:pPr>
              <w:ind w:firstLine="0"/>
              <w:jc w:val="both"/>
              <w:rPr>
                <w:rFonts w:cs="Times New Roman"/>
                <w:sz w:val="24"/>
                <w:szCs w:val="24"/>
              </w:rPr>
            </w:pPr>
          </w:p>
        </w:tc>
      </w:tr>
      <w:tr w:rsidR="002D1699" w:rsidRPr="00C81EDF"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II. Tiesību akta projekta ietekme uz sabiedrību, tautsaimniecības attīstību un administratīvo slogu</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111908" w:rsidRDefault="002D1699" w:rsidP="002545D7">
            <w:pPr>
              <w:ind w:firstLine="0"/>
              <w:rPr>
                <w:rFonts w:cs="Times New Roman"/>
                <w:sz w:val="24"/>
                <w:szCs w:val="24"/>
              </w:rPr>
            </w:pPr>
            <w:r w:rsidRPr="00111908">
              <w:rPr>
                <w:rFonts w:cs="Times New Roman"/>
                <w:sz w:val="24"/>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2D1699" w:rsidRDefault="00443B8D" w:rsidP="00443B8D">
            <w:pPr>
              <w:spacing w:before="75" w:after="75"/>
              <w:ind w:firstLine="0"/>
              <w:jc w:val="both"/>
              <w:rPr>
                <w:rFonts w:eastAsia="Times New Roman" w:cs="Times New Roman"/>
                <w:sz w:val="24"/>
                <w:szCs w:val="24"/>
                <w:lang w:eastAsia="lv-LV"/>
              </w:rPr>
            </w:pPr>
            <w:r w:rsidRPr="00404B00">
              <w:rPr>
                <w:rFonts w:eastAsia="Times New Roman" w:cs="Times New Roman"/>
                <w:sz w:val="24"/>
                <w:szCs w:val="24"/>
                <w:lang w:eastAsia="lv-LV"/>
              </w:rPr>
              <w:t>Fiziskas personas un juridiskas personas</w:t>
            </w:r>
            <w:r w:rsidR="00404B00">
              <w:rPr>
                <w:rFonts w:eastAsia="Times New Roman" w:cs="Times New Roman"/>
                <w:sz w:val="24"/>
                <w:szCs w:val="24"/>
                <w:lang w:eastAsia="lv-LV"/>
              </w:rPr>
              <w:t>, kas strādā autopārvadājumu nozarē –</w:t>
            </w:r>
            <w:r w:rsidRPr="00404B00">
              <w:rPr>
                <w:rFonts w:eastAsia="Times New Roman" w:cs="Times New Roman"/>
                <w:sz w:val="24"/>
                <w:szCs w:val="24"/>
                <w:lang w:eastAsia="lv-LV"/>
              </w:rPr>
              <w:t xml:space="preserve"> 30</w:t>
            </w:r>
            <w:r w:rsidR="00EB55AD">
              <w:rPr>
                <w:rFonts w:eastAsia="Times New Roman" w:cs="Times New Roman"/>
                <w:sz w:val="24"/>
                <w:szCs w:val="24"/>
                <w:lang w:eastAsia="lv-LV"/>
              </w:rPr>
              <w:t> </w:t>
            </w:r>
            <w:r w:rsidRPr="00404B00">
              <w:rPr>
                <w:rFonts w:eastAsia="Times New Roman" w:cs="Times New Roman"/>
                <w:sz w:val="24"/>
                <w:szCs w:val="24"/>
                <w:lang w:eastAsia="lv-LV"/>
              </w:rPr>
              <w:t>000</w:t>
            </w:r>
            <w:r w:rsidR="00EB55AD">
              <w:rPr>
                <w:rFonts w:eastAsia="Times New Roman" w:cs="Times New Roman"/>
                <w:sz w:val="24"/>
                <w:szCs w:val="24"/>
                <w:lang w:eastAsia="lv-LV"/>
              </w:rPr>
              <w:t>.</w:t>
            </w:r>
          </w:p>
          <w:p w:rsidR="00EB55AD" w:rsidRPr="00DC53A5" w:rsidRDefault="00EB55AD" w:rsidP="004F717D">
            <w:pPr>
              <w:spacing w:before="75" w:after="75"/>
              <w:ind w:firstLine="0"/>
              <w:jc w:val="both"/>
              <w:rPr>
                <w:rFonts w:eastAsia="Times New Roman" w:cs="Times New Roman"/>
                <w:color w:val="FF0000"/>
                <w:sz w:val="24"/>
                <w:szCs w:val="24"/>
                <w:highlight w:val="yellow"/>
                <w:lang w:eastAsia="lv-LV"/>
              </w:rPr>
            </w:pPr>
            <w:r>
              <w:rPr>
                <w:rFonts w:eastAsia="Times New Roman" w:cs="Times New Roman"/>
                <w:sz w:val="24"/>
                <w:szCs w:val="24"/>
                <w:lang w:eastAsia="lv-LV"/>
              </w:rPr>
              <w:t xml:space="preserve">Laika periodā no 2006.gada 1.janvāra līdz 2015.gada 10.septembrim </w:t>
            </w:r>
            <w:r w:rsidR="004F717D">
              <w:rPr>
                <w:rFonts w:eastAsia="Times New Roman" w:cs="Times New Roman"/>
                <w:sz w:val="24"/>
                <w:szCs w:val="24"/>
                <w:lang w:eastAsia="lv-LV"/>
              </w:rPr>
              <w:t xml:space="preserve">kopā </w:t>
            </w:r>
            <w:r>
              <w:rPr>
                <w:rFonts w:eastAsia="Times New Roman" w:cs="Times New Roman"/>
                <w:sz w:val="24"/>
                <w:szCs w:val="24"/>
                <w:lang w:eastAsia="lv-LV"/>
              </w:rPr>
              <w:t>ir izsniegtas 58 37</w:t>
            </w:r>
            <w:r w:rsidR="004F717D">
              <w:rPr>
                <w:rFonts w:eastAsia="Times New Roman" w:cs="Times New Roman"/>
                <w:sz w:val="24"/>
                <w:szCs w:val="24"/>
                <w:lang w:eastAsia="lv-LV"/>
              </w:rPr>
              <w:t>9</w:t>
            </w:r>
            <w:r>
              <w:rPr>
                <w:rFonts w:eastAsia="Times New Roman" w:cs="Times New Roman"/>
                <w:sz w:val="24"/>
                <w:szCs w:val="24"/>
                <w:lang w:eastAsia="lv-LV"/>
              </w:rPr>
              <w:t xml:space="preserve"> digitālā tahogrāfa kartes, tai skait</w:t>
            </w:r>
            <w:r w:rsidR="004F717D">
              <w:rPr>
                <w:rFonts w:eastAsia="Times New Roman" w:cs="Times New Roman"/>
                <w:sz w:val="24"/>
                <w:szCs w:val="24"/>
                <w:lang w:eastAsia="lv-LV"/>
              </w:rPr>
              <w:t>ā,</w:t>
            </w:r>
            <w:r>
              <w:rPr>
                <w:rFonts w:eastAsia="Times New Roman" w:cs="Times New Roman"/>
                <w:sz w:val="24"/>
                <w:szCs w:val="24"/>
                <w:lang w:eastAsia="lv-LV"/>
              </w:rPr>
              <w:t xml:space="preserve"> 83 kontroles kartes, 54 </w:t>
            </w:r>
            <w:r w:rsidR="004F717D">
              <w:rPr>
                <w:rFonts w:eastAsia="Times New Roman" w:cs="Times New Roman"/>
                <w:sz w:val="24"/>
                <w:szCs w:val="24"/>
                <w:lang w:eastAsia="lv-LV"/>
              </w:rPr>
              <w:t xml:space="preserve">329 </w:t>
            </w:r>
            <w:r>
              <w:rPr>
                <w:rFonts w:eastAsia="Times New Roman" w:cs="Times New Roman"/>
                <w:sz w:val="24"/>
                <w:szCs w:val="24"/>
                <w:lang w:eastAsia="lv-LV"/>
              </w:rPr>
              <w:t>vadītāj</w:t>
            </w:r>
            <w:r w:rsidR="004F717D">
              <w:rPr>
                <w:rFonts w:eastAsia="Times New Roman" w:cs="Times New Roman"/>
                <w:sz w:val="24"/>
                <w:szCs w:val="24"/>
                <w:lang w:eastAsia="lv-LV"/>
              </w:rPr>
              <w:t>a</w:t>
            </w:r>
            <w:r>
              <w:rPr>
                <w:rFonts w:eastAsia="Times New Roman" w:cs="Times New Roman"/>
                <w:sz w:val="24"/>
                <w:szCs w:val="24"/>
                <w:lang w:eastAsia="lv-LV"/>
              </w:rPr>
              <w:t xml:space="preserve"> kartes, 3545 uzņēmumu kartes un 422 darbnīcu kartes. </w:t>
            </w:r>
          </w:p>
        </w:tc>
      </w:tr>
      <w:tr w:rsidR="002D1699" w:rsidRPr="00C81ED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2D1699" w:rsidRPr="00372846" w:rsidRDefault="00F36C26" w:rsidP="008779A7">
            <w:pPr>
              <w:autoSpaceDE w:val="0"/>
              <w:autoSpaceDN w:val="0"/>
              <w:adjustRightInd w:val="0"/>
              <w:ind w:firstLine="0"/>
              <w:jc w:val="both"/>
              <w:rPr>
                <w:rFonts w:ascii="TimesNewRomanPSMT" w:hAnsi="TimesNewRomanPSMT" w:cs="TimesNewRomanPSMT"/>
                <w:sz w:val="24"/>
                <w:szCs w:val="24"/>
              </w:rPr>
            </w:pPr>
            <w:r>
              <w:rPr>
                <w:rFonts w:cs="Times New Roman"/>
                <w:sz w:val="24"/>
                <w:szCs w:val="24"/>
              </w:rPr>
              <w:t>Fiziskām un juridiskām personām</w:t>
            </w:r>
            <w:r w:rsidR="002D1699" w:rsidRPr="00C81EDF">
              <w:rPr>
                <w:rFonts w:cs="Times New Roman"/>
                <w:sz w:val="24"/>
                <w:szCs w:val="24"/>
              </w:rPr>
              <w:t xml:space="preserve"> tiks mazināts administratīvais slogs, </w:t>
            </w:r>
            <w:r w:rsidR="0089015D" w:rsidRPr="00C81EDF">
              <w:rPr>
                <w:rFonts w:cs="Times New Roman"/>
                <w:sz w:val="24"/>
                <w:szCs w:val="24"/>
              </w:rPr>
              <w:t>jo samazināsies iesniedzam</w:t>
            </w:r>
            <w:r w:rsidR="00DC53A5">
              <w:rPr>
                <w:rFonts w:cs="Times New Roman"/>
                <w:sz w:val="24"/>
                <w:szCs w:val="24"/>
              </w:rPr>
              <w:t>o</w:t>
            </w:r>
            <w:r w:rsidR="0089015D" w:rsidRPr="00C81EDF">
              <w:rPr>
                <w:rFonts w:cs="Times New Roman"/>
                <w:sz w:val="24"/>
                <w:szCs w:val="24"/>
              </w:rPr>
              <w:t xml:space="preserve"> </w:t>
            </w:r>
            <w:r w:rsidR="00DC53A5">
              <w:rPr>
                <w:rFonts w:cs="Times New Roman"/>
                <w:sz w:val="24"/>
                <w:szCs w:val="24"/>
              </w:rPr>
              <w:t>dokumentu</w:t>
            </w:r>
            <w:r w:rsidR="0089015D" w:rsidRPr="00C81EDF">
              <w:rPr>
                <w:rFonts w:cs="Times New Roman"/>
                <w:sz w:val="24"/>
                <w:szCs w:val="24"/>
              </w:rPr>
              <w:t xml:space="preserve"> apjoms</w:t>
            </w:r>
            <w:r w:rsidR="00A8003C">
              <w:rPr>
                <w:rFonts w:cs="Times New Roman"/>
                <w:sz w:val="24"/>
                <w:szCs w:val="24"/>
              </w:rPr>
              <w:t>.</w:t>
            </w:r>
            <w:r w:rsidR="00447EC4">
              <w:rPr>
                <w:rFonts w:cs="Times New Roman"/>
                <w:sz w:val="24"/>
                <w:szCs w:val="24"/>
              </w:rPr>
              <w:t xml:space="preserve"> </w:t>
            </w:r>
            <w:r w:rsidR="00447EC4" w:rsidRPr="00372846">
              <w:rPr>
                <w:rFonts w:cs="Times New Roman"/>
                <w:sz w:val="24"/>
                <w:szCs w:val="24"/>
              </w:rPr>
              <w:t xml:space="preserve">Turpmāk netiks prasīts uzrādīt </w:t>
            </w:r>
            <w:r w:rsidR="00447EC4" w:rsidRPr="00372846">
              <w:rPr>
                <w:rFonts w:ascii="TimesNewRomanPSMT" w:hAnsi="TimesNewRomanPSMT" w:cs="TimesNewRomanPSMT"/>
                <w:sz w:val="24"/>
                <w:szCs w:val="24"/>
              </w:rPr>
              <w:t xml:space="preserve">dokumentu, kas apliecina samaksu par </w:t>
            </w:r>
            <w:r w:rsidR="00984BBE" w:rsidRPr="00372846">
              <w:rPr>
                <w:rFonts w:ascii="TimesNewRomanPSMT" w:hAnsi="TimesNewRomanPSMT" w:cs="TimesNewRomanPSMT"/>
                <w:sz w:val="24"/>
                <w:szCs w:val="24"/>
              </w:rPr>
              <w:t>tahogrāfa</w:t>
            </w:r>
            <w:r w:rsidR="00447EC4" w:rsidRPr="00372846">
              <w:rPr>
                <w:rFonts w:ascii="TimesNewRomanPSMT" w:hAnsi="TimesNewRomanPSMT" w:cs="TimesNewRomanPSMT"/>
                <w:sz w:val="24"/>
                <w:szCs w:val="24"/>
              </w:rPr>
              <w:t xml:space="preserve"> kartes pirmreizējo izsniegšanu, atjaunošanu vai</w:t>
            </w:r>
            <w:r w:rsidR="00705481" w:rsidRPr="00372846">
              <w:rPr>
                <w:rFonts w:ascii="TimesNewRomanPSMT" w:hAnsi="TimesNewRomanPSMT" w:cs="TimesNewRomanPSMT"/>
                <w:sz w:val="24"/>
                <w:szCs w:val="24"/>
              </w:rPr>
              <w:t xml:space="preserve"> </w:t>
            </w:r>
            <w:r w:rsidR="00447EC4" w:rsidRPr="00372846">
              <w:rPr>
                <w:rFonts w:ascii="TimesNewRomanPSMT" w:hAnsi="TimesNewRomanPSMT" w:cs="TimesNewRomanPSMT"/>
                <w:sz w:val="24"/>
                <w:szCs w:val="24"/>
              </w:rPr>
              <w:t>nomaiņu</w:t>
            </w:r>
            <w:r w:rsidR="00D80DCE">
              <w:rPr>
                <w:rFonts w:ascii="TimesNewRomanPSMT" w:hAnsi="TimesNewRomanPSMT" w:cs="TimesNewRomanPSMT"/>
                <w:sz w:val="24"/>
                <w:szCs w:val="24"/>
              </w:rPr>
              <w:t>.</w:t>
            </w:r>
            <w:r w:rsidR="004132E2" w:rsidRPr="00372846">
              <w:rPr>
                <w:rFonts w:ascii="TimesNewRomanPSMT" w:hAnsi="TimesNewRomanPSMT" w:cs="TimesNewRomanPSMT"/>
                <w:sz w:val="24"/>
                <w:szCs w:val="24"/>
              </w:rPr>
              <w:t xml:space="preserve"> </w:t>
            </w:r>
            <w:r w:rsidR="00D80DCE">
              <w:rPr>
                <w:rFonts w:ascii="TimesNewRomanPSMT" w:hAnsi="TimesNewRomanPSMT" w:cs="TimesNewRomanPSMT"/>
                <w:sz w:val="24"/>
                <w:szCs w:val="24"/>
              </w:rPr>
              <w:t>P</w:t>
            </w:r>
            <w:r w:rsidR="00705481" w:rsidRPr="00372846">
              <w:rPr>
                <w:rFonts w:ascii="TimesNewRomanPSMT" w:hAnsi="TimesNewRomanPSMT" w:cs="TimesNewRomanPSMT"/>
                <w:sz w:val="24"/>
                <w:szCs w:val="24"/>
              </w:rPr>
              <w:t xml:space="preserve">ieprasot darbnīcas karti, netiks prasīts iesniegt tā dokumenta kopiju, kas apliecina attiecīgā darbinieka kvalifikāciju veikt darbības ar digitālo tahogrāfu. </w:t>
            </w:r>
          </w:p>
          <w:p w:rsidR="00664B6D" w:rsidRPr="00C81EDF" w:rsidRDefault="00664B6D" w:rsidP="008779A7">
            <w:pPr>
              <w:ind w:firstLine="0"/>
              <w:jc w:val="both"/>
              <w:rPr>
                <w:rFonts w:cs="Times New Roman"/>
                <w:sz w:val="24"/>
                <w:szCs w:val="24"/>
              </w:rPr>
            </w:pPr>
            <w:r w:rsidRPr="00372846">
              <w:rPr>
                <w:rFonts w:cs="Times New Roman"/>
                <w:sz w:val="24"/>
                <w:szCs w:val="24"/>
              </w:rPr>
              <w:t xml:space="preserve">Tiks nodrošināta iespēja </w:t>
            </w:r>
            <w:r w:rsidR="00315C10" w:rsidRPr="00372846">
              <w:rPr>
                <w:rFonts w:cs="Times New Roman"/>
                <w:sz w:val="24"/>
                <w:szCs w:val="24"/>
              </w:rPr>
              <w:t xml:space="preserve">uzņēmuma kartes </w:t>
            </w:r>
            <w:r w:rsidRPr="00372846">
              <w:rPr>
                <w:rFonts w:cs="Times New Roman"/>
                <w:sz w:val="24"/>
                <w:szCs w:val="24"/>
              </w:rPr>
              <w:t xml:space="preserve">saņemšanai pieteikties elektroniski, izmantojot e-pakalpojumu Autotransporta direkcijas mājaslapā, tādējādi uzlabojot Autotransporta direkcijas darba efektivitāti un samazinot administratīvo slogu </w:t>
            </w:r>
            <w:r w:rsidR="00315C10" w:rsidRPr="00372846">
              <w:rPr>
                <w:rFonts w:cs="Times New Roman"/>
                <w:sz w:val="24"/>
                <w:szCs w:val="24"/>
              </w:rPr>
              <w:t>transportlīdzekļa īpašniekiem vai turētājiem</w:t>
            </w:r>
            <w:r w:rsidRPr="00372846">
              <w:rPr>
                <w:rFonts w:cs="Times New Roman"/>
                <w:sz w:val="24"/>
                <w:szCs w:val="24"/>
              </w:rPr>
              <w:t xml:space="preserve">, kas vēlēsies saņemt </w:t>
            </w:r>
            <w:r w:rsidR="00315C10" w:rsidRPr="00372846">
              <w:rPr>
                <w:rFonts w:cs="Times New Roman"/>
                <w:sz w:val="24"/>
                <w:szCs w:val="24"/>
              </w:rPr>
              <w:t>uzņēmuma karti</w:t>
            </w:r>
            <w:r w:rsidRPr="00372846">
              <w:rPr>
                <w:rFonts w:cs="Times New Roman"/>
                <w:sz w:val="24"/>
                <w:szCs w:val="24"/>
              </w:rPr>
              <w:t>.</w:t>
            </w:r>
          </w:p>
        </w:tc>
      </w:tr>
      <w:tr w:rsidR="002D1699" w:rsidRPr="00C81ED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D4071C" w:rsidRPr="00A41535" w:rsidRDefault="00D4071C" w:rsidP="0080393C">
            <w:pPr>
              <w:spacing w:before="75" w:after="75"/>
              <w:ind w:firstLine="0"/>
              <w:jc w:val="both"/>
              <w:rPr>
                <w:rFonts w:eastAsia="Times New Roman" w:cs="Times New Roman"/>
                <w:sz w:val="24"/>
                <w:szCs w:val="24"/>
                <w:lang w:eastAsia="lv-LV"/>
              </w:rPr>
            </w:pPr>
            <w:r w:rsidRPr="00A41535">
              <w:rPr>
                <w:rFonts w:eastAsia="Times New Roman" w:cs="Times New Roman"/>
                <w:sz w:val="24"/>
                <w:szCs w:val="24"/>
                <w:lang w:eastAsia="lv-LV"/>
              </w:rPr>
              <w:t xml:space="preserve">Administratīvo izmaksu samazinājums gada laikā autopārvadātājiem nepārsniedz 2000 </w:t>
            </w:r>
            <w:proofErr w:type="spellStart"/>
            <w:r w:rsidRPr="00A41535">
              <w:rPr>
                <w:rFonts w:eastAsia="Times New Roman" w:cs="Times New Roman"/>
                <w:i/>
                <w:sz w:val="24"/>
                <w:szCs w:val="24"/>
                <w:lang w:eastAsia="lv-LV"/>
              </w:rPr>
              <w:t>euro</w:t>
            </w:r>
            <w:proofErr w:type="spellEnd"/>
            <w:r w:rsidRPr="00A41535">
              <w:rPr>
                <w:rFonts w:eastAsia="Times New Roman" w:cs="Times New Roman"/>
                <w:sz w:val="24"/>
                <w:szCs w:val="24"/>
                <w:lang w:eastAsia="lv-LV"/>
              </w:rPr>
              <w:t xml:space="preserve">. </w:t>
            </w:r>
          </w:p>
          <w:p w:rsidR="002D1699" w:rsidRPr="00A41535" w:rsidRDefault="00D4071C" w:rsidP="0080393C">
            <w:pPr>
              <w:ind w:firstLine="0"/>
              <w:jc w:val="both"/>
              <w:rPr>
                <w:rFonts w:cs="Times New Roman"/>
                <w:sz w:val="24"/>
                <w:szCs w:val="24"/>
              </w:rPr>
            </w:pPr>
            <w:r w:rsidRPr="00A41535">
              <w:rPr>
                <w:rFonts w:eastAsia="Times New Roman" w:cs="Times New Roman"/>
                <w:sz w:val="24"/>
                <w:szCs w:val="24"/>
                <w:lang w:eastAsia="lv-LV"/>
              </w:rPr>
              <w:t>Tiesiskais regulējums Autotransporta direkcijai nerada papildus izmaksas saistībā ar informācijas pieņemšanas, apstrādes vai uzglabāšanas pienākumiem.</w:t>
            </w:r>
          </w:p>
        </w:tc>
      </w:tr>
      <w:tr w:rsidR="002D1699" w:rsidRPr="00C81ED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8"/>
        <w:gridCol w:w="1699"/>
        <w:gridCol w:w="866"/>
        <w:gridCol w:w="807"/>
        <w:gridCol w:w="2065"/>
        <w:gridCol w:w="3336"/>
      </w:tblGrid>
      <w:tr w:rsidR="00A50329" w:rsidRPr="00C81EDF" w:rsidTr="00155B6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A50329" w:rsidRPr="00C81EDF" w:rsidRDefault="00A50329" w:rsidP="00484B5A">
            <w:pPr>
              <w:ind w:firstLine="0"/>
              <w:rPr>
                <w:rFonts w:cs="Times New Roman"/>
                <w:b/>
                <w:bCs/>
                <w:sz w:val="24"/>
                <w:szCs w:val="24"/>
              </w:rPr>
            </w:pPr>
            <w:r w:rsidRPr="00C81EDF">
              <w:rPr>
                <w:rFonts w:cs="Times New Roman"/>
                <w:b/>
                <w:bCs/>
                <w:sz w:val="24"/>
                <w:szCs w:val="24"/>
              </w:rPr>
              <w:t>V. Tiesību akta projekta atbilstība Latvijas Republikas starptautiskajām saistībām</w:t>
            </w:r>
          </w:p>
        </w:tc>
      </w:tr>
      <w:tr w:rsidR="00A50329" w:rsidRPr="00C81EDF" w:rsidTr="004A4B9C">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1.</w:t>
            </w:r>
          </w:p>
        </w:tc>
        <w:tc>
          <w:tcPr>
            <w:tcW w:w="138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Saistības pret Eiropas Savienību</w:t>
            </w:r>
          </w:p>
        </w:tc>
        <w:tc>
          <w:tcPr>
            <w:tcW w:w="3332" w:type="pct"/>
            <w:gridSpan w:val="3"/>
            <w:tcBorders>
              <w:top w:val="outset" w:sz="6" w:space="0" w:color="auto"/>
              <w:left w:val="outset" w:sz="6" w:space="0" w:color="auto"/>
              <w:bottom w:val="outset" w:sz="6" w:space="0" w:color="auto"/>
              <w:right w:val="outset" w:sz="6" w:space="0" w:color="auto"/>
            </w:tcBorders>
          </w:tcPr>
          <w:p w:rsidR="00A50329" w:rsidRPr="00C81EDF" w:rsidRDefault="00DC53A5" w:rsidP="004705B1">
            <w:pPr>
              <w:ind w:firstLine="0"/>
              <w:jc w:val="both"/>
              <w:rPr>
                <w:rFonts w:cs="Times New Roman"/>
                <w:sz w:val="24"/>
                <w:szCs w:val="24"/>
              </w:rPr>
            </w:pPr>
            <w:r w:rsidRPr="003A2701">
              <w:rPr>
                <w:sz w:val="24"/>
                <w:szCs w:val="24"/>
              </w:rPr>
              <w:t>Eiropas Parlamenta un Padomes 2014.gada 4.februāra Regula (ES) Nr.165/2014 par tahogrāfiem autotransportā, ar kuru atceļ Padomes Regulu (EEK) Nr.3821/85 par reģistrācijas kontrolierīcēm, ko izmanto autotransportā, un groza Eiropas Parlamenta un Padomes Regulu (EK) Nr.561/2006, ar ko paredz dažu sociālās jomas tiesību aktu saskaņošanu saistībā ar autotransportu</w:t>
            </w:r>
            <w:r w:rsidR="004705B1">
              <w:rPr>
                <w:sz w:val="24"/>
                <w:szCs w:val="24"/>
              </w:rPr>
              <w:t xml:space="preserve"> </w:t>
            </w:r>
            <w:r w:rsidR="004705B1" w:rsidRPr="004705B1">
              <w:rPr>
                <w:sz w:val="24"/>
                <w:szCs w:val="24"/>
              </w:rPr>
              <w:t xml:space="preserve">(publicēta </w:t>
            </w:r>
            <w:r w:rsidR="00F00BD0" w:rsidRPr="00C81EDF">
              <w:rPr>
                <w:rFonts w:cs="Times New Roman"/>
                <w:sz w:val="24"/>
                <w:szCs w:val="24"/>
              </w:rPr>
              <w:t>„</w:t>
            </w:r>
            <w:r w:rsidR="004705B1" w:rsidRPr="004705B1">
              <w:rPr>
                <w:sz w:val="24"/>
                <w:szCs w:val="24"/>
              </w:rPr>
              <w:t xml:space="preserve">Eiropas Savienības Oficiālajā Vēstnesī” </w:t>
            </w:r>
            <w:r w:rsidR="004705B1">
              <w:rPr>
                <w:sz w:val="24"/>
                <w:szCs w:val="24"/>
              </w:rPr>
              <w:t>L 60, 28.02.2014</w:t>
            </w:r>
            <w:r w:rsidR="004705B1" w:rsidRPr="004705B1">
              <w:rPr>
                <w:sz w:val="24"/>
                <w:szCs w:val="24"/>
              </w:rPr>
              <w:t>.)</w:t>
            </w:r>
            <w:r w:rsidR="003161EE" w:rsidRPr="00C81EDF">
              <w:rPr>
                <w:rFonts w:cs="Times New Roman"/>
                <w:sz w:val="24"/>
                <w:szCs w:val="24"/>
              </w:rPr>
              <w:t>.</w:t>
            </w:r>
          </w:p>
        </w:tc>
      </w:tr>
      <w:tr w:rsidR="00A50329" w:rsidRPr="00C81EDF" w:rsidTr="004A4B9C">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2.</w:t>
            </w:r>
          </w:p>
        </w:tc>
        <w:tc>
          <w:tcPr>
            <w:tcW w:w="138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Citas starptautiskās saistības</w:t>
            </w:r>
          </w:p>
        </w:tc>
        <w:tc>
          <w:tcPr>
            <w:tcW w:w="3332"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Projekts šo jomu neskar.</w:t>
            </w:r>
          </w:p>
        </w:tc>
      </w:tr>
      <w:tr w:rsidR="00A50329" w:rsidRPr="00C81EDF" w:rsidTr="004A4B9C">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3.</w:t>
            </w:r>
          </w:p>
        </w:tc>
        <w:tc>
          <w:tcPr>
            <w:tcW w:w="138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 informācija</w:t>
            </w:r>
          </w:p>
        </w:tc>
        <w:tc>
          <w:tcPr>
            <w:tcW w:w="3332"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Nav</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b/>
                <w:bCs/>
                <w:sz w:val="24"/>
                <w:szCs w:val="24"/>
              </w:rPr>
            </w:pPr>
            <w:r w:rsidRPr="00155B64">
              <w:rPr>
                <w:rFonts w:cs="Times New Roman"/>
                <w:b/>
                <w:bCs/>
                <w:sz w:val="24"/>
                <w:szCs w:val="24"/>
              </w:rPr>
              <w:t>1.tabula</w:t>
            </w:r>
            <w:r w:rsidRPr="00155B64">
              <w:rPr>
                <w:rFonts w:cs="Times New Roman"/>
                <w:b/>
                <w:bCs/>
                <w:sz w:val="24"/>
                <w:szCs w:val="24"/>
              </w:rPr>
              <w:br/>
              <w:t>Tiesību akta projekta atbilstība ES tiesību aktiem</w:t>
            </w:r>
          </w:p>
        </w:tc>
      </w:tr>
      <w:tr w:rsidR="00155B64"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Attiecīgā ES tiesību akta datums, numurs un nosaukums</w:t>
            </w:r>
          </w:p>
        </w:tc>
        <w:tc>
          <w:tcPr>
            <w:tcW w:w="3809" w:type="pct"/>
            <w:gridSpan w:val="4"/>
            <w:tcBorders>
              <w:top w:val="outset" w:sz="6" w:space="0" w:color="auto"/>
              <w:left w:val="outset" w:sz="6" w:space="0" w:color="auto"/>
              <w:bottom w:val="outset" w:sz="6" w:space="0" w:color="auto"/>
              <w:right w:val="outset" w:sz="6" w:space="0" w:color="auto"/>
            </w:tcBorders>
          </w:tcPr>
          <w:p w:rsidR="00155B64" w:rsidRPr="00155B64" w:rsidRDefault="00DC53A5" w:rsidP="008779A7">
            <w:pPr>
              <w:ind w:firstLine="0"/>
              <w:jc w:val="both"/>
              <w:rPr>
                <w:rFonts w:cs="Times New Roman"/>
                <w:sz w:val="24"/>
                <w:szCs w:val="24"/>
              </w:rPr>
            </w:pPr>
            <w:r w:rsidRPr="003A2701">
              <w:rPr>
                <w:sz w:val="24"/>
                <w:szCs w:val="24"/>
              </w:rPr>
              <w:t>Eiropas Parlamenta un Padomes 2014.gada 4.februāra Regula (ES) Nr.165/2014 par tahogrāfiem autotransportā, ar kuru atceļ Padomes Regulu (EEK) Nr.3821/85 par reģistrācijas kontrolierīcēm, ko izmanto autotransportā, un groza Eiropas Parlamenta un Padomes Regulu (EK) Nr.561/2006, ar ko paredz dažu sociālās jomas tiesību aktu saskaņošanu saistībā ar autotransportu</w:t>
            </w:r>
            <w:r w:rsidRPr="00EB73CE">
              <w:rPr>
                <w:sz w:val="24"/>
                <w:szCs w:val="24"/>
              </w:rPr>
              <w:t xml:space="preserve"> </w:t>
            </w:r>
            <w:r w:rsidR="00A8003C">
              <w:rPr>
                <w:sz w:val="24"/>
                <w:szCs w:val="24"/>
              </w:rPr>
              <w:t>(publicēta „</w:t>
            </w:r>
            <w:r w:rsidR="007A46F0" w:rsidRPr="00EB73CE">
              <w:rPr>
                <w:sz w:val="24"/>
                <w:szCs w:val="24"/>
              </w:rPr>
              <w:t>Eiropas Savienības Oficiālajā Vēstnesī”</w:t>
            </w:r>
            <w:r w:rsidR="004E1132" w:rsidRPr="00EB73CE">
              <w:t xml:space="preserve"> </w:t>
            </w:r>
            <w:r w:rsidR="004E1132" w:rsidRPr="00EB73CE">
              <w:rPr>
                <w:sz w:val="24"/>
                <w:szCs w:val="24"/>
              </w:rPr>
              <w:t xml:space="preserve">L </w:t>
            </w:r>
            <w:r>
              <w:rPr>
                <w:sz w:val="24"/>
                <w:szCs w:val="24"/>
              </w:rPr>
              <w:t>60</w:t>
            </w:r>
            <w:r w:rsidR="004E1132" w:rsidRPr="00EB73CE">
              <w:rPr>
                <w:sz w:val="24"/>
                <w:szCs w:val="24"/>
              </w:rPr>
              <w:t>, 28.</w:t>
            </w:r>
            <w:r>
              <w:rPr>
                <w:sz w:val="24"/>
                <w:szCs w:val="24"/>
              </w:rPr>
              <w:t>0</w:t>
            </w:r>
            <w:r w:rsidR="004E1132" w:rsidRPr="00EB73CE">
              <w:rPr>
                <w:sz w:val="24"/>
                <w:szCs w:val="24"/>
              </w:rPr>
              <w:t>2.201</w:t>
            </w:r>
            <w:r>
              <w:rPr>
                <w:sz w:val="24"/>
                <w:szCs w:val="24"/>
              </w:rPr>
              <w:t>4</w:t>
            </w:r>
            <w:r w:rsidR="007A46F0" w:rsidRPr="00EB73CE">
              <w:rPr>
                <w:sz w:val="24"/>
                <w:szCs w:val="24"/>
              </w:rPr>
              <w:t>).</w:t>
            </w:r>
          </w:p>
        </w:tc>
      </w:tr>
      <w:tr w:rsidR="00155B64"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A</w:t>
            </w:r>
          </w:p>
        </w:tc>
        <w:tc>
          <w:tcPr>
            <w:tcW w:w="889"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B</w:t>
            </w:r>
          </w:p>
        </w:tc>
        <w:tc>
          <w:tcPr>
            <w:tcW w:w="1122"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C</w:t>
            </w:r>
          </w:p>
        </w:tc>
        <w:tc>
          <w:tcPr>
            <w:tcW w:w="1766"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D</w:t>
            </w:r>
          </w:p>
        </w:tc>
      </w:tr>
      <w:tr w:rsidR="00155B64"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8779A7">
            <w:pPr>
              <w:ind w:firstLine="0"/>
              <w:jc w:val="both"/>
              <w:rPr>
                <w:rFonts w:cs="Times New Roman"/>
                <w:sz w:val="24"/>
                <w:szCs w:val="24"/>
              </w:rPr>
            </w:pPr>
            <w:r w:rsidRPr="00155B64">
              <w:rPr>
                <w:rFonts w:cs="Times New Roman"/>
                <w:sz w:val="24"/>
                <w:szCs w:val="24"/>
              </w:rPr>
              <w:t>Attiecīgā ES tiesību akta panta numurs (uzskaitot katru tiesību akta vienību – pantu, daļu, punktu, apakšpunktu)</w:t>
            </w:r>
          </w:p>
        </w:tc>
        <w:tc>
          <w:tcPr>
            <w:tcW w:w="889"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8779A7">
            <w:pPr>
              <w:ind w:firstLine="0"/>
              <w:jc w:val="both"/>
              <w:rPr>
                <w:rFonts w:cs="Times New Roman"/>
                <w:sz w:val="24"/>
                <w:szCs w:val="24"/>
              </w:rPr>
            </w:pPr>
            <w:r w:rsidRPr="00155B64">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1122" w:type="pct"/>
            <w:tcBorders>
              <w:top w:val="outset" w:sz="6" w:space="0" w:color="auto"/>
              <w:left w:val="outset" w:sz="6" w:space="0" w:color="auto"/>
              <w:bottom w:val="outset" w:sz="6" w:space="0" w:color="auto"/>
              <w:right w:val="outset" w:sz="6" w:space="0" w:color="auto"/>
            </w:tcBorders>
            <w:hideMark/>
          </w:tcPr>
          <w:p w:rsidR="00155B64" w:rsidRPr="007A46F0" w:rsidRDefault="00155B64" w:rsidP="008779A7">
            <w:pPr>
              <w:ind w:firstLine="0"/>
              <w:jc w:val="both"/>
              <w:rPr>
                <w:rFonts w:cs="Times New Roman"/>
                <w:sz w:val="24"/>
                <w:szCs w:val="24"/>
              </w:rPr>
            </w:pPr>
            <w:r w:rsidRPr="007A46F0">
              <w:rPr>
                <w:rFonts w:cs="Times New Roman"/>
                <w:sz w:val="24"/>
                <w:szCs w:val="24"/>
              </w:rPr>
              <w:t xml:space="preserve">Informācija par to, vai šīs tabulas A ailē minētās ES tiesību akta vienības tiek pārņemtas vai ieviestas pilnībā vai daļēji. </w:t>
            </w:r>
          </w:p>
          <w:p w:rsidR="00155B64" w:rsidRPr="007A46F0" w:rsidRDefault="00155B64" w:rsidP="008779A7">
            <w:pPr>
              <w:ind w:firstLine="0"/>
              <w:jc w:val="both"/>
              <w:rPr>
                <w:rFonts w:cs="Times New Roman"/>
                <w:sz w:val="24"/>
                <w:szCs w:val="24"/>
              </w:rPr>
            </w:pPr>
            <w:r w:rsidRPr="007A46F0">
              <w:rPr>
                <w:rFonts w:cs="Times New Roman"/>
                <w:sz w:val="24"/>
                <w:szCs w:val="24"/>
              </w:rPr>
              <w:t xml:space="preserve">Ja attiecīgā ES tiesību akta vienība tiek pārņemta vai ieviesta daļēji, sniedz attiecīgu skaidrojumu, kā arī precīzi norāda, kad </w:t>
            </w:r>
            <w:r w:rsidRPr="007A46F0">
              <w:rPr>
                <w:rFonts w:cs="Times New Roman"/>
                <w:sz w:val="24"/>
                <w:szCs w:val="24"/>
              </w:rPr>
              <w:lastRenderedPageBreak/>
              <w:t>un kādā veidā ES tiesību akta vienība tiks pārņemta vai ieviesta pilnībā.</w:t>
            </w:r>
          </w:p>
          <w:p w:rsidR="00155B64" w:rsidRPr="007A46F0" w:rsidRDefault="00155B64" w:rsidP="008779A7">
            <w:pPr>
              <w:ind w:firstLine="0"/>
              <w:jc w:val="both"/>
              <w:rPr>
                <w:rFonts w:cs="Times New Roman"/>
                <w:sz w:val="24"/>
                <w:szCs w:val="24"/>
              </w:rPr>
            </w:pPr>
            <w:r w:rsidRPr="007A46F0">
              <w:rPr>
                <w:rFonts w:cs="Times New Roman"/>
                <w:sz w:val="24"/>
                <w:szCs w:val="24"/>
              </w:rPr>
              <w:t>Norāda institūciju, kas ir atbildīga par šo saistību izpildi pilnībā</w:t>
            </w:r>
          </w:p>
        </w:tc>
        <w:tc>
          <w:tcPr>
            <w:tcW w:w="1766" w:type="pct"/>
            <w:tcBorders>
              <w:top w:val="outset" w:sz="6" w:space="0" w:color="auto"/>
              <w:left w:val="outset" w:sz="6" w:space="0" w:color="auto"/>
              <w:bottom w:val="outset" w:sz="6" w:space="0" w:color="auto"/>
              <w:right w:val="outset" w:sz="6" w:space="0" w:color="auto"/>
            </w:tcBorders>
            <w:hideMark/>
          </w:tcPr>
          <w:p w:rsidR="00155B64" w:rsidRPr="007A46F0" w:rsidRDefault="00155B64" w:rsidP="008779A7">
            <w:pPr>
              <w:ind w:firstLine="0"/>
              <w:jc w:val="both"/>
              <w:rPr>
                <w:rFonts w:cs="Times New Roman"/>
                <w:sz w:val="24"/>
                <w:szCs w:val="24"/>
              </w:rPr>
            </w:pPr>
            <w:r w:rsidRPr="007A46F0">
              <w:rPr>
                <w:rFonts w:cs="Times New Roman"/>
                <w:sz w:val="24"/>
                <w:szCs w:val="24"/>
              </w:rPr>
              <w:lastRenderedPageBreak/>
              <w:t xml:space="preserve">Informācija par to, vai šīs tabulas B ailē minētās projekta vienības paredz stingrākas prasības nekā šīs tabulas A ailē minētās ES tiesību akta vienības. </w:t>
            </w:r>
          </w:p>
          <w:p w:rsidR="00155B64" w:rsidRPr="007A46F0" w:rsidRDefault="00155B64" w:rsidP="008779A7">
            <w:pPr>
              <w:ind w:firstLine="0"/>
              <w:jc w:val="both"/>
              <w:rPr>
                <w:rFonts w:cs="Times New Roman"/>
                <w:sz w:val="24"/>
                <w:szCs w:val="24"/>
              </w:rPr>
            </w:pPr>
            <w:r w:rsidRPr="007A46F0">
              <w:rPr>
                <w:rFonts w:cs="Times New Roman"/>
                <w:sz w:val="24"/>
                <w:szCs w:val="24"/>
              </w:rPr>
              <w:t>Ja projekts satur stingrākas prasības nekā attiecīgais ES tiesību akts, norāda pamatojumu un samērīgumu.</w:t>
            </w:r>
          </w:p>
          <w:p w:rsidR="00155B64" w:rsidRPr="007A46F0" w:rsidRDefault="00155B64" w:rsidP="008779A7">
            <w:pPr>
              <w:ind w:firstLine="0"/>
              <w:jc w:val="both"/>
              <w:rPr>
                <w:rFonts w:cs="Times New Roman"/>
                <w:sz w:val="24"/>
                <w:szCs w:val="24"/>
              </w:rPr>
            </w:pPr>
            <w:r w:rsidRPr="007A46F0">
              <w:rPr>
                <w:rFonts w:cs="Times New Roman"/>
                <w:sz w:val="24"/>
                <w:szCs w:val="24"/>
              </w:rPr>
              <w:t xml:space="preserve">Norāda iespējamās alternatīvas (t.sk. alternatīvas, kas neparedz tiesiskā regulējuma izstrādi) – kādos gadījumos būtu iespējams izvairīties no stingrāku prasību noteikšanas, nekā paredzēts </w:t>
            </w:r>
            <w:r w:rsidRPr="007A46F0">
              <w:rPr>
                <w:rFonts w:cs="Times New Roman"/>
                <w:sz w:val="24"/>
                <w:szCs w:val="24"/>
              </w:rPr>
              <w:lastRenderedPageBreak/>
              <w:t>attiecīgajos ES tiesību aktos</w:t>
            </w:r>
          </w:p>
        </w:tc>
      </w:tr>
      <w:tr w:rsidR="00155B64"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520470">
            <w:pPr>
              <w:ind w:firstLine="0"/>
              <w:rPr>
                <w:rFonts w:cs="Times New Roman"/>
                <w:sz w:val="24"/>
                <w:szCs w:val="24"/>
              </w:rPr>
            </w:pPr>
            <w:r w:rsidRPr="00EB73CE">
              <w:rPr>
                <w:rFonts w:cs="Times New Roman"/>
                <w:sz w:val="24"/>
                <w:szCs w:val="24"/>
              </w:rPr>
              <w:lastRenderedPageBreak/>
              <w:t xml:space="preserve">Regulas </w:t>
            </w:r>
            <w:r w:rsidR="005E4DE1">
              <w:rPr>
                <w:rFonts w:cs="Times New Roman"/>
                <w:sz w:val="24"/>
                <w:szCs w:val="24"/>
              </w:rPr>
              <w:t xml:space="preserve">(ES) </w:t>
            </w:r>
            <w:r w:rsidRPr="00EB73CE">
              <w:rPr>
                <w:rFonts w:cs="Times New Roman"/>
                <w:sz w:val="24"/>
                <w:szCs w:val="24"/>
              </w:rPr>
              <w:t>Nr.</w:t>
            </w:r>
            <w:r w:rsidR="00520470">
              <w:rPr>
                <w:rFonts w:cs="Times New Roman"/>
                <w:sz w:val="24"/>
                <w:szCs w:val="24"/>
              </w:rPr>
              <w:t>165</w:t>
            </w:r>
            <w:r w:rsidRPr="00EB73CE">
              <w:rPr>
                <w:rFonts w:cs="Times New Roman"/>
                <w:sz w:val="24"/>
                <w:szCs w:val="24"/>
              </w:rPr>
              <w:t>/201</w:t>
            </w:r>
            <w:r w:rsidR="00520470">
              <w:rPr>
                <w:rFonts w:cs="Times New Roman"/>
                <w:sz w:val="24"/>
                <w:szCs w:val="24"/>
              </w:rPr>
              <w:t>4 2.panta</w:t>
            </w:r>
            <w:r w:rsidR="001F2E8D">
              <w:rPr>
                <w:rFonts w:cs="Times New Roman"/>
                <w:sz w:val="24"/>
                <w:szCs w:val="24"/>
              </w:rPr>
              <w:t xml:space="preserve"> </w:t>
            </w:r>
            <w:r w:rsidR="001F2E8D" w:rsidRPr="00B4660D">
              <w:rPr>
                <w:rFonts w:cs="Times New Roman"/>
                <w:sz w:val="24"/>
                <w:szCs w:val="24"/>
              </w:rPr>
              <w:t>2.punkta</w:t>
            </w:r>
            <w:r w:rsidR="00520470">
              <w:rPr>
                <w:rFonts w:cs="Times New Roman"/>
                <w:sz w:val="24"/>
                <w:szCs w:val="24"/>
              </w:rPr>
              <w:t xml:space="preserve">  (f)</w:t>
            </w:r>
            <w:r w:rsidR="00D20B9F">
              <w:rPr>
                <w:rFonts w:cs="Times New Roman"/>
                <w:sz w:val="24"/>
                <w:szCs w:val="24"/>
              </w:rPr>
              <w:t>, (j), (k)</w:t>
            </w:r>
            <w:r w:rsidR="004705B1">
              <w:rPr>
                <w:rFonts w:cs="Times New Roman"/>
                <w:sz w:val="24"/>
                <w:szCs w:val="24"/>
              </w:rPr>
              <w:t xml:space="preserve">, (i) </w:t>
            </w:r>
            <w:r w:rsidR="00520470">
              <w:rPr>
                <w:rFonts w:cs="Times New Roman"/>
                <w:sz w:val="24"/>
                <w:szCs w:val="24"/>
              </w:rPr>
              <w:t>apakš</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155B64" w:rsidRPr="00EB73CE"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D20B9F">
              <w:rPr>
                <w:rFonts w:cs="Times New Roman"/>
                <w:sz w:val="24"/>
                <w:szCs w:val="24"/>
              </w:rPr>
              <w:t>2</w:t>
            </w:r>
            <w:r w:rsidR="00520470">
              <w:rPr>
                <w:rFonts w:cs="Times New Roman"/>
                <w:sz w:val="24"/>
                <w:szCs w:val="24"/>
              </w:rPr>
              <w:t xml:space="preserve">. </w:t>
            </w:r>
            <w:r w:rsidR="00B5771F">
              <w:rPr>
                <w:rFonts w:cs="Times New Roman"/>
                <w:sz w:val="24"/>
                <w:szCs w:val="24"/>
              </w:rPr>
              <w:t>apakš</w:t>
            </w:r>
            <w:r w:rsidR="00155B64"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155B64" w:rsidRPr="00EB73CE" w:rsidRDefault="007A46F0"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155B64" w:rsidRPr="00EB73CE" w:rsidRDefault="00B72007" w:rsidP="00155B64">
            <w:pPr>
              <w:ind w:firstLine="0"/>
              <w:rPr>
                <w:rFonts w:cs="Times New Roman"/>
                <w:sz w:val="24"/>
                <w:szCs w:val="24"/>
              </w:rPr>
            </w:pPr>
            <w:r w:rsidRPr="00EB73CE">
              <w:rPr>
                <w:sz w:val="24"/>
                <w:szCs w:val="24"/>
              </w:rPr>
              <w:t>Projekts stingrākas prasības neparedz</w:t>
            </w:r>
          </w:p>
        </w:tc>
      </w:tr>
      <w:tr w:rsidR="00520470"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520470" w:rsidRPr="00155B64" w:rsidRDefault="00520470" w:rsidP="00520470">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26.panta 2., 4., 6.punkts</w:t>
            </w:r>
          </w:p>
        </w:tc>
        <w:tc>
          <w:tcPr>
            <w:tcW w:w="889" w:type="pct"/>
            <w:gridSpan w:val="2"/>
            <w:tcBorders>
              <w:top w:val="outset" w:sz="6" w:space="0" w:color="auto"/>
              <w:left w:val="outset" w:sz="6" w:space="0" w:color="auto"/>
              <w:bottom w:val="outset" w:sz="6" w:space="0" w:color="auto"/>
              <w:right w:val="outset" w:sz="6" w:space="0" w:color="auto"/>
            </w:tcBorders>
          </w:tcPr>
          <w:p w:rsidR="00520470"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D20B9F">
              <w:rPr>
                <w:rFonts w:cs="Times New Roman"/>
                <w:sz w:val="24"/>
                <w:szCs w:val="24"/>
              </w:rPr>
              <w:t>3</w:t>
            </w:r>
            <w:r w:rsidR="00520470">
              <w:rPr>
                <w:rFonts w:cs="Times New Roman"/>
                <w:sz w:val="24"/>
                <w:szCs w:val="24"/>
              </w:rPr>
              <w:t>.</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520470" w:rsidRPr="00155B64" w:rsidRDefault="00520470"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520470" w:rsidRPr="00155B64" w:rsidRDefault="00520470" w:rsidP="00155B64">
            <w:pPr>
              <w:ind w:firstLine="0"/>
              <w:rPr>
                <w:rFonts w:cs="Times New Roman"/>
                <w:sz w:val="24"/>
                <w:szCs w:val="24"/>
              </w:rPr>
            </w:pPr>
            <w:r w:rsidRPr="00EB73CE">
              <w:rPr>
                <w:sz w:val="24"/>
                <w:szCs w:val="24"/>
              </w:rPr>
              <w:t>Projekts stingrākas prasības neparedz</w:t>
            </w:r>
          </w:p>
        </w:tc>
      </w:tr>
      <w:tr w:rsidR="00520470"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520470" w:rsidRPr="00155B64" w:rsidRDefault="00520470" w:rsidP="00520470">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4 25</w:t>
            </w:r>
            <w:r w:rsidR="00B925F9">
              <w:rPr>
                <w:rFonts w:cs="Times New Roman"/>
                <w:sz w:val="24"/>
                <w:szCs w:val="24"/>
              </w:rPr>
              <w:t>.panta</w:t>
            </w:r>
            <w:r>
              <w:rPr>
                <w:rFonts w:cs="Times New Roman"/>
                <w:sz w:val="24"/>
                <w:szCs w:val="24"/>
              </w:rPr>
              <w:t xml:space="preserve"> 1</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520470"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D20B9F">
              <w:rPr>
                <w:rFonts w:cs="Times New Roman"/>
                <w:sz w:val="24"/>
                <w:szCs w:val="24"/>
              </w:rPr>
              <w:t>5</w:t>
            </w:r>
            <w:r w:rsidR="00520470">
              <w:rPr>
                <w:rFonts w:cs="Times New Roman"/>
                <w:sz w:val="24"/>
                <w:szCs w:val="24"/>
              </w:rPr>
              <w:t>.</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520470" w:rsidRPr="00155B64" w:rsidRDefault="00520470"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520470" w:rsidRPr="00155B64" w:rsidRDefault="00520470" w:rsidP="00155B64">
            <w:pPr>
              <w:ind w:firstLine="0"/>
              <w:rPr>
                <w:rFonts w:cs="Times New Roman"/>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155B64" w:rsidRDefault="007F4EFB" w:rsidP="00E818CF">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28.panta 1</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8A446C" w:rsidRDefault="00D10611" w:rsidP="007F4EFB">
            <w:pPr>
              <w:ind w:firstLine="0"/>
              <w:rPr>
                <w:rFonts w:cs="Times New Roman"/>
                <w:color w:val="FF0000"/>
                <w:sz w:val="24"/>
                <w:szCs w:val="24"/>
              </w:rPr>
            </w:pPr>
            <w:r>
              <w:rPr>
                <w:rFonts w:cs="Times New Roman"/>
                <w:sz w:val="24"/>
                <w:szCs w:val="24"/>
              </w:rPr>
              <w:t>Projekta</w:t>
            </w:r>
            <w:r w:rsidRPr="007F4EFB">
              <w:rPr>
                <w:rFonts w:cs="Times New Roman"/>
                <w:sz w:val="24"/>
                <w:szCs w:val="24"/>
              </w:rPr>
              <w:t xml:space="preserve"> </w:t>
            </w:r>
            <w:r w:rsidR="00B5771F">
              <w:rPr>
                <w:rFonts w:cs="Times New Roman"/>
                <w:sz w:val="24"/>
                <w:szCs w:val="24"/>
              </w:rPr>
              <w:t>1.</w:t>
            </w:r>
            <w:r w:rsidR="007F4EFB" w:rsidRPr="007F4EFB">
              <w:rPr>
                <w:rFonts w:cs="Times New Roman"/>
                <w:sz w:val="24"/>
                <w:szCs w:val="24"/>
              </w:rPr>
              <w:t>16.</w:t>
            </w:r>
            <w:r w:rsidR="00B5771F" w:rsidRPr="007F4EFB">
              <w:rPr>
                <w:rFonts w:cs="Times New Roman"/>
                <w:sz w:val="24"/>
                <w:szCs w:val="24"/>
              </w:rPr>
              <w:t xml:space="preserve"> </w:t>
            </w:r>
            <w:r w:rsidR="00B5771F">
              <w:rPr>
                <w:rFonts w:cs="Times New Roman"/>
                <w:sz w:val="24"/>
                <w:szCs w:val="24"/>
              </w:rPr>
              <w:t>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EB73CE" w:rsidRDefault="007F4EFB" w:rsidP="00155B64">
            <w:pPr>
              <w:ind w:firstLine="0"/>
              <w:rPr>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EB73CE" w:rsidRDefault="007F4EFB" w:rsidP="00155B64">
            <w:pPr>
              <w:ind w:firstLine="0"/>
              <w:rPr>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29.panta 4</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7F4EFB">
              <w:rPr>
                <w:rFonts w:cs="Times New Roman"/>
                <w:sz w:val="24"/>
                <w:szCs w:val="24"/>
              </w:rPr>
              <w:t>17.</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155B64" w:rsidRDefault="007F4EFB" w:rsidP="00D20B9F">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25.panta 2</w:t>
            </w:r>
            <w:r w:rsidRPr="00EB73CE">
              <w:rPr>
                <w:rFonts w:cs="Times New Roman"/>
                <w:sz w:val="24"/>
                <w:szCs w:val="24"/>
              </w:rPr>
              <w:t>.punkts</w:t>
            </w:r>
            <w:r>
              <w:rPr>
                <w:rFonts w:cs="Times New Roman"/>
                <w:sz w:val="24"/>
                <w:szCs w:val="24"/>
              </w:rPr>
              <w:t>, 26.panta 1.punkts un 29.panta 4.punkts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7F4EFB">
              <w:rPr>
                <w:rFonts w:cs="Times New Roman"/>
                <w:sz w:val="24"/>
                <w:szCs w:val="24"/>
              </w:rPr>
              <w:t>18.</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29.panta 4</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7F4EFB">
              <w:rPr>
                <w:rFonts w:cs="Times New Roman"/>
                <w:sz w:val="24"/>
                <w:szCs w:val="24"/>
              </w:rPr>
              <w:t>21.</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26.panta 7</w:t>
            </w:r>
            <w:r w:rsidRPr="00EB73CE">
              <w:rPr>
                <w:rFonts w:cs="Times New Roman"/>
                <w:sz w:val="24"/>
                <w:szCs w:val="24"/>
              </w:rPr>
              <w:t>.punkts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155B64"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7F4EFB">
              <w:rPr>
                <w:rFonts w:cs="Times New Roman"/>
                <w:sz w:val="24"/>
                <w:szCs w:val="24"/>
              </w:rPr>
              <w:t>23.</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155B64" w:rsidRDefault="007F4EFB" w:rsidP="00C667C6">
            <w:pPr>
              <w:ind w:firstLine="0"/>
              <w:rPr>
                <w:rFonts w:cs="Times New Roman"/>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EB73CE" w:rsidRDefault="007F4EFB" w:rsidP="00361CFE">
            <w:pPr>
              <w:ind w:firstLine="0"/>
              <w:rPr>
                <w:rFonts w:cs="Times New Roman"/>
                <w:sz w:val="24"/>
                <w:szCs w:val="24"/>
              </w:rPr>
            </w:pPr>
            <w:r w:rsidRPr="00EB73CE">
              <w:rPr>
                <w:rFonts w:cs="Times New Roman"/>
                <w:sz w:val="24"/>
                <w:szCs w:val="24"/>
              </w:rPr>
              <w:t xml:space="preserve">Regulas </w:t>
            </w:r>
            <w:r w:rsidR="005E4DE1">
              <w:rPr>
                <w:rFonts w:cs="Times New Roman"/>
                <w:sz w:val="24"/>
                <w:szCs w:val="24"/>
              </w:rPr>
              <w:t xml:space="preserve">(ES) </w:t>
            </w:r>
            <w:r w:rsidRPr="00EB73CE">
              <w:rPr>
                <w:rFonts w:cs="Times New Roman"/>
                <w:sz w:val="24"/>
                <w:szCs w:val="24"/>
              </w:rPr>
              <w:t>Nr.</w:t>
            </w:r>
            <w:r>
              <w:rPr>
                <w:rFonts w:cs="Times New Roman"/>
                <w:sz w:val="24"/>
                <w:szCs w:val="24"/>
              </w:rPr>
              <w:t>165</w:t>
            </w:r>
            <w:r w:rsidRPr="00EB73CE">
              <w:rPr>
                <w:rFonts w:cs="Times New Roman"/>
                <w:sz w:val="24"/>
                <w:szCs w:val="24"/>
              </w:rPr>
              <w:t>/201</w:t>
            </w:r>
            <w:r>
              <w:rPr>
                <w:rFonts w:cs="Times New Roman"/>
                <w:sz w:val="24"/>
                <w:szCs w:val="24"/>
              </w:rPr>
              <w:t>4 31.pants</w:t>
            </w:r>
          </w:p>
        </w:tc>
        <w:tc>
          <w:tcPr>
            <w:tcW w:w="889" w:type="pct"/>
            <w:gridSpan w:val="2"/>
            <w:tcBorders>
              <w:top w:val="outset" w:sz="6" w:space="0" w:color="auto"/>
              <w:left w:val="outset" w:sz="6" w:space="0" w:color="auto"/>
              <w:bottom w:val="outset" w:sz="6" w:space="0" w:color="auto"/>
              <w:right w:val="outset" w:sz="6" w:space="0" w:color="auto"/>
            </w:tcBorders>
          </w:tcPr>
          <w:p w:rsidR="007F4EFB" w:rsidRPr="00361CFE" w:rsidRDefault="00D10611" w:rsidP="00155B64">
            <w:pPr>
              <w:ind w:firstLine="0"/>
              <w:rPr>
                <w:rFonts w:cs="Times New Roman"/>
                <w:sz w:val="24"/>
                <w:szCs w:val="24"/>
              </w:rPr>
            </w:pPr>
            <w:r>
              <w:rPr>
                <w:rFonts w:cs="Times New Roman"/>
                <w:sz w:val="24"/>
                <w:szCs w:val="24"/>
              </w:rPr>
              <w:t xml:space="preserve">Projekta </w:t>
            </w:r>
            <w:r w:rsidR="00B5771F">
              <w:rPr>
                <w:rFonts w:cs="Times New Roman"/>
                <w:sz w:val="24"/>
                <w:szCs w:val="24"/>
              </w:rPr>
              <w:t>1.</w:t>
            </w:r>
            <w:r w:rsidR="007F4EFB">
              <w:rPr>
                <w:rFonts w:cs="Times New Roman"/>
                <w:sz w:val="24"/>
                <w:szCs w:val="24"/>
              </w:rPr>
              <w:t>25</w:t>
            </w:r>
            <w:r w:rsidR="007F4EFB" w:rsidRPr="00361CFE">
              <w:rPr>
                <w:rFonts w:cs="Times New Roman"/>
                <w:sz w:val="24"/>
                <w:szCs w:val="24"/>
              </w:rPr>
              <w:t>.</w:t>
            </w:r>
            <w:r w:rsidR="00B5771F">
              <w:rPr>
                <w:rFonts w:cs="Times New Roman"/>
                <w:sz w:val="24"/>
                <w:szCs w:val="24"/>
              </w:rPr>
              <w:t xml:space="preserve"> apakš</w:t>
            </w:r>
            <w:r w:rsidR="00B5771F" w:rsidRPr="00EB73CE">
              <w:rPr>
                <w:rFonts w:cs="Times New Roman"/>
                <w:sz w:val="24"/>
                <w:szCs w:val="24"/>
              </w:rPr>
              <w:t>punkts</w:t>
            </w:r>
          </w:p>
        </w:tc>
        <w:tc>
          <w:tcPr>
            <w:tcW w:w="1122" w:type="pct"/>
            <w:tcBorders>
              <w:top w:val="outset" w:sz="6" w:space="0" w:color="auto"/>
              <w:left w:val="outset" w:sz="6" w:space="0" w:color="auto"/>
              <w:bottom w:val="outset" w:sz="6" w:space="0" w:color="auto"/>
              <w:right w:val="outset" w:sz="6" w:space="0" w:color="auto"/>
            </w:tcBorders>
          </w:tcPr>
          <w:p w:rsidR="007F4EFB" w:rsidRPr="00EB73CE" w:rsidRDefault="007F4EFB" w:rsidP="00155B64">
            <w:pPr>
              <w:ind w:firstLine="0"/>
              <w:rPr>
                <w:sz w:val="24"/>
                <w:szCs w:val="24"/>
              </w:rPr>
            </w:pPr>
            <w:r w:rsidRPr="00EB73CE">
              <w:rPr>
                <w:sz w:val="24"/>
                <w:szCs w:val="24"/>
              </w:rPr>
              <w:t>Tiesību norma izpildīta pilnībā</w:t>
            </w:r>
          </w:p>
        </w:tc>
        <w:tc>
          <w:tcPr>
            <w:tcW w:w="1766" w:type="pct"/>
            <w:tcBorders>
              <w:top w:val="outset" w:sz="6" w:space="0" w:color="auto"/>
              <w:left w:val="outset" w:sz="6" w:space="0" w:color="auto"/>
              <w:bottom w:val="outset" w:sz="6" w:space="0" w:color="auto"/>
              <w:right w:val="outset" w:sz="6" w:space="0" w:color="auto"/>
            </w:tcBorders>
          </w:tcPr>
          <w:p w:rsidR="007F4EFB" w:rsidRPr="00EB73CE" w:rsidRDefault="007F4EFB" w:rsidP="00C667C6">
            <w:pPr>
              <w:ind w:firstLine="0"/>
              <w:rPr>
                <w:sz w:val="24"/>
                <w:szCs w:val="24"/>
              </w:rPr>
            </w:pPr>
            <w:r w:rsidRPr="00EB73CE">
              <w:rPr>
                <w:sz w:val="24"/>
                <w:szCs w:val="24"/>
              </w:rPr>
              <w:t>Projekts stingrākas prasības neparedz</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tcPr>
          <w:p w:rsidR="007F4EFB" w:rsidRPr="00EB73CE" w:rsidRDefault="007F4EFB" w:rsidP="00155B64">
            <w:pPr>
              <w:ind w:firstLine="0"/>
              <w:rPr>
                <w:rFonts w:cs="Times New Roman"/>
                <w:sz w:val="24"/>
                <w:szCs w:val="24"/>
              </w:rPr>
            </w:pPr>
          </w:p>
        </w:tc>
        <w:tc>
          <w:tcPr>
            <w:tcW w:w="889" w:type="pct"/>
            <w:gridSpan w:val="2"/>
            <w:tcBorders>
              <w:top w:val="outset" w:sz="6" w:space="0" w:color="auto"/>
              <w:left w:val="outset" w:sz="6" w:space="0" w:color="auto"/>
              <w:bottom w:val="outset" w:sz="6" w:space="0" w:color="auto"/>
              <w:right w:val="outset" w:sz="6" w:space="0" w:color="auto"/>
            </w:tcBorders>
          </w:tcPr>
          <w:p w:rsidR="007F4EFB" w:rsidRPr="008A446C" w:rsidRDefault="007F4EFB" w:rsidP="00155B64">
            <w:pPr>
              <w:ind w:firstLine="0"/>
              <w:rPr>
                <w:rFonts w:cs="Times New Roman"/>
                <w:color w:val="FF0000"/>
                <w:sz w:val="24"/>
                <w:szCs w:val="24"/>
              </w:rPr>
            </w:pPr>
          </w:p>
        </w:tc>
        <w:tc>
          <w:tcPr>
            <w:tcW w:w="1122" w:type="pct"/>
            <w:tcBorders>
              <w:top w:val="outset" w:sz="6" w:space="0" w:color="auto"/>
              <w:left w:val="outset" w:sz="6" w:space="0" w:color="auto"/>
              <w:bottom w:val="outset" w:sz="6" w:space="0" w:color="auto"/>
              <w:right w:val="outset" w:sz="6" w:space="0" w:color="auto"/>
            </w:tcBorders>
          </w:tcPr>
          <w:p w:rsidR="007F4EFB" w:rsidRPr="00EB73CE" w:rsidRDefault="007F4EFB" w:rsidP="00155B64">
            <w:pPr>
              <w:ind w:firstLine="0"/>
              <w:rPr>
                <w:sz w:val="24"/>
                <w:szCs w:val="24"/>
              </w:rPr>
            </w:pPr>
          </w:p>
        </w:tc>
        <w:tc>
          <w:tcPr>
            <w:tcW w:w="1766" w:type="pct"/>
            <w:tcBorders>
              <w:top w:val="outset" w:sz="6" w:space="0" w:color="auto"/>
              <w:left w:val="outset" w:sz="6" w:space="0" w:color="auto"/>
              <w:bottom w:val="outset" w:sz="6" w:space="0" w:color="auto"/>
              <w:right w:val="outset" w:sz="6" w:space="0" w:color="auto"/>
            </w:tcBorders>
          </w:tcPr>
          <w:p w:rsidR="007F4EFB" w:rsidRPr="00EB73CE" w:rsidRDefault="007F4EFB" w:rsidP="00C667C6">
            <w:pPr>
              <w:ind w:firstLine="0"/>
              <w:rPr>
                <w:sz w:val="24"/>
                <w:szCs w:val="24"/>
              </w:rPr>
            </w:pP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hideMark/>
          </w:tcPr>
          <w:p w:rsidR="007F4EFB" w:rsidRPr="00155B64" w:rsidRDefault="007F4EFB" w:rsidP="00155B64">
            <w:pPr>
              <w:ind w:firstLine="0"/>
              <w:rPr>
                <w:rFonts w:cs="Times New Roman"/>
                <w:sz w:val="24"/>
                <w:szCs w:val="24"/>
              </w:rPr>
            </w:pPr>
            <w:r w:rsidRPr="00155B64">
              <w:rPr>
                <w:rFonts w:cs="Times New Roman"/>
                <w:sz w:val="24"/>
                <w:szCs w:val="24"/>
              </w:rPr>
              <w:t xml:space="preserve">Kā ir izmantota ES tiesību aktā paredzētā rīcības brīvība dalībvalstij </w:t>
            </w:r>
            <w:r w:rsidRPr="00155B64">
              <w:rPr>
                <w:rFonts w:cs="Times New Roman"/>
                <w:sz w:val="24"/>
                <w:szCs w:val="24"/>
              </w:rPr>
              <w:lastRenderedPageBreak/>
              <w:t>pārņemt vai ieviest noteiktas ES tiesību akta normas?</w:t>
            </w:r>
            <w:r w:rsidRPr="00155B64">
              <w:rPr>
                <w:rFonts w:cs="Times New Roman"/>
                <w:sz w:val="24"/>
                <w:szCs w:val="24"/>
              </w:rPr>
              <w:br/>
              <w:t>Kādēļ?</w:t>
            </w:r>
          </w:p>
        </w:tc>
        <w:tc>
          <w:tcPr>
            <w:tcW w:w="3809" w:type="pct"/>
            <w:gridSpan w:val="4"/>
            <w:tcBorders>
              <w:top w:val="outset" w:sz="6" w:space="0" w:color="auto"/>
              <w:left w:val="outset" w:sz="6" w:space="0" w:color="auto"/>
              <w:bottom w:val="outset" w:sz="6" w:space="0" w:color="auto"/>
              <w:right w:val="outset" w:sz="6" w:space="0" w:color="auto"/>
            </w:tcBorders>
          </w:tcPr>
          <w:p w:rsidR="007F4EFB" w:rsidRPr="00155B64" w:rsidRDefault="007F4EFB" w:rsidP="00155B64">
            <w:pPr>
              <w:ind w:firstLine="0"/>
              <w:rPr>
                <w:rFonts w:cs="Times New Roman"/>
                <w:sz w:val="24"/>
                <w:szCs w:val="24"/>
              </w:rPr>
            </w:pPr>
            <w:r w:rsidRPr="00155B64">
              <w:rPr>
                <w:rFonts w:cs="Times New Roman"/>
                <w:sz w:val="24"/>
                <w:szCs w:val="24"/>
              </w:rPr>
              <w:lastRenderedPageBreak/>
              <w:t>Projekts šo jomu neskar</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hideMark/>
          </w:tcPr>
          <w:p w:rsidR="007F4EFB" w:rsidRPr="00155B64" w:rsidRDefault="007F4EFB" w:rsidP="00155B64">
            <w:pPr>
              <w:ind w:firstLine="0"/>
              <w:rPr>
                <w:rFonts w:cs="Times New Roman"/>
                <w:sz w:val="24"/>
                <w:szCs w:val="24"/>
              </w:rPr>
            </w:pPr>
            <w:r w:rsidRPr="00155B64">
              <w:rPr>
                <w:rFonts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9" w:type="pct"/>
            <w:gridSpan w:val="4"/>
            <w:tcBorders>
              <w:top w:val="outset" w:sz="6" w:space="0" w:color="auto"/>
              <w:left w:val="outset" w:sz="6" w:space="0" w:color="auto"/>
              <w:bottom w:val="outset" w:sz="6" w:space="0" w:color="auto"/>
              <w:right w:val="outset" w:sz="6" w:space="0" w:color="auto"/>
            </w:tcBorders>
            <w:hideMark/>
          </w:tcPr>
          <w:p w:rsidR="007F4EFB" w:rsidRPr="00155B64" w:rsidRDefault="007F4EFB" w:rsidP="00155B64">
            <w:pPr>
              <w:ind w:firstLine="0"/>
              <w:rPr>
                <w:rFonts w:cs="Times New Roman"/>
                <w:sz w:val="24"/>
                <w:szCs w:val="24"/>
              </w:rPr>
            </w:pPr>
            <w:r w:rsidRPr="00155B64">
              <w:rPr>
                <w:rFonts w:cs="Times New Roman"/>
                <w:sz w:val="24"/>
                <w:szCs w:val="24"/>
              </w:rPr>
              <w:t>Projekts šo jomu neskar</w:t>
            </w:r>
          </w:p>
        </w:tc>
      </w:tr>
      <w:tr w:rsidR="007F4EFB" w:rsidRPr="00155B64" w:rsidTr="004A4B9C">
        <w:tblPrEx>
          <w:jc w:val="center"/>
        </w:tblPrEx>
        <w:trPr>
          <w:tblCellSpacing w:w="15" w:type="dxa"/>
          <w:jc w:val="center"/>
        </w:trPr>
        <w:tc>
          <w:tcPr>
            <w:tcW w:w="1142" w:type="pct"/>
            <w:gridSpan w:val="2"/>
            <w:tcBorders>
              <w:top w:val="outset" w:sz="6" w:space="0" w:color="auto"/>
              <w:left w:val="outset" w:sz="6" w:space="0" w:color="auto"/>
              <w:bottom w:val="outset" w:sz="6" w:space="0" w:color="auto"/>
              <w:right w:val="outset" w:sz="6" w:space="0" w:color="auto"/>
            </w:tcBorders>
            <w:hideMark/>
          </w:tcPr>
          <w:p w:rsidR="007F4EFB" w:rsidRPr="00155B64" w:rsidRDefault="007F4EFB" w:rsidP="00155B64">
            <w:pPr>
              <w:ind w:firstLine="0"/>
              <w:rPr>
                <w:rFonts w:cs="Times New Roman"/>
                <w:sz w:val="24"/>
                <w:szCs w:val="24"/>
              </w:rPr>
            </w:pPr>
            <w:r w:rsidRPr="00155B64">
              <w:rPr>
                <w:rFonts w:cs="Times New Roman"/>
                <w:sz w:val="24"/>
                <w:szCs w:val="24"/>
              </w:rPr>
              <w:t>Cita informācija</w:t>
            </w:r>
          </w:p>
        </w:tc>
        <w:tc>
          <w:tcPr>
            <w:tcW w:w="3809" w:type="pct"/>
            <w:gridSpan w:val="4"/>
            <w:tcBorders>
              <w:top w:val="outset" w:sz="6" w:space="0" w:color="auto"/>
              <w:left w:val="outset" w:sz="6" w:space="0" w:color="auto"/>
              <w:bottom w:val="outset" w:sz="6" w:space="0" w:color="auto"/>
              <w:right w:val="outset" w:sz="6" w:space="0" w:color="auto"/>
            </w:tcBorders>
            <w:hideMark/>
          </w:tcPr>
          <w:p w:rsidR="007F4EFB" w:rsidRPr="00155B64" w:rsidRDefault="007F4EFB" w:rsidP="00155B64">
            <w:pPr>
              <w:ind w:firstLine="0"/>
              <w:rPr>
                <w:rFonts w:cs="Times New Roman"/>
                <w:sz w:val="24"/>
                <w:szCs w:val="24"/>
              </w:rPr>
            </w:pPr>
            <w:r w:rsidRPr="00155B64">
              <w:rPr>
                <w:rFonts w:cs="Times New Roman"/>
                <w:sz w:val="24"/>
                <w:szCs w:val="24"/>
              </w:rPr>
              <w:t>Nav</w:t>
            </w:r>
          </w:p>
        </w:tc>
      </w:tr>
      <w:tr w:rsidR="007F4EFB"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7F4EFB" w:rsidRPr="00155B64" w:rsidRDefault="007F4EFB" w:rsidP="00155B64">
            <w:pPr>
              <w:ind w:firstLine="0"/>
              <w:rPr>
                <w:rFonts w:cs="Times New Roman"/>
                <w:b/>
                <w:bCs/>
                <w:sz w:val="24"/>
                <w:szCs w:val="24"/>
              </w:rPr>
            </w:pPr>
            <w:r w:rsidRPr="00155B64">
              <w:rPr>
                <w:rFonts w:cs="Times New Roman"/>
                <w:b/>
                <w:bCs/>
                <w:sz w:val="24"/>
                <w:szCs w:val="24"/>
              </w:rPr>
              <w:t>2.tabula</w:t>
            </w:r>
            <w:r w:rsidRPr="00155B64">
              <w:rPr>
                <w:rFonts w:cs="Times New Roman"/>
                <w:b/>
                <w:bCs/>
                <w:sz w:val="24"/>
                <w:szCs w:val="24"/>
              </w:rPr>
              <w:br/>
              <w:t>Ar tiesību akta projektu izpildītās vai uzņemtās saistības, kas izriet no starptautiskajiem tiesību aktiem vai starptautiskas institūcijas vai organizācijas dokumentiem.</w:t>
            </w:r>
            <w:r w:rsidRPr="00155B64">
              <w:rPr>
                <w:rFonts w:cs="Times New Roman"/>
                <w:b/>
                <w:bCs/>
                <w:sz w:val="24"/>
                <w:szCs w:val="24"/>
              </w:rPr>
              <w:br/>
              <w:t>Pasākumi šo saistību izpildei</w:t>
            </w:r>
          </w:p>
        </w:tc>
      </w:tr>
      <w:tr w:rsidR="007F4EFB"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tcPr>
          <w:p w:rsidR="007F4EFB" w:rsidRPr="00155B64" w:rsidRDefault="007F4EFB" w:rsidP="00155B64">
            <w:pPr>
              <w:ind w:firstLine="0"/>
              <w:rPr>
                <w:rFonts w:cs="Times New Roman"/>
                <w:b/>
                <w:bCs/>
                <w:sz w:val="24"/>
                <w:szCs w:val="24"/>
              </w:rPr>
            </w:pPr>
            <w:r w:rsidRPr="00155B64">
              <w:rPr>
                <w:rFonts w:cs="Times New Roman"/>
                <w:sz w:val="24"/>
                <w:szCs w:val="24"/>
              </w:rPr>
              <w:t>Projekts šo jomu neskar.</w:t>
            </w:r>
          </w:p>
        </w:tc>
      </w:tr>
    </w:tbl>
    <w:p w:rsidR="00A50329" w:rsidRPr="00C81EDF" w:rsidRDefault="00A50329"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2D1699" w:rsidRPr="00C81EDF" w:rsidTr="002545D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VI. Sabiedrības līdzdalība un komunikācijas aktivitātes</w:t>
            </w:r>
          </w:p>
        </w:tc>
      </w:tr>
      <w:tr w:rsidR="002D1699" w:rsidRPr="00C81EDF" w:rsidTr="002545D7">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480" w:type="pct"/>
            <w:tcBorders>
              <w:top w:val="outset" w:sz="6" w:space="0" w:color="auto"/>
              <w:left w:val="outset" w:sz="6" w:space="0" w:color="auto"/>
              <w:bottom w:val="outset" w:sz="6" w:space="0" w:color="auto"/>
              <w:right w:val="outset" w:sz="6" w:space="0" w:color="auto"/>
            </w:tcBorders>
            <w:hideMark/>
          </w:tcPr>
          <w:p w:rsidR="002D1699" w:rsidRPr="00A4652C" w:rsidRDefault="002D1699" w:rsidP="002545D7">
            <w:pPr>
              <w:ind w:firstLine="0"/>
              <w:rPr>
                <w:rFonts w:cs="Times New Roman"/>
                <w:sz w:val="24"/>
                <w:szCs w:val="24"/>
              </w:rPr>
            </w:pPr>
            <w:r w:rsidRPr="00A4652C">
              <w:rPr>
                <w:rFonts w:cs="Times New Roman"/>
                <w:sz w:val="24"/>
                <w:szCs w:val="24"/>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920A49" w:rsidRPr="00A4652C" w:rsidRDefault="00920A49" w:rsidP="00F00BD0">
            <w:pPr>
              <w:ind w:left="47" w:firstLine="0"/>
              <w:jc w:val="both"/>
              <w:rPr>
                <w:rFonts w:cs="Times New Roman"/>
                <w:bCs/>
                <w:sz w:val="24"/>
                <w:szCs w:val="24"/>
              </w:rPr>
            </w:pPr>
            <w:r w:rsidRPr="00A4652C">
              <w:rPr>
                <w:rFonts w:cs="Times New Roman"/>
                <w:bCs/>
                <w:sz w:val="24"/>
                <w:szCs w:val="24"/>
              </w:rPr>
              <w:t xml:space="preserve">Paziņojums par līdzdalības iespējām tiesību akta izstrādes procesā ievietots Satiksmes ministrijas </w:t>
            </w:r>
            <w:r w:rsidR="00F00BD0">
              <w:rPr>
                <w:rFonts w:cs="Times New Roman"/>
                <w:bCs/>
                <w:sz w:val="24"/>
                <w:szCs w:val="24"/>
              </w:rPr>
              <w:t>tīmekļa vietnē</w:t>
            </w:r>
            <w:r w:rsidRPr="00A4652C">
              <w:rPr>
                <w:rFonts w:cs="Times New Roman"/>
                <w:bCs/>
                <w:sz w:val="24"/>
                <w:szCs w:val="24"/>
              </w:rPr>
              <w:t xml:space="preserve"> </w:t>
            </w:r>
            <w:r w:rsidRPr="00CB714E">
              <w:rPr>
                <w:rFonts w:cs="Times New Roman"/>
                <w:bCs/>
                <w:sz w:val="24"/>
                <w:szCs w:val="24"/>
              </w:rPr>
              <w:t xml:space="preserve">2015.gada </w:t>
            </w:r>
            <w:r w:rsidR="00CB714E" w:rsidRPr="00CB714E">
              <w:rPr>
                <w:rFonts w:cs="Times New Roman"/>
                <w:bCs/>
                <w:sz w:val="24"/>
                <w:szCs w:val="24"/>
              </w:rPr>
              <w:t>11</w:t>
            </w:r>
            <w:r w:rsidRPr="00CB714E">
              <w:rPr>
                <w:rFonts w:cs="Times New Roman"/>
                <w:bCs/>
                <w:sz w:val="24"/>
                <w:szCs w:val="24"/>
              </w:rPr>
              <w:t>.</w:t>
            </w:r>
            <w:r w:rsidR="00A4652C" w:rsidRPr="00CB714E">
              <w:rPr>
                <w:rFonts w:cs="Times New Roman"/>
                <w:bCs/>
                <w:sz w:val="24"/>
                <w:szCs w:val="24"/>
              </w:rPr>
              <w:t>septembrī</w:t>
            </w:r>
            <w:r w:rsidRPr="00A4652C">
              <w:rPr>
                <w:rFonts w:cs="Times New Roman"/>
                <w:bCs/>
                <w:sz w:val="24"/>
                <w:szCs w:val="24"/>
              </w:rPr>
              <w:t xml:space="preserve">. </w:t>
            </w:r>
          </w:p>
          <w:p w:rsidR="002D1699" w:rsidRPr="00A4652C" w:rsidRDefault="002D1699" w:rsidP="002545D7">
            <w:pPr>
              <w:ind w:firstLine="0"/>
              <w:jc w:val="both"/>
              <w:rPr>
                <w:rFonts w:cs="Times New Roman"/>
                <w:sz w:val="24"/>
                <w:szCs w:val="24"/>
              </w:rPr>
            </w:pPr>
          </w:p>
        </w:tc>
      </w:tr>
      <w:tr w:rsidR="002D1699" w:rsidRPr="00C81EDF" w:rsidTr="002545D7">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480" w:type="pct"/>
            <w:tcBorders>
              <w:top w:val="outset" w:sz="6" w:space="0" w:color="auto"/>
              <w:left w:val="outset" w:sz="6" w:space="0" w:color="auto"/>
              <w:bottom w:val="outset" w:sz="6" w:space="0" w:color="auto"/>
              <w:right w:val="outset" w:sz="6" w:space="0" w:color="auto"/>
            </w:tcBorders>
            <w:hideMark/>
          </w:tcPr>
          <w:p w:rsidR="002D1699" w:rsidRPr="00A4652C" w:rsidRDefault="002D1699" w:rsidP="002545D7">
            <w:pPr>
              <w:ind w:firstLine="0"/>
              <w:rPr>
                <w:rFonts w:cs="Times New Roman"/>
                <w:sz w:val="24"/>
                <w:szCs w:val="24"/>
              </w:rPr>
            </w:pPr>
            <w:r w:rsidRPr="00A4652C">
              <w:rPr>
                <w:rFonts w:cs="Times New Roman"/>
                <w:sz w:val="24"/>
                <w:szCs w:val="24"/>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920A49" w:rsidRPr="00A4652C" w:rsidRDefault="00920A49" w:rsidP="002545D7">
            <w:pPr>
              <w:ind w:firstLine="0"/>
              <w:jc w:val="both"/>
              <w:rPr>
                <w:rFonts w:cs="Times New Roman"/>
                <w:sz w:val="24"/>
                <w:szCs w:val="24"/>
              </w:rPr>
            </w:pPr>
            <w:r w:rsidRPr="00A4652C">
              <w:rPr>
                <w:rFonts w:cs="Times New Roman"/>
                <w:sz w:val="24"/>
                <w:szCs w:val="24"/>
              </w:rPr>
              <w:t>Atbilstoši Ministru kabineta 2009.gada 25.augusta noteikumu Nr.970 „Sabiedrības līdzdalības kārtība attīstības plānošanas procesā” 7.4.</w:t>
            </w:r>
            <w:r w:rsidRPr="00A4652C">
              <w:rPr>
                <w:rFonts w:cs="Times New Roman"/>
                <w:sz w:val="24"/>
                <w:szCs w:val="24"/>
                <w:vertAlign w:val="superscript"/>
              </w:rPr>
              <w:t xml:space="preserve">1 </w:t>
            </w:r>
            <w:r w:rsidRPr="00A4652C">
              <w:rPr>
                <w:rFonts w:cs="Times New Roman"/>
                <w:sz w:val="24"/>
                <w:szCs w:val="24"/>
              </w:rPr>
              <w:t>apakšpunktam, sabiedrībai tika dota iespēja rakstiski sniegt viedokli par noteikumu projektu tā izstrādes stadijā.</w:t>
            </w:r>
          </w:p>
          <w:p w:rsidR="002D1699" w:rsidRPr="00A4652C" w:rsidRDefault="00C81EDF" w:rsidP="00D80DCE">
            <w:pPr>
              <w:ind w:firstLine="0"/>
              <w:jc w:val="both"/>
              <w:rPr>
                <w:rFonts w:cs="Times New Roman"/>
                <w:sz w:val="24"/>
                <w:szCs w:val="24"/>
              </w:rPr>
            </w:pPr>
            <w:r w:rsidRPr="00372846">
              <w:rPr>
                <w:rFonts w:cs="Times New Roman"/>
                <w:sz w:val="24"/>
                <w:szCs w:val="24"/>
              </w:rPr>
              <w:t xml:space="preserve">Noteikumu projekts </w:t>
            </w:r>
            <w:r w:rsidR="008772DD" w:rsidRPr="00372846">
              <w:rPr>
                <w:rFonts w:cs="Times New Roman"/>
                <w:sz w:val="24"/>
                <w:szCs w:val="24"/>
              </w:rPr>
              <w:t>tik</w:t>
            </w:r>
            <w:r w:rsidR="00D80DCE">
              <w:rPr>
                <w:rFonts w:cs="Times New Roman"/>
                <w:sz w:val="24"/>
                <w:szCs w:val="24"/>
              </w:rPr>
              <w:t>a</w:t>
            </w:r>
            <w:r w:rsidR="008772DD" w:rsidRPr="00372846">
              <w:rPr>
                <w:rFonts w:cs="Times New Roman"/>
                <w:sz w:val="24"/>
                <w:szCs w:val="24"/>
              </w:rPr>
              <w:t xml:space="preserve"> </w:t>
            </w:r>
            <w:r w:rsidR="00D80DCE">
              <w:rPr>
                <w:rFonts w:cs="Times New Roman"/>
                <w:sz w:val="24"/>
                <w:szCs w:val="24"/>
              </w:rPr>
              <w:t xml:space="preserve">nosūtīts </w:t>
            </w:r>
            <w:r w:rsidRPr="00372846">
              <w:rPr>
                <w:rFonts w:cs="Times New Roman"/>
                <w:sz w:val="24"/>
                <w:szCs w:val="24"/>
              </w:rPr>
              <w:t>saskaņo</w:t>
            </w:r>
            <w:r w:rsidR="00D80DCE">
              <w:rPr>
                <w:rFonts w:cs="Times New Roman"/>
                <w:sz w:val="24"/>
                <w:szCs w:val="24"/>
              </w:rPr>
              <w:t>šanai</w:t>
            </w:r>
            <w:r w:rsidRPr="00372846">
              <w:rPr>
                <w:rFonts w:cs="Times New Roman"/>
                <w:sz w:val="24"/>
                <w:szCs w:val="24"/>
              </w:rPr>
              <w:t xml:space="preserve"> ar </w:t>
            </w:r>
            <w:r w:rsidR="002D1699" w:rsidRPr="00372846">
              <w:rPr>
                <w:rFonts w:cs="Times New Roman"/>
                <w:sz w:val="24"/>
                <w:szCs w:val="24"/>
              </w:rPr>
              <w:t>Biedrīb</w:t>
            </w:r>
            <w:r w:rsidRPr="00372846">
              <w:rPr>
                <w:rFonts w:cs="Times New Roman"/>
                <w:sz w:val="24"/>
                <w:szCs w:val="24"/>
              </w:rPr>
              <w:t>u</w:t>
            </w:r>
            <w:r w:rsidR="002D1699" w:rsidRPr="00372846">
              <w:rPr>
                <w:rFonts w:cs="Times New Roman"/>
                <w:sz w:val="24"/>
                <w:szCs w:val="24"/>
              </w:rPr>
              <w:t xml:space="preserve"> „Autopārvadātāju Asociācija „Latvijas auto””</w:t>
            </w:r>
            <w:r w:rsidRPr="00372846">
              <w:rPr>
                <w:rFonts w:cs="Times New Roman"/>
                <w:sz w:val="24"/>
                <w:szCs w:val="24"/>
              </w:rPr>
              <w:t xml:space="preserve"> un </w:t>
            </w:r>
            <w:r w:rsidR="002D1699" w:rsidRPr="00372846">
              <w:rPr>
                <w:rFonts w:cs="Times New Roman"/>
                <w:sz w:val="24"/>
                <w:szCs w:val="24"/>
              </w:rPr>
              <w:t>Biedrīb</w:t>
            </w:r>
            <w:r w:rsidRPr="00372846">
              <w:rPr>
                <w:rFonts w:cs="Times New Roman"/>
                <w:sz w:val="24"/>
                <w:szCs w:val="24"/>
              </w:rPr>
              <w:t>u</w:t>
            </w:r>
            <w:r w:rsidR="002D1699" w:rsidRPr="00372846">
              <w:rPr>
                <w:rFonts w:cs="Times New Roman"/>
                <w:sz w:val="24"/>
                <w:szCs w:val="24"/>
              </w:rPr>
              <w:t xml:space="preserve"> „Latvijas Pasažieru pārvadātāju asociācija”</w:t>
            </w:r>
            <w:r w:rsidRPr="00372846">
              <w:rPr>
                <w:rFonts w:cs="Times New Roman"/>
                <w:sz w:val="24"/>
                <w:szCs w:val="24"/>
              </w:rPr>
              <w:t>.</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2D1699" w:rsidRPr="00C81EDF" w:rsidRDefault="00C81EDF" w:rsidP="002545D7">
            <w:pPr>
              <w:ind w:firstLine="0"/>
              <w:jc w:val="both"/>
              <w:rPr>
                <w:rFonts w:cs="Times New Roman"/>
                <w:sz w:val="24"/>
                <w:szCs w:val="24"/>
              </w:rPr>
            </w:pPr>
            <w:r w:rsidRPr="00C81EDF">
              <w:rPr>
                <w:rFonts w:cs="Times New Roman"/>
                <w:sz w:val="24"/>
                <w:szCs w:val="24"/>
              </w:rPr>
              <w:t xml:space="preserve">Iebildumi nav saņemti </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D1699" w:rsidRPr="00C81ED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lastRenderedPageBreak/>
              <w:t>VII. Tiesību akta projekta izpildes nodrošināšana un tās ietekme uz institūcijām</w:t>
            </w:r>
          </w:p>
        </w:tc>
      </w:tr>
      <w:tr w:rsidR="002D1699" w:rsidRPr="00C81EDF" w:rsidTr="002545D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A13147" w:rsidP="002545D7">
            <w:pPr>
              <w:ind w:firstLine="0"/>
              <w:rPr>
                <w:rFonts w:cs="Times New Roman"/>
                <w:sz w:val="24"/>
                <w:szCs w:val="24"/>
              </w:rPr>
            </w:pPr>
            <w:r>
              <w:rPr>
                <w:rFonts w:cs="Times New Roman"/>
                <w:sz w:val="24"/>
                <w:szCs w:val="24"/>
              </w:rPr>
              <w:t xml:space="preserve">Satiksmes ministrija, </w:t>
            </w:r>
            <w:r w:rsidR="002D1699" w:rsidRPr="00C81EDF">
              <w:rPr>
                <w:rFonts w:cs="Times New Roman"/>
                <w:sz w:val="24"/>
                <w:szCs w:val="24"/>
              </w:rPr>
              <w:t>VSIA „Autotransporta direkcija”</w:t>
            </w:r>
          </w:p>
        </w:tc>
      </w:tr>
      <w:tr w:rsidR="002D1699" w:rsidRPr="00C81EDF" w:rsidTr="002545D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 xml:space="preserve">Projekta izpildes ietekme uz pārvaldes funkcijām un institucionālo struktūru. </w:t>
            </w:r>
          </w:p>
          <w:p w:rsidR="002D1699" w:rsidRPr="00C81EDF" w:rsidRDefault="002D1699" w:rsidP="002545D7">
            <w:pPr>
              <w:ind w:firstLine="0"/>
              <w:rPr>
                <w:rFonts w:cs="Times New Roman"/>
                <w:sz w:val="24"/>
                <w:szCs w:val="24"/>
              </w:rPr>
            </w:pPr>
            <w:r w:rsidRPr="00C81EDF">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Projekts šo jomu neskar</w:t>
            </w:r>
          </w:p>
        </w:tc>
      </w:tr>
      <w:tr w:rsidR="002D1699" w:rsidRPr="00C81EDF" w:rsidTr="002545D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4A4B9C" w:rsidRDefault="004A4B9C" w:rsidP="004A4B9C">
      <w:pPr>
        <w:ind w:firstLine="0"/>
        <w:rPr>
          <w:rFonts w:cs="Times New Roman"/>
          <w:sz w:val="24"/>
          <w:szCs w:val="24"/>
        </w:rPr>
      </w:pPr>
    </w:p>
    <w:p w:rsidR="004A4B9C" w:rsidRPr="00C81EDF" w:rsidRDefault="004A4B9C" w:rsidP="004A4B9C">
      <w:pPr>
        <w:ind w:firstLine="0"/>
        <w:rPr>
          <w:rFonts w:cs="Times New Roman"/>
          <w:sz w:val="24"/>
          <w:szCs w:val="24"/>
        </w:rPr>
      </w:pPr>
      <w:r w:rsidRPr="00C81EDF">
        <w:rPr>
          <w:rFonts w:cs="Times New Roman"/>
          <w:sz w:val="24"/>
          <w:szCs w:val="24"/>
        </w:rPr>
        <w:t> Anotācijas III un IV sadaļa – projekts šīs jomas neskar.</w:t>
      </w:r>
    </w:p>
    <w:p w:rsidR="004A4B9C" w:rsidRPr="00C81EDF" w:rsidRDefault="004A4B9C" w:rsidP="004A4B9C">
      <w:pPr>
        <w:ind w:firstLine="0"/>
        <w:jc w:val="both"/>
        <w:rPr>
          <w:rFonts w:cs="Times New Roman"/>
          <w:sz w:val="24"/>
          <w:szCs w:val="24"/>
        </w:rPr>
      </w:pPr>
    </w:p>
    <w:p w:rsidR="002D1699" w:rsidRDefault="002D1699" w:rsidP="002D1699">
      <w:pPr>
        <w:ind w:firstLine="0"/>
      </w:pPr>
    </w:p>
    <w:p w:rsidR="00FF20C6" w:rsidRPr="00FF20C6" w:rsidRDefault="00FF20C6" w:rsidP="00FF20C6">
      <w:pPr>
        <w:pStyle w:val="Heading3"/>
        <w:tabs>
          <w:tab w:val="left" w:pos="6840"/>
        </w:tabs>
        <w:spacing w:before="0" w:after="0"/>
        <w:jc w:val="both"/>
        <w:rPr>
          <w:rFonts w:ascii="Times New Roman" w:hAnsi="Times New Roman"/>
          <w:b w:val="0"/>
          <w:sz w:val="28"/>
          <w:szCs w:val="28"/>
          <w:lang w:val="lv-LV"/>
        </w:rPr>
      </w:pPr>
      <w:r w:rsidRPr="00FF20C6">
        <w:rPr>
          <w:rFonts w:ascii="Times New Roman" w:hAnsi="Times New Roman"/>
          <w:b w:val="0"/>
          <w:sz w:val="28"/>
          <w:szCs w:val="28"/>
          <w:lang w:val="lv-LV"/>
        </w:rPr>
        <w:t>Satiksmes ministra p. i.</w:t>
      </w:r>
    </w:p>
    <w:p w:rsidR="002D1699" w:rsidRPr="00FF20C6" w:rsidRDefault="00FF20C6" w:rsidP="00FF20C6">
      <w:pPr>
        <w:pStyle w:val="Heading3"/>
        <w:tabs>
          <w:tab w:val="left" w:pos="6840"/>
        </w:tabs>
        <w:spacing w:before="0" w:after="0"/>
        <w:jc w:val="both"/>
        <w:rPr>
          <w:rFonts w:ascii="Times New Roman" w:hAnsi="Times New Roman"/>
          <w:b w:val="0"/>
          <w:sz w:val="28"/>
          <w:szCs w:val="28"/>
          <w:lang w:val="lv-LV"/>
        </w:rPr>
      </w:pPr>
      <w:r w:rsidRPr="00FF20C6">
        <w:rPr>
          <w:rFonts w:ascii="Times New Roman" w:hAnsi="Times New Roman"/>
          <w:b w:val="0"/>
          <w:sz w:val="28"/>
          <w:szCs w:val="28"/>
          <w:lang w:val="lv-LV"/>
        </w:rPr>
        <w:t xml:space="preserve">iekšlietu ministrs   </w:t>
      </w:r>
      <w:r>
        <w:rPr>
          <w:rFonts w:ascii="Times New Roman" w:hAnsi="Times New Roman"/>
          <w:b w:val="0"/>
          <w:sz w:val="28"/>
          <w:szCs w:val="28"/>
          <w:lang w:val="lv-LV"/>
        </w:rPr>
        <w:tab/>
      </w:r>
      <w:r w:rsidRPr="00FF20C6">
        <w:rPr>
          <w:rFonts w:ascii="Times New Roman" w:hAnsi="Times New Roman"/>
          <w:b w:val="0"/>
          <w:sz w:val="28"/>
          <w:szCs w:val="28"/>
          <w:lang w:val="lv-LV"/>
        </w:rPr>
        <w:t>R. Kozlovskis</w:t>
      </w:r>
    </w:p>
    <w:p w:rsidR="00D80DCE" w:rsidRPr="00D80DCE" w:rsidRDefault="00D80DCE" w:rsidP="002D1699">
      <w:pPr>
        <w:pStyle w:val="Header"/>
        <w:tabs>
          <w:tab w:val="clear" w:pos="4153"/>
          <w:tab w:val="center" w:pos="4536"/>
        </w:tabs>
      </w:pPr>
    </w:p>
    <w:p w:rsidR="00052CBF" w:rsidRPr="00052CBF" w:rsidRDefault="002D1699" w:rsidP="00052CBF">
      <w:pPr>
        <w:pStyle w:val="Heading3"/>
        <w:tabs>
          <w:tab w:val="left" w:pos="6840"/>
        </w:tabs>
        <w:spacing w:before="0" w:after="0"/>
        <w:jc w:val="both"/>
        <w:rPr>
          <w:rFonts w:ascii="Times New Roman" w:hAnsi="Times New Roman"/>
          <w:b w:val="0"/>
          <w:sz w:val="28"/>
          <w:szCs w:val="28"/>
          <w:lang w:val="lv-LV"/>
        </w:rPr>
      </w:pPr>
      <w:r w:rsidRPr="00052CBF">
        <w:rPr>
          <w:rFonts w:ascii="Times New Roman" w:hAnsi="Times New Roman"/>
          <w:b w:val="0"/>
          <w:sz w:val="28"/>
          <w:szCs w:val="28"/>
          <w:lang w:val="lv-LV"/>
        </w:rPr>
        <w:t xml:space="preserve">Vīza: </w:t>
      </w:r>
      <w:r w:rsidR="00D10611">
        <w:rPr>
          <w:rFonts w:ascii="Times New Roman" w:hAnsi="Times New Roman"/>
          <w:b w:val="0"/>
          <w:sz w:val="28"/>
          <w:szCs w:val="28"/>
          <w:lang w:val="lv-LV"/>
        </w:rPr>
        <w:t>v</w:t>
      </w:r>
      <w:r w:rsidRPr="00052CBF">
        <w:rPr>
          <w:rFonts w:ascii="Times New Roman" w:hAnsi="Times New Roman"/>
          <w:b w:val="0"/>
          <w:sz w:val="28"/>
          <w:szCs w:val="28"/>
          <w:lang w:val="lv-LV"/>
        </w:rPr>
        <w:t>alsts sekretār</w:t>
      </w:r>
      <w:r w:rsidR="00052CBF" w:rsidRPr="00052CBF">
        <w:rPr>
          <w:rFonts w:ascii="Times New Roman" w:hAnsi="Times New Roman"/>
          <w:b w:val="0"/>
          <w:sz w:val="28"/>
          <w:szCs w:val="28"/>
          <w:lang w:val="lv-LV"/>
        </w:rPr>
        <w:t>s</w:t>
      </w:r>
      <w:r w:rsidR="00052CBF" w:rsidRPr="00052CBF">
        <w:rPr>
          <w:rFonts w:ascii="Times New Roman" w:hAnsi="Times New Roman"/>
          <w:b w:val="0"/>
          <w:sz w:val="28"/>
          <w:szCs w:val="28"/>
          <w:lang w:val="lv-LV"/>
        </w:rPr>
        <w:tab/>
        <w:t>K.Ozoliņš</w:t>
      </w:r>
    </w:p>
    <w:p w:rsidR="002D1699" w:rsidRPr="00EA51D7" w:rsidRDefault="002D1699" w:rsidP="002D1699">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rsidR="00C84F02" w:rsidRDefault="00C84F02" w:rsidP="002D1699">
      <w:pPr>
        <w:ind w:firstLine="0"/>
        <w:jc w:val="both"/>
        <w:rPr>
          <w:rFonts w:eastAsia="Times New Roman"/>
          <w:sz w:val="20"/>
          <w:szCs w:val="20"/>
        </w:rPr>
      </w:pPr>
    </w:p>
    <w:p w:rsidR="002D1699" w:rsidRPr="004A4B9C" w:rsidRDefault="00423741" w:rsidP="002D1699">
      <w:pPr>
        <w:ind w:firstLine="0"/>
        <w:jc w:val="both"/>
        <w:rPr>
          <w:rFonts w:eastAsia="Times New Roman"/>
          <w:sz w:val="20"/>
          <w:szCs w:val="20"/>
        </w:rPr>
      </w:pPr>
      <w:r>
        <w:rPr>
          <w:rFonts w:eastAsia="Times New Roman"/>
          <w:sz w:val="20"/>
          <w:szCs w:val="20"/>
        </w:rPr>
        <w:t>17</w:t>
      </w:r>
      <w:r w:rsidR="00052CBF" w:rsidRPr="004A4B9C">
        <w:rPr>
          <w:rFonts w:eastAsia="Times New Roman"/>
          <w:sz w:val="20"/>
          <w:szCs w:val="20"/>
        </w:rPr>
        <w:t>.</w:t>
      </w:r>
      <w:r w:rsidR="00AA6688">
        <w:rPr>
          <w:rFonts w:eastAsia="Times New Roman"/>
          <w:sz w:val="20"/>
          <w:szCs w:val="20"/>
        </w:rPr>
        <w:t>1</w:t>
      </w:r>
      <w:r w:rsidR="00DD283B">
        <w:rPr>
          <w:rFonts w:eastAsia="Times New Roman"/>
          <w:sz w:val="20"/>
          <w:szCs w:val="20"/>
        </w:rPr>
        <w:t>1</w:t>
      </w:r>
      <w:r w:rsidR="00052CBF" w:rsidRPr="004A4B9C">
        <w:rPr>
          <w:rFonts w:eastAsia="Times New Roman"/>
          <w:sz w:val="20"/>
          <w:szCs w:val="20"/>
        </w:rPr>
        <w:t>.2015</w:t>
      </w:r>
      <w:r w:rsidR="002D1699" w:rsidRPr="004A4B9C">
        <w:rPr>
          <w:rFonts w:eastAsia="Times New Roman"/>
          <w:sz w:val="20"/>
          <w:szCs w:val="20"/>
        </w:rPr>
        <w:t xml:space="preserve"> 1</w:t>
      </w:r>
      <w:r w:rsidR="00B925F9" w:rsidRPr="004A4B9C">
        <w:rPr>
          <w:rFonts w:eastAsia="Times New Roman"/>
          <w:sz w:val="20"/>
          <w:szCs w:val="20"/>
        </w:rPr>
        <w:t>1</w:t>
      </w:r>
      <w:r w:rsidR="002D1699" w:rsidRPr="004A4B9C">
        <w:rPr>
          <w:rFonts w:eastAsia="Times New Roman"/>
          <w:sz w:val="20"/>
          <w:szCs w:val="20"/>
        </w:rPr>
        <w:t>:</w:t>
      </w:r>
      <w:r w:rsidR="00AA6688">
        <w:rPr>
          <w:rFonts w:eastAsia="Times New Roman"/>
          <w:sz w:val="20"/>
          <w:szCs w:val="20"/>
        </w:rPr>
        <w:t>1</w:t>
      </w:r>
      <w:r w:rsidR="002D1699" w:rsidRPr="004A4B9C">
        <w:rPr>
          <w:rFonts w:eastAsia="Times New Roman"/>
          <w:sz w:val="20"/>
          <w:szCs w:val="20"/>
        </w:rPr>
        <w:t>0</w:t>
      </w:r>
    </w:p>
    <w:p w:rsidR="002D1699" w:rsidRPr="004A4B9C" w:rsidRDefault="00C84F02" w:rsidP="002D1699">
      <w:pPr>
        <w:ind w:firstLine="0"/>
        <w:jc w:val="both"/>
        <w:rPr>
          <w:rFonts w:eastAsia="Times New Roman"/>
          <w:sz w:val="20"/>
          <w:szCs w:val="20"/>
        </w:rPr>
      </w:pPr>
      <w:r>
        <w:rPr>
          <w:rFonts w:eastAsia="Times New Roman"/>
          <w:sz w:val="20"/>
          <w:szCs w:val="20"/>
        </w:rPr>
        <w:t>13</w:t>
      </w:r>
      <w:r w:rsidR="00FA0057">
        <w:rPr>
          <w:rFonts w:eastAsia="Times New Roman"/>
          <w:sz w:val="20"/>
          <w:szCs w:val="20"/>
        </w:rPr>
        <w:t>51</w:t>
      </w:r>
    </w:p>
    <w:p w:rsidR="00FA0057" w:rsidRDefault="00A5031F" w:rsidP="00A5031F">
      <w:pPr>
        <w:ind w:firstLine="0"/>
        <w:jc w:val="both"/>
        <w:rPr>
          <w:sz w:val="20"/>
          <w:szCs w:val="20"/>
        </w:rPr>
      </w:pPr>
      <w:r w:rsidRPr="00D80DCE">
        <w:rPr>
          <w:sz w:val="20"/>
          <w:szCs w:val="20"/>
        </w:rPr>
        <w:t>I.Pētersone 67028324</w:t>
      </w:r>
      <w:r w:rsidR="00D80DCE">
        <w:rPr>
          <w:sz w:val="20"/>
          <w:szCs w:val="20"/>
        </w:rPr>
        <w:t xml:space="preserve">, </w:t>
      </w:r>
    </w:p>
    <w:p w:rsidR="00A5031F" w:rsidRPr="00D80DCE" w:rsidRDefault="00A5031F" w:rsidP="00A5031F">
      <w:pPr>
        <w:ind w:firstLine="0"/>
        <w:jc w:val="both"/>
        <w:rPr>
          <w:sz w:val="20"/>
          <w:szCs w:val="20"/>
        </w:rPr>
      </w:pPr>
      <w:r w:rsidRPr="00D80DCE">
        <w:rPr>
          <w:sz w:val="20"/>
          <w:szCs w:val="20"/>
        </w:rPr>
        <w:t>Inara.petersone@sam.gov.lv</w:t>
      </w:r>
    </w:p>
    <w:p w:rsidR="00FA0057" w:rsidRDefault="002D1699" w:rsidP="002D1699">
      <w:pPr>
        <w:ind w:firstLine="0"/>
        <w:jc w:val="both"/>
        <w:rPr>
          <w:rFonts w:eastAsia="Times New Roman"/>
          <w:b/>
          <w:sz w:val="20"/>
          <w:szCs w:val="20"/>
          <w:u w:val="single"/>
        </w:rPr>
      </w:pPr>
      <w:r w:rsidRPr="00FF20C6">
        <w:rPr>
          <w:rFonts w:eastAsia="Times New Roman"/>
          <w:sz w:val="20"/>
          <w:szCs w:val="20"/>
        </w:rPr>
        <w:t>S.Tanne 67686480</w:t>
      </w:r>
      <w:r w:rsidR="00D80DCE" w:rsidRPr="00FF20C6">
        <w:rPr>
          <w:rFonts w:eastAsia="Times New Roman"/>
          <w:sz w:val="20"/>
          <w:szCs w:val="20"/>
        </w:rPr>
        <w:t>,</w:t>
      </w:r>
      <w:r w:rsidRPr="00FF20C6">
        <w:rPr>
          <w:rFonts w:eastAsia="Times New Roman"/>
          <w:b/>
          <w:sz w:val="20"/>
          <w:szCs w:val="20"/>
          <w:u w:val="single"/>
        </w:rPr>
        <w:t xml:space="preserve"> </w:t>
      </w:r>
    </w:p>
    <w:p w:rsidR="002D1699" w:rsidRPr="00D80DCE" w:rsidRDefault="002D1699" w:rsidP="002D1699">
      <w:pPr>
        <w:ind w:firstLine="0"/>
        <w:jc w:val="both"/>
        <w:rPr>
          <w:sz w:val="20"/>
          <w:szCs w:val="20"/>
          <w:lang w:val="en-US"/>
        </w:rPr>
      </w:pPr>
      <w:proofErr w:type="spellStart"/>
      <w:r w:rsidRPr="00FF20C6">
        <w:rPr>
          <w:rFonts w:eastAsia="Times New Roman"/>
          <w:sz w:val="20"/>
          <w:szCs w:val="20"/>
        </w:rPr>
        <w:t>sa</w:t>
      </w:r>
      <w:proofErr w:type="spellEnd"/>
      <w:r w:rsidRPr="00D80DCE">
        <w:rPr>
          <w:rFonts w:eastAsia="Times New Roman"/>
          <w:sz w:val="20"/>
          <w:szCs w:val="20"/>
          <w:lang w:val="en-US"/>
        </w:rPr>
        <w:t>ndra.tanne@atd.lv</w:t>
      </w:r>
    </w:p>
    <w:p w:rsidR="00FA0057" w:rsidRDefault="00CE683C" w:rsidP="00D655C9">
      <w:pPr>
        <w:ind w:firstLine="0"/>
        <w:jc w:val="both"/>
        <w:rPr>
          <w:sz w:val="20"/>
          <w:szCs w:val="20"/>
        </w:rPr>
      </w:pPr>
      <w:r w:rsidRPr="00D80DCE">
        <w:rPr>
          <w:sz w:val="20"/>
          <w:szCs w:val="20"/>
        </w:rPr>
        <w:t>O.Baranovskis 67686462</w:t>
      </w:r>
      <w:r w:rsidR="00D80DCE">
        <w:rPr>
          <w:sz w:val="20"/>
          <w:szCs w:val="20"/>
        </w:rPr>
        <w:t>,</w:t>
      </w:r>
      <w:r w:rsidRPr="00D80DCE">
        <w:rPr>
          <w:sz w:val="20"/>
          <w:szCs w:val="20"/>
        </w:rPr>
        <w:t xml:space="preserve"> </w:t>
      </w:r>
    </w:p>
    <w:p w:rsidR="00CE683C" w:rsidRPr="00D80DCE" w:rsidRDefault="00CE683C" w:rsidP="00D655C9">
      <w:pPr>
        <w:ind w:firstLine="0"/>
        <w:jc w:val="both"/>
        <w:rPr>
          <w:sz w:val="20"/>
          <w:szCs w:val="20"/>
        </w:rPr>
      </w:pPr>
      <w:r w:rsidRPr="00D80DCE">
        <w:rPr>
          <w:sz w:val="20"/>
          <w:szCs w:val="20"/>
        </w:rPr>
        <w:t>Oskars.Baranovskis@atd.lv</w:t>
      </w:r>
    </w:p>
    <w:p w:rsidR="00044B41" w:rsidRPr="00D80DCE" w:rsidRDefault="00044B41">
      <w:pPr>
        <w:rPr>
          <w:sz w:val="20"/>
          <w:szCs w:val="20"/>
        </w:rPr>
      </w:pPr>
    </w:p>
    <w:sectPr w:rsidR="00044B41" w:rsidRPr="00D80DCE" w:rsidSect="00AD1B30">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B4" w:rsidRDefault="002533B4">
      <w:r>
        <w:separator/>
      </w:r>
    </w:p>
  </w:endnote>
  <w:endnote w:type="continuationSeparator" w:id="0">
    <w:p w:rsidR="002533B4" w:rsidRDefault="0025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F7" w:rsidRPr="008E3E94" w:rsidRDefault="003259F7" w:rsidP="003259F7">
    <w:pPr>
      <w:pStyle w:val="Footer"/>
      <w:ind w:firstLine="0"/>
      <w:jc w:val="both"/>
      <w:rPr>
        <w:sz w:val="20"/>
        <w:szCs w:val="20"/>
      </w:rPr>
    </w:pPr>
    <w:r>
      <w:rPr>
        <w:sz w:val="20"/>
        <w:szCs w:val="20"/>
      </w:rPr>
      <w:t>SAManot_</w:t>
    </w:r>
    <w:r w:rsidR="00423741">
      <w:rPr>
        <w:sz w:val="20"/>
        <w:szCs w:val="20"/>
      </w:rPr>
      <w:t>17</w:t>
    </w:r>
    <w:r w:rsidR="00DD283B">
      <w:rPr>
        <w:sz w:val="20"/>
        <w:szCs w:val="20"/>
      </w:rPr>
      <w:t>11</w:t>
    </w:r>
    <w:r>
      <w:rPr>
        <w:sz w:val="20"/>
        <w:szCs w:val="20"/>
      </w:rPr>
      <w:t>15_</w:t>
    </w:r>
    <w:r w:rsidR="00B925F9">
      <w:rPr>
        <w:sz w:val="20"/>
        <w:szCs w:val="20"/>
      </w:rPr>
      <w:t>836</w:t>
    </w:r>
    <w:r w:rsidR="003E270B">
      <w:rPr>
        <w:sz w:val="20"/>
        <w:szCs w:val="20"/>
      </w:rPr>
      <w:t>.1004</w:t>
    </w:r>
    <w:r>
      <w:rPr>
        <w:sz w:val="20"/>
        <w:szCs w:val="20"/>
      </w:rPr>
      <w:t xml:space="preserve">; </w:t>
    </w:r>
    <w:r w:rsidR="00B925F9">
      <w:rPr>
        <w:sz w:val="20"/>
        <w:szCs w:val="20"/>
      </w:rPr>
      <w:t xml:space="preserve">Ministru kabineta noteikumu projekts </w:t>
    </w:r>
    <w:r w:rsidR="00B925F9" w:rsidRPr="00525331">
      <w:rPr>
        <w:sz w:val="20"/>
        <w:szCs w:val="20"/>
      </w:rPr>
      <w:t>„</w:t>
    </w:r>
    <w:r w:rsidR="00B925F9" w:rsidRPr="008C06C9">
      <w:rPr>
        <w:sz w:val="20"/>
        <w:szCs w:val="20"/>
      </w:rPr>
      <w:t>Grozījumi Ministru kabineta 2005.gada 1.novembra noteikumos Nr.836 „Noteikumi par transportlīdzekļa vadītāja darba un atpūtas laika uzskaites digitālās kontrolierīces (tahogrāfa) karšu izsniegšanu, anulēšanu un apturēšanu uz laiku””</w:t>
    </w:r>
    <w:r w:rsidRPr="008E3E94">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F9" w:rsidRPr="008E3E94" w:rsidRDefault="00B925F9" w:rsidP="00B925F9">
    <w:pPr>
      <w:pStyle w:val="Footer"/>
      <w:ind w:firstLine="0"/>
      <w:jc w:val="both"/>
      <w:rPr>
        <w:sz w:val="20"/>
        <w:szCs w:val="20"/>
      </w:rPr>
    </w:pPr>
    <w:r>
      <w:rPr>
        <w:sz w:val="20"/>
        <w:szCs w:val="20"/>
      </w:rPr>
      <w:t>SAManot_</w:t>
    </w:r>
    <w:r w:rsidR="00423741">
      <w:rPr>
        <w:sz w:val="20"/>
        <w:szCs w:val="20"/>
      </w:rPr>
      <w:t>17</w:t>
    </w:r>
    <w:r w:rsidR="00DD283B">
      <w:rPr>
        <w:sz w:val="20"/>
        <w:szCs w:val="20"/>
      </w:rPr>
      <w:t>11</w:t>
    </w:r>
    <w:r>
      <w:rPr>
        <w:sz w:val="20"/>
        <w:szCs w:val="20"/>
      </w:rPr>
      <w:t>5_836</w:t>
    </w:r>
    <w:r w:rsidR="003E270B">
      <w:rPr>
        <w:sz w:val="20"/>
        <w:szCs w:val="20"/>
      </w:rPr>
      <w:t>.1004</w:t>
    </w:r>
    <w:r>
      <w:rPr>
        <w:sz w:val="20"/>
        <w:szCs w:val="20"/>
      </w:rPr>
      <w:t xml:space="preserve">; Ministru kabineta noteikumu projekts </w:t>
    </w:r>
    <w:r w:rsidRPr="00525331">
      <w:rPr>
        <w:sz w:val="20"/>
        <w:szCs w:val="20"/>
      </w:rPr>
      <w:t>„</w:t>
    </w:r>
    <w:r w:rsidRPr="008C06C9">
      <w:rPr>
        <w:sz w:val="20"/>
        <w:szCs w:val="20"/>
      </w:rPr>
      <w:t>Grozījumi Ministru kabineta 2005.gada 1.novembra noteikumos Nr.836 „Noteikumi par transportlīdzekļa vadītāja darba un atpūtas laika uzskaites digitālās kontrolierīces (tahogrāfa) karšu izsniegšanu, anulēšanu un apturēšanu uz laiku””</w:t>
    </w:r>
    <w:r w:rsidRPr="008E3E94">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B4" w:rsidRDefault="002533B4">
      <w:r>
        <w:separator/>
      </w:r>
    </w:p>
  </w:footnote>
  <w:footnote w:type="continuationSeparator" w:id="0">
    <w:p w:rsidR="002533B4" w:rsidRDefault="0025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9A62BF">
          <w:rPr>
            <w:noProof/>
          </w:rPr>
          <w:t>6</w:t>
        </w:r>
        <w:r>
          <w:rPr>
            <w:noProof/>
          </w:rPr>
          <w:fldChar w:fldCharType="end"/>
        </w:r>
      </w:p>
    </w:sdtContent>
  </w:sdt>
  <w:p w:rsidR="008E3E94" w:rsidRDefault="009A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41B"/>
    <w:multiLevelType w:val="hybridMultilevel"/>
    <w:tmpl w:val="3342C56C"/>
    <w:lvl w:ilvl="0" w:tplc="73C6CC62">
      <w:start w:val="1"/>
      <w:numFmt w:val="decimal"/>
      <w:lvlText w:val="%1."/>
      <w:lvlJc w:val="left"/>
      <w:pPr>
        <w:ind w:left="501" w:hanging="360"/>
      </w:pPr>
      <w:rPr>
        <w:color w:val="auto"/>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5">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24061"/>
    <w:rsid w:val="0002450B"/>
    <w:rsid w:val="00027476"/>
    <w:rsid w:val="00044B41"/>
    <w:rsid w:val="00052CBF"/>
    <w:rsid w:val="0007136D"/>
    <w:rsid w:val="00072346"/>
    <w:rsid w:val="00086977"/>
    <w:rsid w:val="0009276D"/>
    <w:rsid w:val="000C5C7B"/>
    <w:rsid w:val="000E0CA9"/>
    <w:rsid w:val="000E2A64"/>
    <w:rsid w:val="00111908"/>
    <w:rsid w:val="00131F99"/>
    <w:rsid w:val="0013296E"/>
    <w:rsid w:val="00136A1C"/>
    <w:rsid w:val="00155B64"/>
    <w:rsid w:val="0017257B"/>
    <w:rsid w:val="001A322F"/>
    <w:rsid w:val="001B0388"/>
    <w:rsid w:val="001B298A"/>
    <w:rsid w:val="001F2E8D"/>
    <w:rsid w:val="002533B4"/>
    <w:rsid w:val="002B2CA3"/>
    <w:rsid w:val="002C1463"/>
    <w:rsid w:val="002C25F1"/>
    <w:rsid w:val="002C68F1"/>
    <w:rsid w:val="002D1699"/>
    <w:rsid w:val="002E6C9F"/>
    <w:rsid w:val="002F14F6"/>
    <w:rsid w:val="00300CEC"/>
    <w:rsid w:val="00315C10"/>
    <w:rsid w:val="00315CFC"/>
    <w:rsid w:val="003161EE"/>
    <w:rsid w:val="003207C6"/>
    <w:rsid w:val="003259F7"/>
    <w:rsid w:val="003277E9"/>
    <w:rsid w:val="00340368"/>
    <w:rsid w:val="00340D74"/>
    <w:rsid w:val="00361CFD"/>
    <w:rsid w:val="00361CFE"/>
    <w:rsid w:val="00372846"/>
    <w:rsid w:val="003856C2"/>
    <w:rsid w:val="00393B2E"/>
    <w:rsid w:val="00393FB0"/>
    <w:rsid w:val="003A2701"/>
    <w:rsid w:val="003E270B"/>
    <w:rsid w:val="003E28A8"/>
    <w:rsid w:val="003E551F"/>
    <w:rsid w:val="00404B00"/>
    <w:rsid w:val="004132E2"/>
    <w:rsid w:val="00415B05"/>
    <w:rsid w:val="00423741"/>
    <w:rsid w:val="00424A28"/>
    <w:rsid w:val="00443B8D"/>
    <w:rsid w:val="004461C7"/>
    <w:rsid w:val="00447EC4"/>
    <w:rsid w:val="00453943"/>
    <w:rsid w:val="004705B1"/>
    <w:rsid w:val="00472151"/>
    <w:rsid w:val="00486883"/>
    <w:rsid w:val="004948D9"/>
    <w:rsid w:val="004952DC"/>
    <w:rsid w:val="004A4B9C"/>
    <w:rsid w:val="004B4B06"/>
    <w:rsid w:val="004E1132"/>
    <w:rsid w:val="004E62B3"/>
    <w:rsid w:val="004F717D"/>
    <w:rsid w:val="005049CE"/>
    <w:rsid w:val="00520470"/>
    <w:rsid w:val="00534B20"/>
    <w:rsid w:val="005419DB"/>
    <w:rsid w:val="00562920"/>
    <w:rsid w:val="0056352F"/>
    <w:rsid w:val="005A47A1"/>
    <w:rsid w:val="005B70BE"/>
    <w:rsid w:val="005C2338"/>
    <w:rsid w:val="005D647E"/>
    <w:rsid w:val="005E4DE1"/>
    <w:rsid w:val="00600865"/>
    <w:rsid w:val="00605F42"/>
    <w:rsid w:val="006129A5"/>
    <w:rsid w:val="006145B9"/>
    <w:rsid w:val="00631240"/>
    <w:rsid w:val="00646099"/>
    <w:rsid w:val="00664B6D"/>
    <w:rsid w:val="00696EA8"/>
    <w:rsid w:val="006C1971"/>
    <w:rsid w:val="006C286E"/>
    <w:rsid w:val="00705481"/>
    <w:rsid w:val="00741FC1"/>
    <w:rsid w:val="00747290"/>
    <w:rsid w:val="00754F42"/>
    <w:rsid w:val="00756964"/>
    <w:rsid w:val="00764D6D"/>
    <w:rsid w:val="007666AB"/>
    <w:rsid w:val="00766905"/>
    <w:rsid w:val="007A46F0"/>
    <w:rsid w:val="007B2A9E"/>
    <w:rsid w:val="007D3866"/>
    <w:rsid w:val="007D5ABA"/>
    <w:rsid w:val="007F34A1"/>
    <w:rsid w:val="007F4EFB"/>
    <w:rsid w:val="0080393C"/>
    <w:rsid w:val="008144CD"/>
    <w:rsid w:val="00826940"/>
    <w:rsid w:val="008321F6"/>
    <w:rsid w:val="00835B29"/>
    <w:rsid w:val="0083761E"/>
    <w:rsid w:val="00842673"/>
    <w:rsid w:val="00860453"/>
    <w:rsid w:val="008619DD"/>
    <w:rsid w:val="00863EB9"/>
    <w:rsid w:val="00866C46"/>
    <w:rsid w:val="00871BF6"/>
    <w:rsid w:val="008772DD"/>
    <w:rsid w:val="008779A7"/>
    <w:rsid w:val="00885764"/>
    <w:rsid w:val="0089015D"/>
    <w:rsid w:val="008A446C"/>
    <w:rsid w:val="008D20CF"/>
    <w:rsid w:val="009075F4"/>
    <w:rsid w:val="00920A49"/>
    <w:rsid w:val="009276A5"/>
    <w:rsid w:val="00940EC7"/>
    <w:rsid w:val="0096168C"/>
    <w:rsid w:val="00963A43"/>
    <w:rsid w:val="009840D4"/>
    <w:rsid w:val="00984BBE"/>
    <w:rsid w:val="009A2E99"/>
    <w:rsid w:val="009A62BF"/>
    <w:rsid w:val="009B241C"/>
    <w:rsid w:val="009D10FC"/>
    <w:rsid w:val="009D52D8"/>
    <w:rsid w:val="009D6B54"/>
    <w:rsid w:val="009D7019"/>
    <w:rsid w:val="009E0B19"/>
    <w:rsid w:val="009F593D"/>
    <w:rsid w:val="00A13147"/>
    <w:rsid w:val="00A13EA2"/>
    <w:rsid w:val="00A16065"/>
    <w:rsid w:val="00A41535"/>
    <w:rsid w:val="00A4652C"/>
    <w:rsid w:val="00A47755"/>
    <w:rsid w:val="00A5031F"/>
    <w:rsid w:val="00A50329"/>
    <w:rsid w:val="00A52EE0"/>
    <w:rsid w:val="00A55CC8"/>
    <w:rsid w:val="00A704D4"/>
    <w:rsid w:val="00A707E1"/>
    <w:rsid w:val="00A70AD5"/>
    <w:rsid w:val="00A8003C"/>
    <w:rsid w:val="00A9777D"/>
    <w:rsid w:val="00AA6688"/>
    <w:rsid w:val="00AA7416"/>
    <w:rsid w:val="00AD1B30"/>
    <w:rsid w:val="00AD3346"/>
    <w:rsid w:val="00AF23B3"/>
    <w:rsid w:val="00B076A6"/>
    <w:rsid w:val="00B223FE"/>
    <w:rsid w:val="00B257AB"/>
    <w:rsid w:val="00B4660D"/>
    <w:rsid w:val="00B46B66"/>
    <w:rsid w:val="00B47204"/>
    <w:rsid w:val="00B527C1"/>
    <w:rsid w:val="00B5771F"/>
    <w:rsid w:val="00B72007"/>
    <w:rsid w:val="00B87BE1"/>
    <w:rsid w:val="00B925F9"/>
    <w:rsid w:val="00B9319D"/>
    <w:rsid w:val="00B97EE6"/>
    <w:rsid w:val="00BB21F6"/>
    <w:rsid w:val="00BD329C"/>
    <w:rsid w:val="00BD566B"/>
    <w:rsid w:val="00BE2091"/>
    <w:rsid w:val="00C04273"/>
    <w:rsid w:val="00C05D77"/>
    <w:rsid w:val="00C0701A"/>
    <w:rsid w:val="00C11494"/>
    <w:rsid w:val="00C25E4E"/>
    <w:rsid w:val="00C518D9"/>
    <w:rsid w:val="00C70001"/>
    <w:rsid w:val="00C81EDF"/>
    <w:rsid w:val="00C84F02"/>
    <w:rsid w:val="00CA5792"/>
    <w:rsid w:val="00CB714E"/>
    <w:rsid w:val="00CD341D"/>
    <w:rsid w:val="00CD7274"/>
    <w:rsid w:val="00CE683C"/>
    <w:rsid w:val="00D10611"/>
    <w:rsid w:val="00D20B9F"/>
    <w:rsid w:val="00D26348"/>
    <w:rsid w:val="00D304E5"/>
    <w:rsid w:val="00D4071C"/>
    <w:rsid w:val="00D655C9"/>
    <w:rsid w:val="00D72749"/>
    <w:rsid w:val="00D77586"/>
    <w:rsid w:val="00D80DCE"/>
    <w:rsid w:val="00D86CF9"/>
    <w:rsid w:val="00D97737"/>
    <w:rsid w:val="00DA025B"/>
    <w:rsid w:val="00DA0781"/>
    <w:rsid w:val="00DC0110"/>
    <w:rsid w:val="00DC53A5"/>
    <w:rsid w:val="00DD283B"/>
    <w:rsid w:val="00DE451C"/>
    <w:rsid w:val="00DF0400"/>
    <w:rsid w:val="00E00901"/>
    <w:rsid w:val="00E02F43"/>
    <w:rsid w:val="00E24243"/>
    <w:rsid w:val="00E269F4"/>
    <w:rsid w:val="00E302E3"/>
    <w:rsid w:val="00E52814"/>
    <w:rsid w:val="00E832E1"/>
    <w:rsid w:val="00EB5513"/>
    <w:rsid w:val="00EB55AD"/>
    <w:rsid w:val="00EB73CE"/>
    <w:rsid w:val="00EC607B"/>
    <w:rsid w:val="00ED36CB"/>
    <w:rsid w:val="00EF3448"/>
    <w:rsid w:val="00F00BD0"/>
    <w:rsid w:val="00F352D9"/>
    <w:rsid w:val="00F36C26"/>
    <w:rsid w:val="00F73DA7"/>
    <w:rsid w:val="00FA0057"/>
    <w:rsid w:val="00FE1906"/>
    <w:rsid w:val="00FF20C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metric2"/>
  <w:smartTagType w:namespaceuri="schemas-tilde-lv/tildestengine" w:name="metric"/>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9"/>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character" w:styleId="FollowedHyperlink">
    <w:name w:val="FollowedHyperlink"/>
    <w:basedOn w:val="DefaultParagraphFont"/>
    <w:uiPriority w:val="99"/>
    <w:semiHidden/>
    <w:unhideWhenUsed/>
    <w:rsid w:val="005A47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9"/>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character" w:styleId="FollowedHyperlink">
    <w:name w:val="FollowedHyperlink"/>
    <w:basedOn w:val="DefaultParagraphFont"/>
    <w:uiPriority w:val="99"/>
    <w:semiHidden/>
    <w:unhideWhenUsed/>
    <w:rsid w:val="005A4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td.lv/tools/download.php?name=Regula_561-2006_lv.pdf" TargetMode="External"/><Relationship Id="rId4" Type="http://schemas.microsoft.com/office/2007/relationships/stylesWithEffects" Target="stylesWithEffects.xml"/><Relationship Id="rId9" Type="http://schemas.openxmlformats.org/officeDocument/2006/relationships/hyperlink" Target="http://www.atd.lv/tools/download.php?name=Regula_561-2006_lv.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673B-493A-4410-A69F-EBC4A96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7205</Words>
  <Characters>4107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1.novembra noteikumos Nr.836 „Noteikumi par transportlīdzekļa vadītāja darba un atpūtas laika uzskaites digitālās kontrolierīces (tahogrāfa) karšu izsniegšanu, anulēšanu un apturē</vt:lpstr>
    </vt:vector>
  </TitlesOfParts>
  <Company>VSIA "Autotransporta direkcija"</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1.novembra noteikumos Nr.836 „Noteikumi par transportlīdzekļa vadītāja darba un atpūtas laika uzskaites digitālās kontrolierīces (tahogrāfa) karšu izsniegšanu, anulēšanu un apturēšanu uz laiku”” sākotnējās ietekmes novērtējuma ziņojums (anotācija)</dc:title>
  <dc:subject>Anotācija</dc:subject>
  <dc:creator>S.Tanne,O.Baranovskis</dc:creator>
  <dc:description>S.Tanne, 67686480, 
sandra.tanne@atd.lv
O.Baranovskis 67686462, 
Oskars.Baranovskis@atd.lv
indra.gromule@atd.lv</dc:description>
  <cp:lastModifiedBy>Ināra Pētersone</cp:lastModifiedBy>
  <cp:revision>3</cp:revision>
  <cp:lastPrinted>2015-11-17T08:35:00Z</cp:lastPrinted>
  <dcterms:created xsi:type="dcterms:W3CDTF">2015-11-23T11:15:00Z</dcterms:created>
  <dcterms:modified xsi:type="dcterms:W3CDTF">2015-12-02T12:46:00Z</dcterms:modified>
</cp:coreProperties>
</file>