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55" w:rsidRPr="00EE0538" w:rsidRDefault="002E6FAF" w:rsidP="002E6FAF">
      <w:pPr>
        <w:jc w:val="center"/>
        <w:rPr>
          <w:rFonts w:eastAsia="Times New Roman" w:cs="Times New Roman"/>
          <w:b/>
          <w:bCs/>
          <w:szCs w:val="26"/>
          <w:lang w:eastAsia="lv-LV"/>
        </w:rPr>
      </w:pPr>
      <w:r w:rsidRPr="00EE0538">
        <w:rPr>
          <w:rFonts w:eastAsia="Times New Roman" w:cs="Times New Roman"/>
          <w:b/>
          <w:bCs/>
          <w:szCs w:val="26"/>
          <w:lang w:eastAsia="lv-LV"/>
        </w:rPr>
        <w:t>Ministru kabineta noteikumu</w:t>
      </w:r>
      <w:r w:rsidR="006E3768" w:rsidRPr="00EE0538">
        <w:rPr>
          <w:rFonts w:eastAsia="Times New Roman" w:cs="Times New Roman"/>
          <w:b/>
          <w:bCs/>
          <w:szCs w:val="26"/>
          <w:lang w:eastAsia="lv-LV"/>
        </w:rPr>
        <w:t xml:space="preserve"> projekta</w:t>
      </w:r>
    </w:p>
    <w:p w:rsidR="003E6B1C" w:rsidRPr="00EE0538" w:rsidRDefault="00B110A5" w:rsidP="002E6FAF">
      <w:pPr>
        <w:jc w:val="center"/>
        <w:rPr>
          <w:rFonts w:eastAsia="Times New Roman" w:cs="Times New Roman"/>
          <w:b/>
          <w:bCs/>
          <w:szCs w:val="26"/>
          <w:lang w:eastAsia="lv-LV"/>
        </w:rPr>
      </w:pPr>
      <w:r>
        <w:rPr>
          <w:rFonts w:eastAsia="Times New Roman" w:cs="Times New Roman"/>
          <w:b/>
          <w:bCs/>
          <w:szCs w:val="26"/>
          <w:lang w:eastAsia="lv-LV"/>
        </w:rPr>
        <w:t>”</w:t>
      </w:r>
      <w:r w:rsidR="002E6FAF" w:rsidRPr="00EE0538">
        <w:rPr>
          <w:rFonts w:eastAsia="Times New Roman" w:cs="Times New Roman"/>
          <w:b/>
          <w:bCs/>
          <w:szCs w:val="26"/>
          <w:lang w:eastAsia="lv-LV"/>
        </w:rPr>
        <w:t>Kārtība, kādā Neatliekamās medicīniskās palīdzības dienesta neatliekamās medicīniskās palīdzības nodrošināšanā iesaistītajiem darbiniekiem aprēķina, piešķir  un izmaksā izdienas pensijas</w:t>
      </w:r>
      <w:r w:rsidR="006E3768" w:rsidRPr="00EE0538">
        <w:rPr>
          <w:rFonts w:eastAsia="Times New Roman" w:cs="Times New Roman"/>
          <w:b/>
          <w:bCs/>
          <w:szCs w:val="26"/>
          <w:lang w:eastAsia="lv-LV"/>
        </w:rPr>
        <w:t xml:space="preserve">” </w:t>
      </w:r>
      <w:r w:rsidR="003E6B1C" w:rsidRPr="00EE0538">
        <w:rPr>
          <w:rFonts w:eastAsia="Times New Roman" w:cs="Times New Roman"/>
          <w:b/>
          <w:bCs/>
          <w:szCs w:val="26"/>
          <w:lang w:eastAsia="lv-LV"/>
        </w:rPr>
        <w:t>sākotnējās ietekmes novērtējuma ziņojums (anotācija)</w:t>
      </w:r>
    </w:p>
    <w:p w:rsidR="006E3768" w:rsidRPr="00EE0538" w:rsidRDefault="006E3768" w:rsidP="006E3768">
      <w:pPr>
        <w:jc w:val="center"/>
        <w:rPr>
          <w:rFonts w:eastAsia="Times New Roman" w:cs="Times New Roman"/>
          <w:b/>
          <w:bCs/>
          <w:sz w:val="26"/>
          <w:szCs w:val="26"/>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1720"/>
        <w:gridCol w:w="261"/>
        <w:gridCol w:w="1109"/>
        <w:gridCol w:w="380"/>
        <w:gridCol w:w="1410"/>
        <w:gridCol w:w="1264"/>
        <w:gridCol w:w="1370"/>
        <w:gridCol w:w="1161"/>
      </w:tblGrid>
      <w:tr w:rsidR="003E6B1C" w:rsidRPr="00EE0538" w:rsidTr="00AF0F55">
        <w:trPr>
          <w:trHeight w:val="235"/>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3E6B1C" w:rsidRPr="00EE0538" w:rsidRDefault="003E6B1C" w:rsidP="00DE0605">
            <w:pPr>
              <w:jc w:val="center"/>
              <w:rPr>
                <w:rFonts w:eastAsia="Times New Roman" w:cs="Times New Roman"/>
                <w:szCs w:val="24"/>
                <w:lang w:eastAsia="lv-LV"/>
              </w:rPr>
            </w:pPr>
            <w:r w:rsidRPr="00EE0538">
              <w:rPr>
                <w:rFonts w:eastAsia="Times New Roman" w:cs="Times New Roman"/>
                <w:b/>
                <w:bCs/>
                <w:szCs w:val="24"/>
                <w:lang w:eastAsia="lv-LV"/>
              </w:rPr>
              <w:t>I. Tiesību akta projekta izstrādes nepieciešamība</w:t>
            </w:r>
          </w:p>
        </w:tc>
      </w:tr>
      <w:tr w:rsidR="003E6B1C" w:rsidRPr="00EE0538" w:rsidTr="00D77BBF">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DE0605">
            <w:pPr>
              <w:jc w:val="center"/>
              <w:rPr>
                <w:rFonts w:eastAsia="Times New Roman" w:cs="Times New Roman"/>
                <w:szCs w:val="24"/>
                <w:lang w:eastAsia="lv-LV"/>
              </w:rPr>
            </w:pPr>
            <w:r w:rsidRPr="00EE0538">
              <w:rPr>
                <w:rFonts w:eastAsia="Times New Roman" w:cs="Times New Roman"/>
                <w:szCs w:val="24"/>
                <w:lang w:eastAsia="lv-LV"/>
              </w:rPr>
              <w:t>1.</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EE0538" w:rsidRDefault="003E6B1C" w:rsidP="00AF0F55">
            <w:pPr>
              <w:rPr>
                <w:rFonts w:eastAsia="Times New Roman" w:cs="Times New Roman"/>
                <w:szCs w:val="24"/>
                <w:lang w:eastAsia="lv-LV"/>
              </w:rPr>
            </w:pPr>
            <w:r w:rsidRPr="00EE0538">
              <w:rPr>
                <w:rFonts w:eastAsia="Times New Roman" w:cs="Times New Roman"/>
                <w:szCs w:val="24"/>
                <w:lang w:eastAsia="lv-LV"/>
              </w:rPr>
              <w:t>Pamatojums</w:t>
            </w:r>
          </w:p>
        </w:tc>
        <w:tc>
          <w:tcPr>
            <w:tcW w:w="3666" w:type="pct"/>
            <w:gridSpan w:val="6"/>
            <w:tcBorders>
              <w:top w:val="outset" w:sz="6" w:space="0" w:color="auto"/>
              <w:left w:val="outset" w:sz="6" w:space="0" w:color="auto"/>
              <w:bottom w:val="outset" w:sz="6" w:space="0" w:color="auto"/>
              <w:right w:val="outset" w:sz="6" w:space="0" w:color="auto"/>
            </w:tcBorders>
            <w:hideMark/>
          </w:tcPr>
          <w:p w:rsidR="002A5C22" w:rsidRPr="00EE0538" w:rsidRDefault="00DB5495" w:rsidP="003B34C8">
            <w:pPr>
              <w:ind w:firstLine="336"/>
              <w:jc w:val="both"/>
              <w:rPr>
                <w:rFonts w:cs="Times New Roman"/>
              </w:rPr>
            </w:pPr>
            <w:r w:rsidRPr="00EE0538">
              <w:rPr>
                <w:rFonts w:cs="Times New Roman"/>
              </w:rPr>
              <w:t xml:space="preserve">Neatliekamās medicīniskās palīdzības dienesta neatliekamās medicīniskās palīdzības nodrošināšanā </w:t>
            </w:r>
            <w:r w:rsidR="004309B4" w:rsidRPr="00EE0538">
              <w:rPr>
                <w:rFonts w:cs="Times New Roman"/>
              </w:rPr>
              <w:t xml:space="preserve">iesaistīto darbinieku </w:t>
            </w:r>
            <w:r w:rsidRPr="00EE0538">
              <w:rPr>
                <w:rFonts w:cs="Times New Roman"/>
              </w:rPr>
              <w:t xml:space="preserve">izdienas pensiju likuma 7.panta piektā </w:t>
            </w:r>
            <w:r w:rsidR="003B34C8" w:rsidRPr="00EE0538">
              <w:rPr>
                <w:rFonts w:cs="Times New Roman"/>
              </w:rPr>
              <w:t xml:space="preserve">daļa </w:t>
            </w:r>
          </w:p>
        </w:tc>
      </w:tr>
      <w:tr w:rsidR="003E6B1C" w:rsidRPr="00EE0538" w:rsidTr="00D77BBF">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spacing w:before="75" w:after="75"/>
              <w:jc w:val="center"/>
              <w:rPr>
                <w:rFonts w:eastAsia="Times New Roman" w:cs="Times New Roman"/>
                <w:szCs w:val="24"/>
                <w:lang w:eastAsia="lv-LV"/>
              </w:rPr>
            </w:pPr>
            <w:r w:rsidRPr="00EE0538">
              <w:rPr>
                <w:rFonts w:eastAsia="Times New Roman" w:cs="Times New Roman"/>
                <w:szCs w:val="24"/>
                <w:lang w:eastAsia="lv-LV"/>
              </w:rPr>
              <w:t>2.</w:t>
            </w:r>
          </w:p>
        </w:tc>
        <w:tc>
          <w:tcPr>
            <w:tcW w:w="1085" w:type="pct"/>
            <w:gridSpan w:val="2"/>
            <w:tcBorders>
              <w:top w:val="outset" w:sz="6" w:space="0" w:color="auto"/>
              <w:left w:val="outset" w:sz="6" w:space="0" w:color="auto"/>
              <w:bottom w:val="outset" w:sz="6" w:space="0" w:color="auto"/>
              <w:right w:val="outset" w:sz="6" w:space="0" w:color="auto"/>
            </w:tcBorders>
            <w:hideMark/>
          </w:tcPr>
          <w:p w:rsidR="0086332E" w:rsidRPr="00EE0538" w:rsidRDefault="003E6B1C" w:rsidP="003E6B1C">
            <w:pPr>
              <w:rPr>
                <w:rFonts w:eastAsia="Times New Roman" w:cs="Times New Roman"/>
                <w:szCs w:val="24"/>
                <w:lang w:eastAsia="lv-LV"/>
              </w:rPr>
            </w:pPr>
            <w:r w:rsidRPr="00EE0538">
              <w:rPr>
                <w:rFonts w:eastAsia="Times New Roman" w:cs="Times New Roman"/>
                <w:szCs w:val="24"/>
                <w:lang w:eastAsia="lv-LV"/>
              </w:rPr>
              <w:t>Pašreizējā situācija un problēmas, kuru risināšanai tiesību akta projekts izstrādāts, tiesiskā regulējuma mērķis un būtība</w:t>
            </w:r>
          </w:p>
          <w:p w:rsidR="003E6B1C" w:rsidRPr="00EE0538" w:rsidRDefault="003E6B1C" w:rsidP="0086332E">
            <w:pPr>
              <w:jc w:val="center"/>
              <w:rPr>
                <w:rFonts w:eastAsia="Times New Roman" w:cs="Times New Roman"/>
                <w:szCs w:val="24"/>
                <w:lang w:eastAsia="lv-LV"/>
              </w:rPr>
            </w:pPr>
          </w:p>
        </w:tc>
        <w:tc>
          <w:tcPr>
            <w:tcW w:w="3666" w:type="pct"/>
            <w:gridSpan w:val="6"/>
            <w:tcBorders>
              <w:top w:val="outset" w:sz="6" w:space="0" w:color="auto"/>
              <w:left w:val="outset" w:sz="6" w:space="0" w:color="auto"/>
              <w:bottom w:val="outset" w:sz="6" w:space="0" w:color="auto"/>
              <w:right w:val="outset" w:sz="6" w:space="0" w:color="auto"/>
            </w:tcBorders>
            <w:hideMark/>
          </w:tcPr>
          <w:p w:rsidR="00F73851" w:rsidRPr="005B68B9" w:rsidRDefault="00F73851" w:rsidP="00B110A5">
            <w:pPr>
              <w:pStyle w:val="ListParagraph"/>
              <w:spacing w:after="0" w:line="240" w:lineRule="auto"/>
              <w:ind w:left="0" w:firstLine="398"/>
              <w:jc w:val="both"/>
              <w:rPr>
                <w:rFonts w:ascii="Times New Roman" w:hAnsi="Times New Roman"/>
                <w:sz w:val="24"/>
                <w:szCs w:val="24"/>
                <w:lang w:val="lv-LV"/>
              </w:rPr>
            </w:pPr>
            <w:r w:rsidRPr="005B68B9">
              <w:rPr>
                <w:rFonts w:ascii="Times New Roman" w:hAnsi="Times New Roman"/>
                <w:sz w:val="24"/>
                <w:szCs w:val="24"/>
                <w:lang w:val="lv-LV"/>
              </w:rPr>
              <w:t>2015.gada 21.jūlijā ir pieņemts Neatliekamās medicīniskās palīdzības dienesta neatliekamās medicīniskās palīdzības nodrošināšanā iesaistīto  darbinieku izdienas pensiju likums (turpmāk – Likums) un minētā likuma 7.panta piektajā daļā iekļauts deleģējums Ministru kabinetam noteikt izdienas pensijas piešķiršanas, aprēķināšanas un izmaksas kārtību.</w:t>
            </w:r>
          </w:p>
          <w:p w:rsidR="001F4A56" w:rsidRDefault="00F73851" w:rsidP="00B110A5">
            <w:pPr>
              <w:pStyle w:val="ListParagraph"/>
              <w:spacing w:after="0" w:line="240" w:lineRule="auto"/>
              <w:ind w:left="0" w:firstLine="398"/>
              <w:jc w:val="both"/>
              <w:rPr>
                <w:rFonts w:ascii="Times New Roman" w:hAnsi="Times New Roman"/>
                <w:sz w:val="24"/>
                <w:szCs w:val="24"/>
                <w:lang w:val="lv-LV"/>
              </w:rPr>
            </w:pPr>
            <w:r w:rsidRPr="005B68B9">
              <w:rPr>
                <w:rFonts w:ascii="Times New Roman" w:hAnsi="Times New Roman"/>
                <w:sz w:val="24"/>
                <w:szCs w:val="24"/>
                <w:lang w:val="lv-LV"/>
              </w:rPr>
              <w:t>Noteikumu projektā noteikts, ka izdienas pensijas pieprasītājs iesniedz Valsts sociālās apdrošināšanas aģentūrā</w:t>
            </w:r>
            <w:r w:rsidR="001F4A56">
              <w:rPr>
                <w:rFonts w:ascii="Times New Roman" w:hAnsi="Times New Roman"/>
                <w:sz w:val="24"/>
                <w:szCs w:val="24"/>
                <w:lang w:val="lv-LV"/>
              </w:rPr>
              <w:t xml:space="preserve"> </w:t>
            </w:r>
            <w:r w:rsidR="00DE49EA">
              <w:rPr>
                <w:rFonts w:ascii="Times New Roman" w:hAnsi="Times New Roman"/>
                <w:sz w:val="24"/>
                <w:szCs w:val="24"/>
                <w:lang w:val="lv-LV"/>
              </w:rPr>
              <w:t>(t</w:t>
            </w:r>
            <w:r w:rsidR="001F4A56">
              <w:rPr>
                <w:rFonts w:ascii="Times New Roman" w:hAnsi="Times New Roman"/>
                <w:sz w:val="24"/>
                <w:szCs w:val="24"/>
                <w:lang w:val="lv-LV"/>
              </w:rPr>
              <w:t>urpmāk – aģentūra)</w:t>
            </w:r>
            <w:r w:rsidR="001E093B">
              <w:rPr>
                <w:rFonts w:ascii="Times New Roman" w:hAnsi="Times New Roman"/>
                <w:sz w:val="24"/>
                <w:szCs w:val="24"/>
                <w:lang w:val="lv-LV"/>
              </w:rPr>
              <w:t xml:space="preserve"> </w:t>
            </w:r>
            <w:r w:rsidRPr="005B68B9">
              <w:rPr>
                <w:rFonts w:ascii="Times New Roman" w:hAnsi="Times New Roman"/>
                <w:sz w:val="24"/>
                <w:szCs w:val="24"/>
                <w:lang w:val="lv-LV"/>
              </w:rPr>
              <w:t>izdienas pensijas pieprasījumu un dokumentus – izziņu par izdienas pensijas pieprasītāja izdienas stāžu (noteikumu projekta 1.pielikums)</w:t>
            </w:r>
            <w:r w:rsidR="001F4A56">
              <w:rPr>
                <w:rFonts w:ascii="Times New Roman" w:hAnsi="Times New Roman"/>
                <w:sz w:val="24"/>
                <w:szCs w:val="24"/>
                <w:lang w:val="lv-LV"/>
              </w:rPr>
              <w:t>, izziņu par izdienas pensijas pieprasītāja izdienas periodiem citās valsts un pašvaldību iestādēs</w:t>
            </w:r>
            <w:r w:rsidRPr="005B68B9">
              <w:rPr>
                <w:rFonts w:ascii="Times New Roman" w:hAnsi="Times New Roman"/>
                <w:sz w:val="24"/>
                <w:szCs w:val="24"/>
                <w:lang w:val="lv-LV"/>
              </w:rPr>
              <w:t xml:space="preserve"> un izziņu par darba samaksu</w:t>
            </w:r>
            <w:r w:rsidRPr="002D43FA">
              <w:rPr>
                <w:rFonts w:ascii="Times New Roman" w:hAnsi="Times New Roman"/>
                <w:sz w:val="24"/>
                <w:szCs w:val="24"/>
                <w:lang w:val="lv-LV"/>
              </w:rPr>
              <w:t xml:space="preserve">, no kuras aprēķina izdienas pensiju </w:t>
            </w:r>
            <w:r w:rsidRPr="005B68B9">
              <w:rPr>
                <w:rFonts w:ascii="Times New Roman" w:hAnsi="Times New Roman"/>
                <w:sz w:val="24"/>
                <w:szCs w:val="24"/>
                <w:lang w:val="lv-LV"/>
              </w:rPr>
              <w:t xml:space="preserve">(noteikumu projekta 2.pielikums). </w:t>
            </w:r>
            <w:r w:rsidR="001F4A56" w:rsidRPr="001F4A56">
              <w:rPr>
                <w:rFonts w:ascii="Times New Roman" w:hAnsi="Times New Roman"/>
                <w:sz w:val="24"/>
                <w:szCs w:val="24"/>
                <w:lang w:val="lv-LV"/>
              </w:rPr>
              <w:t xml:space="preserve">Izdienas pensijas pieprasītājs </w:t>
            </w:r>
            <w:r w:rsidR="001F4A56">
              <w:rPr>
                <w:rFonts w:ascii="Times New Roman" w:hAnsi="Times New Roman"/>
                <w:sz w:val="24"/>
                <w:szCs w:val="24"/>
                <w:lang w:val="lv-LV"/>
              </w:rPr>
              <w:t>iesniegšanai aģentūrā izziņu par izdienas pensijas pieprasītāja nostrādāto laiku citās valsts vai pašvaldību iestādēs pieprasa iestādei, kurā izdienas pensijas pieprasītājs līdz darba tiesisko attiecību uzsākšanai Neatliekamās medicīniskās palīdzības dienestā veicis brigādes ārstniecības personas pienākumus, brigādes operatīvā transportlīdzekļa vadītāja pienākumus vai ārstniecības personas pienākumus, kura pieņēma izsaukumus un veica brigāžu operatīvo vadību.</w:t>
            </w:r>
          </w:p>
          <w:p w:rsidR="001F4A56" w:rsidRPr="001F4A56" w:rsidRDefault="001F4A56" w:rsidP="00B110A5">
            <w:pPr>
              <w:pStyle w:val="ListParagraph"/>
              <w:spacing w:after="0" w:line="240" w:lineRule="auto"/>
              <w:ind w:left="0" w:firstLine="398"/>
              <w:jc w:val="both"/>
              <w:rPr>
                <w:rFonts w:ascii="Times New Roman" w:hAnsi="Times New Roman"/>
                <w:sz w:val="24"/>
                <w:szCs w:val="24"/>
                <w:lang w:val="lv-LV"/>
              </w:rPr>
            </w:pPr>
            <w:r>
              <w:rPr>
                <w:rFonts w:ascii="Times New Roman" w:hAnsi="Times New Roman"/>
                <w:sz w:val="24"/>
                <w:szCs w:val="24"/>
                <w:lang w:val="lv-LV"/>
              </w:rPr>
              <w:t>Ja izdienas pensijas pieprasītājs no viņa neatkarīgu iemeslu dēļ nevar iegūt izziņu par nostrādāto laiku citās iestādēs, izdienas pensijas pieprasītājs iesniedz vismaz vienu no šādiem dokumentiem: darba grāmatiņu, darba līgumu un dokumentus par tā izpildi, Latvijas arhīva izziņu, tiesas spriedumu.</w:t>
            </w:r>
          </w:p>
          <w:p w:rsidR="00F73851" w:rsidRPr="002D43FA" w:rsidRDefault="00F73851" w:rsidP="00B110A5">
            <w:pPr>
              <w:pStyle w:val="ListParagraph"/>
              <w:spacing w:after="0" w:line="240" w:lineRule="auto"/>
              <w:ind w:left="0" w:firstLine="398"/>
              <w:jc w:val="both"/>
              <w:rPr>
                <w:rFonts w:ascii="Times New Roman" w:hAnsi="Times New Roman"/>
                <w:sz w:val="24"/>
                <w:szCs w:val="24"/>
                <w:lang w:val="lv-LV"/>
              </w:rPr>
            </w:pPr>
            <w:r w:rsidRPr="002D43FA">
              <w:rPr>
                <w:rFonts w:ascii="Times New Roman" w:hAnsi="Times New Roman"/>
                <w:sz w:val="24"/>
                <w:szCs w:val="24"/>
                <w:lang w:val="lv-LV"/>
              </w:rPr>
              <w:t xml:space="preserve">Likuma 3.panta 1.punktā iekļauta norma, ka izdienas stāžā ieskaita </w:t>
            </w:r>
            <w:r w:rsidR="00C477E4" w:rsidRPr="00C477E4">
              <w:rPr>
                <w:rFonts w:ascii="Times New Roman" w:hAnsi="Times New Roman"/>
                <w:sz w:val="24"/>
                <w:szCs w:val="24"/>
                <w:lang w:val="lv-LV"/>
              </w:rPr>
              <w:t>Neatliekamās medicīniskās palīdzības</w:t>
            </w:r>
            <w:r w:rsidRPr="002D43FA">
              <w:rPr>
                <w:rFonts w:ascii="Times New Roman" w:hAnsi="Times New Roman"/>
                <w:sz w:val="24"/>
                <w:szCs w:val="24"/>
                <w:lang w:val="lv-LV"/>
              </w:rPr>
              <w:t xml:space="preserve"> dienestā nostrādāto laiku, kurā kalendārajā gadā nostrādātas vidēji ne mazāk par 160 stundām mēnesī.</w:t>
            </w:r>
          </w:p>
          <w:p w:rsidR="00F73851" w:rsidRDefault="00F73851" w:rsidP="00B110A5">
            <w:pPr>
              <w:pStyle w:val="ListParagraph"/>
              <w:spacing w:after="0" w:line="240" w:lineRule="auto"/>
              <w:ind w:left="0" w:firstLine="398"/>
              <w:jc w:val="both"/>
              <w:rPr>
                <w:rFonts w:ascii="Times New Roman" w:hAnsi="Times New Roman"/>
                <w:sz w:val="24"/>
                <w:szCs w:val="24"/>
                <w:lang w:val="lv-LV"/>
              </w:rPr>
            </w:pPr>
            <w:r w:rsidRPr="002D43FA">
              <w:rPr>
                <w:rFonts w:ascii="Times New Roman" w:hAnsi="Times New Roman"/>
                <w:sz w:val="24"/>
                <w:szCs w:val="24"/>
                <w:lang w:val="lv-LV"/>
              </w:rPr>
              <w:t>Līdz ar to noteikumu projekta 5.punktā ir iekļauta formula, kā tiek aprēķināts šis laika periods.</w:t>
            </w:r>
          </w:p>
          <w:p w:rsidR="001E093B" w:rsidRPr="002D43FA" w:rsidRDefault="001E093B" w:rsidP="00B110A5">
            <w:pPr>
              <w:pStyle w:val="ListParagraph"/>
              <w:spacing w:after="0" w:line="240" w:lineRule="auto"/>
              <w:ind w:left="0" w:firstLine="398"/>
              <w:jc w:val="both"/>
              <w:rPr>
                <w:rFonts w:ascii="Times New Roman" w:hAnsi="Times New Roman"/>
                <w:sz w:val="24"/>
                <w:szCs w:val="24"/>
                <w:lang w:val="lv-LV"/>
              </w:rPr>
            </w:pPr>
            <w:r>
              <w:rPr>
                <w:rFonts w:ascii="Times New Roman" w:hAnsi="Times New Roman"/>
                <w:sz w:val="24"/>
                <w:szCs w:val="24"/>
                <w:lang w:val="lv-LV"/>
              </w:rPr>
              <w:t>Aģentūra izdienas stāžā ieskaitāmā darba pe</w:t>
            </w:r>
            <w:r w:rsidR="00C477E4">
              <w:rPr>
                <w:rFonts w:ascii="Times New Roman" w:hAnsi="Times New Roman"/>
                <w:sz w:val="24"/>
                <w:szCs w:val="24"/>
                <w:lang w:val="lv-LV"/>
              </w:rPr>
              <w:t>rioda ilgumu aprēķina,</w:t>
            </w:r>
            <w:r>
              <w:rPr>
                <w:rFonts w:ascii="Times New Roman" w:hAnsi="Times New Roman"/>
                <w:sz w:val="24"/>
                <w:szCs w:val="24"/>
                <w:lang w:val="lv-LV"/>
              </w:rPr>
              <w:t xml:space="preserve"> no perioda beigu datuma atņemot perioda sākuma datumu un iegūtajam periodam pieskaitot vienu dienu.</w:t>
            </w:r>
          </w:p>
          <w:p w:rsidR="00F73851" w:rsidRPr="005B68B9" w:rsidRDefault="001E093B" w:rsidP="00B110A5">
            <w:pPr>
              <w:pStyle w:val="ListParagraph"/>
              <w:spacing w:after="0" w:line="240" w:lineRule="auto"/>
              <w:ind w:left="0" w:firstLine="398"/>
              <w:jc w:val="both"/>
              <w:rPr>
                <w:rFonts w:ascii="Times New Roman" w:hAnsi="Times New Roman"/>
                <w:sz w:val="24"/>
                <w:szCs w:val="24"/>
                <w:lang w:val="lv-LV"/>
              </w:rPr>
            </w:pPr>
            <w:r>
              <w:rPr>
                <w:rFonts w:ascii="Times New Roman" w:hAnsi="Times New Roman"/>
                <w:sz w:val="24"/>
                <w:szCs w:val="24"/>
                <w:lang w:val="lv-LV"/>
              </w:rPr>
              <w:t>Aģentūra</w:t>
            </w:r>
            <w:r w:rsidR="00F73851" w:rsidRPr="002D43FA">
              <w:rPr>
                <w:rFonts w:ascii="Times New Roman" w:hAnsi="Times New Roman"/>
                <w:sz w:val="24"/>
                <w:szCs w:val="24"/>
                <w:lang w:val="lv-LV"/>
              </w:rPr>
              <w:t xml:space="preserve"> vidējo mēneša darba samaksu izdienas pensijas piešķiršanai aprēķina izmantojot formulu, kas ir iekļauta noteikumu </w:t>
            </w:r>
            <w:r w:rsidR="00F73851" w:rsidRPr="002D43FA">
              <w:rPr>
                <w:rFonts w:ascii="Times New Roman" w:hAnsi="Times New Roman"/>
                <w:sz w:val="24"/>
                <w:szCs w:val="24"/>
                <w:lang w:val="lv-LV"/>
              </w:rPr>
              <w:lastRenderedPageBreak/>
              <w:t xml:space="preserve">projekta </w:t>
            </w:r>
            <w:r>
              <w:rPr>
                <w:rFonts w:ascii="Times New Roman" w:hAnsi="Times New Roman"/>
                <w:sz w:val="24"/>
                <w:szCs w:val="24"/>
                <w:lang w:val="lv-LV"/>
              </w:rPr>
              <w:t>12</w:t>
            </w:r>
            <w:r w:rsidR="00F73851" w:rsidRPr="005B68B9">
              <w:rPr>
                <w:rFonts w:ascii="Times New Roman" w:hAnsi="Times New Roman"/>
                <w:sz w:val="24"/>
                <w:szCs w:val="24"/>
                <w:lang w:val="lv-LV"/>
              </w:rPr>
              <w:t>.punktā.</w:t>
            </w:r>
          </w:p>
          <w:p w:rsidR="00F73851" w:rsidRPr="002D43FA" w:rsidRDefault="00DE49EA" w:rsidP="00B110A5">
            <w:pPr>
              <w:pStyle w:val="ListParagraph"/>
              <w:spacing w:after="0" w:line="240" w:lineRule="auto"/>
              <w:ind w:left="0" w:firstLine="398"/>
              <w:jc w:val="both"/>
              <w:rPr>
                <w:rFonts w:ascii="Times New Roman" w:hAnsi="Times New Roman"/>
                <w:sz w:val="24"/>
                <w:szCs w:val="24"/>
                <w:lang w:val="lv-LV"/>
              </w:rPr>
            </w:pPr>
            <w:r>
              <w:rPr>
                <w:rFonts w:ascii="Times New Roman" w:hAnsi="Times New Roman"/>
                <w:sz w:val="24"/>
                <w:szCs w:val="24"/>
                <w:lang w:val="lv-LV"/>
              </w:rPr>
              <w:t xml:space="preserve">Noteikumu projekta III </w:t>
            </w:r>
            <w:r w:rsidR="00E35B44">
              <w:rPr>
                <w:rFonts w:ascii="Times New Roman" w:hAnsi="Times New Roman"/>
                <w:sz w:val="24"/>
                <w:szCs w:val="24"/>
                <w:lang w:val="lv-LV"/>
              </w:rPr>
              <w:t>nodaļā</w:t>
            </w:r>
            <w:r w:rsidR="00F73851" w:rsidRPr="002D43FA">
              <w:rPr>
                <w:rFonts w:ascii="Times New Roman" w:hAnsi="Times New Roman"/>
                <w:sz w:val="24"/>
                <w:szCs w:val="24"/>
                <w:lang w:val="lv-LV"/>
              </w:rPr>
              <w:t xml:space="preserve"> noteikta izdienas pensiju izmaksas kārtība.</w:t>
            </w:r>
          </w:p>
          <w:p w:rsidR="00F73851" w:rsidRPr="002D43FA" w:rsidRDefault="001E093B" w:rsidP="00B110A5">
            <w:pPr>
              <w:autoSpaceDE w:val="0"/>
              <w:autoSpaceDN w:val="0"/>
              <w:adjustRightInd w:val="0"/>
              <w:ind w:firstLine="398"/>
              <w:jc w:val="both"/>
            </w:pPr>
            <w:r>
              <w:rPr>
                <w:szCs w:val="24"/>
              </w:rPr>
              <w:t>Ņemot vērā, ka aģentūra</w:t>
            </w:r>
            <w:r w:rsidR="00DE49EA">
              <w:rPr>
                <w:szCs w:val="24"/>
              </w:rPr>
              <w:t>i</w:t>
            </w:r>
            <w:r w:rsidR="00F73851" w:rsidRPr="002D43FA">
              <w:rPr>
                <w:szCs w:val="24"/>
              </w:rPr>
              <w:t xml:space="preserve"> izdienas pensij</w:t>
            </w:r>
            <w:r w:rsidR="00DE49EA">
              <w:rPr>
                <w:szCs w:val="24"/>
              </w:rPr>
              <w:t xml:space="preserve">u </w:t>
            </w:r>
            <w:r w:rsidR="00E35B44">
              <w:rPr>
                <w:szCs w:val="24"/>
              </w:rPr>
              <w:t xml:space="preserve">jauna </w:t>
            </w:r>
            <w:r w:rsidR="00DE49EA">
              <w:rPr>
                <w:szCs w:val="24"/>
              </w:rPr>
              <w:t xml:space="preserve">veida ieviešanai informāciju </w:t>
            </w:r>
            <w:r w:rsidR="00F73851" w:rsidRPr="002D43FA">
              <w:rPr>
                <w:szCs w:val="24"/>
              </w:rPr>
              <w:t>sistēmās nepiecieša</w:t>
            </w:r>
            <w:r w:rsidR="00DE49EA">
              <w:rPr>
                <w:szCs w:val="24"/>
              </w:rPr>
              <w:t>m</w:t>
            </w:r>
            <w:r w:rsidR="00F73851" w:rsidRPr="002D43FA">
              <w:rPr>
                <w:szCs w:val="24"/>
              </w:rPr>
              <w:t>s laiks</w:t>
            </w:r>
            <w:r w:rsidR="00DE49EA">
              <w:rPr>
                <w:szCs w:val="24"/>
              </w:rPr>
              <w:t>,</w:t>
            </w:r>
            <w:r w:rsidR="00F73851" w:rsidRPr="002D43FA">
              <w:rPr>
                <w:szCs w:val="24"/>
              </w:rPr>
              <w:t xml:space="preserve"> un šīs i</w:t>
            </w:r>
            <w:r w:rsidR="00DE49EA">
              <w:rPr>
                <w:szCs w:val="24"/>
              </w:rPr>
              <w:t xml:space="preserve">zmaiņas ir iespējams realizēt 3 </w:t>
            </w:r>
            <w:r w:rsidR="00E35B44">
              <w:rPr>
                <w:szCs w:val="24"/>
              </w:rPr>
              <w:t>mēnešo</w:t>
            </w:r>
            <w:r w:rsidR="00F73851" w:rsidRPr="002D43FA">
              <w:rPr>
                <w:szCs w:val="24"/>
              </w:rPr>
              <w:t>s no normatīvā akta pieņ</w:t>
            </w:r>
            <w:r w:rsidR="00E35B44">
              <w:rPr>
                <w:szCs w:val="24"/>
              </w:rPr>
              <w:t xml:space="preserve">emšanas, noteikumu projekta </w:t>
            </w:r>
            <w:r w:rsidR="00C01437">
              <w:rPr>
                <w:szCs w:val="24"/>
              </w:rPr>
              <w:t>IV nodaļas ”Noslēguma jautājumi”</w:t>
            </w:r>
            <w:r w:rsidR="00E35B44">
              <w:rPr>
                <w:szCs w:val="24"/>
              </w:rPr>
              <w:t xml:space="preserve"> 20</w:t>
            </w:r>
            <w:r w:rsidR="00F73851" w:rsidRPr="002D43FA">
              <w:rPr>
                <w:szCs w:val="24"/>
              </w:rPr>
              <w:t>.punktā ir iekļauta norma, ka</w:t>
            </w:r>
            <w:r w:rsidR="00C01437">
              <w:rPr>
                <w:szCs w:val="24"/>
              </w:rPr>
              <w:t>s paredz, ka</w:t>
            </w:r>
            <w:r w:rsidR="00F73851" w:rsidRPr="002D43FA">
              <w:t xml:space="preserve"> personām, kuras pieprasījušas izdien</w:t>
            </w:r>
            <w:r w:rsidR="00E35B44">
              <w:t>as pensiju laika posmā no 2016.gada 1.janvāra līdz 2016.gada 31.</w:t>
            </w:r>
            <w:r w:rsidR="00F73851" w:rsidRPr="002D43FA">
              <w:t xml:space="preserve">martam, </w:t>
            </w:r>
            <w:r w:rsidR="00E35B44">
              <w:t>aģentūra</w:t>
            </w:r>
            <w:r w:rsidR="00F73851" w:rsidRPr="002D43FA">
              <w:t xml:space="preserve"> pieņem lēmumu par izdienas pensijas piešķiršanu vai tās atteikumu, laikā no 2016.gada 1.aprīļa līdz 2016.gada 30.aprīlim.</w:t>
            </w:r>
          </w:p>
          <w:p w:rsidR="004E49C8" w:rsidRPr="00EE0538" w:rsidRDefault="004E49C8" w:rsidP="00FB6F5A">
            <w:pPr>
              <w:ind w:firstLine="336"/>
              <w:jc w:val="both"/>
              <w:rPr>
                <w:rFonts w:cs="Times New Roman"/>
              </w:rPr>
            </w:pPr>
          </w:p>
        </w:tc>
      </w:tr>
      <w:tr w:rsidR="003E6B1C" w:rsidRPr="00EE0538" w:rsidTr="00D77BBF">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spacing w:before="75" w:after="75"/>
              <w:jc w:val="center"/>
              <w:rPr>
                <w:rFonts w:eastAsia="Times New Roman" w:cs="Times New Roman"/>
                <w:szCs w:val="24"/>
                <w:lang w:eastAsia="lv-LV"/>
              </w:rPr>
            </w:pPr>
            <w:r w:rsidRPr="00EE0538">
              <w:rPr>
                <w:rFonts w:eastAsia="Times New Roman" w:cs="Times New Roman"/>
                <w:szCs w:val="24"/>
                <w:lang w:eastAsia="lv-LV"/>
              </w:rPr>
              <w:lastRenderedPageBreak/>
              <w:t>3.</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Projekta izstrādē iesaistītās institūcijas</w:t>
            </w:r>
          </w:p>
        </w:tc>
        <w:tc>
          <w:tcPr>
            <w:tcW w:w="3666" w:type="pct"/>
            <w:gridSpan w:val="6"/>
            <w:tcBorders>
              <w:top w:val="outset" w:sz="6" w:space="0" w:color="auto"/>
              <w:left w:val="outset" w:sz="6" w:space="0" w:color="auto"/>
              <w:bottom w:val="outset" w:sz="6" w:space="0" w:color="auto"/>
              <w:right w:val="outset" w:sz="6" w:space="0" w:color="auto"/>
            </w:tcBorders>
            <w:hideMark/>
          </w:tcPr>
          <w:p w:rsidR="003E6B1C" w:rsidRPr="00EE0538" w:rsidRDefault="00DB5495" w:rsidP="00761B1F">
            <w:pPr>
              <w:rPr>
                <w:rFonts w:cs="Times New Roman"/>
              </w:rPr>
            </w:pPr>
            <w:r w:rsidRPr="00EE0538">
              <w:rPr>
                <w:rFonts w:cs="Times New Roman"/>
              </w:rPr>
              <w:t>Neatliekamās medicīniskās palīdzības dienests</w:t>
            </w:r>
          </w:p>
          <w:p w:rsidR="009C2FD9" w:rsidRPr="00EE0538" w:rsidRDefault="00EA6A4B" w:rsidP="00761B1F">
            <w:pPr>
              <w:rPr>
                <w:rFonts w:eastAsia="Times New Roman" w:cs="Times New Roman"/>
                <w:szCs w:val="24"/>
                <w:lang w:eastAsia="lv-LV"/>
              </w:rPr>
            </w:pPr>
            <w:r>
              <w:rPr>
                <w:rFonts w:cs="Times New Roman"/>
              </w:rPr>
              <w:t>Labklājības ministrija (</w:t>
            </w:r>
            <w:r w:rsidR="009C2FD9" w:rsidRPr="00EE0538">
              <w:rPr>
                <w:rFonts w:cs="Times New Roman"/>
              </w:rPr>
              <w:t>Valsts sociālās apdrošināšanas aģentūra</w:t>
            </w:r>
            <w:r>
              <w:rPr>
                <w:rFonts w:cs="Times New Roman"/>
              </w:rPr>
              <w:t>)</w:t>
            </w:r>
          </w:p>
        </w:tc>
      </w:tr>
      <w:tr w:rsidR="003E6B1C" w:rsidRPr="00EE0538" w:rsidTr="00D77BBF">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spacing w:before="75" w:after="75"/>
              <w:jc w:val="center"/>
              <w:rPr>
                <w:rFonts w:eastAsia="Times New Roman" w:cs="Times New Roman"/>
                <w:szCs w:val="24"/>
                <w:lang w:eastAsia="lv-LV"/>
              </w:rPr>
            </w:pPr>
            <w:r w:rsidRPr="00EE0538">
              <w:rPr>
                <w:rFonts w:eastAsia="Times New Roman" w:cs="Times New Roman"/>
                <w:szCs w:val="24"/>
                <w:lang w:eastAsia="lv-LV"/>
              </w:rPr>
              <w:t>4.</w:t>
            </w:r>
          </w:p>
        </w:tc>
        <w:tc>
          <w:tcPr>
            <w:tcW w:w="1085" w:type="pct"/>
            <w:gridSpan w:val="2"/>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Cita informācija</w:t>
            </w:r>
          </w:p>
        </w:tc>
        <w:tc>
          <w:tcPr>
            <w:tcW w:w="3666" w:type="pct"/>
            <w:gridSpan w:val="6"/>
            <w:tcBorders>
              <w:top w:val="outset" w:sz="6" w:space="0" w:color="auto"/>
              <w:left w:val="outset" w:sz="6" w:space="0" w:color="auto"/>
              <w:bottom w:val="outset" w:sz="6" w:space="0" w:color="auto"/>
              <w:right w:val="outset" w:sz="6" w:space="0" w:color="auto"/>
            </w:tcBorders>
            <w:hideMark/>
          </w:tcPr>
          <w:p w:rsidR="00DF5AD0" w:rsidRPr="00EE0538" w:rsidRDefault="00B110A5" w:rsidP="00B110A5">
            <w:pPr>
              <w:pStyle w:val="NormalWeb"/>
              <w:ind w:firstLine="398"/>
              <w:jc w:val="both"/>
            </w:pPr>
            <w:r>
              <w:t>24.11.</w:t>
            </w:r>
            <w:r w:rsidR="009C2FD9" w:rsidRPr="00EE0538">
              <w:t>2015 Veselības ministrijā notika noteikumu projekta apspriešanas sanāksme, kurā piedalījās Neatliekamās medicīniskās palīdzības pārstāvji, Labklājības ministrijas pārstāvji, Valsts sociālās apdrošināšanas aģentūras pārstāvji, Latvijas veselības un sociālās aprūpes darbinieku arodbiedrības pārstāvji, Latvijas ārstniecības un aprūpes darbinieku arodbiedrības pārstāvji, Latvijas sabiedrisko pakalpojumu un transporta darbinieku arodbiedrības „LAKRS” pārstāvji, Latvijas dzelzceļnieku un satiksmes nozares arodbiedrība pārstāvji</w:t>
            </w:r>
          </w:p>
        </w:tc>
      </w:tr>
      <w:tr w:rsidR="003E6B1C" w:rsidRPr="00EE0538" w:rsidTr="00B35675">
        <w:tblPrEx>
          <w:jc w:val="center"/>
        </w:tblPrEx>
        <w:trPr>
          <w:trHeight w:val="360"/>
          <w:jc w:val="center"/>
        </w:trPr>
        <w:tc>
          <w:tcPr>
            <w:tcW w:w="0" w:type="auto"/>
            <w:gridSpan w:val="9"/>
            <w:tcBorders>
              <w:top w:val="outset" w:sz="6" w:space="0" w:color="auto"/>
              <w:left w:val="nil"/>
              <w:bottom w:val="outset" w:sz="6" w:space="0" w:color="auto"/>
              <w:right w:val="nil"/>
            </w:tcBorders>
            <w:vAlign w:val="center"/>
            <w:hideMark/>
          </w:tcPr>
          <w:p w:rsidR="003E6B1C" w:rsidRPr="00EE0538" w:rsidRDefault="003E6B1C" w:rsidP="00DE0605">
            <w:pPr>
              <w:spacing w:before="75" w:after="75"/>
              <w:rPr>
                <w:rFonts w:eastAsia="Times New Roman" w:cs="Times New Roman"/>
                <w:szCs w:val="24"/>
                <w:lang w:eastAsia="lv-LV"/>
              </w:rPr>
            </w:pPr>
          </w:p>
        </w:tc>
      </w:tr>
      <w:tr w:rsidR="00DE0605" w:rsidRPr="00EE0538" w:rsidTr="00DE0605">
        <w:tblPrEx>
          <w:jc w:val="center"/>
        </w:tblPrEx>
        <w:trPr>
          <w:jc w:val="center"/>
        </w:trPr>
        <w:tc>
          <w:tcPr>
            <w:tcW w:w="5000" w:type="pct"/>
            <w:gridSpan w:val="9"/>
            <w:tcBorders>
              <w:top w:val="outset" w:sz="6" w:space="0" w:color="auto"/>
              <w:left w:val="outset" w:sz="6" w:space="0" w:color="auto"/>
              <w:bottom w:val="outset" w:sz="6" w:space="0" w:color="auto"/>
              <w:right w:val="outset" w:sz="6" w:space="0" w:color="auto"/>
            </w:tcBorders>
            <w:vAlign w:val="center"/>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b/>
                <w:bCs/>
                <w:szCs w:val="24"/>
                <w:lang w:eastAsia="lv-LV"/>
              </w:rPr>
              <w:t>III. Tiesību akta projekta ietekme uz valsts budžetu un pašvaldību budžetiem</w:t>
            </w:r>
          </w:p>
        </w:tc>
      </w:tr>
      <w:tr w:rsidR="00DE0605" w:rsidRPr="00EE0538" w:rsidTr="001B0642">
        <w:tblPrEx>
          <w:jc w:val="center"/>
        </w:tblPrEx>
        <w:trPr>
          <w:jc w:val="center"/>
        </w:trPr>
        <w:tc>
          <w:tcPr>
            <w:tcW w:w="11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b/>
                <w:bCs/>
                <w:szCs w:val="24"/>
                <w:lang w:eastAsia="lv-LV"/>
              </w:rPr>
              <w:t>Rādītāji</w:t>
            </w:r>
          </w:p>
        </w:tc>
        <w:tc>
          <w:tcPr>
            <w:tcW w:w="173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975736">
            <w:pPr>
              <w:spacing w:before="75" w:after="75"/>
              <w:jc w:val="center"/>
              <w:rPr>
                <w:rFonts w:eastAsia="Times New Roman" w:cs="Times New Roman"/>
                <w:szCs w:val="24"/>
                <w:lang w:eastAsia="lv-LV"/>
              </w:rPr>
            </w:pPr>
            <w:r w:rsidRPr="00EE0538">
              <w:rPr>
                <w:rFonts w:eastAsia="Times New Roman" w:cs="Times New Roman"/>
                <w:b/>
                <w:bCs/>
                <w:szCs w:val="24"/>
                <w:lang w:eastAsia="lv-LV"/>
              </w:rPr>
              <w:t>201</w:t>
            </w:r>
            <w:r w:rsidR="00975736" w:rsidRPr="00EE0538">
              <w:rPr>
                <w:rFonts w:eastAsia="Times New Roman" w:cs="Times New Roman"/>
                <w:b/>
                <w:bCs/>
                <w:szCs w:val="24"/>
                <w:lang w:eastAsia="lv-LV"/>
              </w:rPr>
              <w:t>5</w:t>
            </w:r>
            <w:r w:rsidRPr="00EE0538">
              <w:rPr>
                <w:rFonts w:eastAsia="Times New Roman" w:cs="Times New Roman"/>
                <w:b/>
                <w:bCs/>
                <w:szCs w:val="24"/>
                <w:lang w:eastAsia="lv-LV"/>
              </w:rPr>
              <w:t>. gads</w:t>
            </w:r>
          </w:p>
        </w:tc>
        <w:tc>
          <w:tcPr>
            <w:tcW w:w="2078" w:type="pct"/>
            <w:gridSpan w:val="3"/>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szCs w:val="24"/>
                <w:lang w:eastAsia="lv-LV"/>
              </w:rPr>
              <w:t>Turpmākie trīs gadi (</w:t>
            </w:r>
            <w:r w:rsidRPr="00EE0538">
              <w:rPr>
                <w:rFonts w:eastAsia="Times New Roman" w:cs="Times New Roman"/>
                <w:i/>
                <w:szCs w:val="24"/>
                <w:lang w:eastAsia="lv-LV"/>
              </w:rPr>
              <w:t>euro</w:t>
            </w:r>
            <w:r w:rsidRPr="00EE0538">
              <w:rPr>
                <w:rFonts w:eastAsia="Times New Roman" w:cs="Times New Roman"/>
                <w:szCs w:val="24"/>
                <w:lang w:eastAsia="lv-LV"/>
              </w:rPr>
              <w:t>)</w:t>
            </w:r>
          </w:p>
        </w:tc>
      </w:tr>
      <w:tr w:rsidR="00DE0605" w:rsidRPr="00EE0538" w:rsidTr="00D77BBF">
        <w:tblPrEx>
          <w:jc w:val="center"/>
        </w:tblPrEx>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rPr>
                <w:rFonts w:eastAsia="Times New Roman" w:cs="Times New Roman"/>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rPr>
                <w:rFonts w:eastAsia="Times New Roman" w:cs="Times New Roman"/>
                <w:szCs w:val="24"/>
                <w:lang w:eastAsia="lv-LV"/>
              </w:rPr>
            </w:pP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975736">
            <w:pPr>
              <w:spacing w:before="75" w:after="75"/>
              <w:jc w:val="center"/>
              <w:rPr>
                <w:rFonts w:eastAsia="Times New Roman" w:cs="Times New Roman"/>
                <w:szCs w:val="24"/>
                <w:lang w:eastAsia="lv-LV"/>
              </w:rPr>
            </w:pPr>
            <w:r w:rsidRPr="00EE0538">
              <w:rPr>
                <w:rFonts w:eastAsia="Times New Roman" w:cs="Times New Roman"/>
                <w:b/>
                <w:bCs/>
                <w:szCs w:val="24"/>
                <w:lang w:eastAsia="lv-LV"/>
              </w:rPr>
              <w:t>201</w:t>
            </w:r>
            <w:r w:rsidR="00975736" w:rsidRPr="00EE0538">
              <w:rPr>
                <w:rFonts w:eastAsia="Times New Roman" w:cs="Times New Roman"/>
                <w:b/>
                <w:bCs/>
                <w:szCs w:val="24"/>
                <w:lang w:eastAsia="lv-LV"/>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975736">
            <w:pPr>
              <w:spacing w:before="75" w:after="75"/>
              <w:jc w:val="center"/>
              <w:rPr>
                <w:rFonts w:eastAsia="Times New Roman" w:cs="Times New Roman"/>
                <w:szCs w:val="24"/>
                <w:lang w:eastAsia="lv-LV"/>
              </w:rPr>
            </w:pPr>
            <w:r w:rsidRPr="00EE0538">
              <w:rPr>
                <w:rFonts w:eastAsia="Times New Roman" w:cs="Times New Roman"/>
                <w:b/>
                <w:bCs/>
                <w:szCs w:val="24"/>
                <w:lang w:eastAsia="lv-LV"/>
              </w:rPr>
              <w:t>201</w:t>
            </w:r>
            <w:r w:rsidR="00975736" w:rsidRPr="00EE0538">
              <w:rPr>
                <w:rFonts w:eastAsia="Times New Roman" w:cs="Times New Roman"/>
                <w:b/>
                <w:bCs/>
                <w:szCs w:val="24"/>
                <w:lang w:eastAsia="lv-LV"/>
              </w:rPr>
              <w:t>7</w:t>
            </w:r>
          </w:p>
        </w:tc>
        <w:tc>
          <w:tcPr>
            <w:tcW w:w="636"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975736">
            <w:pPr>
              <w:spacing w:before="75" w:after="75"/>
              <w:jc w:val="center"/>
              <w:rPr>
                <w:rFonts w:eastAsia="Times New Roman" w:cs="Times New Roman"/>
                <w:szCs w:val="24"/>
                <w:lang w:eastAsia="lv-LV"/>
              </w:rPr>
            </w:pPr>
            <w:r w:rsidRPr="00EE0538">
              <w:rPr>
                <w:rFonts w:eastAsia="Times New Roman" w:cs="Times New Roman"/>
                <w:b/>
                <w:bCs/>
                <w:szCs w:val="24"/>
                <w:lang w:eastAsia="lv-LV"/>
              </w:rPr>
              <w:t>201</w:t>
            </w:r>
            <w:r w:rsidR="00975736" w:rsidRPr="00EE0538">
              <w:rPr>
                <w:rFonts w:eastAsia="Times New Roman" w:cs="Times New Roman"/>
                <w:b/>
                <w:bCs/>
                <w:szCs w:val="24"/>
                <w:lang w:eastAsia="lv-LV"/>
              </w:rPr>
              <w:t>8</w:t>
            </w:r>
          </w:p>
        </w:tc>
      </w:tr>
      <w:tr w:rsidR="00DE0605" w:rsidRPr="00EE0538" w:rsidTr="00D77BBF">
        <w:tblPrEx>
          <w:jc w:val="center"/>
        </w:tblPrEx>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rPr>
                <w:rFonts w:eastAsia="Times New Roman" w:cs="Times New Roman"/>
                <w:szCs w:val="24"/>
                <w:lang w:eastAsia="lv-LV"/>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015658">
            <w:pPr>
              <w:spacing w:before="75" w:after="75"/>
              <w:jc w:val="center"/>
              <w:rPr>
                <w:rFonts w:eastAsia="Times New Roman" w:cs="Times New Roman"/>
                <w:szCs w:val="24"/>
                <w:lang w:eastAsia="lv-LV"/>
              </w:rPr>
            </w:pPr>
            <w:r w:rsidRPr="00EE0538">
              <w:rPr>
                <w:rFonts w:eastAsia="Times New Roman" w:cs="Times New Roman"/>
                <w:szCs w:val="24"/>
                <w:lang w:eastAsia="lv-LV"/>
              </w:rPr>
              <w:t>saskaņā ar valsts budžetu kārtējam gadam</w:t>
            </w: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szCs w:val="24"/>
                <w:lang w:eastAsia="lv-LV"/>
              </w:rPr>
              <w:t>izmaiņas kārtējā gadā, salīdzinot ar valsts budžetu kārtējam gadam</w:t>
            </w: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F90429">
            <w:pPr>
              <w:spacing w:before="75" w:after="75"/>
              <w:jc w:val="center"/>
              <w:rPr>
                <w:rFonts w:eastAsia="Times New Roman" w:cs="Times New Roman"/>
                <w:szCs w:val="24"/>
                <w:lang w:eastAsia="lv-LV"/>
              </w:rPr>
            </w:pPr>
            <w:r w:rsidRPr="00EE0538">
              <w:rPr>
                <w:rFonts w:eastAsia="Times New Roman" w:cs="Times New Roman"/>
                <w:szCs w:val="24"/>
                <w:lang w:eastAsia="lv-LV"/>
              </w:rPr>
              <w:t>izmaiņas, salīdzinot ar kārtējo (</w:t>
            </w:r>
            <w:r w:rsidR="00F24940" w:rsidRPr="00EE0538">
              <w:rPr>
                <w:rFonts w:eastAsia="Times New Roman" w:cs="Times New Roman"/>
                <w:szCs w:val="24"/>
                <w:lang w:eastAsia="lv-LV"/>
              </w:rPr>
              <w:t>n</w:t>
            </w:r>
            <w:r w:rsidRPr="00EE0538">
              <w:rPr>
                <w:rFonts w:eastAsia="Times New Roman" w:cs="Times New Roman"/>
                <w:szCs w:val="24"/>
                <w:lang w:eastAsia="lv-LV"/>
              </w:rPr>
              <w:t>) gadu</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Cs w:val="24"/>
                <w:lang w:eastAsia="lv-LV"/>
              </w:rPr>
            </w:pPr>
            <w:r w:rsidRPr="00EE0538">
              <w:rPr>
                <w:rFonts w:eastAsia="Times New Roman" w:cs="Times New Roman"/>
                <w:szCs w:val="24"/>
                <w:lang w:eastAsia="lv-LV"/>
              </w:rPr>
              <w:t>izmaiņas, salīdzinot ar kārtējo (n) gadu</w:t>
            </w:r>
          </w:p>
        </w:tc>
      </w:tr>
      <w:tr w:rsidR="00DE0605" w:rsidRPr="00EE0538" w:rsidTr="00D77BBF">
        <w:tblPrEx>
          <w:jc w:val="center"/>
        </w:tblPrEx>
        <w:trPr>
          <w:trHeight w:val="346"/>
          <w:jc w:val="center"/>
        </w:trPr>
        <w:tc>
          <w:tcPr>
            <w:tcW w:w="1192" w:type="pct"/>
            <w:gridSpan w:val="2"/>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1</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2</w:t>
            </w: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3</w:t>
            </w:r>
          </w:p>
        </w:tc>
        <w:tc>
          <w:tcPr>
            <w:tcW w:w="692"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spacing w:before="75" w:after="75"/>
              <w:jc w:val="center"/>
              <w:rPr>
                <w:rFonts w:eastAsia="Times New Roman" w:cs="Times New Roman"/>
                <w:sz w:val="20"/>
                <w:szCs w:val="20"/>
                <w:lang w:eastAsia="lv-LV"/>
              </w:rPr>
            </w:pPr>
            <w:r w:rsidRPr="00EE0538">
              <w:rPr>
                <w:rFonts w:eastAsia="Times New Roman" w:cs="Times New Roman"/>
                <w:sz w:val="20"/>
                <w:szCs w:val="20"/>
                <w:lang w:eastAsia="lv-LV"/>
              </w:rPr>
              <w:t>6</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b/>
                <w:bCs/>
                <w:szCs w:val="24"/>
              </w:rPr>
            </w:pPr>
            <w:r w:rsidRPr="00EE0538">
              <w:rPr>
                <w:rFonts w:cs="Times New Roman"/>
                <w:b/>
                <w:bCs/>
              </w:rPr>
              <w:t>1. Budžeta ieņēmumi:</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F73851" w:rsidP="001F4A56">
            <w:pPr>
              <w:pStyle w:val="naisf"/>
              <w:spacing w:before="0" w:after="0"/>
              <w:ind w:firstLine="0"/>
              <w:jc w:val="center"/>
              <w:rPr>
                <w:b/>
              </w:rPr>
            </w:pPr>
            <w:r>
              <w:rPr>
                <w:b/>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1 302 563</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1 341 083</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1 420 922</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szCs w:val="24"/>
              </w:rPr>
            </w:pPr>
            <w:r w:rsidRPr="00EE0538">
              <w:rPr>
                <w:rFonts w:cs="Times New Roman"/>
              </w:rPr>
              <w:t xml:space="preserve">1.1. valsts </w:t>
            </w:r>
            <w:r w:rsidRPr="00EE0538">
              <w:rPr>
                <w:rFonts w:cs="Times New Roman"/>
              </w:rPr>
              <w:lastRenderedPageBreak/>
              <w:t>pamatbudžets, tai skaitā ieņēmumi no maksas pakalpojumiem un citi pašu ieņēmumi</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F73851" w:rsidP="001F4A56">
            <w:pPr>
              <w:pStyle w:val="naisf"/>
              <w:spacing w:before="0" w:after="0"/>
              <w:ind w:firstLine="0"/>
              <w:jc w:val="center"/>
            </w:pPr>
            <w:r>
              <w:lastRenderedPageBreak/>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1 302 563</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1 341 083</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1 420 922</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szCs w:val="24"/>
              </w:rPr>
            </w:pPr>
            <w:r w:rsidRPr="00EE0538">
              <w:rPr>
                <w:rFonts w:cs="Times New Roman"/>
              </w:rPr>
              <w:lastRenderedPageBreak/>
              <w:t>1.2. valsts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szCs w:val="24"/>
              </w:rPr>
            </w:pPr>
            <w:r w:rsidRPr="00EE0538">
              <w:rPr>
                <w:rFonts w:cs="Times New Roman"/>
              </w:rPr>
              <w:t>1.3. pašvaldību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b/>
                <w:bCs/>
                <w:szCs w:val="24"/>
              </w:rPr>
            </w:pPr>
            <w:r w:rsidRPr="00EE0538">
              <w:rPr>
                <w:rFonts w:cs="Times New Roman"/>
                <w:b/>
                <w:bCs/>
              </w:rPr>
              <w:t>2. Budžeta izdevumi:</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F73851" w:rsidP="001F4A56">
            <w:pPr>
              <w:pStyle w:val="naisf"/>
              <w:spacing w:before="0" w:after="0"/>
              <w:ind w:firstLine="0"/>
              <w:jc w:val="center"/>
              <w:rPr>
                <w:b/>
              </w:rPr>
            </w:pPr>
            <w:r>
              <w:rPr>
                <w:b/>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1 302 563</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1 341 083</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rPr>
                <w:b/>
              </w:rPr>
            </w:pPr>
            <w:r w:rsidRPr="00D77BBF">
              <w:rPr>
                <w:b/>
              </w:rPr>
              <w:t>1 420 922</w:t>
            </w:r>
          </w:p>
        </w:tc>
      </w:tr>
      <w:tr w:rsidR="00D77BBF"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77BBF" w:rsidRPr="00EE0538" w:rsidRDefault="00D77BBF" w:rsidP="00DE0605">
            <w:pPr>
              <w:rPr>
                <w:rFonts w:cs="Times New Roman"/>
                <w:szCs w:val="24"/>
              </w:rPr>
            </w:pPr>
            <w:r w:rsidRPr="00EE0538">
              <w:rPr>
                <w:rFonts w:cs="Times New Roman"/>
              </w:rPr>
              <w:t>2.1. valsts pamatbudžets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F73851" w:rsidP="001F4A56">
            <w:pPr>
              <w:pStyle w:val="naisf"/>
              <w:spacing w:before="0" w:after="0"/>
              <w:ind w:firstLine="0"/>
              <w:jc w:val="center"/>
            </w:pPr>
            <w: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0</w:t>
            </w:r>
          </w:p>
        </w:tc>
        <w:tc>
          <w:tcPr>
            <w:tcW w:w="692"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1 302 563</w:t>
            </w:r>
          </w:p>
        </w:tc>
        <w:tc>
          <w:tcPr>
            <w:tcW w:w="750"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1 341 083</w:t>
            </w:r>
          </w:p>
        </w:tc>
        <w:tc>
          <w:tcPr>
            <w:tcW w:w="636" w:type="pct"/>
            <w:tcBorders>
              <w:top w:val="outset" w:sz="6" w:space="0" w:color="auto"/>
              <w:left w:val="outset" w:sz="6" w:space="0" w:color="auto"/>
              <w:bottom w:val="outset" w:sz="6" w:space="0" w:color="auto"/>
              <w:right w:val="outset" w:sz="6" w:space="0" w:color="auto"/>
            </w:tcBorders>
            <w:hideMark/>
          </w:tcPr>
          <w:p w:rsidR="00D77BBF" w:rsidRPr="00D77BBF" w:rsidRDefault="00D77BBF" w:rsidP="001F4A56">
            <w:pPr>
              <w:pStyle w:val="naisf"/>
              <w:spacing w:before="0" w:after="0"/>
              <w:ind w:firstLine="0"/>
              <w:jc w:val="center"/>
            </w:pPr>
            <w:r w:rsidRPr="00D77BBF">
              <w:t>1 420 922</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cs="Times New Roman"/>
                <w:szCs w:val="24"/>
              </w:rPr>
            </w:pPr>
            <w:r w:rsidRPr="00EE0538">
              <w:rPr>
                <w:rFonts w:cs="Times New Roman"/>
              </w:rPr>
              <w:t>2.2. valsts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cs="Times New Roman"/>
                <w:szCs w:val="24"/>
              </w:rPr>
            </w:pPr>
            <w:r w:rsidRPr="00EE0538">
              <w:rPr>
                <w:rFonts w:cs="Times New Roman"/>
              </w:rPr>
              <w:t xml:space="preserve">2.3. pašvaldību budžets </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cs="Times New Roman"/>
                <w:b/>
                <w:szCs w:val="24"/>
              </w:rPr>
            </w:pPr>
            <w:r w:rsidRPr="00EE0538">
              <w:rPr>
                <w:rFonts w:cs="Times New Roman"/>
                <w:b/>
              </w:rPr>
              <w:t>3. Finansiālā ietekme:</w:t>
            </w:r>
          </w:p>
        </w:tc>
        <w:tc>
          <w:tcPr>
            <w:tcW w:w="750" w:type="pct"/>
            <w:gridSpan w:val="2"/>
            <w:tcBorders>
              <w:top w:val="outset" w:sz="6" w:space="0" w:color="auto"/>
              <w:left w:val="outset" w:sz="6" w:space="0" w:color="auto"/>
              <w:bottom w:val="outset" w:sz="6" w:space="0" w:color="auto"/>
              <w:right w:val="outset" w:sz="6" w:space="0" w:color="auto"/>
            </w:tcBorders>
            <w:vAlign w:val="bottom"/>
            <w:hideMark/>
          </w:tcPr>
          <w:p w:rsidR="00DE0605" w:rsidRPr="00D77BBF" w:rsidRDefault="00DE0605" w:rsidP="00DE0605">
            <w:pPr>
              <w:jc w:val="center"/>
              <w:rPr>
                <w:rFonts w:cs="Times New Roman"/>
                <w:b/>
                <w:szCs w:val="24"/>
              </w:rPr>
            </w:pPr>
            <w:r w:rsidRPr="00D77BBF">
              <w:rPr>
                <w:rFonts w:cs="Times New Roman"/>
                <w:b/>
                <w:szCs w:val="24"/>
              </w:rPr>
              <w:t>0</w:t>
            </w:r>
          </w:p>
        </w:tc>
        <w:tc>
          <w:tcPr>
            <w:tcW w:w="980" w:type="pct"/>
            <w:gridSpan w:val="2"/>
            <w:tcBorders>
              <w:top w:val="outset" w:sz="6" w:space="0" w:color="auto"/>
              <w:left w:val="outset" w:sz="6" w:space="0" w:color="auto"/>
              <w:bottom w:val="outset" w:sz="6" w:space="0" w:color="auto"/>
              <w:right w:val="outset" w:sz="6" w:space="0" w:color="auto"/>
            </w:tcBorders>
            <w:vAlign w:val="bottom"/>
            <w:hideMark/>
          </w:tcPr>
          <w:p w:rsidR="00DE0605" w:rsidRPr="00D77BBF" w:rsidRDefault="00DE0605" w:rsidP="00DE0605">
            <w:pPr>
              <w:jc w:val="center"/>
              <w:rPr>
                <w:rFonts w:cs="Times New Roman"/>
                <w:b/>
                <w:szCs w:val="24"/>
              </w:rPr>
            </w:pPr>
            <w:r w:rsidRPr="00D77BBF">
              <w:rPr>
                <w:rFonts w:cs="Times New Roman"/>
                <w:b/>
                <w:szCs w:val="24"/>
              </w:rPr>
              <w:t>0</w:t>
            </w:r>
          </w:p>
        </w:tc>
        <w:tc>
          <w:tcPr>
            <w:tcW w:w="692" w:type="pct"/>
            <w:tcBorders>
              <w:top w:val="outset" w:sz="6" w:space="0" w:color="auto"/>
              <w:left w:val="outset" w:sz="6" w:space="0" w:color="auto"/>
              <w:bottom w:val="outset" w:sz="6" w:space="0" w:color="auto"/>
              <w:right w:val="outset" w:sz="6" w:space="0" w:color="auto"/>
            </w:tcBorders>
            <w:vAlign w:val="bottom"/>
            <w:hideMark/>
          </w:tcPr>
          <w:p w:rsidR="00DE0605" w:rsidRPr="00D77BBF" w:rsidRDefault="00DE0605" w:rsidP="00DE0605">
            <w:pPr>
              <w:jc w:val="center"/>
              <w:rPr>
                <w:rFonts w:cs="Times New Roman"/>
                <w:b/>
                <w:szCs w:val="24"/>
              </w:rPr>
            </w:pPr>
            <w:r w:rsidRPr="00D77BBF">
              <w:rPr>
                <w:rFonts w:cs="Times New Roman"/>
                <w:b/>
                <w:szCs w:val="24"/>
              </w:rPr>
              <w:t>0</w:t>
            </w:r>
          </w:p>
        </w:tc>
        <w:tc>
          <w:tcPr>
            <w:tcW w:w="750" w:type="pct"/>
            <w:tcBorders>
              <w:top w:val="outset" w:sz="6" w:space="0" w:color="auto"/>
              <w:left w:val="outset" w:sz="6" w:space="0" w:color="auto"/>
              <w:bottom w:val="outset" w:sz="6" w:space="0" w:color="auto"/>
              <w:right w:val="outset" w:sz="6" w:space="0" w:color="auto"/>
            </w:tcBorders>
            <w:vAlign w:val="bottom"/>
            <w:hideMark/>
          </w:tcPr>
          <w:p w:rsidR="00DE0605" w:rsidRPr="00D77BBF" w:rsidRDefault="00DE0605" w:rsidP="00DE0605">
            <w:pPr>
              <w:jc w:val="center"/>
              <w:rPr>
                <w:rFonts w:cs="Times New Roman"/>
                <w:b/>
                <w:szCs w:val="24"/>
              </w:rPr>
            </w:pPr>
            <w:r w:rsidRPr="00D77BBF">
              <w:rPr>
                <w:rFonts w:cs="Times New Roman"/>
                <w:b/>
                <w:szCs w:val="24"/>
              </w:rPr>
              <w:t>0</w:t>
            </w:r>
          </w:p>
        </w:tc>
        <w:tc>
          <w:tcPr>
            <w:tcW w:w="636" w:type="pct"/>
            <w:tcBorders>
              <w:top w:val="outset" w:sz="6" w:space="0" w:color="auto"/>
              <w:left w:val="outset" w:sz="6" w:space="0" w:color="auto"/>
              <w:bottom w:val="outset" w:sz="6" w:space="0" w:color="auto"/>
              <w:right w:val="outset" w:sz="6" w:space="0" w:color="auto"/>
            </w:tcBorders>
            <w:vAlign w:val="bottom"/>
            <w:hideMark/>
          </w:tcPr>
          <w:p w:rsidR="00DE0605" w:rsidRPr="00D77BBF" w:rsidRDefault="00DE0605" w:rsidP="00DE0605">
            <w:pPr>
              <w:jc w:val="center"/>
              <w:rPr>
                <w:rFonts w:cs="Times New Roman"/>
                <w:b/>
                <w:szCs w:val="24"/>
              </w:rPr>
            </w:pPr>
            <w:r w:rsidRPr="00D77BBF">
              <w:rPr>
                <w:rFonts w:cs="Times New Roman"/>
                <w:b/>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cs="Times New Roman"/>
                <w:szCs w:val="24"/>
              </w:rPr>
            </w:pPr>
            <w:r w:rsidRPr="00EE0538">
              <w:rPr>
                <w:rFonts w:cs="Times New Roman"/>
              </w:rPr>
              <w:t>3.1. valsts pamatbudžets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3.2. speciālais budžets</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 xml:space="preserve">3.3. pašvaldību budžets </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trHeight w:val="1380"/>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4. Finanšu līdzekļi papildu izdevumu finansēšanai (kompensējošu izdevumu samazinājumu norāda ar "+" zīmi)</w:t>
            </w:r>
          </w:p>
        </w:tc>
        <w:tc>
          <w:tcPr>
            <w:tcW w:w="75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spacing w:before="75" w:after="75"/>
              <w:jc w:val="center"/>
              <w:rPr>
                <w:rFonts w:eastAsia="Times New Roman" w:cs="Times New Roman"/>
                <w:szCs w:val="24"/>
                <w:lang w:eastAsia="lv-LV"/>
              </w:rPr>
            </w:pPr>
            <w:r w:rsidRPr="00D77BBF">
              <w:rPr>
                <w:rFonts w:eastAsia="Times New Roman" w:cs="Times New Roman"/>
                <w:szCs w:val="24"/>
                <w:lang w:eastAsia="lv-LV"/>
              </w:rPr>
              <w:t>X</w:t>
            </w:r>
          </w:p>
        </w:tc>
        <w:tc>
          <w:tcPr>
            <w:tcW w:w="980" w:type="pct"/>
            <w:gridSpan w:val="2"/>
            <w:tcBorders>
              <w:top w:val="outset" w:sz="6" w:space="0" w:color="auto"/>
              <w:left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5. Precizēta finansiālā ietekme:</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spacing w:before="75" w:after="75"/>
              <w:jc w:val="center"/>
              <w:rPr>
                <w:rFonts w:eastAsia="Times New Roman" w:cs="Times New Roman"/>
                <w:szCs w:val="24"/>
                <w:lang w:eastAsia="lv-LV"/>
              </w:rPr>
            </w:pPr>
            <w:r w:rsidRPr="00D77BBF">
              <w:rPr>
                <w:rFonts w:eastAsia="Times New Roman" w:cs="Times New Roman"/>
                <w:szCs w:val="24"/>
                <w:lang w:eastAsia="lv-LV"/>
              </w:rPr>
              <w:t>X</w:t>
            </w: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D77BBF" w:rsidRDefault="00DE0605" w:rsidP="00DE0605">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D77BBF" w:rsidRDefault="00DE0605" w:rsidP="00DE0605">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D77BBF">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 xml:space="preserve">5.3. pašvaldību budžets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0605" w:rsidRPr="00D77BBF" w:rsidRDefault="00DE0605" w:rsidP="00DE0605">
            <w:pPr>
              <w:rPr>
                <w:rFonts w:eastAsia="Times New Roman" w:cs="Times New Roman"/>
                <w:szCs w:val="24"/>
                <w:lang w:eastAsia="lv-LV"/>
              </w:rPr>
            </w:pPr>
          </w:p>
        </w:tc>
        <w:tc>
          <w:tcPr>
            <w:tcW w:w="980" w:type="pct"/>
            <w:gridSpan w:val="2"/>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92"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750"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c>
          <w:tcPr>
            <w:tcW w:w="636" w:type="pct"/>
            <w:tcBorders>
              <w:top w:val="outset" w:sz="6" w:space="0" w:color="auto"/>
              <w:left w:val="outset" w:sz="6" w:space="0" w:color="auto"/>
              <w:bottom w:val="outset" w:sz="6" w:space="0" w:color="auto"/>
              <w:right w:val="outset" w:sz="6" w:space="0" w:color="auto"/>
            </w:tcBorders>
            <w:hideMark/>
          </w:tcPr>
          <w:p w:rsidR="00DE0605" w:rsidRPr="00D77BBF" w:rsidRDefault="00DE0605" w:rsidP="00DE0605">
            <w:pPr>
              <w:jc w:val="center"/>
              <w:rPr>
                <w:rFonts w:cs="Times New Roman"/>
                <w:szCs w:val="24"/>
              </w:rPr>
            </w:pPr>
            <w:r w:rsidRPr="00D77BBF">
              <w:rPr>
                <w:rFonts w:cs="Times New Roman"/>
                <w:szCs w:val="24"/>
              </w:rPr>
              <w:t>0</w:t>
            </w:r>
          </w:p>
        </w:tc>
      </w:tr>
      <w:tr w:rsidR="00DE0605" w:rsidRPr="00EE0538"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lastRenderedPageBreak/>
              <w:t>6. Detalizēts ieņēmumu un izdevumu aprēķins (ja nepieciešams, detalizētu ieņēmumu un izdevumu aprēķinu var pievienot anotācijas pielikumā):</w:t>
            </w:r>
          </w:p>
        </w:tc>
        <w:tc>
          <w:tcPr>
            <w:tcW w:w="380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73851" w:rsidRPr="005B68B9" w:rsidRDefault="00F73851" w:rsidP="00F73851">
            <w:pPr>
              <w:jc w:val="both"/>
              <w:rPr>
                <w:rFonts w:eastAsia="Times New Roman" w:cs="Times New Roman"/>
                <w:color w:val="000000"/>
                <w:szCs w:val="24"/>
                <w:lang w:eastAsia="lv-LV"/>
              </w:rPr>
            </w:pPr>
            <w:r w:rsidRPr="005B68B9">
              <w:rPr>
                <w:rFonts w:cs="Times New Roman"/>
                <w:szCs w:val="24"/>
              </w:rPr>
              <w:t xml:space="preserve">Atbilstoši Ministru kabineta 2015.gada 25.augusta sēdes protokola Nr. 41 </w:t>
            </w:r>
            <w:r w:rsidRPr="005B68B9">
              <w:rPr>
                <w:rFonts w:eastAsia="Times New Roman" w:cs="Times New Roman"/>
                <w:color w:val="000000"/>
                <w:szCs w:val="24"/>
                <w:lang w:eastAsia="lv-LV"/>
              </w:rPr>
              <w:t xml:space="preserve">44§ 7.punktam tika atbalstīts Veselības ministrijas priekšlikums palielināt Labklājības ministrijas pamatbudžeta programmas 20.00.00 “Valsts sociālie pabalsti un izdienas pensijas” apakšprogrammai 20.02.00 “Izdienas pensijas” izdevumus sociālajiem pabalstiem 2016.gadam 1 302 563 </w:t>
            </w:r>
            <w:proofErr w:type="spellStart"/>
            <w:r w:rsidRPr="005B68B9">
              <w:rPr>
                <w:rFonts w:eastAsia="Times New Roman" w:cs="Times New Roman"/>
                <w:i/>
                <w:color w:val="000000"/>
                <w:szCs w:val="24"/>
                <w:lang w:eastAsia="lv-LV"/>
              </w:rPr>
              <w:t>euro</w:t>
            </w:r>
            <w:proofErr w:type="spellEnd"/>
            <w:r w:rsidRPr="005B68B9">
              <w:rPr>
                <w:rFonts w:eastAsia="Times New Roman" w:cs="Times New Roman"/>
                <w:color w:val="000000"/>
                <w:szCs w:val="24"/>
                <w:lang w:eastAsia="lv-LV"/>
              </w:rPr>
              <w:t xml:space="preserve"> apmērā, 2017.gadam 1 341 083 </w:t>
            </w:r>
            <w:proofErr w:type="spellStart"/>
            <w:r w:rsidRPr="005B68B9">
              <w:rPr>
                <w:rFonts w:eastAsia="Times New Roman" w:cs="Times New Roman"/>
                <w:i/>
                <w:color w:val="000000"/>
                <w:szCs w:val="24"/>
                <w:lang w:eastAsia="lv-LV"/>
              </w:rPr>
              <w:t>euro</w:t>
            </w:r>
            <w:proofErr w:type="spellEnd"/>
            <w:r w:rsidRPr="005B68B9">
              <w:rPr>
                <w:rFonts w:eastAsia="Times New Roman" w:cs="Times New Roman"/>
                <w:color w:val="000000"/>
                <w:szCs w:val="24"/>
                <w:lang w:eastAsia="lv-LV"/>
              </w:rPr>
              <w:t xml:space="preserve"> apmērā un 2018.gadam 1 420 922 </w:t>
            </w:r>
            <w:proofErr w:type="spellStart"/>
            <w:r w:rsidRPr="005B68B9">
              <w:rPr>
                <w:rFonts w:eastAsia="Times New Roman" w:cs="Times New Roman"/>
                <w:i/>
                <w:color w:val="000000"/>
                <w:szCs w:val="24"/>
                <w:lang w:eastAsia="lv-LV"/>
              </w:rPr>
              <w:t>euro</w:t>
            </w:r>
            <w:proofErr w:type="spellEnd"/>
            <w:r w:rsidRPr="005B68B9">
              <w:rPr>
                <w:rFonts w:eastAsia="Times New Roman" w:cs="Times New Roman"/>
                <w:color w:val="000000"/>
                <w:szCs w:val="24"/>
                <w:lang w:eastAsia="lv-LV"/>
              </w:rPr>
              <w:t xml:space="preserve"> apmērā, lai atbilstoši 2015.gada 21.jūlijā izsludinātajam likumam “Neatliekamās medicīniskās palīdzības dienesta neatliekamās medicīniskās palīdzības nodrošināšanā iesaistīto darbinieku izdienas pensijas likums” nodrošinātu izdienas pensiju izmaksas.</w:t>
            </w:r>
          </w:p>
          <w:p w:rsidR="00F73851" w:rsidRPr="005B68B9" w:rsidRDefault="00F73851" w:rsidP="00F73851">
            <w:pPr>
              <w:tabs>
                <w:tab w:val="left" w:pos="52"/>
              </w:tabs>
              <w:jc w:val="both"/>
              <w:rPr>
                <w:noProof/>
              </w:rPr>
            </w:pPr>
          </w:p>
          <w:p w:rsidR="00F73851" w:rsidRPr="005B68B9" w:rsidRDefault="00F73851" w:rsidP="00F73851">
            <w:pPr>
              <w:tabs>
                <w:tab w:val="left" w:pos="52"/>
              </w:tabs>
              <w:jc w:val="both"/>
              <w:rPr>
                <w:noProof/>
              </w:rPr>
            </w:pPr>
            <w:r w:rsidRPr="005B68B9">
              <w:rPr>
                <w:noProof/>
              </w:rPr>
              <w:t xml:space="preserve">Atbilstoši 2015.gada 30.novembrī Saeimā 2.lasījumā pieņemtajam likumam </w:t>
            </w:r>
            <w:r w:rsidRPr="005B68B9">
              <w:t>„Par vidējā termiņa budžeta ietvaru 2016., 2017. un 2018.gadam”</w:t>
            </w:r>
            <w:r w:rsidRPr="005B68B9">
              <w:rPr>
                <w:noProof/>
                <w:lang w:bidi="gu-IN"/>
              </w:rPr>
              <w:t xml:space="preserve"> finansējums  valsts pamatbudžeta programmas 20.00.00 „Valsts sociālie pabalsti un izdienas pensijas” apakš</w:t>
            </w:r>
            <w:r w:rsidRPr="005B68B9">
              <w:rPr>
                <w:noProof/>
                <w:lang w:bidi="gu-IN"/>
              </w:rPr>
              <w:softHyphen/>
              <w:t>programmā 20.02.00 „</w:t>
            </w:r>
            <w:r w:rsidRPr="005B68B9">
              <w:t xml:space="preserve"> </w:t>
            </w:r>
            <w:r w:rsidRPr="005B68B9">
              <w:rPr>
                <w:noProof/>
                <w:lang w:bidi="gu-IN"/>
              </w:rPr>
              <w:t>Izdienas pensijas”</w:t>
            </w:r>
            <w:r w:rsidRPr="005B68B9">
              <w:rPr>
                <w:noProof/>
              </w:rPr>
              <w:t>:</w:t>
            </w:r>
          </w:p>
          <w:p w:rsidR="00F73851" w:rsidRPr="005B68B9" w:rsidRDefault="00F73851" w:rsidP="00F73851">
            <w:pPr>
              <w:ind w:left="360"/>
              <w:jc w:val="both"/>
              <w:rPr>
                <w:noProof/>
                <w:u w:val="single"/>
              </w:rPr>
            </w:pPr>
            <w:r w:rsidRPr="005B68B9">
              <w:rPr>
                <w:noProof/>
                <w:u w:val="single"/>
              </w:rPr>
              <w:t>2016.gadam:</w:t>
            </w:r>
          </w:p>
          <w:p w:rsidR="00F73851" w:rsidRPr="005B68B9" w:rsidRDefault="00F73851" w:rsidP="00F73851">
            <w:pPr>
              <w:ind w:left="360"/>
              <w:rPr>
                <w:noProof/>
                <w:sz w:val="22"/>
                <w:lang w:bidi="gu-IN"/>
              </w:rPr>
            </w:pPr>
            <w:r w:rsidRPr="005B68B9">
              <w:rPr>
                <w:noProof/>
                <w:sz w:val="22"/>
                <w:lang w:bidi="gu-IN"/>
              </w:rPr>
              <w:t xml:space="preserve">Resursi izdevumu segšanai (dotācija no vispārējiem ieņēmumiem) 35 412 243 </w:t>
            </w:r>
            <w:r w:rsidRPr="005B68B9">
              <w:rPr>
                <w:i/>
                <w:noProof/>
                <w:sz w:val="22"/>
                <w:lang w:bidi="gu-IN"/>
              </w:rPr>
              <w:t>euro,</w:t>
            </w:r>
          </w:p>
          <w:p w:rsidR="00F73851" w:rsidRPr="005B68B9" w:rsidRDefault="00F73851" w:rsidP="00F73851">
            <w:pPr>
              <w:ind w:left="360"/>
              <w:jc w:val="both"/>
              <w:rPr>
                <w:noProof/>
                <w:sz w:val="22"/>
                <w:lang w:bidi="gu-IN"/>
              </w:rPr>
            </w:pPr>
          </w:p>
          <w:p w:rsidR="00F73851" w:rsidRPr="005B68B9" w:rsidRDefault="00F73851" w:rsidP="00F73851">
            <w:pPr>
              <w:ind w:left="360"/>
              <w:jc w:val="both"/>
              <w:rPr>
                <w:noProof/>
                <w:sz w:val="22"/>
                <w:lang w:bidi="gu-IN"/>
              </w:rPr>
            </w:pPr>
            <w:r w:rsidRPr="005B68B9">
              <w:rPr>
                <w:noProof/>
                <w:sz w:val="22"/>
                <w:lang w:bidi="gu-IN"/>
              </w:rPr>
              <w:t xml:space="preserve">Izdevumi 35 412 243 </w:t>
            </w:r>
            <w:r w:rsidRPr="005B68B9">
              <w:rPr>
                <w:i/>
                <w:noProof/>
                <w:sz w:val="22"/>
                <w:lang w:bidi="gu-IN"/>
              </w:rPr>
              <w:t>euro</w:t>
            </w:r>
          </w:p>
          <w:p w:rsidR="00F73851" w:rsidRPr="005B68B9" w:rsidRDefault="00F73851" w:rsidP="00F73851">
            <w:pPr>
              <w:ind w:left="360"/>
              <w:jc w:val="both"/>
              <w:rPr>
                <w:noProof/>
                <w:sz w:val="22"/>
                <w:lang w:bidi="gu-IN"/>
              </w:rPr>
            </w:pPr>
            <w:r w:rsidRPr="005B68B9">
              <w:rPr>
                <w:noProof/>
                <w:sz w:val="22"/>
                <w:lang w:bidi="gu-IN"/>
              </w:rPr>
              <w:t>tai skaitā:</w:t>
            </w:r>
          </w:p>
          <w:p w:rsidR="00F73851" w:rsidRPr="005B68B9" w:rsidRDefault="00F73851" w:rsidP="00F73851">
            <w:pPr>
              <w:ind w:left="360"/>
              <w:jc w:val="both"/>
              <w:rPr>
                <w:noProof/>
                <w:sz w:val="22"/>
                <w:lang w:bidi="gu-IN"/>
              </w:rPr>
            </w:pPr>
            <w:r w:rsidRPr="005B68B9">
              <w:rPr>
                <w:rFonts w:eastAsia="Calibri" w:cs="Times New Roman"/>
                <w:bCs/>
                <w:szCs w:val="24"/>
                <w:lang w:eastAsia="lv-LV"/>
              </w:rPr>
              <w:t xml:space="preserve">Sociālie pabalsti (EKK 6000) 35 381 732 </w:t>
            </w:r>
            <w:r w:rsidRPr="005B68B9">
              <w:rPr>
                <w:noProof/>
                <w:sz w:val="22"/>
                <w:lang w:bidi="gu-IN"/>
              </w:rPr>
              <w:t>euro,</w:t>
            </w:r>
          </w:p>
          <w:p w:rsidR="00F73851" w:rsidRPr="005B68B9" w:rsidRDefault="00F73851" w:rsidP="00F73851">
            <w:pPr>
              <w:ind w:left="360"/>
              <w:jc w:val="both"/>
              <w:rPr>
                <w:noProof/>
                <w:sz w:val="22"/>
                <w:lang w:bidi="gu-IN"/>
              </w:rPr>
            </w:pPr>
            <w:r w:rsidRPr="005B68B9">
              <w:rPr>
                <w:rFonts w:eastAsia="Calibri" w:cs="Times New Roman"/>
                <w:szCs w:val="24"/>
              </w:rPr>
              <w:t>Valsts budžeta uzturēšanas izdevumu transferti</w:t>
            </w:r>
            <w:r w:rsidRPr="005B68B9">
              <w:rPr>
                <w:rFonts w:eastAsia="Calibri" w:cs="Times New Roman"/>
                <w:bCs/>
                <w:szCs w:val="24"/>
                <w:lang w:eastAsia="lv-LV"/>
              </w:rPr>
              <w:t xml:space="preserve"> (EKK 7100) 30 511 </w:t>
            </w:r>
            <w:r w:rsidRPr="005B68B9">
              <w:rPr>
                <w:noProof/>
                <w:sz w:val="22"/>
                <w:lang w:bidi="gu-IN"/>
              </w:rPr>
              <w:t>euro.</w:t>
            </w:r>
          </w:p>
          <w:p w:rsidR="00F73851" w:rsidRPr="005B68B9" w:rsidRDefault="00F73851" w:rsidP="00F73851">
            <w:pPr>
              <w:ind w:left="360"/>
              <w:jc w:val="both"/>
              <w:rPr>
                <w:noProof/>
                <w:lang w:bidi="gu-IN"/>
              </w:rPr>
            </w:pPr>
          </w:p>
          <w:p w:rsidR="00F73851" w:rsidRPr="005B68B9" w:rsidRDefault="00F73851" w:rsidP="00F73851">
            <w:pPr>
              <w:ind w:left="360"/>
              <w:jc w:val="both"/>
              <w:rPr>
                <w:noProof/>
                <w:u w:val="single"/>
              </w:rPr>
            </w:pPr>
            <w:r w:rsidRPr="005B68B9">
              <w:rPr>
                <w:noProof/>
                <w:u w:val="single"/>
              </w:rPr>
              <w:t>2017.gadam:</w:t>
            </w:r>
          </w:p>
          <w:p w:rsidR="00F73851" w:rsidRPr="005B68B9" w:rsidRDefault="00F73851" w:rsidP="00F73851">
            <w:pPr>
              <w:ind w:left="360"/>
              <w:rPr>
                <w:noProof/>
                <w:sz w:val="22"/>
                <w:lang w:bidi="gu-IN"/>
              </w:rPr>
            </w:pPr>
            <w:r w:rsidRPr="005B68B9">
              <w:rPr>
                <w:noProof/>
                <w:sz w:val="22"/>
                <w:lang w:bidi="gu-IN"/>
              </w:rPr>
              <w:t xml:space="preserve">Resursi izdevumu segšanai (dotācija no vispārējiem ieņēmumiem) 37 374 628 </w:t>
            </w:r>
            <w:r w:rsidRPr="005B68B9">
              <w:rPr>
                <w:i/>
                <w:noProof/>
                <w:sz w:val="22"/>
                <w:lang w:bidi="gu-IN"/>
              </w:rPr>
              <w:t>euro,</w:t>
            </w:r>
          </w:p>
          <w:p w:rsidR="00F73851" w:rsidRPr="005B68B9" w:rsidRDefault="00F73851" w:rsidP="00F73851">
            <w:pPr>
              <w:ind w:left="360"/>
              <w:jc w:val="both"/>
              <w:rPr>
                <w:noProof/>
                <w:sz w:val="22"/>
                <w:lang w:bidi="gu-IN"/>
              </w:rPr>
            </w:pPr>
          </w:p>
          <w:p w:rsidR="00F73851" w:rsidRPr="005B68B9" w:rsidRDefault="00F73851" w:rsidP="00F73851">
            <w:pPr>
              <w:ind w:left="360"/>
              <w:jc w:val="both"/>
              <w:rPr>
                <w:noProof/>
                <w:sz w:val="22"/>
                <w:lang w:bidi="gu-IN"/>
              </w:rPr>
            </w:pPr>
            <w:r w:rsidRPr="005B68B9">
              <w:rPr>
                <w:noProof/>
                <w:sz w:val="22"/>
                <w:lang w:bidi="gu-IN"/>
              </w:rPr>
              <w:t xml:space="preserve">Izdevumi 37 374 628 </w:t>
            </w:r>
            <w:r w:rsidRPr="005B68B9">
              <w:rPr>
                <w:i/>
                <w:noProof/>
                <w:sz w:val="22"/>
                <w:lang w:bidi="gu-IN"/>
              </w:rPr>
              <w:t>euro</w:t>
            </w:r>
          </w:p>
          <w:p w:rsidR="00F73851" w:rsidRPr="005B68B9" w:rsidRDefault="00F73851" w:rsidP="00F73851">
            <w:pPr>
              <w:ind w:left="360"/>
              <w:jc w:val="both"/>
              <w:rPr>
                <w:noProof/>
                <w:sz w:val="22"/>
                <w:lang w:bidi="gu-IN"/>
              </w:rPr>
            </w:pPr>
            <w:r w:rsidRPr="005B68B9">
              <w:rPr>
                <w:noProof/>
                <w:sz w:val="22"/>
                <w:lang w:bidi="gu-IN"/>
              </w:rPr>
              <w:t>tai skaitā:</w:t>
            </w:r>
          </w:p>
          <w:p w:rsidR="00F73851" w:rsidRPr="005B68B9" w:rsidRDefault="00F73851" w:rsidP="00F73851">
            <w:pPr>
              <w:ind w:left="360"/>
              <w:jc w:val="both"/>
              <w:rPr>
                <w:noProof/>
                <w:sz w:val="22"/>
                <w:lang w:bidi="gu-IN"/>
              </w:rPr>
            </w:pPr>
            <w:r w:rsidRPr="005B68B9">
              <w:rPr>
                <w:rFonts w:eastAsia="Calibri" w:cs="Times New Roman"/>
                <w:bCs/>
                <w:szCs w:val="24"/>
                <w:lang w:eastAsia="lv-LV"/>
              </w:rPr>
              <w:t xml:space="preserve">Sociālie pabalsti (EKK 6000) 37 349 117 </w:t>
            </w:r>
            <w:r w:rsidRPr="005B68B9">
              <w:rPr>
                <w:noProof/>
                <w:sz w:val="22"/>
                <w:lang w:bidi="gu-IN"/>
              </w:rPr>
              <w:t>euro,</w:t>
            </w:r>
          </w:p>
          <w:p w:rsidR="00F73851" w:rsidRPr="005B68B9" w:rsidRDefault="00F73851" w:rsidP="00F73851">
            <w:pPr>
              <w:ind w:left="360"/>
              <w:jc w:val="both"/>
              <w:rPr>
                <w:noProof/>
                <w:sz w:val="22"/>
                <w:lang w:bidi="gu-IN"/>
              </w:rPr>
            </w:pPr>
            <w:r w:rsidRPr="005B68B9">
              <w:rPr>
                <w:rFonts w:eastAsia="Calibri" w:cs="Times New Roman"/>
                <w:szCs w:val="24"/>
              </w:rPr>
              <w:t>Valsts budžeta uzturēšanas izdevumu transferti</w:t>
            </w:r>
            <w:r w:rsidRPr="005B68B9">
              <w:rPr>
                <w:rFonts w:eastAsia="Calibri" w:cs="Times New Roman"/>
                <w:bCs/>
                <w:szCs w:val="24"/>
                <w:lang w:eastAsia="lv-LV"/>
              </w:rPr>
              <w:t xml:space="preserve"> (EKK 7100) 30 511 </w:t>
            </w:r>
            <w:r w:rsidRPr="005B68B9">
              <w:rPr>
                <w:noProof/>
                <w:sz w:val="22"/>
                <w:lang w:bidi="gu-IN"/>
              </w:rPr>
              <w:t>euro.</w:t>
            </w:r>
          </w:p>
          <w:p w:rsidR="00F73851" w:rsidRPr="005B68B9" w:rsidRDefault="00F73851" w:rsidP="00F73851">
            <w:pPr>
              <w:ind w:left="360"/>
              <w:jc w:val="both"/>
              <w:rPr>
                <w:noProof/>
                <w:lang w:bidi="gu-IN"/>
              </w:rPr>
            </w:pPr>
          </w:p>
          <w:p w:rsidR="00F73851" w:rsidRPr="005B68B9" w:rsidRDefault="00F73851" w:rsidP="00F73851">
            <w:pPr>
              <w:ind w:left="360"/>
              <w:jc w:val="both"/>
              <w:rPr>
                <w:noProof/>
                <w:u w:val="single"/>
              </w:rPr>
            </w:pPr>
            <w:r w:rsidRPr="005B68B9">
              <w:rPr>
                <w:noProof/>
                <w:u w:val="single"/>
              </w:rPr>
              <w:t>2018.gadam:</w:t>
            </w:r>
          </w:p>
          <w:p w:rsidR="00F73851" w:rsidRPr="005B68B9" w:rsidRDefault="00F73851" w:rsidP="00F73851">
            <w:pPr>
              <w:ind w:left="360"/>
              <w:rPr>
                <w:noProof/>
                <w:sz w:val="22"/>
                <w:lang w:bidi="gu-IN"/>
              </w:rPr>
            </w:pPr>
            <w:r w:rsidRPr="005B68B9">
              <w:rPr>
                <w:noProof/>
                <w:sz w:val="22"/>
                <w:lang w:bidi="gu-IN"/>
              </w:rPr>
              <w:t xml:space="preserve">Resursi izdevumu segšanai (dotācija no vispārējiem ieņēmumiem) 39 543 082 </w:t>
            </w:r>
            <w:r w:rsidRPr="005B68B9">
              <w:rPr>
                <w:i/>
                <w:noProof/>
                <w:sz w:val="22"/>
                <w:lang w:bidi="gu-IN"/>
              </w:rPr>
              <w:t>euro,</w:t>
            </w:r>
          </w:p>
          <w:p w:rsidR="00F73851" w:rsidRPr="005B68B9" w:rsidRDefault="00F73851" w:rsidP="00F73851">
            <w:pPr>
              <w:ind w:left="360"/>
              <w:jc w:val="both"/>
              <w:rPr>
                <w:noProof/>
                <w:sz w:val="22"/>
                <w:lang w:bidi="gu-IN"/>
              </w:rPr>
            </w:pPr>
          </w:p>
          <w:p w:rsidR="00F73851" w:rsidRPr="005B68B9" w:rsidRDefault="00F73851" w:rsidP="00F73851">
            <w:pPr>
              <w:ind w:left="360"/>
              <w:jc w:val="both"/>
              <w:rPr>
                <w:noProof/>
                <w:sz w:val="22"/>
                <w:lang w:bidi="gu-IN"/>
              </w:rPr>
            </w:pPr>
            <w:r w:rsidRPr="005B68B9">
              <w:rPr>
                <w:noProof/>
                <w:sz w:val="22"/>
                <w:lang w:bidi="gu-IN"/>
              </w:rPr>
              <w:t xml:space="preserve">Izdevumi 39 543 082 </w:t>
            </w:r>
            <w:r w:rsidRPr="005B68B9">
              <w:rPr>
                <w:i/>
                <w:noProof/>
                <w:sz w:val="22"/>
                <w:lang w:bidi="gu-IN"/>
              </w:rPr>
              <w:t>euro</w:t>
            </w:r>
          </w:p>
          <w:p w:rsidR="00F73851" w:rsidRPr="005B68B9" w:rsidRDefault="00F73851" w:rsidP="00F73851">
            <w:pPr>
              <w:ind w:left="360"/>
              <w:jc w:val="both"/>
              <w:rPr>
                <w:noProof/>
                <w:sz w:val="22"/>
                <w:lang w:bidi="gu-IN"/>
              </w:rPr>
            </w:pPr>
            <w:r w:rsidRPr="005B68B9">
              <w:rPr>
                <w:noProof/>
                <w:sz w:val="22"/>
                <w:lang w:bidi="gu-IN"/>
              </w:rPr>
              <w:t>tai skaitā:</w:t>
            </w:r>
          </w:p>
          <w:p w:rsidR="00F73851" w:rsidRPr="005B68B9" w:rsidRDefault="00F73851" w:rsidP="00F73851">
            <w:pPr>
              <w:ind w:left="360"/>
              <w:jc w:val="both"/>
              <w:rPr>
                <w:noProof/>
                <w:sz w:val="22"/>
                <w:lang w:bidi="gu-IN"/>
              </w:rPr>
            </w:pPr>
            <w:r w:rsidRPr="005B68B9">
              <w:rPr>
                <w:rFonts w:eastAsia="Calibri" w:cs="Times New Roman"/>
                <w:bCs/>
                <w:szCs w:val="24"/>
                <w:lang w:eastAsia="lv-LV"/>
              </w:rPr>
              <w:t xml:space="preserve">Sociālie pabalsti (EKK 6000) 39512571 </w:t>
            </w:r>
            <w:r w:rsidRPr="005B68B9">
              <w:rPr>
                <w:noProof/>
                <w:sz w:val="22"/>
                <w:lang w:bidi="gu-IN"/>
              </w:rPr>
              <w:t>euro,</w:t>
            </w:r>
          </w:p>
          <w:p w:rsidR="00F73851" w:rsidRPr="005B68B9" w:rsidRDefault="00F73851" w:rsidP="00F73851">
            <w:pPr>
              <w:ind w:left="360"/>
              <w:jc w:val="both"/>
              <w:rPr>
                <w:noProof/>
                <w:sz w:val="22"/>
                <w:lang w:bidi="gu-IN"/>
              </w:rPr>
            </w:pPr>
            <w:r w:rsidRPr="005B68B9">
              <w:rPr>
                <w:rFonts w:eastAsia="Calibri" w:cs="Times New Roman"/>
                <w:szCs w:val="24"/>
              </w:rPr>
              <w:t>Valsts budžeta uzturēšanas izdevumu transferti</w:t>
            </w:r>
            <w:r w:rsidRPr="005B68B9">
              <w:rPr>
                <w:rFonts w:eastAsia="Calibri" w:cs="Times New Roman"/>
                <w:bCs/>
                <w:szCs w:val="24"/>
                <w:lang w:eastAsia="lv-LV"/>
              </w:rPr>
              <w:t xml:space="preserve"> (EKK 7100) 30 511 </w:t>
            </w:r>
            <w:r w:rsidRPr="005B68B9">
              <w:rPr>
                <w:noProof/>
                <w:sz w:val="22"/>
                <w:lang w:bidi="gu-IN"/>
              </w:rPr>
              <w:t>euro.</w:t>
            </w:r>
          </w:p>
          <w:p w:rsidR="00F73851" w:rsidRPr="002D43FA" w:rsidRDefault="00F73851" w:rsidP="00F73851">
            <w:pPr>
              <w:ind w:left="360"/>
              <w:jc w:val="both"/>
              <w:rPr>
                <w:noProof/>
                <w:sz w:val="22"/>
                <w:lang w:bidi="gu-IN"/>
              </w:rPr>
            </w:pPr>
          </w:p>
          <w:p w:rsidR="00DE0605" w:rsidRPr="00EE0538" w:rsidRDefault="00F73851" w:rsidP="00F73851">
            <w:pPr>
              <w:pStyle w:val="NoSpacing"/>
              <w:jc w:val="both"/>
              <w:rPr>
                <w:lang w:eastAsia="lv-LV"/>
              </w:rPr>
            </w:pPr>
            <w:r w:rsidRPr="002D43FA">
              <w:rPr>
                <w:lang w:eastAsia="lv-LV"/>
              </w:rPr>
              <w:t>Papildus nepieciešamā finansējuma detalizēti aprēķini doti anotācijas pielikumos.</w:t>
            </w:r>
          </w:p>
        </w:tc>
      </w:tr>
      <w:tr w:rsidR="00DE0605" w:rsidRPr="00EE0538"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rPr>
                <w:rFonts w:eastAsia="Times New Roman" w:cs="Times New Roman"/>
                <w:szCs w:val="24"/>
                <w:lang w:eastAsia="lv-LV"/>
              </w:rPr>
            </w:pPr>
          </w:p>
        </w:tc>
      </w:tr>
      <w:tr w:rsidR="00DE0605" w:rsidRPr="00EE0538" w:rsidTr="001B0642">
        <w:tblPrEx>
          <w:jc w:val="center"/>
        </w:tblPrEx>
        <w:trPr>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E0605" w:rsidRPr="00EE0538" w:rsidRDefault="00DE0605" w:rsidP="00DE0605">
            <w:pPr>
              <w:rPr>
                <w:rFonts w:eastAsia="Times New Roman" w:cs="Times New Roman"/>
                <w:szCs w:val="24"/>
                <w:lang w:eastAsia="lv-LV"/>
              </w:rPr>
            </w:pPr>
          </w:p>
        </w:tc>
      </w:tr>
      <w:tr w:rsidR="00DE0605" w:rsidRPr="00EE0538" w:rsidTr="001B0642">
        <w:tblPrEx>
          <w:jc w:val="center"/>
        </w:tblPrEx>
        <w:trPr>
          <w:trHeight w:val="555"/>
          <w:jc w:val="center"/>
        </w:trPr>
        <w:tc>
          <w:tcPr>
            <w:tcW w:w="1192" w:type="pct"/>
            <w:gridSpan w:val="2"/>
            <w:tcBorders>
              <w:top w:val="outset" w:sz="6" w:space="0" w:color="auto"/>
              <w:left w:val="outset" w:sz="6" w:space="0" w:color="auto"/>
              <w:bottom w:val="outset" w:sz="6" w:space="0" w:color="auto"/>
              <w:right w:val="outset" w:sz="6" w:space="0" w:color="auto"/>
            </w:tcBorders>
            <w:hideMark/>
          </w:tcPr>
          <w:p w:rsidR="00DE0605" w:rsidRPr="00EE0538" w:rsidRDefault="00DE0605" w:rsidP="00DE0605">
            <w:pPr>
              <w:rPr>
                <w:rFonts w:eastAsia="Times New Roman" w:cs="Times New Roman"/>
                <w:szCs w:val="24"/>
                <w:lang w:eastAsia="lv-LV"/>
              </w:rPr>
            </w:pPr>
            <w:r w:rsidRPr="00EE0538">
              <w:rPr>
                <w:rFonts w:eastAsia="Times New Roman" w:cs="Times New Roman"/>
                <w:szCs w:val="24"/>
                <w:lang w:eastAsia="lv-LV"/>
              </w:rPr>
              <w:lastRenderedPageBreak/>
              <w:t>7. Cita informācija</w:t>
            </w:r>
          </w:p>
        </w:tc>
        <w:tc>
          <w:tcPr>
            <w:tcW w:w="3808" w:type="pct"/>
            <w:gridSpan w:val="7"/>
            <w:tcBorders>
              <w:top w:val="outset" w:sz="6" w:space="0" w:color="auto"/>
              <w:left w:val="outset" w:sz="6" w:space="0" w:color="auto"/>
              <w:bottom w:val="outset" w:sz="6" w:space="0" w:color="auto"/>
              <w:right w:val="outset" w:sz="6" w:space="0" w:color="auto"/>
            </w:tcBorders>
            <w:hideMark/>
          </w:tcPr>
          <w:p w:rsidR="00DE0605" w:rsidRPr="008D7FE2" w:rsidRDefault="00F73851" w:rsidP="008D7FE2">
            <w:pPr>
              <w:tabs>
                <w:tab w:val="left" w:pos="5940"/>
              </w:tabs>
              <w:jc w:val="both"/>
              <w:rPr>
                <w:rFonts w:eastAsia="Times New Roman" w:cs="Times New Roman"/>
                <w:szCs w:val="24"/>
                <w:lang w:eastAsia="lv-LV"/>
              </w:rPr>
            </w:pPr>
            <w:r w:rsidRPr="002D43FA">
              <w:rPr>
                <w:rFonts w:eastAsia="Times New Roman" w:cs="Times New Roman"/>
                <w:szCs w:val="24"/>
                <w:lang w:eastAsia="lv-LV"/>
              </w:rPr>
              <w:t xml:space="preserve">Izdevumi tiks veikti </w:t>
            </w:r>
            <w:r w:rsidRPr="002D43FA">
              <w:rPr>
                <w:rFonts w:eastAsia="Times New Roman" w:cs="Times New Roman"/>
                <w:bCs/>
                <w:szCs w:val="24"/>
                <w:lang w:eastAsia="lv-LV"/>
              </w:rPr>
              <w:t xml:space="preserve">Labklājības ministrijas budžeta </w:t>
            </w:r>
            <w:r w:rsidRPr="002D43FA">
              <w:rPr>
                <w:rFonts w:eastAsia="Times New Roman" w:cs="Times New Roman"/>
                <w:szCs w:val="24"/>
                <w:lang w:eastAsia="lv-LV"/>
              </w:rPr>
              <w:t xml:space="preserve">programmas </w:t>
            </w:r>
            <w:r w:rsidRPr="002D43FA">
              <w:rPr>
                <w:rFonts w:eastAsia="Times New Roman" w:cs="Times New Roman"/>
                <w:noProof/>
                <w:color w:val="000000"/>
                <w:szCs w:val="24"/>
                <w:lang w:eastAsia="lv-LV"/>
              </w:rPr>
              <w:t>20.00.00 „Valsts sociālie pabalsti un izdienas pensijas” apakšprogrammā 20.02.00 „Izdienas pensijas”</w:t>
            </w:r>
            <w:r w:rsidRPr="002D43FA">
              <w:rPr>
                <w:rFonts w:eastAsia="Times New Roman" w:cs="Times New Roman"/>
                <w:szCs w:val="24"/>
                <w:lang w:eastAsia="lv-LV"/>
              </w:rPr>
              <w:t xml:space="preserve"> </w:t>
            </w:r>
            <w:r w:rsidRPr="005B68B9">
              <w:rPr>
                <w:rFonts w:eastAsia="Times New Roman" w:cs="Times New Roman"/>
                <w:szCs w:val="24"/>
                <w:lang w:eastAsia="lv-LV"/>
              </w:rPr>
              <w:t>piešķirto valsts budžeta līdzekļu ietvaros.</w:t>
            </w:r>
            <w:bookmarkStart w:id="0" w:name="_GoBack"/>
            <w:bookmarkEnd w:id="0"/>
          </w:p>
        </w:tc>
      </w:tr>
      <w:tr w:rsidR="00D26309" w:rsidRPr="00EE0538" w:rsidTr="00E759C7">
        <w:tblPrEx>
          <w:jc w:val="center"/>
        </w:tblPrEx>
        <w:trPr>
          <w:trHeight w:val="465"/>
          <w:jc w:val="center"/>
        </w:trPr>
        <w:tc>
          <w:tcPr>
            <w:tcW w:w="5000" w:type="pct"/>
            <w:gridSpan w:val="9"/>
            <w:tcBorders>
              <w:top w:val="outset" w:sz="6" w:space="0" w:color="auto"/>
              <w:left w:val="nil"/>
              <w:bottom w:val="outset" w:sz="6" w:space="0" w:color="auto"/>
              <w:right w:val="nil"/>
            </w:tcBorders>
            <w:hideMark/>
          </w:tcPr>
          <w:p w:rsidR="00A23A68" w:rsidRPr="00EE0538" w:rsidRDefault="00A23A68" w:rsidP="008E7EA4">
            <w:pPr>
              <w:rPr>
                <w:rFonts w:cs="Times New Roman"/>
              </w:rPr>
            </w:pPr>
          </w:p>
        </w:tc>
      </w:tr>
      <w:tr w:rsidR="003E6B1C" w:rsidRPr="00EE0538">
        <w:tblPrEx>
          <w:jc w:val="center"/>
        </w:tblPrEx>
        <w:trPr>
          <w:trHeight w:val="375"/>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3E6B1C" w:rsidRPr="00EE0538" w:rsidRDefault="003E6B1C" w:rsidP="003E6B1C">
            <w:pPr>
              <w:spacing w:before="75" w:after="75"/>
              <w:jc w:val="center"/>
              <w:rPr>
                <w:rFonts w:eastAsia="Times New Roman" w:cs="Times New Roman"/>
                <w:szCs w:val="24"/>
                <w:lang w:eastAsia="lv-LV"/>
              </w:rPr>
            </w:pPr>
            <w:r w:rsidRPr="00EE0538">
              <w:rPr>
                <w:rFonts w:eastAsia="Times New Roman" w:cs="Times New Roman"/>
                <w:b/>
                <w:bCs/>
                <w:szCs w:val="24"/>
                <w:lang w:eastAsia="lv-LV"/>
              </w:rPr>
              <w:t>VII. Tiesību akta projekta izpildes nodrošināšana un tās ietekme uz institūcijām</w:t>
            </w:r>
          </w:p>
        </w:tc>
      </w:tr>
      <w:tr w:rsidR="003E6B1C" w:rsidRPr="00EE0538">
        <w:tblPrEx>
          <w:jc w:val="center"/>
        </w:tblPrEx>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1.</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Projekta izpildē iesaistītās institūcijas</w:t>
            </w:r>
          </w:p>
        </w:tc>
        <w:tc>
          <w:tcPr>
            <w:tcW w:w="2850" w:type="pct"/>
            <w:gridSpan w:val="4"/>
            <w:tcBorders>
              <w:top w:val="outset" w:sz="6" w:space="0" w:color="auto"/>
              <w:left w:val="outset" w:sz="6" w:space="0" w:color="auto"/>
              <w:bottom w:val="outset" w:sz="6" w:space="0" w:color="auto"/>
              <w:right w:val="outset" w:sz="6" w:space="0" w:color="auto"/>
            </w:tcBorders>
            <w:hideMark/>
          </w:tcPr>
          <w:p w:rsidR="003E6B1C" w:rsidRPr="00EE0538" w:rsidRDefault="00583F8C" w:rsidP="00FF2921">
            <w:pPr>
              <w:rPr>
                <w:rFonts w:cs="Times New Roman"/>
                <w:szCs w:val="24"/>
              </w:rPr>
            </w:pPr>
            <w:r w:rsidRPr="00EE0538">
              <w:rPr>
                <w:rFonts w:cs="Times New Roman"/>
                <w:szCs w:val="24"/>
              </w:rPr>
              <w:t>Neatliekamās medicīniskās palīdzības dienests</w:t>
            </w:r>
          </w:p>
          <w:p w:rsidR="00583F8C" w:rsidRPr="00EE0538" w:rsidRDefault="00583F8C" w:rsidP="00FF2921">
            <w:pPr>
              <w:rPr>
                <w:rFonts w:eastAsia="Times New Roman" w:cs="Times New Roman"/>
                <w:szCs w:val="24"/>
                <w:lang w:eastAsia="lv-LV"/>
              </w:rPr>
            </w:pPr>
            <w:r w:rsidRPr="00EE0538">
              <w:rPr>
                <w:rFonts w:cs="Times New Roman"/>
                <w:szCs w:val="24"/>
              </w:rPr>
              <w:t>Valsts sociālās apdrošināšanas aģentūra</w:t>
            </w:r>
          </w:p>
        </w:tc>
      </w:tr>
      <w:tr w:rsidR="003E6B1C" w:rsidRPr="00EE0538">
        <w:tblPrEx>
          <w:jc w:val="center"/>
        </w:tblPrEx>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2.</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 xml:space="preserve">Projekta izpildes ietekme uz pārvaldes funkcijām un institucionālo struktūru. </w:t>
            </w:r>
          </w:p>
          <w:p w:rsidR="003E6B1C" w:rsidRPr="00EE0538" w:rsidRDefault="003E6B1C" w:rsidP="003E6B1C">
            <w:pPr>
              <w:spacing w:before="75" w:after="75"/>
              <w:ind w:firstLine="375"/>
              <w:jc w:val="both"/>
              <w:rPr>
                <w:rFonts w:eastAsia="Times New Roman" w:cs="Times New Roman"/>
                <w:szCs w:val="24"/>
                <w:lang w:eastAsia="lv-LV"/>
              </w:rPr>
            </w:pPr>
            <w:r w:rsidRPr="00EE0538">
              <w:rPr>
                <w:rFonts w:eastAsia="Times New Roman" w:cs="Times New Roman"/>
                <w:szCs w:val="24"/>
                <w:lang w:eastAsia="lv-LV"/>
              </w:rPr>
              <w:t>Jaunu institūciju izveide, esošu institūciju likvidācija vai reorganizācija, to ietekme uz institūcijas cilvēkresursiem</w:t>
            </w:r>
          </w:p>
        </w:tc>
        <w:tc>
          <w:tcPr>
            <w:tcW w:w="2850" w:type="pct"/>
            <w:gridSpan w:val="4"/>
            <w:tcBorders>
              <w:top w:val="outset" w:sz="6" w:space="0" w:color="auto"/>
              <w:left w:val="outset" w:sz="6" w:space="0" w:color="auto"/>
              <w:bottom w:val="outset" w:sz="6" w:space="0" w:color="auto"/>
              <w:right w:val="outset" w:sz="6" w:space="0" w:color="auto"/>
            </w:tcBorders>
            <w:hideMark/>
          </w:tcPr>
          <w:p w:rsidR="007D2F6A" w:rsidRPr="00EE0538" w:rsidRDefault="007D2F6A" w:rsidP="00583F8C">
            <w:pPr>
              <w:spacing w:before="75" w:after="75"/>
              <w:ind w:firstLine="375"/>
              <w:jc w:val="both"/>
              <w:rPr>
                <w:rFonts w:eastAsia="Times New Roman" w:cs="Times New Roman"/>
                <w:szCs w:val="24"/>
                <w:lang w:eastAsia="lv-LV"/>
              </w:rPr>
            </w:pPr>
          </w:p>
        </w:tc>
      </w:tr>
      <w:tr w:rsidR="003E6B1C" w:rsidRPr="00EE0538">
        <w:tblPrEx>
          <w:jc w:val="center"/>
        </w:tblPrEx>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3.</w:t>
            </w:r>
          </w:p>
        </w:tc>
        <w:tc>
          <w:tcPr>
            <w:tcW w:w="1900" w:type="pct"/>
            <w:gridSpan w:val="4"/>
            <w:tcBorders>
              <w:top w:val="outset" w:sz="6" w:space="0" w:color="auto"/>
              <w:left w:val="outset" w:sz="6" w:space="0" w:color="auto"/>
              <w:bottom w:val="outset" w:sz="6" w:space="0" w:color="auto"/>
              <w:right w:val="outset" w:sz="6" w:space="0" w:color="auto"/>
            </w:tcBorders>
            <w:hideMark/>
          </w:tcPr>
          <w:p w:rsidR="003E6B1C" w:rsidRPr="00EE0538" w:rsidRDefault="003E6B1C" w:rsidP="003E6B1C">
            <w:pPr>
              <w:rPr>
                <w:rFonts w:eastAsia="Times New Roman" w:cs="Times New Roman"/>
                <w:szCs w:val="24"/>
                <w:lang w:eastAsia="lv-LV"/>
              </w:rPr>
            </w:pPr>
            <w:r w:rsidRPr="00EE0538">
              <w:rPr>
                <w:rFonts w:eastAsia="Times New Roman" w:cs="Times New Roman"/>
                <w:szCs w:val="24"/>
                <w:lang w:eastAsia="lv-LV"/>
              </w:rPr>
              <w:t>Cita informācija</w:t>
            </w:r>
          </w:p>
        </w:tc>
        <w:tc>
          <w:tcPr>
            <w:tcW w:w="2850" w:type="pct"/>
            <w:gridSpan w:val="4"/>
            <w:tcBorders>
              <w:top w:val="outset" w:sz="6" w:space="0" w:color="auto"/>
              <w:left w:val="outset" w:sz="6" w:space="0" w:color="auto"/>
              <w:bottom w:val="outset" w:sz="6" w:space="0" w:color="auto"/>
              <w:right w:val="outset" w:sz="6" w:space="0" w:color="auto"/>
            </w:tcBorders>
            <w:hideMark/>
          </w:tcPr>
          <w:p w:rsidR="003E6B1C" w:rsidRPr="00EE0538" w:rsidRDefault="003E6B1C" w:rsidP="00C93517">
            <w:pPr>
              <w:spacing w:before="75" w:after="75"/>
              <w:jc w:val="both"/>
              <w:rPr>
                <w:rFonts w:eastAsia="Times New Roman" w:cs="Times New Roman"/>
                <w:szCs w:val="24"/>
                <w:lang w:eastAsia="lv-LV"/>
              </w:rPr>
            </w:pPr>
            <w:r w:rsidRPr="00EE0538">
              <w:rPr>
                <w:rFonts w:eastAsia="Times New Roman" w:cs="Times New Roman"/>
                <w:szCs w:val="24"/>
                <w:lang w:eastAsia="lv-LV"/>
              </w:rPr>
              <w:t>Nav</w:t>
            </w:r>
            <w:r w:rsidR="00F24940" w:rsidRPr="00EE0538">
              <w:rPr>
                <w:rFonts w:eastAsia="Times New Roman" w:cs="Times New Roman"/>
                <w:szCs w:val="24"/>
                <w:lang w:eastAsia="lv-LV"/>
              </w:rPr>
              <w:t>.</w:t>
            </w:r>
          </w:p>
        </w:tc>
      </w:tr>
    </w:tbl>
    <w:p w:rsidR="00EF0B31" w:rsidRPr="00EE0538" w:rsidRDefault="00EF0B31" w:rsidP="003E6B1C">
      <w:pPr>
        <w:rPr>
          <w:rFonts w:cs="Times New Roman"/>
        </w:rPr>
      </w:pPr>
    </w:p>
    <w:p w:rsidR="008E7EA4" w:rsidRPr="00EE0538" w:rsidRDefault="008E7EA4" w:rsidP="00B174DE">
      <w:pPr>
        <w:spacing w:after="480"/>
        <w:rPr>
          <w:rFonts w:cs="Times New Roman"/>
          <w:i/>
        </w:rPr>
      </w:pPr>
      <w:r w:rsidRPr="00EE0538">
        <w:rPr>
          <w:rFonts w:cs="Times New Roman"/>
          <w:i/>
          <w:szCs w:val="24"/>
        </w:rPr>
        <w:t>Anotācijas II, IV, V un VI sadaļa –</w:t>
      </w:r>
      <w:r w:rsidR="00F24940" w:rsidRPr="00EE0538">
        <w:rPr>
          <w:rFonts w:cs="Times New Roman"/>
          <w:i/>
          <w:szCs w:val="24"/>
        </w:rPr>
        <w:t xml:space="preserve"> </w:t>
      </w:r>
      <w:r w:rsidR="00F24940" w:rsidRPr="00EE0538">
        <w:rPr>
          <w:rFonts w:cs="Times New Roman"/>
          <w:i/>
        </w:rPr>
        <w:t>P</w:t>
      </w:r>
      <w:r w:rsidRPr="00EE0538">
        <w:rPr>
          <w:rFonts w:cs="Times New Roman"/>
          <w:i/>
        </w:rPr>
        <w:t>rojekts šīs jomas neskar.</w:t>
      </w:r>
    </w:p>
    <w:p w:rsidR="00EF5ED9" w:rsidRPr="00EE0538" w:rsidRDefault="00EF5ED9" w:rsidP="00003A8A">
      <w:pPr>
        <w:jc w:val="both"/>
        <w:rPr>
          <w:rFonts w:cs="Times New Roman"/>
          <w:sz w:val="28"/>
          <w:szCs w:val="28"/>
        </w:rPr>
      </w:pPr>
    </w:p>
    <w:p w:rsidR="00B174DE" w:rsidRPr="00EE0538" w:rsidRDefault="00B174DE" w:rsidP="00B174DE">
      <w:pPr>
        <w:spacing w:after="720"/>
        <w:ind w:right="-766"/>
        <w:rPr>
          <w:rFonts w:eastAsia="Calibri" w:cs="Times New Roman"/>
          <w:sz w:val="28"/>
          <w:szCs w:val="28"/>
        </w:rPr>
      </w:pPr>
      <w:r w:rsidRPr="00EE0538">
        <w:rPr>
          <w:rFonts w:eastAsia="Calibri" w:cs="Times New Roman"/>
          <w:sz w:val="28"/>
          <w:szCs w:val="28"/>
        </w:rPr>
        <w:t>Veselības ministrs</w:t>
      </w:r>
      <w:r w:rsidRPr="00EE0538">
        <w:rPr>
          <w:rFonts w:eastAsia="Calibri" w:cs="Times New Roman"/>
          <w:sz w:val="28"/>
          <w:szCs w:val="28"/>
        </w:rPr>
        <w:tab/>
      </w:r>
      <w:r w:rsidRPr="00EE0538">
        <w:rPr>
          <w:rFonts w:eastAsia="Calibri" w:cs="Times New Roman"/>
          <w:sz w:val="28"/>
          <w:szCs w:val="28"/>
        </w:rPr>
        <w:tab/>
      </w:r>
      <w:r w:rsidRPr="00EE0538">
        <w:rPr>
          <w:rFonts w:eastAsia="Calibri" w:cs="Times New Roman"/>
          <w:sz w:val="28"/>
          <w:szCs w:val="28"/>
        </w:rPr>
        <w:tab/>
      </w:r>
      <w:r w:rsidRPr="00EE0538">
        <w:rPr>
          <w:rFonts w:eastAsia="Calibri" w:cs="Times New Roman"/>
          <w:sz w:val="28"/>
          <w:szCs w:val="28"/>
        </w:rPr>
        <w:tab/>
      </w:r>
      <w:r w:rsidRPr="00EE0538">
        <w:rPr>
          <w:rFonts w:eastAsia="Calibri" w:cs="Times New Roman"/>
          <w:sz w:val="28"/>
          <w:szCs w:val="28"/>
        </w:rPr>
        <w:tab/>
      </w:r>
      <w:r w:rsidRPr="00EE0538">
        <w:rPr>
          <w:rFonts w:eastAsia="Calibri" w:cs="Times New Roman"/>
          <w:sz w:val="28"/>
          <w:szCs w:val="28"/>
        </w:rPr>
        <w:tab/>
        <w:t xml:space="preserve"> </w:t>
      </w:r>
      <w:r w:rsidRPr="00EE0538">
        <w:rPr>
          <w:rFonts w:eastAsia="Calibri" w:cs="Times New Roman"/>
          <w:sz w:val="28"/>
          <w:szCs w:val="28"/>
        </w:rPr>
        <w:tab/>
      </w:r>
      <w:r w:rsidRPr="00EE0538">
        <w:rPr>
          <w:rFonts w:eastAsia="Calibri" w:cs="Times New Roman"/>
          <w:sz w:val="28"/>
          <w:szCs w:val="28"/>
        </w:rPr>
        <w:tab/>
      </w:r>
      <w:r w:rsidRPr="00EE0538">
        <w:rPr>
          <w:rFonts w:eastAsia="Calibri" w:cs="Times New Roman"/>
          <w:sz w:val="28"/>
          <w:szCs w:val="28"/>
        </w:rPr>
        <w:tab/>
        <w:t>G.Belēvičs</w:t>
      </w:r>
    </w:p>
    <w:p w:rsidR="00B174DE" w:rsidRPr="00EE0538" w:rsidRDefault="00B174DE" w:rsidP="00B174DE">
      <w:pPr>
        <w:tabs>
          <w:tab w:val="right" w:pos="9072"/>
        </w:tabs>
        <w:ind w:right="-766"/>
        <w:rPr>
          <w:rFonts w:eastAsia="Calibri" w:cs="Times New Roman"/>
          <w:sz w:val="28"/>
          <w:szCs w:val="28"/>
        </w:rPr>
      </w:pPr>
      <w:r w:rsidRPr="00EE0538">
        <w:rPr>
          <w:rFonts w:eastAsia="Calibri" w:cs="Times New Roman"/>
          <w:sz w:val="28"/>
          <w:szCs w:val="28"/>
        </w:rPr>
        <w:t xml:space="preserve">Vīza: Valsts sekretāre                                                                           </w:t>
      </w:r>
      <w:r w:rsidRPr="00EE0538">
        <w:rPr>
          <w:rFonts w:eastAsia="Calibri" w:cs="Times New Roman"/>
          <w:sz w:val="28"/>
          <w:szCs w:val="28"/>
        </w:rPr>
        <w:tab/>
        <w:t xml:space="preserve">    S.Zvidriņa</w:t>
      </w:r>
    </w:p>
    <w:p w:rsidR="00E4482B" w:rsidRPr="00EE0538" w:rsidRDefault="00E4482B" w:rsidP="00B174DE">
      <w:pPr>
        <w:tabs>
          <w:tab w:val="right" w:pos="9072"/>
        </w:tabs>
        <w:ind w:right="-766"/>
        <w:rPr>
          <w:rFonts w:eastAsia="Calibri" w:cs="Times New Roman"/>
          <w:sz w:val="28"/>
          <w:szCs w:val="28"/>
        </w:rPr>
      </w:pPr>
    </w:p>
    <w:p w:rsidR="00E4482B" w:rsidRDefault="00E4482B" w:rsidP="00B174DE">
      <w:pPr>
        <w:tabs>
          <w:tab w:val="right" w:pos="9072"/>
        </w:tabs>
        <w:ind w:right="-766"/>
        <w:rPr>
          <w:rFonts w:eastAsia="Calibri" w:cs="Times New Roman"/>
          <w:sz w:val="28"/>
          <w:szCs w:val="28"/>
        </w:rPr>
      </w:pPr>
    </w:p>
    <w:p w:rsidR="00E35B44" w:rsidRPr="00EE0538" w:rsidRDefault="00E35B44" w:rsidP="00B174DE">
      <w:pPr>
        <w:tabs>
          <w:tab w:val="right" w:pos="9072"/>
        </w:tabs>
        <w:ind w:right="-766"/>
        <w:rPr>
          <w:rFonts w:eastAsia="Calibri" w:cs="Times New Roman"/>
          <w:sz w:val="28"/>
          <w:szCs w:val="28"/>
        </w:rPr>
      </w:pPr>
    </w:p>
    <w:p w:rsidR="00E4482B" w:rsidRDefault="00E4482B" w:rsidP="00B174DE">
      <w:pPr>
        <w:tabs>
          <w:tab w:val="right" w:pos="9072"/>
        </w:tabs>
        <w:ind w:right="-766"/>
        <w:rPr>
          <w:rFonts w:eastAsia="Lucida Sans Unicode" w:cs="Times New Roman"/>
          <w:kern w:val="3"/>
          <w:sz w:val="28"/>
          <w:szCs w:val="28"/>
        </w:rPr>
      </w:pPr>
    </w:p>
    <w:p w:rsidR="000B636C" w:rsidRPr="00EE0538" w:rsidRDefault="00E35B44" w:rsidP="000B636C">
      <w:pPr>
        <w:ind w:right="-3228"/>
        <w:rPr>
          <w:rFonts w:eastAsia="Calibri" w:cs="Times New Roman"/>
          <w:sz w:val="20"/>
          <w:szCs w:val="20"/>
        </w:rPr>
      </w:pPr>
      <w:r>
        <w:rPr>
          <w:rFonts w:eastAsia="Times New Roman" w:cs="Times New Roman"/>
          <w:sz w:val="20"/>
          <w:szCs w:val="20"/>
          <w:lang w:eastAsia="lv-LV"/>
        </w:rPr>
        <w:t>17</w:t>
      </w:r>
      <w:r w:rsidR="000772BC" w:rsidRPr="00EE0538">
        <w:rPr>
          <w:rFonts w:eastAsia="Times New Roman" w:cs="Times New Roman"/>
          <w:sz w:val="20"/>
          <w:szCs w:val="20"/>
          <w:lang w:eastAsia="lv-LV"/>
        </w:rPr>
        <w:t>.12</w:t>
      </w:r>
      <w:r>
        <w:rPr>
          <w:rFonts w:eastAsia="Times New Roman" w:cs="Times New Roman"/>
          <w:sz w:val="20"/>
          <w:szCs w:val="20"/>
          <w:lang w:eastAsia="lv-LV"/>
        </w:rPr>
        <w:t>.2015 13</w:t>
      </w:r>
      <w:r w:rsidR="00B110A5">
        <w:rPr>
          <w:rFonts w:eastAsia="Times New Roman" w:cs="Times New Roman"/>
          <w:sz w:val="20"/>
          <w:szCs w:val="20"/>
          <w:lang w:eastAsia="lv-LV"/>
        </w:rPr>
        <w:t>:</w:t>
      </w:r>
      <w:r w:rsidR="00235D4F">
        <w:rPr>
          <w:rFonts w:eastAsia="Times New Roman" w:cs="Times New Roman"/>
          <w:sz w:val="20"/>
          <w:szCs w:val="20"/>
          <w:lang w:eastAsia="lv-LV"/>
        </w:rPr>
        <w:t>52</w:t>
      </w:r>
    </w:p>
    <w:p w:rsidR="000B636C" w:rsidRPr="00EE0538" w:rsidRDefault="00DE49EA" w:rsidP="000B636C">
      <w:pPr>
        <w:ind w:right="-3228"/>
        <w:rPr>
          <w:rFonts w:eastAsia="Times New Roman" w:cs="Times New Roman"/>
          <w:sz w:val="20"/>
          <w:szCs w:val="20"/>
          <w:lang w:eastAsia="lv-LV"/>
        </w:rPr>
      </w:pPr>
      <w:r>
        <w:rPr>
          <w:rFonts w:eastAsia="Times New Roman" w:cs="Times New Roman"/>
          <w:sz w:val="20"/>
          <w:szCs w:val="20"/>
          <w:lang w:eastAsia="lv-LV"/>
        </w:rPr>
        <w:t>10</w:t>
      </w:r>
      <w:r w:rsidR="00235D4F">
        <w:rPr>
          <w:rFonts w:eastAsia="Times New Roman" w:cs="Times New Roman"/>
          <w:sz w:val="20"/>
          <w:szCs w:val="20"/>
          <w:lang w:eastAsia="lv-LV"/>
        </w:rPr>
        <w:t>72</w:t>
      </w:r>
    </w:p>
    <w:p w:rsidR="000B636C" w:rsidRPr="00EE0538" w:rsidRDefault="000772BC" w:rsidP="000B636C">
      <w:pPr>
        <w:ind w:right="-3228"/>
        <w:rPr>
          <w:rFonts w:eastAsia="Calibri" w:cs="Times New Roman"/>
          <w:sz w:val="20"/>
          <w:szCs w:val="20"/>
        </w:rPr>
      </w:pPr>
      <w:r w:rsidRPr="00EE0538">
        <w:rPr>
          <w:rFonts w:eastAsia="Calibri" w:cs="Times New Roman"/>
          <w:sz w:val="20"/>
          <w:szCs w:val="20"/>
        </w:rPr>
        <w:t>B.Kleina</w:t>
      </w:r>
    </w:p>
    <w:p w:rsidR="009F42B0" w:rsidRPr="00EE0538" w:rsidRDefault="000772BC" w:rsidP="001B0642">
      <w:pPr>
        <w:rPr>
          <w:rFonts w:cs="Times New Roman"/>
          <w:sz w:val="20"/>
          <w:szCs w:val="20"/>
        </w:rPr>
      </w:pPr>
      <w:bookmarkStart w:id="1" w:name="OLE_LINK2"/>
      <w:bookmarkStart w:id="2" w:name="OLE_LINK3"/>
      <w:r w:rsidRPr="00EE0538">
        <w:rPr>
          <w:rFonts w:eastAsia="Times New Roman" w:cs="Times New Roman"/>
          <w:sz w:val="20"/>
          <w:lang w:eastAsia="lv-LV"/>
        </w:rPr>
        <w:t>67876078,</w:t>
      </w:r>
      <w:r w:rsidR="00FA188A" w:rsidRPr="00EE0538">
        <w:rPr>
          <w:rFonts w:eastAsia="Times New Roman" w:cs="Times New Roman"/>
          <w:sz w:val="20"/>
          <w:lang w:eastAsia="lv-LV"/>
        </w:rPr>
        <w:t xml:space="preserve"> B</w:t>
      </w:r>
      <w:r w:rsidR="00B110A5">
        <w:rPr>
          <w:rFonts w:eastAsia="Times New Roman" w:cs="Times New Roman"/>
          <w:sz w:val="20"/>
          <w:lang w:eastAsia="lv-LV"/>
        </w:rPr>
        <w:t>iruta.K</w:t>
      </w:r>
      <w:r w:rsidRPr="00EE0538">
        <w:rPr>
          <w:rFonts w:eastAsia="Times New Roman" w:cs="Times New Roman"/>
          <w:sz w:val="20"/>
          <w:lang w:eastAsia="lv-LV"/>
        </w:rPr>
        <w:t>leina@vm.gov.lv</w:t>
      </w:r>
      <w:bookmarkEnd w:id="1"/>
      <w:bookmarkEnd w:id="2"/>
    </w:p>
    <w:sectPr w:rsidR="009F42B0" w:rsidRPr="00EE0538" w:rsidSect="00FA188A">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E4" w:rsidRDefault="00C477E4" w:rsidP="0086332E">
      <w:r>
        <w:separator/>
      </w:r>
    </w:p>
  </w:endnote>
  <w:endnote w:type="continuationSeparator" w:id="0">
    <w:p w:rsidR="00C477E4" w:rsidRDefault="00C477E4"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4" w:rsidRPr="00B110A5" w:rsidRDefault="00C477E4" w:rsidP="009C2FD9">
    <w:pPr>
      <w:jc w:val="both"/>
      <w:rPr>
        <w:rFonts w:eastAsia="Times New Roman" w:cs="Times New Roman"/>
        <w:color w:val="FF0000"/>
        <w:szCs w:val="24"/>
        <w:lang w:eastAsia="lv-LV"/>
      </w:rPr>
    </w:pPr>
    <w:r>
      <w:rPr>
        <w:szCs w:val="24"/>
      </w:rPr>
      <w:t>VManot_17</w:t>
    </w:r>
    <w:r w:rsidRPr="00B110A5">
      <w:rPr>
        <w:szCs w:val="24"/>
      </w:rPr>
      <w:t>1215_NMPD ; Ministru kabineta noteikumu projekta ”</w:t>
    </w:r>
    <w:r w:rsidRPr="00B110A5">
      <w:rPr>
        <w:rFonts w:eastAsia="Times New Roman" w:cs="Times New Roman"/>
        <w:bCs/>
        <w:szCs w:val="24"/>
        <w:lang w:eastAsia="lv-LV"/>
      </w:rPr>
      <w:t>Kārtība, kādā Neatliekamās medicīniskās palīdzības dienesta neatliekamās medicīniskās palīdzības nodrošināšanā iesaistītajiem darbiniekiem aprēķina, piešķir un izmaksā izdienas pensijas</w:t>
    </w:r>
    <w:r w:rsidRPr="00B110A5">
      <w:rPr>
        <w:szCs w:val="24"/>
      </w:rPr>
      <w:t>” sākotnējās ietekmes novērtējuma ziņojums (anotācija)</w:t>
    </w:r>
    <w:r w:rsidRPr="00B110A5">
      <w:rPr>
        <w:rFonts w:eastAsia="Times New Roman" w:cs="Times New Roman"/>
        <w:color w:val="FF0000"/>
        <w:szCs w:val="24"/>
        <w:lang w:eastAsia="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4" w:rsidRPr="00B110A5" w:rsidRDefault="00C477E4" w:rsidP="00B110A5">
    <w:pPr>
      <w:jc w:val="both"/>
      <w:rPr>
        <w:rFonts w:eastAsia="Times New Roman" w:cs="Times New Roman"/>
        <w:color w:val="FF0000"/>
        <w:szCs w:val="24"/>
        <w:lang w:eastAsia="lv-LV"/>
      </w:rPr>
    </w:pPr>
    <w:r>
      <w:rPr>
        <w:szCs w:val="24"/>
      </w:rPr>
      <w:t>VManot_17</w:t>
    </w:r>
    <w:r w:rsidRPr="00B110A5">
      <w:rPr>
        <w:szCs w:val="24"/>
      </w:rPr>
      <w:t>1215_NMPD ; Ministru kabineta noteikumu projekta ”</w:t>
    </w:r>
    <w:r w:rsidRPr="00B110A5">
      <w:rPr>
        <w:rFonts w:eastAsia="Times New Roman" w:cs="Times New Roman"/>
        <w:bCs/>
        <w:szCs w:val="24"/>
        <w:lang w:eastAsia="lv-LV"/>
      </w:rPr>
      <w:t>Kārtība, kādā Neatliekamās medicīniskās palīdzības dienesta neatliekamās medicīniskās palīdzības nodrošināšanā iesaistītajiem darbiniekiem aprēķina, piešķir un izmaksā izdienas pensijas</w:t>
    </w:r>
    <w:r w:rsidRPr="00B110A5">
      <w:rPr>
        <w:szCs w:val="24"/>
      </w:rPr>
      <w:t>” sākotnējās ietekmes novērtējuma ziņojums (anotācija)</w:t>
    </w:r>
    <w:r w:rsidRPr="00B110A5">
      <w:rPr>
        <w:rFonts w:eastAsia="Times New Roman" w:cs="Times New Roman"/>
        <w:color w:val="FF0000"/>
        <w:szCs w:val="24"/>
        <w:lang w:eastAsia="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E4" w:rsidRDefault="00C477E4" w:rsidP="0086332E">
      <w:r>
        <w:separator/>
      </w:r>
    </w:p>
  </w:footnote>
  <w:footnote w:type="continuationSeparator" w:id="0">
    <w:p w:rsidR="00C477E4" w:rsidRDefault="00C477E4"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C477E4" w:rsidRDefault="00C477E4">
        <w:pPr>
          <w:pStyle w:val="Header"/>
          <w:jc w:val="center"/>
        </w:pPr>
        <w:fldSimple w:instr=" PAGE   \* MERGEFORMAT ">
          <w:r w:rsidR="00235D4F">
            <w:rPr>
              <w:noProof/>
            </w:rPr>
            <w:t>5</w:t>
          </w:r>
        </w:fldSimple>
      </w:p>
    </w:sdtContent>
  </w:sdt>
  <w:p w:rsidR="00C477E4" w:rsidRDefault="00C47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0AC7540"/>
    <w:multiLevelType w:val="hybridMultilevel"/>
    <w:tmpl w:val="3768DF26"/>
    <w:lvl w:ilvl="0" w:tplc="310CEC84">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6">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
  </w:num>
  <w:num w:numId="5">
    <w:abstractNumId w:val="12"/>
  </w:num>
  <w:num w:numId="6">
    <w:abstractNumId w:val="16"/>
  </w:num>
  <w:num w:numId="7">
    <w:abstractNumId w:val="5"/>
  </w:num>
  <w:num w:numId="8">
    <w:abstractNumId w:val="18"/>
  </w:num>
  <w:num w:numId="9">
    <w:abstractNumId w:val="8"/>
  </w:num>
  <w:num w:numId="10">
    <w:abstractNumId w:val="6"/>
  </w:num>
  <w:num w:numId="11">
    <w:abstractNumId w:val="19"/>
  </w:num>
  <w:num w:numId="12">
    <w:abstractNumId w:val="3"/>
  </w:num>
  <w:num w:numId="13">
    <w:abstractNumId w:val="13"/>
  </w:num>
  <w:num w:numId="14">
    <w:abstractNumId w:val="7"/>
  </w:num>
  <w:num w:numId="15">
    <w:abstractNumId w:val="11"/>
  </w:num>
  <w:num w:numId="16">
    <w:abstractNumId w:val="4"/>
  </w:num>
  <w:num w:numId="17">
    <w:abstractNumId w:val="10"/>
  </w:num>
  <w:num w:numId="18">
    <w:abstractNumId w:val="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772BC"/>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56D5"/>
    <w:rsid w:val="00047682"/>
    <w:rsid w:val="00051113"/>
    <w:rsid w:val="000559F1"/>
    <w:rsid w:val="00056CAC"/>
    <w:rsid w:val="000742AF"/>
    <w:rsid w:val="00075A85"/>
    <w:rsid w:val="000772BC"/>
    <w:rsid w:val="00080A03"/>
    <w:rsid w:val="00081E93"/>
    <w:rsid w:val="000830E7"/>
    <w:rsid w:val="0008538E"/>
    <w:rsid w:val="00090786"/>
    <w:rsid w:val="00096763"/>
    <w:rsid w:val="000A3F41"/>
    <w:rsid w:val="000A45D5"/>
    <w:rsid w:val="000B32FD"/>
    <w:rsid w:val="000B3589"/>
    <w:rsid w:val="000B4256"/>
    <w:rsid w:val="000B4B45"/>
    <w:rsid w:val="000B636C"/>
    <w:rsid w:val="000B6647"/>
    <w:rsid w:val="000C0A0E"/>
    <w:rsid w:val="000C15CD"/>
    <w:rsid w:val="000C3C12"/>
    <w:rsid w:val="000D098F"/>
    <w:rsid w:val="000D0B2F"/>
    <w:rsid w:val="000D191D"/>
    <w:rsid w:val="000D339F"/>
    <w:rsid w:val="000D74E3"/>
    <w:rsid w:val="000E47D4"/>
    <w:rsid w:val="000E5651"/>
    <w:rsid w:val="000E683A"/>
    <w:rsid w:val="000F4C05"/>
    <w:rsid w:val="00100D1D"/>
    <w:rsid w:val="001012F1"/>
    <w:rsid w:val="00101396"/>
    <w:rsid w:val="00103139"/>
    <w:rsid w:val="00103C6D"/>
    <w:rsid w:val="00104C6D"/>
    <w:rsid w:val="001127A7"/>
    <w:rsid w:val="00114EB2"/>
    <w:rsid w:val="00116D83"/>
    <w:rsid w:val="0011774E"/>
    <w:rsid w:val="00117C74"/>
    <w:rsid w:val="00120D5C"/>
    <w:rsid w:val="00123E23"/>
    <w:rsid w:val="00123EFF"/>
    <w:rsid w:val="00127C3A"/>
    <w:rsid w:val="001311A7"/>
    <w:rsid w:val="00132257"/>
    <w:rsid w:val="0013653F"/>
    <w:rsid w:val="001379A6"/>
    <w:rsid w:val="00141987"/>
    <w:rsid w:val="00151EC5"/>
    <w:rsid w:val="00153272"/>
    <w:rsid w:val="00153D74"/>
    <w:rsid w:val="001550F8"/>
    <w:rsid w:val="00155614"/>
    <w:rsid w:val="001575D0"/>
    <w:rsid w:val="00167659"/>
    <w:rsid w:val="0017043D"/>
    <w:rsid w:val="00171C46"/>
    <w:rsid w:val="00172819"/>
    <w:rsid w:val="00176DD3"/>
    <w:rsid w:val="00176EE5"/>
    <w:rsid w:val="00181EE3"/>
    <w:rsid w:val="0018644C"/>
    <w:rsid w:val="001874AB"/>
    <w:rsid w:val="001913A4"/>
    <w:rsid w:val="001A0995"/>
    <w:rsid w:val="001A1E54"/>
    <w:rsid w:val="001A25F1"/>
    <w:rsid w:val="001A4EE2"/>
    <w:rsid w:val="001B0642"/>
    <w:rsid w:val="001B0A2D"/>
    <w:rsid w:val="001B0AD9"/>
    <w:rsid w:val="001B3E1C"/>
    <w:rsid w:val="001B41D7"/>
    <w:rsid w:val="001B6CB6"/>
    <w:rsid w:val="001C08FF"/>
    <w:rsid w:val="001C150F"/>
    <w:rsid w:val="001C7CA6"/>
    <w:rsid w:val="001D4F5E"/>
    <w:rsid w:val="001D7A97"/>
    <w:rsid w:val="001E0057"/>
    <w:rsid w:val="001E093B"/>
    <w:rsid w:val="001E135E"/>
    <w:rsid w:val="001E367B"/>
    <w:rsid w:val="001E434A"/>
    <w:rsid w:val="001E5BF4"/>
    <w:rsid w:val="001F1AA4"/>
    <w:rsid w:val="001F282E"/>
    <w:rsid w:val="001F4288"/>
    <w:rsid w:val="001F4A56"/>
    <w:rsid w:val="00201C13"/>
    <w:rsid w:val="002054B8"/>
    <w:rsid w:val="00206679"/>
    <w:rsid w:val="00214BB5"/>
    <w:rsid w:val="00216242"/>
    <w:rsid w:val="00221A74"/>
    <w:rsid w:val="00223576"/>
    <w:rsid w:val="00225970"/>
    <w:rsid w:val="00227AE6"/>
    <w:rsid w:val="00233469"/>
    <w:rsid w:val="00234D5C"/>
    <w:rsid w:val="00235D4F"/>
    <w:rsid w:val="002367B8"/>
    <w:rsid w:val="00241B38"/>
    <w:rsid w:val="002432EB"/>
    <w:rsid w:val="0024387C"/>
    <w:rsid w:val="002515AB"/>
    <w:rsid w:val="002525AC"/>
    <w:rsid w:val="00252842"/>
    <w:rsid w:val="002534AE"/>
    <w:rsid w:val="002609B9"/>
    <w:rsid w:val="002657F0"/>
    <w:rsid w:val="0026767A"/>
    <w:rsid w:val="00270A64"/>
    <w:rsid w:val="002723AC"/>
    <w:rsid w:val="00281E41"/>
    <w:rsid w:val="0028334D"/>
    <w:rsid w:val="00284711"/>
    <w:rsid w:val="002924B2"/>
    <w:rsid w:val="00292E9A"/>
    <w:rsid w:val="00294CCF"/>
    <w:rsid w:val="0029603C"/>
    <w:rsid w:val="002A09BA"/>
    <w:rsid w:val="002A13A4"/>
    <w:rsid w:val="002A2A5D"/>
    <w:rsid w:val="002A438D"/>
    <w:rsid w:val="002A5C22"/>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6FAF"/>
    <w:rsid w:val="002E74DB"/>
    <w:rsid w:val="002F1CE3"/>
    <w:rsid w:val="002F4292"/>
    <w:rsid w:val="002F4AD7"/>
    <w:rsid w:val="002F4DF8"/>
    <w:rsid w:val="002F667E"/>
    <w:rsid w:val="00306079"/>
    <w:rsid w:val="00307C86"/>
    <w:rsid w:val="00307E73"/>
    <w:rsid w:val="003116C6"/>
    <w:rsid w:val="003125FD"/>
    <w:rsid w:val="00313C75"/>
    <w:rsid w:val="003169E3"/>
    <w:rsid w:val="00320622"/>
    <w:rsid w:val="0032160E"/>
    <w:rsid w:val="00323EB3"/>
    <w:rsid w:val="00327064"/>
    <w:rsid w:val="00327AC0"/>
    <w:rsid w:val="00330C19"/>
    <w:rsid w:val="0033152B"/>
    <w:rsid w:val="00332D9B"/>
    <w:rsid w:val="003455BE"/>
    <w:rsid w:val="00353D19"/>
    <w:rsid w:val="00355DBD"/>
    <w:rsid w:val="00357997"/>
    <w:rsid w:val="00360F96"/>
    <w:rsid w:val="003722A8"/>
    <w:rsid w:val="00381CD0"/>
    <w:rsid w:val="00382ED7"/>
    <w:rsid w:val="00387F99"/>
    <w:rsid w:val="003945F1"/>
    <w:rsid w:val="003A2A12"/>
    <w:rsid w:val="003A3EAE"/>
    <w:rsid w:val="003A506B"/>
    <w:rsid w:val="003A50DD"/>
    <w:rsid w:val="003A5EFA"/>
    <w:rsid w:val="003A7C8E"/>
    <w:rsid w:val="003B07F1"/>
    <w:rsid w:val="003B34C8"/>
    <w:rsid w:val="003C18AF"/>
    <w:rsid w:val="003D75F1"/>
    <w:rsid w:val="003D7B5D"/>
    <w:rsid w:val="003E6B1C"/>
    <w:rsid w:val="003E7893"/>
    <w:rsid w:val="003E7F07"/>
    <w:rsid w:val="0040494F"/>
    <w:rsid w:val="00405081"/>
    <w:rsid w:val="00405DF3"/>
    <w:rsid w:val="0040735E"/>
    <w:rsid w:val="00416095"/>
    <w:rsid w:val="00417376"/>
    <w:rsid w:val="00417868"/>
    <w:rsid w:val="00420F59"/>
    <w:rsid w:val="00421FDC"/>
    <w:rsid w:val="004300DA"/>
    <w:rsid w:val="004309B4"/>
    <w:rsid w:val="004311EC"/>
    <w:rsid w:val="00433180"/>
    <w:rsid w:val="004340AF"/>
    <w:rsid w:val="0043520B"/>
    <w:rsid w:val="00435744"/>
    <w:rsid w:val="00440676"/>
    <w:rsid w:val="00441187"/>
    <w:rsid w:val="004428D2"/>
    <w:rsid w:val="004479D2"/>
    <w:rsid w:val="00454089"/>
    <w:rsid w:val="00455D90"/>
    <w:rsid w:val="00456684"/>
    <w:rsid w:val="0045713E"/>
    <w:rsid w:val="00462034"/>
    <w:rsid w:val="0046310D"/>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E3B62"/>
    <w:rsid w:val="004E3F68"/>
    <w:rsid w:val="004E3F79"/>
    <w:rsid w:val="004E49C8"/>
    <w:rsid w:val="004E4E8A"/>
    <w:rsid w:val="004E6E67"/>
    <w:rsid w:val="004F0331"/>
    <w:rsid w:val="004F349E"/>
    <w:rsid w:val="005038E2"/>
    <w:rsid w:val="00507B65"/>
    <w:rsid w:val="00507F94"/>
    <w:rsid w:val="00512815"/>
    <w:rsid w:val="00512E81"/>
    <w:rsid w:val="005130D4"/>
    <w:rsid w:val="00515BC0"/>
    <w:rsid w:val="005161CC"/>
    <w:rsid w:val="00520072"/>
    <w:rsid w:val="00520AC5"/>
    <w:rsid w:val="00521073"/>
    <w:rsid w:val="0052249B"/>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543B"/>
    <w:rsid w:val="005469AA"/>
    <w:rsid w:val="00550EA0"/>
    <w:rsid w:val="005522F3"/>
    <w:rsid w:val="00562490"/>
    <w:rsid w:val="00563208"/>
    <w:rsid w:val="00567312"/>
    <w:rsid w:val="005677B3"/>
    <w:rsid w:val="0057245E"/>
    <w:rsid w:val="00576263"/>
    <w:rsid w:val="00582B57"/>
    <w:rsid w:val="005831F6"/>
    <w:rsid w:val="00583F8C"/>
    <w:rsid w:val="00585F70"/>
    <w:rsid w:val="00592AE3"/>
    <w:rsid w:val="00592DE4"/>
    <w:rsid w:val="00593FD4"/>
    <w:rsid w:val="005943E2"/>
    <w:rsid w:val="005A12D1"/>
    <w:rsid w:val="005A6A86"/>
    <w:rsid w:val="005A6F70"/>
    <w:rsid w:val="005A71CA"/>
    <w:rsid w:val="005B170B"/>
    <w:rsid w:val="005B266D"/>
    <w:rsid w:val="005B2FA2"/>
    <w:rsid w:val="005B56CC"/>
    <w:rsid w:val="005C29CE"/>
    <w:rsid w:val="005D5F2F"/>
    <w:rsid w:val="005E100A"/>
    <w:rsid w:val="005E1B69"/>
    <w:rsid w:val="005E2F64"/>
    <w:rsid w:val="005E3599"/>
    <w:rsid w:val="005E7616"/>
    <w:rsid w:val="005F2AE2"/>
    <w:rsid w:val="005F7217"/>
    <w:rsid w:val="00605A96"/>
    <w:rsid w:val="0061716C"/>
    <w:rsid w:val="00623083"/>
    <w:rsid w:val="00630076"/>
    <w:rsid w:val="006365FA"/>
    <w:rsid w:val="006369F5"/>
    <w:rsid w:val="00645CF7"/>
    <w:rsid w:val="00654C6F"/>
    <w:rsid w:val="00657E22"/>
    <w:rsid w:val="0066546D"/>
    <w:rsid w:val="00667703"/>
    <w:rsid w:val="00671B95"/>
    <w:rsid w:val="0067594F"/>
    <w:rsid w:val="0068108B"/>
    <w:rsid w:val="0068174F"/>
    <w:rsid w:val="0068214A"/>
    <w:rsid w:val="00687F7E"/>
    <w:rsid w:val="0069140D"/>
    <w:rsid w:val="006945D8"/>
    <w:rsid w:val="00695489"/>
    <w:rsid w:val="006968B8"/>
    <w:rsid w:val="006978AC"/>
    <w:rsid w:val="006A0767"/>
    <w:rsid w:val="006A33B4"/>
    <w:rsid w:val="006A5842"/>
    <w:rsid w:val="006A6D74"/>
    <w:rsid w:val="006A6F38"/>
    <w:rsid w:val="006A7D74"/>
    <w:rsid w:val="006B00D1"/>
    <w:rsid w:val="006B0936"/>
    <w:rsid w:val="006B25B5"/>
    <w:rsid w:val="006B335D"/>
    <w:rsid w:val="006B6B40"/>
    <w:rsid w:val="006B7697"/>
    <w:rsid w:val="006B7EBB"/>
    <w:rsid w:val="006C5621"/>
    <w:rsid w:val="006D1ED9"/>
    <w:rsid w:val="006D5FC3"/>
    <w:rsid w:val="006D65EC"/>
    <w:rsid w:val="006D714A"/>
    <w:rsid w:val="006E3768"/>
    <w:rsid w:val="006E497D"/>
    <w:rsid w:val="006E4CEB"/>
    <w:rsid w:val="006E78D5"/>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2B5A"/>
    <w:rsid w:val="00795F8E"/>
    <w:rsid w:val="007A00BE"/>
    <w:rsid w:val="007A04A4"/>
    <w:rsid w:val="007A069C"/>
    <w:rsid w:val="007A33F1"/>
    <w:rsid w:val="007B1082"/>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22EFB"/>
    <w:rsid w:val="008234A2"/>
    <w:rsid w:val="00825031"/>
    <w:rsid w:val="00830343"/>
    <w:rsid w:val="00830605"/>
    <w:rsid w:val="00833A11"/>
    <w:rsid w:val="00840837"/>
    <w:rsid w:val="00842C37"/>
    <w:rsid w:val="00842D09"/>
    <w:rsid w:val="00850F1E"/>
    <w:rsid w:val="00857DFC"/>
    <w:rsid w:val="0086332E"/>
    <w:rsid w:val="00864C3A"/>
    <w:rsid w:val="00865784"/>
    <w:rsid w:val="008664C9"/>
    <w:rsid w:val="00870AAB"/>
    <w:rsid w:val="0087555E"/>
    <w:rsid w:val="008768D1"/>
    <w:rsid w:val="0087780C"/>
    <w:rsid w:val="00877A02"/>
    <w:rsid w:val="00884341"/>
    <w:rsid w:val="00890D27"/>
    <w:rsid w:val="00892DF5"/>
    <w:rsid w:val="008931B2"/>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D7FE2"/>
    <w:rsid w:val="008E238F"/>
    <w:rsid w:val="008E2CA1"/>
    <w:rsid w:val="008E4145"/>
    <w:rsid w:val="008E46B7"/>
    <w:rsid w:val="008E46FC"/>
    <w:rsid w:val="008E7083"/>
    <w:rsid w:val="008E7EA4"/>
    <w:rsid w:val="008F07A2"/>
    <w:rsid w:val="008F604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75EC"/>
    <w:rsid w:val="00955AAA"/>
    <w:rsid w:val="00956F84"/>
    <w:rsid w:val="009572B9"/>
    <w:rsid w:val="00967E9A"/>
    <w:rsid w:val="009706FF"/>
    <w:rsid w:val="009711AF"/>
    <w:rsid w:val="009728D8"/>
    <w:rsid w:val="009737D8"/>
    <w:rsid w:val="00973B96"/>
    <w:rsid w:val="009756DB"/>
    <w:rsid w:val="00975736"/>
    <w:rsid w:val="00982035"/>
    <w:rsid w:val="0098413F"/>
    <w:rsid w:val="00987233"/>
    <w:rsid w:val="00987DC4"/>
    <w:rsid w:val="0099061D"/>
    <w:rsid w:val="00991302"/>
    <w:rsid w:val="00991E5E"/>
    <w:rsid w:val="0099244C"/>
    <w:rsid w:val="009936B3"/>
    <w:rsid w:val="00997BC7"/>
    <w:rsid w:val="009A167F"/>
    <w:rsid w:val="009B30C5"/>
    <w:rsid w:val="009C2FD9"/>
    <w:rsid w:val="009C4D99"/>
    <w:rsid w:val="009D0D59"/>
    <w:rsid w:val="009D42EA"/>
    <w:rsid w:val="009E0857"/>
    <w:rsid w:val="009E42C2"/>
    <w:rsid w:val="009E60A7"/>
    <w:rsid w:val="009E670E"/>
    <w:rsid w:val="009F42B0"/>
    <w:rsid w:val="009F465D"/>
    <w:rsid w:val="009F4976"/>
    <w:rsid w:val="009F6B68"/>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33A2"/>
    <w:rsid w:val="00A676C6"/>
    <w:rsid w:val="00A71127"/>
    <w:rsid w:val="00A82F22"/>
    <w:rsid w:val="00A96536"/>
    <w:rsid w:val="00AA5D9E"/>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4DA3"/>
    <w:rsid w:val="00B05831"/>
    <w:rsid w:val="00B10090"/>
    <w:rsid w:val="00B110A5"/>
    <w:rsid w:val="00B15E34"/>
    <w:rsid w:val="00B174DE"/>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43FE"/>
    <w:rsid w:val="00B75416"/>
    <w:rsid w:val="00B761C3"/>
    <w:rsid w:val="00B77ACF"/>
    <w:rsid w:val="00B871CD"/>
    <w:rsid w:val="00B87E10"/>
    <w:rsid w:val="00B90EEB"/>
    <w:rsid w:val="00B93692"/>
    <w:rsid w:val="00B93B00"/>
    <w:rsid w:val="00BA470B"/>
    <w:rsid w:val="00BA5DB6"/>
    <w:rsid w:val="00BB0CBE"/>
    <w:rsid w:val="00BB4C8D"/>
    <w:rsid w:val="00BB69DB"/>
    <w:rsid w:val="00BC24A0"/>
    <w:rsid w:val="00BC2EFA"/>
    <w:rsid w:val="00BC38F5"/>
    <w:rsid w:val="00BC3BFF"/>
    <w:rsid w:val="00BD048D"/>
    <w:rsid w:val="00BD2497"/>
    <w:rsid w:val="00BD7A96"/>
    <w:rsid w:val="00BD7BDE"/>
    <w:rsid w:val="00BE48E2"/>
    <w:rsid w:val="00BE49E0"/>
    <w:rsid w:val="00BE7249"/>
    <w:rsid w:val="00BF0519"/>
    <w:rsid w:val="00BF0E25"/>
    <w:rsid w:val="00BF29DA"/>
    <w:rsid w:val="00BF2DF7"/>
    <w:rsid w:val="00BF3177"/>
    <w:rsid w:val="00BF4644"/>
    <w:rsid w:val="00C0047C"/>
    <w:rsid w:val="00C00AB3"/>
    <w:rsid w:val="00C01437"/>
    <w:rsid w:val="00C01FD2"/>
    <w:rsid w:val="00C111BE"/>
    <w:rsid w:val="00C235BB"/>
    <w:rsid w:val="00C33367"/>
    <w:rsid w:val="00C3398F"/>
    <w:rsid w:val="00C35777"/>
    <w:rsid w:val="00C40DEA"/>
    <w:rsid w:val="00C43288"/>
    <w:rsid w:val="00C442AB"/>
    <w:rsid w:val="00C4707A"/>
    <w:rsid w:val="00C477E4"/>
    <w:rsid w:val="00C47DF7"/>
    <w:rsid w:val="00C47FAD"/>
    <w:rsid w:val="00C52D75"/>
    <w:rsid w:val="00C55328"/>
    <w:rsid w:val="00C63035"/>
    <w:rsid w:val="00C6339E"/>
    <w:rsid w:val="00C6378F"/>
    <w:rsid w:val="00C71569"/>
    <w:rsid w:val="00C7311D"/>
    <w:rsid w:val="00C73406"/>
    <w:rsid w:val="00C83201"/>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3C45"/>
    <w:rsid w:val="00CD493C"/>
    <w:rsid w:val="00CD4BD0"/>
    <w:rsid w:val="00CE2E62"/>
    <w:rsid w:val="00CE545B"/>
    <w:rsid w:val="00CE5A84"/>
    <w:rsid w:val="00CF06AA"/>
    <w:rsid w:val="00CF7D5F"/>
    <w:rsid w:val="00CF7F09"/>
    <w:rsid w:val="00D00366"/>
    <w:rsid w:val="00D02E66"/>
    <w:rsid w:val="00D06111"/>
    <w:rsid w:val="00D115AD"/>
    <w:rsid w:val="00D11F2E"/>
    <w:rsid w:val="00D15E42"/>
    <w:rsid w:val="00D16C5D"/>
    <w:rsid w:val="00D23A93"/>
    <w:rsid w:val="00D250BB"/>
    <w:rsid w:val="00D26309"/>
    <w:rsid w:val="00D3658C"/>
    <w:rsid w:val="00D440F1"/>
    <w:rsid w:val="00D4536F"/>
    <w:rsid w:val="00D4656F"/>
    <w:rsid w:val="00D536FD"/>
    <w:rsid w:val="00D550B9"/>
    <w:rsid w:val="00D6433C"/>
    <w:rsid w:val="00D66CA8"/>
    <w:rsid w:val="00D71102"/>
    <w:rsid w:val="00D73CA2"/>
    <w:rsid w:val="00D772F5"/>
    <w:rsid w:val="00D77BBF"/>
    <w:rsid w:val="00D80F9F"/>
    <w:rsid w:val="00D8223A"/>
    <w:rsid w:val="00D9419D"/>
    <w:rsid w:val="00D97591"/>
    <w:rsid w:val="00DA0C1C"/>
    <w:rsid w:val="00DA5EC7"/>
    <w:rsid w:val="00DB41AE"/>
    <w:rsid w:val="00DB4914"/>
    <w:rsid w:val="00DB5495"/>
    <w:rsid w:val="00DB5D1E"/>
    <w:rsid w:val="00DB73B3"/>
    <w:rsid w:val="00DC21B3"/>
    <w:rsid w:val="00DC552C"/>
    <w:rsid w:val="00DD41C4"/>
    <w:rsid w:val="00DD7687"/>
    <w:rsid w:val="00DE0605"/>
    <w:rsid w:val="00DE49EA"/>
    <w:rsid w:val="00DE69E4"/>
    <w:rsid w:val="00DE716F"/>
    <w:rsid w:val="00DF5AD0"/>
    <w:rsid w:val="00DF6E8E"/>
    <w:rsid w:val="00E013D8"/>
    <w:rsid w:val="00E01697"/>
    <w:rsid w:val="00E025C1"/>
    <w:rsid w:val="00E0290D"/>
    <w:rsid w:val="00E10D1B"/>
    <w:rsid w:val="00E13E7E"/>
    <w:rsid w:val="00E148B5"/>
    <w:rsid w:val="00E20E5F"/>
    <w:rsid w:val="00E21961"/>
    <w:rsid w:val="00E24B99"/>
    <w:rsid w:val="00E30750"/>
    <w:rsid w:val="00E3248E"/>
    <w:rsid w:val="00E346BB"/>
    <w:rsid w:val="00E34714"/>
    <w:rsid w:val="00E35B44"/>
    <w:rsid w:val="00E37CFC"/>
    <w:rsid w:val="00E4482B"/>
    <w:rsid w:val="00E44967"/>
    <w:rsid w:val="00E4789E"/>
    <w:rsid w:val="00E51C46"/>
    <w:rsid w:val="00E52197"/>
    <w:rsid w:val="00E53BAF"/>
    <w:rsid w:val="00E54058"/>
    <w:rsid w:val="00E5547D"/>
    <w:rsid w:val="00E6042E"/>
    <w:rsid w:val="00E61595"/>
    <w:rsid w:val="00E660A0"/>
    <w:rsid w:val="00E66BF8"/>
    <w:rsid w:val="00E700D4"/>
    <w:rsid w:val="00E75134"/>
    <w:rsid w:val="00E759C7"/>
    <w:rsid w:val="00E77542"/>
    <w:rsid w:val="00E77780"/>
    <w:rsid w:val="00E81D73"/>
    <w:rsid w:val="00E82D57"/>
    <w:rsid w:val="00E83400"/>
    <w:rsid w:val="00E835C9"/>
    <w:rsid w:val="00E906EE"/>
    <w:rsid w:val="00E91D3C"/>
    <w:rsid w:val="00E96F95"/>
    <w:rsid w:val="00E97264"/>
    <w:rsid w:val="00EA3333"/>
    <w:rsid w:val="00EA45B9"/>
    <w:rsid w:val="00EA51B5"/>
    <w:rsid w:val="00EA6A4B"/>
    <w:rsid w:val="00EB0E5C"/>
    <w:rsid w:val="00EB2F9A"/>
    <w:rsid w:val="00EC213A"/>
    <w:rsid w:val="00EC2899"/>
    <w:rsid w:val="00EC51F3"/>
    <w:rsid w:val="00EC6C29"/>
    <w:rsid w:val="00EC6E3E"/>
    <w:rsid w:val="00ED0062"/>
    <w:rsid w:val="00ED0729"/>
    <w:rsid w:val="00ED1480"/>
    <w:rsid w:val="00ED2B8F"/>
    <w:rsid w:val="00ED6C32"/>
    <w:rsid w:val="00EE0538"/>
    <w:rsid w:val="00EE2C5D"/>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B88"/>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3851"/>
    <w:rsid w:val="00F750C4"/>
    <w:rsid w:val="00F75383"/>
    <w:rsid w:val="00F779D0"/>
    <w:rsid w:val="00F83C17"/>
    <w:rsid w:val="00F869D9"/>
    <w:rsid w:val="00F90429"/>
    <w:rsid w:val="00FA188A"/>
    <w:rsid w:val="00FA2553"/>
    <w:rsid w:val="00FA2C24"/>
    <w:rsid w:val="00FA3A14"/>
    <w:rsid w:val="00FA74E4"/>
    <w:rsid w:val="00FB214F"/>
    <w:rsid w:val="00FB2307"/>
    <w:rsid w:val="00FB2B7D"/>
    <w:rsid w:val="00FB6F5A"/>
    <w:rsid w:val="00FB7689"/>
    <w:rsid w:val="00FC385B"/>
    <w:rsid w:val="00FC4212"/>
    <w:rsid w:val="00FC4BB5"/>
    <w:rsid w:val="00FC4E0F"/>
    <w:rsid w:val="00FC4E51"/>
    <w:rsid w:val="00FD0D72"/>
    <w:rsid w:val="00FE2FF7"/>
    <w:rsid w:val="00FE5E4F"/>
    <w:rsid w:val="00FE7FB7"/>
    <w:rsid w:val="00FF292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CE3A1-A87B-4AC8-9488-C0D3862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947</Words>
  <Characters>7433</Characters>
  <Application>Microsoft Office Word</Application>
  <DocSecurity>0</DocSecurity>
  <Lines>571</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Neatliekamās medicīniskās palīdzības dienesta neatliekamās medicīniskās palīdzības nodrošināšanā iesaistītajiem darbiniekiem aprēķina, piešķir un izmaksā izdienas pensijas” sākotnējās ietekmes novērtējum</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Neatliekamās medicīniskās palīdzības dienesta neatliekamās medicīniskās palīdzības nodrošināšanā iesaistītajiem darbiniekiem aprēķina, piešķir un izmaksā izdienas pensijas” sākotnējās ietekmes novērtējuma ziņojums (anotācija)</dc:title>
  <dc:subject>Ministru kabineta noteikumu projekta anotācija</dc:subject>
  <dc:creator>Biruta Kleina</dc:creator>
  <dc:description>67876078, Biruta.Kleina@vm.gov.lv</dc:description>
  <cp:lastModifiedBy>rmarkovska</cp:lastModifiedBy>
  <cp:revision>5</cp:revision>
  <cp:lastPrinted>2015-10-02T07:14:00Z</cp:lastPrinted>
  <dcterms:created xsi:type="dcterms:W3CDTF">2015-12-17T11:23:00Z</dcterms:created>
  <dcterms:modified xsi:type="dcterms:W3CDTF">2015-12-17T11:52:00Z</dcterms:modified>
</cp:coreProperties>
</file>