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FE" w:rsidRPr="00C77523" w:rsidRDefault="00221D60" w:rsidP="00C71014">
      <w:pPr>
        <w:jc w:val="center"/>
        <w:rPr>
          <w:b/>
        </w:rPr>
      </w:pPr>
      <w:bookmarkStart w:id="0" w:name="OLE_LINK4"/>
      <w:bookmarkStart w:id="1" w:name="OLE_LINK5"/>
      <w:bookmarkStart w:id="2" w:name="OLE_LINK6"/>
      <w:r w:rsidRPr="00C77523">
        <w:rPr>
          <w:b/>
          <w:bCs/>
        </w:rPr>
        <w:t xml:space="preserve">Ministru kabineta noteikumu projekta  </w:t>
      </w:r>
      <w:bookmarkStart w:id="3" w:name="OLE_LINK7"/>
      <w:bookmarkStart w:id="4" w:name="OLE_LINK8"/>
      <w:r w:rsidR="0028776D" w:rsidRPr="00C77523">
        <w:rPr>
          <w:b/>
          <w:bCs/>
        </w:rPr>
        <w:t>„Grozījumi Ministru kabineta 2013.gada 17.decembra noteikumos Nr.1529 „Veselības aprūpes organizēšanas un finansēšanas kārtība”</w:t>
      </w:r>
      <w:r w:rsidR="00C71014" w:rsidRPr="00C77523">
        <w:rPr>
          <w:b/>
          <w:bCs/>
        </w:rPr>
        <w:t xml:space="preserve"> </w:t>
      </w:r>
      <w:r w:rsidR="00E571FE" w:rsidRPr="00C77523">
        <w:rPr>
          <w:b/>
        </w:rPr>
        <w:t xml:space="preserve">sākotnējās ietekmes novērtējuma </w:t>
      </w:r>
      <w:smartTag w:uri="schemas-tilde-lv/tildestengine" w:element="veidnes">
        <w:smartTagPr>
          <w:attr w:name="text" w:val="ziņojums"/>
          <w:attr w:name="baseform" w:val="ziņojums"/>
          <w:attr w:name="id" w:val="-1"/>
        </w:smartTagPr>
        <w:r w:rsidR="00E571FE" w:rsidRPr="00C77523">
          <w:rPr>
            <w:b/>
          </w:rPr>
          <w:t>ziņojums</w:t>
        </w:r>
      </w:smartTag>
      <w:r w:rsidR="00E571FE" w:rsidRPr="00C77523">
        <w:rPr>
          <w:b/>
          <w:bCs/>
        </w:rPr>
        <w:t xml:space="preserve"> (anotācija)</w:t>
      </w:r>
    </w:p>
    <w:bookmarkEnd w:id="0"/>
    <w:bookmarkEnd w:id="1"/>
    <w:bookmarkEnd w:id="2"/>
    <w:p w:rsidR="00E571FE" w:rsidRPr="00C77523" w:rsidRDefault="00E571FE" w:rsidP="00BF6E4D">
      <w:pPr>
        <w:pStyle w:val="naisf"/>
        <w:spacing w:before="0" w:beforeAutospacing="0" w:after="0" w:afterAutospacing="0"/>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56"/>
        <w:gridCol w:w="2268"/>
        <w:gridCol w:w="6663"/>
      </w:tblGrid>
      <w:tr w:rsidR="00E571FE" w:rsidRPr="00C77523" w:rsidTr="00E400B7">
        <w:tc>
          <w:tcPr>
            <w:tcW w:w="5000" w:type="pct"/>
            <w:gridSpan w:val="3"/>
            <w:vAlign w:val="center"/>
          </w:tcPr>
          <w:bookmarkEnd w:id="3"/>
          <w:bookmarkEnd w:id="4"/>
          <w:p w:rsidR="00E571FE" w:rsidRPr="00C77523" w:rsidRDefault="00E571FE" w:rsidP="00BF6E4D">
            <w:pPr>
              <w:jc w:val="center"/>
              <w:rPr>
                <w:b/>
                <w:bCs/>
                <w:lang w:eastAsia="lv-LV"/>
              </w:rPr>
            </w:pPr>
            <w:r w:rsidRPr="00C77523">
              <w:rPr>
                <w:b/>
                <w:bCs/>
                <w:lang w:eastAsia="lv-LV"/>
              </w:rPr>
              <w:t>I. Tiesību akta projekta izstrādes nepieciešamība</w:t>
            </w:r>
          </w:p>
        </w:tc>
      </w:tr>
      <w:tr w:rsidR="00E571FE" w:rsidRPr="00C77523" w:rsidTr="00E400B7">
        <w:tc>
          <w:tcPr>
            <w:tcW w:w="243" w:type="pct"/>
          </w:tcPr>
          <w:p w:rsidR="00E571FE" w:rsidRPr="00C77523" w:rsidRDefault="00E571FE" w:rsidP="00BF6E4D">
            <w:pPr>
              <w:jc w:val="center"/>
              <w:rPr>
                <w:lang w:eastAsia="lv-LV"/>
              </w:rPr>
            </w:pPr>
            <w:r w:rsidRPr="00C77523">
              <w:rPr>
                <w:lang w:eastAsia="lv-LV"/>
              </w:rPr>
              <w:t>1.</w:t>
            </w:r>
          </w:p>
        </w:tc>
        <w:tc>
          <w:tcPr>
            <w:tcW w:w="1208" w:type="pct"/>
          </w:tcPr>
          <w:p w:rsidR="00E571FE" w:rsidRPr="00C77523" w:rsidRDefault="00E571FE" w:rsidP="00BF6E4D">
            <w:pPr>
              <w:jc w:val="both"/>
              <w:rPr>
                <w:lang w:eastAsia="lv-LV"/>
              </w:rPr>
            </w:pPr>
            <w:r w:rsidRPr="00C77523">
              <w:rPr>
                <w:lang w:eastAsia="lv-LV"/>
              </w:rPr>
              <w:t>Pamatojums</w:t>
            </w:r>
          </w:p>
        </w:tc>
        <w:tc>
          <w:tcPr>
            <w:tcW w:w="3548" w:type="pct"/>
          </w:tcPr>
          <w:p w:rsidR="00C71014" w:rsidRPr="00C77523" w:rsidRDefault="005B1927" w:rsidP="00812472">
            <w:pPr>
              <w:ind w:firstLine="252"/>
              <w:jc w:val="both"/>
              <w:rPr>
                <w:iCs/>
              </w:rPr>
            </w:pPr>
            <w:r w:rsidRPr="00C77523">
              <w:rPr>
                <w:iCs/>
              </w:rPr>
              <w:t>Ārstniecības likuma 4.panta pirmā daļa</w:t>
            </w:r>
            <w:r w:rsidR="009E2C0B" w:rsidRPr="00C77523">
              <w:rPr>
                <w:iCs/>
              </w:rPr>
              <w:t>.</w:t>
            </w:r>
          </w:p>
          <w:p w:rsidR="00A4359A" w:rsidRPr="00C77523" w:rsidRDefault="00A4359A" w:rsidP="00A4359A">
            <w:pPr>
              <w:ind w:firstLine="252"/>
              <w:jc w:val="both"/>
              <w:rPr>
                <w:iCs/>
              </w:rPr>
            </w:pPr>
            <w:r w:rsidRPr="00C77523">
              <w:rPr>
                <w:iCs/>
              </w:rPr>
              <w:t>Likums „Par valsts budžetu 2016.gadam”.</w:t>
            </w:r>
          </w:p>
        </w:tc>
      </w:tr>
      <w:tr w:rsidR="00E571FE" w:rsidRPr="00C77523" w:rsidTr="00E400B7">
        <w:tc>
          <w:tcPr>
            <w:tcW w:w="243" w:type="pct"/>
          </w:tcPr>
          <w:p w:rsidR="00E571FE" w:rsidRPr="00C77523" w:rsidRDefault="00E571FE" w:rsidP="00BF6E4D">
            <w:pPr>
              <w:jc w:val="center"/>
              <w:rPr>
                <w:lang w:eastAsia="lv-LV"/>
              </w:rPr>
            </w:pPr>
            <w:r w:rsidRPr="00C77523">
              <w:rPr>
                <w:lang w:eastAsia="lv-LV"/>
              </w:rPr>
              <w:t>2.</w:t>
            </w:r>
          </w:p>
        </w:tc>
        <w:tc>
          <w:tcPr>
            <w:tcW w:w="1208" w:type="pct"/>
          </w:tcPr>
          <w:p w:rsidR="00E571FE" w:rsidRPr="00C77523" w:rsidRDefault="00E571FE" w:rsidP="00BF6E4D">
            <w:pPr>
              <w:jc w:val="both"/>
              <w:rPr>
                <w:lang w:eastAsia="lv-LV"/>
              </w:rPr>
            </w:pPr>
            <w:r w:rsidRPr="00C77523">
              <w:rPr>
                <w:lang w:eastAsia="lv-LV"/>
              </w:rPr>
              <w:t xml:space="preserve">Pašreizējā situācija </w:t>
            </w:r>
            <w:r w:rsidRPr="00C77523">
              <w:t>un problēmas, kuru risināšanai tiesību akta projekts izstrādāts, tiesiskā regulējuma mērķis un būtība</w:t>
            </w:r>
          </w:p>
        </w:tc>
        <w:tc>
          <w:tcPr>
            <w:tcW w:w="3548" w:type="pct"/>
          </w:tcPr>
          <w:p w:rsidR="00A07B81" w:rsidRPr="00C77523" w:rsidRDefault="00A07B81" w:rsidP="00A07B81">
            <w:pPr>
              <w:ind w:firstLine="252"/>
              <w:jc w:val="both"/>
            </w:pPr>
            <w:r w:rsidRPr="00C77523">
              <w:t>Kārtību, kādā iedzīvotāji saņem valsts apmaksātos veselības aprūpes pakalpojumus nosaka Ministru kabineta 2013.gada 17.decembra noteikumi Nr.</w:t>
            </w:r>
            <w:r w:rsidR="00474164" w:rsidRPr="00C77523">
              <w:t>1529</w:t>
            </w:r>
            <w:r w:rsidRPr="00C77523">
              <w:t xml:space="preserve"> „Veselības aprūpes organizēšanas un finansēšanas kārtība”</w:t>
            </w:r>
            <w:r w:rsidRPr="00C77523">
              <w:rPr>
                <w:bCs/>
              </w:rPr>
              <w:t xml:space="preserve"> (turpmāk – noteikumi).</w:t>
            </w:r>
            <w:r w:rsidRPr="00C77523">
              <w:t xml:space="preserve"> </w:t>
            </w:r>
          </w:p>
          <w:p w:rsidR="00EB2D83" w:rsidRPr="00C77523" w:rsidRDefault="00EB2D83" w:rsidP="00A07B81">
            <w:pPr>
              <w:ind w:firstLine="252"/>
              <w:jc w:val="both"/>
            </w:pPr>
            <w:r w:rsidRPr="00C77523">
              <w:t>Veselības ministrija noteiktā kārtībā ir sagatavojusi Ministru kabineta noteikumu projektu „Grozījumi Ministru kabineta 2013.gada 17.decembra noteikumos Nr.1529 „Veselības aprūpes organizēšanas un finansēšanas kārtība” (turpmāk – noteikumu projekts)</w:t>
            </w:r>
            <w:r w:rsidR="00F165C4" w:rsidRPr="00C77523">
              <w:t xml:space="preserve"> ar mērķi pilnveidot noteikumos iekļautās normas atbilstoši ekonomiskai un finanšu situācijai veselības aprūpes nozarē</w:t>
            </w:r>
            <w:r w:rsidRPr="00C77523">
              <w:t>. Noteikumu projektā ietverti šādi grozījumi:</w:t>
            </w:r>
          </w:p>
          <w:p w:rsidR="00EB2D83" w:rsidRPr="00C77523" w:rsidRDefault="00A86D19" w:rsidP="00A07B81">
            <w:pPr>
              <w:ind w:firstLine="252"/>
              <w:jc w:val="both"/>
            </w:pPr>
            <w:r w:rsidRPr="00C77523">
              <w:t xml:space="preserve">Noteikumu 11.punktā noteikti tie pakalpojumi, kurus neapmaksā no valsts budžeta, kā arī izņēmuma gadījumi, kurus apmaksā no valsts budžeta. </w:t>
            </w:r>
            <w:r w:rsidR="0040147B" w:rsidRPr="00C77523">
              <w:t xml:space="preserve">Noteikumu 11.11.apakšpunktā ir noteikti kritēriji atbilstoši kuriem no valsts budžeta </w:t>
            </w:r>
            <w:r w:rsidR="00BC72EB" w:rsidRPr="00C77523">
              <w:t xml:space="preserve">līdzekļiem </w:t>
            </w:r>
            <w:r w:rsidR="0040147B" w:rsidRPr="00C77523">
              <w:t xml:space="preserve">bērniem </w:t>
            </w:r>
            <w:r w:rsidR="001C24F9" w:rsidRPr="00C77523">
              <w:t xml:space="preserve">ar noteiktām diagnozēm </w:t>
            </w:r>
            <w:r w:rsidR="0040147B" w:rsidRPr="00C77523">
              <w:t>tiek apmaksāt</w:t>
            </w:r>
            <w:r w:rsidR="00BC72EB" w:rsidRPr="00C77523">
              <w:t>as briļļu lēcas, briļļu ietvar</w:t>
            </w:r>
            <w:r w:rsidR="001C24F9" w:rsidRPr="00C77523">
              <w:t>i</w:t>
            </w:r>
            <w:r w:rsidR="00BC72EB" w:rsidRPr="00C77523">
              <w:t xml:space="preserve"> un kontaktlēcas</w:t>
            </w:r>
            <w:r w:rsidR="001C24F9" w:rsidRPr="00C77523">
              <w:t>.</w:t>
            </w:r>
            <w:r w:rsidR="00BC72EB" w:rsidRPr="00C77523">
              <w:t xml:space="preserve"> Noteikumu projektā precizēts, </w:t>
            </w:r>
            <w:r w:rsidR="001C24F9" w:rsidRPr="00C77523">
              <w:t xml:space="preserve">ka bērniem </w:t>
            </w:r>
            <w:r w:rsidR="00BC72EB" w:rsidRPr="00C77523">
              <w:t xml:space="preserve">nodrošina </w:t>
            </w:r>
            <w:r w:rsidR="001C24F9" w:rsidRPr="00C77523">
              <w:t xml:space="preserve">ne tikai </w:t>
            </w:r>
            <w:r w:rsidR="00BC72EB" w:rsidRPr="00C77523">
              <w:t xml:space="preserve">optikas izstrādājumu iegādi, </w:t>
            </w:r>
            <w:r w:rsidR="001C24F9" w:rsidRPr="00C77523">
              <w:t xml:space="preserve">bet arī </w:t>
            </w:r>
            <w:r w:rsidR="00BC72EB" w:rsidRPr="00C77523">
              <w:t xml:space="preserve">no valsts budžeta līdzekļiem (aprūpes epizodes ietvaros) tiek apmaksāta </w:t>
            </w:r>
            <w:r w:rsidR="001C24F9" w:rsidRPr="00C77523">
              <w:t>redzes asumu koriģējošu optikas izstrādājumu izrakstīšana</w:t>
            </w:r>
            <w:r w:rsidR="00BC72EB" w:rsidRPr="00C77523">
              <w:t xml:space="preserve">. </w:t>
            </w:r>
            <w:r w:rsidR="00BF034F" w:rsidRPr="00C77523">
              <w:t xml:space="preserve">Ar izmaiņām noteikumu 11.18.apakšpunktā paredzēts papildināt valsts apmaksāto veselības aprūpes pakalpojumu apjomu, nosakot, ka no valsts budžeta līdzekļiem tiek apmaksāta arī aknu transplantācija pieaugušajiem. </w:t>
            </w:r>
            <w:r w:rsidR="00372F3E" w:rsidRPr="00C77523">
              <w:t xml:space="preserve">Savukārt </w:t>
            </w:r>
            <w:r w:rsidR="001C0C2C" w:rsidRPr="00C77523">
              <w:t xml:space="preserve">noteikumu projektā, izsakot </w:t>
            </w:r>
            <w:r w:rsidRPr="00C77523">
              <w:t>11.29.apakšpunkt</w:t>
            </w:r>
            <w:r w:rsidR="001C0C2C" w:rsidRPr="00C77523">
              <w:t xml:space="preserve">u jaunā redakcijā, </w:t>
            </w:r>
            <w:r w:rsidR="002C6A3E" w:rsidRPr="00C77523">
              <w:t>precīz</w:t>
            </w:r>
            <w:r w:rsidR="00BF034F" w:rsidRPr="00C77523">
              <w:t>āk</w:t>
            </w:r>
            <w:r w:rsidR="002C6A3E" w:rsidRPr="00C77523">
              <w:t xml:space="preserve"> </w:t>
            </w:r>
            <w:r w:rsidRPr="00C77523">
              <w:t>noteikt</w:t>
            </w:r>
            <w:r w:rsidR="001C0C2C" w:rsidRPr="00C77523">
              <w:t>a</w:t>
            </w:r>
            <w:r w:rsidRPr="00C77523">
              <w:t xml:space="preserve"> tā ķirurģiskā palīdzība, kura tiek apmaksāta  </w:t>
            </w:r>
            <w:r w:rsidR="002C6A3E" w:rsidRPr="00C77523">
              <w:t>no valsts budžeta</w:t>
            </w:r>
            <w:r w:rsidR="003D1813" w:rsidRPr="00C77523">
              <w:t xml:space="preserve"> ambulatorajā veselības aprūpē un stacionārajā veselības aprūpē</w:t>
            </w:r>
            <w:r w:rsidR="001C0C2C" w:rsidRPr="00C77523">
              <w:t>, bet 11.35.apakšpunkts papildināts ar nosacījumu, ka no valsts budžeta līdzekļiem neapmaksā nākamās medicīniskās apaugļošanas procedūras, ja divas reizes pēc kārtas veiktai medicīniskās apaugļošanas procedūrai nav bijis veiksmīgs rezultāts. Šādā gadījumā izredzes uz pozitīvu rezultātu būtiski samazinās, līdz ar to tiek novērsta situācija, ka valsts finansējums tiek tērēts neefektīvi.</w:t>
            </w:r>
          </w:p>
          <w:p w:rsidR="00D34140" w:rsidRPr="00C77523" w:rsidRDefault="00D34140" w:rsidP="00D34140">
            <w:pPr>
              <w:ind w:firstLine="252"/>
              <w:jc w:val="both"/>
            </w:pPr>
            <w:r w:rsidRPr="00C77523">
              <w:t>Noteikumu 13.1.apakšpunktā noteikts, ka Aizsardzības ministrija sedz maksu par veselības aprūpes pakalpojumiem šādām personām:</w:t>
            </w:r>
          </w:p>
          <w:p w:rsidR="00D34140" w:rsidRPr="00C77523" w:rsidRDefault="00D34140" w:rsidP="00D34140">
            <w:pPr>
              <w:ind w:firstLine="252"/>
              <w:jc w:val="both"/>
            </w:pPr>
            <w:r w:rsidRPr="00C77523">
              <w:t>-</w:t>
            </w:r>
            <w:r w:rsidRPr="00C77523">
              <w:tab/>
              <w:t xml:space="preserve">profesionālā dienesta karavīriem un zemessargiem; </w:t>
            </w:r>
          </w:p>
          <w:p w:rsidR="00D34140" w:rsidRPr="00C77523" w:rsidRDefault="00D34140" w:rsidP="00D34140">
            <w:pPr>
              <w:ind w:firstLine="252"/>
              <w:jc w:val="both"/>
            </w:pPr>
            <w:r w:rsidRPr="00C77523">
              <w:t>-</w:t>
            </w:r>
            <w:r w:rsidRPr="00C77523">
              <w:tab/>
              <w:t xml:space="preserve">atvaļinātajiem karavīriem un bijušajiem zemessargiem; </w:t>
            </w:r>
          </w:p>
          <w:p w:rsidR="00D34140" w:rsidRPr="00C77523" w:rsidRDefault="00D34140" w:rsidP="00D34140">
            <w:pPr>
              <w:ind w:firstLine="252"/>
              <w:jc w:val="both"/>
            </w:pPr>
            <w:r w:rsidRPr="00C77523">
              <w:t>-</w:t>
            </w:r>
            <w:r w:rsidRPr="00C77523">
              <w:tab/>
              <w:t>Ziemeļatlantijas līguma organizācijas dalībvalstu un valstu, kas piedalās programmā "Partnerattiecības – mieram" bruņoto spēku karavīriem;</w:t>
            </w:r>
          </w:p>
          <w:p w:rsidR="00D34140" w:rsidRPr="00C77523" w:rsidRDefault="00D34140" w:rsidP="00D34140">
            <w:pPr>
              <w:ind w:firstLine="252"/>
              <w:jc w:val="both"/>
            </w:pPr>
            <w:r w:rsidRPr="00C77523">
              <w:lastRenderedPageBreak/>
              <w:t>-</w:t>
            </w:r>
            <w:r w:rsidRPr="00C77523">
              <w:tab/>
              <w:t xml:space="preserve">profesionālā dienesta kandidātiem, rezerves karavīriem un rezervistiem, iesaucot aktīvajā dienestā, un zemessardzes kandidātiem. </w:t>
            </w:r>
          </w:p>
          <w:p w:rsidR="003D1813" w:rsidRPr="00C77523" w:rsidRDefault="00D34140" w:rsidP="003D1813">
            <w:pPr>
              <w:ind w:firstLine="252"/>
              <w:jc w:val="both"/>
            </w:pPr>
            <w:r w:rsidRPr="00C77523">
              <w:t>Pamatojoties uz Militārā dienesta likuma 17.¹ panta</w:t>
            </w:r>
            <w:r w:rsidR="00885D5F">
              <w:t xml:space="preserve"> piektās daļas </w:t>
            </w:r>
            <w:r w:rsidRPr="00C77523">
              <w:t xml:space="preserve"> pilnvarojumu</w:t>
            </w:r>
            <w:r w:rsidR="006B38F1" w:rsidRPr="00C77523">
              <w:t xml:space="preserve">, Aizsardzības ministrija ir </w:t>
            </w:r>
            <w:r w:rsidRPr="00C77523">
              <w:t>izstrādā</w:t>
            </w:r>
            <w:r w:rsidR="006B38F1" w:rsidRPr="00C77523">
              <w:t>jusi</w:t>
            </w:r>
            <w:r w:rsidRPr="00C77523">
              <w:t xml:space="preserve"> Ministru kabineta noteikumu projekt</w:t>
            </w:r>
            <w:r w:rsidR="006B38F1" w:rsidRPr="00C77523">
              <w:t>u</w:t>
            </w:r>
            <w:r w:rsidRPr="00C77523">
              <w:t xml:space="preserve"> „Noteikumi par jaunsargiem apmaksājamiem veselības aprūpes pakalpojumiem, to saņemšanas nosacījumiem un samaksas kārtību”. </w:t>
            </w:r>
            <w:r w:rsidR="006B38F1" w:rsidRPr="00C77523">
              <w:t>S</w:t>
            </w:r>
            <w:r w:rsidRPr="00C77523">
              <w:t xml:space="preserve">askaņā ar Aizsardzības ministrijas ierosinājumu, noteikumi </w:t>
            </w:r>
            <w:r w:rsidR="006B38F1" w:rsidRPr="00C77523">
              <w:t xml:space="preserve">papildināti ar </w:t>
            </w:r>
            <w:r w:rsidRPr="00C77523">
              <w:t>13.1.5.apakšpunktu, paredzot Aizsardzības ministrija</w:t>
            </w:r>
            <w:r w:rsidR="006B38F1" w:rsidRPr="00C77523">
              <w:t>i</w:t>
            </w:r>
            <w:r w:rsidRPr="00C77523">
              <w:t xml:space="preserve"> pienākumu segt maksu par veselības aprūpes pakalpojumiem arī jaunsargiem saskaņā ar Ministru kabineta noteikumiem</w:t>
            </w:r>
            <w:r w:rsidR="006B38F1" w:rsidRPr="00C77523">
              <w:t xml:space="preserve">, kas nosaka </w:t>
            </w:r>
            <w:r w:rsidRPr="00C77523">
              <w:t>jaunsargiem apmaksājam</w:t>
            </w:r>
            <w:r w:rsidR="006B38F1" w:rsidRPr="00C77523">
              <w:t>os</w:t>
            </w:r>
            <w:r w:rsidRPr="00C77523">
              <w:t xml:space="preserve"> veselības aprūpes pakalpojum</w:t>
            </w:r>
            <w:r w:rsidR="006B38F1" w:rsidRPr="00C77523">
              <w:t>us</w:t>
            </w:r>
            <w:r w:rsidRPr="00C77523">
              <w:t>, to saņemšanas nosacījum</w:t>
            </w:r>
            <w:r w:rsidR="006B38F1" w:rsidRPr="00C77523">
              <w:t>us</w:t>
            </w:r>
            <w:r w:rsidRPr="00C77523">
              <w:t xml:space="preserve"> un atlīdzināšanas kārtību.</w:t>
            </w:r>
            <w:r w:rsidR="003D1813" w:rsidRPr="00C77523">
              <w:t xml:space="preserve"> Jaunā kārtība noteiks jaunsargiem papildus iespējas saņemt no aizsardzības jomai paredzētajiem līdzekļiem finansētus veselības aprūpes pakalpojumus, bet nemainīs kārtību, kādā jaunsargi saņem no veselības aprūpei paredzētajiem līdzekļiem apmaksātus veselības aprūpes pakalpojumus. </w:t>
            </w:r>
          </w:p>
          <w:p w:rsidR="00EB2D83" w:rsidRPr="00C77523" w:rsidRDefault="003D1813" w:rsidP="003D1813">
            <w:pPr>
              <w:ind w:firstLine="252"/>
              <w:jc w:val="both"/>
            </w:pPr>
            <w:r w:rsidRPr="00C77523">
              <w:t>Ņemot vērā, ka ar 2015.gadu ieviests jauns stacionāro veselības aprūpes pakalpojumu apmaksas veids (DRG sistēma), tad i</w:t>
            </w:r>
            <w:r w:rsidR="009B3D79" w:rsidRPr="00C77523">
              <w:t>zsakot noteikumu 14.3.apakšpunktu jaunā redakcijā, precizēta apmaksas kārtība, atbilstoši kurai regresa kārtībā piedzen izdevumus no vainīgās personas par personai sniegtajiem stacionārajiem veselības aprūpes pakalpojumiem saistībā ar personai nodarīto kaitējumu prettiesiskas darbības, bezdarbības vai noziedzīga darījuma rezultātā</w:t>
            </w:r>
            <w:r w:rsidR="00FA4EAF" w:rsidRPr="00C77523">
              <w:t>.</w:t>
            </w:r>
            <w:r w:rsidR="009B3D79" w:rsidRPr="00C77523">
              <w:t xml:space="preserve">   </w:t>
            </w:r>
          </w:p>
          <w:p w:rsidR="00FA4EAF" w:rsidRPr="00C77523" w:rsidRDefault="00FA4EAF" w:rsidP="00A07B81">
            <w:pPr>
              <w:ind w:firstLine="252"/>
              <w:jc w:val="both"/>
            </w:pPr>
            <w:r w:rsidRPr="00C77523">
              <w:t xml:space="preserve">Noteikumu 23.11.apakšpunktā papildus nosauktas tās pasīvās imūnterapijas vakcinācijas, kuras persona saņem vakcinācijas kalendāra ietvaros (stinguma krampju neatliekamā profilakse, </w:t>
            </w:r>
            <w:proofErr w:type="spellStart"/>
            <w:r w:rsidRPr="00C77523">
              <w:t>pēcekspozīcijas</w:t>
            </w:r>
            <w:proofErr w:type="spellEnd"/>
            <w:r w:rsidRPr="00C77523">
              <w:t xml:space="preserve"> imunizācija pret trakumsērgu).</w:t>
            </w:r>
          </w:p>
          <w:p w:rsidR="00EB2D83" w:rsidRPr="00C77523" w:rsidRDefault="00801216" w:rsidP="00A07B81">
            <w:pPr>
              <w:ind w:firstLine="252"/>
              <w:jc w:val="both"/>
            </w:pPr>
            <w:r w:rsidRPr="00C77523">
              <w:t>Noteikumi papildināti ar jaunu 39.</w:t>
            </w:r>
            <w:r w:rsidRPr="00C77523">
              <w:rPr>
                <w:vertAlign w:val="superscript"/>
              </w:rPr>
              <w:t>1</w:t>
            </w:r>
            <w:r w:rsidRPr="00C77523">
              <w:t>punktu, jo p</w:t>
            </w:r>
            <w:r w:rsidR="00FA4EAF" w:rsidRPr="00C77523">
              <w:t>ašreiz spēkā esošais normatīvais regulējums nenosaka, kam un kādā kārtībā jārīkojas ar ambulatoro pacientu kartēm gadījumā, ja prakse beidz pastāvēt ārsta nāves gadījumā. Šāda situācija ietekmē attiecīgā ģimenes ārsta pacientus, jo nereti ir situācijas, kad pacientam jāturpina iepriekš uzsākta ārstēšana, kas tiek veikta, pamatojoties uz iepriekš veiktiem izmeklējumiem, dati par kuriem apkopoti ambulatorā pacienta kartē, bet tā nav pieejama ne pacientam, ne citām personām, jo atrodas telpās, kuras līdz savai nāvei izmantoja un par kurām bija atbildīgs ģimenes ārsts.</w:t>
            </w:r>
            <w:r w:rsidRPr="00C77523">
              <w:t xml:space="preserve"> </w:t>
            </w:r>
          </w:p>
          <w:p w:rsidR="00B32E4E" w:rsidRPr="00C77523" w:rsidRDefault="00801216" w:rsidP="00801216">
            <w:pPr>
              <w:ind w:firstLine="252"/>
              <w:jc w:val="both"/>
            </w:pPr>
            <w:r w:rsidRPr="00C77523">
              <w:t>Izsakot noteikumu 40.punktu jaunā redakcijā, noteikumos tiek iekļauts aizsargmehānisms ģimenes ārstam</w:t>
            </w:r>
            <w:r w:rsidR="00B32E4E" w:rsidRPr="00C77523">
              <w:t xml:space="preserve">, kad tas </w:t>
            </w:r>
            <w:r w:rsidRPr="00C77523">
              <w:t xml:space="preserve">pārņem daļu no cita ģimenes ārsta darbības </w:t>
            </w:r>
            <w:proofErr w:type="spellStart"/>
            <w:r w:rsidRPr="00C77523">
              <w:t>pamatteritorijā</w:t>
            </w:r>
            <w:proofErr w:type="spellEnd"/>
            <w:r w:rsidRPr="00C77523">
              <w:t xml:space="preserve"> dzīvojošie</w:t>
            </w:r>
            <w:r w:rsidR="00B32E4E" w:rsidRPr="00C77523">
              <w:t>m</w:t>
            </w:r>
            <w:r w:rsidRPr="00C77523">
              <w:t xml:space="preserve"> pacienti</w:t>
            </w:r>
            <w:r w:rsidR="00B32E4E" w:rsidRPr="00C77523">
              <w:t>em</w:t>
            </w:r>
            <w:r w:rsidRPr="00C77523">
              <w:t xml:space="preserve"> un</w:t>
            </w:r>
            <w:r w:rsidR="00B32E4E" w:rsidRPr="00C77523">
              <w:t xml:space="preserve"> ar tiem </w:t>
            </w:r>
            <w:r w:rsidRPr="00C77523">
              <w:t>nav noslēgta vienošanās</w:t>
            </w:r>
            <w:r w:rsidR="00B32E4E" w:rsidRPr="00C77523">
              <w:t>,</w:t>
            </w:r>
            <w:r w:rsidRPr="00C77523">
              <w:t xml:space="preserve"> kā tiks nodrošinātas mājas vizītes.</w:t>
            </w:r>
            <w:r w:rsidR="00B32E4E" w:rsidRPr="00C77523">
              <w:t xml:space="preserve"> </w:t>
            </w:r>
            <w:r w:rsidR="003D1813" w:rsidRPr="00C77523">
              <w:t>P</w:t>
            </w:r>
            <w:r w:rsidR="00B32E4E" w:rsidRPr="00C77523">
              <w:t xml:space="preserve">acienti, kas nedzīvo ģimenes ārsta </w:t>
            </w:r>
            <w:proofErr w:type="spellStart"/>
            <w:r w:rsidR="00B32E4E" w:rsidRPr="00C77523">
              <w:t>pamatteritorijā</w:t>
            </w:r>
            <w:proofErr w:type="spellEnd"/>
            <w:r w:rsidR="003D1813" w:rsidRPr="00C77523">
              <w:t>, netiek pārreģistrēti pie jaunā ģimenes ārsta un tiem pašiem jāizvēlas ģimenes ārstu, kurš turpmāk sniegs tiem primārās veselības aprūpes pakalpojumus,</w:t>
            </w:r>
            <w:r w:rsidR="00B32E4E" w:rsidRPr="00C77523">
              <w:t xml:space="preserve"> tai skaitā</w:t>
            </w:r>
            <w:r w:rsidR="003D1813" w:rsidRPr="00C77523">
              <w:t xml:space="preserve"> nodrošinās</w:t>
            </w:r>
            <w:r w:rsidR="00B32E4E" w:rsidRPr="00C77523">
              <w:t xml:space="preserve"> arī mājas vizīt</w:t>
            </w:r>
            <w:r w:rsidR="003D1813" w:rsidRPr="00C77523">
              <w:t>es</w:t>
            </w:r>
            <w:r w:rsidR="00B32E4E" w:rsidRPr="00C77523">
              <w:t>.</w:t>
            </w:r>
          </w:p>
          <w:p w:rsidR="00B32E4E" w:rsidRPr="00C77523" w:rsidRDefault="006E694B" w:rsidP="00A07B81">
            <w:pPr>
              <w:ind w:firstLine="252"/>
              <w:jc w:val="both"/>
            </w:pPr>
            <w:r w:rsidRPr="00C77523">
              <w:t>Papildinot noteikumus ar 49.1.</w:t>
            </w:r>
            <w:r w:rsidRPr="00C77523">
              <w:rPr>
                <w:vertAlign w:val="superscript"/>
              </w:rPr>
              <w:t>1</w:t>
            </w:r>
            <w:r w:rsidRPr="00C77523">
              <w:t>apakšpunku un precizējot noteikumu 50.punkta ievaddaļu noteikumos precizēti gadījumi, kad bloķētiem pacientiem pienākas tāda pati veselības aprūpe kā reģistrētiem pacientiem.</w:t>
            </w:r>
          </w:p>
          <w:p w:rsidR="00B32E4E" w:rsidRPr="00C77523" w:rsidRDefault="006E694B" w:rsidP="00A07B81">
            <w:pPr>
              <w:ind w:firstLine="252"/>
              <w:jc w:val="both"/>
            </w:pPr>
            <w:r w:rsidRPr="00C77523">
              <w:t>Noteikumu 53.punkt</w:t>
            </w:r>
            <w:r w:rsidR="005140E0" w:rsidRPr="00C77523">
              <w:t>ā ietverti nosacījumi</w:t>
            </w:r>
            <w:r w:rsidRPr="00C77523">
              <w:t>, atbilstoši kur</w:t>
            </w:r>
            <w:r w:rsidR="005140E0" w:rsidRPr="00C77523">
              <w:t>iem</w:t>
            </w:r>
            <w:r w:rsidRPr="00C77523">
              <w:t xml:space="preserve"> </w:t>
            </w:r>
            <w:r w:rsidR="005140E0" w:rsidRPr="00C77523">
              <w:t>ģ</w:t>
            </w:r>
            <w:r w:rsidRPr="00C77523">
              <w:t>imenes ārsts kopīgi ar māsu vai ārsta palīgu (feldšeri) nodrošina pacientiem veselības aprūpes pakalpojumus ģimenes ārsta prakses vietā vai darbavietā (ja ģimenes ārsts ir darbinieks ārstniecības iestādē) un pacientu dzīvesvietās</w:t>
            </w:r>
            <w:r w:rsidR="005140E0" w:rsidRPr="00C77523">
              <w:t xml:space="preserve">, tai skaitā 53.1.apakšpunkts nosaka ģimenes ārsta </w:t>
            </w:r>
            <w:r w:rsidR="00D62975" w:rsidRPr="00C77523">
              <w:t>pacientu pieņemšanas laiku.</w:t>
            </w:r>
            <w:r w:rsidR="005140E0" w:rsidRPr="00C77523">
              <w:t xml:space="preserve"> Papildinot noteikumu </w:t>
            </w:r>
            <w:r w:rsidR="00D62975" w:rsidRPr="00C77523">
              <w:t>53.1.apakšpunkt</w:t>
            </w:r>
            <w:r w:rsidR="00BA7847" w:rsidRPr="00C77523">
              <w:t xml:space="preserve">u </w:t>
            </w:r>
            <w:r w:rsidR="005140E0" w:rsidRPr="00C77523">
              <w:t>ar jauniem apakšpunktiem</w:t>
            </w:r>
            <w:r w:rsidR="00D62975" w:rsidRPr="00C77523">
              <w:t xml:space="preserve"> (</w:t>
            </w:r>
            <w:r w:rsidR="005140E0" w:rsidRPr="00C77523">
              <w:t>53.1.4.</w:t>
            </w:r>
            <w:r w:rsidR="005140E0" w:rsidRPr="00C77523">
              <w:rPr>
                <w:vertAlign w:val="superscript"/>
              </w:rPr>
              <w:t>1</w:t>
            </w:r>
            <w:r w:rsidR="005140E0" w:rsidRPr="00C77523">
              <w:t>,</w:t>
            </w:r>
            <w:r w:rsidR="005140E0" w:rsidRPr="00C77523">
              <w:rPr>
                <w:vertAlign w:val="superscript"/>
              </w:rPr>
              <w:t xml:space="preserve">  </w:t>
            </w:r>
            <w:r w:rsidR="005140E0" w:rsidRPr="00C77523">
              <w:t>53.1.4.</w:t>
            </w:r>
            <w:r w:rsidR="005140E0" w:rsidRPr="00C77523">
              <w:rPr>
                <w:vertAlign w:val="superscript"/>
              </w:rPr>
              <w:t>2</w:t>
            </w:r>
            <w:r w:rsidR="005140E0" w:rsidRPr="00C77523">
              <w:t>, 53.1.4.</w:t>
            </w:r>
            <w:r w:rsidR="005140E0" w:rsidRPr="00C77523">
              <w:rPr>
                <w:vertAlign w:val="superscript"/>
              </w:rPr>
              <w:t>3</w:t>
            </w:r>
            <w:r w:rsidR="00D62975" w:rsidRPr="00C77523">
              <w:t xml:space="preserve">) precīzāk noteikti </w:t>
            </w:r>
            <w:r w:rsidR="003D1813" w:rsidRPr="00C77523">
              <w:t xml:space="preserve">izņēmuma gadījumi, kad </w:t>
            </w:r>
            <w:r w:rsidR="00D62975" w:rsidRPr="00C77523">
              <w:t xml:space="preserve"> ģimenes ārsta prakses </w:t>
            </w:r>
            <w:r w:rsidR="003D1813" w:rsidRPr="00C77523">
              <w:t xml:space="preserve">var vienoties </w:t>
            </w:r>
            <w:r w:rsidR="00D62975" w:rsidRPr="00C77523">
              <w:t>ar Nacionālo veselības dienestu (turpmāk - dienests)</w:t>
            </w:r>
            <w:r w:rsidR="003D1813" w:rsidRPr="00C77523">
              <w:t xml:space="preserve"> par citādākiem pacientu pieņemšanas laikiem praksē.</w:t>
            </w:r>
          </w:p>
          <w:p w:rsidR="00B32E4E" w:rsidRPr="00C77523" w:rsidRDefault="00D62975" w:rsidP="00A07B81">
            <w:pPr>
              <w:ind w:firstLine="252"/>
              <w:jc w:val="both"/>
            </w:pPr>
            <w:r w:rsidRPr="00C77523">
              <w:t>Noteikum</w:t>
            </w:r>
            <w:r w:rsidR="00833B96" w:rsidRPr="00C77523">
              <w:t>i</w:t>
            </w:r>
            <w:r w:rsidRPr="00C77523">
              <w:t xml:space="preserve"> papildināt</w:t>
            </w:r>
            <w:r w:rsidR="00097626" w:rsidRPr="00C77523">
              <w:t>i ar 60.</w:t>
            </w:r>
            <w:r w:rsidR="00097626" w:rsidRPr="00C77523">
              <w:rPr>
                <w:vertAlign w:val="superscript"/>
              </w:rPr>
              <w:t>1</w:t>
            </w:r>
            <w:r w:rsidR="00097626" w:rsidRPr="00C77523">
              <w:t xml:space="preserve"> punktu</w:t>
            </w:r>
            <w:r w:rsidRPr="00C77523">
              <w:t xml:space="preserve">, jo pašreiz spēkā esošais normatīvais regulējums nenosaka, kam un kādā kārtībā jārīkojas ar ambulatoro pacientu kartēm gadījumā, ja prakse beidz pastāvēt ārsta nāves gadījumā. Šāda situācija ietekmē attiecīgā ģimenes ārsta pacientus, jo nereti ir situācijas, kad pacientam jāturpina iepriekš uzsākta ārstēšana, kas tiek veikta, pamatojoties uz iepriekš veiktiem  izmeklējumiem, dati par kuriem apkopoti ambulatorā pacienta kartē, bet tā nav pieejama ne pacientam, ne citām personām, jo atrodas telpās, kuras līdz savai nāvei izmantoja un par kurām bija atbildīgs ģimenes ārsts. Tādejādi tiek ievērojami </w:t>
            </w:r>
            <w:r w:rsidR="00097626" w:rsidRPr="00C77523">
              <w:t xml:space="preserve">samazināta ārstniecības personas informētība par pacientu, kas ierobežo pacientam iespēju ātri saņemt nepieciešamos veselības aprūpes pakalpojumus. </w:t>
            </w:r>
          </w:p>
          <w:p w:rsidR="00502895" w:rsidRPr="00C77523" w:rsidRDefault="00502895" w:rsidP="00502895">
            <w:pPr>
              <w:ind w:firstLine="252"/>
              <w:jc w:val="both"/>
            </w:pPr>
            <w:r w:rsidRPr="00C77523">
              <w:t xml:space="preserve">Noteikumu 61.punkts nosaka, ka dienests veido primārās veselības aprūpes pakalpojumu sniedzēju gaidīšanas sarakstu  valsts apmaksāto pakalpojumu sniegšanai. </w:t>
            </w:r>
            <w:r w:rsidR="00833B96" w:rsidRPr="00C77523">
              <w:t>Noteikumu</w:t>
            </w:r>
            <w:r w:rsidRPr="00C77523">
              <w:t xml:space="preserve"> 61.2.apakšpunktu</w:t>
            </w:r>
            <w:r w:rsidR="00833B96" w:rsidRPr="00C77523">
              <w:t xml:space="preserve"> nepieciešams papildināt ar </w:t>
            </w:r>
            <w:r w:rsidRPr="00C77523">
              <w:t>nosacījumu, ka dienests veido primārās veselības aprūpes pakalpojumu sniedzēju gaidīšanas sarakstu  māsām un ārsta palīgiem (feldšeriem), ņemot vērā, ka šo personu secība sarakstā nav saistoša ārstniecības iestādēm un tās var vienoties par darba attiecībām ar jebkuru no sarakstā esošajām personām, jo reālajā praksē jau tagad faktiski māsas un ārsta palīgus (feldšerus) ārstniecības iestādes izvēlas no attiecīgā gaidīšanas saraksta, neievērojot saraksta secību.</w:t>
            </w:r>
          </w:p>
          <w:p w:rsidR="00502895" w:rsidRPr="00C77523" w:rsidRDefault="0032290C" w:rsidP="00502895">
            <w:pPr>
              <w:ind w:firstLine="252"/>
              <w:jc w:val="both"/>
            </w:pPr>
            <w:r w:rsidRPr="00C77523">
              <w:t>Papildinot noteikumus ar 86.</w:t>
            </w:r>
            <w:r w:rsidRPr="00C77523">
              <w:rPr>
                <w:vertAlign w:val="superscript"/>
              </w:rPr>
              <w:t>1</w:t>
            </w:r>
            <w:r w:rsidRPr="00C77523">
              <w:t xml:space="preserve"> punktu, precīzi atrunāti gadījumi, kad bloķēti pacienti netiek ņemti vērā ģimenes ārsta ieņēmumos par pacienta aprūpi aprēķināšanā un noteikts</w:t>
            </w:r>
            <w:r w:rsidR="00893190" w:rsidRPr="00C77523">
              <w:t>,</w:t>
            </w:r>
            <w:r w:rsidRPr="00C77523">
              <w:t xml:space="preserve"> ka par person</w:t>
            </w:r>
            <w:r w:rsidR="00893190" w:rsidRPr="00C77523">
              <w:t>ai</w:t>
            </w:r>
            <w:r w:rsidRPr="00C77523">
              <w:t>, kuras reģistrācija pie ģimenes ārsta ir bloķēta</w:t>
            </w:r>
            <w:r w:rsidR="00893190" w:rsidRPr="00C77523">
              <w:t>, dienests ģimenes ārstam par šād</w:t>
            </w:r>
            <w:r w:rsidR="00BA7847" w:rsidRPr="00C77523">
              <w:t>a</w:t>
            </w:r>
            <w:r w:rsidR="00893190" w:rsidRPr="00C77523">
              <w:t xml:space="preserve"> pacienta aprūpi veic samaksu kā par īslaicīgu pacientu. </w:t>
            </w:r>
          </w:p>
          <w:p w:rsidR="00502895" w:rsidRPr="00C77523" w:rsidRDefault="002000D2" w:rsidP="00A07B81">
            <w:pPr>
              <w:ind w:firstLine="252"/>
              <w:jc w:val="both"/>
            </w:pPr>
            <w:r w:rsidRPr="00C77523">
              <w:t>Noteikumu 91.punkts nosaka kārtību, saskaņā ar kuru ģimenes ārsta gada darbības novērtējuma maksājuma neizmaksāto daļu dienests izlieto tādu maksājumu veikšanai, kas saistīti ar primāro veselības aprūpes pakalpojumu sniegšanu. Noteikumu projektā  91.3.apakšpunkts papildināts ar atsauci uz 86.7.apakšpunktu, jo gada kvalitātes neizmantotos finanšu līdzekļus var novirzīt arī faktiski veikto valsts kompensēto pacientu iemaksu segšanai primārās veselības aprūpes ārstiem, ja faktiskais apjoms pārsniedz plānoto. Līdzekļi tiek prioritāri saglabāti primārās veselības aprūpes sniegto pakalpojumu apmaksā.</w:t>
            </w:r>
          </w:p>
          <w:p w:rsidR="00BF034F" w:rsidRPr="00C77523" w:rsidRDefault="00BF034F" w:rsidP="00A07B81">
            <w:pPr>
              <w:ind w:firstLine="252"/>
              <w:jc w:val="both"/>
            </w:pPr>
            <w:r w:rsidRPr="00C77523">
              <w:t>Ņemot vērā, ka noteikumi tiek papildināti ar normām, kas paredz, ka laboratorisko pakalpojumu sniedzējiem tiks noteikts finanšu līdzekļu apjoms, kura ietvaros tie sniedz valsts apmaksātus veselības aprūpes pakalpojumus, un</w:t>
            </w:r>
            <w:r w:rsidR="00AD32C0" w:rsidRPr="00C77523">
              <w:t>,</w:t>
            </w:r>
            <w:r w:rsidRPr="00C77523">
              <w:t xml:space="preserve"> </w:t>
            </w:r>
            <w:r w:rsidR="00AD32C0" w:rsidRPr="00C77523">
              <w:t xml:space="preserve">nosūtot uz tiem, jānosaka </w:t>
            </w:r>
            <w:r w:rsidRPr="00C77523">
              <w:t>priori</w:t>
            </w:r>
            <w:r w:rsidR="00AD32C0" w:rsidRPr="00C77523">
              <w:t>tāte</w:t>
            </w:r>
            <w:r w:rsidRPr="00C77523">
              <w:t xml:space="preserve"> nepieciešam</w:t>
            </w:r>
            <w:r w:rsidR="00AD32C0" w:rsidRPr="00C77523">
              <w:t>ajiem laboratoriskiem</w:t>
            </w:r>
            <w:r w:rsidRPr="00C77523">
              <w:t xml:space="preserve"> </w:t>
            </w:r>
            <w:r w:rsidR="00AD32C0" w:rsidRPr="00C77523">
              <w:t>izmeklējumiem</w:t>
            </w:r>
            <w:r w:rsidRPr="00C77523">
              <w:t xml:space="preserve">, </w:t>
            </w:r>
            <w:r w:rsidR="00AD32C0" w:rsidRPr="00C77523">
              <w:t xml:space="preserve">tad noteikumu 100.punktā tiek veiktas izmaiņas, kas paredz, ka </w:t>
            </w:r>
            <w:r w:rsidRPr="00C77523">
              <w:t xml:space="preserve">dienesta līgumā ar ārstniecības iestādēm tiks </w:t>
            </w:r>
            <w:r w:rsidR="00D730FD" w:rsidRPr="00C77523">
              <w:t>noteikts</w:t>
            </w:r>
            <w:r w:rsidRPr="00C77523">
              <w:t xml:space="preserve"> </w:t>
            </w:r>
            <w:r w:rsidR="00D730FD" w:rsidRPr="00C77523">
              <w:t xml:space="preserve">nosūtījuma </w:t>
            </w:r>
            <w:r w:rsidRPr="00C77523">
              <w:t>veidlapa</w:t>
            </w:r>
            <w:r w:rsidR="00D730FD" w:rsidRPr="00C77523">
              <w:t>s paraugs</w:t>
            </w:r>
            <w:r w:rsidRPr="00C77523">
              <w:t xml:space="preserve">, kas jāizmanto ārstniecības personām, nosūtot personas laboratorisko pakalpojumu saņemšanai.   </w:t>
            </w:r>
          </w:p>
          <w:p w:rsidR="006629A2" w:rsidRPr="00C77523" w:rsidRDefault="002000D2" w:rsidP="00A07B81">
            <w:pPr>
              <w:ind w:firstLine="252"/>
              <w:jc w:val="both"/>
            </w:pPr>
            <w:r w:rsidRPr="00C77523">
              <w:t xml:space="preserve">Lai novērstu situāciju, kad speciālists, </w:t>
            </w:r>
            <w:r w:rsidR="00102F9C" w:rsidRPr="00C77523">
              <w:t xml:space="preserve">pēc </w:t>
            </w:r>
            <w:r w:rsidR="00601565" w:rsidRPr="00C77523">
              <w:t xml:space="preserve">personai sniegtās </w:t>
            </w:r>
            <w:r w:rsidR="00102F9C" w:rsidRPr="00C77523">
              <w:t>konsultācijas</w:t>
            </w:r>
            <w:r w:rsidRPr="00C77523">
              <w:t xml:space="preserve">, </w:t>
            </w:r>
            <w:r w:rsidR="00102F9C" w:rsidRPr="00C77523">
              <w:t xml:space="preserve">neaizpildot medicīnisko dokumentāciju, </w:t>
            </w:r>
            <w:r w:rsidRPr="00C77523">
              <w:t xml:space="preserve">sūta </w:t>
            </w:r>
            <w:r w:rsidR="00102F9C" w:rsidRPr="00C77523">
              <w:t>pacientu</w:t>
            </w:r>
            <w:r w:rsidRPr="00C77523">
              <w:t xml:space="preserve"> atpakaļ pie ģimenes ārsta</w:t>
            </w:r>
            <w:r w:rsidR="00102F9C" w:rsidRPr="00C77523">
              <w:t xml:space="preserve"> ar norādījumiem, </w:t>
            </w:r>
            <w:r w:rsidRPr="00C77523">
              <w:t xml:space="preserve">lai </w:t>
            </w:r>
            <w:r w:rsidR="00102F9C" w:rsidRPr="00C77523">
              <w:t xml:space="preserve">ģimenes ārsts </w:t>
            </w:r>
            <w:r w:rsidRPr="00C77523">
              <w:t>nozīmē pacientam turpmākos izmeklējumus vai nepieciešamās konsultācijas</w:t>
            </w:r>
            <w:r w:rsidR="00601565" w:rsidRPr="00C77523">
              <w:t xml:space="preserve"> un medikamentus</w:t>
            </w:r>
            <w:r w:rsidRPr="00C77523">
              <w:t xml:space="preserve">, </w:t>
            </w:r>
            <w:r w:rsidR="00102F9C" w:rsidRPr="00C77523">
              <w:t>noteikumu 104.punkta jaunā redakcija paredz ārstniecības iestādei vai speciālistam izsniegt personai nosūtījumu nepieciešamo pakalpojumu saņemšanai</w:t>
            </w:r>
            <w:r w:rsidR="00601565" w:rsidRPr="00C77523">
              <w:t>, kā arī izrakst</w:t>
            </w:r>
            <w:r w:rsidR="003D1813" w:rsidRPr="00C77523">
              <w:t>īt</w:t>
            </w:r>
            <w:r w:rsidR="00601565" w:rsidRPr="00C77523">
              <w:t xml:space="preserve"> kompensējamās zāles un medicīniskās ierīces saskaņā ar normatīvajiem aktiem, kas regulē ambulatorai ārstēšanai paredzēto zāļu un medicīnisko ierīču iegādes izdevumu kompensācijas kārtību</w:t>
            </w:r>
          </w:p>
          <w:p w:rsidR="006629A2" w:rsidRPr="00C77523" w:rsidRDefault="007F16A9" w:rsidP="00A07B81">
            <w:pPr>
              <w:ind w:firstLine="252"/>
              <w:jc w:val="both"/>
            </w:pPr>
            <w:r w:rsidRPr="00C77523">
              <w:t>Noteikumi papildināti ar 130.</w:t>
            </w:r>
            <w:r w:rsidRPr="00C77523">
              <w:rPr>
                <w:vertAlign w:val="superscript"/>
              </w:rPr>
              <w:t>1</w:t>
            </w:r>
            <w:r w:rsidRPr="00C77523">
              <w:t xml:space="preserve"> punktu, kas paredz personu plānveida veselības aprūpes pakalpojums </w:t>
            </w:r>
            <w:r w:rsidR="00E54B1F" w:rsidRPr="00C77523">
              <w:t>ārstniecības iestādē saņemšanas secību.</w:t>
            </w:r>
            <w:r w:rsidRPr="00C77523">
              <w:t xml:space="preserve"> </w:t>
            </w:r>
            <w:r w:rsidR="00AD32C0" w:rsidRPr="00C77523">
              <w:t>Atbilstoši noteikumu 35</w:t>
            </w:r>
            <w:r w:rsidR="001E2CFD" w:rsidRPr="00C77523">
              <w:t>8</w:t>
            </w:r>
            <w:r w:rsidR="00AD32C0" w:rsidRPr="00C77523">
              <w:t xml:space="preserve">.punktam norma stājas spēkā 2016.gada 1.jūlijā.  </w:t>
            </w:r>
          </w:p>
          <w:p w:rsidR="00EB2D83" w:rsidRPr="00C77523" w:rsidRDefault="000D32C5" w:rsidP="00A07B81">
            <w:pPr>
              <w:ind w:firstLine="252"/>
              <w:jc w:val="both"/>
            </w:pPr>
            <w:r w:rsidRPr="00C77523">
              <w:t>Lai nodrošinātu iespējami ātru turpmāko ārstēšanu, n</w:t>
            </w:r>
            <w:r w:rsidR="00E54B1F" w:rsidRPr="00C77523">
              <w:t>oteikum</w:t>
            </w:r>
            <w:r w:rsidR="00FB267D" w:rsidRPr="00C77523">
              <w:t>i papildināti ar 132</w:t>
            </w:r>
            <w:r w:rsidR="00E54B1F" w:rsidRPr="00C77523">
              <w:t>.</w:t>
            </w:r>
            <w:r w:rsidR="00FB267D" w:rsidRPr="00C77523">
              <w:rPr>
                <w:vertAlign w:val="superscript"/>
              </w:rPr>
              <w:t>1</w:t>
            </w:r>
            <w:r w:rsidR="00E54B1F" w:rsidRPr="00C77523">
              <w:t xml:space="preserve"> punktu, </w:t>
            </w:r>
            <w:r w:rsidRPr="00C77523">
              <w:t xml:space="preserve">kas paredz </w:t>
            </w:r>
            <w:r w:rsidR="00E54B1F" w:rsidRPr="00C77523">
              <w:t xml:space="preserve">pacientiem, kuriem </w:t>
            </w:r>
            <w:r w:rsidRPr="00C77523">
              <w:t xml:space="preserve">ārstēts </w:t>
            </w:r>
            <w:r w:rsidR="00E54B1F" w:rsidRPr="00C77523">
              <w:t>insults, uzreiz pēc izrakstīšanās no stacionāra kopā ar nosūtījumu rehabilitācijas pakalpojumu saņemšanai sagatavot un izsniegt rehabilitācijas plān</w:t>
            </w:r>
            <w:r w:rsidRPr="00C77523">
              <w:t>u turpmākai ārstēšanai.</w:t>
            </w:r>
            <w:r w:rsidR="00E54B1F" w:rsidRPr="00C77523">
              <w:t xml:space="preserve"> </w:t>
            </w:r>
          </w:p>
          <w:p w:rsidR="0068189D" w:rsidRPr="00C77523" w:rsidRDefault="0068189D" w:rsidP="00A07B81">
            <w:pPr>
              <w:ind w:firstLine="252"/>
              <w:jc w:val="both"/>
            </w:pPr>
            <w:r w:rsidRPr="00C77523">
              <w:t xml:space="preserve">Precizējot 157.punkta redakciju, noteikumi paredz, ka samaksu par ambulatorajiem laboratoriskajiem pakalpojumiem dienests veic no ambulatoro laboratorisko pakalpojumu finansēšanai paredzētiem   līdzekļiem, kas nozīmē, ka </w:t>
            </w:r>
            <w:r w:rsidR="001E61EA" w:rsidRPr="00C77523">
              <w:t xml:space="preserve">līdzekļu izlietojumu kontrole par laboratoriskiem pakalpojumiem tiek noteikta ne tikai ārstiem, bet arī </w:t>
            </w:r>
            <w:r w:rsidRPr="00C77523">
              <w:t>laboratorijas pakalpojumu sniedzēji</w:t>
            </w:r>
            <w:r w:rsidR="003D1813" w:rsidRPr="00C77523">
              <w:t>em</w:t>
            </w:r>
            <w:r w:rsidR="001E61EA" w:rsidRPr="00C77523">
              <w:t xml:space="preserve">, jo laboratorijām </w:t>
            </w:r>
            <w:r w:rsidRPr="00C77523">
              <w:t xml:space="preserve">līgumos </w:t>
            </w:r>
            <w:r w:rsidR="001E61EA" w:rsidRPr="00C77523">
              <w:t xml:space="preserve">ar dienestu </w:t>
            </w:r>
            <w:r w:rsidRPr="00C77523">
              <w:t xml:space="preserve">tiks noteikts </w:t>
            </w:r>
            <w:r w:rsidR="001E61EA" w:rsidRPr="00C77523">
              <w:t xml:space="preserve">valsts apmaksāto pakalpojumu </w:t>
            </w:r>
            <w:r w:rsidRPr="00C77523">
              <w:t>finansējuma apjoms</w:t>
            </w:r>
            <w:r w:rsidR="001E61EA" w:rsidRPr="00C77523">
              <w:t>.</w:t>
            </w:r>
          </w:p>
          <w:p w:rsidR="00B76025" w:rsidRPr="00C77523" w:rsidRDefault="00F16777" w:rsidP="00B76025">
            <w:pPr>
              <w:ind w:firstLine="252"/>
              <w:jc w:val="both"/>
            </w:pPr>
            <w:r w:rsidRPr="00C77523">
              <w:t>Lai precizētu, kādos gadījumos ārstniecības personām ir jāpilda viens uzskaites dokuments un lai novērstu situācijas, kad par apmeklējumiem vienas epizodes ietvaros maksā vairākus aprūpes epizodes tarifus no noteikumu 161.punkta tiek svītrots  nosacījums, ka aprūpes epizodi var īstenot viens ārsts vai arī tajā var tikt iesaistīti vairāki ārsti.</w:t>
            </w:r>
            <w:r w:rsidR="003D1813" w:rsidRPr="00C77523">
              <w:t xml:space="preserve"> Kārtība, kādā jāaizpilda uzskaites dokumenti par sniegtajiem veselības aprūpes pakalpojumiem, tiks noteikta līgumā ar ārstniecības iestādi (ambulatorā pacienta talona aizpildīšanas vadlīnijās).</w:t>
            </w:r>
            <w:r w:rsidR="00B76025" w:rsidRPr="00C77523">
              <w:t xml:space="preserve"> </w:t>
            </w:r>
          </w:p>
          <w:p w:rsidR="00F64DA8" w:rsidRPr="00C77523" w:rsidRDefault="00F64DA8" w:rsidP="00B76025">
            <w:pPr>
              <w:ind w:firstLine="252"/>
              <w:jc w:val="both"/>
            </w:pPr>
            <w:r w:rsidRPr="00C77523">
              <w:t xml:space="preserve">Lai uzlabotu bērniem dietologa sniegtos pakalpojumu pieejamību, 162.punktā veiktas izmaiņas, paplašinot diagnožu apjomu, ar kurām ir iespēja saņemt dietologa kabinetā sniegtos pakalpojumus. </w:t>
            </w:r>
          </w:p>
          <w:p w:rsidR="00C13E07" w:rsidRPr="00C77523" w:rsidRDefault="00F16777" w:rsidP="00A07B81">
            <w:pPr>
              <w:ind w:firstLine="252"/>
              <w:jc w:val="both"/>
            </w:pPr>
            <w:r w:rsidRPr="00C77523">
              <w:t>Noteikumu 168.punkt</w:t>
            </w:r>
            <w:r w:rsidR="00C13E07" w:rsidRPr="00C77523">
              <w:t>ā</w:t>
            </w:r>
            <w:r w:rsidRPr="00C77523">
              <w:t xml:space="preserve"> noteikti samaksas vei</w:t>
            </w:r>
            <w:r w:rsidR="00C13E07" w:rsidRPr="00C77523">
              <w:t>d</w:t>
            </w:r>
            <w:r w:rsidRPr="00C77523">
              <w:t>i par stacionārajiem veselības aprūpes pakalpojumiem</w:t>
            </w:r>
            <w:r w:rsidR="00C13E07" w:rsidRPr="00C77523">
              <w:t>.</w:t>
            </w:r>
            <w:r w:rsidRPr="00C77523">
              <w:t xml:space="preserve"> </w:t>
            </w:r>
            <w:r w:rsidR="004D34E8" w:rsidRPr="00C77523">
              <w:t xml:space="preserve">Noteikumu </w:t>
            </w:r>
            <w:r w:rsidR="0033188D" w:rsidRPr="00C77523">
              <w:t xml:space="preserve">168.4.4. un 168.4.4.1.apakšpunkta redakcijas nodrošina, ka dienests samaksu </w:t>
            </w:r>
            <w:r w:rsidR="004406A6" w:rsidRPr="00C77523">
              <w:t xml:space="preserve">atbilstoši </w:t>
            </w:r>
            <w:r w:rsidR="0033188D" w:rsidRPr="00C77523">
              <w:t xml:space="preserve">faktisko </w:t>
            </w:r>
            <w:proofErr w:type="spellStart"/>
            <w:r w:rsidR="0033188D" w:rsidRPr="00C77523">
              <w:t>gultasdienu</w:t>
            </w:r>
            <w:proofErr w:type="spellEnd"/>
            <w:r w:rsidR="0033188D" w:rsidRPr="00C77523">
              <w:t xml:space="preserve"> skaitam </w:t>
            </w:r>
            <w:r w:rsidR="004406A6" w:rsidRPr="00C77523">
              <w:t xml:space="preserve">veiks par </w:t>
            </w:r>
            <w:r w:rsidR="0033188D" w:rsidRPr="00C77523">
              <w:t xml:space="preserve">pacientiem ar invaliditāti, </w:t>
            </w:r>
            <w:r w:rsidR="003D1813" w:rsidRPr="00C77523">
              <w:t xml:space="preserve">lai novērstu saslimšanas progresēšanu, </w:t>
            </w:r>
            <w:r w:rsidR="0033188D" w:rsidRPr="00C77523">
              <w:t xml:space="preserve">kā arī </w:t>
            </w:r>
            <w:r w:rsidR="004406A6" w:rsidRPr="00C77523">
              <w:t xml:space="preserve">norma paredz, </w:t>
            </w:r>
            <w:r w:rsidR="0033188D" w:rsidRPr="00C77523">
              <w:t>ka pakalpojumu apjomā, ko var saņemt ilgstoši slimojošie</w:t>
            </w:r>
            <w:r w:rsidR="00355357" w:rsidRPr="00C77523">
              <w:t xml:space="preserve"> pacienti,</w:t>
            </w:r>
            <w:r w:rsidR="0033188D" w:rsidRPr="00C77523">
              <w:t xml:space="preserve"> tiek iekļauti arī traumatoloģiskie pakalpojumi personām ar ortopēdiskām saslimšanām.</w:t>
            </w:r>
          </w:p>
          <w:p w:rsidR="00B90FEA" w:rsidRPr="00C77523" w:rsidRDefault="00B90FEA" w:rsidP="00A07B81">
            <w:pPr>
              <w:ind w:firstLine="252"/>
              <w:jc w:val="both"/>
            </w:pPr>
            <w:r w:rsidRPr="00C77523">
              <w:t>Lai sakārtotu norēķinus starp stacionāriem</w:t>
            </w:r>
            <w:r w:rsidR="00D13EB3" w:rsidRPr="00C77523">
              <w:t xml:space="preserve"> gadījumos, kad kāda slimnīca uz laiku pārtrauc neatliekamās palīdzības sniegšanu</w:t>
            </w:r>
            <w:r w:rsidRPr="00C77523">
              <w:t xml:space="preserve"> un</w:t>
            </w:r>
            <w:r w:rsidR="00D13EB3" w:rsidRPr="00C77523">
              <w:t xml:space="preserve"> pacienti tiek apkalpoti citā stacionārā,</w:t>
            </w:r>
            <w:r w:rsidRPr="00C77523">
              <w:t xml:space="preserve"> samaksu par pacientam sniegto pakalpojumu saņemtu tā ārstniecības iestāde, kas faktiski veic pakalpojumu, noteikumi papildināti ar 175.</w:t>
            </w:r>
            <w:r w:rsidRPr="00C77523">
              <w:rPr>
                <w:vertAlign w:val="superscript"/>
              </w:rPr>
              <w:t>1</w:t>
            </w:r>
            <w:r w:rsidRPr="00C77523">
              <w:t xml:space="preserve"> punktu.</w:t>
            </w:r>
          </w:p>
          <w:p w:rsidR="00B90FEA" w:rsidRPr="00C77523" w:rsidRDefault="00B90FEA" w:rsidP="00A07B81">
            <w:pPr>
              <w:ind w:firstLine="252"/>
              <w:jc w:val="both"/>
            </w:pPr>
            <w:r w:rsidRPr="00C77523">
              <w:t>Papildinot noteikumus ar 179.</w:t>
            </w:r>
            <w:r w:rsidRPr="00C77523">
              <w:rPr>
                <w:vertAlign w:val="superscript"/>
              </w:rPr>
              <w:t>1</w:t>
            </w:r>
            <w:r w:rsidRPr="00C77523">
              <w:t xml:space="preserve"> punktu, ārstniecības iestādei dot</w:t>
            </w:r>
            <w:r w:rsidR="00280EAD" w:rsidRPr="00C77523">
              <w:t>a</w:t>
            </w:r>
            <w:r w:rsidRPr="00C77523">
              <w:t xml:space="preserve"> iespēj</w:t>
            </w:r>
            <w:r w:rsidR="00280EAD" w:rsidRPr="00C77523">
              <w:t>a</w:t>
            </w:r>
            <w:r w:rsidRPr="00C77523">
              <w:t xml:space="preserve"> veikt pacientiem plānveida ķirurģiskas operācijas arī papildus gadījumos, ja</w:t>
            </w:r>
            <w:r w:rsidR="00A0249A" w:rsidRPr="00C77523">
              <w:t xml:space="preserve"> ārstniecības iestādei</w:t>
            </w:r>
            <w:r w:rsidRPr="00C77523">
              <w:t xml:space="preserve"> ir pietiekami finanšu līdzekļi.</w:t>
            </w:r>
          </w:p>
          <w:p w:rsidR="000D32C5" w:rsidRPr="00C77523" w:rsidRDefault="000F3413" w:rsidP="00A07B81">
            <w:pPr>
              <w:ind w:firstLine="252"/>
              <w:jc w:val="both"/>
            </w:pPr>
            <w:r w:rsidRPr="00C77523">
              <w:t xml:space="preserve">Noteikumu 180.punktā veikti redakcionāli labojumi ar </w:t>
            </w:r>
            <w:r w:rsidR="00957F1A" w:rsidRPr="00C77523">
              <w:t xml:space="preserve">atsauci uz citiem noteikumu punktiem, kā arī precīzāk </w:t>
            </w:r>
            <w:r w:rsidR="00BA7847" w:rsidRPr="00C77523">
              <w:t>nosaka</w:t>
            </w:r>
            <w:r w:rsidR="00957F1A" w:rsidRPr="00C77523">
              <w:t xml:space="preserve">, ka šo līdzekļa ietvaros laboratorisko pakalpojumu saņemšanai nosūta ģimenes ārsti un speciālisti.  </w:t>
            </w:r>
          </w:p>
          <w:p w:rsidR="000D32C5" w:rsidRPr="00C77523" w:rsidRDefault="00957F1A" w:rsidP="00A07B81">
            <w:pPr>
              <w:ind w:firstLine="252"/>
              <w:jc w:val="both"/>
            </w:pPr>
            <w:r w:rsidRPr="00C77523">
              <w:t>Lai kontrolētu laboratoriskiem izmeklējumiem plānoto finanšu līdzekļu apjoma pieaugumu ik gadu, noteikumu   181.punkts izteikts jaunā redakcijā, kas maina kārtību, kādā plāno laboratorisko pakalpojumu apmaksai paredzētos finanšu līdzekļus. Vienlaikus papildinot noteikumus ar 181.</w:t>
            </w:r>
            <w:r w:rsidRPr="00C77523">
              <w:rPr>
                <w:vertAlign w:val="superscript"/>
              </w:rPr>
              <w:t>1</w:t>
            </w:r>
            <w:r w:rsidRPr="00C77523">
              <w:t xml:space="preserve"> punktu</w:t>
            </w:r>
            <w:r w:rsidR="003E05ED" w:rsidRPr="00C77523">
              <w:t>,</w:t>
            </w:r>
            <w:r w:rsidRPr="00C77523">
              <w:t xml:space="preserve"> noteikumos no</w:t>
            </w:r>
            <w:r w:rsidR="003E05ED" w:rsidRPr="00C77523">
              <w:t>teikta</w:t>
            </w:r>
            <w:r w:rsidRPr="00C77523">
              <w:t xml:space="preserve"> kartīb</w:t>
            </w:r>
            <w:r w:rsidR="003E05ED" w:rsidRPr="00C77523">
              <w:t>a,</w:t>
            </w:r>
            <w:r w:rsidRPr="00C77523">
              <w:t xml:space="preserve"> kā tiek sadalīts plānotais </w:t>
            </w:r>
            <w:r w:rsidR="003E05ED" w:rsidRPr="00C77523">
              <w:t xml:space="preserve">finanšu </w:t>
            </w:r>
            <w:r w:rsidRPr="00C77523">
              <w:t>līdzekļu apjoms starp laboratorijas pakalpojumu sniedzējiem</w:t>
            </w:r>
            <w:r w:rsidR="00D217C3" w:rsidRPr="00C77523">
              <w:t xml:space="preserve"> un noteikts, ka laboratorisko pakalpojumu sniedzējiem valsts apmaksāti pakalpojumi jāsniedz šī apjoma ietvaros. Turpmāk laboratorisko pakalpojumu apmaksai nepieciešamie finanšu līdzekļi tiks noteikti 2015.gada apjomā un tiks ierobežots to pieaugums</w:t>
            </w:r>
            <w:r w:rsidR="0003478A" w:rsidRPr="00C77523">
              <w:t>.</w:t>
            </w:r>
            <w:r w:rsidR="00062296" w:rsidRPr="00C77523">
              <w:t xml:space="preserve"> </w:t>
            </w:r>
            <w:r w:rsidR="00D217C3" w:rsidRPr="00C77523">
              <w:t>N</w:t>
            </w:r>
            <w:r w:rsidR="00062296" w:rsidRPr="00C77523">
              <w:t>oteikumu 35</w:t>
            </w:r>
            <w:r w:rsidR="0003478A" w:rsidRPr="00C77523">
              <w:t>9</w:t>
            </w:r>
            <w:r w:rsidR="00062296" w:rsidRPr="00C77523">
              <w:t>.punkts paredz, ka 181.</w:t>
            </w:r>
            <w:r w:rsidR="00062296" w:rsidRPr="00C77523">
              <w:rPr>
                <w:vertAlign w:val="superscript"/>
              </w:rPr>
              <w:t>1</w:t>
            </w:r>
            <w:r w:rsidR="00C451E8" w:rsidRPr="00C77523">
              <w:rPr>
                <w:vertAlign w:val="superscript"/>
              </w:rPr>
              <w:t>.</w:t>
            </w:r>
            <w:r w:rsidR="00C451E8" w:rsidRPr="00C77523">
              <w:t>1.</w:t>
            </w:r>
            <w:r w:rsidR="00062296" w:rsidRPr="00C77523">
              <w:t xml:space="preserve"> </w:t>
            </w:r>
            <w:r w:rsidR="00C451E8" w:rsidRPr="00C77523">
              <w:t>apakš</w:t>
            </w:r>
            <w:r w:rsidR="00062296" w:rsidRPr="00C77523">
              <w:t>punkt</w:t>
            </w:r>
            <w:r w:rsidR="00C451E8" w:rsidRPr="00C77523">
              <w:t>a norma</w:t>
            </w:r>
            <w:r w:rsidR="00062296" w:rsidRPr="00C77523">
              <w:t xml:space="preserve"> </w:t>
            </w:r>
            <w:r w:rsidR="00D217C3" w:rsidRPr="00C77523">
              <w:t xml:space="preserve">par līguma izbeigšanu ar tiem laboratorisko pakalpojumu sniedzējiem, kuri pakalpojumu sniedz </w:t>
            </w:r>
            <w:r w:rsidR="00A74AAE" w:rsidRPr="00C77523">
              <w:t xml:space="preserve">ievērojami </w:t>
            </w:r>
            <w:r w:rsidR="00D217C3" w:rsidRPr="00C77523">
              <w:t xml:space="preserve">mazā apjomā, </w:t>
            </w:r>
            <w:r w:rsidR="00062296" w:rsidRPr="00C77523">
              <w:t>stājas spēkā ar 2016.gada 1.martu.</w:t>
            </w:r>
            <w:r w:rsidR="00D217C3" w:rsidRPr="00C77523">
              <w:t xml:space="preserve"> Minētā kār</w:t>
            </w:r>
            <w:r w:rsidR="00A74AAE" w:rsidRPr="00C77523">
              <w:t>tība samazinās pakalpojumu sadrumstalot</w:t>
            </w:r>
            <w:r w:rsidR="00145F8D" w:rsidRPr="00C77523">
              <w:t>ību un veicinās efektīvāku pakalpojuma administrēšanu</w:t>
            </w:r>
            <w:r w:rsidR="00A74AAE" w:rsidRPr="00C77523">
              <w:t xml:space="preserve">. </w:t>
            </w:r>
            <w:r w:rsidR="003E05ED" w:rsidRPr="00C77523">
              <w:t>Savukārt 181.</w:t>
            </w:r>
            <w:r w:rsidR="003E05ED" w:rsidRPr="00C77523">
              <w:rPr>
                <w:vertAlign w:val="superscript"/>
              </w:rPr>
              <w:t>2</w:t>
            </w:r>
            <w:r w:rsidR="00CC6946" w:rsidRPr="00C77523">
              <w:t>, 183. un 184.</w:t>
            </w:r>
            <w:r w:rsidR="003E05ED" w:rsidRPr="00C77523">
              <w:t xml:space="preserve"> punktā iekļautā</w:t>
            </w:r>
            <w:r w:rsidR="00CC6946" w:rsidRPr="00C77523">
              <w:t>s</w:t>
            </w:r>
            <w:r w:rsidR="003E05ED" w:rsidRPr="00C77523">
              <w:t xml:space="preserve"> norma</w:t>
            </w:r>
            <w:r w:rsidR="00CC6946" w:rsidRPr="00C77523">
              <w:t>s</w:t>
            </w:r>
            <w:r w:rsidR="003E05ED" w:rsidRPr="00C77523">
              <w:t xml:space="preserve"> nosaka ģimenes ārstiem laboratorisko pakalpojumu </w:t>
            </w:r>
            <w:r w:rsidR="00CC6946" w:rsidRPr="00C77523">
              <w:t xml:space="preserve"> un finanšu </w:t>
            </w:r>
            <w:r w:rsidR="003E05ED" w:rsidRPr="00C77523">
              <w:t xml:space="preserve">apjomu noteikšanas kārtību, kas papildināta ar diagnožu grupām, </w:t>
            </w:r>
            <w:r w:rsidR="00145F8D" w:rsidRPr="00C77523">
              <w:t>kurām laboratorijas izmaksas ir lielākas</w:t>
            </w:r>
            <w:r w:rsidR="003E05ED" w:rsidRPr="00C77523">
              <w:t>.</w:t>
            </w:r>
            <w:r w:rsidR="00CC6946" w:rsidRPr="00C77523">
              <w:t xml:space="preserve"> Noteikumu 185. un 186.punktā iekļautās normas attiecas uz kārtību, kādā aprēķina ar speciālistu nosūtījumiem saņemto laboratorisko pakalpojumu apmaksai paredzētos finanšu līdzekļus.</w:t>
            </w:r>
            <w:r w:rsidR="00BC64D2" w:rsidRPr="00C77523">
              <w:t xml:space="preserve"> Ņemot vērā ierobežoto finanšu līdzekļu apjomu, kas paredzēts laboratorisko pakalpojumu apmaksai, kā arī nosacījumu, ka ar pakalpojumu sniedzējiem, kuriem mazs apjoms, netiek turpināts līgums par laboratoriskiem izmeklējumiem, nepieciešams noteikt kārtību, kādā tiek izvēlēti jauni laboratorisko pakalpojumu sniedzēji</w:t>
            </w:r>
            <w:r w:rsidR="00643B73" w:rsidRPr="00C77523">
              <w:t xml:space="preserve">, tāpēc </w:t>
            </w:r>
            <w:r w:rsidR="00BC64D2" w:rsidRPr="00C77523">
              <w:t xml:space="preserve">no noteikumiem </w:t>
            </w:r>
            <w:r w:rsidR="00643B73" w:rsidRPr="00C77523">
              <w:t xml:space="preserve">svītrots </w:t>
            </w:r>
            <w:r w:rsidR="00BC64D2" w:rsidRPr="00C77523">
              <w:t>212.2.1.apakšpunkt</w:t>
            </w:r>
            <w:r w:rsidR="00643B73" w:rsidRPr="00C77523">
              <w:t>s.</w:t>
            </w:r>
          </w:p>
          <w:p w:rsidR="004D34E8" w:rsidRPr="00C77523" w:rsidRDefault="004D34E8" w:rsidP="00A07B81">
            <w:pPr>
              <w:ind w:firstLine="252"/>
              <w:jc w:val="both"/>
            </w:pPr>
            <w:r w:rsidRPr="00C77523">
              <w:t>Noteikumu 238.punktā veiktas izmaiņas, kas samazina prasības pakalpojumu sniedzējiem, kas vēlas slēgt līgumu par veselības aprūpes pakalpojumu mājās sniegšanu.</w:t>
            </w:r>
          </w:p>
          <w:p w:rsidR="00643B73" w:rsidRPr="00C77523" w:rsidRDefault="00643B73" w:rsidP="00A07B81">
            <w:pPr>
              <w:ind w:firstLine="252"/>
              <w:jc w:val="both"/>
            </w:pPr>
            <w:r w:rsidRPr="00C77523">
              <w:t xml:space="preserve">Noteikumu projektā iekļauti grozījumi, kuri </w:t>
            </w:r>
            <w:r w:rsidR="00145F8D" w:rsidRPr="00C77523">
              <w:t xml:space="preserve">nodrošinās efektīvāku </w:t>
            </w:r>
            <w:r w:rsidRPr="00C77523">
              <w:t xml:space="preserve"> līguma ar ārstniecības iestādēm par valsts apmaksāto veselības aprūpes pakalpojumu sniegšanu</w:t>
            </w:r>
            <w:r w:rsidR="00145F8D" w:rsidRPr="00C77523">
              <w:t xml:space="preserve"> izpildes uzraudzību un finanšu līdzekļu plānošanu</w:t>
            </w:r>
            <w:r w:rsidRPr="00C77523">
              <w:t>:</w:t>
            </w:r>
          </w:p>
          <w:p w:rsidR="00643B73" w:rsidRPr="00C77523" w:rsidRDefault="00B33147" w:rsidP="00B33147">
            <w:pPr>
              <w:ind w:left="252"/>
              <w:jc w:val="both"/>
            </w:pPr>
            <w:r w:rsidRPr="00C77523">
              <w:t>-241.4.6.3. un 241.4.6.3.</w:t>
            </w:r>
            <w:r w:rsidRPr="00C77523">
              <w:rPr>
                <w:vertAlign w:val="superscript"/>
              </w:rPr>
              <w:t xml:space="preserve">1 </w:t>
            </w:r>
            <w:r w:rsidRPr="00C77523">
              <w:t>apakšpunktā precizēta kārtība, kādā tiek uzraudzīta līguma izpilde;</w:t>
            </w:r>
          </w:p>
          <w:p w:rsidR="00B33147" w:rsidRPr="00C77523" w:rsidRDefault="00B33147" w:rsidP="00B33147">
            <w:pPr>
              <w:ind w:left="252"/>
              <w:jc w:val="both"/>
            </w:pPr>
            <w:r w:rsidRPr="00C77523">
              <w:t>-242.punktā precizēta kārtība, kādā līguma neizpildes gadījumos finanšu līdzekļi tiek novirzīti citām līgumattiecību iestādēm</w:t>
            </w:r>
            <w:r w:rsidR="001D3BD2" w:rsidRPr="00C77523">
              <w:t>;</w:t>
            </w:r>
          </w:p>
          <w:p w:rsidR="000D32C5" w:rsidRPr="00C77523" w:rsidRDefault="00B33147" w:rsidP="00A07B81">
            <w:pPr>
              <w:ind w:firstLine="252"/>
              <w:jc w:val="both"/>
            </w:pPr>
            <w:r w:rsidRPr="00C77523">
              <w:t>-244.1.2.</w:t>
            </w:r>
            <w:r w:rsidR="001D3BD2" w:rsidRPr="00C77523">
              <w:t xml:space="preserve"> un 246.5.</w:t>
            </w:r>
            <w:r w:rsidRPr="00C77523">
              <w:t>apakšpunktā veikt</w:t>
            </w:r>
            <w:r w:rsidR="001D3BD2" w:rsidRPr="00C77523">
              <w:t>ie</w:t>
            </w:r>
            <w:r w:rsidRPr="00C77523">
              <w:t xml:space="preserve"> grozījum</w:t>
            </w:r>
            <w:r w:rsidR="001D3BD2" w:rsidRPr="00C77523">
              <w:t>i</w:t>
            </w:r>
            <w:r w:rsidRPr="00C77523">
              <w:t xml:space="preserve"> paredz</w:t>
            </w:r>
            <w:r w:rsidR="00145F8D" w:rsidRPr="00C77523">
              <w:t xml:space="preserve"> -</w:t>
            </w:r>
            <w:r w:rsidRPr="00C77523">
              <w:t xml:space="preserve"> </w:t>
            </w:r>
            <w:r w:rsidR="00145F8D" w:rsidRPr="00C77523">
              <w:t>lai uzlabotu pakalpojumu pieejamību, līguma finanšu apjoma plānošanas procesā ņemt vērā iepriekšējā periodā faktiski sniegto pakalpojumu apjomu</w:t>
            </w:r>
            <w:r w:rsidRPr="00C77523">
              <w:t xml:space="preserve"> pacientiem</w:t>
            </w:r>
            <w:r w:rsidR="00145F8D" w:rsidRPr="00C77523">
              <w:t>, kuriem</w:t>
            </w:r>
            <w:r w:rsidRPr="00C77523">
              <w:t xml:space="preserve"> nepieciešam</w:t>
            </w:r>
            <w:r w:rsidR="00145F8D" w:rsidRPr="00C77523">
              <w:t>a</w:t>
            </w:r>
            <w:r w:rsidRPr="00C77523">
              <w:t xml:space="preserve"> konsultatīv</w:t>
            </w:r>
            <w:r w:rsidR="00145F8D" w:rsidRPr="00C77523">
              <w:t>ā</w:t>
            </w:r>
            <w:r w:rsidRPr="00C77523">
              <w:t xml:space="preserve"> palīdzīb</w:t>
            </w:r>
            <w:r w:rsidR="00145F8D" w:rsidRPr="00C77523">
              <w:t>a</w:t>
            </w:r>
            <w:r w:rsidRPr="00C77523">
              <w:t xml:space="preserve"> pie nefrologa vai </w:t>
            </w:r>
            <w:proofErr w:type="spellStart"/>
            <w:r w:rsidRPr="00C77523">
              <w:t>transplantologa</w:t>
            </w:r>
            <w:proofErr w:type="spellEnd"/>
            <w:r w:rsidRPr="00C77523">
              <w:t xml:space="preserve"> pēc nieru transplantācijas, lai veiktu pārstādīto nieru funkciju uzraudzību un novērstu transplantātu bojāeju un dialīzes atsākšanu. Būtiski ir veikt visu paņemto audu histoloģisko izmeklēšanu, lai tiktu nodrošināta korekta saslimšanu diagnostika</w:t>
            </w:r>
            <w:r w:rsidR="001D3BD2" w:rsidRPr="00C77523">
              <w:t>;</w:t>
            </w:r>
          </w:p>
          <w:p w:rsidR="00B33147" w:rsidRPr="00C77523" w:rsidRDefault="00662AC4" w:rsidP="007F0735">
            <w:pPr>
              <w:ind w:firstLine="252"/>
              <w:jc w:val="both"/>
            </w:pPr>
            <w:r w:rsidRPr="00C77523">
              <w:t xml:space="preserve">-251.3.2.apakšpunkta ievaddaļā iekļautā norma </w:t>
            </w:r>
            <w:r w:rsidR="00B32447" w:rsidRPr="00C77523">
              <w:t>precizē nosacījumus, atbilstoši kuriem</w:t>
            </w:r>
            <w:r w:rsidRPr="00C77523">
              <w:t xml:space="preserve"> </w:t>
            </w:r>
            <w:r w:rsidR="00B32447" w:rsidRPr="00C77523">
              <w:t>dienests maina līgumos ar pakalpojumu sniedzējiem plānoto pacientu skaitu un finansējuma apmēru</w:t>
            </w:r>
            <w:r w:rsidR="00A303C0" w:rsidRPr="00C77523">
              <w:t>. Izslēgta norma par 10 pakalpojumu veidu nosacījumu</w:t>
            </w:r>
            <w:r w:rsidR="00145F8D" w:rsidRPr="00C77523">
              <w:t>, ja ir pieejami papildus finanšu līdzekļi</w:t>
            </w:r>
            <w:r w:rsidR="00B32447" w:rsidRPr="00C77523">
              <w:t>;</w:t>
            </w:r>
          </w:p>
          <w:p w:rsidR="002D3039" w:rsidRPr="00C77523" w:rsidRDefault="002D3039" w:rsidP="007F0735">
            <w:pPr>
              <w:ind w:firstLine="252"/>
              <w:jc w:val="both"/>
            </w:pPr>
            <w:r w:rsidRPr="00C77523">
              <w:t>-257.</w:t>
            </w:r>
            <w:r w:rsidRPr="00C77523">
              <w:rPr>
                <w:vertAlign w:val="superscript"/>
              </w:rPr>
              <w:t>1</w:t>
            </w:r>
            <w:r w:rsidRPr="00C77523">
              <w:t xml:space="preserve"> punkts precizē kārtību, kādā līguma neizpildes gadījumos finanšu līdzekļi tiek novirzīti citām līgumattiecību iestādēm;</w:t>
            </w:r>
          </w:p>
          <w:p w:rsidR="002D3039" w:rsidRPr="00C77523" w:rsidRDefault="002D3039" w:rsidP="007F0735">
            <w:pPr>
              <w:ind w:firstLine="252"/>
              <w:jc w:val="both"/>
            </w:pPr>
            <w:r w:rsidRPr="00C77523">
              <w:t>-257.</w:t>
            </w:r>
            <w:r w:rsidRPr="00C77523">
              <w:rPr>
                <w:vertAlign w:val="superscript"/>
              </w:rPr>
              <w:t>2</w:t>
            </w:r>
            <w:r w:rsidRPr="00C77523">
              <w:t xml:space="preserve"> punkts precizē kārtību, kādā tiek veikta līdzekļu pārplānošana, ja ārstniecības iestāde pārtrauc sniegt kādu pakalpojumu veidu</w:t>
            </w:r>
            <w:r w:rsidR="00EC41B3" w:rsidRPr="00C77523">
              <w:t>.</w:t>
            </w:r>
          </w:p>
          <w:p w:rsidR="002D3039" w:rsidRPr="00C77523" w:rsidRDefault="00EC41B3" w:rsidP="0018546E">
            <w:pPr>
              <w:ind w:firstLine="252"/>
              <w:jc w:val="both"/>
            </w:pPr>
            <w:r w:rsidRPr="00C77523">
              <w:t xml:space="preserve">Noteikumu </w:t>
            </w:r>
            <w:r w:rsidR="002D3039" w:rsidRPr="00C77523">
              <w:t>264.punts nodrošina iespēju dienestam ne tikai izbeigt spēkā esošus līgumus</w:t>
            </w:r>
            <w:r w:rsidR="0084645A" w:rsidRPr="00C77523">
              <w:t xml:space="preserve"> ar ārstniecības iestādēm</w:t>
            </w:r>
            <w:r w:rsidR="002D3039" w:rsidRPr="00C77523">
              <w:t>, bet attiecināt līguma izbeigšanas noteikumus arī uz veselības aprūpes pakalpojumu sniedzējiem, kuri turpina sniegt veselības aprūpes pakalpojumus, lai gan līguma termiņš ir beidzies, bet jauns līgums nav noslēgts sakarā ar to, ka vēl nav aprēķināts tā pakalpojuma apjoms, jo nav iestājies šo noteikumu 243.punktā noteiktais termiņš.</w:t>
            </w:r>
            <w:r w:rsidR="00E7458F" w:rsidRPr="00C77523">
              <w:t xml:space="preserve"> </w:t>
            </w:r>
            <w:r w:rsidR="0054042D" w:rsidRPr="00C77523">
              <w:t>Savukārt noteikumos</w:t>
            </w:r>
            <w:r w:rsidR="0018546E" w:rsidRPr="00C77523">
              <w:t xml:space="preserve"> 264.6.</w:t>
            </w:r>
            <w:r w:rsidR="0018546E" w:rsidRPr="00C77523">
              <w:rPr>
                <w:vertAlign w:val="superscript"/>
              </w:rPr>
              <w:t>1</w:t>
            </w:r>
            <w:r w:rsidR="0018546E" w:rsidRPr="00C77523">
              <w:t xml:space="preserve"> apakšpunkta norma iekļauta</w:t>
            </w:r>
            <w:r w:rsidR="00F7664A" w:rsidRPr="00C77523">
              <w:t xml:space="preserve"> ar mērķi,</w:t>
            </w:r>
            <w:r w:rsidR="00147C80" w:rsidRPr="00C77523">
              <w:t xml:space="preserve"> lai </w:t>
            </w:r>
            <w:r w:rsidR="0018546E" w:rsidRPr="00C77523">
              <w:t>novērstu situācijas, ka valsts apmaksātu veselības aprūpi sniedz ārstniecības personas, kuras atrodas apreibinošu vielu ietekmē, kas praksē diemžēl dažreiz notiek un gadījumos, kad minētā situācija novērota ārsta privātpraksē, nav iespējams ietekmēt ārstniecības personu ar Darba likumā paredzēto atbildību. Pašreiz normatīvie akti tieši neparedz, ka Nacionālais veselības dienests ir tiesīgs izbeigt līgumu par valsts apmaksāto veselības aprūpes pakalpojumu sniegšanu vai  pielietot citus mērus iepriekš minētajos gadījumos. Ja kompetenta ārstniecības  iestāde būs konstatējusi, ka ārstniecības persona sniedz valsts apmaksātus veselības aprūpes pakalpojumus apreibinošu vielu ietekmē, vai arī persona atteiksies veikt attiecīgu pārbaudi saskaņā ar Veselības inspekcijas vai ārstniecības iestādes vadītāja nosūtījumu, Nacionālais veselības dienests būs tiesīgs izbeigt līgumu ar attiecīgo ārstniecības iestādi pilnībā vai daļā, liedzot attiecīgajai ārstniecības personai turpmāk sniegt valsts apmaksātos veselības aprūpes pakalpojumus. Tāpat tiks novērsta situācija, ka ārstniecības personas izvairīšanās no medicīniskās pārbaudes apreibinošu vielu ietekmes konstatēšanai atbrīvo šo ārstniecības personu no sekām.</w:t>
            </w:r>
            <w:r w:rsidR="00E7458F" w:rsidRPr="00C77523">
              <w:t xml:space="preserve"> </w:t>
            </w:r>
          </w:p>
          <w:p w:rsidR="00B33147" w:rsidRDefault="005E62E6" w:rsidP="007F0735">
            <w:pPr>
              <w:ind w:firstLine="252"/>
              <w:jc w:val="both"/>
            </w:pPr>
            <w:r w:rsidRPr="00C77523">
              <w:t xml:space="preserve">Grozījumi 329. un 338.punktā ir vērsti uz normu precizēšanu par personas tiesībām saņemt izdevumu atmaksu par citā Eiropas savienības, Eiropas Ekonomikas zonas dalībvalstī vai Šveicē saņemtajiem veselības aprūpes pakalpojumiem, kurus Latvijā apmaksā no valsts budžeta. </w:t>
            </w:r>
          </w:p>
          <w:p w:rsidR="00C751C8" w:rsidRDefault="00C751C8" w:rsidP="007F0735">
            <w:pPr>
              <w:ind w:firstLine="252"/>
              <w:jc w:val="both"/>
            </w:pPr>
            <w:r>
              <w:t xml:space="preserve">Lai </w:t>
            </w:r>
            <w:r w:rsidR="00223AD8">
              <w:t xml:space="preserve">lauku teritorijās </w:t>
            </w:r>
            <w:r>
              <w:t xml:space="preserve">saglabātu veselības aprūpes pakalpojumu pieejamību </w:t>
            </w:r>
            <w:r w:rsidR="00223AD8">
              <w:t>iepriekšējā līmenī</w:t>
            </w:r>
            <w:r>
              <w:t xml:space="preserve">, noteikumi papildināti ar jaunu 357.punktu, kurš paredz, ka dienests var turpināt līgumus ar pašvaldībām par </w:t>
            </w:r>
            <w:proofErr w:type="spellStart"/>
            <w:r>
              <w:t>feldšerpunktu</w:t>
            </w:r>
            <w:proofErr w:type="spellEnd"/>
            <w:r>
              <w:t xml:space="preserve"> darbību vēl trīs gadus, ja attiecīgā teritorija vairs neatbilst normatīvajos aktos noteiktajiem nosacījumiem, kad izņēmuma kārtībā tiek slēgti līgumi par primārās veselības aprūpes pakalpojumu nodrošināšanu teritorijās, kur nav pieejams ģimenes ārsts.  </w:t>
            </w:r>
          </w:p>
          <w:p w:rsidR="00016C73" w:rsidRPr="00016C73" w:rsidRDefault="00016C73" w:rsidP="00016C73">
            <w:pPr>
              <w:ind w:firstLine="252"/>
              <w:jc w:val="both"/>
            </w:pPr>
            <w:r w:rsidRPr="00016C73">
              <w:t xml:space="preserve">360. punkts nosaka kārtību, saskaņā ar kuru dienests aprēķina </w:t>
            </w:r>
            <w:r w:rsidR="004D1875">
              <w:t xml:space="preserve">un izmaksā </w:t>
            </w:r>
            <w:r w:rsidRPr="00016C73">
              <w:t xml:space="preserve">maksājumus ārstniecības iestādēm par </w:t>
            </w:r>
            <w:bookmarkStart w:id="5" w:name="_GoBack"/>
            <w:bookmarkEnd w:id="5"/>
            <w:r w:rsidRPr="00016C73">
              <w:t>DRG grupas programmas ieviešanu;</w:t>
            </w:r>
          </w:p>
          <w:p w:rsidR="00BD72F6" w:rsidRPr="00C77523" w:rsidRDefault="00052D86" w:rsidP="0003478A">
            <w:pPr>
              <w:jc w:val="both"/>
            </w:pPr>
            <w:r w:rsidRPr="00C77523">
              <w:t xml:space="preserve">    Saeima </w:t>
            </w:r>
            <w:r w:rsidR="00C77523" w:rsidRPr="00C77523">
              <w:t xml:space="preserve">2015.gada 30.novembrī pieņēma </w:t>
            </w:r>
            <w:r w:rsidRPr="00C77523">
              <w:t xml:space="preserve">likumu </w:t>
            </w:r>
            <w:r w:rsidR="00A4359A" w:rsidRPr="00C77523">
              <w:t>„P</w:t>
            </w:r>
            <w:r w:rsidRPr="00C77523">
              <w:t>ar</w:t>
            </w:r>
            <w:r w:rsidR="00A4359A" w:rsidRPr="00C77523">
              <w:t xml:space="preserve"> valsts</w:t>
            </w:r>
            <w:r w:rsidRPr="00C77523">
              <w:t xml:space="preserve"> budžetu 2016.gadam</w:t>
            </w:r>
            <w:r w:rsidR="00A4359A" w:rsidRPr="00C77523">
              <w:t>”</w:t>
            </w:r>
            <w:r w:rsidRPr="00C77523">
              <w:t>, kurā Veselības ministrijai tika piešķirti papildu 10</w:t>
            </w:r>
            <w:r w:rsidR="009952FF" w:rsidRPr="00C77523">
              <w:t xml:space="preserve"> </w:t>
            </w:r>
            <w:r w:rsidRPr="00C77523">
              <w:t xml:space="preserve">miljoni </w:t>
            </w:r>
            <w:proofErr w:type="spellStart"/>
            <w:r w:rsidRPr="00C77523">
              <w:rPr>
                <w:i/>
              </w:rPr>
              <w:t>e</w:t>
            </w:r>
            <w:r w:rsidR="001D6476" w:rsidRPr="00C77523">
              <w:rPr>
                <w:i/>
              </w:rPr>
              <w:t>u</w:t>
            </w:r>
            <w:r w:rsidRPr="00C77523">
              <w:rPr>
                <w:i/>
              </w:rPr>
              <w:t>ro</w:t>
            </w:r>
            <w:proofErr w:type="spellEnd"/>
            <w:r w:rsidR="00DD1006" w:rsidRPr="00C77523">
              <w:t xml:space="preserve"> valsts un pašvaldību ārstniecības iestāžu nodarbināto darba samaksas pieauguma nodrošināšanai 2016.gadā</w:t>
            </w:r>
            <w:r w:rsidRPr="00C77523">
              <w:t xml:space="preserve">, </w:t>
            </w:r>
            <w:r w:rsidR="00AD0F32">
              <w:t xml:space="preserve">līdz ar to </w:t>
            </w:r>
            <w:r w:rsidR="0003478A" w:rsidRPr="00C77523">
              <w:t>noteikumos tiek iekļauts 361.</w:t>
            </w:r>
            <w:r w:rsidR="00BD72F6" w:rsidRPr="00C77523">
              <w:t>p</w:t>
            </w:r>
            <w:r w:rsidR="0003478A" w:rsidRPr="00C77523">
              <w:t>unkts</w:t>
            </w:r>
            <w:r w:rsidR="00BD72F6" w:rsidRPr="00C77523">
              <w:t xml:space="preserve"> ar ārstniecības iestāžu nodarbināto darba samaksas pieauguma </w:t>
            </w:r>
            <w:r w:rsidR="00395DB0" w:rsidRPr="00C77523">
              <w:t>nosacījumiem</w:t>
            </w:r>
            <w:r w:rsidR="0003478A" w:rsidRPr="00C77523">
              <w:t>, kā arī 33.pielikums, kur</w:t>
            </w:r>
            <w:r w:rsidR="00395DB0" w:rsidRPr="00C77523">
              <w:t>ā</w:t>
            </w:r>
            <w:r w:rsidR="0003478A" w:rsidRPr="00C77523">
              <w:t xml:space="preserve"> </w:t>
            </w:r>
            <w:r w:rsidR="00395DB0" w:rsidRPr="00C77523">
              <w:t xml:space="preserve">noteiktas </w:t>
            </w:r>
            <w:r w:rsidR="00DD1006" w:rsidRPr="00C77523">
              <w:t xml:space="preserve">valsts un pašvaldību </w:t>
            </w:r>
            <w:r w:rsidR="00BD72F6" w:rsidRPr="00C77523">
              <w:t xml:space="preserve">kapitālsabiedrības, pašvaldību iestādes, publiski privātās kapitālsabiedrības, kurās </w:t>
            </w:r>
            <w:proofErr w:type="spellStart"/>
            <w:r w:rsidR="00BD72F6" w:rsidRPr="00C77523">
              <w:t>kapitāldaļas</w:t>
            </w:r>
            <w:proofErr w:type="spellEnd"/>
            <w:r w:rsidR="00BD72F6" w:rsidRPr="00C77523">
              <w:t xml:space="preserve"> pieder vairākām pašvaldībām, kā arī ārstniecības iestādes, kurās </w:t>
            </w:r>
            <w:proofErr w:type="spellStart"/>
            <w:r w:rsidR="00BD72F6" w:rsidRPr="00C77523">
              <w:t>kapitāldaļas</w:t>
            </w:r>
            <w:proofErr w:type="spellEnd"/>
            <w:r w:rsidR="00BD72F6" w:rsidRPr="00C77523">
              <w:t xml:space="preserve"> pieder vienai vai vairākām pašvaldībām un, kuras </w:t>
            </w:r>
            <w:r w:rsidR="00395DB0" w:rsidRPr="00C77523">
              <w:t>n</w:t>
            </w:r>
            <w:r w:rsidR="00BD72F6" w:rsidRPr="00C77523">
              <w:t>odrošina veselības aprūpes pakalpojumus atbilstoši noteikumu 17.pielikumam</w:t>
            </w:r>
            <w:r w:rsidR="001D6476" w:rsidRPr="00C77523">
              <w:t xml:space="preserve">, kā arī noteikts </w:t>
            </w:r>
            <w:r w:rsidR="00AD0F32">
              <w:t xml:space="preserve">konkrēts </w:t>
            </w:r>
            <w:r w:rsidR="00AD0F32" w:rsidRPr="00C77523">
              <w:t xml:space="preserve">finansējums </w:t>
            </w:r>
            <w:r w:rsidR="001D6476" w:rsidRPr="00C77523">
              <w:t>ārstniecības iestād</w:t>
            </w:r>
            <w:r w:rsidR="00AD0F32">
              <w:t xml:space="preserve">ēm </w:t>
            </w:r>
            <w:r w:rsidR="001D6476" w:rsidRPr="00C77523">
              <w:t>darba samaksas pieauguma nodrošināšanai 2016.gadā.</w:t>
            </w:r>
            <w:r w:rsidR="00395DB0" w:rsidRPr="00C77523">
              <w:t xml:space="preserve"> </w:t>
            </w:r>
          </w:p>
          <w:p w:rsidR="005E62E6" w:rsidRPr="00C77523" w:rsidRDefault="002C6A3E" w:rsidP="007F0735">
            <w:pPr>
              <w:ind w:firstLine="252"/>
              <w:jc w:val="both"/>
            </w:pPr>
            <w:r w:rsidRPr="00C77523">
              <w:t>Grozījumi pielikumos:</w:t>
            </w:r>
          </w:p>
          <w:p w:rsidR="005E62E6" w:rsidRPr="00C77523" w:rsidRDefault="00A4359A" w:rsidP="00F64DA8">
            <w:pPr>
              <w:jc w:val="both"/>
            </w:pPr>
            <w:r w:rsidRPr="00C77523">
              <w:t xml:space="preserve">   </w:t>
            </w:r>
            <w:r w:rsidR="002C6A3E" w:rsidRPr="00C77523">
              <w:t>1.pielikumā iekļauta norma par priekšlaicīgi dzimušo (neiznesto) bērnu dinamisku attīstības novērtēšanu</w:t>
            </w:r>
            <w:r w:rsidR="00736A5F" w:rsidRPr="00C77523">
              <w:t>, lai uzlabotu šādu bērnu veselības aprūpi</w:t>
            </w:r>
            <w:r w:rsidR="00F64DA8" w:rsidRPr="00C77523">
              <w:t xml:space="preserve">, kā arī </w:t>
            </w:r>
            <w:r w:rsidR="00221C0A" w:rsidRPr="00C77523">
              <w:t>turpmāk ģimenes ārstiem nebūs</w:t>
            </w:r>
            <w:r w:rsidR="00F64DA8" w:rsidRPr="00C77523">
              <w:t xml:space="preserve"> obligāts pienākums </w:t>
            </w:r>
            <w:r w:rsidR="00221C0A" w:rsidRPr="00C77523">
              <w:t xml:space="preserve">profilaktiski </w:t>
            </w:r>
            <w:r w:rsidR="00F64DA8" w:rsidRPr="00C77523">
              <w:t>visiem bērniem noteikt hemoglobīna koncentrāciju asinīs, jo pamatojoties uz pediatru un  ģimenes ārstu asociāciju sniegto informāciju, šis izmeklējums ir jāveic, ja bērnam tiek konstatētas medicīniskās indikācijas un to nav lietderīgi veikt visiem</w:t>
            </w:r>
            <w:r w:rsidR="002C6A3E" w:rsidRPr="00C77523">
              <w:t>;</w:t>
            </w:r>
          </w:p>
          <w:p w:rsidR="002C6A3E" w:rsidRPr="00C77523" w:rsidRDefault="002C6A3E" w:rsidP="007F0735">
            <w:pPr>
              <w:ind w:firstLine="252"/>
              <w:jc w:val="both"/>
            </w:pPr>
            <w:r w:rsidRPr="00C77523">
              <w:t>2.pielikumā noteikti nosacījumi, kādos gadījumos apmaksā konkrētus laboratoriskos izmeklējumus. Izmaiņu mērķis ir noteikt izmaksu efektīvāku laboratorisko pakalpojumu apmaksas kārtību;</w:t>
            </w:r>
          </w:p>
          <w:p w:rsidR="002C6A3E" w:rsidRPr="00C77523" w:rsidRDefault="009C0B85" w:rsidP="007F0735">
            <w:pPr>
              <w:ind w:firstLine="252"/>
              <w:jc w:val="both"/>
            </w:pPr>
            <w:r w:rsidRPr="00C77523">
              <w:t xml:space="preserve">3.pielikumā </w:t>
            </w:r>
            <w:r w:rsidR="00736A5F" w:rsidRPr="00C77523">
              <w:t>mainīti atsevišķu pakalpojumu programmu apmaksas nosacījumi</w:t>
            </w:r>
            <w:r w:rsidRPr="00C77523">
              <w:t>;</w:t>
            </w:r>
          </w:p>
          <w:p w:rsidR="002C6A3E" w:rsidRPr="00C77523" w:rsidRDefault="00C31B5D" w:rsidP="007F0735">
            <w:pPr>
              <w:ind w:firstLine="252"/>
              <w:jc w:val="both"/>
            </w:pPr>
            <w:r w:rsidRPr="00C77523">
              <w:t xml:space="preserve">7.pielikuma 3.punkts papildināts ar </w:t>
            </w:r>
            <w:r w:rsidR="00AD3CFF" w:rsidRPr="00C77523">
              <w:t>divām manipulācijām d</w:t>
            </w:r>
            <w:r w:rsidRPr="00C77523">
              <w:t xml:space="preserve">zemdes kakla vēža </w:t>
            </w:r>
            <w:proofErr w:type="spellStart"/>
            <w:r w:rsidRPr="00C77523">
              <w:t>citoloģisk</w:t>
            </w:r>
            <w:r w:rsidR="00AD3CFF" w:rsidRPr="00C77523">
              <w:t>iem</w:t>
            </w:r>
            <w:proofErr w:type="spellEnd"/>
            <w:r w:rsidR="00AD3CFF" w:rsidRPr="00C77523">
              <w:t xml:space="preserve"> </w:t>
            </w:r>
            <w:r w:rsidRPr="00C77523">
              <w:t>izmeklējum</w:t>
            </w:r>
            <w:r w:rsidR="00AD3CFF" w:rsidRPr="00C77523">
              <w:t>iem</w:t>
            </w:r>
            <w:r w:rsidRPr="00C77523">
              <w:t>.</w:t>
            </w:r>
            <w:r w:rsidR="00AD3CFF" w:rsidRPr="00C77523">
              <w:t xml:space="preserve"> Papildinot pielikumu ar 5.</w:t>
            </w:r>
            <w:r w:rsidR="00AD3CFF" w:rsidRPr="00C77523">
              <w:rPr>
                <w:vertAlign w:val="superscript"/>
              </w:rPr>
              <w:t>1</w:t>
            </w:r>
            <w:r w:rsidR="004D34E8" w:rsidRPr="00C77523">
              <w:t>,</w:t>
            </w:r>
            <w:r w:rsidR="00AD3CFF" w:rsidRPr="00C77523">
              <w:t xml:space="preserve"> 6.</w:t>
            </w:r>
            <w:r w:rsidR="00AD3CFF" w:rsidRPr="00C77523">
              <w:rPr>
                <w:vertAlign w:val="superscript"/>
              </w:rPr>
              <w:t>1</w:t>
            </w:r>
            <w:r w:rsidR="00AD3CFF" w:rsidRPr="00C77523">
              <w:t xml:space="preserve"> </w:t>
            </w:r>
            <w:r w:rsidR="004D34E8" w:rsidRPr="00C77523">
              <w:t>un 7.</w:t>
            </w:r>
            <w:r w:rsidR="004D34E8" w:rsidRPr="00C77523">
              <w:rPr>
                <w:vertAlign w:val="superscript"/>
              </w:rPr>
              <w:t>1</w:t>
            </w:r>
            <w:r w:rsidR="00AD3CFF" w:rsidRPr="00C77523">
              <w:t>punktu noteikumos</w:t>
            </w:r>
            <w:r w:rsidR="005225E2" w:rsidRPr="00C77523">
              <w:t xml:space="preserve"> noteiktas ārstniecības </w:t>
            </w:r>
            <w:r w:rsidR="00AD3CFF" w:rsidRPr="00C77523">
              <w:t xml:space="preserve"> iestādes, kuras nodrošina valsts apmaksātus </w:t>
            </w:r>
            <w:proofErr w:type="spellStart"/>
            <w:r w:rsidR="00AD3CFF" w:rsidRPr="00C77523">
              <w:t>pēcskrīninga</w:t>
            </w:r>
            <w:proofErr w:type="spellEnd"/>
            <w:r w:rsidR="00AD3CFF" w:rsidRPr="00C77523">
              <w:t xml:space="preserve"> izmeklējumus, </w:t>
            </w:r>
            <w:r w:rsidR="005225E2" w:rsidRPr="00C77523">
              <w:t>ne vēlāk kā 30 dienu laikā no dienas, kad persona vērsusies attiecīgajā ārstniecības iestādē</w:t>
            </w:r>
            <w:r w:rsidR="000F7B6C" w:rsidRPr="00C77523">
              <w:t>;</w:t>
            </w:r>
          </w:p>
          <w:p w:rsidR="002C6A3E" w:rsidRPr="00C77523" w:rsidRDefault="005225E2" w:rsidP="007F0735">
            <w:pPr>
              <w:ind w:firstLine="252"/>
              <w:jc w:val="both"/>
            </w:pPr>
            <w:r w:rsidRPr="00C77523">
              <w:t>9.pielikumā</w:t>
            </w:r>
            <w:r w:rsidR="000F7B6C" w:rsidRPr="00C77523">
              <w:t>, kurā noteikti primārās veselības aprūpes finanšu līdzekļu sadale,</w:t>
            </w:r>
            <w:r w:rsidR="00736A5F" w:rsidRPr="00C77523">
              <w:t xml:space="preserve"> saistībā ar minimālās algas paaugstināšanu mainīts </w:t>
            </w:r>
            <w:proofErr w:type="spellStart"/>
            <w:r w:rsidR="00736A5F" w:rsidRPr="00C77523">
              <w:t>kapitācijas</w:t>
            </w:r>
            <w:proofErr w:type="spellEnd"/>
            <w:r w:rsidR="00736A5F" w:rsidRPr="00C77523">
              <w:t xml:space="preserve"> naudas apjoms vienai personai mēnesi, ņemot vērā, ka </w:t>
            </w:r>
            <w:proofErr w:type="spellStart"/>
            <w:r w:rsidR="00736A5F" w:rsidRPr="00C77523">
              <w:t>kapitācijas</w:t>
            </w:r>
            <w:proofErr w:type="spellEnd"/>
            <w:r w:rsidR="00736A5F" w:rsidRPr="00C77523">
              <w:t xml:space="preserve"> naudā ir iekļauta samaksa par reģistratora</w:t>
            </w:r>
            <w:r w:rsidRPr="00C77523">
              <w:t xml:space="preserve"> </w:t>
            </w:r>
            <w:r w:rsidR="00736A5F" w:rsidRPr="00C77523">
              <w:t xml:space="preserve">funkciju pildīšanu, </w:t>
            </w:r>
            <w:r w:rsidRPr="00C77523">
              <w:t>precizēt</w:t>
            </w:r>
            <w:r w:rsidR="007C1B85" w:rsidRPr="00C77523">
              <w:t>i</w:t>
            </w:r>
            <w:r w:rsidRPr="00C77523">
              <w:t xml:space="preserve"> </w:t>
            </w:r>
            <w:r w:rsidR="007C1B85" w:rsidRPr="00C77523">
              <w:t>ģimenes ārsta prakses reģistrēto pacientu kopējo koeficienta</w:t>
            </w:r>
            <w:r w:rsidRPr="00C77523">
              <w:t xml:space="preserve"> formul</w:t>
            </w:r>
            <w:r w:rsidR="007C1B85" w:rsidRPr="00C77523">
              <w:t>ā iekļautie rādītāji</w:t>
            </w:r>
            <w:r w:rsidRPr="00C77523">
              <w:t>, jo vecuma grupas primārās veselības aprūpes pakalpojumu izmantošanas patēriņa koeficientu (ki1...6) skaits ir seši, bet formula paredz tikai piecus koeficientus, kā arī redakcionāli tiek precizēta norma, kas nosaka visu valsts pacientu koeficienta aprēķināšanu</w:t>
            </w:r>
            <w:r w:rsidR="007C1B85" w:rsidRPr="00C77523">
              <w:t xml:space="preserve"> Tāpat šajā pielikumā mainīta kārtība, kādā plāno veselības aprūpes mājās pakalpojumus un plānotais līdzekļu apjoms pārējiem mājas aprūpes pakalpojumiem. Plānotais līdzekļu apjoms speciālistu mājas vizīšu apmaksai turpmāk tiek noteiks iepriekšējā kalendārā gada līmenī, bet plānotais līdzekļu apjoms pārējiem mājas aprūpes pakalpojumiem tiek noteikts atbilstoši iedzīvotāju skaitam attiecīgajā teritorijā</w:t>
            </w:r>
            <w:r w:rsidR="000F7B6C" w:rsidRPr="00C77523">
              <w:t xml:space="preserve"> un noteikts, ka mazās administratīvi teritoriālās vienībās (iedzīvotāju skaits zem 500 personām) atsevišķos gadījumos var nebūt neviens pacients, kam nepieciešami mājas aprūpes pakalpojumi;</w:t>
            </w:r>
          </w:p>
          <w:p w:rsidR="00F71225" w:rsidRPr="00C77523" w:rsidRDefault="000F7B6C" w:rsidP="007F0735">
            <w:pPr>
              <w:ind w:firstLine="252"/>
              <w:jc w:val="both"/>
            </w:pPr>
            <w:r w:rsidRPr="00C77523">
              <w:t xml:space="preserve">10.pielikumā </w:t>
            </w:r>
            <w:r w:rsidR="0033060A" w:rsidRPr="00C77523">
              <w:t xml:space="preserve">noteikti papildus gadījumi, kad dienests </w:t>
            </w:r>
            <w:r w:rsidR="00736A5F" w:rsidRPr="00C77523">
              <w:t xml:space="preserve">pārrēķina </w:t>
            </w:r>
            <w:r w:rsidR="0033060A" w:rsidRPr="00C77523">
              <w:t>ģimenes ārsta ikmēneša fiksēt</w:t>
            </w:r>
            <w:r w:rsidR="00F71225" w:rsidRPr="00C77523">
              <w:t>o</w:t>
            </w:r>
            <w:r w:rsidR="0033060A" w:rsidRPr="00C77523">
              <w:t xml:space="preserve"> piemaks</w:t>
            </w:r>
            <w:r w:rsidR="00F71225" w:rsidRPr="00C77523">
              <w:t>u</w:t>
            </w:r>
            <w:r w:rsidR="0033060A" w:rsidRPr="00C77523">
              <w:t xml:space="preserve"> prakses darbības nodrošināšanai lauku teritorijā</w:t>
            </w:r>
            <w:r w:rsidR="00F71225" w:rsidRPr="00C77523">
              <w:t>;</w:t>
            </w:r>
          </w:p>
          <w:p w:rsidR="002C6A3E" w:rsidRPr="00C77523" w:rsidRDefault="00F71225" w:rsidP="007F0735">
            <w:pPr>
              <w:ind w:firstLine="252"/>
              <w:jc w:val="both"/>
            </w:pPr>
            <w:r w:rsidRPr="00C77523">
              <w:t xml:space="preserve">11.pielikumā </w:t>
            </w:r>
            <w:r w:rsidR="004D34E8" w:rsidRPr="00C77523">
              <w:t xml:space="preserve">veikti precizējumi atbilstoši manipulāciju izmaiņām 16.pielikumā un  </w:t>
            </w:r>
            <w:r w:rsidRPr="00C77523">
              <w:t xml:space="preserve">precizēta piezīme, nosakot, ka ģimenes ārsta pacientus var vakcinēt citā iestādē pamatojoties uz sadarbības līgumu, kas nodrošinās efektīvāku vakcīnu izlietošanu un uzskaiti; </w:t>
            </w:r>
          </w:p>
          <w:p w:rsidR="007719DD" w:rsidRPr="00C77523" w:rsidRDefault="00F71225" w:rsidP="007F0735">
            <w:pPr>
              <w:ind w:firstLine="252"/>
              <w:jc w:val="both"/>
            </w:pPr>
            <w:r w:rsidRPr="00C77523">
              <w:t>12.p</w:t>
            </w:r>
            <w:r w:rsidR="00040A1A" w:rsidRPr="00C77523">
              <w:t>i</w:t>
            </w:r>
            <w:r w:rsidRPr="00C77523">
              <w:t xml:space="preserve">elikumā </w:t>
            </w:r>
            <w:r w:rsidR="00040A1A" w:rsidRPr="00C77523">
              <w:t>veikts grozījums saistībā ar 60.</w:t>
            </w:r>
            <w:r w:rsidR="00040A1A" w:rsidRPr="00C77523">
              <w:rPr>
                <w:vertAlign w:val="superscript"/>
              </w:rPr>
              <w:t>1</w:t>
            </w:r>
            <w:r w:rsidR="00040A1A" w:rsidRPr="00C77523">
              <w:t>punktā iekļauto normu par ambulatoro pacientu kartēm gadījumā, ja prakse beidz pastāvēt ārsta nāves gadījumā.</w:t>
            </w:r>
            <w:r w:rsidR="007719DD" w:rsidRPr="00C77523">
              <w:t xml:space="preserve"> 12.pielikums papildināts ar 18.punktu, lai noteiktu, kādā apmērā tiek apmaksāti pienākumi, ko māsa vai ārsta palīgs (feldšeris) veic saskaņā ar līgumu, kas noslēgts atbilstoši 60.</w:t>
            </w:r>
            <w:r w:rsidR="007719DD" w:rsidRPr="00C77523">
              <w:rPr>
                <w:vertAlign w:val="superscript"/>
              </w:rPr>
              <w:t>1</w:t>
            </w:r>
            <w:r w:rsidR="007719DD" w:rsidRPr="00C77523">
              <w:t>punktam. Savukārt 12.pielikuma 4.punktā iekļautais precizējums, jo šobrīd līgumā, kas tiek slēgts ar ģimenes ārstu, netiek norādīts māsu darba laiks, bet tikai pieņemšanas laiks;</w:t>
            </w:r>
          </w:p>
          <w:p w:rsidR="000F7B6C" w:rsidRPr="00C77523" w:rsidRDefault="0028381D" w:rsidP="00E34707">
            <w:pPr>
              <w:jc w:val="both"/>
            </w:pPr>
            <w:r w:rsidRPr="00C77523">
              <w:t xml:space="preserve">    </w:t>
            </w:r>
            <w:r w:rsidR="007719DD" w:rsidRPr="00C77523">
              <w:t>14.</w:t>
            </w:r>
            <w:r w:rsidR="00E34707" w:rsidRPr="00C77523">
              <w:t xml:space="preserve">pielikuma 2.3.apakšpunktā precizēts organizētā vēža </w:t>
            </w:r>
            <w:proofErr w:type="spellStart"/>
            <w:r w:rsidR="00E34707" w:rsidRPr="00C77523">
              <w:t>skrīninga</w:t>
            </w:r>
            <w:proofErr w:type="spellEnd"/>
            <w:r w:rsidR="00E34707" w:rsidRPr="00C77523">
              <w:t xml:space="preserve"> vidējās aptveres rādītājs slēpto asiņu izmeklējumu skaitam, jo 2014. gadā populācijas vidējā aptvere ar šo </w:t>
            </w:r>
            <w:proofErr w:type="spellStart"/>
            <w:r w:rsidR="00E34707" w:rsidRPr="00C77523">
              <w:t>skrīninga</w:t>
            </w:r>
            <w:proofErr w:type="spellEnd"/>
            <w:r w:rsidR="00E34707" w:rsidRPr="00C77523">
              <w:t xml:space="preserve"> izmeklējumu bija 10.6%, bet kvalitātes kritērijs nevar būt zemāks par vidējo populācijas aptveri</w:t>
            </w:r>
            <w:r w:rsidR="00F53ADA" w:rsidRPr="00C77523">
              <w:t xml:space="preserve">. Savukārt </w:t>
            </w:r>
            <w:r w:rsidRPr="00C77523">
              <w:t xml:space="preserve">papildinot šo pielikumu ar </w:t>
            </w:r>
            <w:r w:rsidR="00F53ADA" w:rsidRPr="00C77523">
              <w:t>4.5.apakšpunkt</w:t>
            </w:r>
            <w:r w:rsidRPr="00C77523">
              <w:t>u, tiek</w:t>
            </w:r>
            <w:r w:rsidR="00F53ADA" w:rsidRPr="00C77523">
              <w:t xml:space="preserve"> </w:t>
            </w:r>
            <w:r w:rsidRPr="00C77523">
              <w:t>precizēta kārtība, kādā vērtē ģimenes ārsta darbības kvalitātes rādītājus.</w:t>
            </w:r>
          </w:p>
          <w:p w:rsidR="00E34707" w:rsidRPr="00C77523" w:rsidRDefault="0028381D" w:rsidP="00E34707">
            <w:pPr>
              <w:jc w:val="both"/>
            </w:pPr>
            <w:r w:rsidRPr="00C77523">
              <w:t xml:space="preserve">    15.pielikumā precizējot 15.punkta redakciju, tiek nodrošināts, ka paliatīvā aprūpes kabineta uzskaitē esošajiem bērniem tiek nodrošināta pēctecīga ārstēšana arī pēc 18 gadu vecuma sasniegšanas;</w:t>
            </w:r>
          </w:p>
          <w:p w:rsidR="0028381D" w:rsidRPr="00C77523" w:rsidRDefault="0028381D" w:rsidP="00F62C3C">
            <w:pPr>
              <w:ind w:firstLine="253"/>
              <w:jc w:val="both"/>
            </w:pPr>
            <w:r w:rsidRPr="00C77523">
              <w:t xml:space="preserve">16.pielikumā </w:t>
            </w:r>
            <w:r w:rsidR="00F62C3C" w:rsidRPr="00C77523">
              <w:t xml:space="preserve">veikti grozījumi </w:t>
            </w:r>
            <w:r w:rsidR="00736A5F" w:rsidRPr="00C77523">
              <w:t>manipulāciju nosaukumos un to pielietošanas nosacījumos</w:t>
            </w:r>
            <w:r w:rsidR="00F62C3C" w:rsidRPr="00C77523">
              <w:t xml:space="preserve">, </w:t>
            </w:r>
            <w:r w:rsidR="005F00EA" w:rsidRPr="00C77523">
              <w:t xml:space="preserve">noteikts, ka atsevišķas manipulācijas piemaksā papildus jau noteikumos paredzētajai samaksai par stacionārā sniegtiem pakalpojumiem, </w:t>
            </w:r>
            <w:r w:rsidR="00F62C3C" w:rsidRPr="00C77523">
              <w:t>kā arī veikti redakcionāli precizējumi;</w:t>
            </w:r>
          </w:p>
          <w:p w:rsidR="00F62C3C" w:rsidRPr="00C77523" w:rsidRDefault="0014270C" w:rsidP="0014270C">
            <w:pPr>
              <w:ind w:firstLine="395"/>
              <w:jc w:val="both"/>
            </w:pPr>
            <w:r w:rsidRPr="00C77523">
              <w:t xml:space="preserve">17.pielikumā precizēts ārstniecības iestāžu saraksts, kuras sniedz valsts apmaksātos steidzamās medicīniskās palīdzības  punkta pakalpojumus, kā arī mainīts sabiedrības ar ierobežotu atbildību </w:t>
            </w:r>
            <w:r w:rsidR="009B5DDE" w:rsidRPr="00C77523">
              <w:t>„</w:t>
            </w:r>
            <w:r w:rsidRPr="00C77523">
              <w:t>Rīgas rajona slimnīca” nosaukums uz sabiedrība ar ierobežotu atbildību “Siguldas slimnīca”</w:t>
            </w:r>
            <w:r w:rsidR="00903479" w:rsidRPr="00C77523">
              <w:t xml:space="preserve">, bet </w:t>
            </w:r>
            <w:r w:rsidR="00A4359A" w:rsidRPr="00C77523">
              <w:t xml:space="preserve">4.2.3.apakšpunktā precizēts </w:t>
            </w:r>
            <w:r w:rsidR="00903479" w:rsidRPr="00C77523">
              <w:t xml:space="preserve">sabiedrības ar ierobežotu atbildību „Ludza rajona slimnīca” </w:t>
            </w:r>
            <w:r w:rsidR="00A4359A" w:rsidRPr="00C77523">
              <w:t xml:space="preserve">nosaukums </w:t>
            </w:r>
            <w:r w:rsidR="00903479" w:rsidRPr="00C77523">
              <w:t>uz sabiedrība ar ierobežotu atbildību „Ludzas medicīnas centrs”</w:t>
            </w:r>
            <w:r w:rsidRPr="00C77523">
              <w:t>;</w:t>
            </w:r>
          </w:p>
          <w:p w:rsidR="0014270C" w:rsidRPr="00C77523" w:rsidRDefault="00A77049" w:rsidP="00A77049">
            <w:pPr>
              <w:ind w:firstLine="395"/>
              <w:jc w:val="both"/>
            </w:pPr>
            <w:r w:rsidRPr="00C77523">
              <w:t xml:space="preserve">19.pielikumā precizētas 1. un 2.līneņa dienas stacionāra manipulācijas </w:t>
            </w:r>
            <w:proofErr w:type="spellStart"/>
            <w:r w:rsidRPr="00C77523">
              <w:t>otolaringoloģijā</w:t>
            </w:r>
            <w:proofErr w:type="spellEnd"/>
            <w:r w:rsidRPr="00C77523">
              <w:t xml:space="preserve"> bērniem un </w:t>
            </w:r>
            <w:proofErr w:type="spellStart"/>
            <w:r w:rsidRPr="00C77523">
              <w:t>neiroloģisko</w:t>
            </w:r>
            <w:proofErr w:type="spellEnd"/>
            <w:r w:rsidRPr="00C77523">
              <w:t xml:space="preserve"> un iekšķīgo slimību ārstēšanai;</w:t>
            </w:r>
          </w:p>
          <w:p w:rsidR="00CE51EC" w:rsidRPr="00C77523" w:rsidRDefault="00A77049" w:rsidP="00A77049">
            <w:pPr>
              <w:ind w:firstLine="395"/>
              <w:jc w:val="both"/>
            </w:pPr>
            <w:r w:rsidRPr="00C77523">
              <w:t xml:space="preserve">20.pielikums papildināts ar </w:t>
            </w:r>
            <w:r w:rsidR="00A303C0" w:rsidRPr="00C77523">
              <w:t xml:space="preserve">nosacījumiem, ka </w:t>
            </w:r>
            <w:proofErr w:type="spellStart"/>
            <w:r w:rsidRPr="00C77523">
              <w:t>elektroencefalogrāfijas</w:t>
            </w:r>
            <w:proofErr w:type="spellEnd"/>
            <w:r w:rsidR="00CE51EC" w:rsidRPr="00C77523">
              <w:t xml:space="preserve"> bērniem</w:t>
            </w:r>
            <w:r w:rsidRPr="00C77523">
              <w:t xml:space="preserve"> un </w:t>
            </w:r>
            <w:proofErr w:type="spellStart"/>
            <w:r w:rsidRPr="00C77523">
              <w:t>scintigrāfijas</w:t>
            </w:r>
            <w:proofErr w:type="spellEnd"/>
            <w:r w:rsidRPr="00C77523">
              <w:t xml:space="preserve"> izmeklējumiem, </w:t>
            </w:r>
            <w:r w:rsidR="00A303C0" w:rsidRPr="00C77523">
              <w:t xml:space="preserve"> </w:t>
            </w:r>
            <w:r w:rsidR="00CE51EC" w:rsidRPr="00C77523">
              <w:t>dienests apmaksā ar sekundārās ambulatorās veselības aprūpes speciālistu nosūtījumu</w:t>
            </w:r>
            <w:r w:rsidR="004D34E8" w:rsidRPr="00C77523">
              <w:t>, ar 3</w:t>
            </w:r>
            <w:r w:rsidR="00C751C8">
              <w:t>62</w:t>
            </w:r>
            <w:r w:rsidR="004D34E8" w:rsidRPr="00C77523">
              <w:t>.punktu paredzot pārejas nosacījumu, kas pieļauj jau izsniegto nosūtījumu izmantošanu.</w:t>
            </w:r>
            <w:r w:rsidR="00CE51EC" w:rsidRPr="00C77523">
              <w:t>;</w:t>
            </w:r>
          </w:p>
          <w:p w:rsidR="00A77049" w:rsidRPr="00C77523" w:rsidRDefault="00A77049" w:rsidP="00A77049">
            <w:pPr>
              <w:ind w:firstLine="395"/>
              <w:jc w:val="both"/>
            </w:pPr>
            <w:r w:rsidRPr="00C77523">
              <w:t xml:space="preserve"> </w:t>
            </w:r>
            <w:r w:rsidR="00FE214C" w:rsidRPr="00C77523">
              <w:t>22</w:t>
            </w:r>
            <w:r w:rsidR="009B5DDE" w:rsidRPr="00C77523">
              <w:t xml:space="preserve">.pielikuma 1.punktā noteikts, ka </w:t>
            </w:r>
            <w:r w:rsidR="00C51B54" w:rsidRPr="00C77523">
              <w:t>v</w:t>
            </w:r>
            <w:r w:rsidR="009B5DDE" w:rsidRPr="00C77523">
              <w:t>alsts sabiedrībai ar ierobežotu atbildību „Traumatoloģijas un ortopēdijas slimnīca</w:t>
            </w:r>
            <w:r w:rsidR="00C51B54" w:rsidRPr="00C77523">
              <w:t>”</w:t>
            </w:r>
            <w:r w:rsidR="009B5DDE" w:rsidRPr="00C77523">
              <w:t xml:space="preserve"> dienests </w:t>
            </w:r>
            <w:r w:rsidR="00C51B54" w:rsidRPr="00C77523">
              <w:t xml:space="preserve">atbilstoši iesniegtam rēķinam </w:t>
            </w:r>
            <w:r w:rsidR="009B5DDE" w:rsidRPr="00C77523">
              <w:t xml:space="preserve">apmaksā </w:t>
            </w:r>
            <w:r w:rsidR="000F04A0" w:rsidRPr="00C77523">
              <w:t xml:space="preserve">tikai </w:t>
            </w:r>
            <w:r w:rsidR="005F00EA" w:rsidRPr="00C77523">
              <w:t xml:space="preserve">lielo locītavu endoprotēzes, endoprotēžu daļas un implantus pacientiem, kas ārstējās pakalpojumu programmā </w:t>
            </w:r>
            <w:r w:rsidR="00A4359A" w:rsidRPr="00C77523">
              <w:t>„</w:t>
            </w:r>
            <w:r w:rsidR="005F00EA" w:rsidRPr="00C77523">
              <w:t xml:space="preserve">Revīzijas </w:t>
            </w:r>
            <w:proofErr w:type="spellStart"/>
            <w:r w:rsidR="005F00EA" w:rsidRPr="00C77523">
              <w:t>endoprotezēšana</w:t>
            </w:r>
            <w:proofErr w:type="spellEnd"/>
            <w:r w:rsidR="005F00EA" w:rsidRPr="00C77523">
              <w:t xml:space="preserve"> un </w:t>
            </w:r>
            <w:proofErr w:type="spellStart"/>
            <w:r w:rsidR="005F00EA" w:rsidRPr="00C77523">
              <w:t>endoprotezēšana</w:t>
            </w:r>
            <w:proofErr w:type="spellEnd"/>
            <w:r w:rsidR="005F00EA" w:rsidRPr="00C77523">
              <w:t xml:space="preserve"> </w:t>
            </w:r>
            <w:proofErr w:type="spellStart"/>
            <w:r w:rsidR="005F00EA" w:rsidRPr="00C77523">
              <w:t>osteomielīta</w:t>
            </w:r>
            <w:proofErr w:type="spellEnd"/>
            <w:r w:rsidR="005F00EA" w:rsidRPr="00C77523">
              <w:t xml:space="preserve"> un onkoloģijas pacientiem” </w:t>
            </w:r>
            <w:r w:rsidR="00783954" w:rsidRPr="00C77523">
              <w:t xml:space="preserve">Savukārt 2.1.apkšpunkta redakcija nosaka, ka tuberkulozes medikamentu izmaksas ir jau iekļautas </w:t>
            </w:r>
            <w:r w:rsidR="000F04A0" w:rsidRPr="00C77523">
              <w:t xml:space="preserve">SIA </w:t>
            </w:r>
            <w:r w:rsidR="00A4359A" w:rsidRPr="00C77523">
              <w:t>„</w:t>
            </w:r>
            <w:r w:rsidR="000F04A0" w:rsidRPr="00C77523">
              <w:t>Rīgas Austrumu klīniskā universitātes slimnīca</w:t>
            </w:r>
            <w:r w:rsidR="00A4359A" w:rsidRPr="00C77523">
              <w:t>”</w:t>
            </w:r>
            <w:r w:rsidR="00783954" w:rsidRPr="00C77523">
              <w:t xml:space="preserve"> stacionāro pakalpojumu programmās un tās netiek maksātas atbilstoši rēķiniem</w:t>
            </w:r>
            <w:r w:rsidR="00EA5012" w:rsidRPr="00C77523">
              <w:t>;</w:t>
            </w:r>
          </w:p>
          <w:p w:rsidR="00163968" w:rsidRPr="00C77523" w:rsidRDefault="006A4BAC" w:rsidP="00A77049">
            <w:pPr>
              <w:ind w:firstLine="395"/>
              <w:jc w:val="both"/>
            </w:pPr>
            <w:r w:rsidRPr="00C77523">
              <w:t>25.pielikuma 3.punktā noteikti plānošanas vienībā nodrošināmie veselības aprūpes pakalpojumi 3.</w:t>
            </w:r>
            <w:r w:rsidR="00D40AA2">
              <w:t>6</w:t>
            </w:r>
            <w:r w:rsidRPr="00C77523">
              <w:t>.apakšpunktā iekļautie izmeklējumu veidi papildināts ar laboratoriskiem izmeklējumiem</w:t>
            </w:r>
            <w:r w:rsidR="00163968" w:rsidRPr="00C77523">
              <w:t>, jo ņemot vērā ierobežoto finanšu līdzekļu apjomu, kas paredzēts laboratorisko pakalpojumu apmaksai, kā arī nosacījumu, ka ar pakalpojumu sniedzējiem, kuriem mazs apjoms, netiek turpināts līgums par laboratoriskiem izmeklējumiem, nepieciešams noteikt kārtību, kādā tiek izvēlēti jauni laboratorisko pakalpojumu sniedzēji;</w:t>
            </w:r>
          </w:p>
          <w:p w:rsidR="00163968" w:rsidRPr="00C77523" w:rsidRDefault="00163968" w:rsidP="00163968">
            <w:pPr>
              <w:ind w:firstLine="395"/>
              <w:jc w:val="both"/>
            </w:pPr>
            <w:r w:rsidRPr="00C77523">
              <w:t>28.pielikumā</w:t>
            </w:r>
            <w:r w:rsidR="006A4BAC" w:rsidRPr="00C77523">
              <w:t xml:space="preserve"> </w:t>
            </w:r>
            <w:r w:rsidRPr="00C77523">
              <w:t>veikti</w:t>
            </w:r>
            <w:r w:rsidR="001E408D" w:rsidRPr="00C77523">
              <w:t>e</w:t>
            </w:r>
            <w:r w:rsidRPr="00C77523">
              <w:t xml:space="preserve"> </w:t>
            </w:r>
            <w:r w:rsidR="00EA5012" w:rsidRPr="00C77523">
              <w:t>grozījumi</w:t>
            </w:r>
            <w:r w:rsidR="001E408D" w:rsidRPr="00C77523">
              <w:t xml:space="preserve"> nosaka sniegt mazāk detalizētu informāciju </w:t>
            </w:r>
            <w:r w:rsidRPr="00C77523">
              <w:t xml:space="preserve">par strādājošo faktisko atlīdzību, vidējo atalgojumu un vidējo mēneša amatalgu.  Pārskats paredz uzrādīt nodarbināto  un slodžu skaitu ārstniecības iestādē kopā. Iepriekšējā redakcijā  nodarbināto un slodžu skaits bija jāuzrāda ambulatorās un stacionārās palīdzības sadalījumā. Veikt  šādu sadalījumu </w:t>
            </w:r>
            <w:r w:rsidR="001E408D" w:rsidRPr="00C77523">
              <w:t xml:space="preserve">bija </w:t>
            </w:r>
            <w:r w:rsidRPr="00C77523">
              <w:t xml:space="preserve"> grūtības slimnīcām, jo to personāls sniedz gan stacionāros, gan ambulatoros veselības aprūpes pakalpojumus.  Turpmāk ārstniecības un pacientu aprūpes personas un funkcionālo speciālistu asistenti tiks uzrādīti kopējā skaitā, neuzskaitot atsevišķi pa amatu veidiem</w:t>
            </w:r>
            <w:r w:rsidR="00EA5012" w:rsidRPr="00C77523">
              <w:t>;</w:t>
            </w:r>
          </w:p>
          <w:p w:rsidR="00163968" w:rsidRPr="00C77523" w:rsidRDefault="00163968" w:rsidP="00163968">
            <w:pPr>
              <w:ind w:firstLine="395"/>
              <w:jc w:val="both"/>
            </w:pPr>
            <w:r w:rsidRPr="00C77523">
              <w:t xml:space="preserve">29.pielikumā </w:t>
            </w:r>
            <w:r w:rsidR="00EA5012" w:rsidRPr="00C77523">
              <w:t>v</w:t>
            </w:r>
            <w:r w:rsidRPr="00C77523">
              <w:t xml:space="preserve">eikti grozījumi pamatojoties uz 2014.gada 10.novembra Ministru kabineta noteikumiem Nr.696 (prot. Nr.61 11.§) </w:t>
            </w:r>
            <w:r w:rsidR="00EA5012" w:rsidRPr="00C77523">
              <w:t>„</w:t>
            </w:r>
            <w:r w:rsidRPr="00C77523">
              <w:t xml:space="preserve">Grozījumi Ministru kabineta 2005.gada 27.decembra noteikumos Nr.1031 </w:t>
            </w:r>
            <w:r w:rsidR="00EA5012" w:rsidRPr="00C77523">
              <w:t>„</w:t>
            </w:r>
            <w:r w:rsidRPr="00C77523">
              <w:t>Noteikumi par budžetu izdevumu klasifikāciju atbilstoši ekonomiskajām kategorijām</w:t>
            </w:r>
            <w:r w:rsidR="00EA5012" w:rsidRPr="00C77523">
              <w:t>””;</w:t>
            </w:r>
          </w:p>
          <w:p w:rsidR="00EA5012" w:rsidRPr="00C77523" w:rsidRDefault="00EA5012" w:rsidP="00163968">
            <w:pPr>
              <w:ind w:firstLine="395"/>
              <w:jc w:val="both"/>
            </w:pPr>
            <w:r w:rsidRPr="00C77523">
              <w:t>30.pielikumā veiktie grozījumi nosaka ārstniecības iestādēm sniegt mazāk detalizētu informāciju – atsevišķi nav jāuzskaita māsu palīgi (sanitāri);</w:t>
            </w:r>
          </w:p>
          <w:p w:rsidR="00EA5012" w:rsidRPr="00C77523" w:rsidRDefault="00EA5012" w:rsidP="00163968">
            <w:pPr>
              <w:ind w:firstLine="395"/>
              <w:jc w:val="both"/>
            </w:pPr>
            <w:r w:rsidRPr="00C77523">
              <w:t>32.pielikumā, kurā noteikts centralizēti iepērkamo ārstniecības līdzekļu saraksts,  veikti grozījumi atbilstoši Ministru kabineta 2000.gada 26.septembra noteikumu Nr.330 „Vakcinācijas noteikumi” šobrīd spēkā esošai redakcijai.</w:t>
            </w:r>
          </w:p>
          <w:p w:rsidR="00893190" w:rsidRPr="00C77523" w:rsidRDefault="00893190" w:rsidP="00893190">
            <w:pPr>
              <w:ind w:firstLine="252"/>
              <w:jc w:val="both"/>
            </w:pPr>
            <w:r w:rsidRPr="00C77523">
              <w:t>Redakcionāli grozījumi:</w:t>
            </w:r>
          </w:p>
          <w:p w:rsidR="0094214F" w:rsidRPr="00C77523" w:rsidRDefault="00893190" w:rsidP="00893190">
            <w:pPr>
              <w:ind w:firstLine="252"/>
              <w:jc w:val="both"/>
            </w:pPr>
            <w:r w:rsidRPr="00C77523">
              <w:rPr>
                <w:bCs/>
              </w:rPr>
              <w:t>- precizējums noteikumu 89.puntā saistīts ar  grozījumu 49.un 50.punktos.</w:t>
            </w:r>
            <w:r w:rsidR="0094214F" w:rsidRPr="00C77523">
              <w:t xml:space="preserve"> </w:t>
            </w:r>
          </w:p>
          <w:p w:rsidR="00893190" w:rsidRPr="00C77523" w:rsidRDefault="0094214F" w:rsidP="0094214F">
            <w:pPr>
              <w:ind w:firstLine="252"/>
              <w:jc w:val="both"/>
            </w:pPr>
            <w:r w:rsidRPr="00C77523">
              <w:t xml:space="preserve">-251.4.1.apakšpunktā </w:t>
            </w:r>
            <w:r w:rsidR="00B15907" w:rsidRPr="00C77523">
              <w:t xml:space="preserve">svītrota </w:t>
            </w:r>
            <w:r w:rsidRPr="00C77523">
              <w:t>atsauce uz 24</w:t>
            </w:r>
            <w:r w:rsidR="00B15907" w:rsidRPr="00C77523">
              <w:t>.16</w:t>
            </w:r>
            <w:r w:rsidRPr="00C77523">
              <w:t>.apakšpunktu;</w:t>
            </w:r>
          </w:p>
          <w:p w:rsidR="00476101" w:rsidRPr="00C77523" w:rsidRDefault="00476101" w:rsidP="00476101">
            <w:pPr>
              <w:ind w:firstLine="252"/>
              <w:jc w:val="both"/>
            </w:pPr>
            <w:r w:rsidRPr="00C77523">
              <w:t>-257.punkta ievaddaļā precizēta atsauce uz 241.4.6.4.apakšpunktu;</w:t>
            </w:r>
          </w:p>
          <w:p w:rsidR="00476101" w:rsidRPr="00C77523" w:rsidRDefault="00CE51EC" w:rsidP="0094214F">
            <w:pPr>
              <w:ind w:firstLine="252"/>
              <w:jc w:val="both"/>
              <w:rPr>
                <w:bCs/>
              </w:rPr>
            </w:pPr>
            <w:r w:rsidRPr="00C77523">
              <w:rPr>
                <w:bCs/>
              </w:rPr>
              <w:t>-2</w:t>
            </w:r>
            <w:r w:rsidR="009B5DDE" w:rsidRPr="00C77523">
              <w:rPr>
                <w:bCs/>
              </w:rPr>
              <w:t>1</w:t>
            </w:r>
            <w:r w:rsidRPr="00C77523">
              <w:rPr>
                <w:bCs/>
              </w:rPr>
              <w:t>.pielikumā redakcionāls precizējums vienai diagnozei Kodolmagnētiskās rezonanses izmeklējums vienai ķermeņa daļai bez kontrastēšanas ar 1,0 T vai stiprāka magnētiskā lauka aparātiem. Viena apmeklējuma laikā vienam pacientam var norādīt tik reizes, cik ķermeņa daļām veikti izmeklējumi;</w:t>
            </w:r>
          </w:p>
          <w:p w:rsidR="006A4BAC" w:rsidRDefault="00783954" w:rsidP="008B5DE4">
            <w:pPr>
              <w:ind w:firstLine="252"/>
              <w:jc w:val="both"/>
              <w:rPr>
                <w:bCs/>
              </w:rPr>
            </w:pPr>
            <w:r w:rsidRPr="00C77523">
              <w:rPr>
                <w:bCs/>
              </w:rPr>
              <w:t>22.pielikum</w:t>
            </w:r>
            <w:r w:rsidR="006A4BAC" w:rsidRPr="00C77523">
              <w:rPr>
                <w:bCs/>
              </w:rPr>
              <w:t>a</w:t>
            </w:r>
            <w:r w:rsidRPr="00C77523">
              <w:rPr>
                <w:bCs/>
              </w:rPr>
              <w:t xml:space="preserve"> 5.punktā </w:t>
            </w:r>
            <w:r w:rsidR="006A4BAC" w:rsidRPr="00C77523">
              <w:rPr>
                <w:bCs/>
              </w:rPr>
              <w:t xml:space="preserve">veikts </w:t>
            </w:r>
            <w:r w:rsidRPr="00C77523">
              <w:rPr>
                <w:bCs/>
              </w:rPr>
              <w:t>redakcionāls precizējums</w:t>
            </w:r>
            <w:r w:rsidR="006A4BAC" w:rsidRPr="00C77523">
              <w:rPr>
                <w:bCs/>
              </w:rPr>
              <w:t xml:space="preserve"> atbilstoši zāļu iesaiņojumam, jo zāļu devas vairs neatbilst iepakojumiem, kas šobrīd tiek piedāvāti tirgū</w:t>
            </w:r>
            <w:r w:rsidR="008B5DE4">
              <w:rPr>
                <w:bCs/>
              </w:rPr>
              <w:t>.</w:t>
            </w:r>
          </w:p>
          <w:p w:rsidR="008B5DE4" w:rsidRPr="00C77523" w:rsidRDefault="008B5DE4" w:rsidP="008B5DE4">
            <w:pPr>
              <w:ind w:firstLine="252"/>
              <w:jc w:val="both"/>
              <w:rPr>
                <w:bCs/>
              </w:rPr>
            </w:pPr>
          </w:p>
        </w:tc>
      </w:tr>
      <w:tr w:rsidR="00E571FE" w:rsidRPr="00C77523" w:rsidTr="00E400B7">
        <w:tc>
          <w:tcPr>
            <w:tcW w:w="243" w:type="pct"/>
          </w:tcPr>
          <w:p w:rsidR="00E571FE" w:rsidRPr="00C77523" w:rsidRDefault="00E571FE" w:rsidP="00BF6E4D">
            <w:pPr>
              <w:jc w:val="center"/>
              <w:rPr>
                <w:lang w:eastAsia="lv-LV"/>
              </w:rPr>
            </w:pPr>
            <w:r w:rsidRPr="00C77523">
              <w:rPr>
                <w:lang w:eastAsia="lv-LV"/>
              </w:rPr>
              <w:lastRenderedPageBreak/>
              <w:t>3.</w:t>
            </w:r>
          </w:p>
        </w:tc>
        <w:tc>
          <w:tcPr>
            <w:tcW w:w="1208" w:type="pct"/>
          </w:tcPr>
          <w:p w:rsidR="00E571FE" w:rsidRPr="00C77523" w:rsidRDefault="00E571FE" w:rsidP="00BF6E4D">
            <w:pPr>
              <w:jc w:val="both"/>
              <w:rPr>
                <w:lang w:eastAsia="lv-LV"/>
              </w:rPr>
            </w:pPr>
            <w:r w:rsidRPr="00C77523">
              <w:rPr>
                <w:lang w:eastAsia="lv-LV"/>
              </w:rPr>
              <w:t>Projekta izstrādē iesaistītās institūcijas</w:t>
            </w:r>
          </w:p>
        </w:tc>
        <w:tc>
          <w:tcPr>
            <w:tcW w:w="3548" w:type="pct"/>
          </w:tcPr>
          <w:p w:rsidR="002C0406" w:rsidRPr="00C77523" w:rsidRDefault="00696E92" w:rsidP="00E14A37">
            <w:pPr>
              <w:jc w:val="both"/>
              <w:rPr>
                <w:lang w:eastAsia="lv-LV"/>
              </w:rPr>
            </w:pPr>
            <w:r w:rsidRPr="00C77523">
              <w:rPr>
                <w:lang w:eastAsia="lv-LV"/>
              </w:rPr>
              <w:t xml:space="preserve"> </w:t>
            </w:r>
            <w:r w:rsidR="00135C2E" w:rsidRPr="00C77523">
              <w:rPr>
                <w:lang w:eastAsia="lv-LV"/>
              </w:rPr>
              <w:t>D</w:t>
            </w:r>
            <w:r w:rsidR="00886EB1" w:rsidRPr="00C77523">
              <w:rPr>
                <w:lang w:eastAsia="lv-LV"/>
              </w:rPr>
              <w:t>ienests</w:t>
            </w:r>
          </w:p>
        </w:tc>
      </w:tr>
      <w:tr w:rsidR="00E571FE" w:rsidRPr="00C77523" w:rsidTr="00E400B7">
        <w:tc>
          <w:tcPr>
            <w:tcW w:w="243" w:type="pct"/>
          </w:tcPr>
          <w:p w:rsidR="00E571FE" w:rsidRPr="00C77523" w:rsidRDefault="00E571FE" w:rsidP="00BF6E4D">
            <w:pPr>
              <w:jc w:val="center"/>
              <w:rPr>
                <w:lang w:eastAsia="lv-LV"/>
              </w:rPr>
            </w:pPr>
            <w:r w:rsidRPr="00C77523">
              <w:rPr>
                <w:lang w:eastAsia="lv-LV"/>
              </w:rPr>
              <w:t>4.</w:t>
            </w:r>
          </w:p>
        </w:tc>
        <w:tc>
          <w:tcPr>
            <w:tcW w:w="1208" w:type="pct"/>
          </w:tcPr>
          <w:p w:rsidR="00E571FE" w:rsidRPr="00C77523" w:rsidRDefault="00E571FE" w:rsidP="00BF6E4D">
            <w:pPr>
              <w:jc w:val="both"/>
              <w:rPr>
                <w:lang w:eastAsia="lv-LV"/>
              </w:rPr>
            </w:pPr>
            <w:r w:rsidRPr="00C77523">
              <w:rPr>
                <w:lang w:eastAsia="lv-LV"/>
              </w:rPr>
              <w:t>Cita informācija</w:t>
            </w:r>
          </w:p>
        </w:tc>
        <w:tc>
          <w:tcPr>
            <w:tcW w:w="3548" w:type="pct"/>
          </w:tcPr>
          <w:p w:rsidR="00E571FE" w:rsidRPr="00C77523" w:rsidRDefault="003705D7" w:rsidP="00BF6E4D">
            <w:pPr>
              <w:jc w:val="both"/>
            </w:pPr>
            <w:r w:rsidRPr="00C77523">
              <w:t xml:space="preserve"> </w:t>
            </w:r>
            <w:r w:rsidR="00E571FE" w:rsidRPr="00C77523">
              <w:t>Nav</w:t>
            </w:r>
          </w:p>
        </w:tc>
      </w:tr>
    </w:tbl>
    <w:p w:rsidR="00E571FE" w:rsidRPr="00C77523" w:rsidRDefault="00E571FE" w:rsidP="00BF6E4D"/>
    <w:tbl>
      <w:tblPr>
        <w:tblW w:w="5040"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90"/>
        <w:gridCol w:w="2288"/>
        <w:gridCol w:w="6677"/>
      </w:tblGrid>
      <w:tr w:rsidR="00E571FE" w:rsidRPr="00C77523" w:rsidTr="00016C73">
        <w:tc>
          <w:tcPr>
            <w:tcW w:w="5000" w:type="pct"/>
            <w:gridSpan w:val="3"/>
            <w:tcBorders>
              <w:top w:val="outset" w:sz="6" w:space="0" w:color="auto"/>
              <w:bottom w:val="outset" w:sz="6" w:space="0" w:color="auto"/>
            </w:tcBorders>
          </w:tcPr>
          <w:p w:rsidR="00E571FE" w:rsidRPr="00C77523" w:rsidRDefault="00E571FE" w:rsidP="00BF6E4D">
            <w:pPr>
              <w:jc w:val="center"/>
              <w:rPr>
                <w:b/>
              </w:rPr>
            </w:pPr>
            <w:r w:rsidRPr="00C77523">
              <w:rPr>
                <w:b/>
              </w:rPr>
              <w:t>II. Tiesību akta projekta ietekme uz sabiedrību,</w:t>
            </w:r>
            <w:r w:rsidRPr="00C77523">
              <w:rPr>
                <w:b/>
                <w:bCs/>
              </w:rPr>
              <w:t xml:space="preserve"> tautsaimniecības attīstību un administratīvo slogu</w:t>
            </w:r>
          </w:p>
        </w:tc>
      </w:tr>
      <w:tr w:rsidR="00E571FE" w:rsidRPr="00C77523" w:rsidTr="00016C73">
        <w:tc>
          <w:tcPr>
            <w:tcW w:w="191" w:type="pct"/>
            <w:tcBorders>
              <w:top w:val="outset" w:sz="6" w:space="0" w:color="auto"/>
              <w:right w:val="outset" w:sz="6" w:space="0" w:color="auto"/>
            </w:tcBorders>
          </w:tcPr>
          <w:p w:rsidR="00E571FE" w:rsidRPr="00C77523" w:rsidRDefault="00E571FE" w:rsidP="00BF6E4D">
            <w:pPr>
              <w:jc w:val="center"/>
            </w:pPr>
            <w:r w:rsidRPr="00C77523">
              <w:t>1.</w:t>
            </w:r>
          </w:p>
        </w:tc>
        <w:tc>
          <w:tcPr>
            <w:tcW w:w="1232" w:type="pct"/>
            <w:tcBorders>
              <w:top w:val="outset" w:sz="6" w:space="0" w:color="auto"/>
              <w:left w:val="outset" w:sz="6" w:space="0" w:color="auto"/>
              <w:right w:val="outset" w:sz="6" w:space="0" w:color="auto"/>
            </w:tcBorders>
          </w:tcPr>
          <w:p w:rsidR="00E571FE" w:rsidRPr="00C77523" w:rsidRDefault="00E571FE" w:rsidP="00BF6E4D">
            <w:pPr>
              <w:jc w:val="both"/>
            </w:pPr>
            <w:r w:rsidRPr="00C77523">
              <w:t>Sabiedrības mērķgrupas, kuras tiesiskais regulējums ietekmē vai varētu ietekmēt</w:t>
            </w:r>
          </w:p>
        </w:tc>
        <w:tc>
          <w:tcPr>
            <w:tcW w:w="3577" w:type="pct"/>
            <w:tcBorders>
              <w:top w:val="outset" w:sz="6" w:space="0" w:color="auto"/>
              <w:left w:val="outset" w:sz="6" w:space="0" w:color="auto"/>
            </w:tcBorders>
          </w:tcPr>
          <w:p w:rsidR="003F63C1" w:rsidRPr="00C77523" w:rsidRDefault="00902B9B" w:rsidP="00CF6E17">
            <w:pPr>
              <w:ind w:left="57" w:right="57"/>
              <w:jc w:val="both"/>
            </w:pPr>
            <w:r w:rsidRPr="00C77523">
              <w:t xml:space="preserve">Noteikumu projekta </w:t>
            </w:r>
            <w:r w:rsidR="008A1662" w:rsidRPr="00C77523">
              <w:t xml:space="preserve">tiesiskais regulējums </w:t>
            </w:r>
            <w:r w:rsidR="00B96377" w:rsidRPr="00C77523">
              <w:t>attiecināms</w:t>
            </w:r>
            <w:r w:rsidR="006D7935" w:rsidRPr="00C77523">
              <w:t xml:space="preserve"> </w:t>
            </w:r>
            <w:r w:rsidR="00A4359A" w:rsidRPr="00C77523">
              <w:t xml:space="preserve">uz </w:t>
            </w:r>
            <w:r w:rsidR="003F63C1" w:rsidRPr="00C77523">
              <w:t xml:space="preserve">ārstniecības personām un ārstniecības iestādēm, kuras sniedz valsts apmaksātos </w:t>
            </w:r>
            <w:r w:rsidR="00E804D3" w:rsidRPr="00C77523">
              <w:t xml:space="preserve">laboratoriskos izmeklējumus </w:t>
            </w:r>
            <w:r w:rsidR="005932D8" w:rsidRPr="00C77523">
              <w:t>iedzīvotājiem</w:t>
            </w:r>
            <w:r w:rsidR="00CF6E17" w:rsidRPr="00C77523">
              <w:t xml:space="preserve">, kā arī </w:t>
            </w:r>
            <w:r w:rsidR="00A4359A" w:rsidRPr="00C77523">
              <w:t xml:space="preserve"> uz </w:t>
            </w:r>
            <w:r w:rsidR="00CF6E17" w:rsidRPr="00C77523">
              <w:t>personām, kas saņem valsts apmaksātos veselības aprūpes pakalpojumus.</w:t>
            </w:r>
            <w:r w:rsidR="003F63C1" w:rsidRPr="00C77523">
              <w:t xml:space="preserve"> </w:t>
            </w:r>
          </w:p>
        </w:tc>
      </w:tr>
      <w:tr w:rsidR="004B3E3A" w:rsidRPr="00C77523" w:rsidTr="00016C73">
        <w:tc>
          <w:tcPr>
            <w:tcW w:w="191" w:type="pct"/>
            <w:tcBorders>
              <w:top w:val="outset" w:sz="6" w:space="0" w:color="auto"/>
              <w:right w:val="outset" w:sz="6" w:space="0" w:color="auto"/>
            </w:tcBorders>
          </w:tcPr>
          <w:p w:rsidR="004B3E3A" w:rsidRPr="00C77523" w:rsidRDefault="004B3E3A" w:rsidP="00BF6E4D">
            <w:pPr>
              <w:jc w:val="center"/>
            </w:pPr>
            <w:r w:rsidRPr="00C77523">
              <w:t>2.</w:t>
            </w:r>
          </w:p>
        </w:tc>
        <w:tc>
          <w:tcPr>
            <w:tcW w:w="1232" w:type="pct"/>
            <w:tcBorders>
              <w:top w:val="outset" w:sz="6" w:space="0" w:color="auto"/>
              <w:left w:val="outset" w:sz="6" w:space="0" w:color="auto"/>
              <w:right w:val="outset" w:sz="6" w:space="0" w:color="auto"/>
            </w:tcBorders>
          </w:tcPr>
          <w:p w:rsidR="004B3E3A" w:rsidRPr="00C77523" w:rsidRDefault="004B3E3A" w:rsidP="00BF6E4D">
            <w:pPr>
              <w:widowControl w:val="0"/>
              <w:jc w:val="both"/>
            </w:pPr>
            <w:r w:rsidRPr="00C77523">
              <w:t>Tiesiskā regulējuma ietekme uz tautsaimniecību un administratīvo slogu</w:t>
            </w:r>
          </w:p>
        </w:tc>
        <w:tc>
          <w:tcPr>
            <w:tcW w:w="3577" w:type="pct"/>
            <w:tcBorders>
              <w:top w:val="outset" w:sz="6" w:space="0" w:color="auto"/>
              <w:left w:val="outset" w:sz="6" w:space="0" w:color="auto"/>
            </w:tcBorders>
          </w:tcPr>
          <w:p w:rsidR="004D7BE3" w:rsidRPr="00C77523" w:rsidRDefault="00B96377" w:rsidP="00913AA6">
            <w:pPr>
              <w:pStyle w:val="naiskr"/>
              <w:spacing w:before="0" w:beforeAutospacing="0" w:after="0" w:afterAutospacing="0"/>
              <w:jc w:val="both"/>
            </w:pPr>
            <w:r w:rsidRPr="00C77523">
              <w:t xml:space="preserve">Sabiedrības grupām un institūcijām projekta tiesiskais regulējums </w:t>
            </w:r>
            <w:r w:rsidR="00322243" w:rsidRPr="00C77523">
              <w:t xml:space="preserve">pēc būtības </w:t>
            </w:r>
            <w:r w:rsidRPr="00C77523">
              <w:t>nemaina tiesības un pienākumus</w:t>
            </w:r>
            <w:r w:rsidR="00913AA6" w:rsidRPr="00C77523">
              <w:t>.</w:t>
            </w:r>
            <w:r w:rsidR="005932D8" w:rsidRPr="00C77523">
              <w:t xml:space="preserve"> </w:t>
            </w:r>
          </w:p>
          <w:p w:rsidR="008E1117" w:rsidRPr="00C77523" w:rsidRDefault="008E1117" w:rsidP="00D833A2">
            <w:pPr>
              <w:pStyle w:val="naiskr"/>
              <w:spacing w:before="0" w:beforeAutospacing="0" w:after="0" w:afterAutospacing="0"/>
              <w:jc w:val="both"/>
            </w:pPr>
          </w:p>
        </w:tc>
      </w:tr>
      <w:tr w:rsidR="004B3E3A" w:rsidRPr="00C77523" w:rsidTr="00016C73">
        <w:tc>
          <w:tcPr>
            <w:tcW w:w="191" w:type="pct"/>
            <w:tcBorders>
              <w:top w:val="outset" w:sz="6" w:space="0" w:color="auto"/>
              <w:right w:val="outset" w:sz="6" w:space="0" w:color="auto"/>
            </w:tcBorders>
          </w:tcPr>
          <w:p w:rsidR="004B3E3A" w:rsidRPr="00C77523" w:rsidRDefault="004B3E3A" w:rsidP="00BF6E4D">
            <w:pPr>
              <w:pStyle w:val="NormalWeb"/>
              <w:spacing w:before="0" w:beforeAutospacing="0" w:after="0" w:afterAutospacing="0"/>
            </w:pPr>
            <w:r w:rsidRPr="00C77523">
              <w:t>3.</w:t>
            </w:r>
          </w:p>
        </w:tc>
        <w:tc>
          <w:tcPr>
            <w:tcW w:w="1232" w:type="pct"/>
            <w:tcBorders>
              <w:top w:val="outset" w:sz="6" w:space="0" w:color="auto"/>
              <w:left w:val="outset" w:sz="6" w:space="0" w:color="auto"/>
              <w:right w:val="outset" w:sz="6" w:space="0" w:color="auto"/>
            </w:tcBorders>
          </w:tcPr>
          <w:p w:rsidR="004B3E3A" w:rsidRPr="00C77523" w:rsidRDefault="004B3E3A" w:rsidP="005D3CAC">
            <w:pPr>
              <w:pStyle w:val="NormalWeb"/>
              <w:spacing w:before="0" w:beforeAutospacing="0" w:after="0" w:afterAutospacing="0"/>
              <w:jc w:val="both"/>
            </w:pPr>
            <w:r w:rsidRPr="00C77523">
              <w:t>Administratīvo izmaksu monetārs novērtējums</w:t>
            </w:r>
          </w:p>
        </w:tc>
        <w:tc>
          <w:tcPr>
            <w:tcW w:w="3577" w:type="pct"/>
            <w:tcBorders>
              <w:top w:val="outset" w:sz="6" w:space="0" w:color="auto"/>
              <w:left w:val="outset" w:sz="6" w:space="0" w:color="auto"/>
            </w:tcBorders>
          </w:tcPr>
          <w:p w:rsidR="00FD7B9C" w:rsidRPr="00C77523" w:rsidRDefault="0030760D" w:rsidP="00FD7B9C">
            <w:pPr>
              <w:ind w:left="-74"/>
              <w:jc w:val="both"/>
            </w:pPr>
            <w:r w:rsidRPr="00C77523">
              <w:t xml:space="preserve"> </w:t>
            </w:r>
            <w:r w:rsidR="00D833A2" w:rsidRPr="00C77523">
              <w:t>Projekts šo jomu neskar.</w:t>
            </w:r>
          </w:p>
        </w:tc>
      </w:tr>
      <w:tr w:rsidR="004B3E3A" w:rsidRPr="00C77523" w:rsidTr="00016C73">
        <w:tc>
          <w:tcPr>
            <w:tcW w:w="191" w:type="pct"/>
            <w:tcBorders>
              <w:top w:val="outset" w:sz="6" w:space="0" w:color="auto"/>
              <w:bottom w:val="outset" w:sz="6" w:space="0" w:color="auto"/>
              <w:right w:val="outset" w:sz="6" w:space="0" w:color="auto"/>
            </w:tcBorders>
          </w:tcPr>
          <w:p w:rsidR="004B3E3A" w:rsidRPr="00C77523" w:rsidRDefault="004B3E3A" w:rsidP="00BF6E4D">
            <w:pPr>
              <w:pStyle w:val="NormalWeb"/>
              <w:spacing w:before="0" w:beforeAutospacing="0" w:after="0" w:afterAutospacing="0"/>
            </w:pPr>
            <w:r w:rsidRPr="00C77523">
              <w:t>4.</w:t>
            </w:r>
          </w:p>
        </w:tc>
        <w:tc>
          <w:tcPr>
            <w:tcW w:w="1232" w:type="pct"/>
            <w:tcBorders>
              <w:top w:val="outset" w:sz="6" w:space="0" w:color="auto"/>
              <w:left w:val="outset" w:sz="6" w:space="0" w:color="auto"/>
              <w:bottom w:val="outset" w:sz="6" w:space="0" w:color="auto"/>
              <w:right w:val="outset" w:sz="6" w:space="0" w:color="auto"/>
            </w:tcBorders>
          </w:tcPr>
          <w:p w:rsidR="004B3E3A" w:rsidRPr="00C77523" w:rsidRDefault="004B3E3A" w:rsidP="00BF6E4D">
            <w:pPr>
              <w:jc w:val="both"/>
            </w:pPr>
            <w:r w:rsidRPr="00C77523">
              <w:t>Cita informācija</w:t>
            </w:r>
          </w:p>
        </w:tc>
        <w:tc>
          <w:tcPr>
            <w:tcW w:w="3577" w:type="pct"/>
            <w:tcBorders>
              <w:top w:val="outset" w:sz="6" w:space="0" w:color="auto"/>
              <w:left w:val="outset" w:sz="6" w:space="0" w:color="auto"/>
              <w:bottom w:val="outset" w:sz="6" w:space="0" w:color="auto"/>
            </w:tcBorders>
          </w:tcPr>
          <w:p w:rsidR="004B3E3A" w:rsidRPr="00C77523" w:rsidRDefault="00364847" w:rsidP="00364847">
            <w:pPr>
              <w:widowControl w:val="0"/>
              <w:jc w:val="both"/>
            </w:pPr>
            <w:r w:rsidRPr="00C77523">
              <w:t>Nav</w:t>
            </w:r>
          </w:p>
        </w:tc>
      </w:tr>
    </w:tbl>
    <w:p w:rsidR="00E24687" w:rsidRPr="00C77523" w:rsidRDefault="00E24687" w:rsidP="00BF6E4D">
      <w:pPr>
        <w:jc w:val="both"/>
        <w:rPr>
          <w:lang w:eastAsia="lv-LV"/>
        </w:rPr>
      </w:pPr>
    </w:p>
    <w:tbl>
      <w:tblPr>
        <w:tblStyle w:val="TableGrid"/>
        <w:tblW w:w="5124" w:type="pct"/>
        <w:tblCellMar>
          <w:left w:w="57" w:type="dxa"/>
          <w:right w:w="57" w:type="dxa"/>
        </w:tblCellMar>
        <w:tblLook w:val="04A0"/>
      </w:tblPr>
      <w:tblGrid>
        <w:gridCol w:w="2089"/>
        <w:gridCol w:w="1679"/>
        <w:gridCol w:w="1244"/>
        <w:gridCol w:w="1325"/>
        <w:gridCol w:w="1519"/>
        <w:gridCol w:w="1557"/>
      </w:tblGrid>
      <w:tr w:rsidR="00C77523" w:rsidRPr="00C77523" w:rsidTr="00A96E21">
        <w:trPr>
          <w:trHeight w:val="360"/>
        </w:trPr>
        <w:tc>
          <w:tcPr>
            <w:tcW w:w="5000" w:type="pct"/>
            <w:gridSpan w:val="6"/>
            <w:hideMark/>
          </w:tcPr>
          <w:p w:rsidR="00C77523" w:rsidRPr="00C77523" w:rsidRDefault="00C77523" w:rsidP="00C77523">
            <w:pPr>
              <w:spacing w:before="100" w:beforeAutospacing="1"/>
              <w:ind w:firstLine="301"/>
              <w:jc w:val="center"/>
              <w:rPr>
                <w:b/>
                <w:bCs/>
                <w:noProof/>
                <w:color w:val="000000" w:themeColor="text1"/>
                <w:lang w:bidi="gu-IN"/>
              </w:rPr>
            </w:pPr>
            <w:r w:rsidRPr="00C77523">
              <w:rPr>
                <w:b/>
                <w:bCs/>
                <w:noProof/>
                <w:color w:val="000000" w:themeColor="text1"/>
                <w:lang w:bidi="gu-IN"/>
              </w:rPr>
              <w:t>III. Tiesību akta projekta ietekme uz valsts budžetu un pašvaldību budžetiem</w:t>
            </w:r>
          </w:p>
        </w:tc>
      </w:tr>
      <w:tr w:rsidR="00C77523" w:rsidRPr="00C77523" w:rsidTr="00A96E21">
        <w:tc>
          <w:tcPr>
            <w:tcW w:w="1109" w:type="pct"/>
            <w:vMerge w:val="restart"/>
            <w:vAlign w:val="center"/>
            <w:hideMark/>
          </w:tcPr>
          <w:p w:rsidR="00C77523" w:rsidRPr="00C77523" w:rsidRDefault="00C77523" w:rsidP="00C77523">
            <w:pPr>
              <w:ind w:firstLine="300"/>
              <w:jc w:val="center"/>
              <w:rPr>
                <w:b/>
                <w:bCs/>
                <w:noProof/>
                <w:color w:val="000000" w:themeColor="text1"/>
                <w:sz w:val="20"/>
                <w:szCs w:val="20"/>
                <w:lang w:bidi="gu-IN"/>
              </w:rPr>
            </w:pPr>
            <w:r w:rsidRPr="00C77523">
              <w:rPr>
                <w:b/>
                <w:bCs/>
                <w:noProof/>
                <w:color w:val="000000" w:themeColor="text1"/>
                <w:sz w:val="20"/>
                <w:szCs w:val="20"/>
                <w:lang w:bidi="gu-IN"/>
              </w:rPr>
              <w:t>Rādītāji</w:t>
            </w:r>
          </w:p>
        </w:tc>
        <w:tc>
          <w:tcPr>
            <w:tcW w:w="1553" w:type="pct"/>
            <w:gridSpan w:val="2"/>
            <w:vMerge w:val="restart"/>
            <w:vAlign w:val="center"/>
            <w:hideMark/>
          </w:tcPr>
          <w:p w:rsidR="00C77523" w:rsidRPr="00C77523" w:rsidRDefault="00C77523" w:rsidP="00C77523">
            <w:pPr>
              <w:ind w:firstLine="4"/>
              <w:jc w:val="center"/>
              <w:rPr>
                <w:b/>
                <w:bCs/>
                <w:noProof/>
                <w:color w:val="000000" w:themeColor="text1"/>
                <w:lang w:bidi="gu-IN"/>
              </w:rPr>
            </w:pPr>
            <w:r w:rsidRPr="00C77523">
              <w:rPr>
                <w:b/>
                <w:bCs/>
                <w:noProof/>
                <w:color w:val="000000" w:themeColor="text1"/>
                <w:lang w:bidi="gu-IN"/>
              </w:rPr>
              <w:t>2015</w:t>
            </w:r>
          </w:p>
        </w:tc>
        <w:tc>
          <w:tcPr>
            <w:tcW w:w="2339" w:type="pct"/>
            <w:gridSpan w:val="3"/>
            <w:vAlign w:val="center"/>
            <w:hideMark/>
          </w:tcPr>
          <w:p w:rsidR="00C77523" w:rsidRPr="00C77523" w:rsidRDefault="00C77523" w:rsidP="00C77523">
            <w:pPr>
              <w:jc w:val="center"/>
              <w:rPr>
                <w:noProof/>
                <w:color w:val="000000" w:themeColor="text1"/>
                <w:lang w:bidi="gu-IN"/>
              </w:rPr>
            </w:pPr>
            <w:r w:rsidRPr="00C77523">
              <w:rPr>
                <w:noProof/>
                <w:color w:val="000000" w:themeColor="text1"/>
                <w:lang w:bidi="gu-IN"/>
              </w:rPr>
              <w:t>Turpmākie trīs gadi (</w:t>
            </w:r>
            <w:r w:rsidRPr="00C77523">
              <w:rPr>
                <w:i/>
                <w:iCs/>
                <w:noProof/>
                <w:color w:val="000000" w:themeColor="text1"/>
                <w:lang w:bidi="gu-IN"/>
              </w:rPr>
              <w:t>euro</w:t>
            </w:r>
            <w:r w:rsidRPr="00C77523">
              <w:rPr>
                <w:noProof/>
                <w:color w:val="000000" w:themeColor="text1"/>
                <w:lang w:bidi="gu-IN"/>
              </w:rPr>
              <w:t>)</w:t>
            </w:r>
          </w:p>
        </w:tc>
      </w:tr>
      <w:tr w:rsidR="00C77523" w:rsidRPr="00C77523" w:rsidTr="00A96E21">
        <w:tc>
          <w:tcPr>
            <w:tcW w:w="1109" w:type="pct"/>
            <w:vMerge/>
            <w:hideMark/>
          </w:tcPr>
          <w:p w:rsidR="00C77523" w:rsidRPr="00C77523" w:rsidRDefault="00C77523" w:rsidP="00C77523">
            <w:pPr>
              <w:rPr>
                <w:b/>
                <w:bCs/>
                <w:noProof/>
                <w:color w:val="000000" w:themeColor="text1"/>
                <w:sz w:val="20"/>
                <w:szCs w:val="20"/>
                <w:lang w:bidi="gu-IN"/>
              </w:rPr>
            </w:pPr>
          </w:p>
        </w:tc>
        <w:tc>
          <w:tcPr>
            <w:tcW w:w="1553" w:type="pct"/>
            <w:gridSpan w:val="2"/>
            <w:vMerge/>
            <w:hideMark/>
          </w:tcPr>
          <w:p w:rsidR="00C77523" w:rsidRPr="00C77523" w:rsidRDefault="00C77523" w:rsidP="00C77523">
            <w:pPr>
              <w:rPr>
                <w:b/>
                <w:bCs/>
                <w:noProof/>
                <w:color w:val="000000" w:themeColor="text1"/>
                <w:lang w:bidi="gu-IN"/>
              </w:rPr>
            </w:pPr>
          </w:p>
        </w:tc>
        <w:tc>
          <w:tcPr>
            <w:tcW w:w="704" w:type="pct"/>
            <w:vAlign w:val="center"/>
            <w:hideMark/>
          </w:tcPr>
          <w:p w:rsidR="00C77523" w:rsidRPr="00C77523" w:rsidRDefault="00C77523" w:rsidP="00C77523">
            <w:pPr>
              <w:jc w:val="center"/>
              <w:rPr>
                <w:b/>
                <w:bCs/>
                <w:noProof/>
                <w:color w:val="000000" w:themeColor="text1"/>
                <w:lang w:bidi="gu-IN"/>
              </w:rPr>
            </w:pPr>
            <w:r w:rsidRPr="00C77523">
              <w:rPr>
                <w:b/>
                <w:bCs/>
                <w:noProof/>
                <w:color w:val="000000" w:themeColor="text1"/>
                <w:lang w:bidi="gu-IN"/>
              </w:rPr>
              <w:t>2016</w:t>
            </w:r>
          </w:p>
        </w:tc>
        <w:tc>
          <w:tcPr>
            <w:tcW w:w="807" w:type="pct"/>
            <w:vAlign w:val="center"/>
            <w:hideMark/>
          </w:tcPr>
          <w:p w:rsidR="00C77523" w:rsidRPr="00C77523" w:rsidRDefault="00C77523" w:rsidP="00C77523">
            <w:pPr>
              <w:jc w:val="center"/>
              <w:rPr>
                <w:b/>
                <w:bCs/>
                <w:noProof/>
                <w:color w:val="000000" w:themeColor="text1"/>
                <w:lang w:bidi="gu-IN"/>
              </w:rPr>
            </w:pPr>
            <w:r w:rsidRPr="00C77523">
              <w:rPr>
                <w:b/>
                <w:bCs/>
                <w:noProof/>
                <w:color w:val="000000" w:themeColor="text1"/>
                <w:lang w:bidi="gu-IN"/>
              </w:rPr>
              <w:t>2017</w:t>
            </w:r>
          </w:p>
        </w:tc>
        <w:tc>
          <w:tcPr>
            <w:tcW w:w="828" w:type="pct"/>
            <w:vAlign w:val="center"/>
            <w:hideMark/>
          </w:tcPr>
          <w:p w:rsidR="00C77523" w:rsidRPr="00C77523" w:rsidRDefault="00C77523" w:rsidP="00C77523">
            <w:pPr>
              <w:jc w:val="center"/>
              <w:rPr>
                <w:b/>
                <w:bCs/>
                <w:noProof/>
                <w:color w:val="000000" w:themeColor="text1"/>
                <w:lang w:bidi="gu-IN"/>
              </w:rPr>
            </w:pPr>
            <w:r w:rsidRPr="00C77523">
              <w:rPr>
                <w:b/>
                <w:bCs/>
                <w:noProof/>
                <w:color w:val="000000" w:themeColor="text1"/>
                <w:lang w:bidi="gu-IN"/>
              </w:rPr>
              <w:t>2018</w:t>
            </w:r>
          </w:p>
        </w:tc>
      </w:tr>
      <w:tr w:rsidR="00C77523" w:rsidRPr="00C77523" w:rsidTr="00A96E21">
        <w:tc>
          <w:tcPr>
            <w:tcW w:w="1109" w:type="pct"/>
            <w:vMerge/>
            <w:hideMark/>
          </w:tcPr>
          <w:p w:rsidR="00C77523" w:rsidRPr="00C77523" w:rsidRDefault="00C77523" w:rsidP="00C77523">
            <w:pPr>
              <w:rPr>
                <w:b/>
                <w:bCs/>
                <w:noProof/>
                <w:color w:val="000000" w:themeColor="text1"/>
                <w:sz w:val="20"/>
                <w:szCs w:val="20"/>
                <w:lang w:bidi="gu-IN"/>
              </w:rPr>
            </w:pPr>
          </w:p>
        </w:tc>
        <w:tc>
          <w:tcPr>
            <w:tcW w:w="892" w:type="pct"/>
            <w:vAlign w:val="center"/>
            <w:hideMark/>
          </w:tcPr>
          <w:p w:rsidR="00C77523" w:rsidRPr="00C77523" w:rsidRDefault="00C77523" w:rsidP="00C77523">
            <w:pPr>
              <w:jc w:val="center"/>
              <w:rPr>
                <w:noProof/>
                <w:color w:val="000000" w:themeColor="text1"/>
                <w:lang w:bidi="gu-IN"/>
              </w:rPr>
            </w:pPr>
            <w:r w:rsidRPr="00C77523">
              <w:rPr>
                <w:noProof/>
                <w:color w:val="000000" w:themeColor="text1"/>
                <w:lang w:bidi="gu-IN"/>
              </w:rPr>
              <w:t>saskaņā ar valsts budžetu kārtējam gadam</w:t>
            </w:r>
          </w:p>
        </w:tc>
        <w:tc>
          <w:tcPr>
            <w:tcW w:w="661" w:type="pct"/>
            <w:vAlign w:val="center"/>
            <w:hideMark/>
          </w:tcPr>
          <w:p w:rsidR="00C77523" w:rsidRPr="00C77523" w:rsidRDefault="00C77523" w:rsidP="00C77523">
            <w:pPr>
              <w:jc w:val="center"/>
              <w:rPr>
                <w:noProof/>
                <w:color w:val="000000" w:themeColor="text1"/>
                <w:lang w:bidi="gu-IN"/>
              </w:rPr>
            </w:pPr>
            <w:r w:rsidRPr="00C77523">
              <w:rPr>
                <w:noProof/>
                <w:color w:val="000000" w:themeColor="text1"/>
                <w:lang w:bidi="gu-IN"/>
              </w:rPr>
              <w:t>izmaiņas kārtējā gadā, salīdzinot ar valsts budžetu kārtējam gadam</w:t>
            </w:r>
          </w:p>
        </w:tc>
        <w:tc>
          <w:tcPr>
            <w:tcW w:w="704" w:type="pct"/>
            <w:vAlign w:val="center"/>
            <w:hideMark/>
          </w:tcPr>
          <w:p w:rsidR="00C77523" w:rsidRPr="00C77523" w:rsidRDefault="00C77523" w:rsidP="00C77523">
            <w:pPr>
              <w:jc w:val="center"/>
              <w:rPr>
                <w:noProof/>
                <w:color w:val="000000" w:themeColor="text1"/>
                <w:lang w:bidi="gu-IN"/>
              </w:rPr>
            </w:pPr>
            <w:r w:rsidRPr="00C77523">
              <w:rPr>
                <w:noProof/>
                <w:color w:val="000000" w:themeColor="text1"/>
                <w:lang w:bidi="gu-IN"/>
              </w:rPr>
              <w:t>izmaiņas, salīdzinot ar kārtējo (n) gadu</w:t>
            </w:r>
          </w:p>
        </w:tc>
        <w:tc>
          <w:tcPr>
            <w:tcW w:w="807" w:type="pct"/>
            <w:vAlign w:val="center"/>
            <w:hideMark/>
          </w:tcPr>
          <w:p w:rsidR="00C77523" w:rsidRPr="00C77523" w:rsidRDefault="00C77523" w:rsidP="00C77523">
            <w:pPr>
              <w:jc w:val="center"/>
              <w:rPr>
                <w:noProof/>
                <w:color w:val="000000" w:themeColor="text1"/>
                <w:lang w:bidi="gu-IN"/>
              </w:rPr>
            </w:pPr>
            <w:r w:rsidRPr="00C77523">
              <w:rPr>
                <w:noProof/>
                <w:color w:val="000000" w:themeColor="text1"/>
                <w:lang w:bidi="gu-IN"/>
              </w:rPr>
              <w:t>izmaiņas, salīdzinot ar kārtējo (n) gadu</w:t>
            </w:r>
          </w:p>
        </w:tc>
        <w:tc>
          <w:tcPr>
            <w:tcW w:w="828" w:type="pct"/>
            <w:vAlign w:val="center"/>
            <w:hideMark/>
          </w:tcPr>
          <w:p w:rsidR="00C77523" w:rsidRPr="00C77523" w:rsidRDefault="00C77523" w:rsidP="00C77523">
            <w:pPr>
              <w:jc w:val="center"/>
              <w:rPr>
                <w:noProof/>
                <w:color w:val="000000" w:themeColor="text1"/>
                <w:lang w:bidi="gu-IN"/>
              </w:rPr>
            </w:pPr>
            <w:r w:rsidRPr="00C77523">
              <w:rPr>
                <w:noProof/>
                <w:color w:val="000000" w:themeColor="text1"/>
                <w:lang w:bidi="gu-IN"/>
              </w:rPr>
              <w:t>izmaiņas, salīdzinot ar kārtējo (n)</w:t>
            </w:r>
          </w:p>
          <w:p w:rsidR="00C77523" w:rsidRPr="00C77523" w:rsidRDefault="00C77523" w:rsidP="00C77523">
            <w:pPr>
              <w:jc w:val="center"/>
              <w:rPr>
                <w:noProof/>
                <w:color w:val="000000" w:themeColor="text1"/>
                <w:lang w:bidi="gu-IN"/>
              </w:rPr>
            </w:pPr>
            <w:r w:rsidRPr="00C77523">
              <w:rPr>
                <w:noProof/>
                <w:color w:val="000000" w:themeColor="text1"/>
                <w:lang w:bidi="gu-IN"/>
              </w:rPr>
              <w:t>gadu</w:t>
            </w:r>
          </w:p>
        </w:tc>
      </w:tr>
      <w:tr w:rsidR="00C77523" w:rsidRPr="00C77523" w:rsidTr="00A96E21">
        <w:trPr>
          <w:trHeight w:val="170"/>
        </w:trPr>
        <w:tc>
          <w:tcPr>
            <w:tcW w:w="1109" w:type="pct"/>
            <w:hideMark/>
          </w:tcPr>
          <w:p w:rsidR="00C77523" w:rsidRPr="00C77523" w:rsidRDefault="00C77523" w:rsidP="00C77523">
            <w:pPr>
              <w:jc w:val="center"/>
              <w:rPr>
                <w:noProof/>
                <w:color w:val="000000" w:themeColor="text1"/>
                <w:sz w:val="20"/>
                <w:szCs w:val="20"/>
                <w:lang w:bidi="gu-IN"/>
              </w:rPr>
            </w:pPr>
            <w:r w:rsidRPr="00C77523">
              <w:rPr>
                <w:noProof/>
                <w:color w:val="000000" w:themeColor="text1"/>
                <w:sz w:val="20"/>
                <w:szCs w:val="20"/>
                <w:lang w:bidi="gu-IN"/>
              </w:rPr>
              <w:t>1</w:t>
            </w:r>
          </w:p>
        </w:tc>
        <w:tc>
          <w:tcPr>
            <w:tcW w:w="892" w:type="pct"/>
            <w:hideMark/>
          </w:tcPr>
          <w:p w:rsidR="00C77523" w:rsidRPr="00C77523" w:rsidRDefault="00C77523" w:rsidP="00C77523">
            <w:pPr>
              <w:jc w:val="center"/>
              <w:rPr>
                <w:noProof/>
                <w:color w:val="000000" w:themeColor="text1"/>
                <w:sz w:val="20"/>
                <w:szCs w:val="20"/>
                <w:lang w:bidi="gu-IN"/>
              </w:rPr>
            </w:pPr>
            <w:r w:rsidRPr="00C77523">
              <w:rPr>
                <w:noProof/>
                <w:color w:val="000000" w:themeColor="text1"/>
                <w:sz w:val="20"/>
                <w:szCs w:val="20"/>
                <w:lang w:bidi="gu-IN"/>
              </w:rPr>
              <w:t>2</w:t>
            </w:r>
          </w:p>
        </w:tc>
        <w:tc>
          <w:tcPr>
            <w:tcW w:w="661" w:type="pct"/>
            <w:hideMark/>
          </w:tcPr>
          <w:p w:rsidR="00C77523" w:rsidRPr="00C77523" w:rsidRDefault="00C77523" w:rsidP="00C77523">
            <w:pPr>
              <w:jc w:val="center"/>
              <w:rPr>
                <w:noProof/>
                <w:color w:val="000000" w:themeColor="text1"/>
                <w:sz w:val="20"/>
                <w:szCs w:val="20"/>
                <w:lang w:bidi="gu-IN"/>
              </w:rPr>
            </w:pPr>
            <w:r w:rsidRPr="00C77523">
              <w:rPr>
                <w:noProof/>
                <w:color w:val="000000" w:themeColor="text1"/>
                <w:sz w:val="20"/>
                <w:szCs w:val="20"/>
                <w:lang w:bidi="gu-IN"/>
              </w:rPr>
              <w:t>3</w:t>
            </w:r>
          </w:p>
        </w:tc>
        <w:tc>
          <w:tcPr>
            <w:tcW w:w="704" w:type="pct"/>
            <w:hideMark/>
          </w:tcPr>
          <w:p w:rsidR="00C77523" w:rsidRPr="00C77523" w:rsidRDefault="00C77523" w:rsidP="00C77523">
            <w:pPr>
              <w:jc w:val="center"/>
              <w:rPr>
                <w:noProof/>
                <w:color w:val="000000" w:themeColor="text1"/>
                <w:sz w:val="20"/>
                <w:szCs w:val="20"/>
                <w:lang w:bidi="gu-IN"/>
              </w:rPr>
            </w:pPr>
            <w:r w:rsidRPr="00C77523">
              <w:rPr>
                <w:noProof/>
                <w:color w:val="000000" w:themeColor="text1"/>
                <w:sz w:val="20"/>
                <w:szCs w:val="20"/>
                <w:lang w:bidi="gu-IN"/>
              </w:rPr>
              <w:t>4</w:t>
            </w:r>
          </w:p>
        </w:tc>
        <w:tc>
          <w:tcPr>
            <w:tcW w:w="807" w:type="pct"/>
            <w:hideMark/>
          </w:tcPr>
          <w:p w:rsidR="00C77523" w:rsidRPr="00C77523" w:rsidRDefault="00C77523" w:rsidP="00C77523">
            <w:pPr>
              <w:jc w:val="center"/>
              <w:rPr>
                <w:noProof/>
                <w:color w:val="000000" w:themeColor="text1"/>
                <w:sz w:val="20"/>
                <w:szCs w:val="20"/>
                <w:lang w:bidi="gu-IN"/>
              </w:rPr>
            </w:pPr>
            <w:r w:rsidRPr="00C77523">
              <w:rPr>
                <w:noProof/>
                <w:color w:val="000000" w:themeColor="text1"/>
                <w:sz w:val="20"/>
                <w:szCs w:val="20"/>
                <w:lang w:bidi="gu-IN"/>
              </w:rPr>
              <w:t>5</w:t>
            </w:r>
          </w:p>
        </w:tc>
        <w:tc>
          <w:tcPr>
            <w:tcW w:w="828" w:type="pct"/>
            <w:hideMark/>
          </w:tcPr>
          <w:p w:rsidR="00C77523" w:rsidRPr="00C77523" w:rsidRDefault="00C77523" w:rsidP="00C77523">
            <w:pPr>
              <w:jc w:val="center"/>
              <w:rPr>
                <w:noProof/>
                <w:color w:val="000000" w:themeColor="text1"/>
                <w:sz w:val="20"/>
                <w:szCs w:val="20"/>
                <w:lang w:bidi="gu-IN"/>
              </w:rPr>
            </w:pPr>
            <w:r w:rsidRPr="00C77523">
              <w:rPr>
                <w:noProof/>
                <w:color w:val="000000" w:themeColor="text1"/>
                <w:sz w:val="20"/>
                <w:szCs w:val="20"/>
                <w:lang w:bidi="gu-IN"/>
              </w:rPr>
              <w:t>6</w:t>
            </w:r>
          </w:p>
        </w:tc>
      </w:tr>
      <w:tr w:rsidR="00C77523" w:rsidRPr="00C77523" w:rsidTr="00A96E21">
        <w:tc>
          <w:tcPr>
            <w:tcW w:w="1109" w:type="pct"/>
            <w:hideMark/>
          </w:tcPr>
          <w:p w:rsidR="00C77523" w:rsidRPr="00C77523" w:rsidRDefault="00C77523" w:rsidP="00C77523">
            <w:pPr>
              <w:rPr>
                <w:b/>
                <w:bCs/>
                <w:noProof/>
                <w:color w:val="000000" w:themeColor="text1"/>
                <w:lang w:bidi="gu-IN"/>
              </w:rPr>
            </w:pPr>
            <w:r w:rsidRPr="00C77523">
              <w:rPr>
                <w:b/>
                <w:bCs/>
                <w:noProof/>
                <w:color w:val="000000" w:themeColor="text1"/>
                <w:lang w:bidi="gu-IN"/>
              </w:rPr>
              <w:t>1. Budžeta ieņēmumi:</w:t>
            </w:r>
          </w:p>
        </w:tc>
        <w:tc>
          <w:tcPr>
            <w:tcW w:w="892" w:type="pct"/>
            <w:vAlign w:val="center"/>
            <w:hideMark/>
          </w:tcPr>
          <w:p w:rsidR="00C77523" w:rsidRPr="00C77523" w:rsidRDefault="00C77523" w:rsidP="00C77523">
            <w:pPr>
              <w:jc w:val="center"/>
              <w:rPr>
                <w:b/>
                <w:bCs/>
                <w:noProof/>
                <w:lang w:bidi="gu-IN"/>
              </w:rPr>
            </w:pPr>
            <w:r w:rsidRPr="00C77523">
              <w:rPr>
                <w:b/>
                <w:bCs/>
                <w:noProof/>
                <w:lang w:bidi="gu-IN"/>
              </w:rPr>
              <w:t>512 577 716</w:t>
            </w:r>
          </w:p>
        </w:tc>
        <w:tc>
          <w:tcPr>
            <w:tcW w:w="661" w:type="pct"/>
            <w:vAlign w:val="center"/>
            <w:hideMark/>
          </w:tcPr>
          <w:p w:rsidR="00C77523" w:rsidRPr="00C77523" w:rsidRDefault="00C77523" w:rsidP="00C77523">
            <w:pPr>
              <w:jc w:val="center"/>
              <w:rPr>
                <w:b/>
                <w:bCs/>
                <w:noProof/>
              </w:rPr>
            </w:pPr>
            <w:r w:rsidRPr="00C77523">
              <w:rPr>
                <w:b/>
                <w:bCs/>
                <w:noProof/>
              </w:rPr>
              <w:t>0</w:t>
            </w:r>
          </w:p>
        </w:tc>
        <w:tc>
          <w:tcPr>
            <w:tcW w:w="704" w:type="pct"/>
            <w:vAlign w:val="center"/>
            <w:hideMark/>
          </w:tcPr>
          <w:p w:rsidR="00C77523" w:rsidRPr="00C77523" w:rsidRDefault="00C77523" w:rsidP="00C77523">
            <w:pPr>
              <w:jc w:val="center"/>
              <w:rPr>
                <w:b/>
                <w:bCs/>
                <w:noProof/>
              </w:rPr>
            </w:pPr>
            <w:r w:rsidRPr="00C77523">
              <w:rPr>
                <w:b/>
                <w:bCs/>
                <w:noProof/>
              </w:rPr>
              <w:t>5 612 894</w:t>
            </w:r>
          </w:p>
        </w:tc>
        <w:tc>
          <w:tcPr>
            <w:tcW w:w="807" w:type="pct"/>
            <w:vAlign w:val="center"/>
            <w:hideMark/>
          </w:tcPr>
          <w:p w:rsidR="00C77523" w:rsidRPr="00C77523" w:rsidRDefault="00C77523" w:rsidP="00C77523">
            <w:pPr>
              <w:jc w:val="center"/>
              <w:rPr>
                <w:b/>
                <w:bCs/>
                <w:noProof/>
              </w:rPr>
            </w:pPr>
            <w:r w:rsidRPr="00C77523">
              <w:rPr>
                <w:b/>
                <w:bCs/>
                <w:noProof/>
              </w:rPr>
              <w:t>5 477 394</w:t>
            </w:r>
          </w:p>
        </w:tc>
        <w:tc>
          <w:tcPr>
            <w:tcW w:w="828" w:type="pct"/>
            <w:vAlign w:val="center"/>
            <w:hideMark/>
          </w:tcPr>
          <w:p w:rsidR="00C77523" w:rsidRPr="00C77523" w:rsidRDefault="00C77523" w:rsidP="00C77523">
            <w:pPr>
              <w:jc w:val="center"/>
              <w:rPr>
                <w:b/>
                <w:bCs/>
                <w:noProof/>
              </w:rPr>
            </w:pPr>
            <w:r w:rsidRPr="00C77523">
              <w:rPr>
                <w:b/>
                <w:bCs/>
                <w:noProof/>
              </w:rPr>
              <w:t>5 477 394</w:t>
            </w:r>
          </w:p>
        </w:tc>
      </w:tr>
      <w:tr w:rsidR="00C77523" w:rsidRPr="00C77523" w:rsidTr="00A96E21">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1.1. valsts pamatbudžets, tai skaitā ieņēmumi no maksas pakalpojumiem un citi pašu ieņēmumi</w:t>
            </w:r>
          </w:p>
        </w:tc>
        <w:tc>
          <w:tcPr>
            <w:tcW w:w="892" w:type="pct"/>
            <w:vAlign w:val="center"/>
            <w:hideMark/>
          </w:tcPr>
          <w:p w:rsidR="00C77523" w:rsidRPr="00C77523" w:rsidRDefault="00C77523" w:rsidP="00C77523">
            <w:pPr>
              <w:jc w:val="center"/>
              <w:rPr>
                <w:noProof/>
                <w:lang w:bidi="gu-IN"/>
              </w:rPr>
            </w:pPr>
            <w:r w:rsidRPr="00C77523">
              <w:rPr>
                <w:noProof/>
                <w:lang w:bidi="gu-IN"/>
              </w:rPr>
              <w:t>512 577 716</w:t>
            </w:r>
          </w:p>
          <w:p w:rsidR="00C77523" w:rsidRPr="00C77523" w:rsidRDefault="00C77523" w:rsidP="00C77523">
            <w:pPr>
              <w:jc w:val="center"/>
              <w:rPr>
                <w:noProof/>
                <w:lang w:bidi="gu-IN"/>
              </w:rPr>
            </w:pPr>
            <w:r w:rsidRPr="00C77523">
              <w:rPr>
                <w:noProof/>
                <w:lang w:bidi="gu-IN"/>
              </w:rPr>
              <w:t>1 087 074</w:t>
            </w: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bCs/>
                <w:noProof/>
              </w:rPr>
            </w:pPr>
            <w:r w:rsidRPr="00C77523">
              <w:rPr>
                <w:bCs/>
                <w:noProof/>
              </w:rPr>
              <w:t>5 612 894</w:t>
            </w:r>
          </w:p>
        </w:tc>
        <w:tc>
          <w:tcPr>
            <w:tcW w:w="807" w:type="pct"/>
            <w:vAlign w:val="center"/>
            <w:hideMark/>
          </w:tcPr>
          <w:p w:rsidR="00C77523" w:rsidRPr="00C77523" w:rsidRDefault="00C77523" w:rsidP="00C77523">
            <w:pPr>
              <w:jc w:val="center"/>
              <w:rPr>
                <w:bCs/>
                <w:noProof/>
              </w:rPr>
            </w:pPr>
            <w:r w:rsidRPr="00C77523">
              <w:rPr>
                <w:bCs/>
                <w:noProof/>
              </w:rPr>
              <w:t>5 477 394</w:t>
            </w:r>
          </w:p>
        </w:tc>
        <w:tc>
          <w:tcPr>
            <w:tcW w:w="828" w:type="pct"/>
            <w:vAlign w:val="center"/>
            <w:hideMark/>
          </w:tcPr>
          <w:p w:rsidR="00C77523" w:rsidRPr="00C77523" w:rsidRDefault="00C77523" w:rsidP="00C77523">
            <w:pPr>
              <w:jc w:val="center"/>
              <w:rPr>
                <w:bCs/>
                <w:noProof/>
              </w:rPr>
            </w:pPr>
            <w:r w:rsidRPr="00C77523">
              <w:rPr>
                <w:bCs/>
                <w:noProof/>
              </w:rPr>
              <w:t>5 477 394</w:t>
            </w:r>
          </w:p>
        </w:tc>
      </w:tr>
      <w:tr w:rsidR="00C77523" w:rsidRPr="00C77523" w:rsidTr="00A96E21">
        <w:trPr>
          <w:trHeight w:val="291"/>
        </w:trPr>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1.2. speciālais budžets</w:t>
            </w:r>
          </w:p>
        </w:tc>
        <w:tc>
          <w:tcPr>
            <w:tcW w:w="892" w:type="pct"/>
            <w:vAlign w:val="center"/>
            <w:hideMark/>
          </w:tcPr>
          <w:p w:rsidR="00C77523" w:rsidRPr="00C77523" w:rsidRDefault="00C77523" w:rsidP="00C77523">
            <w:pPr>
              <w:jc w:val="center"/>
              <w:rPr>
                <w:noProof/>
              </w:rPr>
            </w:pPr>
            <w:r w:rsidRPr="00C77523">
              <w:rPr>
                <w:noProof/>
              </w:rPr>
              <w:t>0</w:t>
            </w: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noProof/>
              </w:rPr>
            </w:pPr>
            <w:r w:rsidRPr="00C77523">
              <w:rPr>
                <w:noProof/>
              </w:rPr>
              <w:t>0</w:t>
            </w:r>
          </w:p>
        </w:tc>
        <w:tc>
          <w:tcPr>
            <w:tcW w:w="807" w:type="pct"/>
            <w:vAlign w:val="center"/>
            <w:hideMark/>
          </w:tcPr>
          <w:p w:rsidR="00C77523" w:rsidRPr="00C77523" w:rsidRDefault="00C77523" w:rsidP="00C77523">
            <w:pPr>
              <w:jc w:val="center"/>
              <w:rPr>
                <w:noProof/>
              </w:rPr>
            </w:pPr>
            <w:r w:rsidRPr="00C77523">
              <w:rPr>
                <w:noProof/>
              </w:rPr>
              <w:t>0</w:t>
            </w:r>
          </w:p>
        </w:tc>
        <w:tc>
          <w:tcPr>
            <w:tcW w:w="828" w:type="pct"/>
            <w:vAlign w:val="center"/>
            <w:hideMark/>
          </w:tcPr>
          <w:p w:rsidR="00C77523" w:rsidRPr="00C77523" w:rsidRDefault="00C77523" w:rsidP="00C77523">
            <w:pPr>
              <w:jc w:val="center"/>
              <w:rPr>
                <w:noProof/>
              </w:rPr>
            </w:pPr>
            <w:r w:rsidRPr="00C77523">
              <w:rPr>
                <w:noProof/>
              </w:rPr>
              <w:t>0</w:t>
            </w:r>
          </w:p>
        </w:tc>
      </w:tr>
      <w:tr w:rsidR="00C77523" w:rsidRPr="00C77523" w:rsidTr="00A96E21">
        <w:trPr>
          <w:trHeight w:val="291"/>
        </w:trPr>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1.3. pašvaldību budžets</w:t>
            </w:r>
          </w:p>
        </w:tc>
        <w:tc>
          <w:tcPr>
            <w:tcW w:w="892" w:type="pct"/>
            <w:vAlign w:val="center"/>
            <w:hideMark/>
          </w:tcPr>
          <w:p w:rsidR="00C77523" w:rsidRPr="00C77523" w:rsidRDefault="00C77523" w:rsidP="00C77523">
            <w:pPr>
              <w:jc w:val="center"/>
              <w:rPr>
                <w:noProof/>
              </w:rPr>
            </w:pPr>
            <w:r w:rsidRPr="00C77523">
              <w:rPr>
                <w:noProof/>
              </w:rPr>
              <w:t>0</w:t>
            </w: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noProof/>
              </w:rPr>
            </w:pPr>
            <w:r w:rsidRPr="00C77523">
              <w:rPr>
                <w:noProof/>
              </w:rPr>
              <w:t>0</w:t>
            </w:r>
          </w:p>
        </w:tc>
        <w:tc>
          <w:tcPr>
            <w:tcW w:w="807" w:type="pct"/>
            <w:vAlign w:val="center"/>
            <w:hideMark/>
          </w:tcPr>
          <w:p w:rsidR="00C77523" w:rsidRPr="00C77523" w:rsidRDefault="00C77523" w:rsidP="00C77523">
            <w:pPr>
              <w:jc w:val="center"/>
              <w:rPr>
                <w:noProof/>
              </w:rPr>
            </w:pPr>
            <w:r w:rsidRPr="00C77523">
              <w:rPr>
                <w:noProof/>
              </w:rPr>
              <w:t>0</w:t>
            </w:r>
          </w:p>
        </w:tc>
        <w:tc>
          <w:tcPr>
            <w:tcW w:w="828" w:type="pct"/>
            <w:vAlign w:val="center"/>
            <w:hideMark/>
          </w:tcPr>
          <w:p w:rsidR="00C77523" w:rsidRPr="00C77523" w:rsidRDefault="00C77523" w:rsidP="00C77523">
            <w:pPr>
              <w:jc w:val="center"/>
              <w:rPr>
                <w:noProof/>
              </w:rPr>
            </w:pPr>
            <w:r w:rsidRPr="00C77523">
              <w:rPr>
                <w:noProof/>
              </w:rPr>
              <w:t>0</w:t>
            </w:r>
          </w:p>
        </w:tc>
      </w:tr>
      <w:tr w:rsidR="00C77523" w:rsidRPr="00C77523" w:rsidTr="00A96E21">
        <w:tc>
          <w:tcPr>
            <w:tcW w:w="1109" w:type="pct"/>
            <w:hideMark/>
          </w:tcPr>
          <w:p w:rsidR="00C77523" w:rsidRPr="00C77523" w:rsidRDefault="00C77523" w:rsidP="00C77523">
            <w:pPr>
              <w:rPr>
                <w:b/>
                <w:bCs/>
                <w:noProof/>
                <w:color w:val="000000" w:themeColor="text1"/>
                <w:lang w:bidi="gu-IN"/>
              </w:rPr>
            </w:pPr>
          </w:p>
        </w:tc>
        <w:tc>
          <w:tcPr>
            <w:tcW w:w="892" w:type="pct"/>
            <w:vAlign w:val="center"/>
            <w:hideMark/>
          </w:tcPr>
          <w:p w:rsidR="00C77523" w:rsidRPr="00C77523" w:rsidRDefault="00C77523" w:rsidP="00C77523">
            <w:pPr>
              <w:jc w:val="center"/>
              <w:rPr>
                <w:b/>
                <w:bCs/>
                <w:noProof/>
                <w:lang w:bidi="gu-IN"/>
              </w:rPr>
            </w:pPr>
          </w:p>
        </w:tc>
        <w:tc>
          <w:tcPr>
            <w:tcW w:w="661" w:type="pct"/>
            <w:vAlign w:val="center"/>
            <w:hideMark/>
          </w:tcPr>
          <w:p w:rsidR="00C77523" w:rsidRPr="00C77523" w:rsidRDefault="00C77523" w:rsidP="00C77523">
            <w:pPr>
              <w:jc w:val="center"/>
              <w:rPr>
                <w:b/>
                <w:noProof/>
              </w:rPr>
            </w:pPr>
          </w:p>
        </w:tc>
        <w:tc>
          <w:tcPr>
            <w:tcW w:w="704" w:type="pct"/>
            <w:vAlign w:val="center"/>
            <w:hideMark/>
          </w:tcPr>
          <w:p w:rsidR="00C77523" w:rsidRPr="00C77523" w:rsidRDefault="00C77523" w:rsidP="00C77523">
            <w:pPr>
              <w:jc w:val="center"/>
              <w:rPr>
                <w:b/>
                <w:bCs/>
                <w:noProof/>
                <w:lang w:bidi="gu-IN"/>
              </w:rPr>
            </w:pPr>
          </w:p>
        </w:tc>
        <w:tc>
          <w:tcPr>
            <w:tcW w:w="807" w:type="pct"/>
            <w:vAlign w:val="center"/>
            <w:hideMark/>
          </w:tcPr>
          <w:p w:rsidR="00C77523" w:rsidRPr="00C77523" w:rsidRDefault="00C77523" w:rsidP="00C77523">
            <w:pPr>
              <w:jc w:val="center"/>
              <w:rPr>
                <w:b/>
                <w:bCs/>
                <w:noProof/>
                <w:lang w:bidi="gu-IN"/>
              </w:rPr>
            </w:pPr>
          </w:p>
        </w:tc>
        <w:tc>
          <w:tcPr>
            <w:tcW w:w="828" w:type="pct"/>
            <w:vAlign w:val="center"/>
            <w:hideMark/>
          </w:tcPr>
          <w:p w:rsidR="00C77523" w:rsidRPr="00C77523" w:rsidRDefault="00C77523" w:rsidP="00C77523">
            <w:pPr>
              <w:jc w:val="center"/>
              <w:rPr>
                <w:b/>
                <w:bCs/>
                <w:noProof/>
                <w:lang w:bidi="gu-IN"/>
              </w:rPr>
            </w:pPr>
          </w:p>
        </w:tc>
      </w:tr>
      <w:tr w:rsidR="00C77523" w:rsidRPr="00C77523" w:rsidTr="00A96E21">
        <w:tc>
          <w:tcPr>
            <w:tcW w:w="1109" w:type="pct"/>
            <w:hideMark/>
          </w:tcPr>
          <w:p w:rsidR="00C77523" w:rsidRPr="00C77523" w:rsidRDefault="00C77523" w:rsidP="00C77523">
            <w:pPr>
              <w:rPr>
                <w:b/>
                <w:bCs/>
                <w:noProof/>
                <w:color w:val="000000" w:themeColor="text1"/>
                <w:lang w:bidi="gu-IN"/>
              </w:rPr>
            </w:pPr>
            <w:r w:rsidRPr="00C77523">
              <w:rPr>
                <w:b/>
                <w:bCs/>
                <w:noProof/>
                <w:color w:val="000000" w:themeColor="text1"/>
                <w:lang w:bidi="gu-IN"/>
              </w:rPr>
              <w:t>2. Budžeta izdevumi:</w:t>
            </w:r>
          </w:p>
        </w:tc>
        <w:tc>
          <w:tcPr>
            <w:tcW w:w="892" w:type="pct"/>
            <w:vAlign w:val="center"/>
            <w:hideMark/>
          </w:tcPr>
          <w:p w:rsidR="00C77523" w:rsidRPr="00C77523" w:rsidRDefault="00C77523" w:rsidP="00C77523">
            <w:pPr>
              <w:jc w:val="center"/>
              <w:rPr>
                <w:b/>
                <w:bCs/>
                <w:noProof/>
                <w:lang w:bidi="gu-IN"/>
              </w:rPr>
            </w:pPr>
            <w:r w:rsidRPr="00C77523">
              <w:rPr>
                <w:b/>
                <w:bCs/>
                <w:noProof/>
                <w:lang w:bidi="gu-IN"/>
              </w:rPr>
              <w:t>512 577 966</w:t>
            </w:r>
          </w:p>
        </w:tc>
        <w:tc>
          <w:tcPr>
            <w:tcW w:w="661" w:type="pct"/>
            <w:vAlign w:val="center"/>
            <w:hideMark/>
          </w:tcPr>
          <w:p w:rsidR="00C77523" w:rsidRPr="00C77523" w:rsidRDefault="00C77523" w:rsidP="00C77523">
            <w:pPr>
              <w:jc w:val="center"/>
              <w:rPr>
                <w:b/>
                <w:bCs/>
                <w:noProof/>
              </w:rPr>
            </w:pPr>
            <w:r w:rsidRPr="00C77523">
              <w:rPr>
                <w:b/>
                <w:bCs/>
                <w:noProof/>
              </w:rPr>
              <w:t>0</w:t>
            </w:r>
          </w:p>
        </w:tc>
        <w:tc>
          <w:tcPr>
            <w:tcW w:w="704" w:type="pct"/>
            <w:vAlign w:val="center"/>
            <w:hideMark/>
          </w:tcPr>
          <w:p w:rsidR="00C77523" w:rsidRPr="00C77523" w:rsidRDefault="00C77523" w:rsidP="00C77523">
            <w:pPr>
              <w:jc w:val="center"/>
              <w:rPr>
                <w:b/>
                <w:bCs/>
                <w:noProof/>
              </w:rPr>
            </w:pPr>
            <w:r w:rsidRPr="00C77523">
              <w:rPr>
                <w:b/>
                <w:bCs/>
                <w:noProof/>
              </w:rPr>
              <w:t>5 612 644</w:t>
            </w:r>
          </w:p>
        </w:tc>
        <w:tc>
          <w:tcPr>
            <w:tcW w:w="807" w:type="pct"/>
            <w:vAlign w:val="center"/>
            <w:hideMark/>
          </w:tcPr>
          <w:p w:rsidR="00C77523" w:rsidRPr="00C77523" w:rsidRDefault="00C77523" w:rsidP="00C77523">
            <w:pPr>
              <w:jc w:val="center"/>
              <w:rPr>
                <w:b/>
                <w:bCs/>
                <w:noProof/>
              </w:rPr>
            </w:pPr>
            <w:r w:rsidRPr="00C77523">
              <w:rPr>
                <w:b/>
                <w:bCs/>
                <w:noProof/>
              </w:rPr>
              <w:t>5 477 144</w:t>
            </w:r>
          </w:p>
        </w:tc>
        <w:tc>
          <w:tcPr>
            <w:tcW w:w="828" w:type="pct"/>
            <w:vAlign w:val="center"/>
            <w:hideMark/>
          </w:tcPr>
          <w:p w:rsidR="00C77523" w:rsidRPr="00C77523" w:rsidRDefault="00C77523" w:rsidP="00C77523">
            <w:pPr>
              <w:jc w:val="center"/>
              <w:rPr>
                <w:b/>
                <w:bCs/>
                <w:noProof/>
              </w:rPr>
            </w:pPr>
            <w:r w:rsidRPr="00C77523">
              <w:rPr>
                <w:b/>
                <w:bCs/>
                <w:noProof/>
              </w:rPr>
              <w:t>5 477 144</w:t>
            </w:r>
          </w:p>
        </w:tc>
      </w:tr>
      <w:tr w:rsidR="00C77523" w:rsidRPr="00C77523" w:rsidTr="00A96E21">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2.1. valsts pamatbudžets</w:t>
            </w:r>
          </w:p>
        </w:tc>
        <w:tc>
          <w:tcPr>
            <w:tcW w:w="892" w:type="pct"/>
            <w:vAlign w:val="center"/>
            <w:hideMark/>
          </w:tcPr>
          <w:p w:rsidR="00C77523" w:rsidRPr="00C77523" w:rsidRDefault="00C77523" w:rsidP="00C77523">
            <w:pPr>
              <w:jc w:val="center"/>
              <w:rPr>
                <w:noProof/>
                <w:lang w:bidi="gu-IN"/>
              </w:rPr>
            </w:pPr>
            <w:r w:rsidRPr="00C77523">
              <w:rPr>
                <w:noProof/>
                <w:lang w:bidi="gu-IN"/>
              </w:rPr>
              <w:t>512 577 966</w:t>
            </w: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bCs/>
                <w:noProof/>
              </w:rPr>
            </w:pPr>
            <w:r w:rsidRPr="00C77523">
              <w:rPr>
                <w:bCs/>
                <w:noProof/>
              </w:rPr>
              <w:t>5 612 644</w:t>
            </w:r>
          </w:p>
        </w:tc>
        <w:tc>
          <w:tcPr>
            <w:tcW w:w="807" w:type="pct"/>
            <w:vAlign w:val="center"/>
            <w:hideMark/>
          </w:tcPr>
          <w:p w:rsidR="00C77523" w:rsidRPr="00C77523" w:rsidRDefault="00C77523" w:rsidP="00C77523">
            <w:pPr>
              <w:jc w:val="center"/>
              <w:rPr>
                <w:bCs/>
                <w:noProof/>
              </w:rPr>
            </w:pPr>
            <w:r w:rsidRPr="00C77523">
              <w:rPr>
                <w:bCs/>
                <w:noProof/>
              </w:rPr>
              <w:t>5 477 144</w:t>
            </w:r>
          </w:p>
        </w:tc>
        <w:tc>
          <w:tcPr>
            <w:tcW w:w="828" w:type="pct"/>
            <w:vAlign w:val="center"/>
            <w:hideMark/>
          </w:tcPr>
          <w:p w:rsidR="00C77523" w:rsidRPr="00C77523" w:rsidRDefault="00C77523" w:rsidP="00C77523">
            <w:pPr>
              <w:jc w:val="center"/>
              <w:rPr>
                <w:bCs/>
                <w:noProof/>
              </w:rPr>
            </w:pPr>
            <w:r w:rsidRPr="00C77523">
              <w:rPr>
                <w:bCs/>
                <w:noProof/>
              </w:rPr>
              <w:t>5 477 144</w:t>
            </w:r>
          </w:p>
        </w:tc>
      </w:tr>
      <w:tr w:rsidR="00C77523" w:rsidRPr="00C77523" w:rsidTr="00A96E21">
        <w:trPr>
          <w:trHeight w:val="292"/>
        </w:trPr>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2.2. speciālais budžets</w:t>
            </w:r>
          </w:p>
        </w:tc>
        <w:tc>
          <w:tcPr>
            <w:tcW w:w="892" w:type="pct"/>
            <w:vAlign w:val="center"/>
            <w:hideMark/>
          </w:tcPr>
          <w:p w:rsidR="00C77523" w:rsidRPr="00C77523" w:rsidRDefault="00C77523" w:rsidP="00C77523">
            <w:pPr>
              <w:jc w:val="center"/>
              <w:rPr>
                <w:noProof/>
              </w:rPr>
            </w:pPr>
            <w:r w:rsidRPr="00C77523">
              <w:rPr>
                <w:noProof/>
              </w:rPr>
              <w:t>0</w:t>
            </w: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noProof/>
              </w:rPr>
            </w:pPr>
            <w:r w:rsidRPr="00C77523">
              <w:rPr>
                <w:noProof/>
              </w:rPr>
              <w:t>0</w:t>
            </w:r>
          </w:p>
        </w:tc>
        <w:tc>
          <w:tcPr>
            <w:tcW w:w="807" w:type="pct"/>
            <w:vAlign w:val="center"/>
            <w:hideMark/>
          </w:tcPr>
          <w:p w:rsidR="00C77523" w:rsidRPr="00C77523" w:rsidRDefault="00C77523" w:rsidP="00C77523">
            <w:pPr>
              <w:jc w:val="center"/>
              <w:rPr>
                <w:noProof/>
              </w:rPr>
            </w:pPr>
            <w:r w:rsidRPr="00C77523">
              <w:rPr>
                <w:noProof/>
              </w:rPr>
              <w:t>0</w:t>
            </w:r>
          </w:p>
        </w:tc>
        <w:tc>
          <w:tcPr>
            <w:tcW w:w="828" w:type="pct"/>
            <w:vAlign w:val="center"/>
            <w:hideMark/>
          </w:tcPr>
          <w:p w:rsidR="00C77523" w:rsidRPr="00C77523" w:rsidRDefault="00C77523" w:rsidP="00C77523">
            <w:pPr>
              <w:jc w:val="center"/>
              <w:rPr>
                <w:noProof/>
              </w:rPr>
            </w:pPr>
            <w:r w:rsidRPr="00C77523">
              <w:rPr>
                <w:noProof/>
              </w:rPr>
              <w:t>0</w:t>
            </w:r>
          </w:p>
        </w:tc>
      </w:tr>
      <w:tr w:rsidR="00C77523" w:rsidRPr="00C77523" w:rsidTr="00A96E21">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2.3. pašvaldību budžets</w:t>
            </w:r>
          </w:p>
        </w:tc>
        <w:tc>
          <w:tcPr>
            <w:tcW w:w="892" w:type="pct"/>
            <w:vAlign w:val="center"/>
            <w:hideMark/>
          </w:tcPr>
          <w:p w:rsidR="00C77523" w:rsidRPr="00C77523" w:rsidRDefault="00C77523" w:rsidP="00C77523">
            <w:pPr>
              <w:jc w:val="center"/>
              <w:rPr>
                <w:noProof/>
              </w:rPr>
            </w:pPr>
            <w:r w:rsidRPr="00C77523">
              <w:rPr>
                <w:noProof/>
              </w:rPr>
              <w:t>0</w:t>
            </w: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noProof/>
              </w:rPr>
            </w:pPr>
            <w:r w:rsidRPr="00C77523">
              <w:rPr>
                <w:noProof/>
              </w:rPr>
              <w:t>0</w:t>
            </w:r>
          </w:p>
        </w:tc>
        <w:tc>
          <w:tcPr>
            <w:tcW w:w="807" w:type="pct"/>
            <w:vAlign w:val="center"/>
            <w:hideMark/>
          </w:tcPr>
          <w:p w:rsidR="00C77523" w:rsidRPr="00C77523" w:rsidRDefault="00C77523" w:rsidP="00C77523">
            <w:pPr>
              <w:jc w:val="center"/>
              <w:rPr>
                <w:noProof/>
              </w:rPr>
            </w:pPr>
            <w:r w:rsidRPr="00C77523">
              <w:rPr>
                <w:noProof/>
              </w:rPr>
              <w:t>0</w:t>
            </w:r>
          </w:p>
        </w:tc>
        <w:tc>
          <w:tcPr>
            <w:tcW w:w="828" w:type="pct"/>
            <w:vAlign w:val="center"/>
            <w:hideMark/>
          </w:tcPr>
          <w:p w:rsidR="00C77523" w:rsidRPr="00C77523" w:rsidRDefault="00C77523" w:rsidP="00C77523">
            <w:pPr>
              <w:jc w:val="center"/>
              <w:rPr>
                <w:noProof/>
              </w:rPr>
            </w:pPr>
            <w:r w:rsidRPr="00C77523">
              <w:rPr>
                <w:noProof/>
              </w:rPr>
              <w:t>0</w:t>
            </w:r>
          </w:p>
        </w:tc>
      </w:tr>
      <w:tr w:rsidR="00C77523" w:rsidRPr="00C77523" w:rsidTr="00A96E21">
        <w:tc>
          <w:tcPr>
            <w:tcW w:w="1109" w:type="pct"/>
            <w:hideMark/>
          </w:tcPr>
          <w:p w:rsidR="00C77523" w:rsidRPr="00C77523" w:rsidRDefault="00C77523" w:rsidP="00C77523">
            <w:pPr>
              <w:rPr>
                <w:noProof/>
                <w:color w:val="000000" w:themeColor="text1"/>
                <w:lang w:bidi="gu-IN"/>
              </w:rPr>
            </w:pPr>
          </w:p>
        </w:tc>
        <w:tc>
          <w:tcPr>
            <w:tcW w:w="892" w:type="pct"/>
            <w:vAlign w:val="center"/>
            <w:hideMark/>
          </w:tcPr>
          <w:p w:rsidR="00C77523" w:rsidRPr="00C77523" w:rsidRDefault="00C77523" w:rsidP="00C77523">
            <w:pPr>
              <w:jc w:val="center"/>
              <w:rPr>
                <w:noProof/>
                <w:lang w:bidi="gu-IN"/>
              </w:rPr>
            </w:pPr>
          </w:p>
        </w:tc>
        <w:tc>
          <w:tcPr>
            <w:tcW w:w="661" w:type="pct"/>
            <w:vAlign w:val="center"/>
            <w:hideMark/>
          </w:tcPr>
          <w:p w:rsidR="00C77523" w:rsidRPr="00C77523" w:rsidRDefault="00C77523" w:rsidP="00C77523">
            <w:pPr>
              <w:jc w:val="center"/>
              <w:rPr>
                <w:noProof/>
              </w:rPr>
            </w:pPr>
          </w:p>
        </w:tc>
        <w:tc>
          <w:tcPr>
            <w:tcW w:w="704" w:type="pct"/>
            <w:vAlign w:val="center"/>
            <w:hideMark/>
          </w:tcPr>
          <w:p w:rsidR="00C77523" w:rsidRPr="00C77523" w:rsidRDefault="00C77523" w:rsidP="00C77523">
            <w:pPr>
              <w:jc w:val="center"/>
              <w:rPr>
                <w:noProof/>
                <w:lang w:bidi="gu-IN"/>
              </w:rPr>
            </w:pPr>
          </w:p>
        </w:tc>
        <w:tc>
          <w:tcPr>
            <w:tcW w:w="807" w:type="pct"/>
            <w:vAlign w:val="center"/>
            <w:hideMark/>
          </w:tcPr>
          <w:p w:rsidR="00C77523" w:rsidRPr="00C77523" w:rsidRDefault="00C77523" w:rsidP="00C77523">
            <w:pPr>
              <w:jc w:val="center"/>
              <w:rPr>
                <w:noProof/>
                <w:lang w:bidi="gu-IN"/>
              </w:rPr>
            </w:pPr>
          </w:p>
        </w:tc>
        <w:tc>
          <w:tcPr>
            <w:tcW w:w="828" w:type="pct"/>
            <w:vAlign w:val="center"/>
            <w:hideMark/>
          </w:tcPr>
          <w:p w:rsidR="00C77523" w:rsidRPr="00C77523" w:rsidRDefault="00C77523" w:rsidP="00C77523">
            <w:pPr>
              <w:jc w:val="center"/>
              <w:rPr>
                <w:noProof/>
                <w:lang w:bidi="gu-IN"/>
              </w:rPr>
            </w:pPr>
          </w:p>
        </w:tc>
      </w:tr>
      <w:tr w:rsidR="00C77523" w:rsidRPr="00C77523" w:rsidTr="00A96E21">
        <w:tc>
          <w:tcPr>
            <w:tcW w:w="1109" w:type="pct"/>
            <w:hideMark/>
          </w:tcPr>
          <w:p w:rsidR="00C77523" w:rsidRPr="00C77523" w:rsidRDefault="00C77523" w:rsidP="00C77523">
            <w:pPr>
              <w:rPr>
                <w:b/>
                <w:bCs/>
                <w:noProof/>
                <w:color w:val="000000" w:themeColor="text1"/>
                <w:lang w:bidi="gu-IN"/>
              </w:rPr>
            </w:pPr>
            <w:r w:rsidRPr="00C77523">
              <w:rPr>
                <w:b/>
                <w:bCs/>
                <w:noProof/>
                <w:color w:val="000000" w:themeColor="text1"/>
                <w:lang w:bidi="gu-IN"/>
              </w:rPr>
              <w:t>3. Finansiālā ietekme:</w:t>
            </w:r>
          </w:p>
        </w:tc>
        <w:tc>
          <w:tcPr>
            <w:tcW w:w="892" w:type="pct"/>
            <w:vAlign w:val="center"/>
            <w:hideMark/>
          </w:tcPr>
          <w:p w:rsidR="00C77523" w:rsidRPr="00C77523" w:rsidRDefault="00C77523" w:rsidP="00C77523">
            <w:pPr>
              <w:jc w:val="center"/>
              <w:rPr>
                <w:b/>
                <w:noProof/>
              </w:rPr>
            </w:pPr>
            <w:r w:rsidRPr="00C77523">
              <w:rPr>
                <w:b/>
                <w:noProof/>
              </w:rPr>
              <w:t>-250</w:t>
            </w:r>
          </w:p>
        </w:tc>
        <w:tc>
          <w:tcPr>
            <w:tcW w:w="661" w:type="pct"/>
            <w:vAlign w:val="center"/>
            <w:hideMark/>
          </w:tcPr>
          <w:p w:rsidR="00C77523" w:rsidRPr="00C77523" w:rsidRDefault="00C77523" w:rsidP="00C77523">
            <w:pPr>
              <w:jc w:val="center"/>
              <w:rPr>
                <w:b/>
                <w:bCs/>
                <w:noProof/>
              </w:rPr>
            </w:pPr>
            <w:r w:rsidRPr="00C77523">
              <w:rPr>
                <w:b/>
                <w:bCs/>
                <w:noProof/>
              </w:rPr>
              <w:t>0</w:t>
            </w:r>
          </w:p>
        </w:tc>
        <w:tc>
          <w:tcPr>
            <w:tcW w:w="704" w:type="pct"/>
            <w:vAlign w:val="center"/>
            <w:hideMark/>
          </w:tcPr>
          <w:p w:rsidR="00C77523" w:rsidRPr="00C77523" w:rsidRDefault="00C77523" w:rsidP="00C77523">
            <w:pPr>
              <w:jc w:val="center"/>
              <w:rPr>
                <w:b/>
                <w:noProof/>
              </w:rPr>
            </w:pPr>
            <w:r w:rsidRPr="00C77523">
              <w:rPr>
                <w:b/>
                <w:noProof/>
              </w:rPr>
              <w:t>250</w:t>
            </w:r>
          </w:p>
        </w:tc>
        <w:tc>
          <w:tcPr>
            <w:tcW w:w="807" w:type="pct"/>
            <w:vAlign w:val="center"/>
            <w:hideMark/>
          </w:tcPr>
          <w:p w:rsidR="00C77523" w:rsidRPr="00C77523" w:rsidRDefault="00C77523" w:rsidP="00C77523">
            <w:pPr>
              <w:jc w:val="center"/>
              <w:rPr>
                <w:b/>
                <w:noProof/>
              </w:rPr>
            </w:pPr>
            <w:r w:rsidRPr="00C77523">
              <w:rPr>
                <w:b/>
                <w:noProof/>
              </w:rPr>
              <w:t>250</w:t>
            </w:r>
          </w:p>
        </w:tc>
        <w:tc>
          <w:tcPr>
            <w:tcW w:w="828" w:type="pct"/>
            <w:vAlign w:val="center"/>
            <w:hideMark/>
          </w:tcPr>
          <w:p w:rsidR="00C77523" w:rsidRPr="00C77523" w:rsidRDefault="00C77523" w:rsidP="00C77523">
            <w:pPr>
              <w:jc w:val="center"/>
              <w:rPr>
                <w:b/>
                <w:noProof/>
              </w:rPr>
            </w:pPr>
            <w:r w:rsidRPr="00C77523">
              <w:rPr>
                <w:b/>
                <w:noProof/>
              </w:rPr>
              <w:t>250</w:t>
            </w:r>
          </w:p>
        </w:tc>
      </w:tr>
      <w:tr w:rsidR="00C77523" w:rsidRPr="00C77523" w:rsidTr="00A96E21">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3.1. valsts pamatbudžets</w:t>
            </w:r>
          </w:p>
        </w:tc>
        <w:tc>
          <w:tcPr>
            <w:tcW w:w="892" w:type="pct"/>
            <w:vAlign w:val="center"/>
            <w:hideMark/>
          </w:tcPr>
          <w:p w:rsidR="00C77523" w:rsidRPr="00C77523" w:rsidRDefault="00C77523" w:rsidP="00C77523">
            <w:pPr>
              <w:jc w:val="center"/>
              <w:rPr>
                <w:noProof/>
              </w:rPr>
            </w:pPr>
            <w:r w:rsidRPr="00C77523">
              <w:rPr>
                <w:noProof/>
              </w:rPr>
              <w:t>-250</w:t>
            </w: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noProof/>
              </w:rPr>
            </w:pPr>
            <w:r w:rsidRPr="00C77523">
              <w:rPr>
                <w:noProof/>
              </w:rPr>
              <w:t>250</w:t>
            </w:r>
          </w:p>
        </w:tc>
        <w:tc>
          <w:tcPr>
            <w:tcW w:w="807" w:type="pct"/>
            <w:vAlign w:val="center"/>
            <w:hideMark/>
          </w:tcPr>
          <w:p w:rsidR="00C77523" w:rsidRPr="00C77523" w:rsidRDefault="00C77523" w:rsidP="00C77523">
            <w:pPr>
              <w:jc w:val="center"/>
              <w:rPr>
                <w:noProof/>
              </w:rPr>
            </w:pPr>
            <w:r w:rsidRPr="00C77523">
              <w:rPr>
                <w:noProof/>
              </w:rPr>
              <w:t>250</w:t>
            </w:r>
          </w:p>
        </w:tc>
        <w:tc>
          <w:tcPr>
            <w:tcW w:w="828" w:type="pct"/>
            <w:vAlign w:val="center"/>
            <w:hideMark/>
          </w:tcPr>
          <w:p w:rsidR="00C77523" w:rsidRPr="00C77523" w:rsidRDefault="00C77523" w:rsidP="00C77523">
            <w:pPr>
              <w:jc w:val="center"/>
              <w:rPr>
                <w:noProof/>
              </w:rPr>
            </w:pPr>
            <w:r w:rsidRPr="00C77523">
              <w:rPr>
                <w:noProof/>
              </w:rPr>
              <w:t>250</w:t>
            </w:r>
          </w:p>
        </w:tc>
      </w:tr>
      <w:tr w:rsidR="00C77523" w:rsidRPr="00C77523" w:rsidTr="00A96E21">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3.2. speciālais budžets</w:t>
            </w:r>
          </w:p>
        </w:tc>
        <w:tc>
          <w:tcPr>
            <w:tcW w:w="892" w:type="pct"/>
            <w:vAlign w:val="center"/>
            <w:hideMark/>
          </w:tcPr>
          <w:p w:rsidR="00C77523" w:rsidRPr="00C77523" w:rsidRDefault="00C77523" w:rsidP="00C77523">
            <w:pPr>
              <w:jc w:val="center"/>
              <w:rPr>
                <w:noProof/>
              </w:rPr>
            </w:pPr>
            <w:r w:rsidRPr="00C77523">
              <w:rPr>
                <w:noProof/>
              </w:rPr>
              <w:t>0</w:t>
            </w: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noProof/>
              </w:rPr>
            </w:pPr>
            <w:r w:rsidRPr="00C77523">
              <w:rPr>
                <w:noProof/>
              </w:rPr>
              <w:t>0</w:t>
            </w:r>
          </w:p>
        </w:tc>
        <w:tc>
          <w:tcPr>
            <w:tcW w:w="807" w:type="pct"/>
            <w:vAlign w:val="center"/>
            <w:hideMark/>
          </w:tcPr>
          <w:p w:rsidR="00C77523" w:rsidRPr="00C77523" w:rsidRDefault="00C77523" w:rsidP="00C77523">
            <w:pPr>
              <w:jc w:val="center"/>
              <w:rPr>
                <w:noProof/>
              </w:rPr>
            </w:pPr>
            <w:r w:rsidRPr="00C77523">
              <w:rPr>
                <w:noProof/>
              </w:rPr>
              <w:t>0</w:t>
            </w:r>
          </w:p>
        </w:tc>
        <w:tc>
          <w:tcPr>
            <w:tcW w:w="828" w:type="pct"/>
            <w:vAlign w:val="center"/>
            <w:hideMark/>
          </w:tcPr>
          <w:p w:rsidR="00C77523" w:rsidRPr="00C77523" w:rsidRDefault="00C77523" w:rsidP="00C77523">
            <w:pPr>
              <w:jc w:val="center"/>
              <w:rPr>
                <w:noProof/>
              </w:rPr>
            </w:pPr>
            <w:r w:rsidRPr="00C77523">
              <w:rPr>
                <w:noProof/>
              </w:rPr>
              <w:t>0</w:t>
            </w:r>
          </w:p>
        </w:tc>
      </w:tr>
      <w:tr w:rsidR="00C77523" w:rsidRPr="00C77523" w:rsidTr="00A96E21">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3.3. pašvaldību budžets</w:t>
            </w:r>
          </w:p>
        </w:tc>
        <w:tc>
          <w:tcPr>
            <w:tcW w:w="892" w:type="pct"/>
            <w:vAlign w:val="center"/>
            <w:hideMark/>
          </w:tcPr>
          <w:p w:rsidR="00C77523" w:rsidRPr="00C77523" w:rsidRDefault="00C77523" w:rsidP="00C77523">
            <w:pPr>
              <w:jc w:val="center"/>
              <w:rPr>
                <w:noProof/>
              </w:rPr>
            </w:pPr>
            <w:r w:rsidRPr="00C77523">
              <w:rPr>
                <w:noProof/>
              </w:rPr>
              <w:t>0</w:t>
            </w: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noProof/>
              </w:rPr>
            </w:pPr>
            <w:r w:rsidRPr="00C77523">
              <w:rPr>
                <w:noProof/>
              </w:rPr>
              <w:t>0</w:t>
            </w:r>
          </w:p>
        </w:tc>
        <w:tc>
          <w:tcPr>
            <w:tcW w:w="807" w:type="pct"/>
            <w:vAlign w:val="center"/>
            <w:hideMark/>
          </w:tcPr>
          <w:p w:rsidR="00C77523" w:rsidRPr="00C77523" w:rsidRDefault="00C77523" w:rsidP="00C77523">
            <w:pPr>
              <w:jc w:val="center"/>
              <w:rPr>
                <w:noProof/>
              </w:rPr>
            </w:pPr>
            <w:r w:rsidRPr="00C77523">
              <w:rPr>
                <w:noProof/>
              </w:rPr>
              <w:t>0</w:t>
            </w:r>
          </w:p>
        </w:tc>
        <w:tc>
          <w:tcPr>
            <w:tcW w:w="828" w:type="pct"/>
            <w:vAlign w:val="center"/>
            <w:hideMark/>
          </w:tcPr>
          <w:p w:rsidR="00C77523" w:rsidRPr="00C77523" w:rsidRDefault="00C77523" w:rsidP="00C77523">
            <w:pPr>
              <w:jc w:val="center"/>
              <w:rPr>
                <w:noProof/>
              </w:rPr>
            </w:pPr>
            <w:r w:rsidRPr="00C77523">
              <w:rPr>
                <w:noProof/>
              </w:rPr>
              <w:t>0</w:t>
            </w:r>
          </w:p>
        </w:tc>
      </w:tr>
      <w:tr w:rsidR="00C77523" w:rsidRPr="00C77523" w:rsidTr="00A96E21">
        <w:tc>
          <w:tcPr>
            <w:tcW w:w="1109" w:type="pct"/>
            <w:hideMark/>
          </w:tcPr>
          <w:p w:rsidR="00C77523" w:rsidRPr="00C77523" w:rsidRDefault="00C77523" w:rsidP="00C77523">
            <w:pPr>
              <w:rPr>
                <w:noProof/>
                <w:color w:val="000000" w:themeColor="text1"/>
                <w:lang w:bidi="gu-IN"/>
              </w:rPr>
            </w:pPr>
          </w:p>
        </w:tc>
        <w:tc>
          <w:tcPr>
            <w:tcW w:w="892" w:type="pct"/>
            <w:vAlign w:val="center"/>
            <w:hideMark/>
          </w:tcPr>
          <w:p w:rsidR="00C77523" w:rsidRPr="00C77523" w:rsidRDefault="00C77523" w:rsidP="00C77523">
            <w:pPr>
              <w:jc w:val="right"/>
              <w:rPr>
                <w:noProof/>
                <w:lang w:bidi="gu-IN"/>
              </w:rPr>
            </w:pPr>
          </w:p>
        </w:tc>
        <w:tc>
          <w:tcPr>
            <w:tcW w:w="661" w:type="pct"/>
            <w:tcBorders>
              <w:bottom w:val="single" w:sz="4" w:space="0" w:color="auto"/>
            </w:tcBorders>
            <w:vAlign w:val="center"/>
            <w:hideMark/>
          </w:tcPr>
          <w:p w:rsidR="00C77523" w:rsidRPr="00C77523" w:rsidRDefault="00C77523" w:rsidP="00C77523">
            <w:pPr>
              <w:jc w:val="center"/>
              <w:rPr>
                <w:noProof/>
              </w:rPr>
            </w:pPr>
          </w:p>
        </w:tc>
        <w:tc>
          <w:tcPr>
            <w:tcW w:w="704" w:type="pct"/>
            <w:tcBorders>
              <w:bottom w:val="single" w:sz="4" w:space="0" w:color="auto"/>
            </w:tcBorders>
            <w:vAlign w:val="center"/>
            <w:hideMark/>
          </w:tcPr>
          <w:p w:rsidR="00C77523" w:rsidRPr="00C77523" w:rsidRDefault="00C77523" w:rsidP="00C77523">
            <w:pPr>
              <w:jc w:val="center"/>
              <w:rPr>
                <w:noProof/>
                <w:lang w:bidi="gu-IN"/>
              </w:rPr>
            </w:pPr>
          </w:p>
        </w:tc>
        <w:tc>
          <w:tcPr>
            <w:tcW w:w="807" w:type="pct"/>
            <w:tcBorders>
              <w:bottom w:val="single" w:sz="4" w:space="0" w:color="auto"/>
            </w:tcBorders>
            <w:vAlign w:val="center"/>
            <w:hideMark/>
          </w:tcPr>
          <w:p w:rsidR="00C77523" w:rsidRPr="00C77523" w:rsidRDefault="00C77523" w:rsidP="00C77523">
            <w:pPr>
              <w:jc w:val="center"/>
              <w:rPr>
                <w:noProof/>
                <w:lang w:bidi="gu-IN"/>
              </w:rPr>
            </w:pPr>
          </w:p>
        </w:tc>
        <w:tc>
          <w:tcPr>
            <w:tcW w:w="828" w:type="pct"/>
            <w:tcBorders>
              <w:bottom w:val="single" w:sz="4" w:space="0" w:color="auto"/>
            </w:tcBorders>
            <w:vAlign w:val="center"/>
            <w:hideMark/>
          </w:tcPr>
          <w:p w:rsidR="00C77523" w:rsidRPr="00C77523" w:rsidRDefault="00C77523" w:rsidP="00C77523">
            <w:pPr>
              <w:jc w:val="center"/>
              <w:rPr>
                <w:noProof/>
                <w:lang w:bidi="gu-IN"/>
              </w:rPr>
            </w:pPr>
          </w:p>
        </w:tc>
      </w:tr>
      <w:tr w:rsidR="00C77523" w:rsidRPr="00C77523" w:rsidTr="00A96E21">
        <w:trPr>
          <w:trHeight w:val="1656"/>
        </w:trPr>
        <w:tc>
          <w:tcPr>
            <w:tcW w:w="1109" w:type="pct"/>
            <w:hideMark/>
          </w:tcPr>
          <w:p w:rsidR="00C77523" w:rsidRPr="00C77523" w:rsidRDefault="00C77523" w:rsidP="00C77523">
            <w:pPr>
              <w:rPr>
                <w:noProof/>
                <w:color w:val="000000" w:themeColor="text1"/>
                <w:lang w:bidi="gu-IN"/>
              </w:rPr>
            </w:pPr>
            <w:r w:rsidRPr="00C77523">
              <w:rPr>
                <w:b/>
                <w:noProof/>
                <w:color w:val="000000" w:themeColor="text1"/>
                <w:lang w:bidi="gu-IN"/>
              </w:rPr>
              <w:t>4. Finanšu līdzekļi papildu izdevumu finansēšanai</w:t>
            </w:r>
            <w:r w:rsidRPr="00C77523">
              <w:rPr>
                <w:noProof/>
                <w:color w:val="000000" w:themeColor="text1"/>
                <w:lang w:bidi="gu-IN"/>
              </w:rPr>
              <w:t xml:space="preserve"> (kompensējošu izdevu</w:t>
            </w:r>
            <w:r w:rsidRPr="00C77523">
              <w:rPr>
                <w:noProof/>
                <w:color w:val="000000" w:themeColor="text1"/>
                <w:lang w:bidi="gu-IN"/>
              </w:rPr>
              <w:softHyphen/>
              <w:t>mu samazinājumu norāda ar "+" zīmi)</w:t>
            </w:r>
          </w:p>
        </w:tc>
        <w:tc>
          <w:tcPr>
            <w:tcW w:w="892" w:type="pct"/>
            <w:vAlign w:val="center"/>
            <w:hideMark/>
          </w:tcPr>
          <w:p w:rsidR="00C77523" w:rsidRPr="00C77523" w:rsidRDefault="00C77523" w:rsidP="00C77523">
            <w:pPr>
              <w:spacing w:before="100" w:beforeAutospacing="1" w:after="100" w:afterAutospacing="1" w:line="360" w:lineRule="auto"/>
              <w:ind w:hanging="2"/>
              <w:jc w:val="center"/>
              <w:rPr>
                <w:noProof/>
                <w:lang w:bidi="gu-IN"/>
              </w:rPr>
            </w:pPr>
            <w:r w:rsidRPr="00C77523">
              <w:rPr>
                <w:noProof/>
                <w:lang w:bidi="gu-IN"/>
              </w:rPr>
              <w:t>X</w:t>
            </w: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bCs/>
                <w:noProof/>
              </w:rPr>
            </w:pPr>
            <w:r w:rsidRPr="00C77523">
              <w:rPr>
                <w:bCs/>
                <w:noProof/>
              </w:rPr>
              <w:t>0</w:t>
            </w:r>
          </w:p>
        </w:tc>
        <w:tc>
          <w:tcPr>
            <w:tcW w:w="807" w:type="pct"/>
            <w:vAlign w:val="center"/>
            <w:hideMark/>
          </w:tcPr>
          <w:p w:rsidR="00C77523" w:rsidRPr="00C77523" w:rsidRDefault="00C77523" w:rsidP="00C77523">
            <w:pPr>
              <w:jc w:val="center"/>
              <w:rPr>
                <w:bCs/>
                <w:noProof/>
              </w:rPr>
            </w:pPr>
            <w:r w:rsidRPr="00C77523">
              <w:rPr>
                <w:bCs/>
                <w:noProof/>
              </w:rPr>
              <w:t>0</w:t>
            </w:r>
          </w:p>
        </w:tc>
        <w:tc>
          <w:tcPr>
            <w:tcW w:w="828" w:type="pct"/>
            <w:vAlign w:val="center"/>
            <w:hideMark/>
          </w:tcPr>
          <w:p w:rsidR="00C77523" w:rsidRPr="00C77523" w:rsidRDefault="00C77523" w:rsidP="00C77523">
            <w:pPr>
              <w:jc w:val="center"/>
              <w:rPr>
                <w:bCs/>
                <w:noProof/>
              </w:rPr>
            </w:pPr>
            <w:r w:rsidRPr="00C77523">
              <w:rPr>
                <w:bCs/>
                <w:noProof/>
              </w:rPr>
              <w:t>0</w:t>
            </w:r>
          </w:p>
        </w:tc>
      </w:tr>
      <w:tr w:rsidR="00C77523" w:rsidRPr="00C77523" w:rsidTr="00A96E21">
        <w:tc>
          <w:tcPr>
            <w:tcW w:w="1109" w:type="pct"/>
            <w:hideMark/>
          </w:tcPr>
          <w:p w:rsidR="00C77523" w:rsidRPr="00C77523" w:rsidRDefault="00C77523" w:rsidP="00C77523">
            <w:pPr>
              <w:rPr>
                <w:b/>
                <w:noProof/>
                <w:color w:val="000000" w:themeColor="text1"/>
                <w:lang w:bidi="gu-IN"/>
              </w:rPr>
            </w:pPr>
            <w:r w:rsidRPr="00C77523">
              <w:rPr>
                <w:b/>
                <w:noProof/>
                <w:color w:val="000000" w:themeColor="text1"/>
                <w:lang w:bidi="gu-IN"/>
              </w:rPr>
              <w:t>5. Precizēta finansiālā ietekme:</w:t>
            </w:r>
          </w:p>
        </w:tc>
        <w:tc>
          <w:tcPr>
            <w:tcW w:w="892" w:type="pct"/>
            <w:vMerge w:val="restart"/>
            <w:vAlign w:val="center"/>
            <w:hideMark/>
          </w:tcPr>
          <w:p w:rsidR="00C77523" w:rsidRPr="00C77523" w:rsidRDefault="00C77523" w:rsidP="00C77523">
            <w:pPr>
              <w:spacing w:before="100" w:beforeAutospacing="1" w:after="100" w:afterAutospacing="1" w:line="360" w:lineRule="auto"/>
              <w:ind w:hanging="2"/>
              <w:jc w:val="center"/>
              <w:rPr>
                <w:noProof/>
                <w:lang w:bidi="gu-IN"/>
              </w:rPr>
            </w:pPr>
            <w:r w:rsidRPr="00C77523">
              <w:rPr>
                <w:noProof/>
                <w:lang w:bidi="gu-IN"/>
              </w:rPr>
              <w:t>X</w:t>
            </w:r>
          </w:p>
        </w:tc>
        <w:tc>
          <w:tcPr>
            <w:tcW w:w="661" w:type="pct"/>
            <w:vAlign w:val="center"/>
            <w:hideMark/>
          </w:tcPr>
          <w:p w:rsidR="00C77523" w:rsidRPr="00C77523" w:rsidRDefault="00C77523" w:rsidP="00C77523">
            <w:pPr>
              <w:jc w:val="center"/>
              <w:rPr>
                <w:bCs/>
                <w:noProof/>
              </w:rPr>
            </w:pPr>
            <w:r w:rsidRPr="00C77523">
              <w:rPr>
                <w:bCs/>
                <w:noProof/>
              </w:rPr>
              <w:t>0</w:t>
            </w:r>
          </w:p>
        </w:tc>
        <w:tc>
          <w:tcPr>
            <w:tcW w:w="704" w:type="pct"/>
            <w:vAlign w:val="center"/>
            <w:hideMark/>
          </w:tcPr>
          <w:p w:rsidR="00C77523" w:rsidRPr="00C77523" w:rsidRDefault="00C77523" w:rsidP="00C77523">
            <w:pPr>
              <w:jc w:val="center"/>
              <w:rPr>
                <w:bCs/>
                <w:noProof/>
              </w:rPr>
            </w:pPr>
            <w:r w:rsidRPr="00C77523">
              <w:rPr>
                <w:bCs/>
                <w:noProof/>
              </w:rPr>
              <w:t>0</w:t>
            </w:r>
          </w:p>
        </w:tc>
        <w:tc>
          <w:tcPr>
            <w:tcW w:w="807" w:type="pct"/>
            <w:vAlign w:val="center"/>
            <w:hideMark/>
          </w:tcPr>
          <w:p w:rsidR="00C77523" w:rsidRPr="00C77523" w:rsidRDefault="00C77523" w:rsidP="00C77523">
            <w:pPr>
              <w:jc w:val="center"/>
              <w:rPr>
                <w:bCs/>
                <w:noProof/>
              </w:rPr>
            </w:pPr>
            <w:r w:rsidRPr="00C77523">
              <w:rPr>
                <w:bCs/>
                <w:noProof/>
              </w:rPr>
              <w:t>0</w:t>
            </w:r>
          </w:p>
        </w:tc>
        <w:tc>
          <w:tcPr>
            <w:tcW w:w="828" w:type="pct"/>
            <w:vAlign w:val="center"/>
            <w:hideMark/>
          </w:tcPr>
          <w:p w:rsidR="00C77523" w:rsidRPr="00C77523" w:rsidRDefault="00C77523" w:rsidP="00C77523">
            <w:pPr>
              <w:jc w:val="center"/>
              <w:rPr>
                <w:bCs/>
                <w:noProof/>
              </w:rPr>
            </w:pPr>
            <w:r w:rsidRPr="00C77523">
              <w:rPr>
                <w:bCs/>
                <w:noProof/>
              </w:rPr>
              <w:t>0</w:t>
            </w:r>
          </w:p>
        </w:tc>
      </w:tr>
      <w:tr w:rsidR="00C77523" w:rsidRPr="00C77523" w:rsidTr="00A96E21">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5.1. valsts pamatbudžets</w:t>
            </w:r>
          </w:p>
        </w:tc>
        <w:tc>
          <w:tcPr>
            <w:tcW w:w="892" w:type="pct"/>
            <w:vMerge/>
            <w:vAlign w:val="center"/>
            <w:hideMark/>
          </w:tcPr>
          <w:p w:rsidR="00C77523" w:rsidRPr="00C77523" w:rsidRDefault="00C77523" w:rsidP="00C77523">
            <w:pPr>
              <w:jc w:val="right"/>
              <w:rPr>
                <w:noProof/>
                <w:lang w:bidi="gu-IN"/>
              </w:rPr>
            </w:pP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noProof/>
              </w:rPr>
            </w:pPr>
            <w:r w:rsidRPr="00C77523">
              <w:rPr>
                <w:noProof/>
              </w:rPr>
              <w:t>0</w:t>
            </w:r>
          </w:p>
        </w:tc>
        <w:tc>
          <w:tcPr>
            <w:tcW w:w="807" w:type="pct"/>
            <w:vAlign w:val="center"/>
            <w:hideMark/>
          </w:tcPr>
          <w:p w:rsidR="00C77523" w:rsidRPr="00C77523" w:rsidRDefault="00C77523" w:rsidP="00C77523">
            <w:pPr>
              <w:jc w:val="center"/>
              <w:rPr>
                <w:noProof/>
              </w:rPr>
            </w:pPr>
            <w:r w:rsidRPr="00C77523">
              <w:rPr>
                <w:noProof/>
              </w:rPr>
              <w:t>0</w:t>
            </w:r>
          </w:p>
        </w:tc>
        <w:tc>
          <w:tcPr>
            <w:tcW w:w="828" w:type="pct"/>
            <w:vAlign w:val="center"/>
            <w:hideMark/>
          </w:tcPr>
          <w:p w:rsidR="00C77523" w:rsidRPr="00C77523" w:rsidRDefault="00C77523" w:rsidP="00C77523">
            <w:pPr>
              <w:jc w:val="center"/>
              <w:rPr>
                <w:noProof/>
              </w:rPr>
            </w:pPr>
            <w:r w:rsidRPr="00C77523">
              <w:rPr>
                <w:noProof/>
              </w:rPr>
              <w:t>0</w:t>
            </w:r>
          </w:p>
        </w:tc>
      </w:tr>
      <w:tr w:rsidR="00C77523" w:rsidRPr="00C77523" w:rsidTr="00A96E21">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5.2. speciālais budžets</w:t>
            </w:r>
          </w:p>
        </w:tc>
        <w:tc>
          <w:tcPr>
            <w:tcW w:w="892" w:type="pct"/>
            <w:vMerge/>
            <w:vAlign w:val="center"/>
            <w:hideMark/>
          </w:tcPr>
          <w:p w:rsidR="00C77523" w:rsidRPr="00C77523" w:rsidRDefault="00C77523" w:rsidP="00C77523">
            <w:pPr>
              <w:jc w:val="right"/>
              <w:rPr>
                <w:noProof/>
                <w:lang w:bidi="gu-IN"/>
              </w:rPr>
            </w:pP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noProof/>
              </w:rPr>
            </w:pPr>
            <w:r w:rsidRPr="00C77523">
              <w:rPr>
                <w:noProof/>
              </w:rPr>
              <w:t>0</w:t>
            </w:r>
          </w:p>
        </w:tc>
        <w:tc>
          <w:tcPr>
            <w:tcW w:w="807" w:type="pct"/>
            <w:vAlign w:val="center"/>
            <w:hideMark/>
          </w:tcPr>
          <w:p w:rsidR="00C77523" w:rsidRPr="00C77523" w:rsidRDefault="00C77523" w:rsidP="00C77523">
            <w:pPr>
              <w:jc w:val="center"/>
              <w:rPr>
                <w:noProof/>
              </w:rPr>
            </w:pPr>
            <w:r w:rsidRPr="00C77523">
              <w:rPr>
                <w:noProof/>
              </w:rPr>
              <w:t>0</w:t>
            </w:r>
          </w:p>
        </w:tc>
        <w:tc>
          <w:tcPr>
            <w:tcW w:w="828" w:type="pct"/>
            <w:vAlign w:val="center"/>
            <w:hideMark/>
          </w:tcPr>
          <w:p w:rsidR="00C77523" w:rsidRPr="00C77523" w:rsidRDefault="00C77523" w:rsidP="00C77523">
            <w:pPr>
              <w:jc w:val="center"/>
              <w:rPr>
                <w:noProof/>
              </w:rPr>
            </w:pPr>
            <w:r w:rsidRPr="00C77523">
              <w:rPr>
                <w:noProof/>
              </w:rPr>
              <w:t>0</w:t>
            </w:r>
          </w:p>
        </w:tc>
      </w:tr>
      <w:tr w:rsidR="00C77523" w:rsidRPr="00C77523" w:rsidTr="00A96E21">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5.3. pašvaldību budžets</w:t>
            </w:r>
          </w:p>
        </w:tc>
        <w:tc>
          <w:tcPr>
            <w:tcW w:w="892" w:type="pct"/>
            <w:vMerge/>
            <w:vAlign w:val="center"/>
            <w:hideMark/>
          </w:tcPr>
          <w:p w:rsidR="00C77523" w:rsidRPr="00C77523" w:rsidRDefault="00C77523" w:rsidP="00C77523">
            <w:pPr>
              <w:jc w:val="right"/>
              <w:rPr>
                <w:noProof/>
                <w:lang w:bidi="gu-IN"/>
              </w:rPr>
            </w:pPr>
          </w:p>
        </w:tc>
        <w:tc>
          <w:tcPr>
            <w:tcW w:w="661" w:type="pct"/>
            <w:vAlign w:val="center"/>
            <w:hideMark/>
          </w:tcPr>
          <w:p w:rsidR="00C77523" w:rsidRPr="00C77523" w:rsidRDefault="00C77523" w:rsidP="00C77523">
            <w:pPr>
              <w:jc w:val="center"/>
              <w:rPr>
                <w:noProof/>
              </w:rPr>
            </w:pPr>
            <w:r w:rsidRPr="00C77523">
              <w:rPr>
                <w:noProof/>
              </w:rPr>
              <w:t>0</w:t>
            </w:r>
          </w:p>
        </w:tc>
        <w:tc>
          <w:tcPr>
            <w:tcW w:w="704" w:type="pct"/>
            <w:vAlign w:val="center"/>
            <w:hideMark/>
          </w:tcPr>
          <w:p w:rsidR="00C77523" w:rsidRPr="00C77523" w:rsidRDefault="00C77523" w:rsidP="00C77523">
            <w:pPr>
              <w:jc w:val="center"/>
              <w:rPr>
                <w:noProof/>
              </w:rPr>
            </w:pPr>
            <w:r w:rsidRPr="00C77523">
              <w:rPr>
                <w:noProof/>
              </w:rPr>
              <w:t>0</w:t>
            </w:r>
          </w:p>
        </w:tc>
        <w:tc>
          <w:tcPr>
            <w:tcW w:w="807" w:type="pct"/>
            <w:vAlign w:val="center"/>
            <w:hideMark/>
          </w:tcPr>
          <w:p w:rsidR="00C77523" w:rsidRPr="00C77523" w:rsidRDefault="00C77523" w:rsidP="00C77523">
            <w:pPr>
              <w:jc w:val="center"/>
              <w:rPr>
                <w:noProof/>
              </w:rPr>
            </w:pPr>
            <w:r w:rsidRPr="00C77523">
              <w:rPr>
                <w:noProof/>
              </w:rPr>
              <w:t>0</w:t>
            </w:r>
          </w:p>
        </w:tc>
        <w:tc>
          <w:tcPr>
            <w:tcW w:w="828" w:type="pct"/>
            <w:vAlign w:val="center"/>
            <w:hideMark/>
          </w:tcPr>
          <w:p w:rsidR="00C77523" w:rsidRPr="00C77523" w:rsidRDefault="00C77523" w:rsidP="00C77523">
            <w:pPr>
              <w:jc w:val="center"/>
              <w:rPr>
                <w:noProof/>
              </w:rPr>
            </w:pPr>
            <w:r w:rsidRPr="00C77523">
              <w:rPr>
                <w:noProof/>
              </w:rPr>
              <w:t>0</w:t>
            </w:r>
          </w:p>
        </w:tc>
      </w:tr>
      <w:tr w:rsidR="00C77523" w:rsidRPr="00C77523" w:rsidTr="00A96E21">
        <w:trPr>
          <w:trHeight w:val="5796"/>
        </w:trPr>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6</w:t>
            </w:r>
            <w:r w:rsidRPr="00C77523">
              <w:rPr>
                <w:b/>
                <w:noProof/>
                <w:color w:val="000000" w:themeColor="text1"/>
                <w:lang w:bidi="gu-IN"/>
              </w:rPr>
              <w:t>. Detalizēts ieņēmumu un izdevumu aprēķins</w:t>
            </w:r>
            <w:r w:rsidRPr="00C77523">
              <w:rPr>
                <w:noProof/>
                <w:color w:val="000000" w:themeColor="text1"/>
                <w:lang w:bidi="gu-IN"/>
              </w:rPr>
              <w:t xml:space="preserve"> (ja nepieciešams, detalizētu ieņēmumu un izdevumu aprēķinu var pievienot anotācijas pielikumā):</w:t>
            </w:r>
          </w:p>
        </w:tc>
        <w:tc>
          <w:tcPr>
            <w:tcW w:w="3891" w:type="pct"/>
            <w:gridSpan w:val="5"/>
            <w:vMerge w:val="restart"/>
            <w:hideMark/>
          </w:tcPr>
          <w:p w:rsidR="00C77523" w:rsidRPr="00C77523" w:rsidRDefault="00C77523" w:rsidP="00C77523">
            <w:pPr>
              <w:ind w:left="159" w:right="140"/>
              <w:jc w:val="both"/>
              <w:rPr>
                <w:noProof/>
                <w:lang w:bidi="gu-IN"/>
              </w:rPr>
            </w:pPr>
            <w:r w:rsidRPr="00C77523">
              <w:rPr>
                <w:noProof/>
                <w:lang w:bidi="gu-IN"/>
              </w:rPr>
              <w:t>Veselības aprūpes pakalpojumu apmaksa tiek nodrošināta Veselības ministrijas valsts pamatbudžeta programmas 33.00.00 „Veselības aprūpes nodrošināšana” apakš</w:t>
            </w:r>
            <w:r w:rsidRPr="00C77523">
              <w:rPr>
                <w:noProof/>
                <w:lang w:bidi="gu-IN"/>
              </w:rPr>
              <w:softHyphen/>
              <w:t>programmas 33.01.00 „Ārstniecība” ietvaros (administrē Nacionālais veselības dienests).</w:t>
            </w:r>
          </w:p>
          <w:p w:rsidR="00C77523" w:rsidRPr="00C77523" w:rsidRDefault="00C77523" w:rsidP="00C77523">
            <w:pPr>
              <w:spacing w:before="120" w:after="120"/>
              <w:ind w:left="159" w:right="142"/>
              <w:rPr>
                <w:noProof/>
                <w:lang w:bidi="gu-IN"/>
              </w:rPr>
            </w:pPr>
            <w:r w:rsidRPr="00C77523">
              <w:rPr>
                <w:noProof/>
                <w:u w:val="single"/>
                <w:lang w:bidi="gu-IN"/>
              </w:rPr>
              <w:t>Atbilstoši likumam „Par valsts budžetu 2015.gadam</w:t>
            </w:r>
            <w:r w:rsidRPr="00C77523">
              <w:rPr>
                <w:noProof/>
                <w:lang w:bidi="gu-IN"/>
              </w:rPr>
              <w:t>” finansējums  valsts pamatbudžeta programmas 33.00.00 „Veselības aprūpes nodrošināšana” apakš</w:t>
            </w:r>
            <w:r w:rsidRPr="00C77523">
              <w:rPr>
                <w:noProof/>
                <w:lang w:bidi="gu-IN"/>
              </w:rPr>
              <w:softHyphen/>
              <w:t>programmā 33.01.00 „Ārstniecība”:</w:t>
            </w:r>
          </w:p>
          <w:p w:rsidR="00C77523" w:rsidRPr="00C77523" w:rsidRDefault="00C77523" w:rsidP="00C77523">
            <w:pPr>
              <w:ind w:left="159" w:right="140"/>
              <w:jc w:val="both"/>
              <w:rPr>
                <w:noProof/>
                <w:lang w:bidi="gu-IN"/>
              </w:rPr>
            </w:pPr>
            <w:r w:rsidRPr="00C77523">
              <w:rPr>
                <w:noProof/>
                <w:lang w:bidi="gu-IN"/>
              </w:rPr>
              <w:t>Ieņēmumi (resursi izdevumu segšanai) 506 860 914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tai skaitā:</w:t>
            </w:r>
          </w:p>
          <w:p w:rsidR="00C77523" w:rsidRPr="00C77523" w:rsidRDefault="00C77523" w:rsidP="00C77523">
            <w:pPr>
              <w:ind w:left="159" w:right="140"/>
              <w:jc w:val="both"/>
              <w:rPr>
                <w:noProof/>
                <w:lang w:bidi="gu-IN"/>
              </w:rPr>
            </w:pPr>
            <w:r w:rsidRPr="00C77523">
              <w:rPr>
                <w:noProof/>
                <w:lang w:bidi="gu-IN"/>
              </w:rPr>
              <w:t xml:space="preserve">dotācija no vispārējiem ieņēmumiem 505 773 840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ieņēmumi no maksas pakalpojumiem un citi pašu ieņēmumi 1 087 074 </w:t>
            </w:r>
            <w:r w:rsidRPr="00C77523">
              <w:rPr>
                <w:i/>
                <w:noProof/>
                <w:lang w:bidi="gu-IN"/>
              </w:rPr>
              <w:t>euro.</w:t>
            </w:r>
          </w:p>
          <w:p w:rsidR="00C77523" w:rsidRPr="00C77523" w:rsidRDefault="00C77523" w:rsidP="00C77523">
            <w:pPr>
              <w:spacing w:before="80"/>
              <w:ind w:left="159" w:right="142"/>
              <w:jc w:val="both"/>
              <w:rPr>
                <w:noProof/>
                <w:lang w:bidi="gu-IN"/>
              </w:rPr>
            </w:pPr>
            <w:r w:rsidRPr="00C77523">
              <w:rPr>
                <w:noProof/>
                <w:lang w:bidi="gu-IN"/>
              </w:rPr>
              <w:t xml:space="preserve">Izdevumi 506 860 914 </w:t>
            </w:r>
            <w:r w:rsidRPr="00C77523">
              <w:rPr>
                <w:i/>
                <w:noProof/>
                <w:lang w:bidi="gu-IN"/>
              </w:rPr>
              <w:t>euro</w:t>
            </w:r>
            <w:r w:rsidRPr="00C77523">
              <w:rPr>
                <w:noProof/>
                <w:lang w:bidi="gu-IN"/>
              </w:rPr>
              <w:t xml:space="preserve">, tai skaitā: </w:t>
            </w:r>
          </w:p>
          <w:p w:rsidR="00C77523" w:rsidRPr="00C77523" w:rsidRDefault="00C77523" w:rsidP="00C77523">
            <w:pPr>
              <w:ind w:left="159" w:right="140"/>
              <w:jc w:val="both"/>
              <w:rPr>
                <w:noProof/>
                <w:lang w:bidi="gu-IN"/>
              </w:rPr>
            </w:pPr>
            <w:r w:rsidRPr="00C77523">
              <w:rPr>
                <w:noProof/>
                <w:lang w:bidi="gu-IN"/>
              </w:rPr>
              <w:t xml:space="preserve">subsīdijas un dotācijas 505 783 696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 xml:space="preserve">valsts budžeta uzturēšanas izdevumu transferti pašvaldībām noteiktam mērķim 1 077 218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p>
          <w:p w:rsidR="00C77523" w:rsidRPr="00C77523" w:rsidRDefault="00C77523" w:rsidP="00C77523">
            <w:pPr>
              <w:spacing w:after="120"/>
              <w:ind w:left="159" w:right="142"/>
              <w:jc w:val="both"/>
              <w:rPr>
                <w:noProof/>
                <w:u w:val="single"/>
              </w:rPr>
            </w:pPr>
            <w:r w:rsidRPr="00C77523">
              <w:rPr>
                <w:noProof/>
                <w:u w:val="single"/>
              </w:rPr>
              <w:t>Atbilstoši izmaiņām ar Finanšu ministrijas 2015.gada 29.maija rīkojumu Nr.227 un Finanšu ministrijas 2015.gada 19.novembra rīkojumu Nr.462</w:t>
            </w:r>
            <w:r w:rsidRPr="00C77523">
              <w:rPr>
                <w:noProof/>
              </w:rPr>
              <w:t xml:space="preserve"> </w:t>
            </w:r>
            <w:r w:rsidRPr="00C77523">
              <w:rPr>
                <w:noProof/>
                <w:lang w:bidi="gu-IN"/>
              </w:rPr>
              <w:t>finansējums  valsts pamatbudžeta programmas 33.00.00 „Veselības aprūpes nodrošināšana” apakš</w:t>
            </w:r>
            <w:r w:rsidRPr="00C77523">
              <w:rPr>
                <w:noProof/>
                <w:lang w:bidi="gu-IN"/>
              </w:rPr>
              <w:softHyphen/>
              <w:t>programmā 33.01.00 „Ārstniecība”</w:t>
            </w:r>
            <w:r w:rsidRPr="00C77523">
              <w:rPr>
                <w:noProof/>
              </w:rPr>
              <w:t>:</w:t>
            </w:r>
          </w:p>
          <w:p w:rsidR="00C77523" w:rsidRPr="00C77523" w:rsidRDefault="00C77523" w:rsidP="00C77523">
            <w:pPr>
              <w:ind w:left="159" w:right="140"/>
              <w:jc w:val="both"/>
              <w:rPr>
                <w:noProof/>
                <w:lang w:bidi="gu-IN"/>
              </w:rPr>
            </w:pPr>
            <w:r w:rsidRPr="00C77523">
              <w:rPr>
                <w:noProof/>
                <w:lang w:bidi="gu-IN"/>
              </w:rPr>
              <w:t>Ieņēmumi (resursi izdevumu segšanai) 512 577 716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tai skaitā:</w:t>
            </w:r>
          </w:p>
          <w:p w:rsidR="00C77523" w:rsidRPr="00C77523" w:rsidRDefault="00C77523" w:rsidP="00C77523">
            <w:pPr>
              <w:ind w:left="159" w:right="140"/>
              <w:jc w:val="both"/>
              <w:rPr>
                <w:noProof/>
                <w:lang w:bidi="gu-IN"/>
              </w:rPr>
            </w:pPr>
            <w:r w:rsidRPr="00C77523">
              <w:rPr>
                <w:noProof/>
                <w:lang w:bidi="gu-IN"/>
              </w:rPr>
              <w:t xml:space="preserve">dotācija no vispārējiem ieņēmumiem 511 490 642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ieņēmumi no maksas pakalpojumiem un citi pašu ieņēmumi 1 087 074 </w:t>
            </w:r>
            <w:r w:rsidRPr="00C77523">
              <w:rPr>
                <w:i/>
                <w:noProof/>
                <w:lang w:bidi="gu-IN"/>
              </w:rPr>
              <w:t>euro.</w:t>
            </w:r>
          </w:p>
          <w:p w:rsidR="00C77523" w:rsidRPr="00C77523" w:rsidRDefault="00C77523" w:rsidP="00C77523">
            <w:pPr>
              <w:spacing w:before="80"/>
              <w:ind w:left="159" w:right="142"/>
              <w:jc w:val="both"/>
              <w:rPr>
                <w:noProof/>
                <w:lang w:bidi="gu-IN"/>
              </w:rPr>
            </w:pPr>
            <w:r w:rsidRPr="00C77523">
              <w:rPr>
                <w:noProof/>
                <w:lang w:bidi="gu-IN"/>
              </w:rPr>
              <w:t>Izdevumi 512 577 966 </w:t>
            </w:r>
            <w:r w:rsidRPr="00C77523">
              <w:rPr>
                <w:i/>
                <w:noProof/>
                <w:lang w:bidi="gu-IN"/>
              </w:rPr>
              <w:t>euro</w:t>
            </w:r>
            <w:r w:rsidRPr="00C77523">
              <w:rPr>
                <w:noProof/>
                <w:lang w:bidi="gu-IN"/>
              </w:rPr>
              <w:t xml:space="preserve">, tai skaitā: </w:t>
            </w:r>
          </w:p>
          <w:p w:rsidR="00C77523" w:rsidRPr="00C77523" w:rsidRDefault="00C77523" w:rsidP="00C77523">
            <w:pPr>
              <w:ind w:left="159" w:right="140"/>
              <w:jc w:val="both"/>
              <w:rPr>
                <w:noProof/>
                <w:lang w:bidi="gu-IN"/>
              </w:rPr>
            </w:pPr>
            <w:r w:rsidRPr="00C77523">
              <w:rPr>
                <w:noProof/>
                <w:lang w:bidi="gu-IN"/>
              </w:rPr>
              <w:t xml:space="preserve">subsīdijas un dotācijas 511 007 098 </w:t>
            </w:r>
            <w:r w:rsidRPr="00C77523">
              <w:rPr>
                <w:i/>
                <w:noProof/>
                <w:lang w:bidi="gu-IN"/>
              </w:rPr>
              <w:t>euro</w:t>
            </w:r>
            <w:r w:rsidRPr="00C77523">
              <w:rPr>
                <w:noProof/>
                <w:lang w:bidi="gu-IN"/>
              </w:rPr>
              <w:t>,</w:t>
            </w:r>
          </w:p>
          <w:p w:rsidR="00C77523" w:rsidRPr="00C77523" w:rsidRDefault="00C77523" w:rsidP="00C77523">
            <w:pPr>
              <w:ind w:left="159" w:right="142"/>
              <w:jc w:val="both"/>
              <w:rPr>
                <w:noProof/>
                <w:lang w:bidi="gu-IN"/>
              </w:rPr>
            </w:pPr>
            <w:r w:rsidRPr="00C77523">
              <w:rPr>
                <w:noProof/>
                <w:lang w:bidi="gu-IN"/>
              </w:rPr>
              <w:t xml:space="preserve">valsts budžeta uzturēšanas izdevumu transferti pašvaldībām noteiktam mērķim 1 570 868 </w:t>
            </w:r>
            <w:r w:rsidRPr="00C77523">
              <w:rPr>
                <w:i/>
                <w:noProof/>
                <w:lang w:bidi="gu-IN"/>
              </w:rPr>
              <w:t>euro</w:t>
            </w:r>
            <w:r w:rsidRPr="00C77523">
              <w:rPr>
                <w:noProof/>
                <w:lang w:bidi="gu-IN"/>
              </w:rPr>
              <w:t>.</w:t>
            </w:r>
          </w:p>
          <w:p w:rsidR="00C77523" w:rsidRPr="00C77523" w:rsidRDefault="00C77523" w:rsidP="00C77523">
            <w:pPr>
              <w:ind w:left="159" w:right="142"/>
              <w:jc w:val="both"/>
              <w:rPr>
                <w:i/>
                <w:noProof/>
              </w:rPr>
            </w:pPr>
            <w:r w:rsidRPr="00C77523">
              <w:rPr>
                <w:noProof/>
              </w:rPr>
              <w:t xml:space="preserve">Finansēšana 250 </w:t>
            </w:r>
            <w:r w:rsidRPr="00C77523">
              <w:rPr>
                <w:i/>
                <w:noProof/>
              </w:rPr>
              <w:t>euro</w:t>
            </w:r>
          </w:p>
          <w:p w:rsidR="00C77523" w:rsidRPr="00C77523" w:rsidRDefault="00C77523" w:rsidP="00C77523">
            <w:pPr>
              <w:ind w:left="159" w:right="142"/>
              <w:jc w:val="both"/>
              <w:rPr>
                <w:i/>
                <w:noProof/>
              </w:rPr>
            </w:pPr>
            <w:r w:rsidRPr="00C77523">
              <w:rPr>
                <w:noProof/>
              </w:rPr>
              <w:t xml:space="preserve">  t.sk.maksas pakalpojumu naudas līdzekļu atlikums 250 </w:t>
            </w:r>
            <w:r w:rsidRPr="00C77523">
              <w:rPr>
                <w:i/>
                <w:noProof/>
              </w:rPr>
              <w:t>euro</w:t>
            </w:r>
          </w:p>
          <w:p w:rsidR="00C77523" w:rsidRPr="00C77523" w:rsidRDefault="00C77523" w:rsidP="00C77523">
            <w:pPr>
              <w:ind w:right="140"/>
              <w:jc w:val="both"/>
              <w:rPr>
                <w:noProof/>
                <w:lang w:bidi="gu-IN"/>
              </w:rPr>
            </w:pPr>
          </w:p>
          <w:p w:rsidR="00C77523" w:rsidRPr="00C77523" w:rsidRDefault="00C77523" w:rsidP="00C77523">
            <w:pPr>
              <w:spacing w:after="120"/>
              <w:ind w:left="159" w:right="142"/>
              <w:jc w:val="both"/>
              <w:rPr>
                <w:noProof/>
              </w:rPr>
            </w:pPr>
            <w:r w:rsidRPr="00C77523">
              <w:rPr>
                <w:noProof/>
                <w:u w:val="single"/>
              </w:rPr>
              <w:t xml:space="preserve">Atbilstoši 2015.gada 30.novembrī Saeimā 2.lasījumā pieņemtajam likumam „Par valsts budžetu 2016.gadam” un likumam </w:t>
            </w:r>
            <w:r w:rsidRPr="00C77523">
              <w:rPr>
                <w:u w:val="single"/>
              </w:rPr>
              <w:t>„Par vidēja termiņa budžeta ietvaru 2016., 2017. un 2018.gadam”</w:t>
            </w:r>
            <w:r w:rsidRPr="00C77523">
              <w:rPr>
                <w:noProof/>
                <w:lang w:bidi="gu-IN"/>
              </w:rPr>
              <w:t xml:space="preserve"> finansējums  valsts pamatbudžeta programmas 33.00.00 „Veselības aprūpes nodrošināšana” apakš</w:t>
            </w:r>
            <w:r w:rsidRPr="00C77523">
              <w:rPr>
                <w:noProof/>
                <w:lang w:bidi="gu-IN"/>
              </w:rPr>
              <w:softHyphen/>
              <w:t>programmā 33.01.00 „Ārstniecība”</w:t>
            </w:r>
            <w:r w:rsidRPr="00C77523">
              <w:rPr>
                <w:noProof/>
              </w:rPr>
              <w:t>:</w:t>
            </w:r>
          </w:p>
          <w:p w:rsidR="00C77523" w:rsidRPr="00C77523" w:rsidRDefault="00C77523" w:rsidP="00C77523">
            <w:pPr>
              <w:spacing w:after="120"/>
              <w:ind w:left="159" w:right="142"/>
              <w:jc w:val="both"/>
              <w:rPr>
                <w:noProof/>
                <w:u w:val="single"/>
              </w:rPr>
            </w:pPr>
            <w:r w:rsidRPr="00C77523">
              <w:rPr>
                <w:noProof/>
                <w:u w:val="single"/>
              </w:rPr>
              <w:t>2016.gadam:</w:t>
            </w:r>
          </w:p>
          <w:p w:rsidR="00C77523" w:rsidRPr="00C77523" w:rsidRDefault="00C77523" w:rsidP="00C77523">
            <w:pPr>
              <w:ind w:left="159" w:right="140"/>
              <w:jc w:val="both"/>
              <w:rPr>
                <w:noProof/>
                <w:lang w:bidi="gu-IN"/>
              </w:rPr>
            </w:pPr>
            <w:r w:rsidRPr="00C77523">
              <w:rPr>
                <w:noProof/>
                <w:lang w:bidi="gu-IN"/>
              </w:rPr>
              <w:t>Ieņēmumi (resursi izdevumu segšanai) 518 190 610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tai skaitā:</w:t>
            </w:r>
          </w:p>
          <w:p w:rsidR="00C77523" w:rsidRPr="00C77523" w:rsidRDefault="00C77523" w:rsidP="00C77523">
            <w:pPr>
              <w:ind w:left="159" w:right="140"/>
              <w:jc w:val="both"/>
              <w:rPr>
                <w:noProof/>
                <w:lang w:bidi="gu-IN"/>
              </w:rPr>
            </w:pPr>
            <w:r w:rsidRPr="00C77523">
              <w:rPr>
                <w:noProof/>
                <w:lang w:bidi="gu-IN"/>
              </w:rPr>
              <w:t>dotācija no vispārējiem ieņēmumiem 517 103 536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ieņēmumi no maksas pakalpojumiem un citi pašu ieņēmumi 1 087 074 </w:t>
            </w:r>
            <w:r w:rsidRPr="00C77523">
              <w:rPr>
                <w:i/>
                <w:noProof/>
                <w:lang w:bidi="gu-IN"/>
              </w:rPr>
              <w:t>euro.</w:t>
            </w:r>
          </w:p>
          <w:p w:rsidR="00C77523" w:rsidRPr="00C77523" w:rsidRDefault="00C77523" w:rsidP="00C77523">
            <w:pPr>
              <w:spacing w:before="80"/>
              <w:ind w:left="159" w:right="142"/>
              <w:jc w:val="both"/>
              <w:rPr>
                <w:noProof/>
                <w:lang w:bidi="gu-IN"/>
              </w:rPr>
            </w:pPr>
            <w:r w:rsidRPr="00C77523">
              <w:rPr>
                <w:noProof/>
                <w:lang w:bidi="gu-IN"/>
              </w:rPr>
              <w:t>Izdevumi 518 190 610 </w:t>
            </w:r>
            <w:r w:rsidRPr="00C77523">
              <w:rPr>
                <w:i/>
                <w:noProof/>
                <w:lang w:bidi="gu-IN"/>
              </w:rPr>
              <w:t>euro</w:t>
            </w:r>
            <w:r w:rsidRPr="00C77523">
              <w:rPr>
                <w:noProof/>
                <w:lang w:bidi="gu-IN"/>
              </w:rPr>
              <w:t xml:space="preserve">, tai skaitā: </w:t>
            </w:r>
          </w:p>
          <w:p w:rsidR="00C77523" w:rsidRPr="00C77523" w:rsidRDefault="00C77523" w:rsidP="00C77523">
            <w:pPr>
              <w:ind w:left="159" w:right="140"/>
              <w:jc w:val="both"/>
              <w:rPr>
                <w:noProof/>
                <w:lang w:bidi="gu-IN"/>
              </w:rPr>
            </w:pPr>
            <w:r w:rsidRPr="00C77523">
              <w:rPr>
                <w:noProof/>
                <w:lang w:bidi="gu-IN"/>
              </w:rPr>
              <w:t xml:space="preserve">subsīdijas un dotācijas 517 113 392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 xml:space="preserve">valsts budžeta uzturēšanas izdevumu transferti pašvaldībām noteiktam mērķim 1 077 218 </w:t>
            </w:r>
            <w:r w:rsidRPr="00C77523">
              <w:rPr>
                <w:i/>
                <w:noProof/>
                <w:lang w:bidi="gu-IN"/>
              </w:rPr>
              <w:t>euro</w:t>
            </w:r>
            <w:r w:rsidRPr="00C77523">
              <w:rPr>
                <w:noProof/>
                <w:lang w:bidi="gu-IN"/>
              </w:rPr>
              <w:t>.</w:t>
            </w:r>
          </w:p>
          <w:p w:rsidR="00C77523" w:rsidRPr="00C77523" w:rsidRDefault="00C77523" w:rsidP="00C77523">
            <w:pPr>
              <w:ind w:left="159" w:right="142"/>
              <w:jc w:val="both"/>
              <w:rPr>
                <w:noProof/>
                <w:u w:val="single"/>
              </w:rPr>
            </w:pPr>
          </w:p>
          <w:p w:rsidR="00C77523" w:rsidRPr="00C77523" w:rsidRDefault="00C77523" w:rsidP="00C77523">
            <w:pPr>
              <w:spacing w:after="120"/>
              <w:ind w:left="159" w:right="142"/>
              <w:jc w:val="both"/>
              <w:rPr>
                <w:noProof/>
                <w:u w:val="single"/>
              </w:rPr>
            </w:pPr>
            <w:r w:rsidRPr="00C77523">
              <w:rPr>
                <w:noProof/>
                <w:u w:val="single"/>
              </w:rPr>
              <w:t>2017.gadam:</w:t>
            </w:r>
          </w:p>
          <w:p w:rsidR="00C77523" w:rsidRPr="00C77523" w:rsidRDefault="00C77523" w:rsidP="00C77523">
            <w:pPr>
              <w:ind w:left="159" w:right="140"/>
              <w:jc w:val="both"/>
              <w:rPr>
                <w:noProof/>
                <w:lang w:bidi="gu-IN"/>
              </w:rPr>
            </w:pPr>
            <w:r w:rsidRPr="00C77523">
              <w:rPr>
                <w:noProof/>
                <w:lang w:bidi="gu-IN"/>
              </w:rPr>
              <w:t>Ieņēmumi (resursi izdevumu segšanai) 518 055 110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tai skaitā:</w:t>
            </w:r>
          </w:p>
          <w:p w:rsidR="00C77523" w:rsidRPr="00C77523" w:rsidRDefault="00C77523" w:rsidP="00C77523">
            <w:pPr>
              <w:ind w:left="159" w:right="140"/>
              <w:jc w:val="both"/>
              <w:rPr>
                <w:noProof/>
                <w:lang w:bidi="gu-IN"/>
              </w:rPr>
            </w:pPr>
            <w:r w:rsidRPr="00C77523">
              <w:rPr>
                <w:noProof/>
                <w:lang w:bidi="gu-IN"/>
              </w:rPr>
              <w:t>dotācija no vispārējiem ieņēmumiem 516 968 036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ieņēmumi no maksas pakalpojumiem un citi pašu ieņēmumi 1 087 074 </w:t>
            </w:r>
            <w:r w:rsidRPr="00C77523">
              <w:rPr>
                <w:i/>
                <w:noProof/>
                <w:lang w:bidi="gu-IN"/>
              </w:rPr>
              <w:t>euro.</w:t>
            </w:r>
          </w:p>
          <w:p w:rsidR="00C77523" w:rsidRPr="00C77523" w:rsidRDefault="00C77523" w:rsidP="00C77523">
            <w:pPr>
              <w:spacing w:before="80"/>
              <w:ind w:left="159" w:right="142"/>
              <w:jc w:val="both"/>
              <w:rPr>
                <w:noProof/>
                <w:lang w:bidi="gu-IN"/>
              </w:rPr>
            </w:pPr>
            <w:r w:rsidRPr="00C77523">
              <w:rPr>
                <w:noProof/>
                <w:lang w:bidi="gu-IN"/>
              </w:rPr>
              <w:t>Izdevumi 518 055 110 </w:t>
            </w:r>
            <w:r w:rsidRPr="00C77523">
              <w:rPr>
                <w:i/>
                <w:noProof/>
                <w:lang w:bidi="gu-IN"/>
              </w:rPr>
              <w:t>euro</w:t>
            </w:r>
            <w:r w:rsidRPr="00C77523">
              <w:rPr>
                <w:noProof/>
                <w:lang w:bidi="gu-IN"/>
              </w:rPr>
              <w:t xml:space="preserve">, tai skaitā: </w:t>
            </w:r>
          </w:p>
          <w:p w:rsidR="00C77523" w:rsidRPr="00C77523" w:rsidRDefault="00C77523" w:rsidP="00C77523">
            <w:pPr>
              <w:ind w:left="159" w:right="140"/>
              <w:jc w:val="both"/>
              <w:rPr>
                <w:noProof/>
                <w:lang w:bidi="gu-IN"/>
              </w:rPr>
            </w:pPr>
            <w:r w:rsidRPr="00C77523">
              <w:rPr>
                <w:noProof/>
                <w:lang w:bidi="gu-IN"/>
              </w:rPr>
              <w:t xml:space="preserve">subsīdijas un dotācijas 516 977 892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 xml:space="preserve">valsts budžeta uzturēšanas izdevumu transferti pašvaldībām noteiktam mērķim 1 077 218 </w:t>
            </w:r>
            <w:r w:rsidRPr="00C77523">
              <w:rPr>
                <w:i/>
                <w:noProof/>
                <w:lang w:bidi="gu-IN"/>
              </w:rPr>
              <w:t>euro</w:t>
            </w:r>
            <w:r w:rsidRPr="00C77523">
              <w:rPr>
                <w:noProof/>
                <w:lang w:bidi="gu-IN"/>
              </w:rPr>
              <w:t>.</w:t>
            </w:r>
          </w:p>
          <w:p w:rsidR="00C77523" w:rsidRPr="00C77523" w:rsidRDefault="00C77523" w:rsidP="00C77523">
            <w:pPr>
              <w:ind w:left="159" w:right="142"/>
              <w:jc w:val="both"/>
              <w:rPr>
                <w:noProof/>
                <w:lang w:bidi="gu-IN"/>
              </w:rPr>
            </w:pPr>
          </w:p>
          <w:p w:rsidR="00C77523" w:rsidRPr="00C77523" w:rsidRDefault="00C77523" w:rsidP="00C77523">
            <w:pPr>
              <w:spacing w:after="120"/>
              <w:ind w:left="159" w:right="142"/>
              <w:jc w:val="both"/>
              <w:rPr>
                <w:noProof/>
                <w:u w:val="single"/>
              </w:rPr>
            </w:pPr>
            <w:r w:rsidRPr="00C77523">
              <w:rPr>
                <w:noProof/>
                <w:u w:val="single"/>
              </w:rPr>
              <w:t>2018.gadam:</w:t>
            </w:r>
          </w:p>
          <w:p w:rsidR="00C77523" w:rsidRPr="00C77523" w:rsidRDefault="00C77523" w:rsidP="00C77523">
            <w:pPr>
              <w:ind w:left="159" w:right="140"/>
              <w:jc w:val="both"/>
              <w:rPr>
                <w:noProof/>
                <w:lang w:bidi="gu-IN"/>
              </w:rPr>
            </w:pPr>
            <w:r w:rsidRPr="00C77523">
              <w:rPr>
                <w:noProof/>
                <w:lang w:bidi="gu-IN"/>
              </w:rPr>
              <w:t>Ieņēmumi (resursi izdevumu segšanai) 518 055 110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tai skaitā:</w:t>
            </w:r>
          </w:p>
          <w:p w:rsidR="00C77523" w:rsidRPr="00C77523" w:rsidRDefault="00C77523" w:rsidP="00C77523">
            <w:pPr>
              <w:ind w:left="159" w:right="140"/>
              <w:jc w:val="both"/>
              <w:rPr>
                <w:noProof/>
                <w:lang w:bidi="gu-IN"/>
              </w:rPr>
            </w:pPr>
            <w:r w:rsidRPr="00C77523">
              <w:rPr>
                <w:noProof/>
                <w:lang w:bidi="gu-IN"/>
              </w:rPr>
              <w:t>dotācija no vispārējiem ieņēmumiem 516 968 036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ieņēmumi no maksas pakalpojumiem un citi pašu ieņēmumi 1 087 074 </w:t>
            </w:r>
            <w:r w:rsidRPr="00C77523">
              <w:rPr>
                <w:i/>
                <w:noProof/>
                <w:lang w:bidi="gu-IN"/>
              </w:rPr>
              <w:t>euro.</w:t>
            </w:r>
          </w:p>
          <w:p w:rsidR="00C77523" w:rsidRPr="00C77523" w:rsidRDefault="00C77523" w:rsidP="00C77523">
            <w:pPr>
              <w:spacing w:before="80"/>
              <w:ind w:left="159" w:right="142"/>
              <w:jc w:val="both"/>
              <w:rPr>
                <w:noProof/>
                <w:lang w:bidi="gu-IN"/>
              </w:rPr>
            </w:pPr>
            <w:r w:rsidRPr="00C77523">
              <w:rPr>
                <w:noProof/>
                <w:lang w:bidi="gu-IN"/>
              </w:rPr>
              <w:t>Izdevumi 518 055 110 </w:t>
            </w:r>
            <w:r w:rsidRPr="00C77523">
              <w:rPr>
                <w:i/>
                <w:noProof/>
                <w:lang w:bidi="gu-IN"/>
              </w:rPr>
              <w:t>euro</w:t>
            </w:r>
            <w:r w:rsidRPr="00C77523">
              <w:rPr>
                <w:noProof/>
                <w:lang w:bidi="gu-IN"/>
              </w:rPr>
              <w:t xml:space="preserve">, tai skaitā: </w:t>
            </w:r>
          </w:p>
          <w:p w:rsidR="00C77523" w:rsidRPr="00C77523" w:rsidRDefault="00C77523" w:rsidP="00C77523">
            <w:pPr>
              <w:ind w:left="159" w:right="140"/>
              <w:jc w:val="both"/>
              <w:rPr>
                <w:noProof/>
                <w:lang w:bidi="gu-IN"/>
              </w:rPr>
            </w:pPr>
            <w:r w:rsidRPr="00C77523">
              <w:rPr>
                <w:noProof/>
                <w:lang w:bidi="gu-IN"/>
              </w:rPr>
              <w:t xml:space="preserve">subsīdijas un dotācijas 516 977 892 </w:t>
            </w:r>
            <w:r w:rsidRPr="00C77523">
              <w:rPr>
                <w:i/>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 xml:space="preserve">valsts budžeta uzturēšanas izdevumu transferti pašvaldībām noteiktam mērķim 1 077 218 </w:t>
            </w:r>
            <w:r w:rsidRPr="00C77523">
              <w:rPr>
                <w:i/>
                <w:noProof/>
                <w:lang w:bidi="gu-IN"/>
              </w:rPr>
              <w:t>euro</w:t>
            </w:r>
            <w:r w:rsidRPr="00C77523">
              <w:rPr>
                <w:noProof/>
                <w:lang w:bidi="gu-IN"/>
              </w:rPr>
              <w:t>.</w:t>
            </w:r>
          </w:p>
          <w:p w:rsidR="00C77523" w:rsidRPr="00C77523" w:rsidRDefault="00C77523" w:rsidP="00C77523">
            <w:pPr>
              <w:ind w:left="159" w:right="142"/>
              <w:jc w:val="both"/>
              <w:rPr>
                <w:noProof/>
                <w:lang w:bidi="gu-IN"/>
              </w:rPr>
            </w:pPr>
          </w:p>
          <w:p w:rsidR="00C77523" w:rsidRPr="00C77523" w:rsidRDefault="00C77523" w:rsidP="00C77523">
            <w:pPr>
              <w:ind w:left="159" w:right="140"/>
              <w:jc w:val="both"/>
              <w:rPr>
                <w:noProof/>
                <w:lang w:bidi="gu-IN"/>
              </w:rPr>
            </w:pPr>
            <w:r w:rsidRPr="00C77523">
              <w:rPr>
                <w:noProof/>
                <w:lang w:bidi="gu-IN"/>
              </w:rPr>
              <w:t xml:space="preserve">Veselības nozarei 2016.-2018.gadam tika piešķirts </w:t>
            </w:r>
            <w:r w:rsidRPr="00C77523">
              <w:rPr>
                <w:b/>
                <w:noProof/>
                <w:lang w:bidi="gu-IN"/>
              </w:rPr>
              <w:t>papildus finansējums neatliekamo pasākumu nodrošināšanai</w:t>
            </w:r>
            <w:r w:rsidRPr="00C77523">
              <w:rPr>
                <w:noProof/>
                <w:lang w:bidi="gu-IN"/>
              </w:rPr>
              <w:t xml:space="preserve">, tai skaitā ārstniecības personu un pārējo nozarē strādājošo darba samaksas pieauguma nodrošināšanai (algu skalas izlīdzināšanai) </w:t>
            </w:r>
            <w:r w:rsidRPr="00C77523">
              <w:rPr>
                <w:b/>
                <w:noProof/>
                <w:lang w:bidi="gu-IN"/>
              </w:rPr>
              <w:t xml:space="preserve">10 000 000 </w:t>
            </w:r>
            <w:r w:rsidRPr="00C77523">
              <w:rPr>
                <w:b/>
                <w:i/>
                <w:noProof/>
                <w:lang w:bidi="gu-IN"/>
              </w:rPr>
              <w:t>euro</w:t>
            </w:r>
            <w:r w:rsidRPr="00C77523">
              <w:rPr>
                <w:b/>
                <w:noProof/>
                <w:lang w:bidi="gu-IN"/>
              </w:rPr>
              <w:t xml:space="preserve"> ik gadu</w:t>
            </w:r>
            <w:r w:rsidRPr="00C77523">
              <w:rPr>
                <w:noProof/>
                <w:lang w:bidi="gu-IN"/>
              </w:rPr>
              <w:t>, vienlaikus paredzot likumā „Par valsts budžetu 2016.gadam” 66.pantu, kas nosaka, ka Veselības ministrijas budžeta apakšprogrammas 33.01.00 „Ārstniecība” finansējums 10 000 000 euro apmērā paredzēts valsts un pašvaldību ārstniecības iestāžu nodarbināto darba samaksas pieauguma nodrošināšanai atbilstoši noslēgtajiem līgumiem par valsts apmaksātajiem veselības aprūpes pakalpojumiem Ministru kabineta noteiktajā kārtībā un apmērā.</w:t>
            </w:r>
          </w:p>
          <w:p w:rsidR="00C77523" w:rsidRPr="00C77523" w:rsidRDefault="00C77523" w:rsidP="00C77523">
            <w:pPr>
              <w:ind w:left="159" w:right="140"/>
              <w:jc w:val="both"/>
              <w:rPr>
                <w:noProof/>
                <w:lang w:bidi="gu-IN"/>
              </w:rPr>
            </w:pPr>
            <w:r w:rsidRPr="00C77523">
              <w:rPr>
                <w:noProof/>
                <w:lang w:bidi="gu-IN"/>
              </w:rPr>
              <w:t>Katrai valsts un pašvaldību ārstniecības iestādei papildus piešķiramā finansējuma apmērs ārstniecības personu darba samaksai aprēķināts, ņemot vērā ārstniecības iestāžu sniegto informāciju par darba slodžu skaitu sadalījumā pa amata kvalifikācijas kategorijām katrā iestādē (slodžu skaits (strādājošo skaits normālā darba laika ietvaros) iegūts no iestāžu sniegtās informācijas par 2015.g. februāri.), kā arī atbilstoši plānotajiem grozījumiem 2010.gada 29.jūnija Ministru kabineta noteikumos Nr.595 „Noteikumi par zemāko mēnešalgu un speciālo piemaksu ārstniecības personām” 2.pielikumā.</w:t>
            </w:r>
          </w:p>
          <w:p w:rsidR="00C77523" w:rsidRPr="00C77523" w:rsidRDefault="00C77523" w:rsidP="00C77523">
            <w:pPr>
              <w:ind w:left="159" w:right="140"/>
              <w:jc w:val="both"/>
              <w:rPr>
                <w:noProof/>
                <w:lang w:bidi="gu-IN"/>
              </w:rPr>
            </w:pPr>
            <w:r w:rsidRPr="00C77523">
              <w:rPr>
                <w:noProof/>
                <w:lang w:bidi="gu-IN"/>
              </w:rPr>
              <w:t>Lai nodrošinātu finansējuma novirzīšanu paredzētajam mērķim, Nacionālais veselības dienests, slēdzot līgumus par valsts apmaksāto veselības aprūpes pakalpojumu sniegšanu un apmaksu, pie līguma paredzēs papildus finansējumu konkrēti darba samaksas pieaugumam.</w:t>
            </w:r>
          </w:p>
          <w:p w:rsidR="00C77523" w:rsidRPr="00C77523" w:rsidRDefault="00C77523" w:rsidP="00C77523">
            <w:pPr>
              <w:ind w:left="159" w:right="140"/>
              <w:jc w:val="both"/>
              <w:rPr>
                <w:noProof/>
                <w:lang w:bidi="gu-IN"/>
              </w:rPr>
            </w:pPr>
            <w:r w:rsidRPr="00C77523">
              <w:rPr>
                <w:noProof/>
                <w:lang w:bidi="gu-IN"/>
              </w:rPr>
              <w:t>Finanšu līdzekļu sadalījums darba samaksas pieauguma nodrošināšanai 2016.gadā katrai iestādei norādīts Noteikumu 33.pielikumā.</w:t>
            </w:r>
          </w:p>
          <w:p w:rsidR="00C77523" w:rsidRPr="00C77523" w:rsidRDefault="00C77523" w:rsidP="00C77523">
            <w:pPr>
              <w:ind w:left="159" w:right="140"/>
              <w:jc w:val="both"/>
              <w:rPr>
                <w:noProof/>
                <w:lang w:bidi="gu-IN"/>
              </w:rPr>
            </w:pPr>
          </w:p>
          <w:p w:rsidR="00C77523" w:rsidRPr="00C77523" w:rsidRDefault="00C77523" w:rsidP="00C77523">
            <w:pPr>
              <w:ind w:left="159" w:right="140"/>
              <w:jc w:val="both"/>
              <w:rPr>
                <w:noProof/>
                <w:lang w:bidi="gu-IN"/>
              </w:rPr>
            </w:pPr>
            <w:r w:rsidRPr="00C77523">
              <w:rPr>
                <w:noProof/>
                <w:lang w:bidi="gu-IN"/>
              </w:rPr>
              <w:t xml:space="preserve">2015.gada 31.augusta Ministru kabineta sēdes protokla Nr.43, 4.§, 8.punktā tika atbalstīta finanšu līdzekļu piešķiršana </w:t>
            </w:r>
            <w:r w:rsidRPr="00C77523">
              <w:rPr>
                <w:b/>
                <w:noProof/>
                <w:lang w:bidi="gu-IN"/>
              </w:rPr>
              <w:t>1 247 600 euro</w:t>
            </w:r>
            <w:r w:rsidRPr="00C77523">
              <w:rPr>
                <w:noProof/>
                <w:lang w:bidi="gu-IN"/>
              </w:rPr>
              <w:t xml:space="preserve"> apmērā Veselības ministrijas budžeta apakšprogrammā 33.01.00 „Ārstniecība” minimālās mēneša darba algas paaugstināšanai līdz 370 euro ar 2016.gada 1.janvāri.</w:t>
            </w:r>
          </w:p>
          <w:p w:rsidR="00C77523" w:rsidRPr="00C77523" w:rsidRDefault="00C77523" w:rsidP="00C77523">
            <w:pPr>
              <w:ind w:left="159" w:right="140"/>
              <w:jc w:val="both"/>
              <w:rPr>
                <w:noProof/>
                <w:lang w:bidi="gu-IN"/>
              </w:rPr>
            </w:pPr>
            <w:r w:rsidRPr="00C77523">
              <w:rPr>
                <w:noProof/>
                <w:lang w:bidi="gu-IN"/>
              </w:rPr>
              <w:t>Lai segtu minimālās algas pieaugumu līdz 370 euro ģimenes ārstu reģistratoru nodrošināšanai, no piešķirtajiem finanšu līdzekļiem 189 901 euro tiks novirzīti kapitācijas naudas vienai personai mēnesī palielināšanai ģimenes ārstiem no 1.171951 līdz 1.182579 euro. Papildus piešķirtā finansējuma aprēķins:</w:t>
            </w:r>
          </w:p>
          <w:p w:rsidR="00C77523" w:rsidRPr="00C77523" w:rsidRDefault="00C77523" w:rsidP="00C77523">
            <w:pPr>
              <w:ind w:left="159" w:right="140"/>
              <w:jc w:val="both"/>
              <w:rPr>
                <w:noProof/>
                <w:lang w:bidi="gu-IN"/>
              </w:rPr>
            </w:pPr>
            <w:r w:rsidRPr="00C77523">
              <w:rPr>
                <w:noProof/>
                <w:lang w:bidi="gu-IN"/>
              </w:rPr>
              <w:t xml:space="preserve">Minimālās algas pieauguma procents: (370-360)/360 = </w:t>
            </w:r>
            <w:r w:rsidRPr="00C77523">
              <w:rPr>
                <w:b/>
                <w:noProof/>
                <w:lang w:bidi="gu-IN"/>
              </w:rPr>
              <w:t>2.778%;</w:t>
            </w:r>
          </w:p>
          <w:p w:rsidR="00C77523" w:rsidRPr="00C77523" w:rsidRDefault="00C77523" w:rsidP="00C77523">
            <w:pPr>
              <w:ind w:left="159" w:right="140"/>
              <w:jc w:val="both"/>
              <w:rPr>
                <w:noProof/>
                <w:lang w:bidi="gu-IN"/>
              </w:rPr>
            </w:pPr>
            <w:r w:rsidRPr="00C77523">
              <w:rPr>
                <w:noProof/>
                <w:lang w:bidi="gu-IN"/>
              </w:rPr>
              <w:t xml:space="preserve">Pašreizējais kapitācijas naudas finasējums bez reģistratora: </w:t>
            </w:r>
            <w:r w:rsidRPr="00C77523">
              <w:rPr>
                <w:b/>
                <w:noProof/>
                <w:lang w:bidi="gu-IN"/>
              </w:rPr>
              <w:t>23 057 418</w:t>
            </w:r>
            <w:r w:rsidRPr="00C77523">
              <w:rPr>
                <w:noProof/>
                <w:lang w:bidi="gu-IN"/>
              </w:rPr>
              <w:t xml:space="preserve"> </w:t>
            </w:r>
            <w:r w:rsidRPr="00C77523">
              <w:rPr>
                <w:b/>
                <w:noProof/>
                <w:lang w:bidi="gu-IN"/>
              </w:rPr>
              <w:t>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 xml:space="preserve">Pašreizējais reģistratoru nodrošinājuma maksājums gadā: </w:t>
            </w:r>
            <w:r w:rsidRPr="00C77523">
              <w:rPr>
                <w:b/>
                <w:noProof/>
                <w:lang w:bidi="gu-IN"/>
              </w:rPr>
              <w:t>6 835 818 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 xml:space="preserve">Papildus nepieciešamais finansējums gadā proporcionāli min.algas paieaugumam: 6 835 818 * 2.778% = </w:t>
            </w:r>
            <w:r w:rsidRPr="00C77523">
              <w:rPr>
                <w:b/>
                <w:noProof/>
                <w:lang w:bidi="gu-IN"/>
              </w:rPr>
              <w:t>189 901 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 xml:space="preserve">Kopā finansējuma gadam: 23 057 418 + 6 835 818 + 189 901 = </w:t>
            </w:r>
            <w:r w:rsidRPr="00C77523">
              <w:rPr>
                <w:b/>
                <w:noProof/>
                <w:lang w:bidi="gu-IN"/>
              </w:rPr>
              <w:t>30 083 137 euro</w:t>
            </w:r>
            <w:r w:rsidRPr="00C77523">
              <w:rPr>
                <w:noProof/>
                <w:lang w:bidi="gu-IN"/>
              </w:rPr>
              <w:t>;</w:t>
            </w:r>
          </w:p>
          <w:p w:rsidR="00C77523" w:rsidRPr="00C77523" w:rsidRDefault="00C77523" w:rsidP="00C77523">
            <w:pPr>
              <w:ind w:left="159" w:right="140"/>
              <w:jc w:val="both"/>
              <w:rPr>
                <w:noProof/>
                <w:lang w:bidi="gu-IN"/>
              </w:rPr>
            </w:pPr>
            <w:r w:rsidRPr="00C77523">
              <w:rPr>
                <w:noProof/>
                <w:lang w:bidi="gu-IN"/>
              </w:rPr>
              <w:t xml:space="preserve">Kapitācijas nauda mēnesī: 30 083 137 / 2 119 882 / 12 mēneši = </w:t>
            </w:r>
            <w:r w:rsidRPr="00C77523">
              <w:rPr>
                <w:b/>
                <w:noProof/>
                <w:lang w:bidi="gu-IN"/>
              </w:rPr>
              <w:t>1.182579 euro</w:t>
            </w:r>
            <w:r w:rsidRPr="00C77523">
              <w:rPr>
                <w:noProof/>
                <w:lang w:bidi="gu-IN"/>
              </w:rPr>
              <w:t>, kur 2 119 882 reģistrēto pacientu skaits uz 30.09.2015 (kapitācijas naudas aprēķinā neiekļauj izslēgtos pacientus, bloķētos un nezināmos, iekļauti reģistrētie un pasīvi reģistrētie pacienti).</w:t>
            </w:r>
          </w:p>
          <w:p w:rsidR="00C77523" w:rsidRPr="00C77523" w:rsidRDefault="00C77523" w:rsidP="00C77523">
            <w:pPr>
              <w:ind w:right="142"/>
              <w:jc w:val="both"/>
              <w:rPr>
                <w:b/>
                <w:noProof/>
                <w:sz w:val="16"/>
                <w:szCs w:val="16"/>
              </w:rPr>
            </w:pPr>
          </w:p>
        </w:tc>
      </w:tr>
      <w:tr w:rsidR="00C77523" w:rsidRPr="00C77523" w:rsidTr="00A96E21">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6.1. detalizēts ieņēmumu aprēķins</w:t>
            </w:r>
          </w:p>
        </w:tc>
        <w:tc>
          <w:tcPr>
            <w:tcW w:w="3891" w:type="pct"/>
            <w:gridSpan w:val="5"/>
            <w:vMerge/>
            <w:hideMark/>
          </w:tcPr>
          <w:p w:rsidR="00C77523" w:rsidRPr="00C77523" w:rsidRDefault="00C77523" w:rsidP="00C77523">
            <w:pPr>
              <w:rPr>
                <w:noProof/>
                <w:lang w:bidi="gu-IN"/>
              </w:rPr>
            </w:pPr>
          </w:p>
        </w:tc>
      </w:tr>
      <w:tr w:rsidR="00C77523" w:rsidRPr="00C77523" w:rsidTr="00A96E21">
        <w:tc>
          <w:tcPr>
            <w:tcW w:w="1109" w:type="pct"/>
            <w:hideMark/>
          </w:tcPr>
          <w:p w:rsidR="00C77523" w:rsidRPr="00C77523" w:rsidRDefault="00C77523" w:rsidP="00C77523">
            <w:pPr>
              <w:rPr>
                <w:noProof/>
                <w:color w:val="000000" w:themeColor="text1"/>
                <w:lang w:bidi="gu-IN"/>
              </w:rPr>
            </w:pPr>
            <w:r w:rsidRPr="00C77523">
              <w:rPr>
                <w:noProof/>
                <w:color w:val="000000" w:themeColor="text1"/>
                <w:lang w:bidi="gu-IN"/>
              </w:rPr>
              <w:t>6.2. detalizēts izdevumu aprēķins</w:t>
            </w:r>
          </w:p>
        </w:tc>
        <w:tc>
          <w:tcPr>
            <w:tcW w:w="3891" w:type="pct"/>
            <w:gridSpan w:val="5"/>
            <w:vMerge/>
            <w:hideMark/>
          </w:tcPr>
          <w:p w:rsidR="00C77523" w:rsidRPr="00C77523" w:rsidRDefault="00C77523" w:rsidP="00C77523">
            <w:pPr>
              <w:rPr>
                <w:noProof/>
                <w:lang w:bidi="gu-IN"/>
              </w:rPr>
            </w:pPr>
          </w:p>
        </w:tc>
      </w:tr>
      <w:tr w:rsidR="00C77523" w:rsidRPr="00C77523" w:rsidTr="00A96E21">
        <w:trPr>
          <w:trHeight w:val="510"/>
        </w:trPr>
        <w:tc>
          <w:tcPr>
            <w:tcW w:w="1109" w:type="pct"/>
            <w:hideMark/>
          </w:tcPr>
          <w:p w:rsidR="00C77523" w:rsidRPr="00C77523" w:rsidRDefault="00C77523" w:rsidP="00C77523">
            <w:pPr>
              <w:spacing w:before="120"/>
              <w:rPr>
                <w:b/>
                <w:noProof/>
                <w:lang w:bidi="gu-IN"/>
              </w:rPr>
            </w:pPr>
            <w:r w:rsidRPr="00C77523">
              <w:rPr>
                <w:b/>
                <w:noProof/>
                <w:lang w:bidi="gu-IN"/>
              </w:rPr>
              <w:t>7. Cita informācija</w:t>
            </w:r>
          </w:p>
        </w:tc>
        <w:tc>
          <w:tcPr>
            <w:tcW w:w="3891" w:type="pct"/>
            <w:gridSpan w:val="5"/>
            <w:hideMark/>
          </w:tcPr>
          <w:p w:rsidR="00C77523" w:rsidRDefault="00C77523" w:rsidP="00C77523">
            <w:pPr>
              <w:widowControl w:val="0"/>
              <w:tabs>
                <w:tab w:val="center" w:pos="4153"/>
                <w:tab w:val="right" w:pos="8306"/>
              </w:tabs>
              <w:ind w:left="85"/>
              <w:jc w:val="both"/>
              <w:rPr>
                <w:noProof/>
                <w:lang w:bidi="gu-IN"/>
              </w:rPr>
            </w:pPr>
            <w:r w:rsidRPr="00C77523">
              <w:rPr>
                <w:noProof/>
                <w:lang w:bidi="gu-IN"/>
              </w:rPr>
              <w:t xml:space="preserve">Ņemot vērā, ka Veselības ministrijai piešķirtie līdzekļi 10 000 000 euro apmērā valsts un pašvaldību ārstniecības iestāžu nodarbināto darba samaksas pieauguma nodrošināšanai segs arī minimālās mēnešalgas paaugstināšu šajās iestādēs līdz 370 euro, atlikušais  finansējums </w:t>
            </w:r>
            <w:r w:rsidRPr="00C77523">
              <w:rPr>
                <w:b/>
                <w:noProof/>
                <w:lang w:bidi="gu-IN"/>
              </w:rPr>
              <w:t>1 057 699 euro</w:t>
            </w:r>
            <w:r w:rsidRPr="00C77523">
              <w:rPr>
                <w:noProof/>
                <w:lang w:bidi="gu-IN"/>
              </w:rPr>
              <w:t xml:space="preserve"> apmērā tiks novirzīts Veselības ministrijas padotībā esošo iestāžu atalgojuma </w:t>
            </w:r>
            <w:r w:rsidRPr="00C77523">
              <w:rPr>
                <w:b/>
                <w:noProof/>
                <w:lang w:bidi="gu-IN"/>
              </w:rPr>
              <w:t>izlīdzināšanai</w:t>
            </w:r>
            <w:r w:rsidRPr="00C77523">
              <w:rPr>
                <w:noProof/>
                <w:lang w:bidi="gu-IN"/>
              </w:rPr>
              <w:t xml:space="preserve"> saistībā ar minimālās mēnešalgas pieaugumu (veicot apropriācijas pārdali 2016.gadā, kā arī veicot izmaiņas budžetā bāzē 2017. un turpmākajiem gadiem).</w:t>
            </w:r>
          </w:p>
          <w:p w:rsidR="00D40AA2" w:rsidRPr="00C77523" w:rsidRDefault="00D40AA2" w:rsidP="00C77523">
            <w:pPr>
              <w:widowControl w:val="0"/>
              <w:tabs>
                <w:tab w:val="center" w:pos="4153"/>
                <w:tab w:val="right" w:pos="8306"/>
              </w:tabs>
              <w:ind w:left="85"/>
              <w:jc w:val="both"/>
              <w:rPr>
                <w:rFonts w:eastAsiaTheme="minorEastAsia" w:cstheme="minorBidi"/>
                <w:lang w:eastAsia="zh-CN"/>
              </w:rPr>
            </w:pPr>
            <w:r w:rsidRPr="00D40AA2">
              <w:rPr>
                <w:rFonts w:eastAsiaTheme="minorEastAsia" w:cstheme="minorBidi"/>
                <w:lang w:eastAsia="zh-CN"/>
              </w:rPr>
              <w:t>Noteikumu projektā paredzēto pasākumu īstenošana tiks nodrošināta Veselības ministrijai piešķirto valsts budžeta līdzekļu ietvaros, uzņemoties atbildību, ka netiek radīta situācija, ka tiek uzņemtas saistības bez finansiāla seguma.</w:t>
            </w:r>
          </w:p>
        </w:tc>
      </w:tr>
    </w:tbl>
    <w:p w:rsidR="00E571FE" w:rsidRPr="00C77523" w:rsidRDefault="00E571FE" w:rsidP="00BF6E4D">
      <w:pPr>
        <w:rPr>
          <w:u w:val="single"/>
          <w:lang w:eastAsia="lv-LV"/>
        </w:rPr>
      </w:pPr>
    </w:p>
    <w:tbl>
      <w:tblPr>
        <w:tblW w:w="512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48"/>
        <w:gridCol w:w="2495"/>
        <w:gridCol w:w="1800"/>
        <w:gridCol w:w="4514"/>
      </w:tblGrid>
      <w:tr w:rsidR="00E571FE" w:rsidRPr="00C77523" w:rsidTr="006D7935">
        <w:trPr>
          <w:trHeight w:val="222"/>
        </w:trPr>
        <w:tc>
          <w:tcPr>
            <w:tcW w:w="5000" w:type="pct"/>
            <w:gridSpan w:val="4"/>
            <w:tcBorders>
              <w:top w:val="outset" w:sz="6" w:space="0" w:color="000000"/>
              <w:bottom w:val="outset" w:sz="6" w:space="0" w:color="000000"/>
            </w:tcBorders>
          </w:tcPr>
          <w:p w:rsidR="00E571FE" w:rsidRPr="00C77523" w:rsidRDefault="00E571FE" w:rsidP="00BF6E4D">
            <w:pPr>
              <w:jc w:val="center"/>
              <w:rPr>
                <w:b/>
                <w:bCs/>
                <w:lang w:eastAsia="lv-LV"/>
              </w:rPr>
            </w:pPr>
            <w:r w:rsidRPr="00C77523">
              <w:rPr>
                <w:b/>
                <w:bCs/>
                <w:lang w:eastAsia="lv-LV"/>
              </w:rPr>
              <w:t xml:space="preserve">VI. Sabiedrības līdzdalība </w:t>
            </w:r>
            <w:r w:rsidRPr="00C77523">
              <w:rPr>
                <w:b/>
                <w:bCs/>
              </w:rPr>
              <w:t>un komunikācijas aktivitātes</w:t>
            </w:r>
          </w:p>
        </w:tc>
      </w:tr>
      <w:tr w:rsidR="008A1662" w:rsidRPr="00C77523" w:rsidTr="00C77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3" w:type="pct"/>
          </w:tcPr>
          <w:p w:rsidR="008A1662" w:rsidRPr="00C77523" w:rsidRDefault="008A1662" w:rsidP="00BF6E4D">
            <w:pPr>
              <w:pStyle w:val="naiskr"/>
              <w:spacing w:before="0" w:beforeAutospacing="0" w:after="0" w:afterAutospacing="0"/>
            </w:pPr>
            <w:r w:rsidRPr="00C77523">
              <w:t>1.</w:t>
            </w:r>
          </w:p>
        </w:tc>
        <w:tc>
          <w:tcPr>
            <w:tcW w:w="1333" w:type="pct"/>
          </w:tcPr>
          <w:p w:rsidR="008A1662" w:rsidRPr="00C77523" w:rsidRDefault="008A1662" w:rsidP="00BF6E4D">
            <w:pPr>
              <w:pStyle w:val="naiskr"/>
              <w:spacing w:before="0" w:beforeAutospacing="0" w:after="0" w:afterAutospacing="0"/>
              <w:jc w:val="both"/>
            </w:pPr>
            <w:r w:rsidRPr="00C77523">
              <w:t>Plānotās sabiedrības līdzdalības un komunikācijas aktivitātes saistībā ar projektu</w:t>
            </w:r>
          </w:p>
        </w:tc>
        <w:tc>
          <w:tcPr>
            <w:tcW w:w="3374" w:type="pct"/>
            <w:gridSpan w:val="2"/>
          </w:tcPr>
          <w:p w:rsidR="008A1662" w:rsidRPr="00C77523" w:rsidRDefault="00B3442F" w:rsidP="00EE03B3">
            <w:pPr>
              <w:ind w:right="57"/>
              <w:jc w:val="both"/>
              <w:rPr>
                <w:iCs/>
              </w:rPr>
            </w:pPr>
            <w:r w:rsidRPr="00C77523">
              <w:rPr>
                <w:iCs/>
              </w:rPr>
              <w:t>Noteikumu projekts</w:t>
            </w:r>
            <w:r w:rsidR="00C95C3F" w:rsidRPr="00C77523">
              <w:rPr>
                <w:iCs/>
              </w:rPr>
              <w:t xml:space="preserve"> 201</w:t>
            </w:r>
            <w:r w:rsidR="00ED0061" w:rsidRPr="00C77523">
              <w:rPr>
                <w:iCs/>
              </w:rPr>
              <w:t>5</w:t>
            </w:r>
            <w:r w:rsidR="00C95C3F" w:rsidRPr="00C77523">
              <w:rPr>
                <w:iCs/>
              </w:rPr>
              <w:t>.gada</w:t>
            </w:r>
            <w:r w:rsidR="0077059A" w:rsidRPr="00C77523">
              <w:rPr>
                <w:iCs/>
              </w:rPr>
              <w:t xml:space="preserve"> </w:t>
            </w:r>
            <w:r w:rsidR="00CF6E17" w:rsidRPr="00C77523">
              <w:rPr>
                <w:iCs/>
              </w:rPr>
              <w:t xml:space="preserve">13.novembrī </w:t>
            </w:r>
            <w:r w:rsidR="00EE03B3" w:rsidRPr="00C77523">
              <w:rPr>
                <w:iCs/>
              </w:rPr>
              <w:t xml:space="preserve">ievietots </w:t>
            </w:r>
            <w:r w:rsidR="008A1662" w:rsidRPr="00C77523">
              <w:rPr>
                <w:iCs/>
              </w:rPr>
              <w:t xml:space="preserve">Veselības ministrijas </w:t>
            </w:r>
            <w:r w:rsidR="00C95C3F" w:rsidRPr="00C77523">
              <w:rPr>
                <w:iCs/>
              </w:rPr>
              <w:t>tīmekļa vietnē</w:t>
            </w:r>
            <w:r w:rsidR="00ED0061" w:rsidRPr="00C77523">
              <w:rPr>
                <w:iCs/>
              </w:rPr>
              <w:t xml:space="preserve"> </w:t>
            </w:r>
            <w:r w:rsidR="001D788C" w:rsidRPr="00C77523">
              <w:rPr>
                <w:iCs/>
              </w:rPr>
              <w:t xml:space="preserve">sabiedriskai apspriedei. </w:t>
            </w:r>
          </w:p>
          <w:p w:rsidR="00F44C8E" w:rsidRPr="00C77523" w:rsidRDefault="00EE03B3" w:rsidP="00EE03B3">
            <w:pPr>
              <w:ind w:right="57"/>
              <w:jc w:val="both"/>
              <w:rPr>
                <w:iCs/>
              </w:rPr>
            </w:pPr>
            <w:r w:rsidRPr="00C77523">
              <w:rPr>
                <w:iCs/>
              </w:rPr>
              <w:t>P</w:t>
            </w:r>
            <w:r w:rsidR="00F44C8E" w:rsidRPr="00C77523">
              <w:rPr>
                <w:iCs/>
              </w:rPr>
              <w:t xml:space="preserve">apildus </w:t>
            </w:r>
            <w:r w:rsidRPr="00C77523">
              <w:rPr>
                <w:iCs/>
              </w:rPr>
              <w:t>noteikumu projekts</w:t>
            </w:r>
            <w:r w:rsidR="00A4359A" w:rsidRPr="00C77523">
              <w:rPr>
                <w:iCs/>
              </w:rPr>
              <w:t xml:space="preserve"> 2015.gada 16.novembrī</w:t>
            </w:r>
            <w:r w:rsidRPr="00C77523">
              <w:rPr>
                <w:iCs/>
              </w:rPr>
              <w:t xml:space="preserve"> </w:t>
            </w:r>
            <w:r w:rsidR="00BD65D9" w:rsidRPr="00C77523">
              <w:rPr>
                <w:iCs/>
              </w:rPr>
              <w:t>tika nosūtīts</w:t>
            </w:r>
            <w:r w:rsidR="00F44C8E" w:rsidRPr="00C77523">
              <w:rPr>
                <w:iCs/>
              </w:rPr>
              <w:t xml:space="preserve">  Veselības aprūpes darba devēju asociācijai, Latvijas slimnīcu biedrībai, Latvijas Lauku ģimenes ārstu asociācijai</w:t>
            </w:r>
            <w:r w:rsidR="007C4B52" w:rsidRPr="00C77523">
              <w:rPr>
                <w:iCs/>
              </w:rPr>
              <w:t xml:space="preserve"> Latvijas Ģimenes ārstu asociācijai</w:t>
            </w:r>
            <w:r w:rsidR="00A4359A" w:rsidRPr="00C77523">
              <w:rPr>
                <w:iCs/>
              </w:rPr>
              <w:t xml:space="preserve">, Latvijas Veselības un sociālās aprūpes darbinieku </w:t>
            </w:r>
            <w:r w:rsidR="00107532" w:rsidRPr="00C77523">
              <w:rPr>
                <w:iCs/>
              </w:rPr>
              <w:t>arodbiedrībai</w:t>
            </w:r>
            <w:r w:rsidR="00CF6E17" w:rsidRPr="00C77523">
              <w:rPr>
                <w:iCs/>
              </w:rPr>
              <w:t xml:space="preserve"> un Latvijas Ārstu biedrībai</w:t>
            </w:r>
            <w:r w:rsidR="00BD65D9" w:rsidRPr="00C77523">
              <w:rPr>
                <w:iCs/>
              </w:rPr>
              <w:t>.</w:t>
            </w:r>
          </w:p>
          <w:p w:rsidR="00CA2E58" w:rsidRPr="00C77523" w:rsidRDefault="00EE03B3" w:rsidP="00EE03B3">
            <w:pPr>
              <w:ind w:right="57"/>
              <w:jc w:val="both"/>
              <w:rPr>
                <w:iCs/>
              </w:rPr>
            </w:pPr>
            <w:r w:rsidRPr="00C77523">
              <w:rPr>
                <w:lang w:bidi="gu-IN"/>
              </w:rPr>
              <w:t xml:space="preserve">Saskaņā ar Ministru kabineta 2009.gada 25.augusta noteikumiem Nr.970 </w:t>
            </w:r>
            <w:r w:rsidR="00107532" w:rsidRPr="00C77523">
              <w:rPr>
                <w:lang w:bidi="gu-IN"/>
              </w:rPr>
              <w:t>„</w:t>
            </w:r>
            <w:r w:rsidRPr="00C77523">
              <w:rPr>
                <w:lang w:bidi="gu-IN"/>
              </w:rPr>
              <w:t>Sabiedrības līdzdalības kārtība attīstības plānošanas procesā” s</w:t>
            </w:r>
            <w:r w:rsidR="00F44C8E" w:rsidRPr="00C77523">
              <w:rPr>
                <w:iCs/>
              </w:rPr>
              <w:t>abiedriskā apspriede</w:t>
            </w:r>
            <w:r w:rsidR="00BD65D9" w:rsidRPr="00C77523">
              <w:rPr>
                <w:iCs/>
              </w:rPr>
              <w:t xml:space="preserve"> par noteikumu projektu</w:t>
            </w:r>
            <w:r w:rsidR="00F44C8E" w:rsidRPr="00C77523">
              <w:rPr>
                <w:iCs/>
              </w:rPr>
              <w:t xml:space="preserve"> notik</w:t>
            </w:r>
            <w:r w:rsidRPr="00C77523">
              <w:rPr>
                <w:iCs/>
              </w:rPr>
              <w:t>a</w:t>
            </w:r>
            <w:r w:rsidR="00F44C8E" w:rsidRPr="00C77523">
              <w:rPr>
                <w:iCs/>
              </w:rPr>
              <w:t xml:space="preserve"> 2015.gada </w:t>
            </w:r>
            <w:r w:rsidR="00CF6E17" w:rsidRPr="00C77523">
              <w:rPr>
                <w:iCs/>
              </w:rPr>
              <w:t>27.novembrī</w:t>
            </w:r>
            <w:r w:rsidR="00BD65D9" w:rsidRPr="00C77523">
              <w:rPr>
                <w:iCs/>
              </w:rPr>
              <w:t xml:space="preserve"> Veselības ministrijā</w:t>
            </w:r>
            <w:r w:rsidR="009B65EF" w:rsidRPr="00C77523">
              <w:rPr>
                <w:iCs/>
              </w:rPr>
              <w:t>.</w:t>
            </w:r>
          </w:p>
          <w:p w:rsidR="009B65EF" w:rsidRPr="00C77523" w:rsidRDefault="009B65EF" w:rsidP="00EE03B3">
            <w:pPr>
              <w:ind w:right="57"/>
              <w:jc w:val="both"/>
              <w:rPr>
                <w:iCs/>
              </w:rPr>
            </w:pPr>
            <w:r w:rsidRPr="00C77523">
              <w:rPr>
                <w:lang w:bidi="gu-IN"/>
              </w:rPr>
              <w:t>Pēc Noteikumu projekta pieņemšanas Nacionālais veselības dienests nosūtīs informāciju visām līgumattiecībās esošām ārstniecības iestādēm, lai tās neatkarīgi no dalības kādā no sabiedriskajām organizācijām būtu informētas par paredzētajām izmaiņām.</w:t>
            </w:r>
          </w:p>
        </w:tc>
      </w:tr>
      <w:tr w:rsidR="008A1662" w:rsidRPr="00C77523" w:rsidTr="00C77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3" w:type="pct"/>
          </w:tcPr>
          <w:p w:rsidR="008A1662" w:rsidRPr="00C77523" w:rsidRDefault="008A1662" w:rsidP="00BF6E4D">
            <w:pPr>
              <w:pStyle w:val="naiskr"/>
              <w:spacing w:before="0" w:beforeAutospacing="0" w:after="0" w:afterAutospacing="0"/>
            </w:pPr>
            <w:r w:rsidRPr="00C77523">
              <w:t>2.</w:t>
            </w:r>
          </w:p>
        </w:tc>
        <w:tc>
          <w:tcPr>
            <w:tcW w:w="1333" w:type="pct"/>
          </w:tcPr>
          <w:p w:rsidR="008A1662" w:rsidRPr="00C77523" w:rsidRDefault="008A1662" w:rsidP="00BF6E4D">
            <w:pPr>
              <w:pStyle w:val="naiskr"/>
              <w:spacing w:before="0" w:beforeAutospacing="0" w:after="0" w:afterAutospacing="0"/>
              <w:jc w:val="both"/>
            </w:pPr>
            <w:r w:rsidRPr="00C77523">
              <w:t>Sabiedrības līdzdalība projekta izstrādē</w:t>
            </w:r>
          </w:p>
        </w:tc>
        <w:tc>
          <w:tcPr>
            <w:tcW w:w="3374" w:type="pct"/>
            <w:gridSpan w:val="2"/>
          </w:tcPr>
          <w:p w:rsidR="00562687" w:rsidRPr="00C77523" w:rsidRDefault="009B65EF" w:rsidP="00EE03B3">
            <w:pPr>
              <w:ind w:left="57" w:right="57"/>
              <w:jc w:val="both"/>
            </w:pPr>
            <w:r w:rsidRPr="00C77523">
              <w:rPr>
                <w:lang w:bidi="gu-IN"/>
              </w:rPr>
              <w:t xml:space="preserve">Saskaņā ar Ministru kabineta 2009.gada 25.augusta noteikumiem Nr.970 ”Sabiedrības līdzdalības kārtība attīstības plānošanas procesā”2015. gada </w:t>
            </w:r>
            <w:r w:rsidR="00EE03B3" w:rsidRPr="00C77523">
              <w:rPr>
                <w:lang w:bidi="gu-IN"/>
              </w:rPr>
              <w:t>27</w:t>
            </w:r>
            <w:r w:rsidRPr="00C77523">
              <w:rPr>
                <w:lang w:bidi="gu-IN"/>
              </w:rPr>
              <w:t>. novembrī notika sabiedriskā apspriede</w:t>
            </w:r>
            <w:r w:rsidR="00EE03B3" w:rsidRPr="00C77523">
              <w:rPr>
                <w:lang w:bidi="gu-IN"/>
              </w:rPr>
              <w:t>.</w:t>
            </w:r>
            <w:r w:rsidRPr="00C77523">
              <w:rPr>
                <w:lang w:bidi="gu-IN"/>
              </w:rPr>
              <w:t xml:space="preserve"> </w:t>
            </w:r>
          </w:p>
        </w:tc>
      </w:tr>
      <w:tr w:rsidR="008A1662" w:rsidRPr="00C77523" w:rsidTr="00C77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3" w:type="pct"/>
          </w:tcPr>
          <w:p w:rsidR="008A1662" w:rsidRPr="00C77523" w:rsidRDefault="008A1662" w:rsidP="00BF6E4D">
            <w:pPr>
              <w:pStyle w:val="naiskr"/>
              <w:spacing w:before="0" w:beforeAutospacing="0" w:after="0" w:afterAutospacing="0"/>
            </w:pPr>
            <w:r w:rsidRPr="00C77523">
              <w:t>3.</w:t>
            </w:r>
          </w:p>
        </w:tc>
        <w:tc>
          <w:tcPr>
            <w:tcW w:w="1333" w:type="pct"/>
          </w:tcPr>
          <w:p w:rsidR="008A1662" w:rsidRPr="00C77523" w:rsidRDefault="008A1662" w:rsidP="00BF6E4D">
            <w:pPr>
              <w:pStyle w:val="naiskr"/>
              <w:spacing w:before="0" w:beforeAutospacing="0" w:after="0" w:afterAutospacing="0"/>
              <w:jc w:val="both"/>
            </w:pPr>
            <w:r w:rsidRPr="00C77523">
              <w:t>Sabiedrības līdzdalības rezultāti</w:t>
            </w:r>
          </w:p>
        </w:tc>
        <w:tc>
          <w:tcPr>
            <w:tcW w:w="3374" w:type="pct"/>
            <w:gridSpan w:val="2"/>
          </w:tcPr>
          <w:p w:rsidR="00B27AB2" w:rsidRPr="00C77523" w:rsidRDefault="00EE03B3" w:rsidP="00107532">
            <w:pPr>
              <w:jc w:val="both"/>
              <w:rPr>
                <w:rFonts w:eastAsia="Arial Unicode MS"/>
              </w:rPr>
            </w:pPr>
            <w:r w:rsidRPr="00C77523">
              <w:rPr>
                <w:rFonts w:eastAsia="Arial Unicode MS"/>
              </w:rPr>
              <w:t>Sabiedriskās apspriedes laikā sniegtie iebildumi un priekšlikumi apkopoti tabulā, kas ir pieejama Veselības ministrijas tīmekļa vietnē, kā arī nosūtīta elektroniski apspriedes dalībniekiem. N</w:t>
            </w:r>
            <w:r w:rsidR="009B65EF" w:rsidRPr="00C77523">
              <w:rPr>
                <w:rFonts w:eastAsia="Arial Unicode MS"/>
              </w:rPr>
              <w:t>oteikumu projekts tika papildināts un labots atbilstoši sniegtajiem iebildumi</w:t>
            </w:r>
            <w:r w:rsidR="00BD65D9" w:rsidRPr="00C77523">
              <w:rPr>
                <w:rFonts w:eastAsia="Arial Unicode MS"/>
              </w:rPr>
              <w:t>em</w:t>
            </w:r>
            <w:r w:rsidR="009B65EF" w:rsidRPr="00C77523">
              <w:rPr>
                <w:rFonts w:eastAsia="Arial Unicode MS"/>
              </w:rPr>
              <w:t xml:space="preserve"> un priekšlikumiem</w:t>
            </w:r>
            <w:r w:rsidR="00107532" w:rsidRPr="00C77523">
              <w:rPr>
                <w:rFonts w:eastAsia="Arial Unicode MS"/>
              </w:rPr>
              <w:t xml:space="preserve">, kā arī ņemot vērā veselības </w:t>
            </w:r>
            <w:r w:rsidR="00006D33" w:rsidRPr="00C77523">
              <w:rPr>
                <w:rFonts w:eastAsia="Arial Unicode MS"/>
              </w:rPr>
              <w:t xml:space="preserve">nozares </w:t>
            </w:r>
            <w:r w:rsidR="00107532" w:rsidRPr="00C77523">
              <w:rPr>
                <w:rFonts w:eastAsia="Arial Unicode MS"/>
              </w:rPr>
              <w:t xml:space="preserve">prioritātes </w:t>
            </w:r>
            <w:r w:rsidR="00006D33" w:rsidRPr="00C77523">
              <w:rPr>
                <w:rFonts w:eastAsia="Arial Unicode MS"/>
              </w:rPr>
              <w:t xml:space="preserve">un </w:t>
            </w:r>
            <w:r w:rsidR="00107532" w:rsidRPr="00C77523">
              <w:rPr>
                <w:rFonts w:eastAsia="Arial Unicode MS"/>
              </w:rPr>
              <w:t>budžeta iespējas</w:t>
            </w:r>
            <w:r w:rsidR="009B65EF" w:rsidRPr="00C77523">
              <w:rPr>
                <w:rFonts w:eastAsia="Arial Unicode MS"/>
              </w:rPr>
              <w:t>.</w:t>
            </w:r>
          </w:p>
        </w:tc>
      </w:tr>
      <w:tr w:rsidR="00E571FE" w:rsidRPr="00C77523" w:rsidTr="00C77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3" w:type="pct"/>
          </w:tcPr>
          <w:p w:rsidR="00E571FE" w:rsidRPr="00C77523" w:rsidRDefault="00E571FE" w:rsidP="00BF6E4D">
            <w:pPr>
              <w:pStyle w:val="naiskr"/>
              <w:spacing w:before="0" w:beforeAutospacing="0" w:after="0" w:afterAutospacing="0"/>
            </w:pPr>
            <w:r w:rsidRPr="00C77523">
              <w:t>4.</w:t>
            </w:r>
          </w:p>
        </w:tc>
        <w:tc>
          <w:tcPr>
            <w:tcW w:w="1333" w:type="pct"/>
          </w:tcPr>
          <w:p w:rsidR="00E571FE" w:rsidRPr="00C77523" w:rsidRDefault="00E571FE" w:rsidP="00BF6E4D">
            <w:pPr>
              <w:pStyle w:val="naiskr"/>
              <w:spacing w:before="0" w:beforeAutospacing="0" w:after="0" w:afterAutospacing="0"/>
              <w:jc w:val="both"/>
            </w:pPr>
            <w:r w:rsidRPr="00C77523">
              <w:t>Cita informācija</w:t>
            </w:r>
          </w:p>
        </w:tc>
        <w:tc>
          <w:tcPr>
            <w:tcW w:w="3374" w:type="pct"/>
            <w:gridSpan w:val="2"/>
          </w:tcPr>
          <w:p w:rsidR="00E571FE" w:rsidRPr="00C77523" w:rsidRDefault="00913AA6" w:rsidP="00F206E6">
            <w:pPr>
              <w:jc w:val="both"/>
              <w:rPr>
                <w:bCs/>
              </w:rPr>
            </w:pPr>
            <w:r w:rsidRPr="00C77523">
              <w:rPr>
                <w:iCs/>
              </w:rPr>
              <w:t xml:space="preserve">Sabiedriskajā apspriedē 2015.gada </w:t>
            </w:r>
            <w:r w:rsidR="00CF6E17" w:rsidRPr="00C77523">
              <w:rPr>
                <w:iCs/>
              </w:rPr>
              <w:t xml:space="preserve">27.novembrī </w:t>
            </w:r>
            <w:r w:rsidRPr="00C77523">
              <w:rPr>
                <w:iCs/>
              </w:rPr>
              <w:t xml:space="preserve">piedalījās pārstāvji no </w:t>
            </w:r>
            <w:r w:rsidR="00EE03B3" w:rsidRPr="00C77523">
              <w:rPr>
                <w:iCs/>
              </w:rPr>
              <w:t>Latvijas Ģimenes ārstu asociācijas, Latvijas Lauku ģimenes ārstu asociācijas</w:t>
            </w:r>
            <w:r w:rsidR="006F16D9" w:rsidRPr="00C77523">
              <w:rPr>
                <w:iCs/>
              </w:rPr>
              <w:t>, Veselības aprūpes darba devēju asociācijas, Saldus medicīnas centra, SIA „Austrumu klīniskās universitātes slimnīca”, SIA „</w:t>
            </w:r>
            <w:proofErr w:type="spellStart"/>
            <w:r w:rsidR="006F16D9" w:rsidRPr="00C77523">
              <w:rPr>
                <w:iCs/>
              </w:rPr>
              <w:t>GenEra</w:t>
            </w:r>
            <w:proofErr w:type="spellEnd"/>
            <w:r w:rsidR="006F16D9" w:rsidRPr="00C77523">
              <w:rPr>
                <w:iCs/>
              </w:rPr>
              <w:t xml:space="preserve">”, APP „Latvijas </w:t>
            </w:r>
            <w:proofErr w:type="spellStart"/>
            <w:r w:rsidR="006F16D9" w:rsidRPr="00C77523">
              <w:rPr>
                <w:iCs/>
              </w:rPr>
              <w:t>Biomedicīnas</w:t>
            </w:r>
            <w:proofErr w:type="spellEnd"/>
            <w:r w:rsidR="006F16D9" w:rsidRPr="00C77523">
              <w:rPr>
                <w:iCs/>
              </w:rPr>
              <w:t xml:space="preserve"> pētījumu un studiju centrs”, Ventspils pilsētas domes, SIA „</w:t>
            </w:r>
            <w:proofErr w:type="spellStart"/>
            <w:r w:rsidR="006F16D9" w:rsidRPr="00C77523">
              <w:rPr>
                <w:iCs/>
              </w:rPr>
              <w:t>Ziemeļkurzemes</w:t>
            </w:r>
            <w:proofErr w:type="spellEnd"/>
            <w:r w:rsidR="006F16D9" w:rsidRPr="00C77523">
              <w:rPr>
                <w:iCs/>
              </w:rPr>
              <w:t xml:space="preserve"> reģionālā slimnīca”, Medicīnas iestāžu biedrības, SIA „Centrālā laboratorija”, Akadēmiskās Histoloģijas laboratorijas, VSIA „Bērnu klīniskās universitātes slimnīca”, SIA „Madonas slimnīca”, Rīgas domes Labklājības departamenta, Latvijas Ārstu </w:t>
            </w:r>
            <w:proofErr w:type="spellStart"/>
            <w:r w:rsidR="006F16D9" w:rsidRPr="00C77523">
              <w:rPr>
                <w:iCs/>
              </w:rPr>
              <w:t>rehabilitologu</w:t>
            </w:r>
            <w:proofErr w:type="spellEnd"/>
            <w:r w:rsidR="006F16D9" w:rsidRPr="00C77523">
              <w:rPr>
                <w:iCs/>
              </w:rPr>
              <w:t xml:space="preserve"> asociācijas, Nacionālās informācijas </w:t>
            </w:r>
            <w:r w:rsidR="00BD65D9" w:rsidRPr="00C77523">
              <w:rPr>
                <w:iCs/>
              </w:rPr>
              <w:t>aģentūras</w:t>
            </w:r>
            <w:r w:rsidR="006F16D9" w:rsidRPr="00C77523">
              <w:rPr>
                <w:iCs/>
              </w:rPr>
              <w:t xml:space="preserve"> LETA, SIA „Priekuļu </w:t>
            </w:r>
            <w:proofErr w:type="spellStart"/>
            <w:r w:rsidR="006F16D9" w:rsidRPr="00C77523">
              <w:rPr>
                <w:iCs/>
              </w:rPr>
              <w:t>slimnīca”,SIA</w:t>
            </w:r>
            <w:proofErr w:type="spellEnd"/>
            <w:r w:rsidR="006F16D9" w:rsidRPr="00C77523">
              <w:rPr>
                <w:iCs/>
              </w:rPr>
              <w:t xml:space="preserve"> „Alūksnes slimnīca”, Nacionālā veselības dienesta, </w:t>
            </w:r>
            <w:r w:rsidR="00F206E6" w:rsidRPr="00C77523">
              <w:rPr>
                <w:iCs/>
              </w:rPr>
              <w:t xml:space="preserve">SIA „Rīgas 1. slimnīca”, SIA „Jelgavas pilsētas slimnīca”, Latvijas Ķirurgu asociācijas, Daugavpils psihoneiroloģiskās slimnīcas, Rīgas dzemdību nama, A/S </w:t>
            </w:r>
            <w:r w:rsidR="00BD65D9" w:rsidRPr="00C77523">
              <w:rPr>
                <w:iCs/>
              </w:rPr>
              <w:t>Latvijas</w:t>
            </w:r>
            <w:r w:rsidR="00F206E6" w:rsidRPr="00C77523">
              <w:rPr>
                <w:iCs/>
              </w:rPr>
              <w:t xml:space="preserve"> Jūras medicīnas centrs.</w:t>
            </w:r>
          </w:p>
        </w:tc>
      </w:tr>
      <w:tr w:rsidR="00E571FE" w:rsidRPr="00C77523" w:rsidTr="006D7935">
        <w:trPr>
          <w:trHeight w:val="222"/>
        </w:trPr>
        <w:tc>
          <w:tcPr>
            <w:tcW w:w="5000" w:type="pct"/>
            <w:gridSpan w:val="4"/>
            <w:tcBorders>
              <w:top w:val="outset" w:sz="6" w:space="0" w:color="000000"/>
              <w:bottom w:val="outset" w:sz="6" w:space="0" w:color="000000"/>
            </w:tcBorders>
          </w:tcPr>
          <w:p w:rsidR="00E571FE" w:rsidRPr="00C77523" w:rsidRDefault="00E571FE" w:rsidP="00BF6E4D">
            <w:pPr>
              <w:jc w:val="center"/>
              <w:rPr>
                <w:b/>
                <w:bCs/>
                <w:lang w:eastAsia="lv-LV"/>
              </w:rPr>
            </w:pPr>
            <w:r w:rsidRPr="00C77523">
              <w:rPr>
                <w:b/>
                <w:bCs/>
                <w:lang w:eastAsia="lv-LV"/>
              </w:rPr>
              <w:t>VII. Tiesību akta projekta izpildes nodrošināšana un tās ietekme uz institūcijām</w:t>
            </w:r>
          </w:p>
        </w:tc>
      </w:tr>
      <w:tr w:rsidR="00E571FE" w:rsidRPr="00C77523" w:rsidTr="006D7935">
        <w:tc>
          <w:tcPr>
            <w:tcW w:w="0" w:type="auto"/>
            <w:tcBorders>
              <w:top w:val="outset" w:sz="6" w:space="0" w:color="000000"/>
              <w:bottom w:val="outset" w:sz="6" w:space="0" w:color="000000"/>
              <w:right w:val="outset" w:sz="6" w:space="0" w:color="000000"/>
            </w:tcBorders>
          </w:tcPr>
          <w:p w:rsidR="00E571FE" w:rsidRPr="00C77523" w:rsidRDefault="00E571FE" w:rsidP="00BF6E4D">
            <w:pPr>
              <w:rPr>
                <w:lang w:eastAsia="lv-LV"/>
              </w:rPr>
            </w:pPr>
            <w:r w:rsidRPr="00C77523">
              <w:rPr>
                <w:lang w:eastAsia="lv-LV"/>
              </w:rPr>
              <w:t>1.</w:t>
            </w:r>
          </w:p>
        </w:tc>
        <w:tc>
          <w:tcPr>
            <w:tcW w:w="2295" w:type="pct"/>
            <w:gridSpan w:val="2"/>
            <w:tcBorders>
              <w:top w:val="outset" w:sz="6" w:space="0" w:color="000000"/>
              <w:left w:val="outset" w:sz="6" w:space="0" w:color="000000"/>
              <w:bottom w:val="outset" w:sz="6" w:space="0" w:color="000000"/>
              <w:right w:val="outset" w:sz="6" w:space="0" w:color="000000"/>
            </w:tcBorders>
          </w:tcPr>
          <w:p w:rsidR="00E571FE" w:rsidRPr="00C77523" w:rsidRDefault="00E571FE" w:rsidP="005D3CAC">
            <w:pPr>
              <w:ind w:left="119"/>
              <w:rPr>
                <w:lang w:eastAsia="lv-LV"/>
              </w:rPr>
            </w:pPr>
            <w:r w:rsidRPr="00C77523">
              <w:rPr>
                <w:lang w:eastAsia="lv-LV"/>
              </w:rPr>
              <w:t>Projekta izpildē iesaistītās institūcijas</w:t>
            </w:r>
          </w:p>
        </w:tc>
        <w:tc>
          <w:tcPr>
            <w:tcW w:w="2412" w:type="pct"/>
            <w:tcBorders>
              <w:top w:val="outset" w:sz="6" w:space="0" w:color="000000"/>
              <w:left w:val="outset" w:sz="6" w:space="0" w:color="000000"/>
              <w:bottom w:val="outset" w:sz="6" w:space="0" w:color="000000"/>
            </w:tcBorders>
          </w:tcPr>
          <w:p w:rsidR="002C0406" w:rsidRPr="00C77523" w:rsidRDefault="00A216F3" w:rsidP="008C21A9">
            <w:pPr>
              <w:ind w:left="57" w:right="57"/>
              <w:jc w:val="both"/>
            </w:pPr>
            <w:r w:rsidRPr="00C77523">
              <w:t>Dienests</w:t>
            </w:r>
          </w:p>
        </w:tc>
      </w:tr>
      <w:tr w:rsidR="00E571FE" w:rsidRPr="00C77523" w:rsidTr="006D7935">
        <w:tc>
          <w:tcPr>
            <w:tcW w:w="0" w:type="auto"/>
            <w:tcBorders>
              <w:top w:val="outset" w:sz="6" w:space="0" w:color="000000"/>
              <w:bottom w:val="outset" w:sz="6" w:space="0" w:color="000000"/>
              <w:right w:val="outset" w:sz="6" w:space="0" w:color="000000"/>
            </w:tcBorders>
          </w:tcPr>
          <w:p w:rsidR="00E571FE" w:rsidRPr="00C77523" w:rsidRDefault="00E571FE" w:rsidP="00BF6E4D">
            <w:pPr>
              <w:rPr>
                <w:lang w:eastAsia="lv-LV"/>
              </w:rPr>
            </w:pPr>
            <w:r w:rsidRPr="00C77523">
              <w:rPr>
                <w:lang w:eastAsia="lv-LV"/>
              </w:rPr>
              <w:t>2.</w:t>
            </w:r>
          </w:p>
        </w:tc>
        <w:tc>
          <w:tcPr>
            <w:tcW w:w="2295" w:type="pct"/>
            <w:gridSpan w:val="2"/>
            <w:tcBorders>
              <w:top w:val="outset" w:sz="6" w:space="0" w:color="000000"/>
              <w:left w:val="outset" w:sz="6" w:space="0" w:color="000000"/>
              <w:bottom w:val="outset" w:sz="6" w:space="0" w:color="000000"/>
              <w:right w:val="outset" w:sz="6" w:space="0" w:color="000000"/>
            </w:tcBorders>
          </w:tcPr>
          <w:p w:rsidR="00E571FE" w:rsidRPr="00C77523" w:rsidRDefault="00E571FE" w:rsidP="000B7D93">
            <w:pPr>
              <w:ind w:left="119" w:right="112"/>
              <w:jc w:val="both"/>
            </w:pPr>
            <w:r w:rsidRPr="00C77523">
              <w:t>Projekta izpildes ietekme uz pārvaldes funkcijām un institucionālo struktūru. Jaunu institūciju izveide, esošu institūciju likvidācija vai reorganizācija, to ietekme uz institūcijas cilvēkresursiem</w:t>
            </w:r>
          </w:p>
        </w:tc>
        <w:tc>
          <w:tcPr>
            <w:tcW w:w="2412" w:type="pct"/>
            <w:tcBorders>
              <w:top w:val="outset" w:sz="6" w:space="0" w:color="000000"/>
              <w:left w:val="outset" w:sz="6" w:space="0" w:color="000000"/>
              <w:bottom w:val="outset" w:sz="6" w:space="0" w:color="000000"/>
            </w:tcBorders>
          </w:tcPr>
          <w:p w:rsidR="00E571FE" w:rsidRPr="00C77523" w:rsidRDefault="005D3CAC" w:rsidP="003705D7">
            <w:pPr>
              <w:pStyle w:val="tv2131"/>
              <w:spacing w:before="0" w:line="240" w:lineRule="auto"/>
              <w:ind w:left="57" w:right="57" w:firstLine="0"/>
              <w:rPr>
                <w:rFonts w:ascii="Times New Roman" w:hAnsi="Times New Roman"/>
                <w:sz w:val="24"/>
                <w:szCs w:val="24"/>
              </w:rPr>
            </w:pPr>
            <w:r w:rsidRPr="00C77523">
              <w:rPr>
                <w:rFonts w:ascii="Times New Roman" w:hAnsi="Times New Roman"/>
                <w:sz w:val="24"/>
                <w:szCs w:val="24"/>
              </w:rPr>
              <w:t>Projekts šo jomu neskar</w:t>
            </w:r>
            <w:r w:rsidR="008E1117" w:rsidRPr="00C77523">
              <w:rPr>
                <w:rFonts w:ascii="Times New Roman" w:hAnsi="Times New Roman"/>
                <w:sz w:val="24"/>
                <w:szCs w:val="24"/>
              </w:rPr>
              <w:t>.</w:t>
            </w:r>
          </w:p>
          <w:p w:rsidR="008E1117" w:rsidRPr="00C77523" w:rsidRDefault="008E1117" w:rsidP="003705D7">
            <w:pPr>
              <w:pStyle w:val="tv2131"/>
              <w:spacing w:before="0" w:line="240" w:lineRule="auto"/>
              <w:ind w:left="57" w:right="57" w:firstLine="0"/>
              <w:rPr>
                <w:rFonts w:ascii="Times New Roman" w:hAnsi="Times New Roman"/>
                <w:bCs/>
                <w:sz w:val="24"/>
                <w:szCs w:val="24"/>
              </w:rPr>
            </w:pPr>
            <w:r w:rsidRPr="00C77523">
              <w:rPr>
                <w:rFonts w:ascii="Times New Roman" w:hAnsi="Times New Roman"/>
                <w:bCs/>
                <w:sz w:val="24"/>
                <w:szCs w:val="24"/>
              </w:rPr>
              <w:t>Projekts tiks īstenots esošu cilvēkresursu ietvaros.</w:t>
            </w:r>
          </w:p>
        </w:tc>
      </w:tr>
      <w:tr w:rsidR="00E571FE" w:rsidRPr="00C77523" w:rsidTr="006D7935">
        <w:tc>
          <w:tcPr>
            <w:tcW w:w="0" w:type="auto"/>
            <w:tcBorders>
              <w:top w:val="outset" w:sz="6" w:space="0" w:color="000000"/>
              <w:bottom w:val="outset" w:sz="6" w:space="0" w:color="000000"/>
              <w:right w:val="outset" w:sz="6" w:space="0" w:color="000000"/>
            </w:tcBorders>
          </w:tcPr>
          <w:p w:rsidR="00E571FE" w:rsidRPr="00C77523" w:rsidRDefault="00E571FE" w:rsidP="00BF6E4D">
            <w:pPr>
              <w:rPr>
                <w:lang w:eastAsia="lv-LV"/>
              </w:rPr>
            </w:pPr>
            <w:r w:rsidRPr="00C77523">
              <w:rPr>
                <w:lang w:eastAsia="lv-LV"/>
              </w:rPr>
              <w:t>3.</w:t>
            </w:r>
          </w:p>
        </w:tc>
        <w:tc>
          <w:tcPr>
            <w:tcW w:w="2295" w:type="pct"/>
            <w:gridSpan w:val="2"/>
            <w:tcBorders>
              <w:top w:val="outset" w:sz="6" w:space="0" w:color="000000"/>
              <w:left w:val="outset" w:sz="6" w:space="0" w:color="000000"/>
              <w:bottom w:val="outset" w:sz="6" w:space="0" w:color="000000"/>
              <w:right w:val="outset" w:sz="6" w:space="0" w:color="000000"/>
            </w:tcBorders>
          </w:tcPr>
          <w:p w:rsidR="00E571FE" w:rsidRPr="00C77523" w:rsidRDefault="00E571FE" w:rsidP="00E0658E">
            <w:pPr>
              <w:rPr>
                <w:lang w:eastAsia="lv-LV"/>
              </w:rPr>
            </w:pPr>
            <w:r w:rsidRPr="00C77523">
              <w:rPr>
                <w:lang w:eastAsia="lv-LV"/>
              </w:rPr>
              <w:t>Cita informācija</w:t>
            </w:r>
          </w:p>
        </w:tc>
        <w:tc>
          <w:tcPr>
            <w:tcW w:w="2412" w:type="pct"/>
            <w:tcBorders>
              <w:top w:val="outset" w:sz="6" w:space="0" w:color="000000"/>
              <w:left w:val="outset" w:sz="6" w:space="0" w:color="000000"/>
              <w:bottom w:val="outset" w:sz="6" w:space="0" w:color="000000"/>
            </w:tcBorders>
          </w:tcPr>
          <w:p w:rsidR="00E571FE" w:rsidRPr="00C77523" w:rsidRDefault="00E571FE" w:rsidP="00BF6E4D">
            <w:pPr>
              <w:pStyle w:val="Footer"/>
              <w:tabs>
                <w:tab w:val="clear" w:pos="4153"/>
                <w:tab w:val="clear" w:pos="8306"/>
              </w:tabs>
              <w:snapToGrid/>
              <w:jc w:val="both"/>
              <w:rPr>
                <w:rFonts w:ascii="Times New Roman" w:hAnsi="Times New Roman"/>
                <w:sz w:val="24"/>
                <w:szCs w:val="24"/>
              </w:rPr>
            </w:pPr>
            <w:r w:rsidRPr="00C77523">
              <w:rPr>
                <w:rFonts w:ascii="Times New Roman" w:hAnsi="Times New Roman"/>
                <w:sz w:val="24"/>
                <w:szCs w:val="24"/>
              </w:rPr>
              <w:t>Nav</w:t>
            </w:r>
          </w:p>
        </w:tc>
      </w:tr>
    </w:tbl>
    <w:p w:rsidR="008C21A9" w:rsidRPr="00C77523" w:rsidRDefault="008C21A9" w:rsidP="00BF6E4D">
      <w:pPr>
        <w:jc w:val="both"/>
        <w:rPr>
          <w:b/>
          <w:bCs/>
        </w:rPr>
      </w:pPr>
    </w:p>
    <w:p w:rsidR="00E571FE" w:rsidRPr="00C77523" w:rsidRDefault="008C21A9" w:rsidP="002325A5">
      <w:pPr>
        <w:jc w:val="center"/>
      </w:pPr>
      <w:r w:rsidRPr="00C77523">
        <w:rPr>
          <w:b/>
          <w:bCs/>
        </w:rPr>
        <w:t>Anotācijas IV un V sadaļa -</w:t>
      </w:r>
      <w:r w:rsidRPr="00C77523">
        <w:rPr>
          <w:b/>
          <w:iCs/>
        </w:rPr>
        <w:t xml:space="preserve"> projekts šo jomu neskar</w:t>
      </w:r>
      <w:r w:rsidR="007E5ECC" w:rsidRPr="00C77523">
        <w:rPr>
          <w:b/>
          <w:iCs/>
        </w:rPr>
        <w:t>.</w:t>
      </w:r>
    </w:p>
    <w:p w:rsidR="00572DD5" w:rsidRPr="00C77523" w:rsidRDefault="00572DD5" w:rsidP="000229C0">
      <w:pPr>
        <w:jc w:val="both"/>
        <w:rPr>
          <w:bCs/>
        </w:rPr>
      </w:pPr>
    </w:p>
    <w:p w:rsidR="005E0165" w:rsidRPr="00C77523" w:rsidRDefault="005E0165" w:rsidP="000229C0">
      <w:pPr>
        <w:jc w:val="both"/>
        <w:rPr>
          <w:bCs/>
        </w:rPr>
      </w:pPr>
    </w:p>
    <w:p w:rsidR="000229C0" w:rsidRPr="00C65781" w:rsidRDefault="000229C0" w:rsidP="00C65781">
      <w:pPr>
        <w:spacing w:after="120"/>
        <w:jc w:val="both"/>
        <w:rPr>
          <w:bCs/>
          <w:sz w:val="28"/>
          <w:szCs w:val="28"/>
        </w:rPr>
      </w:pPr>
      <w:r w:rsidRPr="00C65781">
        <w:rPr>
          <w:bCs/>
          <w:sz w:val="28"/>
          <w:szCs w:val="28"/>
        </w:rPr>
        <w:t>Veselības ministr</w:t>
      </w:r>
      <w:r w:rsidR="005D3CAC" w:rsidRPr="00C65781">
        <w:rPr>
          <w:bCs/>
          <w:sz w:val="28"/>
          <w:szCs w:val="28"/>
        </w:rPr>
        <w:t>s</w:t>
      </w:r>
      <w:r w:rsidRPr="00C65781">
        <w:rPr>
          <w:bCs/>
          <w:sz w:val="28"/>
          <w:szCs w:val="28"/>
        </w:rPr>
        <w:tab/>
      </w:r>
      <w:r w:rsidR="00226D55" w:rsidRPr="00C65781">
        <w:rPr>
          <w:bCs/>
          <w:sz w:val="28"/>
          <w:szCs w:val="28"/>
        </w:rPr>
        <w:tab/>
      </w:r>
      <w:r w:rsidR="00226D55" w:rsidRPr="00C65781">
        <w:rPr>
          <w:bCs/>
          <w:sz w:val="28"/>
          <w:szCs w:val="28"/>
        </w:rPr>
        <w:tab/>
      </w:r>
      <w:r w:rsidR="00226D55" w:rsidRPr="00C65781">
        <w:rPr>
          <w:bCs/>
          <w:sz w:val="28"/>
          <w:szCs w:val="28"/>
        </w:rPr>
        <w:tab/>
      </w:r>
      <w:r w:rsidR="00226D55" w:rsidRPr="00C65781">
        <w:rPr>
          <w:bCs/>
          <w:sz w:val="28"/>
          <w:szCs w:val="28"/>
        </w:rPr>
        <w:tab/>
      </w:r>
      <w:r w:rsidR="00226D55" w:rsidRPr="00C65781">
        <w:rPr>
          <w:bCs/>
          <w:sz w:val="28"/>
          <w:szCs w:val="28"/>
        </w:rPr>
        <w:tab/>
      </w:r>
      <w:r w:rsidR="00886EB1" w:rsidRPr="00C65781">
        <w:rPr>
          <w:bCs/>
          <w:sz w:val="28"/>
          <w:szCs w:val="28"/>
        </w:rPr>
        <w:tab/>
      </w:r>
      <w:r w:rsidR="006D7935" w:rsidRPr="00C65781">
        <w:rPr>
          <w:bCs/>
          <w:sz w:val="28"/>
          <w:szCs w:val="28"/>
        </w:rPr>
        <w:tab/>
      </w:r>
      <w:r w:rsidR="00C65781">
        <w:rPr>
          <w:bCs/>
          <w:sz w:val="28"/>
          <w:szCs w:val="28"/>
        </w:rPr>
        <w:t xml:space="preserve"> </w:t>
      </w:r>
      <w:proofErr w:type="spellStart"/>
      <w:r w:rsidR="00226D55" w:rsidRPr="00C65781">
        <w:rPr>
          <w:bCs/>
          <w:sz w:val="28"/>
          <w:szCs w:val="28"/>
        </w:rPr>
        <w:t>G.Belēvičs</w:t>
      </w:r>
      <w:proofErr w:type="spellEnd"/>
    </w:p>
    <w:p w:rsidR="00CF6E17" w:rsidRPr="00C65781" w:rsidRDefault="00CF6E17" w:rsidP="000229C0">
      <w:pPr>
        <w:jc w:val="both"/>
        <w:rPr>
          <w:bCs/>
          <w:sz w:val="28"/>
          <w:szCs w:val="28"/>
        </w:rPr>
      </w:pPr>
    </w:p>
    <w:p w:rsidR="00503726" w:rsidRDefault="00CF6E17" w:rsidP="000229C0">
      <w:pPr>
        <w:jc w:val="both"/>
        <w:rPr>
          <w:bCs/>
          <w:sz w:val="28"/>
          <w:szCs w:val="28"/>
        </w:rPr>
      </w:pPr>
      <w:r w:rsidRPr="00C65781">
        <w:rPr>
          <w:bCs/>
          <w:sz w:val="28"/>
          <w:szCs w:val="28"/>
        </w:rPr>
        <w:t>Vīza: Valsts sekretāre</w:t>
      </w:r>
      <w:r w:rsidRPr="00C65781">
        <w:rPr>
          <w:bCs/>
          <w:sz w:val="28"/>
          <w:szCs w:val="28"/>
        </w:rPr>
        <w:tab/>
      </w:r>
      <w:r w:rsidR="00C65781">
        <w:rPr>
          <w:bCs/>
          <w:sz w:val="28"/>
          <w:szCs w:val="28"/>
        </w:rPr>
        <w:tab/>
      </w:r>
      <w:r w:rsidR="00C65781">
        <w:rPr>
          <w:bCs/>
          <w:sz w:val="28"/>
          <w:szCs w:val="28"/>
        </w:rPr>
        <w:tab/>
      </w:r>
      <w:r w:rsidR="00C65781">
        <w:rPr>
          <w:bCs/>
          <w:sz w:val="28"/>
          <w:szCs w:val="28"/>
        </w:rPr>
        <w:tab/>
      </w:r>
      <w:r w:rsidR="00C65781">
        <w:rPr>
          <w:bCs/>
          <w:sz w:val="28"/>
          <w:szCs w:val="28"/>
        </w:rPr>
        <w:tab/>
      </w:r>
      <w:r w:rsidR="00C65781">
        <w:rPr>
          <w:bCs/>
          <w:sz w:val="28"/>
          <w:szCs w:val="28"/>
        </w:rPr>
        <w:tab/>
      </w:r>
      <w:r w:rsidR="00C65781">
        <w:rPr>
          <w:bCs/>
          <w:sz w:val="28"/>
          <w:szCs w:val="28"/>
        </w:rPr>
        <w:tab/>
      </w:r>
      <w:proofErr w:type="spellStart"/>
      <w:r w:rsidR="00C65781" w:rsidRPr="00C65781">
        <w:rPr>
          <w:bCs/>
          <w:sz w:val="28"/>
          <w:szCs w:val="28"/>
        </w:rPr>
        <w:t>S.Zvidriņa</w:t>
      </w:r>
      <w:proofErr w:type="spellEnd"/>
      <w:r w:rsidRPr="00C65781">
        <w:rPr>
          <w:bCs/>
          <w:sz w:val="28"/>
          <w:szCs w:val="28"/>
        </w:rPr>
        <w:tab/>
      </w:r>
      <w:r w:rsidRPr="00C65781">
        <w:rPr>
          <w:bCs/>
          <w:sz w:val="28"/>
          <w:szCs w:val="28"/>
        </w:rPr>
        <w:tab/>
      </w:r>
    </w:p>
    <w:p w:rsidR="00CF6E17" w:rsidRPr="00C65781" w:rsidRDefault="00CF6E17" w:rsidP="000229C0">
      <w:pPr>
        <w:jc w:val="both"/>
        <w:rPr>
          <w:sz w:val="28"/>
          <w:szCs w:val="28"/>
        </w:rPr>
      </w:pPr>
      <w:r w:rsidRPr="00C65781">
        <w:rPr>
          <w:bCs/>
          <w:sz w:val="28"/>
          <w:szCs w:val="28"/>
        </w:rPr>
        <w:tab/>
      </w:r>
      <w:r w:rsidRPr="00C65781">
        <w:rPr>
          <w:bCs/>
          <w:sz w:val="28"/>
          <w:szCs w:val="28"/>
        </w:rPr>
        <w:tab/>
      </w:r>
      <w:r w:rsidRPr="00C65781">
        <w:rPr>
          <w:bCs/>
          <w:sz w:val="28"/>
          <w:szCs w:val="28"/>
        </w:rPr>
        <w:tab/>
      </w:r>
      <w:r w:rsidRPr="00C65781">
        <w:rPr>
          <w:bCs/>
          <w:sz w:val="28"/>
          <w:szCs w:val="28"/>
        </w:rPr>
        <w:tab/>
      </w:r>
      <w:r w:rsidRPr="00C65781">
        <w:rPr>
          <w:bCs/>
          <w:sz w:val="28"/>
          <w:szCs w:val="28"/>
        </w:rPr>
        <w:tab/>
      </w:r>
      <w:r w:rsidRPr="00C65781">
        <w:rPr>
          <w:bCs/>
          <w:sz w:val="28"/>
          <w:szCs w:val="28"/>
        </w:rPr>
        <w:tab/>
      </w:r>
    </w:p>
    <w:p w:rsidR="000229C0" w:rsidRPr="00C77523" w:rsidRDefault="00107532" w:rsidP="000229C0">
      <w:pPr>
        <w:jc w:val="both"/>
        <w:rPr>
          <w:sz w:val="20"/>
          <w:szCs w:val="20"/>
        </w:rPr>
      </w:pPr>
      <w:r w:rsidRPr="00C77523">
        <w:rPr>
          <w:sz w:val="20"/>
          <w:szCs w:val="20"/>
        </w:rPr>
        <w:t>1</w:t>
      </w:r>
      <w:r w:rsidR="008B5DE4">
        <w:rPr>
          <w:sz w:val="20"/>
          <w:szCs w:val="20"/>
        </w:rPr>
        <w:t>8</w:t>
      </w:r>
      <w:r w:rsidR="0048417A" w:rsidRPr="00C77523">
        <w:rPr>
          <w:sz w:val="20"/>
          <w:szCs w:val="20"/>
        </w:rPr>
        <w:t>.</w:t>
      </w:r>
      <w:r w:rsidR="00D77BC6" w:rsidRPr="00C77523">
        <w:rPr>
          <w:sz w:val="20"/>
          <w:szCs w:val="20"/>
        </w:rPr>
        <w:t>12</w:t>
      </w:r>
      <w:r w:rsidR="00EA597E" w:rsidRPr="00C77523">
        <w:rPr>
          <w:sz w:val="20"/>
          <w:szCs w:val="20"/>
        </w:rPr>
        <w:t>.201</w:t>
      </w:r>
      <w:r w:rsidR="00886EB1" w:rsidRPr="00C77523">
        <w:rPr>
          <w:sz w:val="20"/>
          <w:szCs w:val="20"/>
        </w:rPr>
        <w:t>5</w:t>
      </w:r>
      <w:r w:rsidR="00EA597E" w:rsidRPr="00C77523">
        <w:rPr>
          <w:sz w:val="20"/>
          <w:szCs w:val="20"/>
        </w:rPr>
        <w:t xml:space="preserve">. </w:t>
      </w:r>
      <w:r w:rsidR="00A70109">
        <w:rPr>
          <w:sz w:val="20"/>
          <w:szCs w:val="20"/>
        </w:rPr>
        <w:t>1</w:t>
      </w:r>
      <w:r w:rsidR="006A4361">
        <w:rPr>
          <w:sz w:val="20"/>
          <w:szCs w:val="20"/>
        </w:rPr>
        <w:t>1</w:t>
      </w:r>
      <w:r w:rsidR="00D77BC6" w:rsidRPr="00C77523">
        <w:rPr>
          <w:sz w:val="20"/>
          <w:szCs w:val="20"/>
        </w:rPr>
        <w:t>:</w:t>
      </w:r>
      <w:r w:rsidR="006A4361">
        <w:rPr>
          <w:sz w:val="20"/>
          <w:szCs w:val="20"/>
        </w:rPr>
        <w:t>2</w:t>
      </w:r>
      <w:r w:rsidR="00126C90">
        <w:rPr>
          <w:sz w:val="20"/>
          <w:szCs w:val="20"/>
        </w:rPr>
        <w:t>5</w:t>
      </w:r>
    </w:p>
    <w:p w:rsidR="00886EB1" w:rsidRPr="00C77523" w:rsidRDefault="00D329C8" w:rsidP="000229C0">
      <w:pPr>
        <w:jc w:val="both"/>
        <w:rPr>
          <w:sz w:val="20"/>
          <w:szCs w:val="20"/>
        </w:rPr>
      </w:pPr>
      <w:bookmarkStart w:id="6" w:name="OLE_LINK1"/>
      <w:bookmarkStart w:id="7" w:name="OLE_LINK2"/>
      <w:bookmarkStart w:id="8" w:name="OLE_LINK3"/>
      <w:r>
        <w:rPr>
          <w:sz w:val="20"/>
          <w:szCs w:val="20"/>
        </w:rPr>
        <w:t>4</w:t>
      </w:r>
      <w:r w:rsidR="00895E73">
        <w:rPr>
          <w:sz w:val="20"/>
          <w:szCs w:val="20"/>
        </w:rPr>
        <w:t>90</w:t>
      </w:r>
      <w:r w:rsidR="00A70109">
        <w:rPr>
          <w:sz w:val="20"/>
          <w:szCs w:val="20"/>
        </w:rPr>
        <w:t>9</w:t>
      </w:r>
    </w:p>
    <w:p w:rsidR="000229C0" w:rsidRPr="00C77523" w:rsidRDefault="005D3CAC" w:rsidP="000229C0">
      <w:pPr>
        <w:jc w:val="both"/>
        <w:rPr>
          <w:sz w:val="20"/>
          <w:szCs w:val="20"/>
        </w:rPr>
      </w:pPr>
      <w:r w:rsidRPr="00C77523">
        <w:rPr>
          <w:sz w:val="20"/>
          <w:szCs w:val="20"/>
        </w:rPr>
        <w:t>L. Eglīte</w:t>
      </w:r>
      <w:r w:rsidR="000229C0" w:rsidRPr="00C77523">
        <w:rPr>
          <w:sz w:val="20"/>
          <w:szCs w:val="20"/>
        </w:rPr>
        <w:t>,</w:t>
      </w:r>
      <w:r w:rsidR="004E522F" w:rsidRPr="00C77523">
        <w:rPr>
          <w:sz w:val="20"/>
          <w:szCs w:val="20"/>
        </w:rPr>
        <w:t xml:space="preserve"> 67876091</w:t>
      </w:r>
    </w:p>
    <w:p w:rsidR="005D3CAC" w:rsidRPr="00C77523" w:rsidRDefault="00A0606C" w:rsidP="000229C0">
      <w:pPr>
        <w:jc w:val="both"/>
      </w:pPr>
      <w:hyperlink r:id="rId8" w:history="1">
        <w:r w:rsidR="005D3CAC" w:rsidRPr="00C77523">
          <w:rPr>
            <w:rStyle w:val="Hyperlink"/>
            <w:rFonts w:eastAsia="Calibri"/>
            <w:color w:val="auto"/>
            <w:sz w:val="20"/>
            <w:szCs w:val="20"/>
          </w:rPr>
          <w:t>Leonora.Eglite@vm.gov.lv</w:t>
        </w:r>
      </w:hyperlink>
    </w:p>
    <w:bookmarkEnd w:id="6"/>
    <w:bookmarkEnd w:id="7"/>
    <w:bookmarkEnd w:id="8"/>
    <w:p w:rsidR="00886EB1" w:rsidRPr="00C77523" w:rsidRDefault="004E522F" w:rsidP="000229C0">
      <w:pPr>
        <w:jc w:val="both"/>
        <w:rPr>
          <w:rFonts w:eastAsia="Calibri"/>
          <w:sz w:val="20"/>
          <w:szCs w:val="20"/>
        </w:rPr>
      </w:pPr>
      <w:r w:rsidRPr="00C77523">
        <w:rPr>
          <w:rFonts w:eastAsia="Calibri"/>
          <w:sz w:val="20"/>
          <w:szCs w:val="20"/>
        </w:rPr>
        <w:t>V.Sku</w:t>
      </w:r>
      <w:r w:rsidR="004B1DB1" w:rsidRPr="00C77523">
        <w:rPr>
          <w:rFonts w:eastAsia="Calibri"/>
          <w:sz w:val="20"/>
          <w:szCs w:val="20"/>
        </w:rPr>
        <w:t>d</w:t>
      </w:r>
      <w:r w:rsidRPr="00C77523">
        <w:rPr>
          <w:rFonts w:eastAsia="Calibri"/>
          <w:sz w:val="20"/>
          <w:szCs w:val="20"/>
        </w:rPr>
        <w:t>ra 67876038</w:t>
      </w:r>
    </w:p>
    <w:p w:rsidR="004E522F" w:rsidRPr="00C77523" w:rsidRDefault="00A0606C" w:rsidP="000229C0">
      <w:pPr>
        <w:jc w:val="both"/>
        <w:rPr>
          <w:rFonts w:eastAsia="Calibri"/>
          <w:sz w:val="20"/>
          <w:szCs w:val="20"/>
        </w:rPr>
      </w:pPr>
      <w:hyperlink r:id="rId9" w:history="1">
        <w:r w:rsidR="004E522F" w:rsidRPr="00C77523">
          <w:rPr>
            <w:rStyle w:val="Hyperlink"/>
            <w:rFonts w:eastAsia="Calibri"/>
            <w:color w:val="auto"/>
            <w:sz w:val="20"/>
            <w:szCs w:val="20"/>
          </w:rPr>
          <w:t>Vesma.Skudra@vm.gov.lv</w:t>
        </w:r>
      </w:hyperlink>
    </w:p>
    <w:p w:rsidR="001B065E" w:rsidRPr="00C77523" w:rsidRDefault="001B065E" w:rsidP="000229C0">
      <w:pPr>
        <w:jc w:val="both"/>
        <w:rPr>
          <w:rFonts w:eastAsia="Calibri"/>
          <w:sz w:val="20"/>
          <w:szCs w:val="20"/>
        </w:rPr>
      </w:pPr>
      <w:r w:rsidRPr="00C77523">
        <w:rPr>
          <w:rFonts w:eastAsia="Calibri"/>
          <w:sz w:val="20"/>
          <w:szCs w:val="20"/>
        </w:rPr>
        <w:t>A.Reinika</w:t>
      </w:r>
      <w:r w:rsidRPr="00C77523">
        <w:rPr>
          <w:sz w:val="20"/>
          <w:szCs w:val="20"/>
        </w:rPr>
        <w:t xml:space="preserve"> </w:t>
      </w:r>
      <w:r w:rsidRPr="00C77523">
        <w:rPr>
          <w:rFonts w:eastAsia="Calibri"/>
          <w:sz w:val="20"/>
          <w:szCs w:val="20"/>
        </w:rPr>
        <w:t>67043780</w:t>
      </w:r>
    </w:p>
    <w:p w:rsidR="001B065E" w:rsidRPr="001E2CFD" w:rsidRDefault="00A0606C" w:rsidP="000229C0">
      <w:pPr>
        <w:jc w:val="both"/>
        <w:rPr>
          <w:sz w:val="20"/>
          <w:szCs w:val="20"/>
        </w:rPr>
      </w:pPr>
      <w:hyperlink r:id="rId10" w:history="1">
        <w:r w:rsidR="001B065E" w:rsidRPr="00C77523">
          <w:rPr>
            <w:rStyle w:val="Hyperlink"/>
            <w:rFonts w:eastAsia="Calibri"/>
            <w:color w:val="auto"/>
            <w:sz w:val="20"/>
            <w:szCs w:val="20"/>
          </w:rPr>
          <w:t>Alda.Reinika@vmnvd.gov.lv</w:t>
        </w:r>
      </w:hyperlink>
    </w:p>
    <w:sectPr w:rsidR="001B065E" w:rsidRPr="001E2CFD" w:rsidSect="00D87C8B">
      <w:headerReference w:type="even" r:id="rId11"/>
      <w:headerReference w:type="default" r:id="rId12"/>
      <w:footerReference w:type="default" r:id="rId13"/>
      <w:footerReference w:type="first" r:id="rId14"/>
      <w:pgSz w:w="11906" w:h="16838" w:code="9"/>
      <w:pgMar w:top="1418" w:right="1134" w:bottom="1134" w:left="1701" w:header="720"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E4" w:rsidRDefault="008B5DE4" w:rsidP="009759E7">
      <w:r>
        <w:separator/>
      </w:r>
    </w:p>
  </w:endnote>
  <w:endnote w:type="continuationSeparator" w:id="0">
    <w:p w:rsidR="008B5DE4" w:rsidRDefault="008B5DE4" w:rsidP="00975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E4" w:rsidRPr="00D87C8B" w:rsidRDefault="008B5DE4" w:rsidP="00617273">
    <w:pPr>
      <w:pStyle w:val="Footer"/>
      <w:jc w:val="both"/>
      <w:rPr>
        <w:rFonts w:ascii="Times New Roman" w:hAnsi="Times New Roman"/>
        <w:sz w:val="24"/>
        <w:szCs w:val="24"/>
      </w:rPr>
    </w:pPr>
    <w:r w:rsidRPr="00D87C8B">
      <w:rPr>
        <w:rFonts w:ascii="Times New Roman" w:hAnsi="Times New Roman"/>
        <w:sz w:val="24"/>
        <w:szCs w:val="24"/>
      </w:rPr>
      <w:t>VManot_1</w:t>
    </w:r>
    <w:r>
      <w:rPr>
        <w:rFonts w:ascii="Times New Roman" w:hAnsi="Times New Roman"/>
        <w:sz w:val="24"/>
        <w:szCs w:val="24"/>
      </w:rPr>
      <w:t>8</w:t>
    </w:r>
    <w:r w:rsidRPr="00D87C8B">
      <w:rPr>
        <w:rFonts w:ascii="Times New Roman" w:hAnsi="Times New Roman"/>
        <w:sz w:val="24"/>
        <w:szCs w:val="24"/>
      </w:rPr>
      <w:t>1215_not1529 ; Ministru kabineta noteikumu projekta „Grozījumi Ministru kabineta 2013.gada 17.decembra noteikumos Nr.1529 „Veselības aprūpes organizēšanas un finansēšanas kārtība”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E4" w:rsidRPr="00D87C8B" w:rsidRDefault="008B5DE4" w:rsidP="005A3A31">
    <w:pPr>
      <w:pStyle w:val="Footer"/>
      <w:jc w:val="both"/>
      <w:rPr>
        <w:rFonts w:ascii="Times New Roman" w:hAnsi="Times New Roman"/>
        <w:sz w:val="24"/>
        <w:szCs w:val="24"/>
      </w:rPr>
    </w:pPr>
    <w:r w:rsidRPr="00D87C8B">
      <w:rPr>
        <w:rFonts w:ascii="Times New Roman" w:hAnsi="Times New Roman"/>
        <w:sz w:val="24"/>
        <w:szCs w:val="24"/>
      </w:rPr>
      <w:t>VManot_1</w:t>
    </w:r>
    <w:r>
      <w:rPr>
        <w:rFonts w:ascii="Times New Roman" w:hAnsi="Times New Roman"/>
        <w:sz w:val="24"/>
        <w:szCs w:val="24"/>
      </w:rPr>
      <w:t>8</w:t>
    </w:r>
    <w:r w:rsidRPr="00D87C8B">
      <w:rPr>
        <w:rFonts w:ascii="Times New Roman" w:hAnsi="Times New Roman"/>
        <w:sz w:val="24"/>
        <w:szCs w:val="24"/>
      </w:rPr>
      <w:t>1215_not1529 ; Ministru kabineta noteikumu projekta „Grozījumi Ministru kabineta 2013.gada 17.decembra noteikumos Nr.1529 „Veselības aprūpes organizēšanas un finansēšanas kārtība”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E4" w:rsidRDefault="008B5DE4" w:rsidP="009759E7">
      <w:r>
        <w:separator/>
      </w:r>
    </w:p>
  </w:footnote>
  <w:footnote w:type="continuationSeparator" w:id="0">
    <w:p w:rsidR="008B5DE4" w:rsidRDefault="008B5DE4" w:rsidP="00975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E4" w:rsidRDefault="00A0606C">
    <w:pPr>
      <w:pStyle w:val="Header"/>
      <w:framePr w:wrap="around" w:vAnchor="text" w:hAnchor="margin" w:xAlign="center" w:y="1"/>
      <w:rPr>
        <w:rStyle w:val="PageNumber"/>
      </w:rPr>
    </w:pPr>
    <w:r>
      <w:rPr>
        <w:rStyle w:val="PageNumber"/>
      </w:rPr>
      <w:fldChar w:fldCharType="begin"/>
    </w:r>
    <w:r w:rsidR="008B5DE4">
      <w:rPr>
        <w:rStyle w:val="PageNumber"/>
      </w:rPr>
      <w:instrText xml:space="preserve">PAGE  </w:instrText>
    </w:r>
    <w:r>
      <w:rPr>
        <w:rStyle w:val="PageNumber"/>
      </w:rPr>
      <w:fldChar w:fldCharType="separate"/>
    </w:r>
    <w:r w:rsidR="008B5DE4">
      <w:rPr>
        <w:rStyle w:val="PageNumber"/>
        <w:noProof/>
      </w:rPr>
      <w:t>4</w:t>
    </w:r>
    <w:r>
      <w:rPr>
        <w:rStyle w:val="PageNumber"/>
      </w:rPr>
      <w:fldChar w:fldCharType="end"/>
    </w:r>
  </w:p>
  <w:p w:rsidR="008B5DE4" w:rsidRDefault="008B5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190"/>
      <w:docPartObj>
        <w:docPartGallery w:val="Page Numbers (Top of Page)"/>
        <w:docPartUnique/>
      </w:docPartObj>
    </w:sdtPr>
    <w:sdtContent>
      <w:p w:rsidR="008B5DE4" w:rsidRDefault="00A0606C">
        <w:pPr>
          <w:pStyle w:val="Header"/>
          <w:jc w:val="center"/>
        </w:pPr>
        <w:fldSimple w:instr=" PAGE   \* MERGEFORMAT ">
          <w:r w:rsidR="00126C90">
            <w:rPr>
              <w:noProof/>
            </w:rPr>
            <w:t>16</w:t>
          </w:r>
        </w:fldSimple>
      </w:p>
    </w:sdtContent>
  </w:sdt>
  <w:p w:rsidR="008B5DE4" w:rsidRDefault="008B5D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5E2E"/>
    <w:multiLevelType w:val="hybridMultilevel"/>
    <w:tmpl w:val="801AFA46"/>
    <w:lvl w:ilvl="0" w:tplc="CC0EAB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F6602"/>
    <w:multiLevelType w:val="hybridMultilevel"/>
    <w:tmpl w:val="8A2C592C"/>
    <w:lvl w:ilvl="0" w:tplc="DBEC87B4">
      <w:start w:val="17"/>
      <w:numFmt w:val="bullet"/>
      <w:lvlText w:val="-"/>
      <w:lvlJc w:val="left"/>
      <w:pPr>
        <w:ind w:left="612" w:hanging="360"/>
      </w:pPr>
      <w:rPr>
        <w:rFonts w:ascii="Times New Roman" w:eastAsia="Times New Roman" w:hAnsi="Times New Roman" w:cs="Times New Roman" w:hint="default"/>
      </w:rPr>
    </w:lvl>
    <w:lvl w:ilvl="1" w:tplc="04260003" w:tentative="1">
      <w:start w:val="1"/>
      <w:numFmt w:val="bullet"/>
      <w:lvlText w:val="o"/>
      <w:lvlJc w:val="left"/>
      <w:pPr>
        <w:ind w:left="1332" w:hanging="360"/>
      </w:pPr>
      <w:rPr>
        <w:rFonts w:ascii="Courier New" w:hAnsi="Courier New" w:cs="Courier New" w:hint="default"/>
      </w:rPr>
    </w:lvl>
    <w:lvl w:ilvl="2" w:tplc="04260005" w:tentative="1">
      <w:start w:val="1"/>
      <w:numFmt w:val="bullet"/>
      <w:lvlText w:val=""/>
      <w:lvlJc w:val="left"/>
      <w:pPr>
        <w:ind w:left="2052" w:hanging="360"/>
      </w:pPr>
      <w:rPr>
        <w:rFonts w:ascii="Wingdings" w:hAnsi="Wingdings" w:hint="default"/>
      </w:rPr>
    </w:lvl>
    <w:lvl w:ilvl="3" w:tplc="04260001" w:tentative="1">
      <w:start w:val="1"/>
      <w:numFmt w:val="bullet"/>
      <w:lvlText w:val=""/>
      <w:lvlJc w:val="left"/>
      <w:pPr>
        <w:ind w:left="2772" w:hanging="360"/>
      </w:pPr>
      <w:rPr>
        <w:rFonts w:ascii="Symbol" w:hAnsi="Symbol" w:hint="default"/>
      </w:rPr>
    </w:lvl>
    <w:lvl w:ilvl="4" w:tplc="04260003" w:tentative="1">
      <w:start w:val="1"/>
      <w:numFmt w:val="bullet"/>
      <w:lvlText w:val="o"/>
      <w:lvlJc w:val="left"/>
      <w:pPr>
        <w:ind w:left="3492" w:hanging="360"/>
      </w:pPr>
      <w:rPr>
        <w:rFonts w:ascii="Courier New" w:hAnsi="Courier New" w:cs="Courier New" w:hint="default"/>
      </w:rPr>
    </w:lvl>
    <w:lvl w:ilvl="5" w:tplc="04260005" w:tentative="1">
      <w:start w:val="1"/>
      <w:numFmt w:val="bullet"/>
      <w:lvlText w:val=""/>
      <w:lvlJc w:val="left"/>
      <w:pPr>
        <w:ind w:left="4212" w:hanging="360"/>
      </w:pPr>
      <w:rPr>
        <w:rFonts w:ascii="Wingdings" w:hAnsi="Wingdings" w:hint="default"/>
      </w:rPr>
    </w:lvl>
    <w:lvl w:ilvl="6" w:tplc="04260001" w:tentative="1">
      <w:start w:val="1"/>
      <w:numFmt w:val="bullet"/>
      <w:lvlText w:val=""/>
      <w:lvlJc w:val="left"/>
      <w:pPr>
        <w:ind w:left="4932" w:hanging="360"/>
      </w:pPr>
      <w:rPr>
        <w:rFonts w:ascii="Symbol" w:hAnsi="Symbol" w:hint="default"/>
      </w:rPr>
    </w:lvl>
    <w:lvl w:ilvl="7" w:tplc="04260003" w:tentative="1">
      <w:start w:val="1"/>
      <w:numFmt w:val="bullet"/>
      <w:lvlText w:val="o"/>
      <w:lvlJc w:val="left"/>
      <w:pPr>
        <w:ind w:left="5652" w:hanging="360"/>
      </w:pPr>
      <w:rPr>
        <w:rFonts w:ascii="Courier New" w:hAnsi="Courier New" w:cs="Courier New" w:hint="default"/>
      </w:rPr>
    </w:lvl>
    <w:lvl w:ilvl="8" w:tplc="04260005" w:tentative="1">
      <w:start w:val="1"/>
      <w:numFmt w:val="bullet"/>
      <w:lvlText w:val=""/>
      <w:lvlJc w:val="left"/>
      <w:pPr>
        <w:ind w:left="6372"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rsids>
    <w:rsidRoot w:val="00E571FE"/>
    <w:rsid w:val="00006D33"/>
    <w:rsid w:val="00016317"/>
    <w:rsid w:val="00016C73"/>
    <w:rsid w:val="00020C88"/>
    <w:rsid w:val="000211A3"/>
    <w:rsid w:val="000212A6"/>
    <w:rsid w:val="000229C0"/>
    <w:rsid w:val="00033B57"/>
    <w:rsid w:val="0003478A"/>
    <w:rsid w:val="00037DBF"/>
    <w:rsid w:val="000400A5"/>
    <w:rsid w:val="000403AC"/>
    <w:rsid w:val="00040A1A"/>
    <w:rsid w:val="00051976"/>
    <w:rsid w:val="00052D86"/>
    <w:rsid w:val="000546F4"/>
    <w:rsid w:val="00061D87"/>
    <w:rsid w:val="00062296"/>
    <w:rsid w:val="0006507B"/>
    <w:rsid w:val="00075DC8"/>
    <w:rsid w:val="00076C5A"/>
    <w:rsid w:val="00083F93"/>
    <w:rsid w:val="00086D82"/>
    <w:rsid w:val="00095E48"/>
    <w:rsid w:val="00097626"/>
    <w:rsid w:val="000B0ABB"/>
    <w:rsid w:val="000B32DC"/>
    <w:rsid w:val="000B4B81"/>
    <w:rsid w:val="000B74DE"/>
    <w:rsid w:val="000B7D93"/>
    <w:rsid w:val="000C3371"/>
    <w:rsid w:val="000C496A"/>
    <w:rsid w:val="000C5041"/>
    <w:rsid w:val="000C7349"/>
    <w:rsid w:val="000C7B2D"/>
    <w:rsid w:val="000D183E"/>
    <w:rsid w:val="000D1DEC"/>
    <w:rsid w:val="000D2BDA"/>
    <w:rsid w:val="000D32C5"/>
    <w:rsid w:val="000D6FFB"/>
    <w:rsid w:val="000E1F94"/>
    <w:rsid w:val="000E6A27"/>
    <w:rsid w:val="000F04A0"/>
    <w:rsid w:val="000F22BF"/>
    <w:rsid w:val="000F264E"/>
    <w:rsid w:val="000F3413"/>
    <w:rsid w:val="000F4F8B"/>
    <w:rsid w:val="000F6CB9"/>
    <w:rsid w:val="000F7B6C"/>
    <w:rsid w:val="00102A1C"/>
    <w:rsid w:val="00102F9C"/>
    <w:rsid w:val="0010608B"/>
    <w:rsid w:val="00107532"/>
    <w:rsid w:val="001075CE"/>
    <w:rsid w:val="0011068C"/>
    <w:rsid w:val="00111830"/>
    <w:rsid w:val="001137F6"/>
    <w:rsid w:val="00114C85"/>
    <w:rsid w:val="00117B13"/>
    <w:rsid w:val="00117FD4"/>
    <w:rsid w:val="001204EF"/>
    <w:rsid w:val="00123BAC"/>
    <w:rsid w:val="00125D3E"/>
    <w:rsid w:val="00126C90"/>
    <w:rsid w:val="00134AD0"/>
    <w:rsid w:val="0013531C"/>
    <w:rsid w:val="00135C2E"/>
    <w:rsid w:val="00135D78"/>
    <w:rsid w:val="001374C1"/>
    <w:rsid w:val="00140259"/>
    <w:rsid w:val="001418B7"/>
    <w:rsid w:val="0014270C"/>
    <w:rsid w:val="00143117"/>
    <w:rsid w:val="0014584E"/>
    <w:rsid w:val="00145F8D"/>
    <w:rsid w:val="00147B44"/>
    <w:rsid w:val="00147C80"/>
    <w:rsid w:val="001531BC"/>
    <w:rsid w:val="001536CC"/>
    <w:rsid w:val="00154721"/>
    <w:rsid w:val="00160354"/>
    <w:rsid w:val="001626E2"/>
    <w:rsid w:val="00163781"/>
    <w:rsid w:val="00163968"/>
    <w:rsid w:val="00171D75"/>
    <w:rsid w:val="00173B8E"/>
    <w:rsid w:val="00175D0B"/>
    <w:rsid w:val="0017627A"/>
    <w:rsid w:val="00176CBF"/>
    <w:rsid w:val="00180982"/>
    <w:rsid w:val="0018546E"/>
    <w:rsid w:val="00186F7E"/>
    <w:rsid w:val="001873B2"/>
    <w:rsid w:val="00187BD7"/>
    <w:rsid w:val="0019380D"/>
    <w:rsid w:val="001B0656"/>
    <w:rsid w:val="001B065E"/>
    <w:rsid w:val="001B2735"/>
    <w:rsid w:val="001B2DBE"/>
    <w:rsid w:val="001B59E1"/>
    <w:rsid w:val="001B6C37"/>
    <w:rsid w:val="001B749E"/>
    <w:rsid w:val="001B7FB2"/>
    <w:rsid w:val="001C0430"/>
    <w:rsid w:val="001C0C2C"/>
    <w:rsid w:val="001C24F9"/>
    <w:rsid w:val="001C3F1E"/>
    <w:rsid w:val="001C551A"/>
    <w:rsid w:val="001D1CC3"/>
    <w:rsid w:val="001D3BD2"/>
    <w:rsid w:val="001D5071"/>
    <w:rsid w:val="001D6476"/>
    <w:rsid w:val="001D788C"/>
    <w:rsid w:val="001E228B"/>
    <w:rsid w:val="001E2CFD"/>
    <w:rsid w:val="001E408D"/>
    <w:rsid w:val="001E4304"/>
    <w:rsid w:val="001E61EA"/>
    <w:rsid w:val="001F09EB"/>
    <w:rsid w:val="002000D2"/>
    <w:rsid w:val="00201009"/>
    <w:rsid w:val="002043CE"/>
    <w:rsid w:val="00212217"/>
    <w:rsid w:val="002151A0"/>
    <w:rsid w:val="002154CE"/>
    <w:rsid w:val="00215D13"/>
    <w:rsid w:val="002163B7"/>
    <w:rsid w:val="002179C3"/>
    <w:rsid w:val="00221C0A"/>
    <w:rsid w:val="00221D60"/>
    <w:rsid w:val="00222F5E"/>
    <w:rsid w:val="002238F5"/>
    <w:rsid w:val="00223AD8"/>
    <w:rsid w:val="00226D55"/>
    <w:rsid w:val="002304D1"/>
    <w:rsid w:val="002325A5"/>
    <w:rsid w:val="00234FB3"/>
    <w:rsid w:val="002454FA"/>
    <w:rsid w:val="00254BA4"/>
    <w:rsid w:val="00256794"/>
    <w:rsid w:val="00260308"/>
    <w:rsid w:val="00272716"/>
    <w:rsid w:val="00277E80"/>
    <w:rsid w:val="00277F86"/>
    <w:rsid w:val="00280C8D"/>
    <w:rsid w:val="00280EAD"/>
    <w:rsid w:val="0028381D"/>
    <w:rsid w:val="00283C51"/>
    <w:rsid w:val="0028776D"/>
    <w:rsid w:val="002A1BD7"/>
    <w:rsid w:val="002A577D"/>
    <w:rsid w:val="002B0D6D"/>
    <w:rsid w:val="002B4CA0"/>
    <w:rsid w:val="002B5F13"/>
    <w:rsid w:val="002B694A"/>
    <w:rsid w:val="002C0406"/>
    <w:rsid w:val="002C2078"/>
    <w:rsid w:val="002C2DFF"/>
    <w:rsid w:val="002C4DAF"/>
    <w:rsid w:val="002C636F"/>
    <w:rsid w:val="002C6A3E"/>
    <w:rsid w:val="002D0339"/>
    <w:rsid w:val="002D03E7"/>
    <w:rsid w:val="002D3039"/>
    <w:rsid w:val="002D5779"/>
    <w:rsid w:val="002E5E78"/>
    <w:rsid w:val="002E6072"/>
    <w:rsid w:val="002E684D"/>
    <w:rsid w:val="002F130C"/>
    <w:rsid w:val="002F3796"/>
    <w:rsid w:val="002F3E4D"/>
    <w:rsid w:val="002F79EA"/>
    <w:rsid w:val="0030760D"/>
    <w:rsid w:val="003118C1"/>
    <w:rsid w:val="0031438E"/>
    <w:rsid w:val="003153FC"/>
    <w:rsid w:val="0031597F"/>
    <w:rsid w:val="003166F2"/>
    <w:rsid w:val="00322243"/>
    <w:rsid w:val="0032290C"/>
    <w:rsid w:val="00323D47"/>
    <w:rsid w:val="00325C8A"/>
    <w:rsid w:val="00326AD0"/>
    <w:rsid w:val="00326B03"/>
    <w:rsid w:val="0033060A"/>
    <w:rsid w:val="0033118C"/>
    <w:rsid w:val="0033188D"/>
    <w:rsid w:val="00333FB6"/>
    <w:rsid w:val="00334E0B"/>
    <w:rsid w:val="00335FBA"/>
    <w:rsid w:val="00336E8F"/>
    <w:rsid w:val="00343A70"/>
    <w:rsid w:val="00343D83"/>
    <w:rsid w:val="003441B1"/>
    <w:rsid w:val="00345E88"/>
    <w:rsid w:val="003470E8"/>
    <w:rsid w:val="00350BDD"/>
    <w:rsid w:val="00350F69"/>
    <w:rsid w:val="00352A06"/>
    <w:rsid w:val="003534D6"/>
    <w:rsid w:val="00354715"/>
    <w:rsid w:val="00355357"/>
    <w:rsid w:val="00356E8F"/>
    <w:rsid w:val="00357485"/>
    <w:rsid w:val="00357DA6"/>
    <w:rsid w:val="003605B5"/>
    <w:rsid w:val="00364090"/>
    <w:rsid w:val="00364847"/>
    <w:rsid w:val="003650ED"/>
    <w:rsid w:val="0036524D"/>
    <w:rsid w:val="003705D7"/>
    <w:rsid w:val="00372DFE"/>
    <w:rsid w:val="00372F3E"/>
    <w:rsid w:val="003745DD"/>
    <w:rsid w:val="00375942"/>
    <w:rsid w:val="0038041A"/>
    <w:rsid w:val="0039112A"/>
    <w:rsid w:val="00395DB0"/>
    <w:rsid w:val="003A0CE9"/>
    <w:rsid w:val="003A21A7"/>
    <w:rsid w:val="003B2492"/>
    <w:rsid w:val="003B3DED"/>
    <w:rsid w:val="003B61D9"/>
    <w:rsid w:val="003C2583"/>
    <w:rsid w:val="003D0A97"/>
    <w:rsid w:val="003D1813"/>
    <w:rsid w:val="003D4185"/>
    <w:rsid w:val="003E05ED"/>
    <w:rsid w:val="003E072B"/>
    <w:rsid w:val="003E322D"/>
    <w:rsid w:val="003E5684"/>
    <w:rsid w:val="003E682F"/>
    <w:rsid w:val="003F29EA"/>
    <w:rsid w:val="003F60B2"/>
    <w:rsid w:val="003F63C1"/>
    <w:rsid w:val="003F7173"/>
    <w:rsid w:val="003F7388"/>
    <w:rsid w:val="00400975"/>
    <w:rsid w:val="0040147B"/>
    <w:rsid w:val="00402460"/>
    <w:rsid w:val="00404496"/>
    <w:rsid w:val="004062C1"/>
    <w:rsid w:val="00413CEC"/>
    <w:rsid w:val="0041442A"/>
    <w:rsid w:val="004227AC"/>
    <w:rsid w:val="00424250"/>
    <w:rsid w:val="00424854"/>
    <w:rsid w:val="00436713"/>
    <w:rsid w:val="00436A29"/>
    <w:rsid w:val="004406A6"/>
    <w:rsid w:val="004421A0"/>
    <w:rsid w:val="00445252"/>
    <w:rsid w:val="00454754"/>
    <w:rsid w:val="004574E5"/>
    <w:rsid w:val="004604D2"/>
    <w:rsid w:val="004609AF"/>
    <w:rsid w:val="004641D4"/>
    <w:rsid w:val="00465D38"/>
    <w:rsid w:val="004665D5"/>
    <w:rsid w:val="00471BEF"/>
    <w:rsid w:val="00474164"/>
    <w:rsid w:val="00474C8E"/>
    <w:rsid w:val="00475FB5"/>
    <w:rsid w:val="00476101"/>
    <w:rsid w:val="00482E58"/>
    <w:rsid w:val="004839B3"/>
    <w:rsid w:val="0048417A"/>
    <w:rsid w:val="004846A6"/>
    <w:rsid w:val="00485FAA"/>
    <w:rsid w:val="00486AB6"/>
    <w:rsid w:val="00486D79"/>
    <w:rsid w:val="0049293A"/>
    <w:rsid w:val="0049584F"/>
    <w:rsid w:val="004A09D2"/>
    <w:rsid w:val="004B1DB1"/>
    <w:rsid w:val="004B2B18"/>
    <w:rsid w:val="004B3E3A"/>
    <w:rsid w:val="004C0B74"/>
    <w:rsid w:val="004C6188"/>
    <w:rsid w:val="004D0588"/>
    <w:rsid w:val="004D1875"/>
    <w:rsid w:val="004D31A7"/>
    <w:rsid w:val="004D34E8"/>
    <w:rsid w:val="004D7BE3"/>
    <w:rsid w:val="004E44B9"/>
    <w:rsid w:val="004E522F"/>
    <w:rsid w:val="004E6F5F"/>
    <w:rsid w:val="00501A3B"/>
    <w:rsid w:val="00502895"/>
    <w:rsid w:val="00503726"/>
    <w:rsid w:val="00503FAB"/>
    <w:rsid w:val="00507456"/>
    <w:rsid w:val="005140E0"/>
    <w:rsid w:val="00515C2D"/>
    <w:rsid w:val="005166D5"/>
    <w:rsid w:val="00520161"/>
    <w:rsid w:val="005225E2"/>
    <w:rsid w:val="005344CE"/>
    <w:rsid w:val="005400EA"/>
    <w:rsid w:val="0054042D"/>
    <w:rsid w:val="005461ED"/>
    <w:rsid w:val="00547CAB"/>
    <w:rsid w:val="0055073F"/>
    <w:rsid w:val="00551F1B"/>
    <w:rsid w:val="005607AB"/>
    <w:rsid w:val="00562687"/>
    <w:rsid w:val="00564AA6"/>
    <w:rsid w:val="00565ED8"/>
    <w:rsid w:val="00572DD5"/>
    <w:rsid w:val="0057532A"/>
    <w:rsid w:val="00582236"/>
    <w:rsid w:val="005828CB"/>
    <w:rsid w:val="00586745"/>
    <w:rsid w:val="005912E9"/>
    <w:rsid w:val="00591B37"/>
    <w:rsid w:val="005932D8"/>
    <w:rsid w:val="005945E2"/>
    <w:rsid w:val="0059491A"/>
    <w:rsid w:val="005973DA"/>
    <w:rsid w:val="005A002D"/>
    <w:rsid w:val="005A3A31"/>
    <w:rsid w:val="005A496D"/>
    <w:rsid w:val="005A4CBD"/>
    <w:rsid w:val="005A5FAC"/>
    <w:rsid w:val="005B1927"/>
    <w:rsid w:val="005B314D"/>
    <w:rsid w:val="005B3594"/>
    <w:rsid w:val="005B3738"/>
    <w:rsid w:val="005C72BC"/>
    <w:rsid w:val="005D3CAC"/>
    <w:rsid w:val="005D712D"/>
    <w:rsid w:val="005E0165"/>
    <w:rsid w:val="005E4FCE"/>
    <w:rsid w:val="005E62E6"/>
    <w:rsid w:val="005E6CEB"/>
    <w:rsid w:val="005F00EA"/>
    <w:rsid w:val="005F1EC9"/>
    <w:rsid w:val="005F6175"/>
    <w:rsid w:val="005F6633"/>
    <w:rsid w:val="005F6893"/>
    <w:rsid w:val="005F78EB"/>
    <w:rsid w:val="00601565"/>
    <w:rsid w:val="006026E8"/>
    <w:rsid w:val="00603054"/>
    <w:rsid w:val="00606E42"/>
    <w:rsid w:val="00606E9C"/>
    <w:rsid w:val="00607A09"/>
    <w:rsid w:val="00612C5B"/>
    <w:rsid w:val="00615841"/>
    <w:rsid w:val="00615BE0"/>
    <w:rsid w:val="00617273"/>
    <w:rsid w:val="00620C6D"/>
    <w:rsid w:val="006216C7"/>
    <w:rsid w:val="006218C3"/>
    <w:rsid w:val="0062236D"/>
    <w:rsid w:val="00622A7B"/>
    <w:rsid w:val="006255E1"/>
    <w:rsid w:val="006263F0"/>
    <w:rsid w:val="00626BC8"/>
    <w:rsid w:val="006279C4"/>
    <w:rsid w:val="00630D48"/>
    <w:rsid w:val="00637225"/>
    <w:rsid w:val="00643B73"/>
    <w:rsid w:val="006474C2"/>
    <w:rsid w:val="00650573"/>
    <w:rsid w:val="0065662C"/>
    <w:rsid w:val="0066180B"/>
    <w:rsid w:val="006629A2"/>
    <w:rsid w:val="00662AC4"/>
    <w:rsid w:val="00662CBA"/>
    <w:rsid w:val="006716BE"/>
    <w:rsid w:val="0067450B"/>
    <w:rsid w:val="0068189D"/>
    <w:rsid w:val="00681FEF"/>
    <w:rsid w:val="006822AC"/>
    <w:rsid w:val="00684D15"/>
    <w:rsid w:val="006862EB"/>
    <w:rsid w:val="006872A0"/>
    <w:rsid w:val="0069154E"/>
    <w:rsid w:val="006936D6"/>
    <w:rsid w:val="006957BF"/>
    <w:rsid w:val="00696E92"/>
    <w:rsid w:val="006A388B"/>
    <w:rsid w:val="006A4361"/>
    <w:rsid w:val="006A4BAC"/>
    <w:rsid w:val="006A7596"/>
    <w:rsid w:val="006B38F1"/>
    <w:rsid w:val="006C0BE6"/>
    <w:rsid w:val="006C2235"/>
    <w:rsid w:val="006C2FC0"/>
    <w:rsid w:val="006C31E4"/>
    <w:rsid w:val="006C43BD"/>
    <w:rsid w:val="006C4A29"/>
    <w:rsid w:val="006C6E32"/>
    <w:rsid w:val="006C6EBB"/>
    <w:rsid w:val="006D6DFB"/>
    <w:rsid w:val="006D7935"/>
    <w:rsid w:val="006E0C61"/>
    <w:rsid w:val="006E1563"/>
    <w:rsid w:val="006E4CF5"/>
    <w:rsid w:val="006E694B"/>
    <w:rsid w:val="006E798D"/>
    <w:rsid w:val="006F16D9"/>
    <w:rsid w:val="006F7426"/>
    <w:rsid w:val="007030A4"/>
    <w:rsid w:val="00703E16"/>
    <w:rsid w:val="0071185E"/>
    <w:rsid w:val="00720B1A"/>
    <w:rsid w:val="00720F1A"/>
    <w:rsid w:val="00722E79"/>
    <w:rsid w:val="00724DA9"/>
    <w:rsid w:val="007250B0"/>
    <w:rsid w:val="0072553F"/>
    <w:rsid w:val="0072674C"/>
    <w:rsid w:val="007310EF"/>
    <w:rsid w:val="0073584F"/>
    <w:rsid w:val="00736A5F"/>
    <w:rsid w:val="0077049B"/>
    <w:rsid w:val="0077059A"/>
    <w:rsid w:val="007719DD"/>
    <w:rsid w:val="0077210D"/>
    <w:rsid w:val="007775E7"/>
    <w:rsid w:val="00780B13"/>
    <w:rsid w:val="00782AFB"/>
    <w:rsid w:val="00783954"/>
    <w:rsid w:val="00785200"/>
    <w:rsid w:val="00785845"/>
    <w:rsid w:val="00786D2C"/>
    <w:rsid w:val="0079377D"/>
    <w:rsid w:val="00793DF5"/>
    <w:rsid w:val="007944BD"/>
    <w:rsid w:val="007A4E06"/>
    <w:rsid w:val="007A578F"/>
    <w:rsid w:val="007A5A8E"/>
    <w:rsid w:val="007B080D"/>
    <w:rsid w:val="007B1377"/>
    <w:rsid w:val="007B36E7"/>
    <w:rsid w:val="007B39E7"/>
    <w:rsid w:val="007B5537"/>
    <w:rsid w:val="007C1B85"/>
    <w:rsid w:val="007C1C57"/>
    <w:rsid w:val="007C3F4F"/>
    <w:rsid w:val="007C4B52"/>
    <w:rsid w:val="007C6D23"/>
    <w:rsid w:val="007D017D"/>
    <w:rsid w:val="007D17A1"/>
    <w:rsid w:val="007D36EA"/>
    <w:rsid w:val="007D643B"/>
    <w:rsid w:val="007D645E"/>
    <w:rsid w:val="007D67B1"/>
    <w:rsid w:val="007D6AAC"/>
    <w:rsid w:val="007D6BCD"/>
    <w:rsid w:val="007E37F9"/>
    <w:rsid w:val="007E5ACD"/>
    <w:rsid w:val="007E5ECC"/>
    <w:rsid w:val="007E7390"/>
    <w:rsid w:val="007F0735"/>
    <w:rsid w:val="007F16A9"/>
    <w:rsid w:val="007F3534"/>
    <w:rsid w:val="007F5C53"/>
    <w:rsid w:val="00801216"/>
    <w:rsid w:val="00805A8A"/>
    <w:rsid w:val="00812472"/>
    <w:rsid w:val="00813C94"/>
    <w:rsid w:val="00820AF6"/>
    <w:rsid w:val="008243E4"/>
    <w:rsid w:val="00826410"/>
    <w:rsid w:val="008279E5"/>
    <w:rsid w:val="00833B96"/>
    <w:rsid w:val="008368D9"/>
    <w:rsid w:val="00836FCF"/>
    <w:rsid w:val="00837A8E"/>
    <w:rsid w:val="0084187C"/>
    <w:rsid w:val="00842433"/>
    <w:rsid w:val="00845915"/>
    <w:rsid w:val="0084645A"/>
    <w:rsid w:val="008475F1"/>
    <w:rsid w:val="0085007B"/>
    <w:rsid w:val="0085110E"/>
    <w:rsid w:val="00853316"/>
    <w:rsid w:val="0085341E"/>
    <w:rsid w:val="00854986"/>
    <w:rsid w:val="008558ED"/>
    <w:rsid w:val="00875264"/>
    <w:rsid w:val="00877F68"/>
    <w:rsid w:val="008814B2"/>
    <w:rsid w:val="00885D5F"/>
    <w:rsid w:val="00886C0A"/>
    <w:rsid w:val="00886EB1"/>
    <w:rsid w:val="00890432"/>
    <w:rsid w:val="00890700"/>
    <w:rsid w:val="00893190"/>
    <w:rsid w:val="00895883"/>
    <w:rsid w:val="00895E73"/>
    <w:rsid w:val="008A0AD5"/>
    <w:rsid w:val="008A1662"/>
    <w:rsid w:val="008A2146"/>
    <w:rsid w:val="008B1C3A"/>
    <w:rsid w:val="008B5DE4"/>
    <w:rsid w:val="008B6693"/>
    <w:rsid w:val="008C21A9"/>
    <w:rsid w:val="008C3CA0"/>
    <w:rsid w:val="008D64C9"/>
    <w:rsid w:val="008E1117"/>
    <w:rsid w:val="008E4370"/>
    <w:rsid w:val="008F1F57"/>
    <w:rsid w:val="008F2914"/>
    <w:rsid w:val="008F2B89"/>
    <w:rsid w:val="008F36ED"/>
    <w:rsid w:val="008F42BB"/>
    <w:rsid w:val="008F4B2A"/>
    <w:rsid w:val="008F5FFA"/>
    <w:rsid w:val="008F6055"/>
    <w:rsid w:val="0090011E"/>
    <w:rsid w:val="00902647"/>
    <w:rsid w:val="00902B9B"/>
    <w:rsid w:val="009033C5"/>
    <w:rsid w:val="00903479"/>
    <w:rsid w:val="00904477"/>
    <w:rsid w:val="0090637F"/>
    <w:rsid w:val="00911B3F"/>
    <w:rsid w:val="00912693"/>
    <w:rsid w:val="00912EDD"/>
    <w:rsid w:val="00913AA6"/>
    <w:rsid w:val="00914AD9"/>
    <w:rsid w:val="00914C58"/>
    <w:rsid w:val="00927FB4"/>
    <w:rsid w:val="0094214F"/>
    <w:rsid w:val="00942D6D"/>
    <w:rsid w:val="00945EAE"/>
    <w:rsid w:val="00957F1A"/>
    <w:rsid w:val="00961A33"/>
    <w:rsid w:val="00961E88"/>
    <w:rsid w:val="00967CF3"/>
    <w:rsid w:val="0097280B"/>
    <w:rsid w:val="00974888"/>
    <w:rsid w:val="009757C6"/>
    <w:rsid w:val="009759E7"/>
    <w:rsid w:val="00981802"/>
    <w:rsid w:val="0098222A"/>
    <w:rsid w:val="0098317B"/>
    <w:rsid w:val="009952FF"/>
    <w:rsid w:val="009A1E7D"/>
    <w:rsid w:val="009A2A1C"/>
    <w:rsid w:val="009A4F8F"/>
    <w:rsid w:val="009A5585"/>
    <w:rsid w:val="009B2491"/>
    <w:rsid w:val="009B3D79"/>
    <w:rsid w:val="009B5B30"/>
    <w:rsid w:val="009B5DDE"/>
    <w:rsid w:val="009B65EF"/>
    <w:rsid w:val="009C0558"/>
    <w:rsid w:val="009C0B85"/>
    <w:rsid w:val="009C0C4A"/>
    <w:rsid w:val="009C537A"/>
    <w:rsid w:val="009C71F0"/>
    <w:rsid w:val="009C792E"/>
    <w:rsid w:val="009D2BEB"/>
    <w:rsid w:val="009D3549"/>
    <w:rsid w:val="009E2506"/>
    <w:rsid w:val="009E2C0B"/>
    <w:rsid w:val="009E2D9F"/>
    <w:rsid w:val="009E6869"/>
    <w:rsid w:val="009E6A06"/>
    <w:rsid w:val="009F372E"/>
    <w:rsid w:val="009F4C2B"/>
    <w:rsid w:val="00A00807"/>
    <w:rsid w:val="00A0249A"/>
    <w:rsid w:val="00A04663"/>
    <w:rsid w:val="00A0606C"/>
    <w:rsid w:val="00A0762F"/>
    <w:rsid w:val="00A07B81"/>
    <w:rsid w:val="00A105E6"/>
    <w:rsid w:val="00A12C3F"/>
    <w:rsid w:val="00A15E38"/>
    <w:rsid w:val="00A17BE5"/>
    <w:rsid w:val="00A20DEB"/>
    <w:rsid w:val="00A216F3"/>
    <w:rsid w:val="00A217B1"/>
    <w:rsid w:val="00A22ABC"/>
    <w:rsid w:val="00A303C0"/>
    <w:rsid w:val="00A309CC"/>
    <w:rsid w:val="00A35DC2"/>
    <w:rsid w:val="00A3610C"/>
    <w:rsid w:val="00A365D0"/>
    <w:rsid w:val="00A3690F"/>
    <w:rsid w:val="00A3700E"/>
    <w:rsid w:val="00A41B76"/>
    <w:rsid w:val="00A4272E"/>
    <w:rsid w:val="00A4359A"/>
    <w:rsid w:val="00A46AAE"/>
    <w:rsid w:val="00A539C5"/>
    <w:rsid w:val="00A54BD8"/>
    <w:rsid w:val="00A554B0"/>
    <w:rsid w:val="00A55AE4"/>
    <w:rsid w:val="00A56E33"/>
    <w:rsid w:val="00A57D3D"/>
    <w:rsid w:val="00A61A26"/>
    <w:rsid w:val="00A61EB8"/>
    <w:rsid w:val="00A61F03"/>
    <w:rsid w:val="00A70109"/>
    <w:rsid w:val="00A72EF7"/>
    <w:rsid w:val="00A74AAE"/>
    <w:rsid w:val="00A75F41"/>
    <w:rsid w:val="00A77049"/>
    <w:rsid w:val="00A86D19"/>
    <w:rsid w:val="00A96E21"/>
    <w:rsid w:val="00A97047"/>
    <w:rsid w:val="00AA048F"/>
    <w:rsid w:val="00AA16EE"/>
    <w:rsid w:val="00AA250D"/>
    <w:rsid w:val="00AB03F5"/>
    <w:rsid w:val="00AB2D3D"/>
    <w:rsid w:val="00AB3051"/>
    <w:rsid w:val="00AB54FC"/>
    <w:rsid w:val="00AB577D"/>
    <w:rsid w:val="00AC0E0D"/>
    <w:rsid w:val="00AC107B"/>
    <w:rsid w:val="00AC2066"/>
    <w:rsid w:val="00AC70D9"/>
    <w:rsid w:val="00AD0F32"/>
    <w:rsid w:val="00AD11CC"/>
    <w:rsid w:val="00AD32C0"/>
    <w:rsid w:val="00AD3CFF"/>
    <w:rsid w:val="00AD49F1"/>
    <w:rsid w:val="00AD65EA"/>
    <w:rsid w:val="00AD6709"/>
    <w:rsid w:val="00AE09F1"/>
    <w:rsid w:val="00AE157D"/>
    <w:rsid w:val="00AE1E8A"/>
    <w:rsid w:val="00AE2F24"/>
    <w:rsid w:val="00AE7165"/>
    <w:rsid w:val="00AF26F8"/>
    <w:rsid w:val="00AF74A7"/>
    <w:rsid w:val="00B06E93"/>
    <w:rsid w:val="00B070D3"/>
    <w:rsid w:val="00B14C3A"/>
    <w:rsid w:val="00B15907"/>
    <w:rsid w:val="00B15BC6"/>
    <w:rsid w:val="00B162B4"/>
    <w:rsid w:val="00B23739"/>
    <w:rsid w:val="00B24918"/>
    <w:rsid w:val="00B24990"/>
    <w:rsid w:val="00B25352"/>
    <w:rsid w:val="00B27AB2"/>
    <w:rsid w:val="00B32447"/>
    <w:rsid w:val="00B32E4E"/>
    <w:rsid w:val="00B33147"/>
    <w:rsid w:val="00B3442F"/>
    <w:rsid w:val="00B40684"/>
    <w:rsid w:val="00B460B4"/>
    <w:rsid w:val="00B46E86"/>
    <w:rsid w:val="00B472AA"/>
    <w:rsid w:val="00B54F2C"/>
    <w:rsid w:val="00B6470C"/>
    <w:rsid w:val="00B67529"/>
    <w:rsid w:val="00B67FCA"/>
    <w:rsid w:val="00B701DB"/>
    <w:rsid w:val="00B72E75"/>
    <w:rsid w:val="00B75526"/>
    <w:rsid w:val="00B76025"/>
    <w:rsid w:val="00B81BBC"/>
    <w:rsid w:val="00B83B08"/>
    <w:rsid w:val="00B85D2A"/>
    <w:rsid w:val="00B86353"/>
    <w:rsid w:val="00B86846"/>
    <w:rsid w:val="00B87681"/>
    <w:rsid w:val="00B90FEA"/>
    <w:rsid w:val="00B923D1"/>
    <w:rsid w:val="00B93266"/>
    <w:rsid w:val="00B96377"/>
    <w:rsid w:val="00BA0EFE"/>
    <w:rsid w:val="00BA3C98"/>
    <w:rsid w:val="00BA6864"/>
    <w:rsid w:val="00BA7847"/>
    <w:rsid w:val="00BA7EA3"/>
    <w:rsid w:val="00BC0F4E"/>
    <w:rsid w:val="00BC3899"/>
    <w:rsid w:val="00BC42A3"/>
    <w:rsid w:val="00BC4BAB"/>
    <w:rsid w:val="00BC53DD"/>
    <w:rsid w:val="00BC64D2"/>
    <w:rsid w:val="00BC72EB"/>
    <w:rsid w:val="00BD3836"/>
    <w:rsid w:val="00BD58EA"/>
    <w:rsid w:val="00BD65D9"/>
    <w:rsid w:val="00BD72F6"/>
    <w:rsid w:val="00BE2308"/>
    <w:rsid w:val="00BE4240"/>
    <w:rsid w:val="00BE5592"/>
    <w:rsid w:val="00BE7B9A"/>
    <w:rsid w:val="00BF034F"/>
    <w:rsid w:val="00BF13D0"/>
    <w:rsid w:val="00BF69C8"/>
    <w:rsid w:val="00BF6E4D"/>
    <w:rsid w:val="00C0020A"/>
    <w:rsid w:val="00C006E0"/>
    <w:rsid w:val="00C00BDC"/>
    <w:rsid w:val="00C06D2B"/>
    <w:rsid w:val="00C071D5"/>
    <w:rsid w:val="00C105DE"/>
    <w:rsid w:val="00C13720"/>
    <w:rsid w:val="00C13E07"/>
    <w:rsid w:val="00C14416"/>
    <w:rsid w:val="00C17960"/>
    <w:rsid w:val="00C25C6E"/>
    <w:rsid w:val="00C27A58"/>
    <w:rsid w:val="00C30470"/>
    <w:rsid w:val="00C31B5D"/>
    <w:rsid w:val="00C41590"/>
    <w:rsid w:val="00C451E8"/>
    <w:rsid w:val="00C51B54"/>
    <w:rsid w:val="00C5287F"/>
    <w:rsid w:val="00C542D4"/>
    <w:rsid w:val="00C65781"/>
    <w:rsid w:val="00C71014"/>
    <w:rsid w:val="00C721DE"/>
    <w:rsid w:val="00C751C8"/>
    <w:rsid w:val="00C7675D"/>
    <w:rsid w:val="00C77523"/>
    <w:rsid w:val="00C7773B"/>
    <w:rsid w:val="00C8617D"/>
    <w:rsid w:val="00C86ED8"/>
    <w:rsid w:val="00C90247"/>
    <w:rsid w:val="00C90667"/>
    <w:rsid w:val="00C90AD2"/>
    <w:rsid w:val="00C919C6"/>
    <w:rsid w:val="00C927AC"/>
    <w:rsid w:val="00C95C3F"/>
    <w:rsid w:val="00C97941"/>
    <w:rsid w:val="00CA2E58"/>
    <w:rsid w:val="00CB2238"/>
    <w:rsid w:val="00CB2485"/>
    <w:rsid w:val="00CB2A6F"/>
    <w:rsid w:val="00CB5F08"/>
    <w:rsid w:val="00CC02A0"/>
    <w:rsid w:val="00CC46C6"/>
    <w:rsid w:val="00CC6946"/>
    <w:rsid w:val="00CD1166"/>
    <w:rsid w:val="00CD1DFE"/>
    <w:rsid w:val="00CE0DDD"/>
    <w:rsid w:val="00CE121F"/>
    <w:rsid w:val="00CE23E5"/>
    <w:rsid w:val="00CE51EC"/>
    <w:rsid w:val="00CE5436"/>
    <w:rsid w:val="00CF2706"/>
    <w:rsid w:val="00CF29E8"/>
    <w:rsid w:val="00CF6E17"/>
    <w:rsid w:val="00CF6FB6"/>
    <w:rsid w:val="00CF7E00"/>
    <w:rsid w:val="00D00C3C"/>
    <w:rsid w:val="00D01A96"/>
    <w:rsid w:val="00D02FE8"/>
    <w:rsid w:val="00D03076"/>
    <w:rsid w:val="00D136EF"/>
    <w:rsid w:val="00D13EB3"/>
    <w:rsid w:val="00D146BE"/>
    <w:rsid w:val="00D159BD"/>
    <w:rsid w:val="00D15D79"/>
    <w:rsid w:val="00D217C3"/>
    <w:rsid w:val="00D22949"/>
    <w:rsid w:val="00D2535C"/>
    <w:rsid w:val="00D329C8"/>
    <w:rsid w:val="00D34140"/>
    <w:rsid w:val="00D34686"/>
    <w:rsid w:val="00D35494"/>
    <w:rsid w:val="00D35C55"/>
    <w:rsid w:val="00D36FDE"/>
    <w:rsid w:val="00D40AA2"/>
    <w:rsid w:val="00D41706"/>
    <w:rsid w:val="00D436B5"/>
    <w:rsid w:val="00D436DA"/>
    <w:rsid w:val="00D444EA"/>
    <w:rsid w:val="00D47429"/>
    <w:rsid w:val="00D52F18"/>
    <w:rsid w:val="00D62975"/>
    <w:rsid w:val="00D67432"/>
    <w:rsid w:val="00D67CED"/>
    <w:rsid w:val="00D73038"/>
    <w:rsid w:val="00D730FD"/>
    <w:rsid w:val="00D750D4"/>
    <w:rsid w:val="00D7646D"/>
    <w:rsid w:val="00D77244"/>
    <w:rsid w:val="00D77BC6"/>
    <w:rsid w:val="00D810A5"/>
    <w:rsid w:val="00D833A2"/>
    <w:rsid w:val="00D83EE4"/>
    <w:rsid w:val="00D840B3"/>
    <w:rsid w:val="00D87C8B"/>
    <w:rsid w:val="00D956E6"/>
    <w:rsid w:val="00DA13B5"/>
    <w:rsid w:val="00DB2159"/>
    <w:rsid w:val="00DC29F6"/>
    <w:rsid w:val="00DD1006"/>
    <w:rsid w:val="00DE1D74"/>
    <w:rsid w:val="00DE20DA"/>
    <w:rsid w:val="00DE7247"/>
    <w:rsid w:val="00DE78BC"/>
    <w:rsid w:val="00DF4387"/>
    <w:rsid w:val="00DF7342"/>
    <w:rsid w:val="00E002C3"/>
    <w:rsid w:val="00E02F3D"/>
    <w:rsid w:val="00E05FB3"/>
    <w:rsid w:val="00E0658E"/>
    <w:rsid w:val="00E1095A"/>
    <w:rsid w:val="00E1120A"/>
    <w:rsid w:val="00E136A0"/>
    <w:rsid w:val="00E14A37"/>
    <w:rsid w:val="00E22CFC"/>
    <w:rsid w:val="00E23E6F"/>
    <w:rsid w:val="00E24687"/>
    <w:rsid w:val="00E25C1D"/>
    <w:rsid w:val="00E313A0"/>
    <w:rsid w:val="00E34707"/>
    <w:rsid w:val="00E3541D"/>
    <w:rsid w:val="00E36390"/>
    <w:rsid w:val="00E3640A"/>
    <w:rsid w:val="00E400B7"/>
    <w:rsid w:val="00E44EE4"/>
    <w:rsid w:val="00E45D38"/>
    <w:rsid w:val="00E46AE0"/>
    <w:rsid w:val="00E54B1F"/>
    <w:rsid w:val="00E5507C"/>
    <w:rsid w:val="00E571FE"/>
    <w:rsid w:val="00E63676"/>
    <w:rsid w:val="00E6483D"/>
    <w:rsid w:val="00E64A18"/>
    <w:rsid w:val="00E70D87"/>
    <w:rsid w:val="00E7458F"/>
    <w:rsid w:val="00E74D39"/>
    <w:rsid w:val="00E75BC7"/>
    <w:rsid w:val="00E7616A"/>
    <w:rsid w:val="00E804D3"/>
    <w:rsid w:val="00E810B4"/>
    <w:rsid w:val="00E83C5C"/>
    <w:rsid w:val="00E85429"/>
    <w:rsid w:val="00E87245"/>
    <w:rsid w:val="00E87924"/>
    <w:rsid w:val="00E932DE"/>
    <w:rsid w:val="00E97FE3"/>
    <w:rsid w:val="00EA3AEC"/>
    <w:rsid w:val="00EA5012"/>
    <w:rsid w:val="00EA553A"/>
    <w:rsid w:val="00EA597E"/>
    <w:rsid w:val="00EB2D83"/>
    <w:rsid w:val="00EB36EB"/>
    <w:rsid w:val="00EB6A66"/>
    <w:rsid w:val="00EC2DD4"/>
    <w:rsid w:val="00EC41B3"/>
    <w:rsid w:val="00EC420E"/>
    <w:rsid w:val="00ED0061"/>
    <w:rsid w:val="00ED18D8"/>
    <w:rsid w:val="00ED1B89"/>
    <w:rsid w:val="00EE01DA"/>
    <w:rsid w:val="00EE03B3"/>
    <w:rsid w:val="00EF089A"/>
    <w:rsid w:val="00EF1897"/>
    <w:rsid w:val="00EF36F3"/>
    <w:rsid w:val="00EF524B"/>
    <w:rsid w:val="00EF74EA"/>
    <w:rsid w:val="00F00D56"/>
    <w:rsid w:val="00F035E0"/>
    <w:rsid w:val="00F0623E"/>
    <w:rsid w:val="00F10300"/>
    <w:rsid w:val="00F11F16"/>
    <w:rsid w:val="00F1530B"/>
    <w:rsid w:val="00F165C4"/>
    <w:rsid w:val="00F16777"/>
    <w:rsid w:val="00F17882"/>
    <w:rsid w:val="00F206E6"/>
    <w:rsid w:val="00F210A6"/>
    <w:rsid w:val="00F24D04"/>
    <w:rsid w:val="00F2599F"/>
    <w:rsid w:val="00F27288"/>
    <w:rsid w:val="00F33218"/>
    <w:rsid w:val="00F3405D"/>
    <w:rsid w:val="00F36250"/>
    <w:rsid w:val="00F4308B"/>
    <w:rsid w:val="00F44C8E"/>
    <w:rsid w:val="00F46939"/>
    <w:rsid w:val="00F53ADA"/>
    <w:rsid w:val="00F54890"/>
    <w:rsid w:val="00F56E4B"/>
    <w:rsid w:val="00F62C3C"/>
    <w:rsid w:val="00F62D8C"/>
    <w:rsid w:val="00F64128"/>
    <w:rsid w:val="00F64DA8"/>
    <w:rsid w:val="00F6749D"/>
    <w:rsid w:val="00F71225"/>
    <w:rsid w:val="00F72FD1"/>
    <w:rsid w:val="00F73DB2"/>
    <w:rsid w:val="00F74BD8"/>
    <w:rsid w:val="00F7664A"/>
    <w:rsid w:val="00F770BA"/>
    <w:rsid w:val="00F81C04"/>
    <w:rsid w:val="00F823CC"/>
    <w:rsid w:val="00F835B1"/>
    <w:rsid w:val="00F84BFC"/>
    <w:rsid w:val="00F90531"/>
    <w:rsid w:val="00F907C0"/>
    <w:rsid w:val="00F91905"/>
    <w:rsid w:val="00F954E0"/>
    <w:rsid w:val="00FA2AB7"/>
    <w:rsid w:val="00FA4EAF"/>
    <w:rsid w:val="00FB1885"/>
    <w:rsid w:val="00FB267D"/>
    <w:rsid w:val="00FC0827"/>
    <w:rsid w:val="00FC6177"/>
    <w:rsid w:val="00FD0E3C"/>
    <w:rsid w:val="00FD643F"/>
    <w:rsid w:val="00FD7B9C"/>
    <w:rsid w:val="00FE1552"/>
    <w:rsid w:val="00FE214C"/>
    <w:rsid w:val="00FE275A"/>
    <w:rsid w:val="00FE2B80"/>
    <w:rsid w:val="00FE32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71FE"/>
    <w:pPr>
      <w:keepNext/>
      <w:jc w:val="center"/>
      <w:outlineLvl w:val="0"/>
    </w:pPr>
    <w:rPr>
      <w:b/>
      <w:bCs/>
      <w:sz w:val="28"/>
    </w:rPr>
  </w:style>
  <w:style w:type="paragraph" w:styleId="Heading2">
    <w:name w:val="heading 2"/>
    <w:basedOn w:val="Normal"/>
    <w:next w:val="Normal"/>
    <w:link w:val="Heading2Char"/>
    <w:uiPriority w:val="9"/>
    <w:qFormat/>
    <w:rsid w:val="00E571FE"/>
    <w:pPr>
      <w:keepNext/>
      <w:outlineLvl w:val="1"/>
    </w:pPr>
    <w:rPr>
      <w:sz w:val="28"/>
    </w:rPr>
  </w:style>
  <w:style w:type="paragraph" w:styleId="Heading3">
    <w:name w:val="heading 3"/>
    <w:basedOn w:val="Normal"/>
    <w:next w:val="Normal"/>
    <w:link w:val="Heading3Char"/>
    <w:uiPriority w:val="9"/>
    <w:qFormat/>
    <w:rsid w:val="00E571FE"/>
    <w:pPr>
      <w:keepNext/>
      <w:jc w:val="center"/>
      <w:outlineLvl w:val="2"/>
    </w:pPr>
    <w:rPr>
      <w:sz w:val="28"/>
    </w:rPr>
  </w:style>
  <w:style w:type="paragraph" w:styleId="Heading4">
    <w:name w:val="heading 4"/>
    <w:basedOn w:val="Normal"/>
    <w:next w:val="Normal"/>
    <w:link w:val="Heading4Char"/>
    <w:uiPriority w:val="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238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2238F5"/>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F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571F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E571FE"/>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
    <w:rsid w:val="00E571FE"/>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rsid w:val="002238F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2238F5"/>
    <w:rPr>
      <w:rFonts w:ascii="Calibri" w:eastAsia="Times New Roman" w:hAnsi="Calibri" w:cs="Times New Roman"/>
      <w:sz w:val="24"/>
      <w:szCs w:val="24"/>
    </w:rPr>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Body Text Indent Char"/>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Header Char"/>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Comment Text Char"/>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uiPriority w:val="99"/>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loon Text Char"/>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Body Text 2 Char"/>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Comment Subject Char"/>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Title Char"/>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link w:val="NoSpacingChar"/>
    <w:uiPriority w:val="1"/>
    <w:qFormat/>
    <w:rsid w:val="00E571F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3541D"/>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qFormat/>
    <w:rsid w:val="00E571FE"/>
    <w:rPr>
      <w:rFonts w:cs="Times New Roman"/>
      <w:b/>
      <w:bCs/>
    </w:rPr>
  </w:style>
  <w:style w:type="paragraph" w:styleId="ListParagraph">
    <w:name w:val="List Paragraph"/>
    <w:basedOn w:val="Normal"/>
    <w:uiPriority w:val="99"/>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Body Text Indent 2 Char"/>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iPriority w:val="99"/>
    <w:unhideWhenUsed/>
    <w:rsid w:val="008A1662"/>
    <w:rPr>
      <w:rFonts w:ascii="Calibri" w:eastAsia="Calibri" w:hAnsi="Calibri"/>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Vēres teksts Char Char Char Char Char Char"/>
    <w:basedOn w:val="DefaultParagraphFont"/>
    <w:link w:val="FootnoteText"/>
    <w:uiPriority w:val="99"/>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uiPriority w:val="99"/>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F210A6"/>
    <w:pPr>
      <w:spacing w:after="120"/>
    </w:pPr>
    <w:rPr>
      <w:sz w:val="16"/>
      <w:szCs w:val="16"/>
    </w:rPr>
  </w:style>
  <w:style w:type="character" w:customStyle="1" w:styleId="BodyText3Char">
    <w:name w:val="Body Text 3 Char"/>
    <w:basedOn w:val="DefaultParagraphFont"/>
    <w:link w:val="BodyText3"/>
    <w:uiPriority w:val="99"/>
    <w:semiHidden/>
    <w:rsid w:val="00F210A6"/>
    <w:rPr>
      <w:rFonts w:ascii="Times New Roman" w:eastAsia="Times New Roman" w:hAnsi="Times New Roman" w:cs="Times New Roman"/>
      <w:sz w:val="16"/>
      <w:szCs w:val="16"/>
    </w:rPr>
  </w:style>
  <w:style w:type="character" w:customStyle="1" w:styleId="apple-converted-space">
    <w:name w:val="apple-converted-space"/>
    <w:basedOn w:val="DefaultParagraphFont"/>
    <w:rsid w:val="00724DA9"/>
  </w:style>
  <w:style w:type="paragraph" w:styleId="EnvelopeAddress">
    <w:name w:val="envelope address"/>
    <w:basedOn w:val="Normal"/>
    <w:uiPriority w:val="99"/>
    <w:rsid w:val="002238F5"/>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2238F5"/>
    <w:rPr>
      <w:rFonts w:ascii="Garamond" w:hAnsi="Garamond" w:cs="Arial"/>
      <w:b/>
    </w:rPr>
  </w:style>
  <w:style w:type="paragraph" w:styleId="BodyText">
    <w:name w:val="Body Text"/>
    <w:basedOn w:val="Normal"/>
    <w:link w:val="BodyTextChar"/>
    <w:uiPriority w:val="99"/>
    <w:rsid w:val="002238F5"/>
    <w:pPr>
      <w:jc w:val="both"/>
    </w:pPr>
  </w:style>
  <w:style w:type="character" w:customStyle="1" w:styleId="BodyTextChar">
    <w:name w:val="Body Text Char"/>
    <w:basedOn w:val="DefaultParagraphFont"/>
    <w:link w:val="BodyText"/>
    <w:uiPriority w:val="99"/>
    <w:rsid w:val="002238F5"/>
    <w:rPr>
      <w:rFonts w:ascii="Times New Roman" w:eastAsia="Times New Roman" w:hAnsi="Times New Roman" w:cs="Times New Roman"/>
      <w:sz w:val="24"/>
      <w:szCs w:val="24"/>
    </w:rPr>
  </w:style>
  <w:style w:type="paragraph" w:customStyle="1" w:styleId="G4">
    <w:name w:val="G4"/>
    <w:basedOn w:val="Normal"/>
    <w:autoRedefine/>
    <w:uiPriority w:val="99"/>
    <w:rsid w:val="002238F5"/>
    <w:pPr>
      <w:jc w:val="both"/>
    </w:pPr>
  </w:style>
  <w:style w:type="paragraph" w:customStyle="1" w:styleId="xl24">
    <w:name w:val="xl24"/>
    <w:basedOn w:val="Normal"/>
    <w:uiPriority w:val="99"/>
    <w:rsid w:val="002238F5"/>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2238F5"/>
    <w:rPr>
      <w:rFonts w:cs="Times New Roman"/>
      <w:color w:val="800080"/>
      <w:u w:val="single"/>
    </w:rPr>
  </w:style>
  <w:style w:type="paragraph" w:customStyle="1" w:styleId="CharChar4Char1">
    <w:name w:val="Char Char4 Char1"/>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2238F5"/>
    <w:pPr>
      <w:spacing w:after="120"/>
      <w:ind w:left="1440" w:right="1440"/>
    </w:pPr>
  </w:style>
  <w:style w:type="paragraph" w:customStyle="1" w:styleId="CharChar4Char">
    <w:name w:val="Char Char4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EE-H3">
    <w:name w:val="EE-H3"/>
    <w:basedOn w:val="Normal"/>
    <w:autoRedefine/>
    <w:uiPriority w:val="99"/>
    <w:rsid w:val="002238F5"/>
    <w:pPr>
      <w:ind w:right="6"/>
      <w:jc w:val="both"/>
    </w:pPr>
    <w:rPr>
      <w:lang w:eastAsia="lv-LV"/>
    </w:rPr>
  </w:style>
  <w:style w:type="paragraph" w:customStyle="1" w:styleId="CharChar4CharCharCharChar">
    <w:name w:val="Char Char4 Char Char Char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1">
    <w:name w:val="1"/>
    <w:basedOn w:val="Normal"/>
    <w:uiPriority w:val="99"/>
    <w:rsid w:val="002238F5"/>
    <w:pPr>
      <w:spacing w:after="160" w:line="240" w:lineRule="exact"/>
    </w:pPr>
    <w:rPr>
      <w:rFonts w:ascii="Tahoma" w:hAnsi="Tahoma"/>
      <w:sz w:val="20"/>
      <w:szCs w:val="20"/>
      <w:lang w:val="en-US"/>
    </w:rPr>
  </w:style>
  <w:style w:type="paragraph" w:customStyle="1" w:styleId="RakstzCharCharRakstzCharCharRakstz">
    <w:name w:val="Rakstz. Char Char Rakstz. Char Char Rakstz."/>
    <w:basedOn w:val="Normal"/>
    <w:uiPriority w:val="99"/>
    <w:rsid w:val="002238F5"/>
    <w:pPr>
      <w:spacing w:after="160" w:line="240" w:lineRule="exact"/>
    </w:pPr>
    <w:rPr>
      <w:rFonts w:ascii="Tahoma" w:hAnsi="Tahoma"/>
      <w:sz w:val="20"/>
      <w:szCs w:val="20"/>
      <w:lang w:val="en-US"/>
    </w:rPr>
  </w:style>
  <w:style w:type="character" w:customStyle="1" w:styleId="spelle">
    <w:name w:val="spelle"/>
    <w:basedOn w:val="DefaultParagraphFont"/>
    <w:rsid w:val="002238F5"/>
  </w:style>
  <w:style w:type="paragraph" w:customStyle="1" w:styleId="tvhtml">
    <w:name w:val="tv_html"/>
    <w:basedOn w:val="Normal"/>
    <w:uiPriority w:val="99"/>
    <w:rsid w:val="002238F5"/>
    <w:pPr>
      <w:spacing w:before="100" w:beforeAutospacing="1" w:after="100" w:afterAutospacing="1"/>
    </w:pPr>
    <w:rPr>
      <w:rFonts w:ascii="Verdana" w:hAnsi="Verdana"/>
      <w:sz w:val="18"/>
      <w:szCs w:val="18"/>
      <w:lang w:val="en-US"/>
    </w:rPr>
  </w:style>
  <w:style w:type="paragraph" w:customStyle="1" w:styleId="xl75">
    <w:name w:val="xl75"/>
    <w:basedOn w:val="Normal"/>
    <w:uiPriority w:val="99"/>
    <w:rsid w:val="002238F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3">
    <w:name w:val="xl73"/>
    <w:basedOn w:val="Normal"/>
    <w:uiPriority w:val="99"/>
    <w:rsid w:val="002238F5"/>
    <w:pPr>
      <w:spacing w:before="100" w:beforeAutospacing="1" w:after="100" w:afterAutospacing="1"/>
    </w:pPr>
    <w:rPr>
      <w:rFonts w:ascii="Verdana" w:hAnsi="Verdana"/>
      <w:sz w:val="16"/>
      <w:szCs w:val="16"/>
      <w:lang w:eastAsia="lv-LV"/>
    </w:rPr>
  </w:style>
  <w:style w:type="paragraph" w:customStyle="1" w:styleId="tv2121">
    <w:name w:val="tv2121"/>
    <w:basedOn w:val="Normal"/>
    <w:uiPriority w:val="99"/>
    <w:rsid w:val="002238F5"/>
    <w:pPr>
      <w:spacing w:before="400" w:line="360" w:lineRule="auto"/>
      <w:jc w:val="center"/>
    </w:pPr>
    <w:rPr>
      <w:rFonts w:ascii="Verdana" w:hAnsi="Verdana"/>
      <w:b/>
      <w:bCs/>
      <w:sz w:val="20"/>
      <w:szCs w:val="20"/>
      <w:lang w:eastAsia="lv-LV"/>
    </w:rPr>
  </w:style>
  <w:style w:type="character" w:styleId="Emphasis">
    <w:name w:val="Emphasis"/>
    <w:basedOn w:val="DefaultParagraphFont"/>
    <w:uiPriority w:val="20"/>
    <w:qFormat/>
    <w:rsid w:val="002238F5"/>
    <w:rPr>
      <w:i/>
      <w:iCs/>
    </w:rPr>
  </w:style>
  <w:style w:type="paragraph" w:customStyle="1" w:styleId="CM4">
    <w:name w:val="CM4"/>
    <w:basedOn w:val="Normal"/>
    <w:next w:val="Normal"/>
    <w:uiPriority w:val="99"/>
    <w:rsid w:val="002238F5"/>
    <w:pPr>
      <w:autoSpaceDE w:val="0"/>
      <w:autoSpaceDN w:val="0"/>
      <w:adjustRightInd w:val="0"/>
    </w:pPr>
    <w:rPr>
      <w:rFonts w:eastAsia="Calibri"/>
      <w:lang w:val="en-US"/>
    </w:rPr>
  </w:style>
  <w:style w:type="table" w:styleId="TableGrid">
    <w:name w:val="Table Grid"/>
    <w:basedOn w:val="TableNormal"/>
    <w:uiPriority w:val="59"/>
    <w:rsid w:val="00A216F3"/>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7F0735"/>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71FE"/>
    <w:pPr>
      <w:keepNext/>
      <w:jc w:val="center"/>
      <w:outlineLvl w:val="0"/>
    </w:pPr>
    <w:rPr>
      <w:b/>
      <w:bCs/>
      <w:sz w:val="28"/>
    </w:rPr>
  </w:style>
  <w:style w:type="paragraph" w:styleId="Heading2">
    <w:name w:val="heading 2"/>
    <w:basedOn w:val="Normal"/>
    <w:next w:val="Normal"/>
    <w:link w:val="Heading2Char"/>
    <w:uiPriority w:val="9"/>
    <w:qFormat/>
    <w:rsid w:val="00E571FE"/>
    <w:pPr>
      <w:keepNext/>
      <w:outlineLvl w:val="1"/>
    </w:pPr>
    <w:rPr>
      <w:sz w:val="28"/>
    </w:rPr>
  </w:style>
  <w:style w:type="paragraph" w:styleId="Heading3">
    <w:name w:val="heading 3"/>
    <w:basedOn w:val="Normal"/>
    <w:next w:val="Normal"/>
    <w:link w:val="Heading3Char"/>
    <w:uiPriority w:val="9"/>
    <w:qFormat/>
    <w:rsid w:val="00E571FE"/>
    <w:pPr>
      <w:keepNext/>
      <w:jc w:val="center"/>
      <w:outlineLvl w:val="2"/>
    </w:pPr>
    <w:rPr>
      <w:sz w:val="28"/>
    </w:rPr>
  </w:style>
  <w:style w:type="paragraph" w:styleId="Heading4">
    <w:name w:val="heading 4"/>
    <w:basedOn w:val="Normal"/>
    <w:next w:val="Normal"/>
    <w:link w:val="Heading4Char"/>
    <w:uiPriority w:val="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238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2238F5"/>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F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571F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E571FE"/>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
    <w:rsid w:val="00E571FE"/>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rsid w:val="002238F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2238F5"/>
    <w:rPr>
      <w:rFonts w:ascii="Calibri" w:eastAsia="Times New Roman" w:hAnsi="Calibri" w:cs="Times New Roman"/>
      <w:sz w:val="24"/>
      <w:szCs w:val="24"/>
    </w:rPr>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Body Text Indent Char"/>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Header Char"/>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Comment Text Char"/>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uiPriority w:val="99"/>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loon Text Char"/>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Body Text 2 Char"/>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Comment Subject Char"/>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Title Char"/>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link w:val="NoSpacingChar"/>
    <w:uiPriority w:val="1"/>
    <w:qFormat/>
    <w:rsid w:val="00E571F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3541D"/>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qFormat/>
    <w:rsid w:val="00E571FE"/>
    <w:rPr>
      <w:rFonts w:cs="Times New Roman"/>
      <w:b/>
      <w:bCs/>
    </w:rPr>
  </w:style>
  <w:style w:type="paragraph" w:styleId="ListParagraph">
    <w:name w:val="List Paragraph"/>
    <w:basedOn w:val="Normal"/>
    <w:uiPriority w:val="99"/>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Body Text Indent 2 Char"/>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iPriority w:val="99"/>
    <w:unhideWhenUsed/>
    <w:rsid w:val="008A1662"/>
    <w:rPr>
      <w:rFonts w:ascii="Calibri" w:eastAsia="Calibri" w:hAnsi="Calibri"/>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Vēres teksts Char Char Char Char Char Char"/>
    <w:basedOn w:val="DefaultParagraphFont"/>
    <w:link w:val="FootnoteText"/>
    <w:uiPriority w:val="99"/>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uiPriority w:val="99"/>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F210A6"/>
    <w:pPr>
      <w:spacing w:after="120"/>
    </w:pPr>
    <w:rPr>
      <w:sz w:val="16"/>
      <w:szCs w:val="16"/>
    </w:rPr>
  </w:style>
  <w:style w:type="character" w:customStyle="1" w:styleId="BodyText3Char">
    <w:name w:val="Body Text 3 Char"/>
    <w:basedOn w:val="DefaultParagraphFont"/>
    <w:link w:val="BodyText3"/>
    <w:uiPriority w:val="99"/>
    <w:semiHidden/>
    <w:rsid w:val="00F210A6"/>
    <w:rPr>
      <w:rFonts w:ascii="Times New Roman" w:eastAsia="Times New Roman" w:hAnsi="Times New Roman" w:cs="Times New Roman"/>
      <w:sz w:val="16"/>
      <w:szCs w:val="16"/>
    </w:rPr>
  </w:style>
  <w:style w:type="character" w:customStyle="1" w:styleId="apple-converted-space">
    <w:name w:val="apple-converted-space"/>
    <w:basedOn w:val="DefaultParagraphFont"/>
    <w:rsid w:val="00724DA9"/>
  </w:style>
  <w:style w:type="paragraph" w:styleId="EnvelopeAddress">
    <w:name w:val="envelope address"/>
    <w:basedOn w:val="Normal"/>
    <w:uiPriority w:val="99"/>
    <w:rsid w:val="002238F5"/>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2238F5"/>
    <w:rPr>
      <w:rFonts w:ascii="Garamond" w:hAnsi="Garamond" w:cs="Arial"/>
      <w:b/>
    </w:rPr>
  </w:style>
  <w:style w:type="paragraph" w:styleId="BodyText">
    <w:name w:val="Body Text"/>
    <w:basedOn w:val="Normal"/>
    <w:link w:val="BodyTextChar"/>
    <w:uiPriority w:val="99"/>
    <w:rsid w:val="002238F5"/>
    <w:pPr>
      <w:jc w:val="both"/>
    </w:pPr>
  </w:style>
  <w:style w:type="character" w:customStyle="1" w:styleId="BodyTextChar">
    <w:name w:val="Body Text Char"/>
    <w:basedOn w:val="DefaultParagraphFont"/>
    <w:link w:val="BodyText"/>
    <w:uiPriority w:val="99"/>
    <w:rsid w:val="002238F5"/>
    <w:rPr>
      <w:rFonts w:ascii="Times New Roman" w:eastAsia="Times New Roman" w:hAnsi="Times New Roman" w:cs="Times New Roman"/>
      <w:sz w:val="24"/>
      <w:szCs w:val="24"/>
    </w:rPr>
  </w:style>
  <w:style w:type="paragraph" w:customStyle="1" w:styleId="G4">
    <w:name w:val="G4"/>
    <w:basedOn w:val="Normal"/>
    <w:autoRedefine/>
    <w:uiPriority w:val="99"/>
    <w:rsid w:val="002238F5"/>
    <w:pPr>
      <w:jc w:val="both"/>
    </w:pPr>
  </w:style>
  <w:style w:type="paragraph" w:customStyle="1" w:styleId="xl24">
    <w:name w:val="xl24"/>
    <w:basedOn w:val="Normal"/>
    <w:uiPriority w:val="99"/>
    <w:rsid w:val="002238F5"/>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2238F5"/>
    <w:rPr>
      <w:rFonts w:cs="Times New Roman"/>
      <w:color w:val="800080"/>
      <w:u w:val="single"/>
    </w:rPr>
  </w:style>
  <w:style w:type="paragraph" w:customStyle="1" w:styleId="CharChar4Char1">
    <w:name w:val="Char Char4 Char1"/>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2238F5"/>
    <w:pPr>
      <w:spacing w:after="120"/>
      <w:ind w:left="1440" w:right="1440"/>
    </w:pPr>
  </w:style>
  <w:style w:type="paragraph" w:customStyle="1" w:styleId="CharChar4Char">
    <w:name w:val="Char Char4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EE-H3">
    <w:name w:val="EE-H3"/>
    <w:basedOn w:val="Normal"/>
    <w:autoRedefine/>
    <w:uiPriority w:val="99"/>
    <w:rsid w:val="002238F5"/>
    <w:pPr>
      <w:ind w:right="6"/>
      <w:jc w:val="both"/>
    </w:pPr>
    <w:rPr>
      <w:lang w:eastAsia="lv-LV"/>
    </w:rPr>
  </w:style>
  <w:style w:type="paragraph" w:customStyle="1" w:styleId="CharChar4CharCharCharChar">
    <w:name w:val="Char Char4 Char Char Char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1">
    <w:name w:val="1"/>
    <w:basedOn w:val="Normal"/>
    <w:uiPriority w:val="99"/>
    <w:rsid w:val="002238F5"/>
    <w:pPr>
      <w:spacing w:after="160" w:line="240" w:lineRule="exact"/>
    </w:pPr>
    <w:rPr>
      <w:rFonts w:ascii="Tahoma" w:hAnsi="Tahoma"/>
      <w:sz w:val="20"/>
      <w:szCs w:val="20"/>
      <w:lang w:val="en-US"/>
    </w:rPr>
  </w:style>
  <w:style w:type="paragraph" w:customStyle="1" w:styleId="RakstzCharCharRakstzCharCharRakstz">
    <w:name w:val="Rakstz. Char Char Rakstz. Char Char Rakstz."/>
    <w:basedOn w:val="Normal"/>
    <w:uiPriority w:val="99"/>
    <w:rsid w:val="002238F5"/>
    <w:pPr>
      <w:spacing w:after="160" w:line="240" w:lineRule="exact"/>
    </w:pPr>
    <w:rPr>
      <w:rFonts w:ascii="Tahoma" w:hAnsi="Tahoma"/>
      <w:sz w:val="20"/>
      <w:szCs w:val="20"/>
      <w:lang w:val="en-US"/>
    </w:rPr>
  </w:style>
  <w:style w:type="character" w:customStyle="1" w:styleId="spelle">
    <w:name w:val="spelle"/>
    <w:basedOn w:val="DefaultParagraphFont"/>
    <w:rsid w:val="002238F5"/>
  </w:style>
  <w:style w:type="paragraph" w:customStyle="1" w:styleId="tvhtml">
    <w:name w:val="tv_html"/>
    <w:basedOn w:val="Normal"/>
    <w:uiPriority w:val="99"/>
    <w:rsid w:val="002238F5"/>
    <w:pPr>
      <w:spacing w:before="100" w:beforeAutospacing="1" w:after="100" w:afterAutospacing="1"/>
    </w:pPr>
    <w:rPr>
      <w:rFonts w:ascii="Verdana" w:hAnsi="Verdana"/>
      <w:sz w:val="18"/>
      <w:szCs w:val="18"/>
      <w:lang w:val="en-US"/>
    </w:rPr>
  </w:style>
  <w:style w:type="paragraph" w:customStyle="1" w:styleId="xl75">
    <w:name w:val="xl75"/>
    <w:basedOn w:val="Normal"/>
    <w:uiPriority w:val="99"/>
    <w:rsid w:val="002238F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3">
    <w:name w:val="xl73"/>
    <w:basedOn w:val="Normal"/>
    <w:uiPriority w:val="99"/>
    <w:rsid w:val="002238F5"/>
    <w:pPr>
      <w:spacing w:before="100" w:beforeAutospacing="1" w:after="100" w:afterAutospacing="1"/>
    </w:pPr>
    <w:rPr>
      <w:rFonts w:ascii="Verdana" w:hAnsi="Verdana"/>
      <w:sz w:val="16"/>
      <w:szCs w:val="16"/>
      <w:lang w:eastAsia="lv-LV"/>
    </w:rPr>
  </w:style>
  <w:style w:type="paragraph" w:customStyle="1" w:styleId="tv2121">
    <w:name w:val="tv2121"/>
    <w:basedOn w:val="Normal"/>
    <w:uiPriority w:val="99"/>
    <w:rsid w:val="002238F5"/>
    <w:pPr>
      <w:spacing w:before="400" w:line="360" w:lineRule="auto"/>
      <w:jc w:val="center"/>
    </w:pPr>
    <w:rPr>
      <w:rFonts w:ascii="Verdana" w:hAnsi="Verdana"/>
      <w:b/>
      <w:bCs/>
      <w:sz w:val="20"/>
      <w:szCs w:val="20"/>
      <w:lang w:eastAsia="lv-LV"/>
    </w:rPr>
  </w:style>
  <w:style w:type="character" w:styleId="Emphasis">
    <w:name w:val="Emphasis"/>
    <w:basedOn w:val="DefaultParagraphFont"/>
    <w:uiPriority w:val="20"/>
    <w:qFormat/>
    <w:rsid w:val="002238F5"/>
    <w:rPr>
      <w:i/>
      <w:iCs/>
    </w:rPr>
  </w:style>
  <w:style w:type="paragraph" w:customStyle="1" w:styleId="CM4">
    <w:name w:val="CM4"/>
    <w:basedOn w:val="Normal"/>
    <w:next w:val="Normal"/>
    <w:uiPriority w:val="99"/>
    <w:rsid w:val="002238F5"/>
    <w:pPr>
      <w:autoSpaceDE w:val="0"/>
      <w:autoSpaceDN w:val="0"/>
      <w:adjustRightInd w:val="0"/>
    </w:pPr>
    <w:rPr>
      <w:rFonts w:eastAsia="Calibri"/>
      <w:lang w:val="en-US"/>
    </w:rPr>
  </w:style>
  <w:style w:type="table" w:styleId="TableGrid">
    <w:name w:val="Table Grid"/>
    <w:basedOn w:val="TableNormal"/>
    <w:uiPriority w:val="59"/>
    <w:rsid w:val="00A216F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F0735"/>
    <w:pPr>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81266778">
      <w:bodyDiv w:val="1"/>
      <w:marLeft w:val="0"/>
      <w:marRight w:val="0"/>
      <w:marTop w:val="0"/>
      <w:marBottom w:val="0"/>
      <w:divBdr>
        <w:top w:val="none" w:sz="0" w:space="0" w:color="auto"/>
        <w:left w:val="none" w:sz="0" w:space="0" w:color="auto"/>
        <w:bottom w:val="none" w:sz="0" w:space="0" w:color="auto"/>
        <w:right w:val="none" w:sz="0" w:space="0" w:color="auto"/>
      </w:divBdr>
    </w:div>
    <w:div w:id="102385749">
      <w:bodyDiv w:val="1"/>
      <w:marLeft w:val="0"/>
      <w:marRight w:val="0"/>
      <w:marTop w:val="0"/>
      <w:marBottom w:val="0"/>
      <w:divBdr>
        <w:top w:val="none" w:sz="0" w:space="0" w:color="auto"/>
        <w:left w:val="none" w:sz="0" w:space="0" w:color="auto"/>
        <w:bottom w:val="none" w:sz="0" w:space="0" w:color="auto"/>
        <w:right w:val="none" w:sz="0" w:space="0" w:color="auto"/>
      </w:divBdr>
      <w:divsChild>
        <w:div w:id="1442382780">
          <w:marLeft w:val="547"/>
          <w:marRight w:val="0"/>
          <w:marTop w:val="115"/>
          <w:marBottom w:val="0"/>
          <w:divBdr>
            <w:top w:val="none" w:sz="0" w:space="0" w:color="auto"/>
            <w:left w:val="none" w:sz="0" w:space="0" w:color="auto"/>
            <w:bottom w:val="none" w:sz="0" w:space="0" w:color="auto"/>
            <w:right w:val="none" w:sz="0" w:space="0" w:color="auto"/>
          </w:divBdr>
        </w:div>
        <w:div w:id="1010911023">
          <w:marLeft w:val="547"/>
          <w:marRight w:val="0"/>
          <w:marTop w:val="115"/>
          <w:marBottom w:val="0"/>
          <w:divBdr>
            <w:top w:val="none" w:sz="0" w:space="0" w:color="auto"/>
            <w:left w:val="none" w:sz="0" w:space="0" w:color="auto"/>
            <w:bottom w:val="none" w:sz="0" w:space="0" w:color="auto"/>
            <w:right w:val="none" w:sz="0" w:space="0" w:color="auto"/>
          </w:divBdr>
        </w:div>
      </w:divsChild>
    </w:div>
    <w:div w:id="666251380">
      <w:bodyDiv w:val="1"/>
      <w:marLeft w:val="0"/>
      <w:marRight w:val="0"/>
      <w:marTop w:val="0"/>
      <w:marBottom w:val="0"/>
      <w:divBdr>
        <w:top w:val="none" w:sz="0" w:space="0" w:color="auto"/>
        <w:left w:val="none" w:sz="0" w:space="0" w:color="auto"/>
        <w:bottom w:val="none" w:sz="0" w:space="0" w:color="auto"/>
        <w:right w:val="none" w:sz="0" w:space="0" w:color="auto"/>
      </w:divBdr>
      <w:divsChild>
        <w:div w:id="2024479600">
          <w:marLeft w:val="0"/>
          <w:marRight w:val="0"/>
          <w:marTop w:val="0"/>
          <w:marBottom w:val="0"/>
          <w:divBdr>
            <w:top w:val="none" w:sz="0" w:space="0" w:color="auto"/>
            <w:left w:val="none" w:sz="0" w:space="0" w:color="auto"/>
            <w:bottom w:val="none" w:sz="0" w:space="0" w:color="auto"/>
            <w:right w:val="none" w:sz="0" w:space="0" w:color="auto"/>
          </w:divBdr>
          <w:divsChild>
            <w:div w:id="391730842">
              <w:marLeft w:val="0"/>
              <w:marRight w:val="0"/>
              <w:marTop w:val="0"/>
              <w:marBottom w:val="0"/>
              <w:divBdr>
                <w:top w:val="none" w:sz="0" w:space="0" w:color="auto"/>
                <w:left w:val="none" w:sz="0" w:space="0" w:color="auto"/>
                <w:bottom w:val="none" w:sz="0" w:space="0" w:color="auto"/>
                <w:right w:val="none" w:sz="0" w:space="0" w:color="auto"/>
              </w:divBdr>
              <w:divsChild>
                <w:div w:id="1200242933">
                  <w:marLeft w:val="0"/>
                  <w:marRight w:val="0"/>
                  <w:marTop w:val="0"/>
                  <w:marBottom w:val="0"/>
                  <w:divBdr>
                    <w:top w:val="none" w:sz="0" w:space="0" w:color="auto"/>
                    <w:left w:val="none" w:sz="0" w:space="0" w:color="auto"/>
                    <w:bottom w:val="none" w:sz="0" w:space="0" w:color="auto"/>
                    <w:right w:val="none" w:sz="0" w:space="0" w:color="auto"/>
                  </w:divBdr>
                  <w:divsChild>
                    <w:div w:id="465048289">
                      <w:marLeft w:val="0"/>
                      <w:marRight w:val="0"/>
                      <w:marTop w:val="0"/>
                      <w:marBottom w:val="0"/>
                      <w:divBdr>
                        <w:top w:val="none" w:sz="0" w:space="0" w:color="auto"/>
                        <w:left w:val="none" w:sz="0" w:space="0" w:color="auto"/>
                        <w:bottom w:val="none" w:sz="0" w:space="0" w:color="auto"/>
                        <w:right w:val="none" w:sz="0" w:space="0" w:color="auto"/>
                      </w:divBdr>
                      <w:divsChild>
                        <w:div w:id="1520654099">
                          <w:marLeft w:val="0"/>
                          <w:marRight w:val="0"/>
                          <w:marTop w:val="0"/>
                          <w:marBottom w:val="0"/>
                          <w:divBdr>
                            <w:top w:val="none" w:sz="0" w:space="0" w:color="auto"/>
                            <w:left w:val="none" w:sz="0" w:space="0" w:color="auto"/>
                            <w:bottom w:val="none" w:sz="0" w:space="0" w:color="auto"/>
                            <w:right w:val="none" w:sz="0" w:space="0" w:color="auto"/>
                          </w:divBdr>
                          <w:divsChild>
                            <w:div w:id="574171788">
                              <w:marLeft w:val="150"/>
                              <w:marRight w:val="150"/>
                              <w:marTop w:val="480"/>
                              <w:marBottom w:val="0"/>
                              <w:divBdr>
                                <w:top w:val="single" w:sz="6" w:space="28" w:color="D4D4D4"/>
                                <w:left w:val="none" w:sz="0" w:space="0" w:color="auto"/>
                                <w:bottom w:val="none" w:sz="0" w:space="0" w:color="auto"/>
                                <w:right w:val="none" w:sz="0" w:space="0" w:color="auto"/>
                              </w:divBdr>
                            </w:div>
                            <w:div w:id="1620720599">
                              <w:marLeft w:val="0"/>
                              <w:marRight w:val="0"/>
                              <w:marTop w:val="400"/>
                              <w:marBottom w:val="0"/>
                              <w:divBdr>
                                <w:top w:val="none" w:sz="0" w:space="0" w:color="auto"/>
                                <w:left w:val="none" w:sz="0" w:space="0" w:color="auto"/>
                                <w:bottom w:val="none" w:sz="0" w:space="0" w:color="auto"/>
                                <w:right w:val="none" w:sz="0" w:space="0" w:color="auto"/>
                              </w:divBdr>
                            </w:div>
                            <w:div w:id="1354914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38994">
      <w:bodyDiv w:val="1"/>
      <w:marLeft w:val="0"/>
      <w:marRight w:val="0"/>
      <w:marTop w:val="0"/>
      <w:marBottom w:val="0"/>
      <w:divBdr>
        <w:top w:val="none" w:sz="0" w:space="0" w:color="auto"/>
        <w:left w:val="none" w:sz="0" w:space="0" w:color="auto"/>
        <w:bottom w:val="none" w:sz="0" w:space="0" w:color="auto"/>
        <w:right w:val="none" w:sz="0" w:space="0" w:color="auto"/>
      </w:divBdr>
      <w:divsChild>
        <w:div w:id="657148949">
          <w:marLeft w:val="547"/>
          <w:marRight w:val="0"/>
          <w:marTop w:val="134"/>
          <w:marBottom w:val="0"/>
          <w:divBdr>
            <w:top w:val="none" w:sz="0" w:space="0" w:color="auto"/>
            <w:left w:val="none" w:sz="0" w:space="0" w:color="auto"/>
            <w:bottom w:val="none" w:sz="0" w:space="0" w:color="auto"/>
            <w:right w:val="none" w:sz="0" w:space="0" w:color="auto"/>
          </w:divBdr>
        </w:div>
      </w:divsChild>
    </w:div>
    <w:div w:id="1867522193">
      <w:bodyDiv w:val="1"/>
      <w:marLeft w:val="0"/>
      <w:marRight w:val="0"/>
      <w:marTop w:val="0"/>
      <w:marBottom w:val="0"/>
      <w:divBdr>
        <w:top w:val="none" w:sz="0" w:space="0" w:color="auto"/>
        <w:left w:val="none" w:sz="0" w:space="0" w:color="auto"/>
        <w:bottom w:val="none" w:sz="0" w:space="0" w:color="auto"/>
        <w:right w:val="none" w:sz="0" w:space="0" w:color="auto"/>
      </w:divBdr>
    </w:div>
    <w:div w:id="1954287985">
      <w:bodyDiv w:val="1"/>
      <w:marLeft w:val="0"/>
      <w:marRight w:val="0"/>
      <w:marTop w:val="0"/>
      <w:marBottom w:val="0"/>
      <w:divBdr>
        <w:top w:val="none" w:sz="0" w:space="0" w:color="auto"/>
        <w:left w:val="none" w:sz="0" w:space="0" w:color="auto"/>
        <w:bottom w:val="none" w:sz="0" w:space="0" w:color="auto"/>
        <w:right w:val="none" w:sz="0" w:space="0" w:color="auto"/>
      </w:divBdr>
      <w:divsChild>
        <w:div w:id="55129668">
          <w:marLeft w:val="0"/>
          <w:marRight w:val="0"/>
          <w:marTop w:val="0"/>
          <w:marBottom w:val="0"/>
          <w:divBdr>
            <w:top w:val="none" w:sz="0" w:space="0" w:color="auto"/>
            <w:left w:val="none" w:sz="0" w:space="0" w:color="auto"/>
            <w:bottom w:val="none" w:sz="0" w:space="0" w:color="auto"/>
            <w:right w:val="none" w:sz="0" w:space="0" w:color="auto"/>
          </w:divBdr>
          <w:divsChild>
            <w:div w:id="774055982">
              <w:marLeft w:val="0"/>
              <w:marRight w:val="0"/>
              <w:marTop w:val="0"/>
              <w:marBottom w:val="0"/>
              <w:divBdr>
                <w:top w:val="none" w:sz="0" w:space="0" w:color="auto"/>
                <w:left w:val="none" w:sz="0" w:space="0" w:color="auto"/>
                <w:bottom w:val="none" w:sz="0" w:space="0" w:color="auto"/>
                <w:right w:val="none" w:sz="0" w:space="0" w:color="auto"/>
              </w:divBdr>
              <w:divsChild>
                <w:div w:id="755564802">
                  <w:marLeft w:val="0"/>
                  <w:marRight w:val="0"/>
                  <w:marTop w:val="0"/>
                  <w:marBottom w:val="0"/>
                  <w:divBdr>
                    <w:top w:val="none" w:sz="0" w:space="0" w:color="auto"/>
                    <w:left w:val="none" w:sz="0" w:space="0" w:color="auto"/>
                    <w:bottom w:val="none" w:sz="0" w:space="0" w:color="auto"/>
                    <w:right w:val="none" w:sz="0" w:space="0" w:color="auto"/>
                  </w:divBdr>
                  <w:divsChild>
                    <w:div w:id="320693326">
                      <w:marLeft w:val="0"/>
                      <w:marRight w:val="0"/>
                      <w:marTop w:val="0"/>
                      <w:marBottom w:val="0"/>
                      <w:divBdr>
                        <w:top w:val="none" w:sz="0" w:space="0" w:color="auto"/>
                        <w:left w:val="none" w:sz="0" w:space="0" w:color="auto"/>
                        <w:bottom w:val="none" w:sz="0" w:space="0" w:color="auto"/>
                        <w:right w:val="none" w:sz="0" w:space="0" w:color="auto"/>
                      </w:divBdr>
                      <w:divsChild>
                        <w:div w:id="836578631">
                          <w:marLeft w:val="0"/>
                          <w:marRight w:val="0"/>
                          <w:marTop w:val="0"/>
                          <w:marBottom w:val="0"/>
                          <w:divBdr>
                            <w:top w:val="none" w:sz="0" w:space="0" w:color="auto"/>
                            <w:left w:val="none" w:sz="0" w:space="0" w:color="auto"/>
                            <w:bottom w:val="none" w:sz="0" w:space="0" w:color="auto"/>
                            <w:right w:val="none" w:sz="0" w:space="0" w:color="auto"/>
                          </w:divBdr>
                          <w:divsChild>
                            <w:div w:id="1881356101">
                              <w:marLeft w:val="0"/>
                              <w:marRight w:val="0"/>
                              <w:marTop w:val="480"/>
                              <w:marBottom w:val="240"/>
                              <w:divBdr>
                                <w:top w:val="none" w:sz="0" w:space="0" w:color="auto"/>
                                <w:left w:val="none" w:sz="0" w:space="0" w:color="auto"/>
                                <w:bottom w:val="none" w:sz="0" w:space="0" w:color="auto"/>
                                <w:right w:val="none" w:sz="0" w:space="0" w:color="auto"/>
                              </w:divBdr>
                            </w:div>
                            <w:div w:id="16922169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da.Reinika@vmnvd.gov.lv" TargetMode="External"/><Relationship Id="rId4" Type="http://schemas.openxmlformats.org/officeDocument/2006/relationships/settings" Target="settings.xml"/><Relationship Id="rId9" Type="http://schemas.openxmlformats.org/officeDocument/2006/relationships/hyperlink" Target="mailto:Vesma.Skudra@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D99C3-2C79-4A67-B8E1-D85961A5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25864</Words>
  <Characters>14743</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Veselības ministrija</Company>
  <LinksUpToDate>false</LinksUpToDate>
  <CharactersWithSpaces>40526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Leonora Eglīte</dc:creator>
  <dc:description>tel.67876091
Leonora.Eglite@vm.gov.lv
Leonora.Eglite@vm.gov.lv</dc:description>
  <cp:lastModifiedBy>leglite</cp:lastModifiedBy>
  <cp:revision>12</cp:revision>
  <cp:lastPrinted>2015-05-26T07:06:00Z</cp:lastPrinted>
  <dcterms:created xsi:type="dcterms:W3CDTF">2015-12-18T07:27:00Z</dcterms:created>
  <dcterms:modified xsi:type="dcterms:W3CDTF">2015-12-18T09:25:00Z</dcterms:modified>
</cp:coreProperties>
</file>