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34" w:rsidRDefault="00F13D2D" w:rsidP="00F21096">
      <w:pPr>
        <w:spacing w:after="0" w:line="240" w:lineRule="auto"/>
        <w:jc w:val="center"/>
        <w:rPr>
          <w:rFonts w:ascii="Times New Roman" w:eastAsia="Times New Roman" w:hAnsi="Times New Roman" w:cs="Times New Roman"/>
          <w:b/>
          <w:sz w:val="28"/>
          <w:szCs w:val="28"/>
          <w:lang w:val="lv-LV" w:eastAsia="lv-LV"/>
        </w:rPr>
      </w:pPr>
      <w:r w:rsidRPr="00F13D2D">
        <w:rPr>
          <w:rFonts w:ascii="Times New Roman" w:eastAsia="Times New Roman" w:hAnsi="Times New Roman" w:cs="Times New Roman"/>
          <w:b/>
          <w:sz w:val="28"/>
          <w:szCs w:val="28"/>
          <w:lang w:val="lv-LV" w:eastAsia="lv-LV"/>
        </w:rPr>
        <w:t>Ministru kabineta noteikumu projekta</w:t>
      </w:r>
    </w:p>
    <w:p w:rsidR="005021D8" w:rsidRDefault="005021D8" w:rsidP="00F21096">
      <w:pPr>
        <w:spacing w:after="0" w:line="240" w:lineRule="auto"/>
        <w:jc w:val="center"/>
        <w:rPr>
          <w:rFonts w:ascii="Times New Roman" w:eastAsia="Times New Roman" w:hAnsi="Times New Roman" w:cs="Times New Roman"/>
          <w:b/>
          <w:sz w:val="28"/>
          <w:szCs w:val="28"/>
          <w:lang w:val="lv-LV" w:eastAsia="lv-LV"/>
        </w:rPr>
      </w:pPr>
      <w:r>
        <w:rPr>
          <w:rFonts w:ascii="Times New Roman" w:eastAsia="Times New Roman" w:hAnsi="Times New Roman" w:cs="Times New Roman"/>
          <w:b/>
          <w:sz w:val="28"/>
          <w:szCs w:val="28"/>
          <w:lang w:val="lv-LV" w:eastAsia="lv-LV"/>
        </w:rPr>
        <w:t>„Grozījum</w:t>
      </w:r>
      <w:r w:rsidR="009F3824">
        <w:rPr>
          <w:rFonts w:ascii="Times New Roman" w:eastAsia="Times New Roman" w:hAnsi="Times New Roman" w:cs="Times New Roman"/>
          <w:b/>
          <w:sz w:val="28"/>
          <w:szCs w:val="28"/>
          <w:lang w:val="lv-LV" w:eastAsia="lv-LV"/>
        </w:rPr>
        <w:t>i</w:t>
      </w:r>
      <w:r>
        <w:rPr>
          <w:rFonts w:ascii="Times New Roman" w:eastAsia="Times New Roman" w:hAnsi="Times New Roman" w:cs="Times New Roman"/>
          <w:b/>
          <w:sz w:val="28"/>
          <w:szCs w:val="28"/>
          <w:lang w:val="lv-LV" w:eastAsia="lv-LV"/>
        </w:rPr>
        <w:t xml:space="preserve"> Ministru kabineta 2010.gada 5.oktobra noteikumos Nr.947 „Karavīru un zemessargu militārās disciplīnas reglaments””</w:t>
      </w:r>
    </w:p>
    <w:p w:rsidR="000D1234" w:rsidRDefault="00F13D2D" w:rsidP="00800034">
      <w:pPr>
        <w:spacing w:after="0" w:line="240" w:lineRule="auto"/>
        <w:jc w:val="center"/>
        <w:rPr>
          <w:rFonts w:ascii="Times New Roman" w:eastAsia="Times New Roman" w:hAnsi="Times New Roman" w:cs="Times New Roman"/>
          <w:b/>
          <w:sz w:val="28"/>
          <w:szCs w:val="28"/>
          <w:lang w:val="lv-LV" w:eastAsia="lv-LV"/>
        </w:rPr>
      </w:pPr>
      <w:r w:rsidRPr="00F13D2D">
        <w:rPr>
          <w:rFonts w:ascii="Times New Roman" w:eastAsia="Times New Roman" w:hAnsi="Times New Roman" w:cs="Times New Roman"/>
          <w:b/>
          <w:sz w:val="28"/>
          <w:szCs w:val="28"/>
          <w:lang w:val="lv-LV" w:eastAsia="lv-LV"/>
        </w:rPr>
        <w:t xml:space="preserve">sākotnējās ietekmes novērtējuma </w:t>
      </w:r>
      <w:smartTag w:uri="schemas-tilde-lv/tildestengine" w:element="veidnes">
        <w:smartTagPr>
          <w:attr w:name="text" w:val="ziņojums"/>
          <w:attr w:name="id" w:val="-1"/>
          <w:attr w:name="baseform" w:val="ziņojum|s"/>
        </w:smartTagPr>
        <w:r w:rsidRPr="00F13D2D">
          <w:rPr>
            <w:rFonts w:ascii="Times New Roman" w:eastAsia="Times New Roman" w:hAnsi="Times New Roman" w:cs="Times New Roman"/>
            <w:b/>
            <w:sz w:val="28"/>
            <w:szCs w:val="28"/>
            <w:lang w:val="lv-LV" w:eastAsia="lv-LV"/>
          </w:rPr>
          <w:t>ziņojums</w:t>
        </w:r>
      </w:smartTag>
      <w:r w:rsidRPr="00F13D2D">
        <w:rPr>
          <w:rFonts w:ascii="Times New Roman" w:eastAsia="Times New Roman" w:hAnsi="Times New Roman" w:cs="Times New Roman"/>
          <w:b/>
          <w:sz w:val="28"/>
          <w:szCs w:val="28"/>
          <w:lang w:val="lv-LV" w:eastAsia="lv-LV"/>
        </w:rPr>
        <w:t xml:space="preserve"> (anotācija)</w:t>
      </w:r>
    </w:p>
    <w:p w:rsidR="000D1234" w:rsidRPr="000D1234" w:rsidRDefault="000D1234" w:rsidP="000D1234">
      <w:pPr>
        <w:spacing w:after="0" w:line="240" w:lineRule="auto"/>
        <w:jc w:val="center"/>
        <w:rPr>
          <w:rFonts w:ascii="Times New Roman" w:eastAsia="Times New Roman" w:hAnsi="Times New Roman" w:cs="Times New Roman"/>
          <w:b/>
          <w:sz w:val="28"/>
          <w:szCs w:val="28"/>
          <w:lang w:val="lv-LV" w:eastAsia="lv-LV"/>
        </w:rPr>
      </w:pPr>
    </w:p>
    <w:tbl>
      <w:tblPr>
        <w:tblStyle w:val="TableGrid"/>
        <w:tblW w:w="0" w:type="auto"/>
        <w:tblLook w:val="0000" w:firstRow="0" w:lastRow="0" w:firstColumn="0" w:lastColumn="0" w:noHBand="0" w:noVBand="0"/>
      </w:tblPr>
      <w:tblGrid>
        <w:gridCol w:w="528"/>
        <w:gridCol w:w="2982"/>
        <w:gridCol w:w="6096"/>
      </w:tblGrid>
      <w:tr w:rsidR="000D1234" w:rsidRPr="000D1234" w:rsidTr="000740A3">
        <w:tc>
          <w:tcPr>
            <w:tcW w:w="9606" w:type="dxa"/>
            <w:gridSpan w:val="3"/>
          </w:tcPr>
          <w:p w:rsidR="000D1234" w:rsidRPr="000D1234" w:rsidRDefault="000D1234" w:rsidP="000D1234">
            <w:pPr>
              <w:spacing w:before="20" w:after="20"/>
              <w:jc w:val="center"/>
              <w:rPr>
                <w:sz w:val="28"/>
                <w:szCs w:val="28"/>
              </w:rPr>
            </w:pPr>
            <w:r w:rsidRPr="000D1234">
              <w:rPr>
                <w:b/>
                <w:bCs/>
                <w:sz w:val="28"/>
                <w:szCs w:val="28"/>
              </w:rPr>
              <w:t> I. Tiesību akta projekta izstrādes nepieciešamība</w:t>
            </w:r>
          </w:p>
        </w:tc>
      </w:tr>
      <w:tr w:rsidR="000D1234" w:rsidRPr="002B026B" w:rsidTr="000740A3">
        <w:trPr>
          <w:trHeight w:val="464"/>
        </w:trPr>
        <w:tc>
          <w:tcPr>
            <w:tcW w:w="528" w:type="dxa"/>
          </w:tcPr>
          <w:p w:rsidR="000D1234" w:rsidRPr="000D1234" w:rsidRDefault="000D1234" w:rsidP="000D1234">
            <w:pPr>
              <w:spacing w:before="20" w:after="20"/>
              <w:jc w:val="center"/>
              <w:rPr>
                <w:sz w:val="28"/>
                <w:szCs w:val="28"/>
              </w:rPr>
            </w:pPr>
            <w:r w:rsidRPr="000D1234">
              <w:rPr>
                <w:sz w:val="28"/>
                <w:szCs w:val="28"/>
              </w:rPr>
              <w:t>1.</w:t>
            </w:r>
          </w:p>
        </w:tc>
        <w:tc>
          <w:tcPr>
            <w:tcW w:w="2982" w:type="dxa"/>
          </w:tcPr>
          <w:p w:rsidR="000D1234" w:rsidRPr="000D1234" w:rsidRDefault="000D1234" w:rsidP="000D1234">
            <w:pPr>
              <w:spacing w:before="20" w:after="20"/>
              <w:rPr>
                <w:sz w:val="28"/>
                <w:szCs w:val="28"/>
              </w:rPr>
            </w:pPr>
            <w:r w:rsidRPr="000D1234">
              <w:rPr>
                <w:sz w:val="28"/>
                <w:szCs w:val="28"/>
              </w:rPr>
              <w:t>Pamatojums</w:t>
            </w:r>
          </w:p>
        </w:tc>
        <w:tc>
          <w:tcPr>
            <w:tcW w:w="6096" w:type="dxa"/>
          </w:tcPr>
          <w:p w:rsidR="000D1234" w:rsidRPr="00BE65F1" w:rsidRDefault="00800034" w:rsidP="00127583">
            <w:pPr>
              <w:spacing w:before="20" w:after="20"/>
              <w:jc w:val="both"/>
              <w:rPr>
                <w:bCs/>
                <w:sz w:val="28"/>
                <w:szCs w:val="28"/>
                <w:lang w:eastAsia="en-US"/>
              </w:rPr>
            </w:pPr>
            <w:r w:rsidRPr="00AF2C4C">
              <w:rPr>
                <w:bCs/>
                <w:color w:val="000000" w:themeColor="text1"/>
                <w:sz w:val="28"/>
                <w:szCs w:val="28"/>
                <w:lang w:eastAsia="en-US"/>
              </w:rPr>
              <w:t>Ministru</w:t>
            </w:r>
            <w:r w:rsidRPr="005021D8">
              <w:rPr>
                <w:bCs/>
                <w:color w:val="FF0000"/>
                <w:sz w:val="28"/>
                <w:szCs w:val="28"/>
                <w:lang w:eastAsia="en-US"/>
              </w:rPr>
              <w:t xml:space="preserve"> </w:t>
            </w:r>
            <w:r>
              <w:rPr>
                <w:bCs/>
                <w:sz w:val="28"/>
                <w:szCs w:val="28"/>
                <w:lang w:eastAsia="en-US"/>
              </w:rPr>
              <w:t xml:space="preserve">kabineta noteikumu projekts </w:t>
            </w:r>
            <w:r w:rsidRPr="00AF2C4C">
              <w:rPr>
                <w:bCs/>
                <w:sz w:val="28"/>
                <w:szCs w:val="28"/>
                <w:lang w:eastAsia="en-US"/>
              </w:rPr>
              <w:t>„</w:t>
            </w:r>
            <w:r w:rsidR="009F3824">
              <w:rPr>
                <w:sz w:val="28"/>
                <w:szCs w:val="28"/>
              </w:rPr>
              <w:t>Grozījumi</w:t>
            </w:r>
            <w:r w:rsidR="00AF2C4C" w:rsidRPr="00AF2C4C">
              <w:rPr>
                <w:sz w:val="28"/>
                <w:szCs w:val="28"/>
              </w:rPr>
              <w:t xml:space="preserve"> Ministru kabineta 2010.gada 5.oktobra noteikumos Nr.947 „Karavīru un zemessargu militārās disciplīnas reglaments</w:t>
            </w:r>
            <w:r w:rsidR="000D1234" w:rsidRPr="00AF2C4C">
              <w:rPr>
                <w:bCs/>
                <w:sz w:val="28"/>
                <w:szCs w:val="28"/>
                <w:lang w:eastAsia="en-US"/>
              </w:rPr>
              <w:t>”</w:t>
            </w:r>
            <w:r w:rsidRPr="00AF2C4C">
              <w:rPr>
                <w:bCs/>
                <w:sz w:val="28"/>
                <w:szCs w:val="28"/>
                <w:lang w:eastAsia="en-US"/>
              </w:rPr>
              <w:t>”</w:t>
            </w:r>
            <w:r>
              <w:rPr>
                <w:bCs/>
                <w:sz w:val="28"/>
                <w:szCs w:val="28"/>
                <w:lang w:eastAsia="en-US"/>
              </w:rPr>
              <w:t xml:space="preserve"> izstrādāts</w:t>
            </w:r>
            <w:r w:rsidR="000D1234" w:rsidRPr="000D1234">
              <w:rPr>
                <w:bCs/>
                <w:sz w:val="28"/>
                <w:szCs w:val="28"/>
                <w:lang w:eastAsia="en-US"/>
              </w:rPr>
              <w:t xml:space="preserve">, </w:t>
            </w:r>
            <w:r w:rsidR="00BE65F1">
              <w:rPr>
                <w:bCs/>
                <w:sz w:val="28"/>
                <w:szCs w:val="28"/>
                <w:lang w:eastAsia="en-US"/>
              </w:rPr>
              <w:t xml:space="preserve">lai izslēgtu </w:t>
            </w:r>
            <w:r w:rsidR="00127583">
              <w:rPr>
                <w:bCs/>
                <w:sz w:val="28"/>
                <w:szCs w:val="28"/>
                <w:lang w:eastAsia="en-US"/>
              </w:rPr>
              <w:t xml:space="preserve">115.punktu </w:t>
            </w:r>
            <w:r w:rsidR="007113DB">
              <w:rPr>
                <w:bCs/>
                <w:sz w:val="28"/>
                <w:szCs w:val="28"/>
                <w:lang w:eastAsia="en-US"/>
              </w:rPr>
              <w:t>un noteiktu vienotu regulējumu par disciplinārsoda uzlikšanas termiņiem.</w:t>
            </w:r>
          </w:p>
        </w:tc>
      </w:tr>
      <w:tr w:rsidR="000D1234" w:rsidRPr="002B026B" w:rsidTr="008829E9">
        <w:trPr>
          <w:trHeight w:val="699"/>
        </w:trPr>
        <w:tc>
          <w:tcPr>
            <w:tcW w:w="528" w:type="dxa"/>
          </w:tcPr>
          <w:p w:rsidR="000D1234" w:rsidRPr="000D1234" w:rsidRDefault="000D1234" w:rsidP="000D1234">
            <w:pPr>
              <w:spacing w:before="20" w:after="20"/>
              <w:jc w:val="center"/>
              <w:rPr>
                <w:sz w:val="28"/>
                <w:szCs w:val="28"/>
              </w:rPr>
            </w:pPr>
            <w:r w:rsidRPr="000D1234">
              <w:rPr>
                <w:sz w:val="28"/>
                <w:szCs w:val="28"/>
              </w:rPr>
              <w:t>2.</w:t>
            </w:r>
          </w:p>
        </w:tc>
        <w:tc>
          <w:tcPr>
            <w:tcW w:w="2982" w:type="dxa"/>
          </w:tcPr>
          <w:p w:rsidR="000D1234" w:rsidRPr="000D1234" w:rsidRDefault="000D1234" w:rsidP="000D1234">
            <w:pPr>
              <w:spacing w:before="20" w:after="20"/>
              <w:rPr>
                <w:sz w:val="28"/>
                <w:szCs w:val="28"/>
              </w:rPr>
            </w:pPr>
            <w:r w:rsidRPr="000D1234">
              <w:rPr>
                <w:sz w:val="28"/>
                <w:szCs w:val="28"/>
              </w:rPr>
              <w:t>Pašreizējā situācija un problēmas, kuru risināšanai tiesību akta projekts izstrādāts, tiesiskā regulējuma mērķis un būtība</w:t>
            </w:r>
          </w:p>
        </w:tc>
        <w:tc>
          <w:tcPr>
            <w:tcW w:w="6096" w:type="dxa"/>
          </w:tcPr>
          <w:p w:rsidR="003B7D67" w:rsidRPr="00E61D0A" w:rsidRDefault="00B00AED" w:rsidP="0008679B">
            <w:pPr>
              <w:jc w:val="both"/>
              <w:rPr>
                <w:i/>
                <w:iCs/>
                <w:sz w:val="28"/>
                <w:szCs w:val="28"/>
              </w:rPr>
            </w:pPr>
            <w:r>
              <w:rPr>
                <w:iCs/>
                <w:sz w:val="28"/>
                <w:szCs w:val="28"/>
              </w:rPr>
              <w:t xml:space="preserve">Ministru kabineta 2010.gada 5.oktobra noteikumu Nr.947 </w:t>
            </w:r>
            <w:r w:rsidR="006F4131">
              <w:rPr>
                <w:iCs/>
                <w:sz w:val="28"/>
                <w:szCs w:val="28"/>
              </w:rPr>
              <w:t xml:space="preserve">„Karavīru un zemessargu militārās disciplīnas reglaments” (turpmāk – MK noteikumi Nr.947) </w:t>
            </w:r>
            <w:r>
              <w:rPr>
                <w:iCs/>
                <w:sz w:val="28"/>
                <w:szCs w:val="28"/>
              </w:rPr>
              <w:t xml:space="preserve">115.punkts paredz, ka karavīra vai zemessarga personas lietā un automatizētajā personālsastāva uzskaites sistēmā izdara ierakstu arī par karavīram vai zemessargam uzliktajiem administratīvajiem sodiem. </w:t>
            </w:r>
            <w:r w:rsidR="005A2843">
              <w:rPr>
                <w:iCs/>
                <w:sz w:val="28"/>
                <w:szCs w:val="28"/>
              </w:rPr>
              <w:t>A</w:t>
            </w:r>
            <w:r w:rsidR="003E0ADA">
              <w:rPr>
                <w:iCs/>
                <w:sz w:val="28"/>
                <w:szCs w:val="28"/>
              </w:rPr>
              <w:t>utomatizētajā personālsastāva uzskaites sistēmā nepieciešamās informācijas ievadīšana manuāli par administratīvajiem sodiem, to atjaunošana, kontrole un uzturēšana ir darbietilpīgs process, kā arī nelietderīga vienību personāla speciālistu “darba laika” izmantošana veicot dublējošu darbu. Informācija par administratīvajiem sodiem ir pieejama Sodu reģistrā, kas ir informācijas sistēma, kuras pārzinis un turētājs ir Iekšlietu ministrijas Informācijas centrs un</w:t>
            </w:r>
            <w:r w:rsidR="00127583">
              <w:rPr>
                <w:iCs/>
                <w:sz w:val="28"/>
                <w:szCs w:val="28"/>
              </w:rPr>
              <w:t>,</w:t>
            </w:r>
            <w:r w:rsidR="005A2843">
              <w:rPr>
                <w:iCs/>
                <w:sz w:val="28"/>
                <w:szCs w:val="28"/>
              </w:rPr>
              <w:t xml:space="preserve"> Nacionālie bruņotie spēki</w:t>
            </w:r>
            <w:r w:rsidR="003E0ADA">
              <w:rPr>
                <w:iCs/>
                <w:sz w:val="28"/>
                <w:szCs w:val="28"/>
              </w:rPr>
              <w:t xml:space="preserve">, izskatot lietu par disciplinārsodiem, lai konstatētu disciplināratbildības pastiprinošos apstākļus </w:t>
            </w:r>
            <w:r w:rsidR="003E0ADA" w:rsidRPr="005A2843">
              <w:rPr>
                <w:iCs/>
                <w:sz w:val="28"/>
                <w:szCs w:val="28"/>
              </w:rPr>
              <w:t xml:space="preserve">(MK noteikumu Nr.947 25.2.apakšpunktā noteiktie apstākļi – ir bijis jau administratīvi sodīts), </w:t>
            </w:r>
            <w:r w:rsidR="003E0ADA">
              <w:rPr>
                <w:iCs/>
                <w:sz w:val="28"/>
                <w:szCs w:val="28"/>
              </w:rPr>
              <w:t xml:space="preserve">kas, savukārt, var ietekmēt komandiera lēmumu saistībā ar militārās disciplīnas pārkāpumu izskatīšanu, pamatojoties uz Sodu reģistra likuma 19.panta pirmās daļas 4.punktu, pieprasa un saņem ziņas normatīvajos aktos noteiktajā apjomā un </w:t>
            </w:r>
            <w:r w:rsidR="001445A9">
              <w:rPr>
                <w:iCs/>
                <w:sz w:val="28"/>
                <w:szCs w:val="28"/>
              </w:rPr>
              <w:t>paredzētajie</w:t>
            </w:r>
            <w:r w:rsidR="003E0ADA">
              <w:rPr>
                <w:iCs/>
                <w:sz w:val="28"/>
                <w:szCs w:val="28"/>
              </w:rPr>
              <w:t>m mērķi</w:t>
            </w:r>
            <w:r w:rsidR="004B1ABD">
              <w:rPr>
                <w:iCs/>
                <w:sz w:val="28"/>
                <w:szCs w:val="28"/>
              </w:rPr>
              <w:t>e</w:t>
            </w:r>
            <w:r w:rsidR="003E0ADA">
              <w:rPr>
                <w:iCs/>
                <w:sz w:val="28"/>
                <w:szCs w:val="28"/>
              </w:rPr>
              <w:t xml:space="preserve">m. Lai saņemtu no Sodu </w:t>
            </w:r>
            <w:r w:rsidR="003E0ADA">
              <w:rPr>
                <w:iCs/>
                <w:sz w:val="28"/>
                <w:szCs w:val="28"/>
              </w:rPr>
              <w:lastRenderedPageBreak/>
              <w:t>reģistra izziņu par administratīvajiem sodiem, Nacionālie bruņotie spēki sagatavo rakstisku pieprasījumu, saskaņā ar Ministru kabineta 2014.gada 23.septembra</w:t>
            </w:r>
            <w:r w:rsidR="002B54B7">
              <w:rPr>
                <w:iCs/>
                <w:sz w:val="28"/>
                <w:szCs w:val="28"/>
              </w:rPr>
              <w:t xml:space="preserve"> noteikumu Nr.563 “Noteikumi par ziņu sniegšanu un saņemšanu no Sodu reģistra, valsts nodevas apmēru un izziņas noformēšanas</w:t>
            </w:r>
            <w:r w:rsidR="004B1ABD">
              <w:rPr>
                <w:iCs/>
                <w:sz w:val="28"/>
                <w:szCs w:val="28"/>
              </w:rPr>
              <w:t xml:space="preserve"> prasībām</w:t>
            </w:r>
            <w:r w:rsidR="001D0FD8">
              <w:rPr>
                <w:iCs/>
                <w:sz w:val="28"/>
                <w:szCs w:val="28"/>
              </w:rPr>
              <w:t>” 26.punktā</w:t>
            </w:r>
            <w:r w:rsidR="002B54B7">
              <w:rPr>
                <w:iCs/>
                <w:sz w:val="28"/>
                <w:szCs w:val="28"/>
              </w:rPr>
              <w:t xml:space="preserve"> </w:t>
            </w:r>
            <w:r w:rsidR="004B1ABD">
              <w:rPr>
                <w:iCs/>
                <w:sz w:val="28"/>
                <w:szCs w:val="28"/>
              </w:rPr>
              <w:t xml:space="preserve">noteikto. </w:t>
            </w:r>
            <w:r w:rsidR="002B54B7">
              <w:rPr>
                <w:iCs/>
                <w:sz w:val="28"/>
                <w:szCs w:val="28"/>
              </w:rPr>
              <w:t>Nacionālie bruņotie spēki rakstisko pieprasījumu veic gadījumā, ja nav noslēgta starpresoru vienošanās par datu pārraidi tiešsaistes režīmā ar Sodu reģistru, lai saņemtu Sodu reģistrā iekļautās ziņas, saskaņā ar Sodu reģistra likuma 21.panta pirmās daļas 1.punktu un saskaņā ar Ministru kabineta 2014.gada 23.septembra noteikumu Nr.563 “Noteikumi par ziņu sniegšanu un saņemšanu no Sodu reģistra, valsts nodevas apmēru un i</w:t>
            </w:r>
            <w:r w:rsidR="004B1ABD">
              <w:rPr>
                <w:iCs/>
                <w:sz w:val="28"/>
                <w:szCs w:val="28"/>
              </w:rPr>
              <w:t>zziņas noformēšanas prasībām” 3</w:t>
            </w:r>
            <w:r w:rsidR="002B54B7">
              <w:rPr>
                <w:iCs/>
                <w:sz w:val="28"/>
                <w:szCs w:val="28"/>
              </w:rPr>
              <w:t xml:space="preserve">.punktu. </w:t>
            </w:r>
            <w:r w:rsidR="00E61D0A">
              <w:rPr>
                <w:iCs/>
                <w:sz w:val="28"/>
                <w:szCs w:val="28"/>
              </w:rPr>
              <w:t xml:space="preserve">Gadījumā, ja karavīrs vai zemessargs neziņo, saskaņā ar Aizsardzības ministrijas 2012.gada 3.augusta noteikumu Nr.21-NOT “Militārā dienesta iekārtas reglaments” 21.punktu </w:t>
            </w:r>
            <w:r w:rsidR="005A2843" w:rsidRPr="005A2843">
              <w:rPr>
                <w:iCs/>
                <w:sz w:val="28"/>
                <w:szCs w:val="28"/>
              </w:rPr>
              <w:t>p</w:t>
            </w:r>
            <w:r w:rsidR="00E61D0A" w:rsidRPr="005A2843">
              <w:rPr>
                <w:iCs/>
                <w:sz w:val="28"/>
                <w:szCs w:val="28"/>
              </w:rPr>
              <w:t xml:space="preserve">ar visu, </w:t>
            </w:r>
            <w:r w:rsidR="00127583">
              <w:rPr>
                <w:iCs/>
                <w:sz w:val="28"/>
                <w:szCs w:val="28"/>
              </w:rPr>
              <w:t>kas varētu kaitēt valstij un Nacionālie</w:t>
            </w:r>
            <w:r w:rsidR="008F42D6">
              <w:rPr>
                <w:iCs/>
                <w:sz w:val="28"/>
                <w:szCs w:val="28"/>
              </w:rPr>
              <w:t>m bruņotajiem</w:t>
            </w:r>
            <w:r w:rsidR="00127583">
              <w:rPr>
                <w:iCs/>
                <w:sz w:val="28"/>
                <w:szCs w:val="28"/>
              </w:rPr>
              <w:t xml:space="preserve"> spēki</w:t>
            </w:r>
            <w:r w:rsidR="008F42D6">
              <w:rPr>
                <w:iCs/>
                <w:sz w:val="28"/>
                <w:szCs w:val="28"/>
              </w:rPr>
              <w:t>em</w:t>
            </w:r>
            <w:r w:rsidR="00E61D0A" w:rsidRPr="005A2843">
              <w:rPr>
                <w:iCs/>
                <w:sz w:val="28"/>
                <w:szCs w:val="28"/>
              </w:rPr>
              <w:t>, ārkārtas notikumiem, priekšnieku un vecāko (Reglamenta 39.un 40.punkts) pavēlēm vai aizrādījumiem, militārās disciplīnas, administr</w:t>
            </w:r>
            <w:r w:rsidR="005A2843" w:rsidRPr="005A2843">
              <w:rPr>
                <w:iCs/>
                <w:sz w:val="28"/>
                <w:szCs w:val="28"/>
              </w:rPr>
              <w:t>atīvajiem un citiem pārkāpumiem</w:t>
            </w:r>
            <w:r w:rsidR="00E61D0A" w:rsidRPr="005A2843">
              <w:rPr>
                <w:iCs/>
                <w:sz w:val="28"/>
                <w:szCs w:val="28"/>
              </w:rPr>
              <w:t>,</w:t>
            </w:r>
            <w:r w:rsidR="00E61D0A">
              <w:rPr>
                <w:i/>
                <w:iCs/>
                <w:sz w:val="28"/>
                <w:szCs w:val="28"/>
              </w:rPr>
              <w:t xml:space="preserve"> </w:t>
            </w:r>
            <w:r w:rsidR="00E61D0A">
              <w:rPr>
                <w:iCs/>
                <w:sz w:val="28"/>
                <w:szCs w:val="28"/>
              </w:rPr>
              <w:t>informāciju Nacionālie bruņotie spēki pieprasa rakstiski.</w:t>
            </w:r>
            <w:r w:rsidR="00E61D0A">
              <w:rPr>
                <w:i/>
                <w:iCs/>
                <w:sz w:val="28"/>
                <w:szCs w:val="28"/>
              </w:rPr>
              <w:t xml:space="preserve"> </w:t>
            </w:r>
            <w:r w:rsidR="00CA706F">
              <w:rPr>
                <w:iCs/>
                <w:sz w:val="28"/>
                <w:szCs w:val="28"/>
              </w:rPr>
              <w:t xml:space="preserve">Tādējādi </w:t>
            </w:r>
            <w:r w:rsidR="005A2843">
              <w:rPr>
                <w:iCs/>
                <w:sz w:val="28"/>
                <w:szCs w:val="28"/>
              </w:rPr>
              <w:t>MK noteikumu</w:t>
            </w:r>
            <w:r w:rsidR="00E61D0A">
              <w:rPr>
                <w:iCs/>
                <w:sz w:val="28"/>
                <w:szCs w:val="28"/>
              </w:rPr>
              <w:t xml:space="preserve"> Nr.947 </w:t>
            </w:r>
            <w:r w:rsidR="00CA706F">
              <w:rPr>
                <w:iCs/>
                <w:sz w:val="28"/>
                <w:szCs w:val="28"/>
              </w:rPr>
              <w:t>115.punkts izslēdzams no MK noteikumiem Nr.947.</w:t>
            </w:r>
          </w:p>
          <w:p w:rsidR="0024483A" w:rsidRPr="003D503E" w:rsidRDefault="00097E84" w:rsidP="006D1A4F">
            <w:pPr>
              <w:jc w:val="both"/>
              <w:rPr>
                <w:color w:val="000000" w:themeColor="text1"/>
                <w:sz w:val="28"/>
                <w:szCs w:val="28"/>
                <w:lang w:eastAsia="zh-TW"/>
              </w:rPr>
            </w:pPr>
            <w:r>
              <w:rPr>
                <w:iCs/>
                <w:sz w:val="28"/>
                <w:szCs w:val="28"/>
              </w:rPr>
              <w:t xml:space="preserve">2015.gada 20.janvārī stājās spēkā </w:t>
            </w:r>
            <w:r w:rsidR="00950DE7" w:rsidRPr="00097E84">
              <w:rPr>
                <w:color w:val="000000" w:themeColor="text1"/>
                <w:sz w:val="28"/>
                <w:szCs w:val="28"/>
              </w:rPr>
              <w:t>Administratīvā</w:t>
            </w:r>
            <w:r>
              <w:rPr>
                <w:color w:val="000000" w:themeColor="text1"/>
                <w:sz w:val="28"/>
                <w:szCs w:val="28"/>
              </w:rPr>
              <w:t>s</w:t>
            </w:r>
            <w:r w:rsidR="00950DE7" w:rsidRPr="00097E84">
              <w:rPr>
                <w:color w:val="000000" w:themeColor="text1"/>
                <w:sz w:val="28"/>
                <w:szCs w:val="28"/>
              </w:rPr>
              <w:t xml:space="preserve"> apgabaltiesa</w:t>
            </w:r>
            <w:r>
              <w:rPr>
                <w:color w:val="000000" w:themeColor="text1"/>
                <w:sz w:val="28"/>
                <w:szCs w:val="28"/>
              </w:rPr>
              <w:t>s</w:t>
            </w:r>
            <w:r w:rsidR="00950DE7" w:rsidRPr="00097E84">
              <w:rPr>
                <w:color w:val="000000" w:themeColor="text1"/>
                <w:sz w:val="28"/>
                <w:szCs w:val="28"/>
              </w:rPr>
              <w:t xml:space="preserve"> </w:t>
            </w:r>
            <w:r>
              <w:rPr>
                <w:color w:val="000000" w:themeColor="text1"/>
                <w:sz w:val="28"/>
                <w:szCs w:val="28"/>
                <w:lang w:eastAsia="zh-TW"/>
              </w:rPr>
              <w:t>2014.gada 15.maija spriedums</w:t>
            </w:r>
            <w:r w:rsidR="00950DE7" w:rsidRPr="003F54AD">
              <w:rPr>
                <w:color w:val="000000" w:themeColor="text1"/>
                <w:sz w:val="28"/>
                <w:szCs w:val="28"/>
                <w:lang w:eastAsia="zh-TW"/>
              </w:rPr>
              <w:t xml:space="preserve"> Lietā Nr.A420325113</w:t>
            </w:r>
            <w:r>
              <w:rPr>
                <w:color w:val="000000" w:themeColor="text1"/>
                <w:sz w:val="28"/>
                <w:szCs w:val="28"/>
                <w:lang w:eastAsia="zh-TW"/>
              </w:rPr>
              <w:t xml:space="preserve"> (turpmāk – spriedums), kas atstāts spēkā ar Augstākās tiesas </w:t>
            </w:r>
            <w:r w:rsidRPr="003F54AD">
              <w:rPr>
                <w:color w:val="000000" w:themeColor="text1"/>
                <w:sz w:val="28"/>
                <w:szCs w:val="28"/>
                <w:lang w:eastAsia="zh-TW"/>
              </w:rPr>
              <w:t>2015.gada 20.janvāra rīcības sēdes lēmumu</w:t>
            </w:r>
            <w:r w:rsidR="00FD2BDB">
              <w:rPr>
                <w:color w:val="000000" w:themeColor="text1"/>
                <w:sz w:val="28"/>
                <w:szCs w:val="28"/>
                <w:lang w:eastAsia="zh-TW"/>
              </w:rPr>
              <w:t xml:space="preserve">. </w:t>
            </w:r>
            <w:r w:rsidR="008829E9">
              <w:rPr>
                <w:color w:val="000000" w:themeColor="text1"/>
                <w:sz w:val="28"/>
                <w:szCs w:val="28"/>
                <w:lang w:eastAsia="zh-TW"/>
              </w:rPr>
              <w:t xml:space="preserve">Spriedumā Administratīvā apgabaltiesa konstatēja nepilnības MK noteikumos Nr. 947. </w:t>
            </w:r>
            <w:r w:rsidR="00DB019C">
              <w:rPr>
                <w:color w:val="000000" w:themeColor="text1"/>
                <w:sz w:val="28"/>
                <w:szCs w:val="28"/>
                <w:lang w:eastAsia="zh-TW"/>
              </w:rPr>
              <w:t>Līdz ar to, l</w:t>
            </w:r>
            <w:r w:rsidR="00B711E4" w:rsidRPr="003F54AD">
              <w:rPr>
                <w:color w:val="000000" w:themeColor="text1"/>
                <w:sz w:val="28"/>
                <w:szCs w:val="28"/>
                <w:lang w:eastAsia="zh-TW"/>
              </w:rPr>
              <w:t xml:space="preserve">ai izvairītos no dažādas MK noteikumu Nr.947 74.punkta un Administratīvā procesa likuma 64.panta interpretācijas, </w:t>
            </w:r>
            <w:r w:rsidR="00B711E4" w:rsidRPr="003F54AD">
              <w:rPr>
                <w:color w:val="000000" w:themeColor="text1"/>
                <w:sz w:val="28"/>
                <w:szCs w:val="28"/>
                <w:lang w:eastAsia="zh-TW"/>
              </w:rPr>
              <w:lastRenderedPageBreak/>
              <w:t>nepieciešams veikt grozījumu MK noteikumu Nr.947 74.punktā</w:t>
            </w:r>
            <w:r w:rsidR="005A2843">
              <w:rPr>
                <w:color w:val="000000" w:themeColor="text1"/>
                <w:sz w:val="28"/>
                <w:szCs w:val="28"/>
                <w:lang w:eastAsia="zh-TW"/>
              </w:rPr>
              <w:t>,</w:t>
            </w:r>
            <w:r w:rsidR="000C2AA4">
              <w:rPr>
                <w:color w:val="000000" w:themeColor="text1"/>
                <w:sz w:val="28"/>
                <w:szCs w:val="28"/>
                <w:lang w:eastAsia="zh-TW"/>
              </w:rPr>
              <w:t xml:space="preserve"> paredzot disciplinārsoda uzlikšanas termiņu.</w:t>
            </w:r>
          </w:p>
        </w:tc>
      </w:tr>
      <w:tr w:rsidR="000D1234" w:rsidRPr="009F3824" w:rsidTr="000740A3">
        <w:trPr>
          <w:trHeight w:val="650"/>
        </w:trPr>
        <w:tc>
          <w:tcPr>
            <w:tcW w:w="528" w:type="dxa"/>
          </w:tcPr>
          <w:p w:rsidR="000D1234" w:rsidRPr="000D1234" w:rsidRDefault="000D1234" w:rsidP="000D1234">
            <w:pPr>
              <w:spacing w:before="20" w:after="20"/>
              <w:jc w:val="center"/>
              <w:rPr>
                <w:sz w:val="28"/>
                <w:szCs w:val="28"/>
              </w:rPr>
            </w:pPr>
            <w:r w:rsidRPr="000D1234">
              <w:rPr>
                <w:sz w:val="28"/>
                <w:szCs w:val="28"/>
              </w:rPr>
              <w:lastRenderedPageBreak/>
              <w:t>3.</w:t>
            </w:r>
          </w:p>
        </w:tc>
        <w:tc>
          <w:tcPr>
            <w:tcW w:w="2982" w:type="dxa"/>
          </w:tcPr>
          <w:p w:rsidR="000D1234" w:rsidRPr="000D1234" w:rsidRDefault="000D1234" w:rsidP="000D1234">
            <w:pPr>
              <w:spacing w:before="20" w:after="20"/>
              <w:rPr>
                <w:sz w:val="28"/>
                <w:szCs w:val="28"/>
              </w:rPr>
            </w:pPr>
            <w:r w:rsidRPr="000D1234">
              <w:rPr>
                <w:sz w:val="28"/>
                <w:szCs w:val="28"/>
              </w:rPr>
              <w:t>Projekta izstrādē iesaistītās institūcijas</w:t>
            </w:r>
          </w:p>
        </w:tc>
        <w:tc>
          <w:tcPr>
            <w:tcW w:w="6096" w:type="dxa"/>
          </w:tcPr>
          <w:p w:rsidR="000D1234" w:rsidRPr="000D1234" w:rsidRDefault="009F3824" w:rsidP="00DE6B50">
            <w:pPr>
              <w:spacing w:before="20" w:after="20"/>
              <w:jc w:val="both"/>
              <w:rPr>
                <w:sz w:val="28"/>
                <w:szCs w:val="28"/>
              </w:rPr>
            </w:pPr>
            <w:r>
              <w:rPr>
                <w:sz w:val="28"/>
                <w:szCs w:val="28"/>
              </w:rPr>
              <w:t>Aizsardzības ministrija, Nacionālie bruņotie spēki</w:t>
            </w:r>
            <w:r w:rsidR="00E152CB">
              <w:rPr>
                <w:sz w:val="28"/>
                <w:szCs w:val="28"/>
              </w:rPr>
              <w:t>.</w:t>
            </w:r>
          </w:p>
        </w:tc>
      </w:tr>
      <w:tr w:rsidR="000D1234" w:rsidRPr="000D1234" w:rsidTr="000740A3">
        <w:tc>
          <w:tcPr>
            <w:tcW w:w="528" w:type="dxa"/>
          </w:tcPr>
          <w:p w:rsidR="000D1234" w:rsidRPr="000D1234" w:rsidRDefault="000D1234" w:rsidP="000D1234">
            <w:pPr>
              <w:spacing w:before="20" w:after="20"/>
              <w:jc w:val="center"/>
              <w:rPr>
                <w:sz w:val="28"/>
                <w:szCs w:val="28"/>
              </w:rPr>
            </w:pPr>
            <w:r w:rsidRPr="000D1234">
              <w:rPr>
                <w:sz w:val="28"/>
                <w:szCs w:val="28"/>
              </w:rPr>
              <w:t>4.</w:t>
            </w:r>
          </w:p>
        </w:tc>
        <w:tc>
          <w:tcPr>
            <w:tcW w:w="2982" w:type="dxa"/>
          </w:tcPr>
          <w:p w:rsidR="000D1234" w:rsidRPr="000D1234" w:rsidRDefault="000D1234" w:rsidP="000D1234">
            <w:pPr>
              <w:spacing w:before="20" w:after="20"/>
              <w:rPr>
                <w:sz w:val="28"/>
                <w:szCs w:val="28"/>
              </w:rPr>
            </w:pPr>
            <w:r w:rsidRPr="000D1234">
              <w:rPr>
                <w:sz w:val="28"/>
                <w:szCs w:val="28"/>
              </w:rPr>
              <w:t> Cita informācija</w:t>
            </w:r>
          </w:p>
        </w:tc>
        <w:tc>
          <w:tcPr>
            <w:tcW w:w="6096" w:type="dxa"/>
          </w:tcPr>
          <w:p w:rsidR="000D1234" w:rsidRPr="000D1234" w:rsidRDefault="000D1234" w:rsidP="000D1234">
            <w:pPr>
              <w:spacing w:before="20" w:after="20"/>
              <w:rPr>
                <w:sz w:val="28"/>
                <w:szCs w:val="28"/>
              </w:rPr>
            </w:pPr>
            <w:r>
              <w:rPr>
                <w:sz w:val="28"/>
                <w:szCs w:val="28"/>
              </w:rPr>
              <w:t>Nav</w:t>
            </w:r>
            <w:r w:rsidR="00E152CB">
              <w:rPr>
                <w:sz w:val="28"/>
                <w:szCs w:val="28"/>
              </w:rPr>
              <w:t>.</w:t>
            </w:r>
          </w:p>
        </w:tc>
      </w:tr>
    </w:tbl>
    <w:p w:rsidR="00735EEB" w:rsidRDefault="00735EEB" w:rsidP="000740A3">
      <w:pPr>
        <w:spacing w:after="0" w:line="360" w:lineRule="auto"/>
        <w:rPr>
          <w:rFonts w:ascii="Times New Roman" w:eastAsia="Times New Roman" w:hAnsi="Times New Roman" w:cs="Times New Roman"/>
          <w:sz w:val="28"/>
          <w:szCs w:val="28"/>
          <w:lang w:val="lv-LV"/>
        </w:rPr>
      </w:pPr>
    </w:p>
    <w:p w:rsidR="00735EEB" w:rsidRDefault="00735EEB" w:rsidP="000740A3">
      <w:pPr>
        <w:spacing w:after="0" w:line="360" w:lineRule="auto"/>
        <w:rPr>
          <w:rFonts w:ascii="Times New Roman" w:eastAsia="Times New Roman" w:hAnsi="Times New Roman" w:cs="Times New Roman"/>
          <w:sz w:val="28"/>
          <w:szCs w:val="28"/>
          <w:lang w:val="lv-LV"/>
        </w:rPr>
      </w:pPr>
    </w:p>
    <w:tbl>
      <w:tblPr>
        <w:tblStyle w:val="TableGrid"/>
        <w:tblW w:w="0" w:type="auto"/>
        <w:tblLook w:val="04A0" w:firstRow="1" w:lastRow="0" w:firstColumn="1" w:lastColumn="0" w:noHBand="0" w:noVBand="1"/>
      </w:tblPr>
      <w:tblGrid>
        <w:gridCol w:w="534"/>
        <w:gridCol w:w="2976"/>
        <w:gridCol w:w="6105"/>
      </w:tblGrid>
      <w:tr w:rsidR="000740A3" w:rsidRPr="002B026B" w:rsidTr="00035789">
        <w:tc>
          <w:tcPr>
            <w:tcW w:w="9615" w:type="dxa"/>
            <w:gridSpan w:val="3"/>
          </w:tcPr>
          <w:p w:rsidR="000740A3" w:rsidRDefault="000740A3" w:rsidP="000740A3">
            <w:pPr>
              <w:spacing w:before="100" w:beforeAutospacing="1" w:after="100" w:afterAutospacing="1"/>
              <w:jc w:val="center"/>
              <w:rPr>
                <w:sz w:val="28"/>
                <w:szCs w:val="28"/>
              </w:rPr>
            </w:pPr>
            <w:r w:rsidRPr="000740A3">
              <w:rPr>
                <w:b/>
                <w:bCs/>
                <w:sz w:val="28"/>
                <w:szCs w:val="28"/>
              </w:rPr>
              <w:t>II. Tiesību akta projekta ietekme uz sabiedrību, tautsaimniecības attīstību un administratīvo slogu</w:t>
            </w:r>
          </w:p>
        </w:tc>
      </w:tr>
      <w:tr w:rsidR="000740A3" w:rsidRPr="002B026B" w:rsidTr="000740A3">
        <w:tc>
          <w:tcPr>
            <w:tcW w:w="534" w:type="dxa"/>
          </w:tcPr>
          <w:p w:rsidR="000740A3" w:rsidRPr="000740A3" w:rsidRDefault="000740A3" w:rsidP="005175D2">
            <w:pPr>
              <w:rPr>
                <w:sz w:val="28"/>
                <w:szCs w:val="28"/>
              </w:rPr>
            </w:pPr>
            <w:r w:rsidRPr="000740A3">
              <w:rPr>
                <w:sz w:val="28"/>
                <w:szCs w:val="28"/>
              </w:rPr>
              <w:t>1.</w:t>
            </w:r>
          </w:p>
        </w:tc>
        <w:tc>
          <w:tcPr>
            <w:tcW w:w="2976" w:type="dxa"/>
          </w:tcPr>
          <w:p w:rsidR="000740A3" w:rsidRPr="000740A3" w:rsidRDefault="000740A3" w:rsidP="005175D2">
            <w:pPr>
              <w:rPr>
                <w:sz w:val="28"/>
                <w:szCs w:val="28"/>
              </w:rPr>
            </w:pPr>
            <w:r w:rsidRPr="000740A3">
              <w:rPr>
                <w:sz w:val="28"/>
                <w:szCs w:val="28"/>
              </w:rPr>
              <w:t xml:space="preserve">Sabiedrības </w:t>
            </w:r>
            <w:proofErr w:type="spellStart"/>
            <w:r w:rsidRPr="000740A3">
              <w:rPr>
                <w:sz w:val="28"/>
                <w:szCs w:val="28"/>
              </w:rPr>
              <w:t>mērķgrupas</w:t>
            </w:r>
            <w:proofErr w:type="spellEnd"/>
            <w:r w:rsidRPr="000740A3">
              <w:rPr>
                <w:sz w:val="28"/>
                <w:szCs w:val="28"/>
              </w:rPr>
              <w:t>, kuras tiesiskais regulējums ietekmē vai varētu ietekmēt</w:t>
            </w:r>
          </w:p>
        </w:tc>
        <w:tc>
          <w:tcPr>
            <w:tcW w:w="6105" w:type="dxa"/>
          </w:tcPr>
          <w:p w:rsidR="000740A3" w:rsidRPr="006F4131" w:rsidRDefault="00D80942" w:rsidP="005A2843">
            <w:pPr>
              <w:jc w:val="both"/>
              <w:rPr>
                <w:color w:val="FF0000"/>
                <w:sz w:val="28"/>
                <w:szCs w:val="28"/>
              </w:rPr>
            </w:pPr>
            <w:r w:rsidRPr="004F2080">
              <w:rPr>
                <w:color w:val="000000" w:themeColor="text1"/>
                <w:sz w:val="28"/>
                <w:szCs w:val="28"/>
              </w:rPr>
              <w:t xml:space="preserve">Projekts </w:t>
            </w:r>
            <w:r w:rsidR="00DE6B50" w:rsidRPr="004F2080">
              <w:rPr>
                <w:color w:val="000000" w:themeColor="text1"/>
                <w:sz w:val="28"/>
                <w:szCs w:val="28"/>
              </w:rPr>
              <w:t xml:space="preserve">attiecināms uz </w:t>
            </w:r>
            <w:r w:rsidR="00E152CB" w:rsidRPr="004F2080">
              <w:rPr>
                <w:color w:val="000000" w:themeColor="text1"/>
                <w:sz w:val="28"/>
                <w:szCs w:val="28"/>
              </w:rPr>
              <w:t>Nacionālo bruņoto spēku p</w:t>
            </w:r>
            <w:r w:rsidR="000740A3" w:rsidRPr="004F2080">
              <w:rPr>
                <w:color w:val="000000" w:themeColor="text1"/>
                <w:sz w:val="28"/>
                <w:szCs w:val="28"/>
              </w:rPr>
              <w:t>rofesionālā dienesta karavīri</w:t>
            </w:r>
            <w:r w:rsidR="00DE6B50" w:rsidRPr="004F2080">
              <w:rPr>
                <w:color w:val="000000" w:themeColor="text1"/>
                <w:sz w:val="28"/>
                <w:szCs w:val="28"/>
              </w:rPr>
              <w:t>em</w:t>
            </w:r>
            <w:r w:rsidR="00F90511" w:rsidRPr="004F2080">
              <w:rPr>
                <w:color w:val="000000" w:themeColor="text1"/>
                <w:sz w:val="28"/>
                <w:szCs w:val="28"/>
              </w:rPr>
              <w:t xml:space="preserve"> </w:t>
            </w:r>
            <w:r w:rsidR="005A2843">
              <w:rPr>
                <w:color w:val="000000" w:themeColor="text1"/>
                <w:sz w:val="28"/>
                <w:szCs w:val="28"/>
              </w:rPr>
              <w:t>un zemessargiem.</w:t>
            </w:r>
            <w:r w:rsidR="004F2080" w:rsidRPr="004F2080">
              <w:rPr>
                <w:color w:val="000000" w:themeColor="text1"/>
                <w:sz w:val="28"/>
                <w:szCs w:val="28"/>
              </w:rPr>
              <w:t xml:space="preserve"> </w:t>
            </w:r>
          </w:p>
        </w:tc>
      </w:tr>
      <w:tr w:rsidR="000740A3" w:rsidRPr="00DE6B50" w:rsidTr="000740A3">
        <w:tc>
          <w:tcPr>
            <w:tcW w:w="534" w:type="dxa"/>
          </w:tcPr>
          <w:p w:rsidR="000740A3" w:rsidRPr="000740A3" w:rsidRDefault="000740A3" w:rsidP="005175D2">
            <w:pPr>
              <w:rPr>
                <w:sz w:val="28"/>
                <w:szCs w:val="28"/>
              </w:rPr>
            </w:pPr>
            <w:r w:rsidRPr="000740A3">
              <w:rPr>
                <w:sz w:val="28"/>
                <w:szCs w:val="28"/>
              </w:rPr>
              <w:t>2.</w:t>
            </w:r>
          </w:p>
        </w:tc>
        <w:tc>
          <w:tcPr>
            <w:tcW w:w="2976" w:type="dxa"/>
          </w:tcPr>
          <w:p w:rsidR="000740A3" w:rsidRPr="000740A3" w:rsidRDefault="000740A3" w:rsidP="005175D2">
            <w:pPr>
              <w:rPr>
                <w:sz w:val="28"/>
                <w:szCs w:val="28"/>
              </w:rPr>
            </w:pPr>
            <w:r w:rsidRPr="000740A3">
              <w:rPr>
                <w:sz w:val="28"/>
                <w:szCs w:val="28"/>
              </w:rPr>
              <w:t>Tiesiskā regulējuma ietekme uz tautsaimniecību un administratīvo slogu</w:t>
            </w:r>
          </w:p>
        </w:tc>
        <w:tc>
          <w:tcPr>
            <w:tcW w:w="6105" w:type="dxa"/>
          </w:tcPr>
          <w:p w:rsidR="000740A3" w:rsidRPr="006F4131" w:rsidRDefault="009F3824" w:rsidP="00DE6B50">
            <w:pPr>
              <w:jc w:val="both"/>
              <w:rPr>
                <w:color w:val="FF0000"/>
                <w:sz w:val="28"/>
                <w:szCs w:val="28"/>
              </w:rPr>
            </w:pPr>
            <w:r>
              <w:rPr>
                <w:color w:val="000000" w:themeColor="text1"/>
                <w:sz w:val="28"/>
                <w:szCs w:val="28"/>
              </w:rPr>
              <w:t>Projekts šo jomu neskar.</w:t>
            </w:r>
          </w:p>
        </w:tc>
      </w:tr>
      <w:tr w:rsidR="000740A3" w:rsidTr="000740A3">
        <w:tc>
          <w:tcPr>
            <w:tcW w:w="534" w:type="dxa"/>
          </w:tcPr>
          <w:p w:rsidR="000740A3" w:rsidRPr="000740A3" w:rsidRDefault="000740A3" w:rsidP="005175D2">
            <w:pPr>
              <w:rPr>
                <w:sz w:val="28"/>
                <w:szCs w:val="28"/>
              </w:rPr>
            </w:pPr>
            <w:r w:rsidRPr="000740A3">
              <w:rPr>
                <w:sz w:val="28"/>
                <w:szCs w:val="28"/>
              </w:rPr>
              <w:t>3.</w:t>
            </w:r>
          </w:p>
        </w:tc>
        <w:tc>
          <w:tcPr>
            <w:tcW w:w="2976" w:type="dxa"/>
          </w:tcPr>
          <w:p w:rsidR="000740A3" w:rsidRPr="000740A3" w:rsidRDefault="000740A3" w:rsidP="005175D2">
            <w:pPr>
              <w:rPr>
                <w:sz w:val="28"/>
                <w:szCs w:val="28"/>
              </w:rPr>
            </w:pPr>
            <w:r w:rsidRPr="000740A3">
              <w:rPr>
                <w:sz w:val="28"/>
                <w:szCs w:val="28"/>
              </w:rPr>
              <w:t>Administratīvo izmaksu monetārs novērtējums</w:t>
            </w:r>
          </w:p>
        </w:tc>
        <w:tc>
          <w:tcPr>
            <w:tcW w:w="6105" w:type="dxa"/>
          </w:tcPr>
          <w:p w:rsidR="000740A3" w:rsidRPr="000740A3" w:rsidRDefault="00800034" w:rsidP="005175D2">
            <w:pPr>
              <w:rPr>
                <w:sz w:val="28"/>
                <w:szCs w:val="28"/>
              </w:rPr>
            </w:pPr>
            <w:r>
              <w:rPr>
                <w:sz w:val="28"/>
                <w:szCs w:val="28"/>
              </w:rPr>
              <w:t>Projekts šo jomu neskar.</w:t>
            </w:r>
          </w:p>
        </w:tc>
      </w:tr>
      <w:tr w:rsidR="000740A3" w:rsidTr="000740A3">
        <w:tc>
          <w:tcPr>
            <w:tcW w:w="534" w:type="dxa"/>
          </w:tcPr>
          <w:p w:rsidR="000740A3" w:rsidRPr="000740A3" w:rsidRDefault="000740A3" w:rsidP="005175D2">
            <w:pPr>
              <w:rPr>
                <w:sz w:val="28"/>
                <w:szCs w:val="28"/>
              </w:rPr>
            </w:pPr>
            <w:r w:rsidRPr="000740A3">
              <w:rPr>
                <w:sz w:val="28"/>
                <w:szCs w:val="28"/>
              </w:rPr>
              <w:t>4.</w:t>
            </w:r>
          </w:p>
        </w:tc>
        <w:tc>
          <w:tcPr>
            <w:tcW w:w="2976" w:type="dxa"/>
          </w:tcPr>
          <w:p w:rsidR="000740A3" w:rsidRPr="000740A3" w:rsidRDefault="000740A3" w:rsidP="005175D2">
            <w:pPr>
              <w:rPr>
                <w:sz w:val="28"/>
                <w:szCs w:val="28"/>
              </w:rPr>
            </w:pPr>
            <w:r w:rsidRPr="000740A3">
              <w:rPr>
                <w:sz w:val="28"/>
                <w:szCs w:val="28"/>
              </w:rPr>
              <w:t>Cita informācija</w:t>
            </w:r>
          </w:p>
        </w:tc>
        <w:tc>
          <w:tcPr>
            <w:tcW w:w="6105" w:type="dxa"/>
          </w:tcPr>
          <w:p w:rsidR="000740A3" w:rsidRPr="000740A3" w:rsidRDefault="000740A3" w:rsidP="005175D2">
            <w:pPr>
              <w:spacing w:before="100" w:beforeAutospacing="1" w:after="100" w:afterAutospacing="1" w:line="285" w:lineRule="atLeast"/>
              <w:rPr>
                <w:sz w:val="28"/>
                <w:szCs w:val="28"/>
              </w:rPr>
            </w:pPr>
            <w:r w:rsidRPr="000740A3">
              <w:rPr>
                <w:sz w:val="28"/>
                <w:szCs w:val="28"/>
              </w:rPr>
              <w:t>Nav</w:t>
            </w:r>
            <w:r w:rsidR="00800034">
              <w:rPr>
                <w:sz w:val="28"/>
                <w:szCs w:val="28"/>
              </w:rPr>
              <w:t>.</w:t>
            </w:r>
          </w:p>
        </w:tc>
      </w:tr>
    </w:tbl>
    <w:p w:rsidR="00567243" w:rsidRDefault="00567243" w:rsidP="00C75B82">
      <w:pPr>
        <w:shd w:val="clear" w:color="auto" w:fill="FFFFFF"/>
        <w:spacing w:after="0" w:line="240" w:lineRule="auto"/>
        <w:rPr>
          <w:rFonts w:cs="Times New Roman"/>
          <w:sz w:val="24"/>
          <w:szCs w:val="24"/>
          <w:lang w:val="lv-LV" w:eastAsia="lv-LV"/>
        </w:rPr>
      </w:pPr>
    </w:p>
    <w:tbl>
      <w:tblPr>
        <w:tblW w:w="5062" w:type="pct"/>
        <w:jc w:val="center"/>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9"/>
        <w:gridCol w:w="3590"/>
        <w:gridCol w:w="5385"/>
      </w:tblGrid>
      <w:tr w:rsidR="00800034" w:rsidRPr="002B026B" w:rsidTr="0069148D">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00034" w:rsidRPr="00DF0D42" w:rsidRDefault="00800034">
            <w:pPr>
              <w:spacing w:before="100" w:beforeAutospacing="1" w:after="100" w:afterAutospacing="1" w:line="315" w:lineRule="atLeast"/>
              <w:jc w:val="center"/>
              <w:rPr>
                <w:rFonts w:ascii="Times New Roman" w:hAnsi="Times New Roman" w:cs="Times New Roman"/>
                <w:b/>
                <w:bCs/>
                <w:sz w:val="28"/>
                <w:szCs w:val="28"/>
                <w:lang w:val="lv-LV" w:eastAsia="lv-LV"/>
              </w:rPr>
            </w:pPr>
            <w:r w:rsidRPr="00DF0D42">
              <w:rPr>
                <w:rFonts w:ascii="Times New Roman" w:hAnsi="Times New Roman" w:cs="Times New Roman"/>
                <w:b/>
                <w:bCs/>
                <w:sz w:val="28"/>
                <w:szCs w:val="28"/>
                <w:lang w:val="lv-LV" w:eastAsia="lv-LV"/>
              </w:rPr>
              <w:t>VII. Tiesību akta projekta izpildes nodrošināšana un tās ietekme uz institūcijām</w:t>
            </w:r>
          </w:p>
        </w:tc>
      </w:tr>
      <w:tr w:rsidR="00800034" w:rsidTr="0069148D">
        <w:trPr>
          <w:trHeight w:val="777"/>
          <w:jc w:val="center"/>
        </w:trPr>
        <w:tc>
          <w:tcPr>
            <w:tcW w:w="308"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pPr>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1.</w:t>
            </w:r>
          </w:p>
        </w:tc>
        <w:tc>
          <w:tcPr>
            <w:tcW w:w="1877"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pPr>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Projekta izpildē iesaistītās institūcijas</w:t>
            </w:r>
          </w:p>
        </w:tc>
        <w:tc>
          <w:tcPr>
            <w:tcW w:w="2815"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rsidP="00800034">
            <w:pPr>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Aizsardzības ministrija</w:t>
            </w:r>
            <w:r w:rsidR="00F21096">
              <w:rPr>
                <w:rFonts w:ascii="Times New Roman" w:hAnsi="Times New Roman" w:cs="Times New Roman"/>
                <w:sz w:val="28"/>
                <w:szCs w:val="28"/>
                <w:lang w:val="lv-LV" w:eastAsia="lv-LV"/>
              </w:rPr>
              <w:t xml:space="preserve"> un Nacionālie bruņotie spēki</w:t>
            </w:r>
            <w:r>
              <w:rPr>
                <w:rFonts w:ascii="Times New Roman" w:hAnsi="Times New Roman" w:cs="Times New Roman"/>
                <w:sz w:val="28"/>
                <w:szCs w:val="28"/>
                <w:lang w:val="lv-LV" w:eastAsia="lv-LV"/>
              </w:rPr>
              <w:t>.</w:t>
            </w:r>
          </w:p>
        </w:tc>
      </w:tr>
      <w:tr w:rsidR="00800034" w:rsidRPr="00DF0D42" w:rsidTr="0069148D">
        <w:trPr>
          <w:trHeight w:val="360"/>
          <w:jc w:val="center"/>
        </w:trPr>
        <w:tc>
          <w:tcPr>
            <w:tcW w:w="308"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pPr>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2.</w:t>
            </w:r>
          </w:p>
        </w:tc>
        <w:tc>
          <w:tcPr>
            <w:tcW w:w="1877"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pPr>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Projekta izpildes ietekme uz pārvaldes funkcijām un institucionālo struktūru.</w:t>
            </w:r>
          </w:p>
          <w:p w:rsidR="00800034" w:rsidRPr="00DF0D42" w:rsidRDefault="00800034">
            <w:pPr>
              <w:spacing w:before="100" w:beforeAutospacing="1" w:after="100" w:afterAutospacing="1" w:line="315" w:lineRule="atLeast"/>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Jaunu institūciju izveide, esošu institūciju likvidācija vai reorganizācija, to ietekme uz institūcijas cilvēkresursiem</w:t>
            </w:r>
          </w:p>
        </w:tc>
        <w:tc>
          <w:tcPr>
            <w:tcW w:w="2815" w:type="pct"/>
            <w:tcBorders>
              <w:top w:val="outset" w:sz="6" w:space="0" w:color="414142"/>
              <w:left w:val="outset" w:sz="6" w:space="0" w:color="414142"/>
              <w:bottom w:val="outset" w:sz="6" w:space="0" w:color="414142"/>
              <w:right w:val="outset" w:sz="6" w:space="0" w:color="414142"/>
            </w:tcBorders>
            <w:hideMark/>
          </w:tcPr>
          <w:p w:rsidR="00800034" w:rsidRDefault="009F3824">
            <w:pPr>
              <w:jc w:val="both"/>
              <w:rPr>
                <w:rFonts w:ascii="Times New Roman" w:hAnsi="Times New Roman" w:cs="Times New Roman"/>
                <w:sz w:val="28"/>
                <w:szCs w:val="28"/>
                <w:lang w:val="lv-LV"/>
              </w:rPr>
            </w:pPr>
            <w:r>
              <w:rPr>
                <w:rFonts w:ascii="Times New Roman" w:hAnsi="Times New Roman" w:cs="Times New Roman"/>
                <w:sz w:val="28"/>
                <w:szCs w:val="28"/>
                <w:lang w:val="lv-LV"/>
              </w:rPr>
              <w:t>Projekts šo jomu neskar.</w:t>
            </w:r>
          </w:p>
          <w:p w:rsidR="009F3824" w:rsidRDefault="009F3824">
            <w:pPr>
              <w:jc w:val="both"/>
              <w:rPr>
                <w:rFonts w:ascii="Times New Roman" w:hAnsi="Times New Roman" w:cs="Times New Roman"/>
                <w:sz w:val="28"/>
                <w:szCs w:val="28"/>
                <w:lang w:val="lv-LV"/>
              </w:rPr>
            </w:pPr>
          </w:p>
          <w:p w:rsidR="009F3824" w:rsidRDefault="009F3824">
            <w:pPr>
              <w:jc w:val="both"/>
              <w:rPr>
                <w:rFonts w:ascii="Times New Roman" w:hAnsi="Times New Roman" w:cs="Times New Roman"/>
                <w:sz w:val="28"/>
                <w:szCs w:val="28"/>
                <w:lang w:val="lv-LV"/>
              </w:rPr>
            </w:pPr>
          </w:p>
          <w:p w:rsidR="009F3824" w:rsidRPr="00DF0D42" w:rsidRDefault="009F3824">
            <w:pPr>
              <w:jc w:val="both"/>
              <w:rPr>
                <w:rFonts w:ascii="Times New Roman" w:hAnsi="Times New Roman" w:cs="Times New Roman"/>
                <w:sz w:val="28"/>
                <w:szCs w:val="28"/>
                <w:lang w:val="lv-LV" w:eastAsia="lv-LV"/>
              </w:rPr>
            </w:pPr>
            <w:r>
              <w:rPr>
                <w:rFonts w:ascii="Times New Roman" w:hAnsi="Times New Roman" w:cs="Times New Roman"/>
                <w:sz w:val="28"/>
                <w:szCs w:val="28"/>
                <w:lang w:val="lv-LV"/>
              </w:rPr>
              <w:t>Projekts šo jomu neskar</w:t>
            </w:r>
          </w:p>
        </w:tc>
      </w:tr>
      <w:tr w:rsidR="00800034" w:rsidRPr="00DF0D42" w:rsidTr="0069148D">
        <w:trPr>
          <w:trHeight w:val="419"/>
          <w:jc w:val="center"/>
        </w:trPr>
        <w:tc>
          <w:tcPr>
            <w:tcW w:w="308"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pPr>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lastRenderedPageBreak/>
              <w:t>3.</w:t>
            </w:r>
          </w:p>
        </w:tc>
        <w:tc>
          <w:tcPr>
            <w:tcW w:w="1877"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pPr>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Cita informācija</w:t>
            </w:r>
          </w:p>
        </w:tc>
        <w:tc>
          <w:tcPr>
            <w:tcW w:w="2815" w:type="pct"/>
            <w:tcBorders>
              <w:top w:val="outset" w:sz="6" w:space="0" w:color="414142"/>
              <w:left w:val="outset" w:sz="6" w:space="0" w:color="414142"/>
              <w:bottom w:val="outset" w:sz="6" w:space="0" w:color="414142"/>
              <w:right w:val="outset" w:sz="6" w:space="0" w:color="414142"/>
            </w:tcBorders>
            <w:hideMark/>
          </w:tcPr>
          <w:p w:rsidR="00800034" w:rsidRPr="00DF0D42" w:rsidRDefault="00800034">
            <w:pPr>
              <w:spacing w:before="100" w:beforeAutospacing="1" w:after="100" w:afterAutospacing="1" w:line="315" w:lineRule="atLeast"/>
              <w:rPr>
                <w:rFonts w:ascii="Times New Roman" w:hAnsi="Times New Roman" w:cs="Times New Roman"/>
                <w:sz w:val="28"/>
                <w:szCs w:val="28"/>
                <w:lang w:val="lv-LV" w:eastAsia="lv-LV"/>
              </w:rPr>
            </w:pPr>
            <w:r w:rsidRPr="00DF0D42">
              <w:rPr>
                <w:rFonts w:ascii="Times New Roman" w:hAnsi="Times New Roman" w:cs="Times New Roman"/>
                <w:sz w:val="28"/>
                <w:szCs w:val="28"/>
                <w:lang w:val="lv-LV" w:eastAsia="lv-LV"/>
              </w:rPr>
              <w:t>Nav.</w:t>
            </w:r>
          </w:p>
        </w:tc>
      </w:tr>
    </w:tbl>
    <w:p w:rsidR="0069148D" w:rsidRDefault="0069148D" w:rsidP="00D07BB0">
      <w:pPr>
        <w:tabs>
          <w:tab w:val="right" w:pos="9074"/>
        </w:tabs>
        <w:rPr>
          <w:rFonts w:ascii="Times New Roman" w:hAnsi="Times New Roman" w:cs="Times New Roman"/>
          <w:i/>
          <w:iCs/>
          <w:sz w:val="28"/>
          <w:szCs w:val="28"/>
          <w:lang w:val="lv-LV"/>
        </w:rPr>
      </w:pPr>
    </w:p>
    <w:p w:rsidR="00A60531" w:rsidRPr="00D07BB0" w:rsidRDefault="00800034" w:rsidP="00D07BB0">
      <w:pPr>
        <w:tabs>
          <w:tab w:val="right" w:pos="9074"/>
        </w:tabs>
        <w:rPr>
          <w:rFonts w:ascii="Times New Roman" w:hAnsi="Times New Roman" w:cs="Times New Roman"/>
          <w:i/>
          <w:sz w:val="28"/>
          <w:szCs w:val="28"/>
          <w:lang w:val="lv-LV"/>
        </w:rPr>
      </w:pPr>
      <w:r w:rsidRPr="00F21096">
        <w:rPr>
          <w:rFonts w:ascii="Times New Roman" w:hAnsi="Times New Roman" w:cs="Times New Roman"/>
          <w:i/>
          <w:iCs/>
          <w:sz w:val="28"/>
          <w:szCs w:val="28"/>
          <w:lang w:val="lv-LV"/>
        </w:rPr>
        <w:t>Anotācijas III, IV, V, VI sadaļa –projekts šīs jomas neskar.</w:t>
      </w:r>
    </w:p>
    <w:p w:rsidR="00BC1624" w:rsidRDefault="00BC1624" w:rsidP="00F21096">
      <w:pPr>
        <w:rPr>
          <w:rFonts w:ascii="Times New Roman" w:eastAsia="Times New Roman" w:hAnsi="Times New Roman" w:cs="Times New Roman"/>
          <w:color w:val="000000"/>
          <w:sz w:val="28"/>
          <w:szCs w:val="28"/>
          <w:lang w:val="lv-LV" w:eastAsia="lv-LV"/>
        </w:rPr>
      </w:pPr>
    </w:p>
    <w:p w:rsidR="000D1234" w:rsidRPr="00F21096" w:rsidRDefault="004D748F" w:rsidP="00F21096">
      <w:pPr>
        <w:rPr>
          <w:rFonts w:ascii="Times New Roman" w:hAnsi="Times New Roman" w:cs="Times New Roman"/>
          <w:sz w:val="24"/>
          <w:szCs w:val="24"/>
          <w:lang w:val="lv-LV"/>
        </w:rPr>
      </w:pPr>
      <w:r>
        <w:rPr>
          <w:rFonts w:ascii="Times New Roman" w:eastAsia="Times New Roman" w:hAnsi="Times New Roman" w:cs="Times New Roman"/>
          <w:color w:val="000000"/>
          <w:sz w:val="28"/>
          <w:szCs w:val="28"/>
          <w:lang w:val="lv-LV" w:eastAsia="lv-LV"/>
        </w:rPr>
        <w:t>Aizsardzības</w:t>
      </w:r>
      <w:r w:rsidRPr="004D748F">
        <w:rPr>
          <w:rFonts w:ascii="Times New Roman" w:eastAsia="Times New Roman" w:hAnsi="Times New Roman" w:cs="Times New Roman"/>
          <w:color w:val="000000"/>
          <w:sz w:val="28"/>
          <w:szCs w:val="28"/>
          <w:lang w:val="lv-LV" w:eastAsia="lv-LV"/>
        </w:rPr>
        <w:t xml:space="preserve"> ministr</w:t>
      </w:r>
      <w:r>
        <w:rPr>
          <w:rFonts w:ascii="Times New Roman" w:eastAsia="Times New Roman" w:hAnsi="Times New Roman" w:cs="Times New Roman"/>
          <w:color w:val="000000"/>
          <w:sz w:val="28"/>
          <w:szCs w:val="28"/>
          <w:lang w:val="lv-LV" w:eastAsia="lv-LV"/>
        </w:rPr>
        <w:t>s</w:t>
      </w:r>
      <w:r>
        <w:rPr>
          <w:rFonts w:ascii="Times New Roman" w:eastAsia="Times New Roman" w:hAnsi="Times New Roman" w:cs="Times New Roman"/>
          <w:color w:val="000000"/>
          <w:sz w:val="28"/>
          <w:szCs w:val="28"/>
          <w:lang w:val="lv-LV" w:eastAsia="lv-LV"/>
        </w:rPr>
        <w:tab/>
      </w:r>
      <w:r>
        <w:rPr>
          <w:rFonts w:ascii="Times New Roman" w:eastAsia="Times New Roman" w:hAnsi="Times New Roman" w:cs="Times New Roman"/>
          <w:color w:val="000000"/>
          <w:sz w:val="28"/>
          <w:szCs w:val="28"/>
          <w:lang w:val="lv-LV" w:eastAsia="lv-LV"/>
        </w:rPr>
        <w:tab/>
      </w:r>
      <w:r>
        <w:rPr>
          <w:rFonts w:ascii="Times New Roman" w:eastAsia="Times New Roman" w:hAnsi="Times New Roman" w:cs="Times New Roman"/>
          <w:color w:val="000000"/>
          <w:sz w:val="28"/>
          <w:szCs w:val="28"/>
          <w:lang w:val="lv-LV" w:eastAsia="lv-LV"/>
        </w:rPr>
        <w:tab/>
      </w:r>
      <w:r>
        <w:rPr>
          <w:rFonts w:ascii="Times New Roman" w:eastAsia="Times New Roman" w:hAnsi="Times New Roman" w:cs="Times New Roman"/>
          <w:color w:val="000000"/>
          <w:sz w:val="28"/>
          <w:szCs w:val="28"/>
          <w:lang w:val="lv-LV" w:eastAsia="lv-LV"/>
        </w:rPr>
        <w:tab/>
      </w:r>
      <w:r>
        <w:rPr>
          <w:rFonts w:ascii="Times New Roman" w:eastAsia="Times New Roman" w:hAnsi="Times New Roman" w:cs="Times New Roman"/>
          <w:color w:val="000000"/>
          <w:sz w:val="28"/>
          <w:szCs w:val="28"/>
          <w:lang w:val="lv-LV" w:eastAsia="lv-LV"/>
        </w:rPr>
        <w:tab/>
      </w:r>
      <w:r>
        <w:rPr>
          <w:rFonts w:ascii="Times New Roman" w:eastAsia="Times New Roman" w:hAnsi="Times New Roman" w:cs="Times New Roman"/>
          <w:color w:val="000000"/>
          <w:sz w:val="28"/>
          <w:szCs w:val="28"/>
          <w:lang w:val="lv-LV" w:eastAsia="lv-LV"/>
        </w:rPr>
        <w:tab/>
      </w:r>
      <w:r>
        <w:rPr>
          <w:rFonts w:ascii="Times New Roman" w:eastAsia="Times New Roman" w:hAnsi="Times New Roman" w:cs="Times New Roman"/>
          <w:color w:val="000000"/>
          <w:sz w:val="28"/>
          <w:szCs w:val="28"/>
          <w:lang w:val="lv-LV" w:eastAsia="lv-LV"/>
        </w:rPr>
        <w:tab/>
      </w:r>
      <w:proofErr w:type="spellStart"/>
      <w:r w:rsidR="000D1234">
        <w:rPr>
          <w:rFonts w:ascii="Times New Roman" w:eastAsia="Times New Roman" w:hAnsi="Times New Roman" w:cs="Times New Roman"/>
          <w:color w:val="000000"/>
          <w:sz w:val="28"/>
          <w:szCs w:val="28"/>
          <w:lang w:val="lv-LV" w:eastAsia="lv-LV"/>
        </w:rPr>
        <w:t>R</w:t>
      </w:r>
      <w:r w:rsidR="00800034">
        <w:rPr>
          <w:rFonts w:ascii="Times New Roman" w:eastAsia="Times New Roman" w:hAnsi="Times New Roman" w:cs="Times New Roman"/>
          <w:color w:val="000000"/>
          <w:sz w:val="28"/>
          <w:szCs w:val="28"/>
          <w:lang w:val="lv-LV" w:eastAsia="lv-LV"/>
        </w:rPr>
        <w:t>.</w:t>
      </w:r>
      <w:r w:rsidR="004F62D2">
        <w:rPr>
          <w:rFonts w:ascii="Times New Roman" w:eastAsia="Times New Roman" w:hAnsi="Times New Roman" w:cs="Times New Roman"/>
          <w:color w:val="000000"/>
          <w:sz w:val="28"/>
          <w:szCs w:val="28"/>
          <w:lang w:val="lv-LV" w:eastAsia="lv-LV"/>
        </w:rPr>
        <w:t>Bergmanis</w:t>
      </w:r>
      <w:proofErr w:type="spellEnd"/>
    </w:p>
    <w:p w:rsidR="000740A3" w:rsidRDefault="000740A3" w:rsidP="000D1234">
      <w:pPr>
        <w:spacing w:after="0" w:line="240" w:lineRule="auto"/>
        <w:rPr>
          <w:rFonts w:ascii="Times New Roman" w:hAnsi="Times New Roman" w:cs="Times New Roman"/>
          <w:color w:val="FF0000"/>
          <w:sz w:val="20"/>
          <w:szCs w:val="24"/>
          <w:lang w:val="lv-LV"/>
        </w:rPr>
      </w:pPr>
    </w:p>
    <w:p w:rsidR="004B1ABD" w:rsidRDefault="004B1ABD" w:rsidP="000D1234">
      <w:pPr>
        <w:spacing w:after="0" w:line="240" w:lineRule="auto"/>
        <w:rPr>
          <w:rFonts w:ascii="Times New Roman" w:hAnsi="Times New Roman" w:cs="Times New Roman"/>
          <w:color w:val="FF0000"/>
          <w:sz w:val="20"/>
          <w:szCs w:val="24"/>
          <w:lang w:val="lv-LV"/>
        </w:rPr>
      </w:pPr>
    </w:p>
    <w:p w:rsidR="001445A9" w:rsidRDefault="001445A9" w:rsidP="000D1234">
      <w:pPr>
        <w:spacing w:after="0" w:line="240" w:lineRule="auto"/>
        <w:rPr>
          <w:rFonts w:ascii="Times New Roman" w:hAnsi="Times New Roman" w:cs="Times New Roman"/>
          <w:color w:val="FF0000"/>
          <w:sz w:val="20"/>
          <w:szCs w:val="24"/>
          <w:lang w:val="lv-LV"/>
        </w:rPr>
      </w:pPr>
    </w:p>
    <w:p w:rsidR="001445A9" w:rsidRDefault="001445A9" w:rsidP="000D1234">
      <w:pPr>
        <w:spacing w:after="0" w:line="240" w:lineRule="auto"/>
        <w:rPr>
          <w:rFonts w:ascii="Times New Roman" w:hAnsi="Times New Roman" w:cs="Times New Roman"/>
          <w:color w:val="FF0000"/>
          <w:sz w:val="20"/>
          <w:szCs w:val="24"/>
          <w:lang w:val="lv-LV"/>
        </w:rPr>
      </w:pPr>
    </w:p>
    <w:p w:rsidR="00BC1624" w:rsidRDefault="00BC1624" w:rsidP="000D1234">
      <w:pPr>
        <w:spacing w:after="0" w:line="240" w:lineRule="auto"/>
        <w:rPr>
          <w:rFonts w:ascii="Times New Roman" w:hAnsi="Times New Roman" w:cs="Times New Roman"/>
          <w:color w:val="FF0000"/>
          <w:sz w:val="20"/>
          <w:szCs w:val="24"/>
          <w:lang w:val="lv-LV"/>
        </w:rPr>
      </w:pPr>
    </w:p>
    <w:p w:rsidR="00735EEB" w:rsidRDefault="00800034" w:rsidP="000D1234">
      <w:pPr>
        <w:spacing w:after="0" w:line="240" w:lineRule="auto"/>
        <w:rPr>
          <w:rFonts w:ascii="Times New Roman" w:hAnsi="Times New Roman" w:cs="Times New Roman"/>
          <w:color w:val="FF0000"/>
          <w:sz w:val="20"/>
          <w:szCs w:val="24"/>
          <w:lang w:val="lv-LV"/>
        </w:rPr>
      </w:pPr>
      <w:r w:rsidRPr="00DF0D42">
        <w:rPr>
          <w:rFonts w:ascii="Times New Roman" w:hAnsi="Times New Roman" w:cs="Times New Roman"/>
          <w:sz w:val="28"/>
          <w:szCs w:val="28"/>
          <w:lang w:val="lv-LV"/>
        </w:rPr>
        <w:t>Vīza</w:t>
      </w:r>
      <w:r w:rsidR="00534FE9">
        <w:rPr>
          <w:rFonts w:ascii="Times New Roman" w:hAnsi="Times New Roman" w:cs="Times New Roman"/>
          <w:sz w:val="28"/>
          <w:szCs w:val="28"/>
          <w:lang w:val="lv-LV"/>
        </w:rPr>
        <w:t xml:space="preserve">: valsts sekretāra </w:t>
      </w:r>
      <w:proofErr w:type="spellStart"/>
      <w:r w:rsidR="00534FE9">
        <w:rPr>
          <w:rFonts w:ascii="Times New Roman" w:hAnsi="Times New Roman" w:cs="Times New Roman"/>
          <w:sz w:val="28"/>
          <w:szCs w:val="28"/>
          <w:lang w:val="lv-LV"/>
        </w:rPr>
        <w:t>p.i</w:t>
      </w:r>
      <w:proofErr w:type="spellEnd"/>
      <w:r w:rsidR="00534FE9">
        <w:rPr>
          <w:rFonts w:ascii="Times New Roman" w:hAnsi="Times New Roman" w:cs="Times New Roman"/>
          <w:sz w:val="28"/>
          <w:szCs w:val="28"/>
          <w:lang w:val="lv-LV"/>
        </w:rPr>
        <w:t>.</w:t>
      </w:r>
      <w:r w:rsidR="00F21096">
        <w:rPr>
          <w:rFonts w:ascii="Times New Roman" w:hAnsi="Times New Roman" w:cs="Times New Roman"/>
          <w:sz w:val="28"/>
          <w:szCs w:val="28"/>
          <w:lang w:val="lv-LV"/>
        </w:rPr>
        <w:tab/>
      </w:r>
      <w:r w:rsidR="00F21096">
        <w:rPr>
          <w:rFonts w:ascii="Times New Roman" w:hAnsi="Times New Roman" w:cs="Times New Roman"/>
          <w:sz w:val="28"/>
          <w:szCs w:val="28"/>
          <w:lang w:val="lv-LV"/>
        </w:rPr>
        <w:tab/>
      </w:r>
      <w:r w:rsidR="00F21096">
        <w:rPr>
          <w:rFonts w:ascii="Times New Roman" w:hAnsi="Times New Roman" w:cs="Times New Roman"/>
          <w:sz w:val="28"/>
          <w:szCs w:val="28"/>
          <w:lang w:val="lv-LV"/>
        </w:rPr>
        <w:tab/>
      </w:r>
      <w:r w:rsidR="00F21096">
        <w:rPr>
          <w:rFonts w:ascii="Times New Roman" w:hAnsi="Times New Roman" w:cs="Times New Roman"/>
          <w:sz w:val="28"/>
          <w:szCs w:val="28"/>
          <w:lang w:val="lv-LV"/>
        </w:rPr>
        <w:tab/>
      </w:r>
      <w:r w:rsidR="00F21096">
        <w:rPr>
          <w:rFonts w:ascii="Times New Roman" w:hAnsi="Times New Roman" w:cs="Times New Roman"/>
          <w:sz w:val="28"/>
          <w:szCs w:val="28"/>
          <w:lang w:val="lv-LV"/>
        </w:rPr>
        <w:tab/>
      </w:r>
      <w:r w:rsidR="00F21096">
        <w:rPr>
          <w:rFonts w:ascii="Times New Roman" w:hAnsi="Times New Roman" w:cs="Times New Roman"/>
          <w:sz w:val="28"/>
          <w:szCs w:val="28"/>
          <w:lang w:val="lv-LV"/>
        </w:rPr>
        <w:tab/>
      </w:r>
      <w:r w:rsidR="00F21096">
        <w:rPr>
          <w:rFonts w:ascii="Times New Roman" w:hAnsi="Times New Roman" w:cs="Times New Roman"/>
          <w:sz w:val="28"/>
          <w:szCs w:val="28"/>
          <w:lang w:val="lv-LV"/>
        </w:rPr>
        <w:tab/>
      </w:r>
      <w:proofErr w:type="spellStart"/>
      <w:r w:rsidR="002B026B">
        <w:rPr>
          <w:rFonts w:ascii="Times New Roman" w:hAnsi="Times New Roman" w:cs="Times New Roman"/>
          <w:sz w:val="28"/>
          <w:szCs w:val="28"/>
          <w:lang w:val="lv-LV"/>
        </w:rPr>
        <w:t>J.Karlsbergs</w:t>
      </w:r>
      <w:proofErr w:type="spellEnd"/>
    </w:p>
    <w:p w:rsidR="00A60531" w:rsidRDefault="00A60531" w:rsidP="000D1234">
      <w:pPr>
        <w:spacing w:after="0" w:line="240" w:lineRule="auto"/>
        <w:rPr>
          <w:rFonts w:ascii="Times New Roman" w:hAnsi="Times New Roman" w:cs="Times New Roman"/>
          <w:color w:val="FF0000"/>
          <w:sz w:val="20"/>
          <w:szCs w:val="24"/>
          <w:lang w:val="lv-LV"/>
        </w:rPr>
      </w:pPr>
    </w:p>
    <w:p w:rsidR="00DF0D42" w:rsidRPr="009F6DB0" w:rsidRDefault="00DF0D42" w:rsidP="000D1234">
      <w:pPr>
        <w:spacing w:after="0" w:line="240" w:lineRule="auto"/>
        <w:rPr>
          <w:rFonts w:ascii="Times New Roman" w:hAnsi="Times New Roman" w:cs="Times New Roman"/>
          <w:sz w:val="20"/>
          <w:szCs w:val="24"/>
          <w:lang w:val="lv-LV"/>
        </w:rPr>
      </w:pPr>
    </w:p>
    <w:p w:rsidR="0069148D" w:rsidRDefault="0069148D" w:rsidP="000D1234">
      <w:pPr>
        <w:spacing w:after="0" w:line="240" w:lineRule="auto"/>
        <w:rPr>
          <w:rFonts w:ascii="Times New Roman" w:hAnsi="Times New Roman" w:cs="Times New Roman"/>
          <w:color w:val="000000" w:themeColor="text1"/>
          <w:sz w:val="20"/>
          <w:szCs w:val="20"/>
          <w:lang w:val="lv-LV"/>
        </w:rPr>
      </w:pPr>
      <w:bookmarkStart w:id="0" w:name="_GoBack"/>
      <w:bookmarkEnd w:id="0"/>
    </w:p>
    <w:p w:rsidR="00BC1624" w:rsidRDefault="00BC1624" w:rsidP="000D1234">
      <w:pPr>
        <w:spacing w:after="0" w:line="240" w:lineRule="auto"/>
        <w:rPr>
          <w:rFonts w:ascii="Times New Roman" w:hAnsi="Times New Roman" w:cs="Times New Roman"/>
          <w:color w:val="000000" w:themeColor="text1"/>
          <w:sz w:val="20"/>
          <w:szCs w:val="20"/>
          <w:lang w:val="lv-LV"/>
        </w:rPr>
      </w:pPr>
    </w:p>
    <w:p w:rsidR="001445A9" w:rsidRDefault="001445A9" w:rsidP="000D1234">
      <w:pPr>
        <w:spacing w:after="0" w:line="240" w:lineRule="auto"/>
        <w:rPr>
          <w:rFonts w:ascii="Times New Roman" w:hAnsi="Times New Roman" w:cs="Times New Roman"/>
          <w:color w:val="000000" w:themeColor="text1"/>
          <w:sz w:val="20"/>
          <w:szCs w:val="20"/>
          <w:lang w:val="lv-LV"/>
        </w:rPr>
      </w:pPr>
    </w:p>
    <w:p w:rsidR="00BC1624" w:rsidRDefault="00BC1624" w:rsidP="000D1234">
      <w:pPr>
        <w:spacing w:after="0" w:line="240" w:lineRule="auto"/>
        <w:rPr>
          <w:rFonts w:ascii="Times New Roman" w:hAnsi="Times New Roman" w:cs="Times New Roman"/>
          <w:color w:val="000000" w:themeColor="text1"/>
          <w:sz w:val="20"/>
          <w:szCs w:val="20"/>
          <w:lang w:val="lv-LV"/>
        </w:rPr>
      </w:pPr>
    </w:p>
    <w:p w:rsidR="00BC1624" w:rsidRDefault="00BC1624" w:rsidP="000D1234">
      <w:pPr>
        <w:spacing w:after="0" w:line="240" w:lineRule="auto"/>
        <w:rPr>
          <w:rFonts w:ascii="Times New Roman" w:hAnsi="Times New Roman" w:cs="Times New Roman"/>
          <w:color w:val="000000" w:themeColor="text1"/>
          <w:sz w:val="20"/>
          <w:szCs w:val="20"/>
          <w:lang w:val="lv-LV"/>
        </w:rPr>
      </w:pPr>
    </w:p>
    <w:p w:rsidR="000D1234" w:rsidRPr="00F16CC8" w:rsidRDefault="002B026B" w:rsidP="000D1234">
      <w:pPr>
        <w:spacing w:after="0" w:line="240" w:lineRule="auto"/>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17</w:t>
      </w:r>
      <w:r w:rsidR="006D1A4F">
        <w:rPr>
          <w:rFonts w:ascii="Times New Roman" w:hAnsi="Times New Roman" w:cs="Times New Roman"/>
          <w:color w:val="000000" w:themeColor="text1"/>
          <w:sz w:val="20"/>
          <w:szCs w:val="20"/>
          <w:lang w:val="lv-LV"/>
        </w:rPr>
        <w:t>.12</w:t>
      </w:r>
      <w:r w:rsidR="00BA5DE6">
        <w:rPr>
          <w:rFonts w:ascii="Times New Roman" w:hAnsi="Times New Roman" w:cs="Times New Roman"/>
          <w:color w:val="000000" w:themeColor="text1"/>
          <w:sz w:val="20"/>
          <w:szCs w:val="20"/>
          <w:lang w:val="lv-LV"/>
        </w:rPr>
        <w:t>.</w:t>
      </w:r>
      <w:r w:rsidR="00B10702" w:rsidRPr="00F16CC8">
        <w:rPr>
          <w:rFonts w:ascii="Times New Roman" w:hAnsi="Times New Roman" w:cs="Times New Roman"/>
          <w:color w:val="000000" w:themeColor="text1"/>
          <w:sz w:val="20"/>
          <w:szCs w:val="20"/>
          <w:lang w:val="lv-LV"/>
        </w:rPr>
        <w:t>201</w:t>
      </w:r>
      <w:r w:rsidR="00C75B82" w:rsidRPr="00F16CC8">
        <w:rPr>
          <w:rFonts w:ascii="Times New Roman" w:hAnsi="Times New Roman" w:cs="Times New Roman"/>
          <w:color w:val="000000" w:themeColor="text1"/>
          <w:sz w:val="20"/>
          <w:szCs w:val="20"/>
          <w:lang w:val="lv-LV"/>
        </w:rPr>
        <w:t>5</w:t>
      </w:r>
      <w:r w:rsidR="00B10702" w:rsidRPr="00F16CC8">
        <w:rPr>
          <w:rFonts w:ascii="Times New Roman" w:hAnsi="Times New Roman" w:cs="Times New Roman"/>
          <w:color w:val="000000" w:themeColor="text1"/>
          <w:sz w:val="20"/>
          <w:szCs w:val="20"/>
          <w:lang w:val="lv-LV"/>
        </w:rPr>
        <w:t>.</w:t>
      </w:r>
      <w:r w:rsidR="00DF0D42" w:rsidRPr="00F16CC8">
        <w:rPr>
          <w:rFonts w:ascii="Times New Roman" w:hAnsi="Times New Roman" w:cs="Times New Roman"/>
          <w:color w:val="000000" w:themeColor="text1"/>
          <w:sz w:val="20"/>
          <w:szCs w:val="20"/>
          <w:lang w:val="lv-LV"/>
        </w:rPr>
        <w:t xml:space="preserve"> </w:t>
      </w:r>
      <w:r w:rsidR="00A30F16">
        <w:rPr>
          <w:rFonts w:ascii="Times New Roman" w:hAnsi="Times New Roman" w:cs="Times New Roman"/>
          <w:color w:val="000000" w:themeColor="text1"/>
          <w:sz w:val="20"/>
          <w:szCs w:val="20"/>
          <w:lang w:val="lv-LV"/>
        </w:rPr>
        <w:t>15</w:t>
      </w:r>
      <w:r>
        <w:rPr>
          <w:rFonts w:ascii="Times New Roman" w:hAnsi="Times New Roman" w:cs="Times New Roman"/>
          <w:color w:val="000000" w:themeColor="text1"/>
          <w:sz w:val="20"/>
          <w:szCs w:val="20"/>
          <w:lang w:val="lv-LV"/>
        </w:rPr>
        <w:t>:2</w:t>
      </w:r>
      <w:r w:rsidR="008A36B4">
        <w:rPr>
          <w:rFonts w:ascii="Times New Roman" w:hAnsi="Times New Roman" w:cs="Times New Roman"/>
          <w:color w:val="000000" w:themeColor="text1"/>
          <w:sz w:val="20"/>
          <w:szCs w:val="20"/>
          <w:lang w:val="lv-LV"/>
        </w:rPr>
        <w:t>9</w:t>
      </w:r>
    </w:p>
    <w:p w:rsidR="00BF2EC3" w:rsidRPr="00F16CC8" w:rsidRDefault="00A30F16" w:rsidP="000D1234">
      <w:pPr>
        <w:spacing w:after="0" w:line="240" w:lineRule="auto"/>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601</w:t>
      </w:r>
    </w:p>
    <w:p w:rsidR="004D748F" w:rsidRPr="009F6DB0" w:rsidRDefault="002B026B" w:rsidP="000D1234">
      <w:pPr>
        <w:spacing w:after="0" w:line="240" w:lineRule="auto"/>
        <w:rPr>
          <w:rFonts w:ascii="Times New Roman" w:hAnsi="Times New Roman" w:cs="Times New Roman"/>
          <w:sz w:val="20"/>
          <w:szCs w:val="20"/>
          <w:lang w:val="lv-LV"/>
        </w:rPr>
      </w:pPr>
      <w:r>
        <w:rPr>
          <w:rFonts w:ascii="Times New Roman" w:eastAsia="Times New Roman" w:hAnsi="Times New Roman" w:cs="Times New Roman"/>
          <w:sz w:val="20"/>
          <w:szCs w:val="20"/>
          <w:lang w:val="lv-LV" w:eastAsia="lv-LV"/>
        </w:rPr>
        <w:t>D.Pinne</w:t>
      </w:r>
      <w:r w:rsidR="006F4131">
        <w:rPr>
          <w:rFonts w:ascii="Times New Roman" w:eastAsia="Times New Roman" w:hAnsi="Times New Roman" w:cs="Times New Roman"/>
          <w:sz w:val="20"/>
          <w:szCs w:val="20"/>
          <w:lang w:val="lv-LV" w:eastAsia="lv-LV"/>
        </w:rPr>
        <w:t>, 67335243</w:t>
      </w:r>
    </w:p>
    <w:p w:rsidR="00FF3869" w:rsidRPr="009F6DB0" w:rsidRDefault="002B026B" w:rsidP="000D1234">
      <w:pPr>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D.Pinne</w:t>
      </w:r>
      <w:r w:rsidR="004D748F" w:rsidRPr="009F6DB0">
        <w:rPr>
          <w:rFonts w:ascii="Times New Roman" w:eastAsia="Times New Roman" w:hAnsi="Times New Roman" w:cs="Times New Roman"/>
          <w:sz w:val="20"/>
          <w:szCs w:val="20"/>
          <w:lang w:val="lv-LV" w:eastAsia="lv-LV"/>
        </w:rPr>
        <w:t>@mod.gov.lv</w:t>
      </w:r>
    </w:p>
    <w:sectPr w:rsidR="00FF3869" w:rsidRPr="009F6DB0" w:rsidSect="000F44DE">
      <w:headerReference w:type="even" r:id="rId9"/>
      <w:headerReference w:type="default" r:id="rId10"/>
      <w:footerReference w:type="even" r:id="rId11"/>
      <w:footerReference w:type="default" r:id="rId12"/>
      <w:headerReference w:type="first" r:id="rId13"/>
      <w:footerReference w:type="first" r:id="rId14"/>
      <w:pgSz w:w="12240" w:h="15840"/>
      <w:pgMar w:top="993" w:right="10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00" w:rsidRDefault="00CF2B00" w:rsidP="002467EA">
      <w:pPr>
        <w:spacing w:after="0" w:line="240" w:lineRule="auto"/>
      </w:pPr>
      <w:r>
        <w:separator/>
      </w:r>
    </w:p>
  </w:endnote>
  <w:endnote w:type="continuationSeparator" w:id="0">
    <w:p w:rsidR="00CF2B00" w:rsidRDefault="00CF2B00" w:rsidP="0024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44" w:rsidRDefault="00E10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06804"/>
      <w:docPartObj>
        <w:docPartGallery w:val="Page Numbers (Bottom of Page)"/>
        <w:docPartUnique/>
      </w:docPartObj>
    </w:sdtPr>
    <w:sdtEndPr>
      <w:rPr>
        <w:noProof/>
      </w:rPr>
    </w:sdtEndPr>
    <w:sdtContent>
      <w:p w:rsidR="00C75B82" w:rsidRDefault="00C75B82">
        <w:pPr>
          <w:pStyle w:val="Footer"/>
          <w:jc w:val="center"/>
        </w:pPr>
        <w:r>
          <w:fldChar w:fldCharType="begin"/>
        </w:r>
        <w:r>
          <w:instrText xml:space="preserve"> PAGE   \* MERGEFORMAT </w:instrText>
        </w:r>
        <w:r>
          <w:fldChar w:fldCharType="separate"/>
        </w:r>
        <w:r w:rsidR="002B026B">
          <w:rPr>
            <w:noProof/>
          </w:rPr>
          <w:t>4</w:t>
        </w:r>
        <w:r>
          <w:rPr>
            <w:noProof/>
          </w:rPr>
          <w:fldChar w:fldCharType="end"/>
        </w:r>
      </w:p>
    </w:sdtContent>
  </w:sdt>
  <w:p w:rsidR="00E01CC5" w:rsidRPr="00E01CC5" w:rsidRDefault="00E01CC5" w:rsidP="00E01CC5">
    <w:pPr>
      <w:spacing w:after="0" w:line="240" w:lineRule="auto"/>
      <w:jc w:val="both"/>
      <w:rPr>
        <w:rFonts w:ascii="Times New Roman" w:eastAsia="Times New Roman" w:hAnsi="Times New Roman" w:cs="Times New Roman"/>
        <w:color w:val="000000" w:themeColor="text1"/>
        <w:sz w:val="20"/>
        <w:szCs w:val="20"/>
        <w:lang w:val="lv-LV" w:eastAsia="lv-LV"/>
      </w:rPr>
    </w:pPr>
    <w:r w:rsidRPr="00E01CC5">
      <w:rPr>
        <w:rFonts w:ascii="Times New Roman" w:eastAsia="Times New Roman" w:hAnsi="Times New Roman" w:cs="Times New Roman"/>
        <w:color w:val="000000" w:themeColor="text1"/>
        <w:sz w:val="20"/>
        <w:szCs w:val="20"/>
        <w:lang w:val="lv-LV" w:eastAsia="lv-LV"/>
      </w:rPr>
      <w:t>AIMAnot_</w:t>
    </w:r>
    <w:r w:rsidR="00E10E44">
      <w:rPr>
        <w:rFonts w:ascii="Times New Roman" w:eastAsia="Times New Roman" w:hAnsi="Times New Roman" w:cs="Times New Roman"/>
        <w:color w:val="000000" w:themeColor="text1"/>
        <w:sz w:val="20"/>
        <w:szCs w:val="20"/>
        <w:lang w:val="lv-LV" w:eastAsia="lv-LV"/>
      </w:rPr>
      <w:t>03</w:t>
    </w:r>
    <w:r w:rsidR="00F57FF5">
      <w:rPr>
        <w:rFonts w:ascii="Times New Roman" w:eastAsia="Times New Roman" w:hAnsi="Times New Roman" w:cs="Times New Roman"/>
        <w:color w:val="000000" w:themeColor="text1"/>
        <w:sz w:val="20"/>
        <w:szCs w:val="20"/>
        <w:lang w:val="lv-LV" w:eastAsia="lv-LV"/>
      </w:rPr>
      <w:t>1</w:t>
    </w:r>
    <w:r w:rsidR="00E10E44">
      <w:rPr>
        <w:rFonts w:ascii="Times New Roman" w:eastAsia="Times New Roman" w:hAnsi="Times New Roman" w:cs="Times New Roman"/>
        <w:color w:val="000000" w:themeColor="text1"/>
        <w:sz w:val="20"/>
        <w:szCs w:val="20"/>
        <w:lang w:val="lv-LV" w:eastAsia="lv-LV"/>
      </w:rPr>
      <w:t>2</w:t>
    </w:r>
    <w:r w:rsidRPr="00E01CC5">
      <w:rPr>
        <w:rFonts w:ascii="Times New Roman" w:eastAsia="Times New Roman" w:hAnsi="Times New Roman" w:cs="Times New Roman"/>
        <w:color w:val="000000" w:themeColor="text1"/>
        <w:sz w:val="20"/>
        <w:szCs w:val="20"/>
        <w:lang w:val="lv-LV" w:eastAsia="lv-LV"/>
      </w:rPr>
      <w:t>15_</w:t>
    </w:r>
    <w:r w:rsidR="001D0FD8">
      <w:rPr>
        <w:rFonts w:ascii="Times New Roman" w:eastAsia="Times New Roman" w:hAnsi="Times New Roman" w:cs="Times New Roman"/>
        <w:color w:val="000000" w:themeColor="text1"/>
        <w:sz w:val="20"/>
        <w:szCs w:val="20"/>
        <w:lang w:val="lv-LV" w:eastAsia="lv-LV"/>
      </w:rPr>
      <w:t>groz</w:t>
    </w:r>
    <w:r w:rsidRPr="00E01CC5">
      <w:rPr>
        <w:rFonts w:ascii="Times New Roman" w:eastAsia="Times New Roman" w:hAnsi="Times New Roman" w:cs="Times New Roman"/>
        <w:color w:val="000000" w:themeColor="text1"/>
        <w:sz w:val="20"/>
        <w:szCs w:val="20"/>
        <w:lang w:val="lv-LV" w:eastAsia="lv-LV"/>
      </w:rPr>
      <w:t>MK947; Ministru kabine</w:t>
    </w:r>
    <w:r w:rsidR="009F3824">
      <w:rPr>
        <w:rFonts w:ascii="Times New Roman" w:eastAsia="Times New Roman" w:hAnsi="Times New Roman" w:cs="Times New Roman"/>
        <w:color w:val="000000" w:themeColor="text1"/>
        <w:sz w:val="20"/>
        <w:szCs w:val="20"/>
        <w:lang w:val="lv-LV" w:eastAsia="lv-LV"/>
      </w:rPr>
      <w:t>ta noteikumu projekta „Grozījumi</w:t>
    </w:r>
    <w:r w:rsidRPr="00E01CC5">
      <w:rPr>
        <w:rFonts w:ascii="Times New Roman" w:eastAsia="Times New Roman" w:hAnsi="Times New Roman" w:cs="Times New Roman"/>
        <w:color w:val="000000" w:themeColor="text1"/>
        <w:sz w:val="20"/>
        <w:szCs w:val="20"/>
        <w:lang w:val="lv-LV" w:eastAsia="lv-LV"/>
      </w:rPr>
      <w:t xml:space="preserve"> Ministru kabineta 2010.gada 5.oktobra noteikumos Nr.947 „Karavīru un zemessargu militārās disciplīnas reglaments”” sākotnējās ietekmes novērtējuma </w:t>
    </w:r>
    <w:smartTag w:uri="schemas-tilde-lv/tildestengine" w:element="veidnes">
      <w:smartTagPr>
        <w:attr w:name="text" w:val="ziņojums"/>
        <w:attr w:name="id" w:val="-1"/>
        <w:attr w:name="baseform" w:val="ziņojum|s"/>
      </w:smartTagPr>
      <w:r w:rsidRPr="00E01CC5">
        <w:rPr>
          <w:rFonts w:ascii="Times New Roman" w:eastAsia="Times New Roman" w:hAnsi="Times New Roman" w:cs="Times New Roman"/>
          <w:color w:val="000000" w:themeColor="text1"/>
          <w:sz w:val="20"/>
          <w:szCs w:val="20"/>
          <w:lang w:val="lv-LV" w:eastAsia="lv-LV"/>
        </w:rPr>
        <w:t>ziņojums</w:t>
      </w:r>
    </w:smartTag>
    <w:r w:rsidRPr="00E01CC5">
      <w:rPr>
        <w:rFonts w:ascii="Times New Roman" w:eastAsia="Times New Roman" w:hAnsi="Times New Roman" w:cs="Times New Roman"/>
        <w:color w:val="000000" w:themeColor="text1"/>
        <w:sz w:val="20"/>
        <w:szCs w:val="20"/>
        <w:lang w:val="lv-LV" w:eastAsia="lv-LV"/>
      </w:rPr>
      <w:t xml:space="preserve"> (anotācija)</w:t>
    </w:r>
  </w:p>
  <w:p w:rsidR="00E01CC5" w:rsidRPr="00BB218E" w:rsidRDefault="00E01CC5" w:rsidP="00E01CC5">
    <w:pPr>
      <w:pStyle w:val="Footer"/>
      <w:rPr>
        <w:lang w:val="lv-LV"/>
      </w:rPr>
    </w:pPr>
  </w:p>
  <w:p w:rsidR="00A54598" w:rsidRDefault="00A545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90" w:rsidRPr="00E01CC5" w:rsidRDefault="00224590" w:rsidP="00224590">
    <w:pPr>
      <w:spacing w:after="0" w:line="240" w:lineRule="auto"/>
      <w:jc w:val="both"/>
      <w:rPr>
        <w:rFonts w:ascii="Times New Roman" w:eastAsia="Times New Roman" w:hAnsi="Times New Roman" w:cs="Times New Roman"/>
        <w:color w:val="000000" w:themeColor="text1"/>
        <w:sz w:val="20"/>
        <w:szCs w:val="20"/>
        <w:lang w:val="lv-LV" w:eastAsia="lv-LV"/>
      </w:rPr>
    </w:pPr>
    <w:r w:rsidRPr="00E01CC5">
      <w:rPr>
        <w:rFonts w:ascii="Times New Roman" w:eastAsia="Times New Roman" w:hAnsi="Times New Roman" w:cs="Times New Roman"/>
        <w:color w:val="000000" w:themeColor="text1"/>
        <w:sz w:val="20"/>
        <w:szCs w:val="20"/>
        <w:lang w:val="lv-LV" w:eastAsia="lv-LV"/>
      </w:rPr>
      <w:t>AIMAnot_</w:t>
    </w:r>
    <w:r w:rsidR="00E10E44">
      <w:rPr>
        <w:rFonts w:ascii="Times New Roman" w:eastAsia="Times New Roman" w:hAnsi="Times New Roman" w:cs="Times New Roman"/>
        <w:color w:val="000000" w:themeColor="text1"/>
        <w:sz w:val="20"/>
        <w:szCs w:val="20"/>
        <w:lang w:val="lv-LV" w:eastAsia="lv-LV"/>
      </w:rPr>
      <w:t>0312</w:t>
    </w:r>
    <w:r w:rsidR="00D152A4" w:rsidRPr="00E01CC5">
      <w:rPr>
        <w:rFonts w:ascii="Times New Roman" w:eastAsia="Times New Roman" w:hAnsi="Times New Roman" w:cs="Times New Roman"/>
        <w:color w:val="000000" w:themeColor="text1"/>
        <w:sz w:val="20"/>
        <w:szCs w:val="20"/>
        <w:lang w:val="lv-LV" w:eastAsia="lv-LV"/>
      </w:rPr>
      <w:t>15</w:t>
    </w:r>
    <w:r w:rsidR="00270DAF" w:rsidRPr="00E01CC5">
      <w:rPr>
        <w:rFonts w:ascii="Times New Roman" w:eastAsia="Times New Roman" w:hAnsi="Times New Roman" w:cs="Times New Roman"/>
        <w:color w:val="000000" w:themeColor="text1"/>
        <w:sz w:val="20"/>
        <w:szCs w:val="20"/>
        <w:lang w:val="lv-LV" w:eastAsia="lv-LV"/>
      </w:rPr>
      <w:t>_</w:t>
    </w:r>
    <w:r w:rsidR="001D0FD8">
      <w:rPr>
        <w:rFonts w:ascii="Times New Roman" w:eastAsia="Times New Roman" w:hAnsi="Times New Roman" w:cs="Times New Roman"/>
        <w:color w:val="000000" w:themeColor="text1"/>
        <w:sz w:val="20"/>
        <w:szCs w:val="20"/>
        <w:lang w:val="lv-LV" w:eastAsia="lv-LV"/>
      </w:rPr>
      <w:t>groz</w:t>
    </w:r>
    <w:r w:rsidR="00270DAF" w:rsidRPr="00E01CC5">
      <w:rPr>
        <w:rFonts w:ascii="Times New Roman" w:eastAsia="Times New Roman" w:hAnsi="Times New Roman" w:cs="Times New Roman"/>
        <w:color w:val="000000" w:themeColor="text1"/>
        <w:sz w:val="20"/>
        <w:szCs w:val="20"/>
        <w:lang w:val="lv-LV" w:eastAsia="lv-LV"/>
      </w:rPr>
      <w:t>MK947</w:t>
    </w:r>
    <w:r w:rsidRPr="00E01CC5">
      <w:rPr>
        <w:rFonts w:ascii="Times New Roman" w:eastAsia="Times New Roman" w:hAnsi="Times New Roman" w:cs="Times New Roman"/>
        <w:color w:val="000000" w:themeColor="text1"/>
        <w:sz w:val="20"/>
        <w:szCs w:val="20"/>
        <w:lang w:val="lv-LV" w:eastAsia="lv-LV"/>
      </w:rPr>
      <w:t>; Ministru kabineta noteikumu projekta „</w:t>
    </w:r>
    <w:r w:rsidR="009F3824">
      <w:rPr>
        <w:rFonts w:ascii="Times New Roman" w:eastAsia="Times New Roman" w:hAnsi="Times New Roman" w:cs="Times New Roman"/>
        <w:color w:val="000000" w:themeColor="text1"/>
        <w:sz w:val="20"/>
        <w:szCs w:val="20"/>
        <w:lang w:val="lv-LV" w:eastAsia="lv-LV"/>
      </w:rPr>
      <w:t>Grozījumi</w:t>
    </w:r>
    <w:r w:rsidR="00E01CC5" w:rsidRPr="00E01CC5">
      <w:rPr>
        <w:rFonts w:ascii="Times New Roman" w:eastAsia="Times New Roman" w:hAnsi="Times New Roman" w:cs="Times New Roman"/>
        <w:color w:val="000000" w:themeColor="text1"/>
        <w:sz w:val="20"/>
        <w:szCs w:val="20"/>
        <w:lang w:val="lv-LV" w:eastAsia="lv-LV"/>
      </w:rPr>
      <w:t xml:space="preserve"> Ministru kabineta 2010.gada 5.oktobra noteikumos Nr.947 „Karavīru un zemessargu militārās disciplīnas reglaments</w:t>
    </w:r>
    <w:r w:rsidRPr="00E01CC5">
      <w:rPr>
        <w:rFonts w:ascii="Times New Roman" w:eastAsia="Times New Roman" w:hAnsi="Times New Roman" w:cs="Times New Roman"/>
        <w:color w:val="000000" w:themeColor="text1"/>
        <w:sz w:val="20"/>
        <w:szCs w:val="20"/>
        <w:lang w:val="lv-LV" w:eastAsia="lv-LV"/>
      </w:rPr>
      <w:t xml:space="preserve">”” sākotnējās ietekmes novērtējuma </w:t>
    </w:r>
    <w:smartTag w:uri="schemas-tilde-lv/tildestengine" w:element="veidnes">
      <w:smartTagPr>
        <w:attr w:name="text" w:val="ziņojums"/>
        <w:attr w:name="id" w:val="-1"/>
        <w:attr w:name="baseform" w:val="ziņojum|s"/>
      </w:smartTagPr>
      <w:r w:rsidRPr="00E01CC5">
        <w:rPr>
          <w:rFonts w:ascii="Times New Roman" w:eastAsia="Times New Roman" w:hAnsi="Times New Roman" w:cs="Times New Roman"/>
          <w:color w:val="000000" w:themeColor="text1"/>
          <w:sz w:val="20"/>
          <w:szCs w:val="20"/>
          <w:lang w:val="lv-LV" w:eastAsia="lv-LV"/>
        </w:rPr>
        <w:t>ziņojums</w:t>
      </w:r>
    </w:smartTag>
    <w:r w:rsidRPr="00E01CC5">
      <w:rPr>
        <w:rFonts w:ascii="Times New Roman" w:eastAsia="Times New Roman" w:hAnsi="Times New Roman" w:cs="Times New Roman"/>
        <w:color w:val="000000" w:themeColor="text1"/>
        <w:sz w:val="20"/>
        <w:szCs w:val="20"/>
        <w:lang w:val="lv-LV" w:eastAsia="lv-LV"/>
      </w:rPr>
      <w:t xml:space="preserve"> (anotācija)</w:t>
    </w:r>
  </w:p>
  <w:p w:rsidR="000D6A02" w:rsidRPr="00224590" w:rsidRDefault="000D6A02" w:rsidP="00224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00" w:rsidRDefault="00CF2B00" w:rsidP="002467EA">
      <w:pPr>
        <w:spacing w:after="0" w:line="240" w:lineRule="auto"/>
      </w:pPr>
      <w:r>
        <w:separator/>
      </w:r>
    </w:p>
  </w:footnote>
  <w:footnote w:type="continuationSeparator" w:id="0">
    <w:p w:rsidR="00CF2B00" w:rsidRDefault="00CF2B00" w:rsidP="0024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44" w:rsidRDefault="00E10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44" w:rsidRDefault="00E10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44" w:rsidRDefault="00E1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005"/>
    <w:multiLevelType w:val="hybridMultilevel"/>
    <w:tmpl w:val="0E18EDC0"/>
    <w:lvl w:ilvl="0" w:tplc="328C74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9"/>
    <w:rsid w:val="00031BEC"/>
    <w:rsid w:val="00032E96"/>
    <w:rsid w:val="00045F73"/>
    <w:rsid w:val="000740A3"/>
    <w:rsid w:val="00077ACC"/>
    <w:rsid w:val="00083347"/>
    <w:rsid w:val="0008679B"/>
    <w:rsid w:val="000946D1"/>
    <w:rsid w:val="00097E84"/>
    <w:rsid w:val="000C2AA4"/>
    <w:rsid w:val="000D1234"/>
    <w:rsid w:val="000D6A02"/>
    <w:rsid w:val="000E0C54"/>
    <w:rsid w:val="000F44DE"/>
    <w:rsid w:val="00117B5D"/>
    <w:rsid w:val="00120056"/>
    <w:rsid w:val="00127583"/>
    <w:rsid w:val="001445A9"/>
    <w:rsid w:val="00157DA4"/>
    <w:rsid w:val="00161C8A"/>
    <w:rsid w:val="0017287D"/>
    <w:rsid w:val="001D0AE6"/>
    <w:rsid w:val="001D0FD8"/>
    <w:rsid w:val="001E376C"/>
    <w:rsid w:val="00213914"/>
    <w:rsid w:val="0022448E"/>
    <w:rsid w:val="00224590"/>
    <w:rsid w:val="00227869"/>
    <w:rsid w:val="0024483A"/>
    <w:rsid w:val="002467EA"/>
    <w:rsid w:val="00256F7F"/>
    <w:rsid w:val="002619AD"/>
    <w:rsid w:val="00265184"/>
    <w:rsid w:val="00270DAF"/>
    <w:rsid w:val="002943D1"/>
    <w:rsid w:val="002B026B"/>
    <w:rsid w:val="002B3D5A"/>
    <w:rsid w:val="002B54B7"/>
    <w:rsid w:val="002B6132"/>
    <w:rsid w:val="002C52C6"/>
    <w:rsid w:val="002C6C89"/>
    <w:rsid w:val="002D07A8"/>
    <w:rsid w:val="002D13AC"/>
    <w:rsid w:val="003058B3"/>
    <w:rsid w:val="003249E7"/>
    <w:rsid w:val="003A27EF"/>
    <w:rsid w:val="003B7D67"/>
    <w:rsid w:val="003C34D4"/>
    <w:rsid w:val="003C6850"/>
    <w:rsid w:val="003D503E"/>
    <w:rsid w:val="003E0ADA"/>
    <w:rsid w:val="003F54AD"/>
    <w:rsid w:val="00443740"/>
    <w:rsid w:val="00454A8F"/>
    <w:rsid w:val="004618A7"/>
    <w:rsid w:val="004618C6"/>
    <w:rsid w:val="00472D3B"/>
    <w:rsid w:val="0049307E"/>
    <w:rsid w:val="004B1ABD"/>
    <w:rsid w:val="004B2D38"/>
    <w:rsid w:val="004B7105"/>
    <w:rsid w:val="004B78BA"/>
    <w:rsid w:val="004C5839"/>
    <w:rsid w:val="004D748F"/>
    <w:rsid w:val="004E4C15"/>
    <w:rsid w:val="004F2080"/>
    <w:rsid w:val="004F4909"/>
    <w:rsid w:val="004F62D2"/>
    <w:rsid w:val="005021D8"/>
    <w:rsid w:val="00534D0E"/>
    <w:rsid w:val="00534FE9"/>
    <w:rsid w:val="00550D5E"/>
    <w:rsid w:val="00567243"/>
    <w:rsid w:val="00583F6E"/>
    <w:rsid w:val="005A2843"/>
    <w:rsid w:val="005A62D5"/>
    <w:rsid w:val="005F6714"/>
    <w:rsid w:val="00601DF2"/>
    <w:rsid w:val="00604469"/>
    <w:rsid w:val="006404F2"/>
    <w:rsid w:val="006407E2"/>
    <w:rsid w:val="0066090A"/>
    <w:rsid w:val="00663E73"/>
    <w:rsid w:val="0069148D"/>
    <w:rsid w:val="006B025D"/>
    <w:rsid w:val="006D1A4F"/>
    <w:rsid w:val="006D5075"/>
    <w:rsid w:val="006F4131"/>
    <w:rsid w:val="007113DB"/>
    <w:rsid w:val="0071565D"/>
    <w:rsid w:val="00735EEB"/>
    <w:rsid w:val="00736B5F"/>
    <w:rsid w:val="00760EEC"/>
    <w:rsid w:val="00785D29"/>
    <w:rsid w:val="007E29C4"/>
    <w:rsid w:val="007F30FB"/>
    <w:rsid w:val="00800034"/>
    <w:rsid w:val="008829E9"/>
    <w:rsid w:val="00890BCA"/>
    <w:rsid w:val="008A36B4"/>
    <w:rsid w:val="008E5443"/>
    <w:rsid w:val="008F42D6"/>
    <w:rsid w:val="008F53A6"/>
    <w:rsid w:val="008F7EB8"/>
    <w:rsid w:val="0091573A"/>
    <w:rsid w:val="00935A95"/>
    <w:rsid w:val="00950DE7"/>
    <w:rsid w:val="00972FC1"/>
    <w:rsid w:val="0097417D"/>
    <w:rsid w:val="0097612A"/>
    <w:rsid w:val="0099417B"/>
    <w:rsid w:val="009A4571"/>
    <w:rsid w:val="009C5DAA"/>
    <w:rsid w:val="009F3824"/>
    <w:rsid w:val="009F6DB0"/>
    <w:rsid w:val="00A11A5A"/>
    <w:rsid w:val="00A21B8D"/>
    <w:rsid w:val="00A250E8"/>
    <w:rsid w:val="00A30F16"/>
    <w:rsid w:val="00A32218"/>
    <w:rsid w:val="00A4663B"/>
    <w:rsid w:val="00A54598"/>
    <w:rsid w:val="00A60531"/>
    <w:rsid w:val="00A93407"/>
    <w:rsid w:val="00AC1B58"/>
    <w:rsid w:val="00AC788D"/>
    <w:rsid w:val="00AE0CEA"/>
    <w:rsid w:val="00AE6904"/>
    <w:rsid w:val="00AF2C4C"/>
    <w:rsid w:val="00B00AED"/>
    <w:rsid w:val="00B10702"/>
    <w:rsid w:val="00B6395C"/>
    <w:rsid w:val="00B711E4"/>
    <w:rsid w:val="00B71D5A"/>
    <w:rsid w:val="00B7263E"/>
    <w:rsid w:val="00B87BB2"/>
    <w:rsid w:val="00B96CFB"/>
    <w:rsid w:val="00BA5DE6"/>
    <w:rsid w:val="00BB218E"/>
    <w:rsid w:val="00BC1624"/>
    <w:rsid w:val="00BC6117"/>
    <w:rsid w:val="00BE2098"/>
    <w:rsid w:val="00BE65F1"/>
    <w:rsid w:val="00BF2B50"/>
    <w:rsid w:val="00BF2DBF"/>
    <w:rsid w:val="00BF2EC3"/>
    <w:rsid w:val="00C10936"/>
    <w:rsid w:val="00C20ECD"/>
    <w:rsid w:val="00C230C7"/>
    <w:rsid w:val="00C26AE9"/>
    <w:rsid w:val="00C71207"/>
    <w:rsid w:val="00C75B82"/>
    <w:rsid w:val="00C86012"/>
    <w:rsid w:val="00C97DD9"/>
    <w:rsid w:val="00CA5138"/>
    <w:rsid w:val="00CA706F"/>
    <w:rsid w:val="00CF2B00"/>
    <w:rsid w:val="00CF5EE7"/>
    <w:rsid w:val="00D07BB0"/>
    <w:rsid w:val="00D152A4"/>
    <w:rsid w:val="00D33BCF"/>
    <w:rsid w:val="00D3633A"/>
    <w:rsid w:val="00D45984"/>
    <w:rsid w:val="00D55D10"/>
    <w:rsid w:val="00D665BB"/>
    <w:rsid w:val="00D76AEE"/>
    <w:rsid w:val="00D80942"/>
    <w:rsid w:val="00D97A9E"/>
    <w:rsid w:val="00DB019C"/>
    <w:rsid w:val="00DE6B50"/>
    <w:rsid w:val="00DF0D42"/>
    <w:rsid w:val="00DF12C3"/>
    <w:rsid w:val="00E01CC5"/>
    <w:rsid w:val="00E10E44"/>
    <w:rsid w:val="00E152CB"/>
    <w:rsid w:val="00E307E0"/>
    <w:rsid w:val="00E310F6"/>
    <w:rsid w:val="00E578F1"/>
    <w:rsid w:val="00E61D0A"/>
    <w:rsid w:val="00E844AE"/>
    <w:rsid w:val="00EA15E7"/>
    <w:rsid w:val="00EA4359"/>
    <w:rsid w:val="00ED261A"/>
    <w:rsid w:val="00F13D2D"/>
    <w:rsid w:val="00F16CC8"/>
    <w:rsid w:val="00F21096"/>
    <w:rsid w:val="00F3531F"/>
    <w:rsid w:val="00F45D60"/>
    <w:rsid w:val="00F55864"/>
    <w:rsid w:val="00F57FF5"/>
    <w:rsid w:val="00F846E1"/>
    <w:rsid w:val="00F871D9"/>
    <w:rsid w:val="00F90511"/>
    <w:rsid w:val="00F97339"/>
    <w:rsid w:val="00FA2976"/>
    <w:rsid w:val="00FB42EE"/>
    <w:rsid w:val="00FD2BDB"/>
    <w:rsid w:val="00FD6F24"/>
    <w:rsid w:val="00FE01A8"/>
    <w:rsid w:val="00FE1A31"/>
    <w:rsid w:val="00FE67F6"/>
    <w:rsid w:val="00FF3869"/>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6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7EA"/>
    <w:rPr>
      <w:sz w:val="20"/>
      <w:szCs w:val="20"/>
    </w:rPr>
  </w:style>
  <w:style w:type="character" w:styleId="FootnoteReference">
    <w:name w:val="footnote reference"/>
    <w:basedOn w:val="DefaultParagraphFont"/>
    <w:uiPriority w:val="99"/>
    <w:semiHidden/>
    <w:unhideWhenUsed/>
    <w:rsid w:val="002467EA"/>
    <w:rPr>
      <w:vertAlign w:val="superscript"/>
    </w:rPr>
  </w:style>
  <w:style w:type="character" w:customStyle="1" w:styleId="Heading3Char">
    <w:name w:val="Heading 3 Char"/>
    <w:basedOn w:val="DefaultParagraphFont"/>
    <w:link w:val="Heading3"/>
    <w:uiPriority w:val="9"/>
    <w:semiHidden/>
    <w:rsid w:val="004930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9307E"/>
    <w:rPr>
      <w:color w:val="0000FF" w:themeColor="hyperlink"/>
      <w:u w:val="single"/>
    </w:rPr>
  </w:style>
  <w:style w:type="paragraph" w:styleId="ListParagraph">
    <w:name w:val="List Paragraph"/>
    <w:basedOn w:val="Normal"/>
    <w:uiPriority w:val="34"/>
    <w:qFormat/>
    <w:rsid w:val="004D748F"/>
    <w:pPr>
      <w:ind w:left="720"/>
      <w:contextualSpacing/>
    </w:pPr>
  </w:style>
  <w:style w:type="paragraph" w:styleId="Header">
    <w:name w:val="header"/>
    <w:basedOn w:val="Normal"/>
    <w:link w:val="HeaderChar"/>
    <w:uiPriority w:val="99"/>
    <w:unhideWhenUsed/>
    <w:rsid w:val="00B10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702"/>
  </w:style>
  <w:style w:type="paragraph" w:styleId="Footer">
    <w:name w:val="footer"/>
    <w:basedOn w:val="Normal"/>
    <w:link w:val="FooterChar"/>
    <w:uiPriority w:val="99"/>
    <w:unhideWhenUsed/>
    <w:rsid w:val="00B10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702"/>
  </w:style>
  <w:style w:type="table" w:styleId="TableGrid">
    <w:name w:val="Table Grid"/>
    <w:basedOn w:val="TableNormal"/>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34"/>
    <w:rPr>
      <w:rFonts w:ascii="Tahoma" w:hAnsi="Tahoma" w:cs="Tahoma"/>
      <w:sz w:val="16"/>
      <w:szCs w:val="16"/>
    </w:rPr>
  </w:style>
  <w:style w:type="character" w:styleId="CommentReference">
    <w:name w:val="annotation reference"/>
    <w:basedOn w:val="DefaultParagraphFont"/>
    <w:uiPriority w:val="99"/>
    <w:semiHidden/>
    <w:unhideWhenUsed/>
    <w:rsid w:val="003B7D67"/>
    <w:rPr>
      <w:sz w:val="16"/>
      <w:szCs w:val="16"/>
    </w:rPr>
  </w:style>
  <w:style w:type="paragraph" w:styleId="CommentText">
    <w:name w:val="annotation text"/>
    <w:basedOn w:val="Normal"/>
    <w:link w:val="CommentTextChar"/>
    <w:uiPriority w:val="99"/>
    <w:semiHidden/>
    <w:unhideWhenUsed/>
    <w:rsid w:val="003B7D67"/>
    <w:pPr>
      <w:spacing w:line="240" w:lineRule="auto"/>
    </w:pPr>
    <w:rPr>
      <w:sz w:val="20"/>
      <w:szCs w:val="20"/>
    </w:rPr>
  </w:style>
  <w:style w:type="character" w:customStyle="1" w:styleId="CommentTextChar">
    <w:name w:val="Comment Text Char"/>
    <w:basedOn w:val="DefaultParagraphFont"/>
    <w:link w:val="CommentText"/>
    <w:uiPriority w:val="99"/>
    <w:semiHidden/>
    <w:rsid w:val="003B7D67"/>
    <w:rPr>
      <w:sz w:val="20"/>
      <w:szCs w:val="20"/>
    </w:rPr>
  </w:style>
  <w:style w:type="paragraph" w:styleId="CommentSubject">
    <w:name w:val="annotation subject"/>
    <w:basedOn w:val="CommentText"/>
    <w:next w:val="CommentText"/>
    <w:link w:val="CommentSubjectChar"/>
    <w:uiPriority w:val="99"/>
    <w:semiHidden/>
    <w:unhideWhenUsed/>
    <w:rsid w:val="003B7D67"/>
    <w:rPr>
      <w:b/>
      <w:bCs/>
    </w:rPr>
  </w:style>
  <w:style w:type="character" w:customStyle="1" w:styleId="CommentSubjectChar">
    <w:name w:val="Comment Subject Char"/>
    <w:basedOn w:val="CommentTextChar"/>
    <w:link w:val="CommentSubject"/>
    <w:uiPriority w:val="99"/>
    <w:semiHidden/>
    <w:rsid w:val="003B7D67"/>
    <w:rPr>
      <w:b/>
      <w:bCs/>
      <w:sz w:val="20"/>
      <w:szCs w:val="20"/>
    </w:rPr>
  </w:style>
  <w:style w:type="paragraph" w:styleId="Revision">
    <w:name w:val="Revision"/>
    <w:hidden/>
    <w:uiPriority w:val="99"/>
    <w:semiHidden/>
    <w:rsid w:val="00C75B82"/>
    <w:pPr>
      <w:spacing w:after="0" w:line="240" w:lineRule="auto"/>
    </w:pPr>
  </w:style>
  <w:style w:type="paragraph" w:customStyle="1" w:styleId="naisc">
    <w:name w:val="naisc"/>
    <w:basedOn w:val="Normal"/>
    <w:rsid w:val="0024483A"/>
    <w:pPr>
      <w:spacing w:before="75" w:after="75" w:line="240" w:lineRule="auto"/>
      <w:jc w:val="center"/>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6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7EA"/>
    <w:rPr>
      <w:sz w:val="20"/>
      <w:szCs w:val="20"/>
    </w:rPr>
  </w:style>
  <w:style w:type="character" w:styleId="FootnoteReference">
    <w:name w:val="footnote reference"/>
    <w:basedOn w:val="DefaultParagraphFont"/>
    <w:uiPriority w:val="99"/>
    <w:semiHidden/>
    <w:unhideWhenUsed/>
    <w:rsid w:val="002467EA"/>
    <w:rPr>
      <w:vertAlign w:val="superscript"/>
    </w:rPr>
  </w:style>
  <w:style w:type="character" w:customStyle="1" w:styleId="Heading3Char">
    <w:name w:val="Heading 3 Char"/>
    <w:basedOn w:val="DefaultParagraphFont"/>
    <w:link w:val="Heading3"/>
    <w:uiPriority w:val="9"/>
    <w:semiHidden/>
    <w:rsid w:val="004930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9307E"/>
    <w:rPr>
      <w:color w:val="0000FF" w:themeColor="hyperlink"/>
      <w:u w:val="single"/>
    </w:rPr>
  </w:style>
  <w:style w:type="paragraph" w:styleId="ListParagraph">
    <w:name w:val="List Paragraph"/>
    <w:basedOn w:val="Normal"/>
    <w:uiPriority w:val="34"/>
    <w:qFormat/>
    <w:rsid w:val="004D748F"/>
    <w:pPr>
      <w:ind w:left="720"/>
      <w:contextualSpacing/>
    </w:pPr>
  </w:style>
  <w:style w:type="paragraph" w:styleId="Header">
    <w:name w:val="header"/>
    <w:basedOn w:val="Normal"/>
    <w:link w:val="HeaderChar"/>
    <w:uiPriority w:val="99"/>
    <w:unhideWhenUsed/>
    <w:rsid w:val="00B10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702"/>
  </w:style>
  <w:style w:type="paragraph" w:styleId="Footer">
    <w:name w:val="footer"/>
    <w:basedOn w:val="Normal"/>
    <w:link w:val="FooterChar"/>
    <w:uiPriority w:val="99"/>
    <w:unhideWhenUsed/>
    <w:rsid w:val="00B10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702"/>
  </w:style>
  <w:style w:type="table" w:styleId="TableGrid">
    <w:name w:val="Table Grid"/>
    <w:basedOn w:val="TableNormal"/>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34"/>
    <w:rPr>
      <w:rFonts w:ascii="Tahoma" w:hAnsi="Tahoma" w:cs="Tahoma"/>
      <w:sz w:val="16"/>
      <w:szCs w:val="16"/>
    </w:rPr>
  </w:style>
  <w:style w:type="character" w:styleId="CommentReference">
    <w:name w:val="annotation reference"/>
    <w:basedOn w:val="DefaultParagraphFont"/>
    <w:uiPriority w:val="99"/>
    <w:semiHidden/>
    <w:unhideWhenUsed/>
    <w:rsid w:val="003B7D67"/>
    <w:rPr>
      <w:sz w:val="16"/>
      <w:szCs w:val="16"/>
    </w:rPr>
  </w:style>
  <w:style w:type="paragraph" w:styleId="CommentText">
    <w:name w:val="annotation text"/>
    <w:basedOn w:val="Normal"/>
    <w:link w:val="CommentTextChar"/>
    <w:uiPriority w:val="99"/>
    <w:semiHidden/>
    <w:unhideWhenUsed/>
    <w:rsid w:val="003B7D67"/>
    <w:pPr>
      <w:spacing w:line="240" w:lineRule="auto"/>
    </w:pPr>
    <w:rPr>
      <w:sz w:val="20"/>
      <w:szCs w:val="20"/>
    </w:rPr>
  </w:style>
  <w:style w:type="character" w:customStyle="1" w:styleId="CommentTextChar">
    <w:name w:val="Comment Text Char"/>
    <w:basedOn w:val="DefaultParagraphFont"/>
    <w:link w:val="CommentText"/>
    <w:uiPriority w:val="99"/>
    <w:semiHidden/>
    <w:rsid w:val="003B7D67"/>
    <w:rPr>
      <w:sz w:val="20"/>
      <w:szCs w:val="20"/>
    </w:rPr>
  </w:style>
  <w:style w:type="paragraph" w:styleId="CommentSubject">
    <w:name w:val="annotation subject"/>
    <w:basedOn w:val="CommentText"/>
    <w:next w:val="CommentText"/>
    <w:link w:val="CommentSubjectChar"/>
    <w:uiPriority w:val="99"/>
    <w:semiHidden/>
    <w:unhideWhenUsed/>
    <w:rsid w:val="003B7D67"/>
    <w:rPr>
      <w:b/>
      <w:bCs/>
    </w:rPr>
  </w:style>
  <w:style w:type="character" w:customStyle="1" w:styleId="CommentSubjectChar">
    <w:name w:val="Comment Subject Char"/>
    <w:basedOn w:val="CommentTextChar"/>
    <w:link w:val="CommentSubject"/>
    <w:uiPriority w:val="99"/>
    <w:semiHidden/>
    <w:rsid w:val="003B7D67"/>
    <w:rPr>
      <w:b/>
      <w:bCs/>
      <w:sz w:val="20"/>
      <w:szCs w:val="20"/>
    </w:rPr>
  </w:style>
  <w:style w:type="paragraph" w:styleId="Revision">
    <w:name w:val="Revision"/>
    <w:hidden/>
    <w:uiPriority w:val="99"/>
    <w:semiHidden/>
    <w:rsid w:val="00C75B82"/>
    <w:pPr>
      <w:spacing w:after="0" w:line="240" w:lineRule="auto"/>
    </w:pPr>
  </w:style>
  <w:style w:type="paragraph" w:customStyle="1" w:styleId="naisc">
    <w:name w:val="naisc"/>
    <w:basedOn w:val="Normal"/>
    <w:rsid w:val="0024483A"/>
    <w:pPr>
      <w:spacing w:before="75" w:after="75" w:line="240" w:lineRule="auto"/>
      <w:jc w:val="center"/>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6854">
      <w:bodyDiv w:val="1"/>
      <w:marLeft w:val="0"/>
      <w:marRight w:val="0"/>
      <w:marTop w:val="0"/>
      <w:marBottom w:val="0"/>
      <w:divBdr>
        <w:top w:val="none" w:sz="0" w:space="0" w:color="auto"/>
        <w:left w:val="none" w:sz="0" w:space="0" w:color="auto"/>
        <w:bottom w:val="none" w:sz="0" w:space="0" w:color="auto"/>
        <w:right w:val="none" w:sz="0" w:space="0" w:color="auto"/>
      </w:divBdr>
    </w:div>
    <w:div w:id="525020596">
      <w:bodyDiv w:val="1"/>
      <w:marLeft w:val="0"/>
      <w:marRight w:val="0"/>
      <w:marTop w:val="0"/>
      <w:marBottom w:val="0"/>
      <w:divBdr>
        <w:top w:val="none" w:sz="0" w:space="0" w:color="auto"/>
        <w:left w:val="none" w:sz="0" w:space="0" w:color="auto"/>
        <w:bottom w:val="none" w:sz="0" w:space="0" w:color="auto"/>
        <w:right w:val="none" w:sz="0" w:space="0" w:color="auto"/>
      </w:divBdr>
    </w:div>
    <w:div w:id="1767457786">
      <w:bodyDiv w:val="1"/>
      <w:marLeft w:val="0"/>
      <w:marRight w:val="0"/>
      <w:marTop w:val="0"/>
      <w:marBottom w:val="0"/>
      <w:divBdr>
        <w:top w:val="none" w:sz="0" w:space="0" w:color="auto"/>
        <w:left w:val="none" w:sz="0" w:space="0" w:color="auto"/>
        <w:bottom w:val="none" w:sz="0" w:space="0" w:color="auto"/>
        <w:right w:val="none" w:sz="0" w:space="0" w:color="auto"/>
      </w:divBdr>
    </w:div>
    <w:div w:id="2006853467">
      <w:bodyDiv w:val="1"/>
      <w:marLeft w:val="0"/>
      <w:marRight w:val="0"/>
      <w:marTop w:val="0"/>
      <w:marBottom w:val="0"/>
      <w:divBdr>
        <w:top w:val="none" w:sz="0" w:space="0" w:color="auto"/>
        <w:left w:val="none" w:sz="0" w:space="0" w:color="auto"/>
        <w:bottom w:val="none" w:sz="0" w:space="0" w:color="auto"/>
        <w:right w:val="none" w:sz="0" w:space="0" w:color="auto"/>
      </w:divBdr>
      <w:divsChild>
        <w:div w:id="2144613068">
          <w:marLeft w:val="0"/>
          <w:marRight w:val="0"/>
          <w:marTop w:val="0"/>
          <w:marBottom w:val="0"/>
          <w:divBdr>
            <w:top w:val="none" w:sz="0" w:space="0" w:color="auto"/>
            <w:left w:val="none" w:sz="0" w:space="0" w:color="auto"/>
            <w:bottom w:val="none" w:sz="0" w:space="0" w:color="auto"/>
            <w:right w:val="none" w:sz="0" w:space="0" w:color="auto"/>
          </w:divBdr>
        </w:div>
        <w:div w:id="190907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DA17-D892-4C0F-BBD5-C3BEA776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C653D087.dotm</Template>
  <TotalTime>1</TotalTime>
  <Pages>4</Pages>
  <Words>3273</Words>
  <Characters>1866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5.oktobra noteikumos Nr.947 "Karavīru un zemessargu militārās disciplīnas reglaments" sākotnējās ietekmes novērtējuma ziņojums (anotācija)</vt:lpstr>
    </vt:vector>
  </TitlesOfParts>
  <Manager>Juridiskais departaments</Manager>
  <Company>Aizsardzības ministrija</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5.oktobra noteikumos Nr.947 "Karavīru un zemessargu militārās disciplīnas reglaments" sākotnējās ietekmes novērtējuma ziņojums (anotācija)</dc:title>
  <dc:subject>Anotācija</dc:subject>
  <dc:creator>Sandija Lāce</dc:creator>
  <dc:description>Sandija.Lace@mod.gov.lv; 67335243</dc:description>
  <cp:lastModifiedBy>Dana Pinne</cp:lastModifiedBy>
  <cp:revision>3</cp:revision>
  <cp:lastPrinted>2015-12-17T13:30:00Z</cp:lastPrinted>
  <dcterms:created xsi:type="dcterms:W3CDTF">2015-12-15T15:05:00Z</dcterms:created>
  <dcterms:modified xsi:type="dcterms:W3CDTF">2015-12-17T13:30:00Z</dcterms:modified>
</cp:coreProperties>
</file>