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63D5" w14:textId="77777777" w:rsidR="00EA1BE1" w:rsidRPr="00527DD3" w:rsidRDefault="00BF7FC3" w:rsidP="00F00A2E">
      <w:pPr>
        <w:pStyle w:val="naislab"/>
        <w:spacing w:before="0" w:after="0" w:line="240" w:lineRule="auto"/>
        <w:jc w:val="center"/>
        <w:rPr>
          <w:b/>
          <w:lang w:val="lv-LV"/>
        </w:rPr>
      </w:pPr>
      <w:r w:rsidRPr="00F00A2E">
        <w:rPr>
          <w:b/>
          <w:bCs/>
          <w:lang w:val="lv-LV"/>
        </w:rPr>
        <w:t>Ministru kabineta rīkojuma</w:t>
      </w:r>
      <w:r w:rsidR="004E5DDD" w:rsidRPr="00F00A2E">
        <w:rPr>
          <w:b/>
          <w:bCs/>
          <w:lang w:val="lv-LV"/>
        </w:rPr>
        <w:t xml:space="preserve"> projekta</w:t>
      </w:r>
      <w:r w:rsidR="00527DD3" w:rsidRPr="00527DD3">
        <w:rPr>
          <w:b/>
          <w:sz w:val="28"/>
          <w:szCs w:val="28"/>
          <w:lang w:val="lv-LV"/>
        </w:rPr>
        <w:t xml:space="preserve"> </w:t>
      </w:r>
      <w:r w:rsidR="00527DD3" w:rsidRPr="00C823A5">
        <w:rPr>
          <w:b/>
          <w:lang w:val="lv-LV"/>
        </w:rPr>
        <w:t>“Par finansējuma piešķiršanu Iekšlietu ministrijai nekustamā īpašuma „Bundulīši” un Patvēruma meklētāju izmitināšanas centra „Mucenieki” ēku un katlu mājas pārbūvei”</w:t>
      </w:r>
    </w:p>
    <w:p w14:paraId="57CB6C1E" w14:textId="15DB46DA" w:rsidR="00062ACA" w:rsidRPr="00F00A2E" w:rsidRDefault="00BF7FC3" w:rsidP="00F00A2E">
      <w:pPr>
        <w:suppressAutoHyphens/>
        <w:spacing w:after="0" w:line="240" w:lineRule="auto"/>
        <w:jc w:val="center"/>
        <w:rPr>
          <w:b/>
          <w:lang w:val="lv-LV"/>
        </w:rPr>
      </w:pPr>
      <w:r w:rsidRPr="00F00A2E">
        <w:rPr>
          <w:b/>
          <w:lang w:val="lv-LV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797"/>
        <w:gridCol w:w="6076"/>
      </w:tblGrid>
      <w:tr w:rsidR="00EA1BE1" w:rsidRPr="00F00A2E" w14:paraId="38162482" w14:textId="77777777" w:rsidTr="001B40B5">
        <w:trPr>
          <w:trHeight w:val="190"/>
        </w:trPr>
        <w:tc>
          <w:tcPr>
            <w:tcW w:w="9361" w:type="dxa"/>
            <w:gridSpan w:val="3"/>
            <w:vAlign w:val="center"/>
          </w:tcPr>
          <w:p w14:paraId="31FFA97E" w14:textId="77777777" w:rsidR="00EA1BE1" w:rsidRPr="00F00A2E" w:rsidRDefault="00BF7FC3" w:rsidP="00F00A2E">
            <w:pPr>
              <w:pStyle w:val="naisnod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I. Tiesību akta projekta izstrādes nepieciešamība</w:t>
            </w:r>
          </w:p>
        </w:tc>
      </w:tr>
      <w:tr w:rsidR="00EA1BE1" w:rsidRPr="000A4F0A" w14:paraId="41504857" w14:textId="77777777" w:rsidTr="001B40B5">
        <w:trPr>
          <w:trHeight w:val="829"/>
        </w:trPr>
        <w:tc>
          <w:tcPr>
            <w:tcW w:w="488" w:type="dxa"/>
          </w:tcPr>
          <w:p w14:paraId="448371FB" w14:textId="77777777"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1.</w:t>
            </w:r>
          </w:p>
        </w:tc>
        <w:tc>
          <w:tcPr>
            <w:tcW w:w="2797" w:type="dxa"/>
          </w:tcPr>
          <w:p w14:paraId="01B89376" w14:textId="77777777" w:rsidR="00EA1BE1" w:rsidRPr="00F00A2E" w:rsidRDefault="00BF7FC3" w:rsidP="00F00A2E">
            <w:pPr>
              <w:pStyle w:val="naiskr"/>
              <w:spacing w:before="0" w:after="0" w:line="240" w:lineRule="auto"/>
              <w:ind w:hanging="10"/>
              <w:rPr>
                <w:lang w:val="lv-LV"/>
              </w:rPr>
            </w:pPr>
            <w:r w:rsidRPr="00F00A2E">
              <w:rPr>
                <w:lang w:val="lv-LV"/>
              </w:rPr>
              <w:t>Pamatojums</w:t>
            </w:r>
          </w:p>
        </w:tc>
        <w:tc>
          <w:tcPr>
            <w:tcW w:w="6076" w:type="dxa"/>
          </w:tcPr>
          <w:p w14:paraId="20FDD136" w14:textId="1839D750" w:rsidR="005508B8" w:rsidRPr="00F00A2E" w:rsidRDefault="002D6BB9" w:rsidP="00F00A2E">
            <w:pPr>
              <w:tabs>
                <w:tab w:val="left" w:pos="707"/>
              </w:tabs>
              <w:spacing w:after="0" w:line="240" w:lineRule="auto"/>
              <w:jc w:val="both"/>
              <w:rPr>
                <w:lang w:val="lv-LV"/>
              </w:rPr>
            </w:pPr>
            <w:r w:rsidRPr="00F00A2E">
              <w:rPr>
                <w:lang w:val="lv-LV"/>
              </w:rPr>
              <w:t xml:space="preserve">    </w:t>
            </w:r>
            <w:r w:rsidR="005508B8" w:rsidRPr="00F00A2E">
              <w:rPr>
                <w:lang w:val="lv-LV"/>
              </w:rPr>
              <w:t>Ministru kabineta rīkojuma projekts „</w:t>
            </w:r>
            <w:r w:rsidR="00A41377" w:rsidRPr="00C823A5">
              <w:rPr>
                <w:lang w:val="lv-LV"/>
              </w:rPr>
              <w:t>Par finansējuma piešķiršanu Iekšlietu ministrijai nekustamā īpašuma „Bundulīši” un Patvēruma meklētāju izmitināšanas centra „Mucenieki” ēku un katlu mājas pārbūvei”</w:t>
            </w:r>
            <w:r w:rsidR="005508B8" w:rsidRPr="00F00A2E">
              <w:rPr>
                <w:lang w:val="lv-LV"/>
              </w:rPr>
              <w:t xml:space="preserve"> </w:t>
            </w:r>
            <w:r w:rsidR="0019238F">
              <w:rPr>
                <w:lang w:val="lv-LV"/>
              </w:rPr>
              <w:t xml:space="preserve">(turpmāk – rīkojuma projekts) </w:t>
            </w:r>
            <w:r w:rsidR="005508B8" w:rsidRPr="00F00A2E">
              <w:rPr>
                <w:lang w:val="lv-LV"/>
              </w:rPr>
              <w:t>sagatavots, pamatojoties uz:</w:t>
            </w:r>
          </w:p>
          <w:p w14:paraId="444FD910" w14:textId="77777777" w:rsidR="005508B8" w:rsidRPr="00F00A2E" w:rsidRDefault="005508B8" w:rsidP="00F00A2E">
            <w:pPr>
              <w:numPr>
                <w:ilvl w:val="0"/>
                <w:numId w:val="7"/>
              </w:numPr>
              <w:tabs>
                <w:tab w:val="left" w:pos="456"/>
              </w:tabs>
              <w:spacing w:after="0" w:line="240" w:lineRule="auto"/>
              <w:ind w:left="28" w:firstLine="142"/>
              <w:jc w:val="both"/>
              <w:rPr>
                <w:lang w:val="lv-LV"/>
              </w:rPr>
            </w:pPr>
            <w:r w:rsidRPr="00F00A2E">
              <w:rPr>
                <w:lang w:val="lv-LV"/>
              </w:rPr>
              <w:t>Ministru kabineta 2009.gada 22.decembra noteikumu Nr.1644 „Kārtība, kādā pieprasa un izlieto budžeta programmas „Līdzekļi neparedzētiem gadījumiem” līdzekļus” 3.punktu;</w:t>
            </w:r>
          </w:p>
          <w:p w14:paraId="20719AE7" w14:textId="13AD9C94" w:rsidR="00A41377" w:rsidRPr="003D260C" w:rsidRDefault="00C40DD7" w:rsidP="003D260C">
            <w:pPr>
              <w:numPr>
                <w:ilvl w:val="0"/>
                <w:numId w:val="7"/>
              </w:numPr>
              <w:tabs>
                <w:tab w:val="left" w:pos="456"/>
              </w:tabs>
              <w:spacing w:after="0" w:line="240" w:lineRule="auto"/>
              <w:ind w:left="28" w:firstLine="142"/>
              <w:jc w:val="both"/>
              <w:rPr>
                <w:lang w:val="lv-LV"/>
              </w:rPr>
            </w:pPr>
            <w:r>
              <w:rPr>
                <w:kern w:val="1"/>
                <w:lang w:val="lv-LV" w:eastAsia="ar-SA"/>
              </w:rPr>
              <w:t>Ministru kabineta 2015.gada 3.novembra sēd</w:t>
            </w:r>
            <w:r w:rsidR="009627E4">
              <w:rPr>
                <w:kern w:val="1"/>
                <w:lang w:val="lv-LV" w:eastAsia="ar-SA"/>
              </w:rPr>
              <w:t>ē</w:t>
            </w:r>
            <w:proofErr w:type="gramStart"/>
            <w:r w:rsidR="009627E4">
              <w:rPr>
                <w:kern w:val="1"/>
                <w:lang w:val="lv-LV" w:eastAsia="ar-SA"/>
              </w:rPr>
              <w:t xml:space="preserve"> </w:t>
            </w:r>
            <w:r>
              <w:rPr>
                <w:kern w:val="1"/>
                <w:lang w:val="lv-LV" w:eastAsia="ar-SA"/>
              </w:rPr>
              <w:t xml:space="preserve"> </w:t>
            </w:r>
            <w:proofErr w:type="gramEnd"/>
            <w:r>
              <w:rPr>
                <w:kern w:val="1"/>
                <w:lang w:val="lv-LV" w:eastAsia="ar-SA"/>
              </w:rPr>
              <w:t>(p</w:t>
            </w:r>
            <w:r w:rsidR="00837B90">
              <w:rPr>
                <w:kern w:val="1"/>
                <w:lang w:val="lv-LV" w:eastAsia="ar-SA"/>
              </w:rPr>
              <w:t>rot. Nr.57 58.§</w:t>
            </w:r>
            <w:r w:rsidR="009627E4">
              <w:rPr>
                <w:kern w:val="1"/>
                <w:lang w:val="lv-LV" w:eastAsia="ar-SA"/>
              </w:rPr>
              <w:t>,</w:t>
            </w:r>
            <w:r w:rsidR="00837B90">
              <w:rPr>
                <w:kern w:val="1"/>
                <w:lang w:val="lv-LV" w:eastAsia="ar-SA"/>
              </w:rPr>
              <w:t xml:space="preserve"> 8. un 10.punkt</w:t>
            </w:r>
            <w:r w:rsidR="009627E4">
              <w:rPr>
                <w:kern w:val="1"/>
                <w:lang w:val="lv-LV" w:eastAsia="ar-SA"/>
              </w:rPr>
              <w:t xml:space="preserve">s) doto uzdevumu, </w:t>
            </w:r>
            <w:r w:rsidR="009627E4" w:rsidRPr="003D260C">
              <w:rPr>
                <w:kern w:val="1"/>
                <w:lang w:val="lv-LV" w:eastAsia="ar-SA"/>
              </w:rPr>
              <w:t xml:space="preserve">kā arī, ņemot vērā </w:t>
            </w:r>
            <w:r w:rsidR="00116EA1" w:rsidRPr="003D260C">
              <w:rPr>
                <w:lang w:val="lv-LV"/>
              </w:rPr>
              <w:t>Ministru kabineta 2016.gada 12.janvāra rīkojum</w:t>
            </w:r>
            <w:r w:rsidR="009627E4" w:rsidRPr="003D260C">
              <w:rPr>
                <w:lang w:val="lv-LV"/>
              </w:rPr>
              <w:t>u</w:t>
            </w:r>
            <w:r w:rsidR="00116EA1" w:rsidRPr="003D260C">
              <w:rPr>
                <w:lang w:val="lv-LV"/>
              </w:rPr>
              <w:t xml:space="preserve"> Nr.</w:t>
            </w:r>
            <w:r w:rsidR="00AD47B6" w:rsidRPr="003D260C">
              <w:rPr>
                <w:lang w:val="lv-LV"/>
              </w:rPr>
              <w:t>22</w:t>
            </w:r>
            <w:r w:rsidR="009627E4" w:rsidRPr="003D260C">
              <w:rPr>
                <w:lang w:val="lv-LV"/>
              </w:rPr>
              <w:t xml:space="preserve"> “</w:t>
            </w:r>
            <w:r w:rsidR="000211CC" w:rsidRPr="003D260C">
              <w:rPr>
                <w:lang w:val="lv-LV"/>
              </w:rPr>
              <w:t>Par finanšu līdzekļu piešķiršanu no valsts budžeta programmas “Līdzekļi neparedzētiem gadījumiem” (turpmāk – rīkojums Nr.22).</w:t>
            </w:r>
          </w:p>
        </w:tc>
      </w:tr>
      <w:tr w:rsidR="00EA1BE1" w:rsidRPr="000A4F0A" w14:paraId="0A657C05" w14:textId="77777777" w:rsidTr="001B40B5">
        <w:trPr>
          <w:trHeight w:val="621"/>
        </w:trPr>
        <w:tc>
          <w:tcPr>
            <w:tcW w:w="488" w:type="dxa"/>
          </w:tcPr>
          <w:p w14:paraId="3FF402D4" w14:textId="77777777"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2.</w:t>
            </w:r>
          </w:p>
        </w:tc>
        <w:tc>
          <w:tcPr>
            <w:tcW w:w="2797" w:type="dxa"/>
          </w:tcPr>
          <w:p w14:paraId="0F1D54F6" w14:textId="77777777" w:rsidR="00EA1BE1" w:rsidRPr="00F00A2E" w:rsidRDefault="00BF7FC3" w:rsidP="00F00A2E">
            <w:pPr>
              <w:pStyle w:val="naiskr"/>
              <w:tabs>
                <w:tab w:val="left" w:pos="170"/>
              </w:tabs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76" w:type="dxa"/>
          </w:tcPr>
          <w:p w14:paraId="735121F4" w14:textId="29ACFDCF" w:rsidR="00A652D8" w:rsidRDefault="00725873" w:rsidP="00F00A2E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</w:t>
            </w:r>
            <w:r w:rsidR="000211CC">
              <w:rPr>
                <w:lang w:val="lv-LV"/>
              </w:rPr>
              <w:t xml:space="preserve">Ministru kabineta </w:t>
            </w:r>
            <w:r>
              <w:rPr>
                <w:lang w:val="lv-LV"/>
              </w:rPr>
              <w:t>2015.gada 2.decembra rīkojuma Nr.759 „Rīcības plāns personu, kurām nepieciešama starptautiskā aizsardzība, pārvietošanai un uzņemšanai Latvijā” (turpmāk – Rīcības plāns) 2.4.</w:t>
            </w:r>
            <w:r w:rsidR="0077699B">
              <w:rPr>
                <w:lang w:val="lv-LV"/>
              </w:rPr>
              <w:t xml:space="preserve"> pasākuma 3.punktā ietverto A variantu, kas tika atbalstīts </w:t>
            </w:r>
            <w:r w:rsidR="00044B19">
              <w:rPr>
                <w:lang w:val="lv-LV"/>
              </w:rPr>
              <w:t xml:space="preserve"> Ministru kabineta </w:t>
            </w:r>
            <w:r w:rsidR="00A652D8">
              <w:rPr>
                <w:lang w:val="lv-LV"/>
              </w:rPr>
              <w:t xml:space="preserve">2015.gada 3.novembra </w:t>
            </w:r>
            <w:r w:rsidR="00044B19">
              <w:rPr>
                <w:lang w:val="lv-LV"/>
              </w:rPr>
              <w:t xml:space="preserve">sēdē </w:t>
            </w:r>
            <w:r w:rsidR="0077699B">
              <w:rPr>
                <w:lang w:val="lv-LV"/>
              </w:rPr>
              <w:t>(</w:t>
            </w:r>
            <w:r w:rsidR="00A652D8">
              <w:rPr>
                <w:lang w:val="lv-LV"/>
              </w:rPr>
              <w:t>prot</w:t>
            </w:r>
            <w:r w:rsidR="00044B19">
              <w:rPr>
                <w:lang w:val="lv-LV"/>
              </w:rPr>
              <w:t>.</w:t>
            </w:r>
            <w:r w:rsidR="00A652D8">
              <w:rPr>
                <w:lang w:val="lv-LV"/>
              </w:rPr>
              <w:t xml:space="preserve"> Nr.57 58.§ 10.punkt</w:t>
            </w:r>
            <w:r w:rsidR="0077699B">
              <w:rPr>
                <w:lang w:val="lv-LV"/>
              </w:rPr>
              <w:t>s)</w:t>
            </w:r>
            <w:r>
              <w:rPr>
                <w:lang w:val="lv-LV"/>
              </w:rPr>
              <w:t xml:space="preserve">, </w:t>
            </w:r>
            <w:r w:rsidR="00044B19">
              <w:rPr>
                <w:lang w:val="lv-LV"/>
              </w:rPr>
              <w:t xml:space="preserve">un pamatojoties uz rīkojumu Nr.22, tiks iegādāts nekustamais īpašums </w:t>
            </w:r>
            <w:r>
              <w:rPr>
                <w:lang w:val="lv-LV"/>
              </w:rPr>
              <w:t>„Bundulīši”</w:t>
            </w:r>
            <w:r w:rsidR="00044B19">
              <w:rPr>
                <w:lang w:val="lv-LV"/>
              </w:rPr>
              <w:t xml:space="preserve"> Muceniekos, Ropažu novadā (piešķirts finansējums - </w:t>
            </w:r>
            <w:r w:rsidR="00044B19" w:rsidRPr="00F52903">
              <w:rPr>
                <w:lang w:val="lv-LV"/>
              </w:rPr>
              <w:t xml:space="preserve">75 000 </w:t>
            </w:r>
            <w:proofErr w:type="spellStart"/>
            <w:r w:rsidR="00044B19" w:rsidRPr="00F52903">
              <w:rPr>
                <w:i/>
                <w:lang w:val="lv-LV"/>
              </w:rPr>
              <w:t>euro</w:t>
            </w:r>
            <w:proofErr w:type="spellEnd"/>
            <w:r w:rsidR="00044B19" w:rsidRPr="00C823A5">
              <w:rPr>
                <w:lang w:val="lv-LV"/>
              </w:rPr>
              <w:t>)</w:t>
            </w:r>
            <w:r w:rsidR="00044B19">
              <w:rPr>
                <w:i/>
                <w:lang w:val="lv-LV"/>
              </w:rPr>
              <w:t>.</w:t>
            </w:r>
          </w:p>
          <w:p w14:paraId="642BC568" w14:textId="43935196" w:rsidR="00800681" w:rsidRDefault="00800681" w:rsidP="00F52903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>
              <w:rPr>
                <w:lang w:val="lv-LV"/>
              </w:rPr>
              <w:t>Pēc nekustamā īpašuma</w:t>
            </w:r>
            <w:r w:rsidR="00D8677B">
              <w:rPr>
                <w:lang w:val="lv-LV"/>
              </w:rPr>
              <w:t xml:space="preserve"> iegādes</w:t>
            </w:r>
            <w:r>
              <w:rPr>
                <w:lang w:val="lv-LV"/>
              </w:rPr>
              <w:t xml:space="preserve"> nepieciešams veikt </w:t>
            </w:r>
            <w:r w:rsidR="00D8677B">
              <w:rPr>
                <w:lang w:val="lv-LV"/>
              </w:rPr>
              <w:t>ēkas pārbūvi</w:t>
            </w:r>
            <w:r>
              <w:rPr>
                <w:lang w:val="lv-LV"/>
              </w:rPr>
              <w:t>, lai ēku</w:t>
            </w:r>
            <w:r w:rsidR="00F52903">
              <w:rPr>
                <w:lang w:val="lv-LV"/>
              </w:rPr>
              <w:t xml:space="preserve"> pielāgotu</w:t>
            </w:r>
            <w:r>
              <w:rPr>
                <w:lang w:val="lv-LV"/>
              </w:rPr>
              <w:t xml:space="preserve"> patvēruma meklētāju izmitināšanai</w:t>
            </w:r>
            <w:r w:rsidR="00044B19">
              <w:rPr>
                <w:lang w:val="lv-LV"/>
              </w:rPr>
              <w:t>.</w:t>
            </w:r>
            <w:r w:rsidR="00D8677B">
              <w:rPr>
                <w:lang w:val="lv-LV"/>
              </w:rPr>
              <w:t xml:space="preserve"> </w:t>
            </w:r>
            <w:r w:rsidR="00044B19">
              <w:rPr>
                <w:lang w:val="lv-LV"/>
              </w:rPr>
              <w:t xml:space="preserve">Sakarā </w:t>
            </w:r>
            <w:r w:rsidR="00D8677B">
              <w:rPr>
                <w:lang w:val="lv-LV"/>
              </w:rPr>
              <w:t xml:space="preserve">ar </w:t>
            </w:r>
            <w:r w:rsidR="00044B19">
              <w:rPr>
                <w:lang w:val="lv-LV"/>
              </w:rPr>
              <w:t>t</w:t>
            </w:r>
            <w:r w:rsidR="00D8677B">
              <w:rPr>
                <w:lang w:val="lv-LV"/>
              </w:rPr>
              <w:t xml:space="preserve">o </w:t>
            </w:r>
            <w:r w:rsidR="00992AAF">
              <w:rPr>
                <w:lang w:val="lv-LV"/>
              </w:rPr>
              <w:t>Nodrošinājuma valsts aģentūra organizēja iepirkuma procedūru</w:t>
            </w:r>
            <w:r w:rsidR="00044B19">
              <w:rPr>
                <w:lang w:val="lv-LV"/>
              </w:rPr>
              <w:t>, kuras</w:t>
            </w:r>
            <w:r w:rsidR="00992AAF">
              <w:rPr>
                <w:lang w:val="lv-LV"/>
              </w:rPr>
              <w:t xml:space="preserve"> rezultātā par iepirkuma uzvarētāju </w:t>
            </w:r>
            <w:r w:rsidR="00F52903">
              <w:rPr>
                <w:lang w:val="lv-LV"/>
              </w:rPr>
              <w:t>iepirkumu daļā -</w:t>
            </w:r>
            <w:r w:rsidR="00F52903" w:rsidRPr="006E7F4E">
              <w:rPr>
                <w:lang w:val="lv-LV"/>
              </w:rPr>
              <w:t xml:space="preserve"> nekustamā īpašuma “Bundulīši” pārbūve</w:t>
            </w:r>
            <w:r w:rsidR="00F52903">
              <w:rPr>
                <w:lang w:val="lv-LV"/>
              </w:rPr>
              <w:t xml:space="preserve"> </w:t>
            </w:r>
            <w:r w:rsidR="00992AAF">
              <w:rPr>
                <w:lang w:val="lv-LV"/>
              </w:rPr>
              <w:t>2016.gada 12.janvā</w:t>
            </w:r>
            <w:r w:rsidR="00C0654F">
              <w:rPr>
                <w:lang w:val="lv-LV"/>
              </w:rPr>
              <w:t>rī</w:t>
            </w:r>
            <w:r w:rsidR="008E22A5">
              <w:rPr>
                <w:lang w:val="lv-LV"/>
              </w:rPr>
              <w:t xml:space="preserve"> tika atzīta</w:t>
            </w:r>
            <w:r w:rsidR="00992AAF">
              <w:rPr>
                <w:lang w:val="lv-LV"/>
              </w:rPr>
              <w:t xml:space="preserve"> S</w:t>
            </w:r>
            <w:r w:rsidR="00F52903">
              <w:rPr>
                <w:lang w:val="lv-LV"/>
              </w:rPr>
              <w:t xml:space="preserve">abiedrība ar ierobežotu atbildību </w:t>
            </w:r>
            <w:r w:rsidR="00992AAF">
              <w:rPr>
                <w:lang w:val="lv-LV"/>
              </w:rPr>
              <w:t xml:space="preserve"> „Arčers” ar piedāvāto līgumcenu </w:t>
            </w:r>
            <w:r w:rsidR="00E77038">
              <w:rPr>
                <w:lang w:val="lv-LV"/>
              </w:rPr>
              <w:t xml:space="preserve">1 905 782,88 </w:t>
            </w:r>
            <w:proofErr w:type="spellStart"/>
            <w:r w:rsidR="00E77038" w:rsidRPr="00E77038">
              <w:rPr>
                <w:i/>
                <w:lang w:val="lv-LV"/>
              </w:rPr>
              <w:t>euro</w:t>
            </w:r>
            <w:proofErr w:type="spellEnd"/>
            <w:r w:rsidR="00E77038">
              <w:rPr>
                <w:lang w:val="lv-LV"/>
              </w:rPr>
              <w:t xml:space="preserve"> apmērā</w:t>
            </w:r>
            <w:r w:rsidR="00044B19">
              <w:rPr>
                <w:lang w:val="lv-LV"/>
              </w:rPr>
              <w:t xml:space="preserve"> </w:t>
            </w:r>
            <w:r w:rsidR="00044B19" w:rsidRPr="00EB2B17">
              <w:rPr>
                <w:lang w:val="lv-LV"/>
              </w:rPr>
              <w:t>(</w:t>
            </w:r>
            <w:r w:rsidR="00EB2B17" w:rsidRPr="00C823A5">
              <w:rPr>
                <w:lang w:val="lv-LV"/>
              </w:rPr>
              <w:t xml:space="preserve">ar </w:t>
            </w:r>
            <w:r w:rsidR="00044B19" w:rsidRPr="00EB2B17">
              <w:rPr>
                <w:lang w:val="lv-LV"/>
              </w:rPr>
              <w:t>PVN)</w:t>
            </w:r>
            <w:r w:rsidR="00E77038" w:rsidRPr="00EB2B17">
              <w:rPr>
                <w:lang w:val="lv-LV"/>
              </w:rPr>
              <w:t>.</w:t>
            </w:r>
          </w:p>
          <w:p w14:paraId="7E41172C" w14:textId="5D065DEF" w:rsidR="00F52903" w:rsidRDefault="00044B19" w:rsidP="006E7F4E">
            <w:pPr>
              <w:spacing w:after="0" w:line="240" w:lineRule="auto"/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 xml:space="preserve">     Saskaņā ar </w:t>
            </w:r>
            <w:r w:rsidR="003B760F">
              <w:rPr>
                <w:lang w:val="lv-LV"/>
              </w:rPr>
              <w:t xml:space="preserve">Rīcības plāna 2.4. pasākuma 3.punktā noteikto </w:t>
            </w:r>
            <w:r w:rsidR="005E6034">
              <w:rPr>
                <w:lang w:val="lv-LV"/>
              </w:rPr>
              <w:t>nepieciešams veikt Patvēruma meklētāju izmitināšanas centra (turpmāk – PMIC) „Mucenieki” ēku un katlu mājas (ar gāzes pieslēgumu) pārbūv</w:t>
            </w:r>
            <w:r>
              <w:rPr>
                <w:lang w:val="lv-LV"/>
              </w:rPr>
              <w:t>i</w:t>
            </w:r>
            <w:r w:rsidR="005E6034">
              <w:rPr>
                <w:lang w:val="lv-LV"/>
              </w:rPr>
              <w:t xml:space="preserve">, lai pielāgotu to lielāka patvēruma meklētāju </w:t>
            </w:r>
            <w:r>
              <w:rPr>
                <w:lang w:val="lv-LV"/>
              </w:rPr>
              <w:t xml:space="preserve">skaita </w:t>
            </w:r>
            <w:r w:rsidR="005E6034">
              <w:rPr>
                <w:lang w:val="lv-LV"/>
              </w:rPr>
              <w:t>izmitināšanai</w:t>
            </w:r>
            <w:r w:rsidR="003B760F">
              <w:rPr>
                <w:lang w:val="lv-LV"/>
              </w:rPr>
              <w:t>.</w:t>
            </w:r>
          </w:p>
          <w:p w14:paraId="2222DE82" w14:textId="56811DDE" w:rsidR="003B760F" w:rsidRDefault="005E6034" w:rsidP="003B760F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 w:rsidRPr="006E7F4E">
              <w:rPr>
                <w:lang w:val="lv-LV"/>
              </w:rPr>
              <w:t>Nepieciešamo būvdarbu veikšanai Nodrošinājuma valsts aģentūra organizēja iepirkuma procedūru</w:t>
            </w:r>
            <w:r w:rsidR="00044B19">
              <w:rPr>
                <w:lang w:val="lv-LV"/>
              </w:rPr>
              <w:t xml:space="preserve">, kuras </w:t>
            </w:r>
            <w:r w:rsidRPr="006E7F4E">
              <w:rPr>
                <w:lang w:val="lv-LV"/>
              </w:rPr>
              <w:t>rezultātā par iepirkuma uzvarētāju</w:t>
            </w:r>
            <w:r w:rsidR="00F52903">
              <w:rPr>
                <w:lang w:val="lv-LV"/>
              </w:rPr>
              <w:t xml:space="preserve"> iepirkumu daļā</w:t>
            </w:r>
            <w:r w:rsidR="00F23D26">
              <w:rPr>
                <w:lang w:val="lv-LV"/>
              </w:rPr>
              <w:t xml:space="preserve"> - </w:t>
            </w:r>
            <w:r w:rsidR="00F52903">
              <w:rPr>
                <w:lang w:val="lv-LV"/>
              </w:rPr>
              <w:t xml:space="preserve"> </w:t>
            </w:r>
            <w:r w:rsidR="00F52903" w:rsidRPr="006E7F4E">
              <w:rPr>
                <w:lang w:val="lv-LV"/>
              </w:rPr>
              <w:t xml:space="preserve">Patvēruma meklētāju izmitināšanas centra “Mucenieki” papildus divu korpusu un katlumājas pārbūve </w:t>
            </w:r>
            <w:r w:rsidR="00F52903">
              <w:rPr>
                <w:lang w:val="lv-LV"/>
              </w:rPr>
              <w:t xml:space="preserve"> </w:t>
            </w:r>
            <w:r w:rsidRPr="006E7F4E">
              <w:rPr>
                <w:lang w:val="lv-LV"/>
              </w:rPr>
              <w:t xml:space="preserve"> </w:t>
            </w:r>
            <w:r w:rsidR="008E22A5" w:rsidRPr="006E7F4E">
              <w:rPr>
                <w:lang w:val="lv-LV"/>
              </w:rPr>
              <w:t>2016.gada 12.janvārī tika atzīta</w:t>
            </w:r>
            <w:r w:rsidRPr="006E7F4E">
              <w:rPr>
                <w:lang w:val="lv-LV"/>
              </w:rPr>
              <w:t xml:space="preserve"> S</w:t>
            </w:r>
            <w:r w:rsidR="00F52903">
              <w:rPr>
                <w:lang w:val="lv-LV"/>
              </w:rPr>
              <w:t xml:space="preserve">abiedrība ar ierobežotu atbildību </w:t>
            </w:r>
            <w:r w:rsidRPr="006E7F4E">
              <w:rPr>
                <w:lang w:val="lv-LV"/>
              </w:rPr>
              <w:t xml:space="preserve"> „SKONTO BŪVE”</w:t>
            </w:r>
            <w:r w:rsidR="002564CB" w:rsidRPr="006E7F4E">
              <w:rPr>
                <w:lang w:val="lv-LV"/>
              </w:rPr>
              <w:t xml:space="preserve"> ar piedāvāto līgumcenu 2 226 400 </w:t>
            </w:r>
            <w:proofErr w:type="spellStart"/>
            <w:r w:rsidR="002564CB" w:rsidRPr="006E7F4E">
              <w:rPr>
                <w:i/>
                <w:lang w:val="lv-LV"/>
              </w:rPr>
              <w:t>euro</w:t>
            </w:r>
            <w:proofErr w:type="spellEnd"/>
            <w:r w:rsidR="002564CB" w:rsidRPr="006E7F4E">
              <w:rPr>
                <w:lang w:val="lv-LV"/>
              </w:rPr>
              <w:t xml:space="preserve"> </w:t>
            </w:r>
            <w:r w:rsidR="002564CB" w:rsidRPr="00EB2B17">
              <w:rPr>
                <w:lang w:val="lv-LV"/>
              </w:rPr>
              <w:t>apmērā</w:t>
            </w:r>
            <w:r w:rsidR="00EB2B17" w:rsidRPr="00EB2B17">
              <w:rPr>
                <w:lang w:val="lv-LV"/>
              </w:rPr>
              <w:t xml:space="preserve"> </w:t>
            </w:r>
            <w:r w:rsidR="00EB2B17" w:rsidRPr="00C823A5">
              <w:rPr>
                <w:lang w:val="lv-LV"/>
              </w:rPr>
              <w:t>(ar PVN)</w:t>
            </w:r>
            <w:r w:rsidR="002564CB" w:rsidRPr="00EB2B17">
              <w:rPr>
                <w:lang w:val="lv-LV"/>
              </w:rPr>
              <w:t>.</w:t>
            </w:r>
          </w:p>
          <w:p w14:paraId="2EBEEDE1" w14:textId="210FE629" w:rsidR="00044B19" w:rsidRDefault="00044B19" w:rsidP="008E1B57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</w:t>
            </w:r>
            <w:r>
              <w:rPr>
                <w:kern w:val="1"/>
                <w:lang w:val="lv-LV" w:eastAsia="ar-SA"/>
              </w:rPr>
              <w:t xml:space="preserve">Ministru kabineta 2015.gada 3.novembra sēdē  (prot. Nr.57 58.§, 8.punkts) nolemto </w:t>
            </w:r>
            <w:r w:rsidRPr="00C823A5">
              <w:rPr>
                <w:lang w:val="lv-LV"/>
              </w:rPr>
              <w:t xml:space="preserve"> </w:t>
            </w:r>
            <w:r>
              <w:rPr>
                <w:lang w:val="lv-LV"/>
              </w:rPr>
              <w:t>j</w:t>
            </w:r>
            <w:r w:rsidRPr="00C823A5">
              <w:rPr>
                <w:lang w:val="lv-LV"/>
              </w:rPr>
              <w:t xml:space="preserve">autājumu par papildu </w:t>
            </w:r>
            <w:r w:rsidRPr="00C823A5">
              <w:rPr>
                <w:lang w:val="lv-LV"/>
              </w:rPr>
              <w:lastRenderedPageBreak/>
              <w:t xml:space="preserve">nepieciešamo finansējumu, ko iespējams noteikt Rīcības plāna izpildes gaitā (saskaņā ar Rīcības plāna pielikumā norādīto valsts budžeta finansējumu no valsts budžeta programmas 02.00.00 </w:t>
            </w:r>
            <w:r w:rsidR="00EB2B17">
              <w:rPr>
                <w:lang w:val="lv-LV"/>
              </w:rPr>
              <w:t>“</w:t>
            </w:r>
            <w:r w:rsidRPr="00C823A5">
              <w:rPr>
                <w:lang w:val="lv-LV"/>
              </w:rPr>
              <w:t>Līdzekļi neparedzētiem gadījumiem</w:t>
            </w:r>
            <w:r w:rsidR="00EB2B17">
              <w:rPr>
                <w:lang w:val="lv-LV"/>
              </w:rPr>
              <w:t>”</w:t>
            </w:r>
            <w:r w:rsidRPr="00C823A5">
              <w:rPr>
                <w:lang w:val="lv-LV"/>
              </w:rPr>
              <w:t xml:space="preserve">), izskatīt Ministru kabinetā 2016. un 2017.gada laikā, ministrijām normatīvajos aktos noteiktajā kārtībā sagatavojot pamatotus pieprasījumus atbilstoši faktiskajiem izdevumiem no budžeta resora </w:t>
            </w:r>
            <w:r w:rsidR="00EB2B17">
              <w:rPr>
                <w:lang w:val="lv-LV"/>
              </w:rPr>
              <w:t>“</w:t>
            </w:r>
            <w:r w:rsidRPr="00C823A5">
              <w:rPr>
                <w:lang w:val="lv-LV"/>
              </w:rPr>
              <w:t>74.Gadskārtējā valsts budžeta izpildes procesā pārdalāmais finansējums</w:t>
            </w:r>
            <w:r w:rsidR="00EB2B17">
              <w:rPr>
                <w:lang w:val="lv-LV"/>
              </w:rPr>
              <w:t>”</w:t>
            </w:r>
            <w:r w:rsidRPr="00C823A5">
              <w:rPr>
                <w:lang w:val="lv-LV"/>
              </w:rPr>
              <w:t xml:space="preserve"> valsts budžeta programmas 02.00.00 </w:t>
            </w:r>
            <w:r w:rsidR="00EB2B17">
              <w:rPr>
                <w:lang w:val="lv-LV"/>
              </w:rPr>
              <w:t>“</w:t>
            </w:r>
            <w:r w:rsidRPr="00C823A5">
              <w:rPr>
                <w:lang w:val="lv-LV"/>
              </w:rPr>
              <w:t>Līdzekļi neparedzētiem gadījumiem</w:t>
            </w:r>
            <w:r w:rsidR="00EB2B17">
              <w:rPr>
                <w:lang w:val="lv-LV"/>
              </w:rPr>
              <w:t>”</w:t>
            </w:r>
            <w:r w:rsidRPr="00C823A5">
              <w:rPr>
                <w:lang w:val="lv-LV"/>
              </w:rPr>
              <w:t>.</w:t>
            </w:r>
          </w:p>
          <w:p w14:paraId="6DB8A39B" w14:textId="77777777" w:rsidR="002D5586" w:rsidRDefault="00044B19" w:rsidP="008E1B57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>
              <w:rPr>
                <w:lang w:val="lv-LV"/>
              </w:rPr>
              <w:t>Ievērojot, ka</w:t>
            </w:r>
            <w:r w:rsidR="002D5586">
              <w:rPr>
                <w:lang w:val="lv-LV"/>
              </w:rPr>
              <w:t>:</w:t>
            </w:r>
          </w:p>
          <w:p w14:paraId="5F696D77" w14:textId="79FD6F82" w:rsidR="002D5586" w:rsidRDefault="002D5586" w:rsidP="008E1B57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>
              <w:rPr>
                <w:lang w:val="lv-LV"/>
              </w:rPr>
              <w:t>-</w:t>
            </w:r>
            <w:r w:rsidR="00044B19">
              <w:rPr>
                <w:lang w:val="lv-LV"/>
              </w:rPr>
              <w:t xml:space="preserve"> iepirkums jau ir noticis un </w:t>
            </w:r>
            <w:r w:rsidR="00EB2B17">
              <w:rPr>
                <w:lang w:val="lv-LV"/>
              </w:rPr>
              <w:t>nepieciešamā finansējuma apmērs 2016. un 2017.gadā ir zināms</w:t>
            </w:r>
            <w:r>
              <w:rPr>
                <w:lang w:val="lv-LV"/>
              </w:rPr>
              <w:t>;</w:t>
            </w:r>
          </w:p>
          <w:p w14:paraId="6A994751" w14:textId="77777777" w:rsidR="00044B19" w:rsidRDefault="002D5586" w:rsidP="008E1B57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="00EB2B17">
              <w:rPr>
                <w:lang w:val="lv-LV"/>
              </w:rPr>
              <w:t>ja finansējuma apmērs ir zināms, to ir iespējams paredzēt  attiecīgā gada budžeta likumprojektā, negatavojot atsevišķu rīkojuma projektu “Par finanšu līdzekļu piešķiršanu no valsts budžeta programmas “</w:t>
            </w:r>
            <w:r w:rsidR="00EB2B17" w:rsidRPr="00F00A2E">
              <w:rPr>
                <w:lang w:val="lv-LV"/>
              </w:rPr>
              <w:t>Līdzekļi neparedzētiem gadījumiem”</w:t>
            </w:r>
            <w:r>
              <w:rPr>
                <w:lang w:val="lv-LV"/>
              </w:rPr>
              <w:t>;</w:t>
            </w:r>
          </w:p>
          <w:p w14:paraId="03114A1B" w14:textId="4549F7E9" w:rsidR="00EB2B17" w:rsidRDefault="002D5586" w:rsidP="00802C9C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- saskaņā ar iepirkumu izdevumu segšanai nepieciešams finansējums 4 132 183 </w:t>
            </w:r>
            <w:proofErr w:type="spellStart"/>
            <w:r w:rsidRPr="00C823A5">
              <w:rPr>
                <w:i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apmērā (sagatavojot Rīcības plānu, </w:t>
            </w:r>
            <w:r w:rsidR="004C0AEB" w:rsidRPr="00802C9C">
              <w:rPr>
                <w:lang w:val="lv-LV"/>
              </w:rPr>
              <w:t xml:space="preserve">pārbūvei </w:t>
            </w:r>
            <w:r w:rsidRPr="00802C9C">
              <w:rPr>
                <w:lang w:val="lv-LV"/>
              </w:rPr>
              <w:t>tika prognozētas izmaksas</w:t>
            </w:r>
            <w:r w:rsidR="00191F74" w:rsidRPr="00802C9C">
              <w:rPr>
                <w:lang w:val="lv-LV"/>
              </w:rPr>
              <w:t xml:space="preserve"> 3 098 644</w:t>
            </w:r>
            <w:r w:rsidRPr="00802C9C">
              <w:rPr>
                <w:i/>
                <w:lang w:val="lv-LV"/>
              </w:rPr>
              <w:t xml:space="preserve"> </w:t>
            </w:r>
            <w:proofErr w:type="spellStart"/>
            <w:r w:rsidRPr="00802C9C">
              <w:rPr>
                <w:i/>
                <w:lang w:val="lv-LV"/>
              </w:rPr>
              <w:t>euro</w:t>
            </w:r>
            <w:proofErr w:type="spellEnd"/>
            <w:r w:rsidR="006B3320" w:rsidRPr="00802C9C">
              <w:rPr>
                <w:i/>
                <w:lang w:val="lv-LV"/>
              </w:rPr>
              <w:t xml:space="preserve"> </w:t>
            </w:r>
            <w:r w:rsidR="006B3320" w:rsidRPr="00802C9C">
              <w:rPr>
                <w:lang w:val="lv-LV"/>
              </w:rPr>
              <w:t>apmērā</w:t>
            </w:r>
            <w:r w:rsidR="007A55FC" w:rsidRPr="00802C9C">
              <w:rPr>
                <w:lang w:val="lv-LV"/>
              </w:rPr>
              <w:t xml:space="preserve">, </w:t>
            </w:r>
            <w:r w:rsidR="004E5BBC" w:rsidRPr="00802C9C">
              <w:rPr>
                <w:lang w:val="lv-LV"/>
              </w:rPr>
              <w:t>jo tika plānota mazāka pārbūvējamā platība (kadastrālā uzmērīšanas lietā nekustamajam īpašumam „Bundulīši” bija norādīta</w:t>
            </w:r>
            <w:r w:rsidR="007A55FC" w:rsidRPr="00802C9C">
              <w:rPr>
                <w:lang w:val="lv-LV"/>
              </w:rPr>
              <w:t xml:space="preserve"> </w:t>
            </w:r>
            <w:r w:rsidR="004E5BBC" w:rsidRPr="00802C9C">
              <w:rPr>
                <w:lang w:val="lv-LV"/>
              </w:rPr>
              <w:t>mazāka platība, bet PMIC „Mucenieki” nepieciešams palielināt platību, nepieciešamajam patvērumu meklētāju skaitam)</w:t>
            </w:r>
            <w:r w:rsidR="006B3320" w:rsidRPr="00802C9C">
              <w:rPr>
                <w:lang w:val="lv-LV"/>
              </w:rPr>
              <w:t>),</w:t>
            </w:r>
            <w:r w:rsidR="006B3320" w:rsidRPr="00C823A5">
              <w:rPr>
                <w:lang w:val="lv-LV"/>
              </w:rPr>
              <w:t xml:space="preserve"> </w:t>
            </w:r>
            <w:r w:rsidR="009D29F5" w:rsidRPr="009D29F5">
              <w:rPr>
                <w:lang w:val="lv-LV"/>
              </w:rPr>
              <w:t>rīkojuma projekt</w:t>
            </w:r>
            <w:r w:rsidR="00EB2B17">
              <w:rPr>
                <w:lang w:val="lv-LV"/>
              </w:rPr>
              <w:t>s</w:t>
            </w:r>
            <w:r w:rsidR="009D29F5" w:rsidRPr="009D29F5">
              <w:rPr>
                <w:lang w:val="lv-LV"/>
              </w:rPr>
              <w:t xml:space="preserve"> paredz</w:t>
            </w:r>
            <w:r w:rsidR="00EB2B17">
              <w:rPr>
                <w:lang w:val="lv-LV"/>
              </w:rPr>
              <w:t xml:space="preserve">: </w:t>
            </w:r>
          </w:p>
          <w:p w14:paraId="495491EC" w14:textId="77777777" w:rsidR="002D5586" w:rsidRPr="00C823A5" w:rsidRDefault="002D5586" w:rsidP="00C823A5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 w:rsidRPr="00C823A5">
              <w:rPr>
                <w:lang w:val="lv-LV"/>
              </w:rPr>
              <w:t xml:space="preserve">1. </w:t>
            </w:r>
            <w:r w:rsidR="006B3320">
              <w:rPr>
                <w:lang w:val="lv-LV"/>
              </w:rPr>
              <w:t>a</w:t>
            </w:r>
            <w:r w:rsidRPr="00C823A5">
              <w:rPr>
                <w:lang w:val="lv-LV"/>
              </w:rPr>
              <w:t xml:space="preserve">tļaut Iekšlietu ministrijai (Nodrošinājuma valsts aģentūrai) noslēgt līgumu par </w:t>
            </w:r>
            <w:r w:rsidR="006B3320">
              <w:rPr>
                <w:lang w:val="lv-LV"/>
              </w:rPr>
              <w:t xml:space="preserve">iepriekš minēto </w:t>
            </w:r>
            <w:r w:rsidRPr="00C823A5">
              <w:rPr>
                <w:lang w:val="lv-LV"/>
              </w:rPr>
              <w:t>nekustam</w:t>
            </w:r>
            <w:r w:rsidR="006B3320">
              <w:rPr>
                <w:lang w:val="lv-LV"/>
              </w:rPr>
              <w:t>o</w:t>
            </w:r>
            <w:r w:rsidRPr="00C823A5">
              <w:rPr>
                <w:lang w:val="lv-LV"/>
              </w:rPr>
              <w:t xml:space="preserve"> īpašum</w:t>
            </w:r>
            <w:r w:rsidR="006B3320">
              <w:rPr>
                <w:lang w:val="lv-LV"/>
              </w:rPr>
              <w:t>u</w:t>
            </w:r>
            <w:r w:rsidRPr="00C823A5">
              <w:rPr>
                <w:lang w:val="lv-LV"/>
              </w:rPr>
              <w:t xml:space="preserve"> ēku un katlu mājas pārbūvi</w:t>
            </w:r>
            <w:r w:rsidR="006B3320">
              <w:rPr>
                <w:lang w:val="lv-LV"/>
              </w:rPr>
              <w:t>;</w:t>
            </w:r>
          </w:p>
          <w:p w14:paraId="4C6EF9B5" w14:textId="77777777" w:rsidR="002D5586" w:rsidRPr="00C823A5" w:rsidRDefault="002D5586" w:rsidP="00C823A5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 w:rsidRPr="00C823A5">
              <w:rPr>
                <w:lang w:val="lv-LV"/>
              </w:rPr>
              <w:t xml:space="preserve">2. </w:t>
            </w:r>
            <w:r w:rsidR="006B3320">
              <w:rPr>
                <w:lang w:val="lv-LV"/>
              </w:rPr>
              <w:t>l</w:t>
            </w:r>
            <w:r w:rsidRPr="00C823A5">
              <w:rPr>
                <w:lang w:val="lv-LV"/>
              </w:rPr>
              <w:t>ai segtu izdevumus, kas saistīti ar būvdarbu izpildi, Finanšu ministrijai:</w:t>
            </w:r>
          </w:p>
          <w:p w14:paraId="586E5F9B" w14:textId="77777777" w:rsidR="002D5586" w:rsidRPr="00C823A5" w:rsidRDefault="002D5586" w:rsidP="00C823A5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 w:rsidRPr="00C823A5">
              <w:rPr>
                <w:lang w:val="lv-LV"/>
              </w:rPr>
              <w:t xml:space="preserve">2.1. no valsts budžeta programmas 02.00.00 „Līdzekļi neparedzētiem gadījumiem” piešķirt Iekšlietu ministrijai (Nodrošinājuma valsts aģentūrai) 2016.gadā 3 118 499 </w:t>
            </w:r>
            <w:proofErr w:type="spellStart"/>
            <w:r w:rsidRPr="00C823A5">
              <w:rPr>
                <w:i/>
                <w:lang w:val="lv-LV"/>
              </w:rPr>
              <w:t>euro</w:t>
            </w:r>
            <w:proofErr w:type="spellEnd"/>
            <w:r w:rsidRPr="00C823A5">
              <w:rPr>
                <w:lang w:val="lv-LV"/>
              </w:rPr>
              <w:t>;</w:t>
            </w:r>
          </w:p>
          <w:p w14:paraId="2094E016" w14:textId="065C9EC7" w:rsidR="00C035E9" w:rsidRPr="003D260C" w:rsidRDefault="002D5586" w:rsidP="003D260C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 w:rsidRPr="00C823A5">
              <w:rPr>
                <w:lang w:val="lv-LV"/>
              </w:rPr>
              <w:t>2.2. likumprojekta “Par valsts budžetu 2017.gadam” sagatavošanas un izskatīšanas procesā paredzēt finansējumu 1 013 684 </w:t>
            </w:r>
            <w:proofErr w:type="spellStart"/>
            <w:r w:rsidRPr="00C823A5">
              <w:rPr>
                <w:i/>
                <w:lang w:val="lv-LV"/>
              </w:rPr>
              <w:t>euro</w:t>
            </w:r>
            <w:proofErr w:type="spellEnd"/>
            <w:r w:rsidRPr="00C823A5">
              <w:rPr>
                <w:lang w:val="lv-LV"/>
              </w:rPr>
              <w:t xml:space="preserve"> apmērā (budžeta apakšprogramma 40.02.00 “Nekustamais īpašums un centralizētais iepirkums”).</w:t>
            </w:r>
            <w:r w:rsidRPr="00C823A5" w:rsidDel="00C70954">
              <w:rPr>
                <w:lang w:val="lv-LV"/>
              </w:rPr>
              <w:t xml:space="preserve"> </w:t>
            </w:r>
          </w:p>
        </w:tc>
      </w:tr>
      <w:tr w:rsidR="00EA1BE1" w:rsidRPr="00F00A2E" w14:paraId="2EE6CEFF" w14:textId="77777777" w:rsidTr="001B40B5">
        <w:trPr>
          <w:trHeight w:val="626"/>
        </w:trPr>
        <w:tc>
          <w:tcPr>
            <w:tcW w:w="488" w:type="dxa"/>
          </w:tcPr>
          <w:p w14:paraId="72537EFD" w14:textId="77777777"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lastRenderedPageBreak/>
              <w:t>3.</w:t>
            </w:r>
          </w:p>
        </w:tc>
        <w:tc>
          <w:tcPr>
            <w:tcW w:w="2797" w:type="dxa"/>
          </w:tcPr>
          <w:p w14:paraId="083BB270" w14:textId="77777777"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Projekta izstrādē iesaistītās institūcijas</w:t>
            </w:r>
          </w:p>
        </w:tc>
        <w:tc>
          <w:tcPr>
            <w:tcW w:w="6076" w:type="dxa"/>
          </w:tcPr>
          <w:p w14:paraId="75393658" w14:textId="77777777" w:rsidR="00EA1BE1" w:rsidRPr="00F00A2E" w:rsidRDefault="00BF7FC3" w:rsidP="004E3656">
            <w:pPr>
              <w:pStyle w:val="naiskr"/>
              <w:spacing w:before="0" w:after="0" w:line="240" w:lineRule="auto"/>
              <w:jc w:val="both"/>
              <w:rPr>
                <w:lang w:val="lv-LV"/>
              </w:rPr>
            </w:pPr>
            <w:r w:rsidRPr="00F00A2E">
              <w:rPr>
                <w:iCs/>
                <w:lang w:val="lv-LV"/>
              </w:rPr>
              <w:t>Iekšlietu ministrija, Nod</w:t>
            </w:r>
            <w:r w:rsidR="00CE353D" w:rsidRPr="00F00A2E">
              <w:rPr>
                <w:iCs/>
                <w:lang w:val="lv-LV"/>
              </w:rPr>
              <w:t>rošinājuma valsts aģentūra</w:t>
            </w:r>
            <w:r w:rsidR="004E3656">
              <w:rPr>
                <w:iCs/>
                <w:lang w:val="lv-LV"/>
              </w:rPr>
              <w:t>.</w:t>
            </w:r>
          </w:p>
        </w:tc>
      </w:tr>
      <w:tr w:rsidR="00EA1BE1" w:rsidRPr="00F00A2E" w14:paraId="12B8362A" w14:textId="77777777" w:rsidTr="009670D4">
        <w:trPr>
          <w:trHeight w:val="290"/>
        </w:trPr>
        <w:tc>
          <w:tcPr>
            <w:tcW w:w="488" w:type="dxa"/>
          </w:tcPr>
          <w:p w14:paraId="679FDE62" w14:textId="77777777"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4.</w:t>
            </w:r>
          </w:p>
        </w:tc>
        <w:tc>
          <w:tcPr>
            <w:tcW w:w="2797" w:type="dxa"/>
          </w:tcPr>
          <w:p w14:paraId="7B2335F5" w14:textId="77777777"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Cita informācija</w:t>
            </w:r>
          </w:p>
        </w:tc>
        <w:tc>
          <w:tcPr>
            <w:tcW w:w="6076" w:type="dxa"/>
          </w:tcPr>
          <w:p w14:paraId="10D9E879" w14:textId="77777777"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Nav</w:t>
            </w:r>
            <w:r w:rsidR="001B40B5" w:rsidRPr="00F00A2E">
              <w:rPr>
                <w:lang w:val="lv-LV"/>
              </w:rPr>
              <w:t>.</w:t>
            </w:r>
          </w:p>
        </w:tc>
      </w:tr>
    </w:tbl>
    <w:p w14:paraId="40029252" w14:textId="77777777" w:rsidR="00EA1BE1" w:rsidRPr="00F00A2E" w:rsidRDefault="00EA1BE1" w:rsidP="00F00A2E">
      <w:pPr>
        <w:pStyle w:val="naisf"/>
        <w:spacing w:before="0" w:after="0" w:line="240" w:lineRule="auto"/>
        <w:rPr>
          <w:lang w:val="lv-LV"/>
        </w:rPr>
      </w:pPr>
    </w:p>
    <w:tbl>
      <w:tblPr>
        <w:tblW w:w="10626" w:type="dxa"/>
        <w:tblInd w:w="-1304" w:type="dxa"/>
        <w:tblLayout w:type="fixed"/>
        <w:tblLook w:val="0000" w:firstRow="0" w:lastRow="0" w:firstColumn="0" w:lastColumn="0" w:noHBand="0" w:noVBand="0"/>
      </w:tblPr>
      <w:tblGrid>
        <w:gridCol w:w="1270"/>
        <w:gridCol w:w="568"/>
        <w:gridCol w:w="2352"/>
        <w:gridCol w:w="1168"/>
        <w:gridCol w:w="23"/>
        <w:gridCol w:w="1276"/>
        <w:gridCol w:w="1443"/>
        <w:gridCol w:w="1250"/>
        <w:gridCol w:w="219"/>
        <w:gridCol w:w="1057"/>
      </w:tblGrid>
      <w:tr w:rsidR="000C68EA" w:rsidRPr="000A4F0A" w14:paraId="41A0E9AE" w14:textId="77777777" w:rsidTr="00286765">
        <w:trPr>
          <w:gridBefore w:val="1"/>
          <w:wBefore w:w="1270" w:type="dxa"/>
          <w:trHeight w:val="315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41BF2" w14:textId="77777777" w:rsidR="000C68EA" w:rsidRPr="00F00A2E" w:rsidRDefault="000C68EA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0C68EA" w:rsidRPr="00F00A2E" w14:paraId="74D4C135" w14:textId="77777777" w:rsidTr="001D4ED4">
        <w:trPr>
          <w:gridBefore w:val="1"/>
          <w:wBefore w:w="1270" w:type="dxa"/>
          <w:trHeight w:val="25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9F16" w14:textId="77777777"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 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F7E4" w14:textId="77777777" w:rsidR="000C68EA" w:rsidRPr="00F00A2E" w:rsidRDefault="000C68EA" w:rsidP="00F00A2E">
            <w:pPr>
              <w:spacing w:after="0" w:line="240" w:lineRule="auto"/>
              <w:jc w:val="right"/>
              <w:rPr>
                <w:lang w:val="lv-LV"/>
              </w:rPr>
            </w:pPr>
            <w:r w:rsidRPr="00F00A2E">
              <w:rPr>
                <w:lang w:val="lv-LV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2CB0D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Turpmākie trīs gadi (</w:t>
            </w:r>
            <w:proofErr w:type="spellStart"/>
            <w:r w:rsidRPr="00F00A2E">
              <w:rPr>
                <w:i/>
                <w:lang w:val="lv-LV"/>
              </w:rPr>
              <w:t>euro</w:t>
            </w:r>
            <w:proofErr w:type="spellEnd"/>
            <w:r w:rsidRPr="00F00A2E">
              <w:rPr>
                <w:lang w:val="lv-LV"/>
              </w:rPr>
              <w:t>)</w:t>
            </w:r>
          </w:p>
        </w:tc>
      </w:tr>
      <w:tr w:rsidR="000C68EA" w:rsidRPr="00F00A2E" w14:paraId="14DA322E" w14:textId="77777777" w:rsidTr="00C823A5">
        <w:trPr>
          <w:gridBefore w:val="1"/>
          <w:wBefore w:w="1270" w:type="dxa"/>
          <w:trHeight w:val="255"/>
        </w:trPr>
        <w:tc>
          <w:tcPr>
            <w:tcW w:w="2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0877" w14:textId="77777777" w:rsidR="000C68EA" w:rsidRPr="00F00A2E" w:rsidRDefault="000C68EA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Rādītāji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7A98" w14:textId="77777777" w:rsidR="000C68EA" w:rsidRPr="00F00A2E" w:rsidRDefault="00110B65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2016</w:t>
            </w:r>
            <w:r w:rsidR="000C68EA" w:rsidRPr="00F00A2E">
              <w:rPr>
                <w:b/>
                <w:bCs/>
                <w:lang w:val="lv-LV"/>
              </w:rPr>
              <w:t>.gads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105B" w14:textId="77777777" w:rsidR="000C68EA" w:rsidRPr="00F00A2E" w:rsidRDefault="00110B65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2017</w:t>
            </w:r>
            <w:r w:rsidR="000C68EA" w:rsidRPr="00F00A2E">
              <w:rPr>
                <w:b/>
                <w:bCs/>
                <w:lang w:val="lv-LV"/>
              </w:rPr>
              <w:t>.gads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458E" w14:textId="77777777" w:rsidR="000C68EA" w:rsidRPr="00F00A2E" w:rsidRDefault="00110B65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2018</w:t>
            </w:r>
            <w:r w:rsidR="000C68EA" w:rsidRPr="00F00A2E">
              <w:rPr>
                <w:b/>
                <w:bCs/>
                <w:lang w:val="lv-LV"/>
              </w:rPr>
              <w:t>.gads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31E7" w14:textId="77777777" w:rsidR="000C68EA" w:rsidRPr="00F00A2E" w:rsidRDefault="00110B65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2019</w:t>
            </w:r>
            <w:r w:rsidR="000C68EA" w:rsidRPr="00F00A2E">
              <w:rPr>
                <w:b/>
                <w:bCs/>
                <w:lang w:val="lv-LV"/>
              </w:rPr>
              <w:t>.gads</w:t>
            </w:r>
          </w:p>
        </w:tc>
      </w:tr>
      <w:tr w:rsidR="000C68EA" w:rsidRPr="00F00A2E" w14:paraId="26E02A64" w14:textId="77777777" w:rsidTr="00C823A5">
        <w:trPr>
          <w:gridBefore w:val="1"/>
          <w:wBefore w:w="1270" w:type="dxa"/>
          <w:trHeight w:val="1020"/>
        </w:trPr>
        <w:tc>
          <w:tcPr>
            <w:tcW w:w="29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3B839" w14:textId="77777777" w:rsidR="000C68EA" w:rsidRPr="00F00A2E" w:rsidRDefault="000C68EA" w:rsidP="00F00A2E">
            <w:pPr>
              <w:spacing w:after="0" w:line="240" w:lineRule="auto"/>
              <w:rPr>
                <w:b/>
                <w:bCs/>
                <w:lang w:val="lv-LV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2E50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Saskaņā ar valsts budžetu kārtējam gadam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711A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 xml:space="preserve">Izmaiņas kārtējā gadā, salīdzinot ar budžetu kārtējam </w:t>
            </w:r>
            <w:r w:rsidRPr="00F00A2E">
              <w:rPr>
                <w:lang w:val="lv-LV"/>
              </w:rPr>
              <w:lastRenderedPageBreak/>
              <w:t>gadam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DB92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lastRenderedPageBreak/>
              <w:t>Izmai</w:t>
            </w:r>
            <w:r w:rsidR="00181F4D" w:rsidRPr="00F00A2E">
              <w:rPr>
                <w:lang w:val="lv-LV"/>
              </w:rPr>
              <w:t>ņas, salīdzinot ar kārtējo (201</w:t>
            </w:r>
            <w:r w:rsidR="00837B90">
              <w:rPr>
                <w:lang w:val="lv-LV"/>
              </w:rPr>
              <w:t>6</w:t>
            </w:r>
            <w:r w:rsidRPr="00F00A2E">
              <w:rPr>
                <w:lang w:val="lv-LV"/>
              </w:rPr>
              <w:t>.) gadu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743CF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Izmai</w:t>
            </w:r>
            <w:r w:rsidR="00181F4D" w:rsidRPr="00F00A2E">
              <w:rPr>
                <w:lang w:val="lv-LV"/>
              </w:rPr>
              <w:t>ņas, salīdzinot ar kārtējo (201</w:t>
            </w:r>
            <w:r w:rsidR="00837B90">
              <w:rPr>
                <w:lang w:val="lv-LV"/>
              </w:rPr>
              <w:t>6</w:t>
            </w:r>
            <w:r w:rsidRPr="00F00A2E">
              <w:rPr>
                <w:lang w:val="lv-LV"/>
              </w:rPr>
              <w:t>.) gadu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38E3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Izmai</w:t>
            </w:r>
            <w:r w:rsidR="00181F4D" w:rsidRPr="00F00A2E">
              <w:rPr>
                <w:lang w:val="lv-LV"/>
              </w:rPr>
              <w:t>ņas, salīdzinot ar kārtējo (201</w:t>
            </w:r>
            <w:r w:rsidR="00837B90">
              <w:rPr>
                <w:lang w:val="lv-LV"/>
              </w:rPr>
              <w:t>6</w:t>
            </w:r>
            <w:r w:rsidRPr="00F00A2E">
              <w:rPr>
                <w:lang w:val="lv-LV"/>
              </w:rPr>
              <w:t>.) gadu</w:t>
            </w:r>
          </w:p>
        </w:tc>
      </w:tr>
      <w:tr w:rsidR="000C68EA" w:rsidRPr="00F00A2E" w14:paraId="408EDC76" w14:textId="77777777" w:rsidTr="00C823A5">
        <w:trPr>
          <w:gridBefore w:val="1"/>
          <w:wBefore w:w="1270" w:type="dxa"/>
          <w:trHeight w:val="25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1493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D017F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6AE3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44E52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810C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7A5B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6</w:t>
            </w:r>
          </w:p>
        </w:tc>
      </w:tr>
      <w:tr w:rsidR="000C68EA" w:rsidRPr="00F00A2E" w14:paraId="1295635C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67D2" w14:textId="77777777"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1. Budžeta ieņēmumi: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ABAB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AACB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0842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B600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F8AA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14:paraId="0929EA6B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6C7C" w14:textId="77777777"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1.1.valsts pamatbudžets, tai skaitā ieņēmumi no maksas pakalpojumiem un citi pašu ieņēmumi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B7D08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86748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F2B05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2DF1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4932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14:paraId="2E54D6ED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2C9E3" w14:textId="77777777"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1.2.valsts speciālais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DA16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668EA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BAA4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BF30E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32E2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14:paraId="501FC97B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61F3D" w14:textId="77777777"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1.3.pašvaldību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9122B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DF80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D1036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B1DF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B9213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362947" w:rsidRPr="00F00A2E" w14:paraId="5B933DFD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40C8" w14:textId="77777777" w:rsidR="00362947" w:rsidRPr="00F00A2E" w:rsidRDefault="00362947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2.      Budžeta izdevumi: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F3556" w14:textId="77777777" w:rsidR="00362947" w:rsidRPr="00F00A2E" w:rsidRDefault="00362947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07AC" w14:textId="77777777" w:rsidR="00362947" w:rsidRPr="00F00A2E" w:rsidRDefault="00C57FEF" w:rsidP="00C57FEF">
            <w:pPr>
              <w:spacing w:after="0" w:line="240" w:lineRule="auto"/>
              <w:jc w:val="center"/>
              <w:rPr>
                <w:lang w:val="lv-LV"/>
              </w:rPr>
            </w:pPr>
            <w:r w:rsidRPr="00C57FEF">
              <w:rPr>
                <w:lang w:val="lv-LV"/>
              </w:rPr>
              <w:t>3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118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499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2CD4" w14:textId="77777777" w:rsidR="00362947" w:rsidRPr="00F00A2E" w:rsidRDefault="00C57FEF" w:rsidP="004E7494">
            <w:pPr>
              <w:spacing w:after="0" w:line="240" w:lineRule="auto"/>
              <w:jc w:val="center"/>
              <w:rPr>
                <w:lang w:val="lv-LV"/>
              </w:rPr>
            </w:pPr>
            <w:r w:rsidRPr="00C57FEF">
              <w:rPr>
                <w:lang w:val="lv-LV"/>
              </w:rPr>
              <w:t>1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013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68</w:t>
            </w:r>
            <w:r w:rsidR="004E7494">
              <w:rPr>
                <w:lang w:val="lv-LV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5E3C" w14:textId="77777777" w:rsidR="00362947" w:rsidRPr="00F00A2E" w:rsidRDefault="00362947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11DDC" w14:textId="77777777" w:rsidR="00362947" w:rsidRPr="00F00A2E" w:rsidRDefault="00362947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C57FEF" w:rsidRPr="00F00A2E" w14:paraId="5B056A01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EE2C" w14:textId="77777777" w:rsidR="00C57FEF" w:rsidRPr="00F00A2E" w:rsidRDefault="00C57FEF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2.1.valsts pamatbudžets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6F0F7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0B8C" w14:textId="77777777" w:rsidR="00C57FEF" w:rsidRPr="00F00A2E" w:rsidRDefault="00C57FEF" w:rsidP="001E4D13">
            <w:pPr>
              <w:spacing w:after="0" w:line="240" w:lineRule="auto"/>
              <w:jc w:val="center"/>
              <w:rPr>
                <w:lang w:val="lv-LV"/>
              </w:rPr>
            </w:pPr>
            <w:r w:rsidRPr="00C57FEF">
              <w:rPr>
                <w:lang w:val="lv-LV"/>
              </w:rPr>
              <w:t>3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118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499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CF34" w14:textId="77777777" w:rsidR="00C57FEF" w:rsidRPr="00F00A2E" w:rsidRDefault="00C57FEF" w:rsidP="001E4D13">
            <w:pPr>
              <w:spacing w:after="0" w:line="240" w:lineRule="auto"/>
              <w:jc w:val="center"/>
              <w:rPr>
                <w:lang w:val="lv-LV"/>
              </w:rPr>
            </w:pPr>
            <w:r w:rsidRPr="00C57FEF">
              <w:rPr>
                <w:lang w:val="lv-LV"/>
              </w:rPr>
              <w:t>1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013</w:t>
            </w:r>
            <w:r>
              <w:rPr>
                <w:lang w:val="lv-LV"/>
              </w:rPr>
              <w:t xml:space="preserve"> </w:t>
            </w:r>
            <w:r w:rsidR="004E7494">
              <w:rPr>
                <w:lang w:val="lv-LV"/>
              </w:rPr>
              <w:t>684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3D375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19FA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14:paraId="6CC0C032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08E90" w14:textId="77777777"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2.2.valsts speciālais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A2139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96BBC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6F804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A0CB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88F4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14:paraId="3D111B26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29E9" w14:textId="77777777"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2.3.pašvaldību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6B146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BE45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2FDD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001B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0F50" w14:textId="77777777"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C57FEF" w:rsidRPr="00F00A2E" w14:paraId="2E740657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B454A" w14:textId="77777777" w:rsidR="00C57FEF" w:rsidRPr="00F00A2E" w:rsidRDefault="00C57FEF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3.      Finansiālā ietekme: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0278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1A696" w14:textId="77777777" w:rsidR="00C57FEF" w:rsidRPr="00F00A2E" w:rsidRDefault="00C57FEF" w:rsidP="00C57FEF">
            <w:pPr>
              <w:spacing w:after="0" w:line="240" w:lineRule="auto"/>
              <w:ind w:left="-85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C57FEF">
              <w:rPr>
                <w:lang w:val="lv-LV"/>
              </w:rPr>
              <w:t>3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118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499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9F09" w14:textId="77777777" w:rsidR="00C57FEF" w:rsidRPr="00F00A2E" w:rsidRDefault="00C57FEF" w:rsidP="00C57FEF">
            <w:pPr>
              <w:spacing w:after="0" w:line="240" w:lineRule="auto"/>
              <w:ind w:left="-108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C57FEF">
              <w:rPr>
                <w:lang w:val="lv-LV"/>
              </w:rPr>
              <w:t>1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013</w:t>
            </w:r>
            <w:r>
              <w:rPr>
                <w:lang w:val="lv-LV"/>
              </w:rPr>
              <w:t xml:space="preserve"> </w:t>
            </w:r>
            <w:r w:rsidR="004E7494">
              <w:rPr>
                <w:lang w:val="lv-LV"/>
              </w:rPr>
              <w:t>684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1EE3F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8F6D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C57FEF" w:rsidRPr="00F00A2E" w14:paraId="42B8A264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105C" w14:textId="77777777" w:rsidR="00C57FEF" w:rsidRPr="00F00A2E" w:rsidRDefault="00C57FEF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3.1.valsts pamatbudžets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65F6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69F7" w14:textId="77777777" w:rsidR="00C57FEF" w:rsidRPr="00F00A2E" w:rsidRDefault="00C57FEF" w:rsidP="001E4D13">
            <w:pPr>
              <w:spacing w:after="0" w:line="240" w:lineRule="auto"/>
              <w:ind w:left="-85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C57FEF">
              <w:rPr>
                <w:lang w:val="lv-LV"/>
              </w:rPr>
              <w:t>3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118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499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17EC" w14:textId="77777777" w:rsidR="00C57FEF" w:rsidRPr="00F00A2E" w:rsidRDefault="00C57FEF" w:rsidP="001E4D13">
            <w:pPr>
              <w:spacing w:after="0" w:line="240" w:lineRule="auto"/>
              <w:ind w:left="-108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C57FEF">
              <w:rPr>
                <w:lang w:val="lv-LV"/>
              </w:rPr>
              <w:t>1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013</w:t>
            </w:r>
            <w:r>
              <w:rPr>
                <w:lang w:val="lv-LV"/>
              </w:rPr>
              <w:t xml:space="preserve"> </w:t>
            </w:r>
            <w:r w:rsidR="004E7494">
              <w:rPr>
                <w:lang w:val="lv-LV"/>
              </w:rPr>
              <w:t>684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A7DA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3E59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C57FEF" w:rsidRPr="00F00A2E" w14:paraId="0D245F52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A9CC" w14:textId="77777777" w:rsidR="00C57FEF" w:rsidRPr="00F00A2E" w:rsidRDefault="00C57FEF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3.2. speciālais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DE4A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C74EE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A335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EC71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69C5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C57FEF" w:rsidRPr="00F00A2E" w14:paraId="6B7BC500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7B78" w14:textId="77777777" w:rsidR="00C57FEF" w:rsidRPr="00F00A2E" w:rsidRDefault="00C57FEF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3.3.pašvaldību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8AA7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FD43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CFF4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8A99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E9F2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C57FEF" w:rsidRPr="00F00A2E" w14:paraId="7186F9EE" w14:textId="77777777" w:rsidTr="00C823A5">
        <w:trPr>
          <w:gridBefore w:val="1"/>
          <w:wBefore w:w="1270" w:type="dxa"/>
          <w:trHeight w:val="843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173E9" w14:textId="77777777" w:rsidR="00C57FEF" w:rsidRPr="00F00A2E" w:rsidRDefault="00C57FEF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4.      Finanšu līdzekļi papildu izdevumu finansēšanai (kompensējošo izdevumu samazinājumu norāda ar „+” zīmi)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5C22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3775" w14:textId="77777777" w:rsidR="00C57FEF" w:rsidRPr="00F00A2E" w:rsidRDefault="00C57FEF" w:rsidP="001E4D13">
            <w:pPr>
              <w:spacing w:after="0" w:line="240" w:lineRule="auto"/>
              <w:jc w:val="center"/>
              <w:rPr>
                <w:lang w:val="lv-LV"/>
              </w:rPr>
            </w:pPr>
            <w:r w:rsidRPr="00C57FEF">
              <w:rPr>
                <w:lang w:val="lv-LV"/>
              </w:rPr>
              <w:t>3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118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499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33256" w14:textId="600463B8" w:rsidR="00C57FEF" w:rsidRPr="00F00A2E" w:rsidRDefault="006B3320" w:rsidP="001E4D13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D4E0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61BB" w14:textId="77777777" w:rsidR="00C57FEF" w:rsidRPr="00F00A2E" w:rsidRDefault="00C57FEF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6B3320" w:rsidRPr="00F00A2E" w14:paraId="0978451E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05BC" w14:textId="77777777" w:rsidR="006B3320" w:rsidRPr="00F00A2E" w:rsidRDefault="006B3320" w:rsidP="006B3320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5.      Precizēta finansiālā ietekme: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FB40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X</w:t>
            </w:r>
          </w:p>
          <w:p w14:paraId="1DE2AD0E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ADA8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3C905" w14:textId="2372688E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C57FEF">
              <w:rPr>
                <w:lang w:val="lv-LV"/>
              </w:rPr>
              <w:t>1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013</w:t>
            </w:r>
            <w:r>
              <w:rPr>
                <w:lang w:val="lv-LV"/>
              </w:rPr>
              <w:t xml:space="preserve"> 684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8721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3CD4F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6B3320" w:rsidRPr="00F00A2E" w14:paraId="7B25BF6D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3536" w14:textId="77777777" w:rsidR="006B3320" w:rsidRPr="00F00A2E" w:rsidRDefault="006B3320" w:rsidP="006B3320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5.1.valsts pamatbudžets</w:t>
            </w: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43FE" w14:textId="77777777" w:rsidR="006B3320" w:rsidRPr="00F00A2E" w:rsidRDefault="006B3320" w:rsidP="006B3320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25EA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5628" w14:textId="7721D9D6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C57FEF">
              <w:rPr>
                <w:lang w:val="lv-LV"/>
              </w:rPr>
              <w:t>1</w:t>
            </w:r>
            <w:r>
              <w:rPr>
                <w:lang w:val="lv-LV"/>
              </w:rPr>
              <w:t xml:space="preserve"> </w:t>
            </w:r>
            <w:r w:rsidRPr="00C57FEF">
              <w:rPr>
                <w:lang w:val="lv-LV"/>
              </w:rPr>
              <w:t>013</w:t>
            </w:r>
            <w:r>
              <w:rPr>
                <w:lang w:val="lv-LV"/>
              </w:rPr>
              <w:t xml:space="preserve"> 684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EF55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6F90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6B3320" w:rsidRPr="00F00A2E" w14:paraId="5A4F736E" w14:textId="77777777" w:rsidTr="00C823A5">
        <w:trPr>
          <w:gridBefore w:val="1"/>
          <w:wBefore w:w="1270" w:type="dxa"/>
          <w:trHeight w:val="152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A9D0" w14:textId="77777777" w:rsidR="006B3320" w:rsidRPr="00F00A2E" w:rsidRDefault="006B3320" w:rsidP="006B3320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5.2. speciālais budžets</w:t>
            </w: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7C15" w14:textId="77777777" w:rsidR="006B3320" w:rsidRPr="00F00A2E" w:rsidRDefault="006B3320" w:rsidP="006B3320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24A4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A0D1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2182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38D1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6B3320" w:rsidRPr="00F00A2E" w14:paraId="26C63740" w14:textId="77777777" w:rsidTr="00C823A5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2412" w14:textId="77777777" w:rsidR="006B3320" w:rsidRPr="00F00A2E" w:rsidRDefault="006B3320" w:rsidP="006B3320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5.3.pašvaldību budžets</w:t>
            </w: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0899A" w14:textId="77777777" w:rsidR="006B3320" w:rsidRPr="00F00A2E" w:rsidRDefault="006B3320" w:rsidP="006B3320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BA23A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B5745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DFE7DB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E84B6" w14:textId="77777777" w:rsidR="006B3320" w:rsidRPr="00F00A2E" w:rsidRDefault="006B3320" w:rsidP="006B3320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6B3320" w:rsidRPr="000A4F0A" w14:paraId="2C7B643F" w14:textId="77777777" w:rsidTr="009534BE">
        <w:trPr>
          <w:gridBefore w:val="1"/>
          <w:wBefore w:w="1270" w:type="dxa"/>
          <w:trHeight w:val="42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252EA" w14:textId="77777777" w:rsidR="006B3320" w:rsidRPr="00F00A2E" w:rsidRDefault="006B3320" w:rsidP="006B3320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6.      Detalizēts ieņēmumu un izdevumu aprēķins (ja nepieciešams, detalizētu ieņēmumu un izdevumu aprēķinu var pievienot anotācijas pielikumā):</w:t>
            </w:r>
          </w:p>
        </w:tc>
        <w:tc>
          <w:tcPr>
            <w:tcW w:w="6436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BAB88C" w14:textId="16C3BC2A" w:rsidR="001A32D1" w:rsidRDefault="001A32D1" w:rsidP="003D260C">
            <w:pPr>
              <w:spacing w:after="0" w:line="240" w:lineRule="auto"/>
              <w:jc w:val="both"/>
              <w:rPr>
                <w:shd w:val="clear" w:color="auto" w:fill="FFFFFF"/>
                <w:lang w:val="lv-LV"/>
              </w:rPr>
            </w:pPr>
            <w:r>
              <w:rPr>
                <w:shd w:val="clear" w:color="auto" w:fill="FFFFFF"/>
                <w:lang w:val="lv-LV"/>
              </w:rPr>
              <w:t xml:space="preserve">Iekšlietu ministrija – kopā 4 132 183 </w:t>
            </w:r>
            <w:proofErr w:type="spellStart"/>
            <w:r w:rsidRPr="00C823A5">
              <w:rPr>
                <w:i/>
                <w:shd w:val="clear" w:color="auto" w:fill="FFFFFF"/>
                <w:lang w:val="lv-LV"/>
              </w:rPr>
              <w:t>euro</w:t>
            </w:r>
            <w:proofErr w:type="spellEnd"/>
            <w:r>
              <w:rPr>
                <w:shd w:val="clear" w:color="auto" w:fill="FFFFFF"/>
                <w:lang w:val="lv-LV"/>
              </w:rPr>
              <w:t>, no tā:</w:t>
            </w:r>
          </w:p>
          <w:p w14:paraId="3AF40BDC" w14:textId="22A58E4D" w:rsidR="001A32D1" w:rsidRDefault="001A32D1" w:rsidP="006B3320">
            <w:pPr>
              <w:spacing w:after="0" w:line="240" w:lineRule="auto"/>
              <w:ind w:left="360"/>
              <w:jc w:val="both"/>
              <w:rPr>
                <w:shd w:val="clear" w:color="auto" w:fill="FFFFFF"/>
                <w:lang w:val="lv-LV"/>
              </w:rPr>
            </w:pPr>
            <w:r>
              <w:rPr>
                <w:shd w:val="clear" w:color="auto" w:fill="FFFFFF"/>
                <w:lang w:val="lv-LV"/>
              </w:rPr>
              <w:t>2016.gadā – budžeta programma 99.00.00 “Līdzekļu neparedzētiem gadījumiem izlietojums” (Nodrošinājuma valsts aģentūra)</w:t>
            </w:r>
          </w:p>
          <w:p w14:paraId="5BB40C26" w14:textId="4497660C" w:rsidR="00293EB9" w:rsidRDefault="006B3320" w:rsidP="006B3320">
            <w:pPr>
              <w:spacing w:after="0" w:line="240" w:lineRule="auto"/>
              <w:ind w:left="360"/>
              <w:jc w:val="both"/>
              <w:rPr>
                <w:lang w:val="lv-LV"/>
              </w:rPr>
            </w:pPr>
            <w:r w:rsidRPr="00F23D26">
              <w:rPr>
                <w:lang w:val="lv-LV"/>
              </w:rPr>
              <w:t>EKK 5250</w:t>
            </w:r>
            <w:r w:rsidR="00293EB9">
              <w:rPr>
                <w:lang w:val="lv-LV"/>
              </w:rPr>
              <w:t xml:space="preserve"> “</w:t>
            </w:r>
            <w:r w:rsidR="00293EB9" w:rsidRPr="00546072">
              <w:rPr>
                <w:lang w:val="lv-LV"/>
              </w:rPr>
              <w:t>Kapitālais remonts un rekonstrukcija</w:t>
            </w:r>
            <w:r w:rsidR="00293EB9">
              <w:t>”</w:t>
            </w:r>
            <w:r w:rsidRPr="00F23D26">
              <w:rPr>
                <w:lang w:val="lv-LV"/>
              </w:rPr>
              <w:t xml:space="preserve"> –</w:t>
            </w:r>
          </w:p>
          <w:p w14:paraId="34866AAC" w14:textId="2542F223" w:rsidR="006B3320" w:rsidRPr="00F23D26" w:rsidRDefault="006B3320" w:rsidP="006B3320">
            <w:pPr>
              <w:spacing w:after="0" w:line="240" w:lineRule="auto"/>
              <w:ind w:left="360"/>
              <w:jc w:val="both"/>
              <w:rPr>
                <w:lang w:val="lv-LV"/>
              </w:rPr>
            </w:pPr>
            <w:r w:rsidRPr="00F23D26">
              <w:rPr>
                <w:lang w:val="lv-LV"/>
              </w:rPr>
              <w:t xml:space="preserve"> 3 118 499 </w:t>
            </w:r>
            <w:proofErr w:type="spellStart"/>
            <w:r w:rsidRPr="00F23D26">
              <w:rPr>
                <w:i/>
                <w:lang w:val="lv-LV"/>
              </w:rPr>
              <w:t>euro</w:t>
            </w:r>
            <w:proofErr w:type="spellEnd"/>
            <w:r w:rsidRPr="00F23D26">
              <w:rPr>
                <w:lang w:val="lv-LV"/>
              </w:rPr>
              <w:t>.</w:t>
            </w:r>
          </w:p>
          <w:p w14:paraId="124A2A91" w14:textId="69EA2CB2" w:rsidR="001A32D1" w:rsidRDefault="001A32D1" w:rsidP="001A32D1">
            <w:pPr>
              <w:spacing w:after="0" w:line="240" w:lineRule="auto"/>
              <w:ind w:left="360"/>
              <w:jc w:val="both"/>
              <w:rPr>
                <w:shd w:val="clear" w:color="auto" w:fill="FFFFFF"/>
                <w:lang w:val="lv-LV"/>
              </w:rPr>
            </w:pPr>
            <w:r>
              <w:rPr>
                <w:shd w:val="clear" w:color="auto" w:fill="FFFFFF"/>
                <w:lang w:val="lv-LV"/>
              </w:rPr>
              <w:t xml:space="preserve">2017.gadā – budžeta apakšprogramma </w:t>
            </w:r>
            <w:r w:rsidRPr="001C2FC5">
              <w:rPr>
                <w:lang w:val="lv-LV"/>
              </w:rPr>
              <w:t>40.02.00 “Nekustamais īpašums un centralizētais iepirkums”</w:t>
            </w:r>
            <w:r>
              <w:rPr>
                <w:shd w:val="clear" w:color="auto" w:fill="FFFFFF"/>
                <w:lang w:val="lv-LV"/>
              </w:rPr>
              <w:t xml:space="preserve"> (Nodrošinājuma valsts aģentūra)</w:t>
            </w:r>
          </w:p>
          <w:p w14:paraId="49638CFC" w14:textId="77777777" w:rsidR="00293EB9" w:rsidRDefault="00293EB9" w:rsidP="00293EB9">
            <w:pPr>
              <w:spacing w:after="0" w:line="240" w:lineRule="auto"/>
              <w:ind w:left="360"/>
              <w:jc w:val="both"/>
              <w:rPr>
                <w:lang w:val="lv-LV"/>
              </w:rPr>
            </w:pPr>
            <w:r w:rsidRPr="00F23D26">
              <w:rPr>
                <w:lang w:val="lv-LV"/>
              </w:rPr>
              <w:t>EKK 5250</w:t>
            </w:r>
            <w:r>
              <w:rPr>
                <w:lang w:val="lv-LV"/>
              </w:rPr>
              <w:t xml:space="preserve"> “</w:t>
            </w:r>
            <w:r w:rsidRPr="00546072">
              <w:rPr>
                <w:lang w:val="lv-LV"/>
              </w:rPr>
              <w:t>Kapitālais remonts un rekonstrukcija</w:t>
            </w:r>
            <w:r>
              <w:t>”</w:t>
            </w:r>
            <w:r w:rsidRPr="00F23D26">
              <w:rPr>
                <w:lang w:val="lv-LV"/>
              </w:rPr>
              <w:t xml:space="preserve"> –</w:t>
            </w:r>
          </w:p>
          <w:p w14:paraId="23B70BEC" w14:textId="1A2FBD43" w:rsidR="006B3320" w:rsidRDefault="00293EB9" w:rsidP="003D260C">
            <w:pPr>
              <w:spacing w:after="0" w:line="240" w:lineRule="auto"/>
              <w:ind w:left="360"/>
              <w:jc w:val="both"/>
              <w:rPr>
                <w:lang w:val="lv-LV"/>
              </w:rPr>
            </w:pPr>
            <w:r w:rsidRPr="00F23D26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1 013 684 </w:t>
            </w:r>
            <w:proofErr w:type="spellStart"/>
            <w:r w:rsidRPr="00F23D26">
              <w:rPr>
                <w:i/>
                <w:lang w:val="lv-LV"/>
              </w:rPr>
              <w:t>euro</w:t>
            </w:r>
            <w:proofErr w:type="spellEnd"/>
            <w:r w:rsidR="003D260C">
              <w:rPr>
                <w:lang w:val="lv-LV"/>
              </w:rPr>
              <w:t>.</w:t>
            </w:r>
          </w:p>
          <w:p w14:paraId="0EC676D5" w14:textId="7F32A489" w:rsidR="001E4D13" w:rsidRDefault="006B3320" w:rsidP="006B3320">
            <w:pPr>
              <w:spacing w:after="0" w:line="240" w:lineRule="auto"/>
              <w:jc w:val="both"/>
              <w:rPr>
                <w:lang w:val="lv-LV"/>
              </w:rPr>
            </w:pPr>
            <w:r w:rsidRPr="00C823A5">
              <w:rPr>
                <w:b/>
                <w:i/>
                <w:lang w:val="lv-LV"/>
              </w:rPr>
              <w:t>Nekustamā īpašuma „Bundulīši”</w:t>
            </w:r>
            <w:r>
              <w:rPr>
                <w:lang w:val="lv-LV"/>
              </w:rPr>
              <w:t xml:space="preserve"> kopējās pārbūves izmaksas ir </w:t>
            </w:r>
            <w:r w:rsidRPr="00C823A5">
              <w:rPr>
                <w:b/>
                <w:lang w:val="lv-LV"/>
              </w:rPr>
              <w:t>1 905 78</w:t>
            </w:r>
            <w:r w:rsidR="001E4D13">
              <w:rPr>
                <w:b/>
                <w:lang w:val="lv-LV"/>
              </w:rPr>
              <w:t>3</w:t>
            </w:r>
            <w:r w:rsidRPr="00C823A5">
              <w:rPr>
                <w:b/>
                <w:lang w:val="lv-LV"/>
              </w:rPr>
              <w:t xml:space="preserve"> </w:t>
            </w:r>
            <w:proofErr w:type="spellStart"/>
            <w:r w:rsidRPr="00C823A5">
              <w:rPr>
                <w:b/>
                <w:i/>
                <w:lang w:val="lv-LV"/>
              </w:rPr>
              <w:t>euro</w:t>
            </w:r>
            <w:proofErr w:type="spellEnd"/>
            <w:r w:rsidR="001E4D13">
              <w:rPr>
                <w:i/>
                <w:lang w:val="lv-LV"/>
              </w:rPr>
              <w:t xml:space="preserve"> </w:t>
            </w:r>
            <w:r w:rsidR="001E4D13" w:rsidRPr="00C823A5">
              <w:rPr>
                <w:lang w:val="lv-LV"/>
              </w:rPr>
              <w:t>(ar PVN)</w:t>
            </w:r>
            <w:r>
              <w:rPr>
                <w:lang w:val="lv-LV"/>
              </w:rPr>
              <w:t xml:space="preserve">. </w:t>
            </w:r>
          </w:p>
          <w:p w14:paraId="583F5EBB" w14:textId="511F365C" w:rsidR="001E4D13" w:rsidRDefault="006B3320" w:rsidP="006B3320">
            <w:pPr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Ņemot vērā</w:t>
            </w:r>
            <w:r w:rsidR="001E4D13">
              <w:rPr>
                <w:lang w:val="lv-LV"/>
              </w:rPr>
              <w:t xml:space="preserve"> plānoto</w:t>
            </w:r>
            <w:r>
              <w:rPr>
                <w:lang w:val="lv-LV"/>
              </w:rPr>
              <w:t>, ka t</w:t>
            </w:r>
            <w:r w:rsidRPr="00285E13">
              <w:rPr>
                <w:lang w:val="lv-LV"/>
              </w:rPr>
              <w:t>ehnisk</w:t>
            </w:r>
            <w:r>
              <w:rPr>
                <w:lang w:val="lv-LV"/>
              </w:rPr>
              <w:t>ā</w:t>
            </w:r>
            <w:r w:rsidRPr="00285E13">
              <w:rPr>
                <w:lang w:val="lv-LV"/>
              </w:rPr>
              <w:t xml:space="preserve"> projekt</w:t>
            </w:r>
            <w:r>
              <w:rPr>
                <w:lang w:val="lv-LV"/>
              </w:rPr>
              <w:t>a</w:t>
            </w:r>
            <w:r w:rsidRPr="00285E13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izstrāde </w:t>
            </w:r>
            <w:r w:rsidR="001E4D13">
              <w:rPr>
                <w:lang w:val="lv-LV"/>
              </w:rPr>
              <w:t xml:space="preserve">tiks veikta </w:t>
            </w:r>
            <w:r>
              <w:rPr>
                <w:lang w:val="lv-LV"/>
              </w:rPr>
              <w:t>5 mēnešus un pārbūv</w:t>
            </w:r>
            <w:r w:rsidR="001E4D13">
              <w:rPr>
                <w:lang w:val="lv-LV"/>
              </w:rPr>
              <w:t>e</w:t>
            </w:r>
            <w:r>
              <w:rPr>
                <w:lang w:val="lv-LV"/>
              </w:rPr>
              <w:t xml:space="preserve"> </w:t>
            </w:r>
            <w:r w:rsidR="001E4D13">
              <w:rPr>
                <w:lang w:val="lv-LV"/>
              </w:rPr>
              <w:t xml:space="preserve">tiks veikta </w:t>
            </w:r>
            <w:r>
              <w:rPr>
                <w:lang w:val="lv-LV"/>
              </w:rPr>
              <w:t xml:space="preserve">6 mēnešu laikā, apmaksu par </w:t>
            </w:r>
            <w:r w:rsidR="001E4D13">
              <w:rPr>
                <w:lang w:val="lv-LV"/>
              </w:rPr>
              <w:t xml:space="preserve">izpildītajiem </w:t>
            </w:r>
            <w:r>
              <w:rPr>
                <w:lang w:val="lv-LV"/>
              </w:rPr>
              <w:t xml:space="preserve">darbiem būs iespējams veikt ne ātrāk kā no sestā mēneša pēc līguma noslēgšanas ar komersantu. </w:t>
            </w:r>
            <w:r w:rsidR="001E4D13">
              <w:rPr>
                <w:lang w:val="lv-LV"/>
              </w:rPr>
              <w:t xml:space="preserve">Pieņemot, ka </w:t>
            </w:r>
            <w:r>
              <w:rPr>
                <w:lang w:val="lv-LV"/>
              </w:rPr>
              <w:t>līgums tik</w:t>
            </w:r>
            <w:r w:rsidR="001E4D13">
              <w:rPr>
                <w:lang w:val="lv-LV"/>
              </w:rPr>
              <w:t>s</w:t>
            </w:r>
            <w:r>
              <w:rPr>
                <w:lang w:val="lv-LV"/>
              </w:rPr>
              <w:t xml:space="preserve"> noslēgts februāra mēnesī, </w:t>
            </w:r>
            <w:r w:rsidRPr="00C823A5">
              <w:rPr>
                <w:b/>
                <w:lang w:val="lv-LV"/>
              </w:rPr>
              <w:t>2016.gadā</w:t>
            </w:r>
            <w:r>
              <w:rPr>
                <w:lang w:val="lv-LV"/>
              </w:rPr>
              <w:t xml:space="preserve"> apmaksu par padarītajiem darbiem būs iespējams veikt </w:t>
            </w:r>
            <w:r w:rsidRPr="00C823A5">
              <w:rPr>
                <w:b/>
                <w:lang w:val="lv-LV"/>
              </w:rPr>
              <w:t xml:space="preserve">1 571 985 </w:t>
            </w:r>
            <w:proofErr w:type="spellStart"/>
            <w:r w:rsidRPr="00C823A5">
              <w:rPr>
                <w:b/>
                <w:i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apmērā</w:t>
            </w:r>
            <w:r w:rsidR="001E4D13">
              <w:rPr>
                <w:lang w:val="lv-LV"/>
              </w:rPr>
              <w:t xml:space="preserve"> (ar PVN)</w:t>
            </w:r>
            <w:r>
              <w:rPr>
                <w:lang w:val="lv-LV"/>
              </w:rPr>
              <w:t>, tai skaitā par būvprojekta izstrādi</w:t>
            </w:r>
            <w:r w:rsidR="001E4D13">
              <w:rPr>
                <w:lang w:val="lv-LV"/>
              </w:rPr>
              <w:t xml:space="preserve"> – 89 540 </w:t>
            </w:r>
            <w:proofErr w:type="spellStart"/>
            <w:r w:rsidRPr="00BD053C">
              <w:rPr>
                <w:i/>
                <w:lang w:val="lv-LV"/>
              </w:rPr>
              <w:lastRenderedPageBreak/>
              <w:t>euro</w:t>
            </w:r>
            <w:proofErr w:type="spellEnd"/>
            <w:r>
              <w:rPr>
                <w:lang w:val="lv-LV"/>
              </w:rPr>
              <w:t xml:space="preserve"> apmērā (</w:t>
            </w:r>
            <w:r w:rsidR="001E4D13">
              <w:rPr>
                <w:lang w:val="lv-LV"/>
              </w:rPr>
              <w:t xml:space="preserve">ar </w:t>
            </w:r>
            <w:r>
              <w:rPr>
                <w:lang w:val="lv-LV"/>
              </w:rPr>
              <w:t>PVN) un par 5 mēnešu pārbūves darbu veikšanu</w:t>
            </w:r>
            <w:r w:rsidR="003263B0">
              <w:rPr>
                <w:lang w:val="lv-LV"/>
              </w:rPr>
              <w:t xml:space="preserve"> –</w:t>
            </w:r>
            <w:r>
              <w:rPr>
                <w:lang w:val="lv-LV"/>
              </w:rPr>
              <w:t xml:space="preserve"> </w:t>
            </w:r>
            <w:r w:rsidR="001E4D13">
              <w:rPr>
                <w:lang w:val="lv-LV"/>
              </w:rPr>
              <w:t xml:space="preserve">1 482 445 </w:t>
            </w:r>
            <w:proofErr w:type="spellStart"/>
            <w:r w:rsidRPr="00BD053C">
              <w:rPr>
                <w:i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apmērā (</w:t>
            </w:r>
            <w:r w:rsidR="001E4D13">
              <w:rPr>
                <w:lang w:val="lv-LV"/>
              </w:rPr>
              <w:t xml:space="preserve">ar </w:t>
            </w:r>
            <w:r>
              <w:rPr>
                <w:lang w:val="lv-LV"/>
              </w:rPr>
              <w:t>PVN).</w:t>
            </w:r>
          </w:p>
          <w:p w14:paraId="4051227E" w14:textId="705AE1BB" w:rsidR="006B3320" w:rsidRDefault="006B3320" w:rsidP="006B3320">
            <w:pPr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Līdz ar to </w:t>
            </w:r>
            <w:r w:rsidRPr="00C823A5">
              <w:rPr>
                <w:b/>
                <w:lang w:val="lv-LV"/>
              </w:rPr>
              <w:t>2017.gadā</w:t>
            </w:r>
            <w:r>
              <w:rPr>
                <w:lang w:val="lv-LV"/>
              </w:rPr>
              <w:t xml:space="preserve"> būs nepieciešams veikt apmaksu par atlikušo pārbūves darbu veikšanu  </w:t>
            </w:r>
            <w:r w:rsidR="001E4D13" w:rsidRPr="00C823A5">
              <w:rPr>
                <w:b/>
                <w:lang w:val="lv-LV"/>
              </w:rPr>
              <w:t xml:space="preserve">333 798 </w:t>
            </w:r>
            <w:proofErr w:type="spellStart"/>
            <w:r w:rsidRPr="00C823A5">
              <w:rPr>
                <w:b/>
                <w:i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apmērā (</w:t>
            </w:r>
            <w:r w:rsidR="001E4D13">
              <w:rPr>
                <w:lang w:val="lv-LV"/>
              </w:rPr>
              <w:t xml:space="preserve">ar </w:t>
            </w:r>
            <w:r>
              <w:rPr>
                <w:lang w:val="lv-LV"/>
              </w:rPr>
              <w:t>PVN).</w:t>
            </w:r>
          </w:p>
          <w:p w14:paraId="658E6554" w14:textId="6992B5CC" w:rsidR="003263B0" w:rsidRDefault="006B3320" w:rsidP="006B3320">
            <w:pPr>
              <w:spacing w:after="0" w:line="240" w:lineRule="auto"/>
              <w:jc w:val="both"/>
              <w:rPr>
                <w:lang w:val="lv-LV"/>
              </w:rPr>
            </w:pPr>
            <w:r w:rsidRPr="00C823A5">
              <w:rPr>
                <w:b/>
                <w:i/>
                <w:lang w:val="lv-LV"/>
              </w:rPr>
              <w:t>PMIC „Mucenieki”</w:t>
            </w:r>
            <w:r>
              <w:rPr>
                <w:lang w:val="lv-LV"/>
              </w:rPr>
              <w:t xml:space="preserve"> ēku un katlu mājas </w:t>
            </w:r>
            <w:r w:rsidR="003263B0">
              <w:rPr>
                <w:lang w:val="lv-LV"/>
              </w:rPr>
              <w:t xml:space="preserve">kopējās </w:t>
            </w:r>
            <w:r>
              <w:rPr>
                <w:lang w:val="lv-LV"/>
              </w:rPr>
              <w:t xml:space="preserve">pārbūves izmaksas ir </w:t>
            </w:r>
            <w:r w:rsidRPr="00C823A5">
              <w:rPr>
                <w:b/>
                <w:lang w:val="lv-LV"/>
              </w:rPr>
              <w:t xml:space="preserve">2 226 400 </w:t>
            </w:r>
            <w:proofErr w:type="spellStart"/>
            <w:r w:rsidRPr="00C823A5">
              <w:rPr>
                <w:b/>
                <w:i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</w:t>
            </w:r>
            <w:r w:rsidR="003263B0" w:rsidRPr="001C2FC5">
              <w:rPr>
                <w:lang w:val="lv-LV"/>
              </w:rPr>
              <w:t>(ar PVN)</w:t>
            </w:r>
            <w:r w:rsidR="003263B0">
              <w:rPr>
                <w:lang w:val="lv-LV"/>
              </w:rPr>
              <w:t>.</w:t>
            </w:r>
          </w:p>
          <w:p w14:paraId="334D013B" w14:textId="2D3E7851" w:rsidR="003263B0" w:rsidRPr="003D260C" w:rsidRDefault="003263B0" w:rsidP="003263B0">
            <w:pPr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Ņemot vērā plānoto, ka t</w:t>
            </w:r>
            <w:r w:rsidRPr="00285E13">
              <w:rPr>
                <w:lang w:val="lv-LV"/>
              </w:rPr>
              <w:t>ehnisk</w:t>
            </w:r>
            <w:r>
              <w:rPr>
                <w:lang w:val="lv-LV"/>
              </w:rPr>
              <w:t>ā</w:t>
            </w:r>
            <w:r w:rsidRPr="00285E13">
              <w:rPr>
                <w:lang w:val="lv-LV"/>
              </w:rPr>
              <w:t xml:space="preserve"> projekt</w:t>
            </w:r>
            <w:r>
              <w:rPr>
                <w:lang w:val="lv-LV"/>
              </w:rPr>
              <w:t>a</w:t>
            </w:r>
            <w:r w:rsidRPr="00285E13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izstrāde tiks veikta 5 mēnešus un pārbūve tiks veikta 7 mēnešu laikā, apmaksu par izpildītajiem darbiem būs iespējams veikt ne ātrāk kā no sestā mēneša pēc līguma noslēgšanas ar komersantu. Pieņemot, ka līgums tiks noslēgts februāra mēnesī, </w:t>
            </w:r>
            <w:r w:rsidRPr="001C2FC5">
              <w:rPr>
                <w:b/>
                <w:lang w:val="lv-LV"/>
              </w:rPr>
              <w:t>2016.gadā</w:t>
            </w:r>
            <w:r>
              <w:rPr>
                <w:lang w:val="lv-LV"/>
              </w:rPr>
              <w:t xml:space="preserve"> apmaksu par padarītajiem darbiem būs iespējams veikt </w:t>
            </w:r>
            <w:r w:rsidRPr="003D260C">
              <w:rPr>
                <w:b/>
                <w:lang w:val="lv-LV"/>
              </w:rPr>
              <w:t>1 546 51</w:t>
            </w:r>
            <w:r w:rsidR="007A55FC" w:rsidRPr="003D260C">
              <w:rPr>
                <w:b/>
                <w:lang w:val="lv-LV"/>
              </w:rPr>
              <w:t>4</w:t>
            </w:r>
            <w:r w:rsidRPr="003D260C">
              <w:rPr>
                <w:lang w:val="lv-LV"/>
              </w:rPr>
              <w:t xml:space="preserve"> </w:t>
            </w:r>
            <w:proofErr w:type="spellStart"/>
            <w:r w:rsidRPr="003D260C">
              <w:rPr>
                <w:b/>
                <w:i/>
                <w:lang w:val="lv-LV"/>
              </w:rPr>
              <w:t>euro</w:t>
            </w:r>
            <w:proofErr w:type="spellEnd"/>
            <w:r w:rsidRPr="003D260C">
              <w:rPr>
                <w:lang w:val="lv-LV"/>
              </w:rPr>
              <w:t xml:space="preserve"> apmērā (ar PVN), tai skaitā par būvprojekta izstrādi –105 46</w:t>
            </w:r>
            <w:r w:rsidR="007A55FC" w:rsidRPr="003D260C">
              <w:rPr>
                <w:lang w:val="lv-LV"/>
              </w:rPr>
              <w:t>2</w:t>
            </w:r>
            <w:r w:rsidRPr="003D260C">
              <w:rPr>
                <w:lang w:val="lv-LV"/>
              </w:rPr>
              <w:t xml:space="preserve"> </w:t>
            </w:r>
            <w:proofErr w:type="spellStart"/>
            <w:r w:rsidRPr="003D260C">
              <w:rPr>
                <w:i/>
                <w:lang w:val="lv-LV"/>
              </w:rPr>
              <w:t>euro</w:t>
            </w:r>
            <w:proofErr w:type="spellEnd"/>
            <w:r w:rsidRPr="003D260C">
              <w:rPr>
                <w:lang w:val="lv-LV"/>
              </w:rPr>
              <w:t xml:space="preserve"> apmērā (ar PVN) un par 4 mēnešu pārbūves darbu veikšanu –1 441 052 </w:t>
            </w:r>
            <w:proofErr w:type="spellStart"/>
            <w:r w:rsidRPr="003D260C">
              <w:rPr>
                <w:i/>
                <w:lang w:val="lv-LV"/>
              </w:rPr>
              <w:t>euro</w:t>
            </w:r>
            <w:proofErr w:type="spellEnd"/>
            <w:r w:rsidRPr="003D260C">
              <w:rPr>
                <w:lang w:val="lv-LV"/>
              </w:rPr>
              <w:t xml:space="preserve"> apmērā (ar PVN).</w:t>
            </w:r>
          </w:p>
          <w:p w14:paraId="43158AD2" w14:textId="347C6CA9" w:rsidR="006B3320" w:rsidRPr="00F00A2E" w:rsidRDefault="006B3320" w:rsidP="00D932B8">
            <w:pPr>
              <w:spacing w:after="0" w:line="240" w:lineRule="auto"/>
              <w:jc w:val="both"/>
              <w:rPr>
                <w:lang w:val="lv-LV"/>
              </w:rPr>
            </w:pPr>
            <w:r w:rsidRPr="003D260C">
              <w:rPr>
                <w:lang w:val="lv-LV"/>
              </w:rPr>
              <w:t xml:space="preserve">2017.gadā būs nepieciešams veikt apmaksu par atlikušajiem būvdarbiem </w:t>
            </w:r>
            <w:r w:rsidR="00D932B8" w:rsidRPr="003D260C">
              <w:rPr>
                <w:b/>
                <w:lang w:val="lv-LV"/>
              </w:rPr>
              <w:t>679 88</w:t>
            </w:r>
            <w:r w:rsidR="007A55FC" w:rsidRPr="003D260C">
              <w:rPr>
                <w:b/>
                <w:lang w:val="lv-LV"/>
              </w:rPr>
              <w:t>6</w:t>
            </w:r>
            <w:r w:rsidR="00D932B8" w:rsidRPr="003D260C">
              <w:rPr>
                <w:lang w:val="lv-LV"/>
              </w:rPr>
              <w:t xml:space="preserve"> </w:t>
            </w:r>
            <w:proofErr w:type="spellStart"/>
            <w:r w:rsidRPr="003D260C">
              <w:rPr>
                <w:i/>
                <w:lang w:val="lv-LV"/>
              </w:rPr>
              <w:t>euro</w:t>
            </w:r>
            <w:proofErr w:type="spellEnd"/>
            <w:r w:rsidRPr="003D260C">
              <w:rPr>
                <w:lang w:val="lv-LV"/>
              </w:rPr>
              <w:t xml:space="preserve"> apmērā</w:t>
            </w:r>
            <w:r w:rsidR="00D932B8" w:rsidRPr="003D260C">
              <w:rPr>
                <w:lang w:val="lv-LV"/>
              </w:rPr>
              <w:t xml:space="preserve"> (ar PVN)</w:t>
            </w:r>
            <w:r w:rsidRPr="003D260C">
              <w:rPr>
                <w:lang w:val="lv-LV"/>
              </w:rPr>
              <w:t>.</w:t>
            </w:r>
          </w:p>
        </w:tc>
      </w:tr>
      <w:tr w:rsidR="006B3320" w:rsidRPr="00F00A2E" w14:paraId="2F50DD42" w14:textId="77777777" w:rsidTr="009534BE">
        <w:trPr>
          <w:gridBefore w:val="1"/>
          <w:wBefore w:w="1270" w:type="dxa"/>
          <w:trHeight w:val="49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18315" w14:textId="3346A1E9" w:rsidR="006B3320" w:rsidRPr="00F00A2E" w:rsidRDefault="006B3320" w:rsidP="006B3320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6.1. detalizēts ieņēmumu aprēķins</w:t>
            </w:r>
          </w:p>
        </w:tc>
        <w:tc>
          <w:tcPr>
            <w:tcW w:w="643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CE66F6" w14:textId="77777777" w:rsidR="006B3320" w:rsidRPr="00F00A2E" w:rsidRDefault="006B3320" w:rsidP="006B3320">
            <w:pPr>
              <w:spacing w:after="0" w:line="240" w:lineRule="auto"/>
              <w:jc w:val="both"/>
              <w:rPr>
                <w:lang w:val="lv-LV"/>
              </w:rPr>
            </w:pPr>
          </w:p>
        </w:tc>
      </w:tr>
      <w:tr w:rsidR="006B3320" w:rsidRPr="00F00A2E" w14:paraId="06320EBA" w14:textId="77777777" w:rsidTr="009534BE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0A69" w14:textId="77777777" w:rsidR="006B3320" w:rsidRPr="00F00A2E" w:rsidRDefault="006B3320" w:rsidP="006B3320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6.2. detalizēts izdevumu aprēķins</w:t>
            </w:r>
          </w:p>
        </w:tc>
        <w:tc>
          <w:tcPr>
            <w:tcW w:w="643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D4B65" w14:textId="77777777" w:rsidR="006B3320" w:rsidRPr="00F00A2E" w:rsidRDefault="006B3320" w:rsidP="006B3320">
            <w:pPr>
              <w:spacing w:after="0" w:line="240" w:lineRule="auto"/>
              <w:jc w:val="both"/>
              <w:rPr>
                <w:lang w:val="lv-LV"/>
              </w:rPr>
            </w:pPr>
          </w:p>
        </w:tc>
      </w:tr>
      <w:tr w:rsidR="006B3320" w:rsidRPr="000A4F0A" w14:paraId="5D24A7EF" w14:textId="77777777" w:rsidTr="00AF2B32">
        <w:trPr>
          <w:gridBefore w:val="1"/>
          <w:wBefore w:w="1270" w:type="dxa"/>
          <w:trHeight w:val="1021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AF6A" w14:textId="77777777" w:rsidR="006B3320" w:rsidRPr="00F00A2E" w:rsidRDefault="006B3320" w:rsidP="006B3320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lastRenderedPageBreak/>
              <w:t>7.      Cita informācija</w:t>
            </w:r>
          </w:p>
        </w:tc>
        <w:tc>
          <w:tcPr>
            <w:tcW w:w="64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94E7" w14:textId="77777777" w:rsidR="002B192E" w:rsidRDefault="002B192E" w:rsidP="002B192E">
            <w:pPr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Papildus būs nepieciešams finansējums:</w:t>
            </w:r>
          </w:p>
          <w:p w14:paraId="5D94ABE9" w14:textId="6BDAC25A" w:rsidR="002B192E" w:rsidRDefault="006B3320" w:rsidP="00C823A5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lv-LV"/>
              </w:rPr>
            </w:pPr>
            <w:r w:rsidRPr="002B192E">
              <w:rPr>
                <w:lang w:val="lv-LV"/>
              </w:rPr>
              <w:t>2016. un 2017.gadā</w:t>
            </w:r>
            <w:r w:rsidR="00FA123D">
              <w:rPr>
                <w:lang w:val="lv-LV"/>
              </w:rPr>
              <w:t>:</w:t>
            </w:r>
            <w:r w:rsidRPr="002B192E">
              <w:rPr>
                <w:lang w:val="lv-LV"/>
              </w:rPr>
              <w:t xml:space="preserve"> būvuzraudzības procesa</w:t>
            </w:r>
            <w:r w:rsidR="004C74EF" w:rsidRPr="002B192E">
              <w:rPr>
                <w:lang w:val="lv-LV"/>
              </w:rPr>
              <w:t xml:space="preserve"> nodrošināšanai</w:t>
            </w:r>
            <w:r w:rsidR="002B192E">
              <w:rPr>
                <w:lang w:val="lv-LV"/>
              </w:rPr>
              <w:t>.</w:t>
            </w:r>
            <w:r w:rsidR="00F72853">
              <w:rPr>
                <w:lang w:val="lv-LV"/>
              </w:rPr>
              <w:t xml:space="preserve"> </w:t>
            </w:r>
            <w:r w:rsidR="002B192E">
              <w:rPr>
                <w:lang w:val="lv-LV"/>
              </w:rPr>
              <w:t>F</w:t>
            </w:r>
            <w:r w:rsidRPr="002B192E">
              <w:rPr>
                <w:lang w:val="lv-LV"/>
              </w:rPr>
              <w:t>inansējuma apmērs būs zināms tikai pēc iepirkumu procesa</w:t>
            </w:r>
            <w:r w:rsidR="004C74EF" w:rsidRPr="002B192E">
              <w:rPr>
                <w:lang w:val="lv-LV"/>
              </w:rPr>
              <w:t xml:space="preserve"> pabeigšanas</w:t>
            </w:r>
            <w:r w:rsidRPr="002B192E">
              <w:rPr>
                <w:lang w:val="lv-LV"/>
              </w:rPr>
              <w:t>.</w:t>
            </w:r>
            <w:r w:rsidR="004C74EF" w:rsidRPr="002B192E">
              <w:rPr>
                <w:lang w:val="lv-LV"/>
              </w:rPr>
              <w:t xml:space="preserve"> </w:t>
            </w:r>
          </w:p>
          <w:p w14:paraId="462A81C2" w14:textId="2DC2CDE7" w:rsidR="00B56F80" w:rsidRDefault="002B192E" w:rsidP="00C823A5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2017.gadā </w:t>
            </w:r>
            <w:r w:rsidR="00F72853">
              <w:rPr>
                <w:lang w:val="lv-LV"/>
              </w:rPr>
              <w:t>un turpmāk</w:t>
            </w:r>
            <w:r w:rsidR="00FA123D">
              <w:rPr>
                <w:lang w:val="lv-LV"/>
              </w:rPr>
              <w:t xml:space="preserve">: </w:t>
            </w:r>
            <w:r w:rsidR="00F72853">
              <w:rPr>
                <w:lang w:val="lv-LV"/>
              </w:rPr>
              <w:t xml:space="preserve"> </w:t>
            </w:r>
            <w:r>
              <w:rPr>
                <w:lang w:val="lv-LV"/>
              </w:rPr>
              <w:t>ēku uzturēšanai</w:t>
            </w:r>
            <w:r w:rsidR="00FA123D">
              <w:rPr>
                <w:lang w:val="lv-LV"/>
              </w:rPr>
              <w:t xml:space="preserve"> un komunālo maksājumu segšanai</w:t>
            </w:r>
            <w:r>
              <w:rPr>
                <w:lang w:val="lv-LV"/>
              </w:rPr>
              <w:t xml:space="preserve">. </w:t>
            </w:r>
          </w:p>
          <w:p w14:paraId="5E938A11" w14:textId="49CD69A3" w:rsidR="006B3320" w:rsidRPr="00B56F80" w:rsidRDefault="00F72853" w:rsidP="003D4D81">
            <w:pPr>
              <w:spacing w:after="0" w:line="240" w:lineRule="auto"/>
              <w:jc w:val="both"/>
              <w:rPr>
                <w:lang w:val="lv-LV"/>
              </w:rPr>
            </w:pPr>
            <w:r w:rsidRPr="00B56F80">
              <w:rPr>
                <w:lang w:val="lv-LV"/>
              </w:rPr>
              <w:t xml:space="preserve">Papildu nepieciešamais </w:t>
            </w:r>
            <w:r w:rsidRPr="003D4D81">
              <w:rPr>
                <w:lang w:val="lv-LV"/>
              </w:rPr>
              <w:t>f</w:t>
            </w:r>
            <w:r w:rsidR="004C74EF" w:rsidRPr="003D4D81">
              <w:rPr>
                <w:lang w:val="lv-LV"/>
              </w:rPr>
              <w:t xml:space="preserve">inansējums </w:t>
            </w:r>
            <w:r w:rsidRPr="00B56F80">
              <w:rPr>
                <w:lang w:val="lv-LV"/>
              </w:rPr>
              <w:t>šiem mērķiem</w:t>
            </w:r>
            <w:r w:rsidR="00546072">
              <w:rPr>
                <w:lang w:val="lv-LV"/>
              </w:rPr>
              <w:t xml:space="preserve"> </w:t>
            </w:r>
            <w:r w:rsidR="004C74EF" w:rsidRPr="00B56F80">
              <w:rPr>
                <w:lang w:val="lv-LV"/>
              </w:rPr>
              <w:t>tiks pieprasīts no valsts budžeta programmas 02.00.00 „Līdzekļi neparedzētiem gadījumiem” vai attiecībā uz 2017.gadu-likumprojekta “Par valsts budžetu 2017.gadam” sagatavošanas procesā tiks iesniegts priekšlikums par attiecīgu finansējuma palielinājumu Iekšlietu ministrijas budžeta apakšprogrammā 40.02.00 “Nekustamais īpašums un centralizētais iepirkums”.</w:t>
            </w:r>
          </w:p>
        </w:tc>
      </w:tr>
      <w:tr w:rsidR="006B3320" w:rsidRPr="000A4F0A" w14:paraId="00168171" w14:textId="77777777" w:rsidTr="00502C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double" w:sz="6" w:space="0" w:color="000000"/>
            <w:insideV w:val="double" w:sz="6" w:space="0" w:color="00000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057" w:type="dxa"/>
          <w:trHeight w:val="22"/>
        </w:trPr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4B5C08" w14:textId="52F832C5" w:rsidR="006B3320" w:rsidRPr="00F00A2E" w:rsidRDefault="006B3320" w:rsidP="006B3320">
            <w:pPr>
              <w:pStyle w:val="naisnod"/>
              <w:spacing w:before="0" w:after="0" w:line="240" w:lineRule="auto"/>
              <w:ind w:right="57"/>
              <w:jc w:val="left"/>
              <w:rPr>
                <w:lang w:val="lv-LV"/>
              </w:rPr>
            </w:pPr>
          </w:p>
        </w:tc>
      </w:tr>
      <w:tr w:rsidR="006B3320" w:rsidRPr="000A4F0A" w14:paraId="48075928" w14:textId="77777777" w:rsidTr="00286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270" w:type="dxa"/>
        </w:trPr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7A707A0E" w14:textId="77777777" w:rsidR="006B3320" w:rsidRPr="00F00A2E" w:rsidRDefault="006B3320" w:rsidP="006B3320">
            <w:pPr>
              <w:pStyle w:val="naisnod"/>
              <w:spacing w:before="0" w:after="0" w:line="240" w:lineRule="auto"/>
              <w:ind w:left="227" w:right="57" w:hanging="227"/>
              <w:rPr>
                <w:lang w:val="lv-LV"/>
              </w:rPr>
            </w:pPr>
            <w:r w:rsidRPr="00F00A2E">
              <w:rPr>
                <w:lang w:val="lv-LV"/>
              </w:rPr>
              <w:t>VII. Tiesību akta projekta izpildes nodrošināšana un tās ietekme uz institūcijām</w:t>
            </w:r>
          </w:p>
        </w:tc>
      </w:tr>
      <w:tr w:rsidR="006B3320" w:rsidRPr="00F00A2E" w14:paraId="019F55AF" w14:textId="77777777" w:rsidTr="00286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270" w:type="dxa"/>
          <w:trHeight w:val="427"/>
        </w:trPr>
        <w:tc>
          <w:tcPr>
            <w:tcW w:w="568" w:type="dxa"/>
          </w:tcPr>
          <w:p w14:paraId="5CF43490" w14:textId="77777777" w:rsidR="006B3320" w:rsidRPr="00F00A2E" w:rsidRDefault="006B3320" w:rsidP="006B3320">
            <w:pPr>
              <w:pStyle w:val="naisnod"/>
              <w:spacing w:before="0" w:after="0" w:line="240" w:lineRule="auto"/>
              <w:ind w:left="227" w:right="57" w:hanging="227"/>
              <w:jc w:val="left"/>
              <w:rPr>
                <w:b w:val="0"/>
                <w:lang w:val="lv-LV"/>
              </w:rPr>
            </w:pPr>
            <w:r w:rsidRPr="00F00A2E">
              <w:rPr>
                <w:b w:val="0"/>
                <w:lang w:val="lv-LV"/>
              </w:rPr>
              <w:t>1.</w:t>
            </w:r>
          </w:p>
        </w:tc>
        <w:tc>
          <w:tcPr>
            <w:tcW w:w="3543" w:type="dxa"/>
            <w:gridSpan w:val="3"/>
          </w:tcPr>
          <w:p w14:paraId="1F915AC5" w14:textId="77777777" w:rsidR="006B3320" w:rsidRPr="00F00A2E" w:rsidRDefault="006B3320" w:rsidP="006B3320">
            <w:pPr>
              <w:pStyle w:val="naisf"/>
              <w:spacing w:before="0" w:after="0" w:line="240" w:lineRule="auto"/>
              <w:ind w:left="227" w:right="57" w:hanging="227"/>
              <w:jc w:val="left"/>
              <w:rPr>
                <w:lang w:val="lv-LV"/>
              </w:rPr>
            </w:pPr>
            <w:r w:rsidRPr="00F00A2E">
              <w:rPr>
                <w:lang w:val="lv-LV"/>
              </w:rPr>
              <w:t>Projekta izpildē iesaistītās</w:t>
            </w:r>
          </w:p>
          <w:p w14:paraId="265404F8" w14:textId="77777777" w:rsidR="006B3320" w:rsidRPr="00F00A2E" w:rsidRDefault="006B3320" w:rsidP="006B3320">
            <w:pPr>
              <w:pStyle w:val="naisf"/>
              <w:spacing w:before="0" w:after="0" w:line="240" w:lineRule="auto"/>
              <w:ind w:left="227" w:right="57" w:hanging="227"/>
              <w:jc w:val="left"/>
              <w:rPr>
                <w:lang w:val="lv-LV"/>
              </w:rPr>
            </w:pPr>
            <w:r w:rsidRPr="00F00A2E">
              <w:rPr>
                <w:lang w:val="lv-LV"/>
              </w:rPr>
              <w:t xml:space="preserve">institūcijas </w:t>
            </w:r>
          </w:p>
        </w:tc>
        <w:tc>
          <w:tcPr>
            <w:tcW w:w="5245" w:type="dxa"/>
            <w:gridSpan w:val="5"/>
          </w:tcPr>
          <w:p w14:paraId="004F69ED" w14:textId="764C821B" w:rsidR="006B3320" w:rsidRPr="00F00A2E" w:rsidRDefault="006B3320" w:rsidP="006B3320">
            <w:pPr>
              <w:pStyle w:val="naisnod"/>
              <w:spacing w:before="0" w:after="0" w:line="240" w:lineRule="auto"/>
              <w:ind w:right="57"/>
              <w:jc w:val="both"/>
              <w:rPr>
                <w:b w:val="0"/>
                <w:lang w:val="lv-LV"/>
              </w:rPr>
            </w:pPr>
            <w:r w:rsidRPr="00F00A2E">
              <w:rPr>
                <w:b w:val="0"/>
                <w:iCs/>
                <w:lang w:val="lv-LV"/>
              </w:rPr>
              <w:t>Nodrošinājuma valsts aģentūra</w:t>
            </w:r>
            <w:r>
              <w:rPr>
                <w:b w:val="0"/>
                <w:iCs/>
                <w:lang w:val="lv-LV"/>
              </w:rPr>
              <w:t>.</w:t>
            </w:r>
          </w:p>
        </w:tc>
      </w:tr>
      <w:tr w:rsidR="006B3320" w:rsidRPr="00F00A2E" w14:paraId="759BE712" w14:textId="77777777" w:rsidTr="00286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270" w:type="dxa"/>
          <w:trHeight w:val="463"/>
        </w:trPr>
        <w:tc>
          <w:tcPr>
            <w:tcW w:w="568" w:type="dxa"/>
          </w:tcPr>
          <w:p w14:paraId="58A6D0F9" w14:textId="77777777" w:rsidR="006B3320" w:rsidRPr="00F00A2E" w:rsidRDefault="006B3320" w:rsidP="006B3320">
            <w:pPr>
              <w:pStyle w:val="naisnod"/>
              <w:spacing w:before="0" w:after="0" w:line="240" w:lineRule="auto"/>
              <w:ind w:left="227" w:right="57" w:hanging="227"/>
              <w:jc w:val="left"/>
              <w:rPr>
                <w:b w:val="0"/>
                <w:lang w:val="lv-LV"/>
              </w:rPr>
            </w:pPr>
            <w:r w:rsidRPr="00F00A2E">
              <w:rPr>
                <w:b w:val="0"/>
                <w:lang w:val="lv-LV"/>
              </w:rPr>
              <w:t>2.</w:t>
            </w:r>
          </w:p>
        </w:tc>
        <w:tc>
          <w:tcPr>
            <w:tcW w:w="3543" w:type="dxa"/>
            <w:gridSpan w:val="3"/>
          </w:tcPr>
          <w:p w14:paraId="12ABC3BA" w14:textId="77777777" w:rsidR="006B3320" w:rsidRPr="00F00A2E" w:rsidRDefault="006B3320" w:rsidP="006B3320">
            <w:pPr>
              <w:pStyle w:val="naisf"/>
              <w:spacing w:before="0" w:after="0" w:line="240" w:lineRule="auto"/>
              <w:ind w:left="227" w:right="57" w:hanging="227"/>
              <w:jc w:val="left"/>
              <w:rPr>
                <w:lang w:val="lv-LV"/>
              </w:rPr>
            </w:pPr>
            <w:r w:rsidRPr="00F00A2E">
              <w:rPr>
                <w:lang w:val="lv-LV"/>
              </w:rPr>
              <w:t xml:space="preserve">Projekta izpildes ietekme uz pārvaldes funkcijām un institucionālo struktūru. Jaunu institūciju izveide, esošu institūciju likvidācija vai reorganizācija, to ietekme uz institūcijas cilvēkresursiem </w:t>
            </w:r>
          </w:p>
        </w:tc>
        <w:tc>
          <w:tcPr>
            <w:tcW w:w="5245" w:type="dxa"/>
            <w:gridSpan w:val="5"/>
          </w:tcPr>
          <w:p w14:paraId="62807881" w14:textId="77777777" w:rsidR="006B3320" w:rsidRPr="00F00A2E" w:rsidRDefault="006B3320" w:rsidP="006B3320">
            <w:pPr>
              <w:pStyle w:val="naisnod"/>
              <w:spacing w:before="0" w:after="0" w:line="240" w:lineRule="auto"/>
              <w:ind w:left="227" w:right="57" w:hanging="227"/>
              <w:jc w:val="left"/>
              <w:rPr>
                <w:b w:val="0"/>
                <w:lang w:val="lv-LV"/>
              </w:rPr>
            </w:pPr>
            <w:r w:rsidRPr="00F00A2E">
              <w:rPr>
                <w:b w:val="0"/>
                <w:iCs/>
                <w:lang w:val="lv-LV"/>
              </w:rPr>
              <w:t>Projekts šo jomu neskar.</w:t>
            </w:r>
          </w:p>
        </w:tc>
      </w:tr>
      <w:tr w:rsidR="006B3320" w:rsidRPr="00F00A2E" w14:paraId="6DEF16B5" w14:textId="77777777" w:rsidTr="00286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270" w:type="dxa"/>
          <w:trHeight w:val="476"/>
        </w:trPr>
        <w:tc>
          <w:tcPr>
            <w:tcW w:w="568" w:type="dxa"/>
          </w:tcPr>
          <w:p w14:paraId="78FC8131" w14:textId="77777777" w:rsidR="006B3320" w:rsidRPr="00F00A2E" w:rsidRDefault="006B3320" w:rsidP="006B3320">
            <w:pPr>
              <w:pStyle w:val="naiskr"/>
              <w:spacing w:before="0" w:after="0" w:line="240" w:lineRule="auto"/>
              <w:ind w:left="227" w:right="57" w:hanging="227"/>
              <w:rPr>
                <w:lang w:val="lv-LV"/>
              </w:rPr>
            </w:pPr>
            <w:r w:rsidRPr="00F00A2E">
              <w:rPr>
                <w:lang w:val="lv-LV"/>
              </w:rPr>
              <w:t>3.</w:t>
            </w:r>
          </w:p>
        </w:tc>
        <w:tc>
          <w:tcPr>
            <w:tcW w:w="3543" w:type="dxa"/>
            <w:gridSpan w:val="3"/>
          </w:tcPr>
          <w:p w14:paraId="09F5251F" w14:textId="77777777" w:rsidR="006B3320" w:rsidRPr="00F00A2E" w:rsidRDefault="006B3320" w:rsidP="006B3320">
            <w:pPr>
              <w:pStyle w:val="naiskr"/>
              <w:spacing w:before="0" w:after="0" w:line="240" w:lineRule="auto"/>
              <w:ind w:left="227" w:right="57" w:hanging="227"/>
              <w:rPr>
                <w:lang w:val="lv-LV"/>
              </w:rPr>
            </w:pPr>
            <w:r w:rsidRPr="00F00A2E">
              <w:rPr>
                <w:lang w:val="lv-LV"/>
              </w:rPr>
              <w:t>Cita informācija</w:t>
            </w:r>
          </w:p>
        </w:tc>
        <w:tc>
          <w:tcPr>
            <w:tcW w:w="5245" w:type="dxa"/>
            <w:gridSpan w:val="5"/>
          </w:tcPr>
          <w:p w14:paraId="1C9DD488" w14:textId="77777777" w:rsidR="006B3320" w:rsidRPr="00F00A2E" w:rsidRDefault="006B3320" w:rsidP="006B3320">
            <w:pPr>
              <w:pStyle w:val="naiskr"/>
              <w:spacing w:before="0" w:after="0" w:line="240" w:lineRule="auto"/>
              <w:ind w:left="227" w:right="57" w:hanging="227"/>
              <w:rPr>
                <w:lang w:val="lv-LV"/>
              </w:rPr>
            </w:pPr>
            <w:r w:rsidRPr="00F00A2E">
              <w:rPr>
                <w:lang w:val="lv-LV"/>
              </w:rPr>
              <w:t>Nav.</w:t>
            </w:r>
          </w:p>
        </w:tc>
      </w:tr>
    </w:tbl>
    <w:p w14:paraId="24616783" w14:textId="77777777" w:rsidR="003D260C" w:rsidRDefault="003D260C" w:rsidP="00F00A2E">
      <w:pPr>
        <w:pStyle w:val="naisf"/>
        <w:tabs>
          <w:tab w:val="left" w:pos="5760"/>
        </w:tabs>
        <w:spacing w:before="0" w:after="0" w:line="240" w:lineRule="auto"/>
        <w:ind w:firstLine="0"/>
        <w:rPr>
          <w:iCs/>
          <w:sz w:val="28"/>
          <w:szCs w:val="28"/>
          <w:lang w:val="lv-LV"/>
        </w:rPr>
      </w:pPr>
    </w:p>
    <w:p w14:paraId="47CCD771" w14:textId="77777777" w:rsidR="003D260C" w:rsidRDefault="003D260C" w:rsidP="00F00A2E">
      <w:pPr>
        <w:pStyle w:val="naisf"/>
        <w:tabs>
          <w:tab w:val="left" w:pos="5760"/>
        </w:tabs>
        <w:spacing w:before="0" w:after="0" w:line="240" w:lineRule="auto"/>
        <w:ind w:firstLine="0"/>
        <w:rPr>
          <w:iCs/>
          <w:sz w:val="28"/>
          <w:szCs w:val="28"/>
          <w:lang w:val="lv-LV"/>
        </w:rPr>
      </w:pPr>
    </w:p>
    <w:p w14:paraId="1871F580" w14:textId="77777777" w:rsidR="003D260C" w:rsidRDefault="003D260C" w:rsidP="00F00A2E">
      <w:pPr>
        <w:pStyle w:val="naisf"/>
        <w:tabs>
          <w:tab w:val="left" w:pos="5760"/>
        </w:tabs>
        <w:spacing w:before="0" w:after="0" w:line="240" w:lineRule="auto"/>
        <w:ind w:firstLine="0"/>
        <w:rPr>
          <w:iCs/>
          <w:sz w:val="28"/>
          <w:szCs w:val="28"/>
          <w:lang w:val="lv-LV"/>
        </w:rPr>
      </w:pPr>
    </w:p>
    <w:p w14:paraId="66E3F51B" w14:textId="77777777" w:rsidR="003D260C" w:rsidRDefault="003D260C" w:rsidP="00F00A2E">
      <w:pPr>
        <w:pStyle w:val="naisf"/>
        <w:tabs>
          <w:tab w:val="left" w:pos="5760"/>
        </w:tabs>
        <w:spacing w:before="0" w:after="0" w:line="240" w:lineRule="auto"/>
        <w:ind w:firstLine="0"/>
        <w:rPr>
          <w:iCs/>
          <w:sz w:val="28"/>
          <w:szCs w:val="28"/>
          <w:lang w:val="lv-LV"/>
        </w:rPr>
      </w:pPr>
    </w:p>
    <w:p w14:paraId="523F0332" w14:textId="77777777" w:rsidR="003D260C" w:rsidRDefault="003D260C" w:rsidP="00F00A2E">
      <w:pPr>
        <w:pStyle w:val="naisf"/>
        <w:tabs>
          <w:tab w:val="left" w:pos="5760"/>
        </w:tabs>
        <w:spacing w:before="0" w:after="0" w:line="240" w:lineRule="auto"/>
        <w:ind w:firstLine="0"/>
        <w:rPr>
          <w:iCs/>
          <w:sz w:val="28"/>
          <w:szCs w:val="28"/>
          <w:lang w:val="lv-LV"/>
        </w:rPr>
      </w:pPr>
    </w:p>
    <w:p w14:paraId="7ED89164" w14:textId="77777777" w:rsidR="00EA1BE1" w:rsidRPr="00F00A2E" w:rsidRDefault="00BF7FC3" w:rsidP="00F00A2E">
      <w:pPr>
        <w:pStyle w:val="naisf"/>
        <w:tabs>
          <w:tab w:val="left" w:pos="5760"/>
        </w:tabs>
        <w:spacing w:before="0" w:after="0" w:line="240" w:lineRule="auto"/>
        <w:ind w:firstLine="0"/>
        <w:rPr>
          <w:sz w:val="28"/>
          <w:szCs w:val="28"/>
          <w:lang w:val="lv-LV"/>
        </w:rPr>
      </w:pPr>
      <w:r w:rsidRPr="00F00A2E">
        <w:rPr>
          <w:iCs/>
          <w:sz w:val="28"/>
          <w:szCs w:val="28"/>
          <w:lang w:val="lv-LV"/>
        </w:rPr>
        <w:lastRenderedPageBreak/>
        <w:t xml:space="preserve">Anotācijas </w:t>
      </w:r>
      <w:r w:rsidRPr="00F00A2E">
        <w:rPr>
          <w:sz w:val="28"/>
          <w:szCs w:val="28"/>
          <w:lang w:val="lv-LV"/>
        </w:rPr>
        <w:t xml:space="preserve">II, IV, V un VI sadaļa </w:t>
      </w:r>
      <w:r w:rsidRPr="00F00A2E">
        <w:rPr>
          <w:iCs/>
          <w:sz w:val="28"/>
          <w:szCs w:val="28"/>
          <w:lang w:val="lv-LV"/>
        </w:rPr>
        <w:t>– projekts šīs jomas neskar.</w:t>
      </w:r>
    </w:p>
    <w:p w14:paraId="554EB226" w14:textId="77777777" w:rsidR="001B40B5" w:rsidRDefault="001B40B5" w:rsidP="00F00A2E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47154049" w14:textId="77777777" w:rsidR="00277BD6" w:rsidRPr="00F00A2E" w:rsidRDefault="00277BD6" w:rsidP="00F00A2E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154FFA40" w14:textId="77777777" w:rsidR="00110B65" w:rsidRDefault="00CE353D" w:rsidP="00F00A2E">
      <w:pPr>
        <w:spacing w:after="0" w:line="240" w:lineRule="auto"/>
        <w:rPr>
          <w:sz w:val="28"/>
          <w:szCs w:val="28"/>
          <w:lang w:val="lv-LV"/>
        </w:rPr>
      </w:pPr>
      <w:r w:rsidRPr="00F00A2E">
        <w:rPr>
          <w:sz w:val="28"/>
          <w:szCs w:val="28"/>
          <w:lang w:val="lv-LV"/>
        </w:rPr>
        <w:t>Iekšlietu mi</w:t>
      </w:r>
      <w:r w:rsidR="00110B65" w:rsidRPr="00F00A2E">
        <w:rPr>
          <w:sz w:val="28"/>
          <w:szCs w:val="28"/>
          <w:lang w:val="lv-LV"/>
        </w:rPr>
        <w:t>nistrs</w:t>
      </w:r>
      <w:r w:rsidR="00110B65" w:rsidRPr="00F00A2E">
        <w:rPr>
          <w:sz w:val="28"/>
          <w:szCs w:val="28"/>
          <w:lang w:val="lv-LV"/>
        </w:rPr>
        <w:tab/>
        <w:t xml:space="preserve"> </w:t>
      </w:r>
      <w:r w:rsidR="00110B65" w:rsidRPr="00F00A2E">
        <w:rPr>
          <w:sz w:val="28"/>
          <w:szCs w:val="28"/>
          <w:lang w:val="lv-LV"/>
        </w:rPr>
        <w:tab/>
      </w:r>
      <w:r w:rsidR="00110B65" w:rsidRPr="00F00A2E">
        <w:rPr>
          <w:sz w:val="28"/>
          <w:szCs w:val="28"/>
          <w:lang w:val="lv-LV"/>
        </w:rPr>
        <w:tab/>
        <w:t xml:space="preserve"> </w:t>
      </w:r>
      <w:r w:rsidR="00110B65" w:rsidRPr="00F00A2E">
        <w:rPr>
          <w:sz w:val="28"/>
          <w:szCs w:val="28"/>
          <w:lang w:val="lv-LV"/>
        </w:rPr>
        <w:tab/>
      </w:r>
      <w:r w:rsidR="00110B65" w:rsidRPr="00F00A2E">
        <w:rPr>
          <w:sz w:val="28"/>
          <w:szCs w:val="28"/>
          <w:lang w:val="lv-LV"/>
        </w:rPr>
        <w:tab/>
      </w:r>
      <w:r w:rsidR="00110B65" w:rsidRPr="00F00A2E">
        <w:rPr>
          <w:sz w:val="28"/>
          <w:szCs w:val="28"/>
          <w:lang w:val="lv-LV"/>
        </w:rPr>
        <w:tab/>
      </w:r>
      <w:r w:rsidR="00110B65" w:rsidRPr="00F00A2E">
        <w:rPr>
          <w:sz w:val="28"/>
          <w:szCs w:val="28"/>
          <w:lang w:val="lv-LV"/>
        </w:rPr>
        <w:tab/>
        <w:t>R.Kozlovskis</w:t>
      </w:r>
    </w:p>
    <w:p w14:paraId="384038E6" w14:textId="77777777" w:rsidR="00277BD6" w:rsidRDefault="00277BD6" w:rsidP="00F00A2E">
      <w:pPr>
        <w:spacing w:after="0" w:line="240" w:lineRule="auto"/>
        <w:rPr>
          <w:sz w:val="28"/>
          <w:szCs w:val="28"/>
          <w:lang w:val="lv-LV"/>
        </w:rPr>
      </w:pPr>
    </w:p>
    <w:p w14:paraId="12D3AC9E" w14:textId="4CA66221" w:rsidR="001B40B5" w:rsidRPr="00F00A2E" w:rsidRDefault="00CE353D" w:rsidP="00F00A2E">
      <w:pPr>
        <w:spacing w:after="0" w:line="240" w:lineRule="auto"/>
        <w:rPr>
          <w:sz w:val="28"/>
          <w:szCs w:val="28"/>
          <w:lang w:val="lv-LV"/>
        </w:rPr>
      </w:pPr>
      <w:r w:rsidRPr="00F00A2E">
        <w:rPr>
          <w:sz w:val="28"/>
          <w:szCs w:val="28"/>
          <w:lang w:val="lv-LV"/>
        </w:rPr>
        <w:t>Vīza: Valsts sek</w:t>
      </w:r>
      <w:r w:rsidR="000A4F0A">
        <w:rPr>
          <w:sz w:val="28"/>
          <w:szCs w:val="28"/>
          <w:lang w:val="lv-LV"/>
        </w:rPr>
        <w:t>retāres</w:t>
      </w:r>
      <w:r w:rsidR="000A4F0A">
        <w:rPr>
          <w:sz w:val="28"/>
          <w:szCs w:val="28"/>
          <w:lang w:val="lv-LV"/>
        </w:rPr>
        <w:tab/>
      </w:r>
      <w:r w:rsidR="000A4F0A">
        <w:rPr>
          <w:sz w:val="28"/>
          <w:szCs w:val="28"/>
          <w:lang w:val="lv-LV"/>
        </w:rPr>
        <w:tab/>
      </w:r>
      <w:r w:rsidR="000A4F0A">
        <w:rPr>
          <w:sz w:val="28"/>
          <w:szCs w:val="28"/>
          <w:lang w:val="lv-LV"/>
        </w:rPr>
        <w:tab/>
        <w:t xml:space="preserve"> </w:t>
      </w:r>
      <w:r w:rsidR="000A4F0A">
        <w:rPr>
          <w:sz w:val="28"/>
          <w:szCs w:val="28"/>
          <w:lang w:val="lv-LV"/>
        </w:rPr>
        <w:tab/>
      </w:r>
      <w:r w:rsidR="000A4F0A">
        <w:rPr>
          <w:sz w:val="28"/>
          <w:szCs w:val="28"/>
          <w:lang w:val="lv-LV"/>
        </w:rPr>
        <w:tab/>
      </w:r>
      <w:r w:rsidR="000A4F0A">
        <w:rPr>
          <w:sz w:val="28"/>
          <w:szCs w:val="28"/>
          <w:lang w:val="lv-LV"/>
        </w:rPr>
        <w:tab/>
      </w:r>
    </w:p>
    <w:p w14:paraId="5D91F3CD" w14:textId="6EB9738F" w:rsidR="009670D4" w:rsidRPr="00F00A2E" w:rsidRDefault="000A4F0A" w:rsidP="00F00A2E">
      <w:pPr>
        <w:spacing w:after="0" w:line="24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pienākumu izpildītājs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D.Trofimovs</w:t>
      </w:r>
      <w:proofErr w:type="spellEnd"/>
    </w:p>
    <w:p w14:paraId="4342E779" w14:textId="77777777" w:rsidR="002A2953" w:rsidRPr="00F00A2E" w:rsidRDefault="002A2953" w:rsidP="00F00A2E">
      <w:pPr>
        <w:spacing w:after="0" w:line="240" w:lineRule="auto"/>
        <w:rPr>
          <w:sz w:val="28"/>
          <w:szCs w:val="28"/>
          <w:lang w:val="lv-LV"/>
        </w:rPr>
      </w:pPr>
    </w:p>
    <w:p w14:paraId="78B6EB4A" w14:textId="77777777" w:rsidR="002A2953" w:rsidRPr="00F00A2E" w:rsidRDefault="002A2953" w:rsidP="00F00A2E">
      <w:pPr>
        <w:spacing w:after="0" w:line="240" w:lineRule="auto"/>
        <w:rPr>
          <w:sz w:val="28"/>
          <w:szCs w:val="28"/>
          <w:lang w:val="lv-LV"/>
        </w:rPr>
      </w:pPr>
    </w:p>
    <w:p w14:paraId="1C6D6A06" w14:textId="77777777" w:rsidR="002A2953" w:rsidRDefault="002A2953" w:rsidP="00F00A2E">
      <w:pPr>
        <w:spacing w:after="0" w:line="240" w:lineRule="auto"/>
        <w:rPr>
          <w:sz w:val="28"/>
          <w:szCs w:val="28"/>
          <w:lang w:val="lv-LV"/>
        </w:rPr>
      </w:pPr>
    </w:p>
    <w:p w14:paraId="2C8930A3" w14:textId="77777777"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14:paraId="261BA97E" w14:textId="77777777"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14:paraId="0E421D2B" w14:textId="77777777"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14:paraId="1965BEA9" w14:textId="77777777" w:rsidR="0014412F" w:rsidRDefault="0014412F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566A6EB4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4C25CB8D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60FECA18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299BEDCF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5DFEF809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197E694F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219AAEBA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462DE3CC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6988D4DC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415AEE43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58736139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5D659C3A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1E2732B7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60D1618F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5B9884F0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0530CACD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3BE0C542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38FC43F4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40C7AC5A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472BC1D3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74B7A047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438CC1D3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0454B443" w14:textId="77777777" w:rsidR="003D260C" w:rsidRDefault="003D260C" w:rsidP="006E7F4E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</w:p>
    <w:p w14:paraId="6F500A2C" w14:textId="77777777" w:rsidR="00E242B1" w:rsidRPr="00F00A2E" w:rsidRDefault="00E242B1" w:rsidP="00F00A2E">
      <w:pPr>
        <w:spacing w:after="0" w:line="240" w:lineRule="auto"/>
        <w:rPr>
          <w:sz w:val="28"/>
          <w:szCs w:val="28"/>
          <w:lang w:val="lv-LV"/>
        </w:rPr>
      </w:pPr>
    </w:p>
    <w:p w14:paraId="6CA31D56" w14:textId="500221A7" w:rsidR="00726FB4" w:rsidRPr="00F00A2E" w:rsidRDefault="00726FB4" w:rsidP="00F00A2E">
      <w:pPr>
        <w:pStyle w:val="NoSpacing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begin"/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instrText xml:space="preserve"> DATE  \@ "dd.MM.yyyy. H:mm" \* MERGEFORMAT </w:instrText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separate"/>
      </w:r>
      <w:r w:rsidR="000A4F0A"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w:t>21.01.2016. 8:31</w:t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end"/>
      </w:r>
    </w:p>
    <w:bookmarkStart w:id="0" w:name="_GoBack"/>
    <w:p w14:paraId="48A9670D" w14:textId="77777777" w:rsidR="00726FB4" w:rsidRPr="00F00A2E" w:rsidRDefault="00726FB4" w:rsidP="00F00A2E">
      <w:pPr>
        <w:pStyle w:val="NoSpacing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begin"/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instrText xml:space="preserve"> NUMWORDS   \* MERGEFORMAT </w:instrText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separate"/>
      </w:r>
      <w:r w:rsidR="000A4F0A"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w:t>1287</w:t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end"/>
      </w:r>
    </w:p>
    <w:bookmarkEnd w:id="0"/>
    <w:p w14:paraId="25E32C79" w14:textId="77777777" w:rsidR="00CE353D" w:rsidRPr="00F00A2E" w:rsidRDefault="00CE353D" w:rsidP="00F00A2E">
      <w:pPr>
        <w:spacing w:after="0" w:line="240" w:lineRule="auto"/>
        <w:jc w:val="both"/>
        <w:rPr>
          <w:sz w:val="20"/>
          <w:szCs w:val="20"/>
          <w:lang w:val="lv-LV"/>
        </w:rPr>
      </w:pPr>
      <w:proofErr w:type="spellStart"/>
      <w:r w:rsidRPr="00F00A2E">
        <w:rPr>
          <w:sz w:val="20"/>
          <w:szCs w:val="20"/>
          <w:lang w:val="lv-LV"/>
        </w:rPr>
        <w:t>S.Podgaiska</w:t>
      </w:r>
      <w:proofErr w:type="spellEnd"/>
      <w:r w:rsidRPr="00F00A2E">
        <w:rPr>
          <w:sz w:val="20"/>
          <w:szCs w:val="20"/>
          <w:lang w:val="lv-LV"/>
        </w:rPr>
        <w:t>, 67829680</w:t>
      </w:r>
    </w:p>
    <w:p w14:paraId="172DF421" w14:textId="77777777" w:rsidR="00CE353D" w:rsidRPr="00F00A2E" w:rsidRDefault="00CE353D" w:rsidP="00F00A2E">
      <w:pPr>
        <w:spacing w:after="0" w:line="240" w:lineRule="auto"/>
        <w:jc w:val="both"/>
        <w:rPr>
          <w:sz w:val="20"/>
          <w:szCs w:val="20"/>
          <w:lang w:val="lv-LV"/>
        </w:rPr>
      </w:pPr>
      <w:r w:rsidRPr="00F00A2E">
        <w:rPr>
          <w:sz w:val="20"/>
          <w:szCs w:val="20"/>
          <w:lang w:val="lv-LV"/>
        </w:rPr>
        <w:t xml:space="preserve">Sniedzite.Podgaiska@agentura.iem.gov.lv </w:t>
      </w:r>
    </w:p>
    <w:p w14:paraId="58FB451E" w14:textId="77777777" w:rsidR="00EA1BE1" w:rsidRPr="00F00A2E" w:rsidRDefault="00AF2B32" w:rsidP="00F00A2E">
      <w:pPr>
        <w:spacing w:after="0" w:line="240" w:lineRule="auto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G</w:t>
      </w:r>
      <w:r w:rsidR="00CE353D" w:rsidRPr="00F00A2E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Avotiņš</w:t>
      </w:r>
      <w:r w:rsidR="00CE353D" w:rsidRPr="00F00A2E">
        <w:rPr>
          <w:sz w:val="20"/>
          <w:szCs w:val="20"/>
          <w:lang w:val="lv-LV"/>
        </w:rPr>
        <w:t>, 672</w:t>
      </w:r>
      <w:r>
        <w:rPr>
          <w:sz w:val="20"/>
          <w:szCs w:val="20"/>
          <w:lang w:val="lv-LV"/>
        </w:rPr>
        <w:t>1</w:t>
      </w:r>
      <w:r w:rsidR="00CE353D" w:rsidRPr="00F00A2E">
        <w:rPr>
          <w:sz w:val="20"/>
          <w:szCs w:val="20"/>
          <w:lang w:val="lv-LV"/>
        </w:rPr>
        <w:t>9</w:t>
      </w:r>
      <w:r>
        <w:rPr>
          <w:sz w:val="20"/>
          <w:szCs w:val="20"/>
          <w:lang w:val="lv-LV"/>
        </w:rPr>
        <w:t>136</w:t>
      </w:r>
    </w:p>
    <w:p w14:paraId="3A977367" w14:textId="77777777" w:rsidR="00CE353D" w:rsidRPr="00F00A2E" w:rsidRDefault="00AF2B32" w:rsidP="00F00A2E">
      <w:pPr>
        <w:spacing w:after="0" w:line="240" w:lineRule="auto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Gatis</w:t>
      </w:r>
      <w:r w:rsidR="00CE353D" w:rsidRPr="00F00A2E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Avotiņš</w:t>
      </w:r>
      <w:r w:rsidR="00CE353D" w:rsidRPr="00F00A2E">
        <w:rPr>
          <w:sz w:val="20"/>
          <w:szCs w:val="20"/>
          <w:lang w:val="lv-LV"/>
        </w:rPr>
        <w:t>@agentura.iem.gov.lv</w:t>
      </w:r>
      <w:proofErr w:type="spellEnd"/>
    </w:p>
    <w:sectPr w:rsidR="00CE353D" w:rsidRPr="00F00A2E" w:rsidSect="001B40B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5B7F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41105" w14:textId="77777777" w:rsidR="004D048E" w:rsidRDefault="004D048E">
      <w:pPr>
        <w:spacing w:after="0" w:line="240" w:lineRule="auto"/>
      </w:pPr>
      <w:r>
        <w:separator/>
      </w:r>
    </w:p>
  </w:endnote>
  <w:endnote w:type="continuationSeparator" w:id="0">
    <w:p w14:paraId="6C831A56" w14:textId="77777777" w:rsidR="004D048E" w:rsidRDefault="004D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39FE" w14:textId="086F8B87" w:rsidR="001E4D13" w:rsidRPr="004759B9" w:rsidRDefault="001E4D13" w:rsidP="004759B9">
    <w:pPr>
      <w:pStyle w:val="Footer"/>
      <w:spacing w:after="0" w:line="240" w:lineRule="auto"/>
      <w:jc w:val="both"/>
      <w:rPr>
        <w:bCs/>
        <w:sz w:val="20"/>
        <w:szCs w:val="20"/>
        <w:lang w:val="lv-LV"/>
      </w:rPr>
    </w:pPr>
    <w:r w:rsidRPr="001B40B5">
      <w:rPr>
        <w:sz w:val="20"/>
        <w:szCs w:val="20"/>
        <w:lang w:val="lv-LV"/>
      </w:rPr>
      <w:fldChar w:fldCharType="begin"/>
    </w:r>
    <w:r w:rsidRPr="001B40B5">
      <w:rPr>
        <w:sz w:val="20"/>
        <w:szCs w:val="20"/>
        <w:lang w:val="lv-LV"/>
      </w:rPr>
      <w:instrText xml:space="preserve"> FILENAME   \* MERGEFORMAT </w:instrText>
    </w:r>
    <w:r w:rsidRPr="001B40B5">
      <w:rPr>
        <w:sz w:val="20"/>
        <w:szCs w:val="20"/>
        <w:lang w:val="lv-LV"/>
      </w:rPr>
      <w:fldChar w:fldCharType="separate"/>
    </w:r>
    <w:r w:rsidR="000A4F0A">
      <w:rPr>
        <w:noProof/>
        <w:sz w:val="20"/>
        <w:szCs w:val="20"/>
        <w:lang w:val="lv-LV"/>
      </w:rPr>
      <w:t>IEMAnot_200116_Bundulisi</w:t>
    </w:r>
    <w:r w:rsidRPr="001B40B5">
      <w:rPr>
        <w:sz w:val="20"/>
        <w:szCs w:val="20"/>
        <w:lang w:val="lv-LV"/>
      </w:rPr>
      <w:fldChar w:fldCharType="end"/>
    </w:r>
    <w:r w:rsidRPr="001B40B5">
      <w:rPr>
        <w:sz w:val="20"/>
        <w:szCs w:val="20"/>
        <w:lang w:val="lv-LV"/>
      </w:rPr>
      <w:t xml:space="preserve">; </w:t>
    </w:r>
    <w:r w:rsidRPr="00AF2B32">
      <w:rPr>
        <w:sz w:val="20"/>
        <w:szCs w:val="20"/>
        <w:lang w:val="lv-LV"/>
      </w:rPr>
      <w:t>Ministru kabineta rīkojuma projekta</w:t>
    </w:r>
    <w:r>
      <w:rPr>
        <w:sz w:val="20"/>
        <w:szCs w:val="20"/>
        <w:lang w:val="lv-LV"/>
      </w:rPr>
      <w:t xml:space="preserve"> “</w:t>
    </w:r>
    <w:r w:rsidRPr="00C823A5">
      <w:rPr>
        <w:sz w:val="20"/>
        <w:szCs w:val="20"/>
        <w:lang w:val="lv-LV"/>
      </w:rPr>
      <w:t>Par finansējuma piešķiršanu Iekšlietu ministrijai nekustamā īpašuma „Bundulīši” un Patvēruma meklētāju izmitināšanas centra „Mucenieki” ēku un katlu mājas pārbūvei</w:t>
    </w:r>
    <w:r>
      <w:rPr>
        <w:sz w:val="20"/>
        <w:szCs w:val="20"/>
        <w:lang w:val="lv-LV"/>
      </w:rPr>
      <w:t>”</w:t>
    </w:r>
    <w:r w:rsidRPr="004A045D">
      <w:rPr>
        <w:b/>
        <w:sz w:val="28"/>
        <w:szCs w:val="28"/>
        <w:lang w:val="lv-LV"/>
      </w:rPr>
      <w:t xml:space="preserve"> </w:t>
    </w:r>
    <w:r w:rsidRPr="00AF2B32">
      <w:rPr>
        <w:sz w:val="20"/>
        <w:szCs w:val="20"/>
        <w:lang w:val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E168" w14:textId="2A3C0CC7" w:rsidR="001E4D13" w:rsidRPr="001D56C5" w:rsidRDefault="001E4D13" w:rsidP="001D56C5">
    <w:pPr>
      <w:pStyle w:val="Footer"/>
      <w:spacing w:after="0" w:line="240" w:lineRule="auto"/>
      <w:jc w:val="both"/>
      <w:rPr>
        <w:bCs/>
        <w:sz w:val="20"/>
        <w:szCs w:val="20"/>
        <w:lang w:val="lv-LV"/>
      </w:rPr>
    </w:pPr>
    <w:r w:rsidRPr="001B40B5">
      <w:rPr>
        <w:sz w:val="20"/>
        <w:szCs w:val="20"/>
        <w:lang w:val="lv-LV"/>
      </w:rPr>
      <w:fldChar w:fldCharType="begin"/>
    </w:r>
    <w:r w:rsidRPr="001B40B5">
      <w:rPr>
        <w:sz w:val="20"/>
        <w:szCs w:val="20"/>
        <w:lang w:val="lv-LV"/>
      </w:rPr>
      <w:instrText xml:space="preserve"> FILENAME   \* MERGEFORMAT </w:instrText>
    </w:r>
    <w:r w:rsidRPr="001B40B5">
      <w:rPr>
        <w:sz w:val="20"/>
        <w:szCs w:val="20"/>
        <w:lang w:val="lv-LV"/>
      </w:rPr>
      <w:fldChar w:fldCharType="separate"/>
    </w:r>
    <w:r w:rsidR="000A4F0A">
      <w:rPr>
        <w:noProof/>
        <w:sz w:val="20"/>
        <w:szCs w:val="20"/>
        <w:lang w:val="lv-LV"/>
      </w:rPr>
      <w:t>IEMAnot_200116_Bundulisi</w:t>
    </w:r>
    <w:r w:rsidRPr="001B40B5">
      <w:rPr>
        <w:sz w:val="20"/>
        <w:szCs w:val="20"/>
        <w:lang w:val="lv-LV"/>
      </w:rPr>
      <w:fldChar w:fldCharType="end"/>
    </w:r>
    <w:r w:rsidRPr="001B40B5">
      <w:rPr>
        <w:sz w:val="20"/>
        <w:szCs w:val="20"/>
        <w:lang w:val="lv-LV"/>
      </w:rPr>
      <w:t xml:space="preserve">; </w:t>
    </w:r>
    <w:r w:rsidRPr="00AF2B32">
      <w:rPr>
        <w:sz w:val="20"/>
        <w:szCs w:val="20"/>
        <w:lang w:val="lv-LV"/>
      </w:rPr>
      <w:t>Ministru kabineta rīkojuma projekta</w:t>
    </w:r>
    <w:r>
      <w:rPr>
        <w:sz w:val="20"/>
        <w:szCs w:val="20"/>
        <w:lang w:val="lv-LV"/>
      </w:rPr>
      <w:t xml:space="preserve"> “</w:t>
    </w:r>
    <w:r w:rsidRPr="001C2FC5">
      <w:rPr>
        <w:sz w:val="20"/>
        <w:szCs w:val="20"/>
        <w:lang w:val="lv-LV"/>
      </w:rPr>
      <w:t>Par finansējuma piešķiršanu Iekšlietu ministrijai nekustamā īpašuma „Bundulīši” un Patvēruma meklētāju izmitināšanas centra „Mucenieki” ēku un katlu mājas pārbūvei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83496" w14:textId="77777777" w:rsidR="004D048E" w:rsidRDefault="004D048E">
      <w:pPr>
        <w:spacing w:after="0" w:line="240" w:lineRule="auto"/>
      </w:pPr>
      <w:r>
        <w:separator/>
      </w:r>
    </w:p>
  </w:footnote>
  <w:footnote w:type="continuationSeparator" w:id="0">
    <w:p w14:paraId="2EE8AFA9" w14:textId="77777777" w:rsidR="004D048E" w:rsidRDefault="004D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665DB" w14:textId="77777777" w:rsidR="001E4D13" w:rsidRDefault="001E4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E8E9A" w14:textId="77777777" w:rsidR="001E4D13" w:rsidRDefault="001E4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6992" w14:textId="77777777" w:rsidR="001E4D13" w:rsidRDefault="001E4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F0A">
      <w:rPr>
        <w:rStyle w:val="PageNumber"/>
        <w:noProof/>
      </w:rPr>
      <w:t>5</w:t>
    </w:r>
    <w:r>
      <w:rPr>
        <w:rStyle w:val="PageNumber"/>
      </w:rPr>
      <w:fldChar w:fldCharType="end"/>
    </w:r>
  </w:p>
  <w:p w14:paraId="03B70B57" w14:textId="77777777" w:rsidR="001E4D13" w:rsidRDefault="001E4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CE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75720"/>
    <w:multiLevelType w:val="hybridMultilevel"/>
    <w:tmpl w:val="41A02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3046"/>
    <w:multiLevelType w:val="hybridMultilevel"/>
    <w:tmpl w:val="663438D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F69B4"/>
    <w:multiLevelType w:val="multilevel"/>
    <w:tmpl w:val="109F69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A9B"/>
    <w:multiLevelType w:val="hybridMultilevel"/>
    <w:tmpl w:val="8402B1EA"/>
    <w:lvl w:ilvl="0" w:tplc="AFA0379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FFF2290"/>
    <w:multiLevelType w:val="multilevel"/>
    <w:tmpl w:val="1FFF22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419C4"/>
    <w:multiLevelType w:val="multilevel"/>
    <w:tmpl w:val="3CA419C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82857FB"/>
    <w:multiLevelType w:val="multilevel"/>
    <w:tmpl w:val="482857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10176"/>
    <w:multiLevelType w:val="hybridMultilevel"/>
    <w:tmpl w:val="49B6539C"/>
    <w:lvl w:ilvl="0" w:tplc="57D03E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D445B"/>
    <w:multiLevelType w:val="hybridMultilevel"/>
    <w:tmpl w:val="18746FEA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A2B90"/>
    <w:multiLevelType w:val="hybridMultilevel"/>
    <w:tmpl w:val="749A9EE8"/>
    <w:lvl w:ilvl="0" w:tplc="07EEAB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74CE2"/>
    <w:multiLevelType w:val="hybridMultilevel"/>
    <w:tmpl w:val="90E2A628"/>
    <w:lvl w:ilvl="0" w:tplc="3A703326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>
    <w:nsid w:val="7A0E2DB0"/>
    <w:multiLevelType w:val="multilevel"/>
    <w:tmpl w:val="7A0E2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None" w15:userId="Alda Strode"/>
  </w15:person>
  <w15:person w15:author="Ieva Potjomkina">
    <w15:presenceInfo w15:providerId="AD" w15:userId="S-1-5-21-795239839-1911789335-3482486973-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E1"/>
    <w:rsid w:val="00003E8A"/>
    <w:rsid w:val="00005B35"/>
    <w:rsid w:val="000211CC"/>
    <w:rsid w:val="00022E63"/>
    <w:rsid w:val="00027D55"/>
    <w:rsid w:val="0003123E"/>
    <w:rsid w:val="00031C3E"/>
    <w:rsid w:val="00035F71"/>
    <w:rsid w:val="00044B19"/>
    <w:rsid w:val="0004737D"/>
    <w:rsid w:val="000521A7"/>
    <w:rsid w:val="00054B32"/>
    <w:rsid w:val="0005707C"/>
    <w:rsid w:val="00062ACA"/>
    <w:rsid w:val="000760E6"/>
    <w:rsid w:val="0008043A"/>
    <w:rsid w:val="0009024B"/>
    <w:rsid w:val="000A4F0A"/>
    <w:rsid w:val="000A7B7B"/>
    <w:rsid w:val="000B1F3B"/>
    <w:rsid w:val="000C68EA"/>
    <w:rsid w:val="000D7E0B"/>
    <w:rsid w:val="000E2F3E"/>
    <w:rsid w:val="000E7AB5"/>
    <w:rsid w:val="000E7D44"/>
    <w:rsid w:val="0010092E"/>
    <w:rsid w:val="00110B65"/>
    <w:rsid w:val="00113515"/>
    <w:rsid w:val="00116EA1"/>
    <w:rsid w:val="0011762E"/>
    <w:rsid w:val="00121324"/>
    <w:rsid w:val="001328A7"/>
    <w:rsid w:val="0014412F"/>
    <w:rsid w:val="001620C6"/>
    <w:rsid w:val="001655B1"/>
    <w:rsid w:val="00181629"/>
    <w:rsid w:val="00181F4D"/>
    <w:rsid w:val="0018447A"/>
    <w:rsid w:val="00191F74"/>
    <w:rsid w:val="0019238F"/>
    <w:rsid w:val="00194B2F"/>
    <w:rsid w:val="001A05EF"/>
    <w:rsid w:val="001A162F"/>
    <w:rsid w:val="001A32D1"/>
    <w:rsid w:val="001A4926"/>
    <w:rsid w:val="001B40B5"/>
    <w:rsid w:val="001C1B7F"/>
    <w:rsid w:val="001C3D94"/>
    <w:rsid w:val="001C5623"/>
    <w:rsid w:val="001C691D"/>
    <w:rsid w:val="001C722E"/>
    <w:rsid w:val="001D0ECA"/>
    <w:rsid w:val="001D4ED4"/>
    <w:rsid w:val="001D56C5"/>
    <w:rsid w:val="001E4D13"/>
    <w:rsid w:val="001E7A52"/>
    <w:rsid w:val="001F1E38"/>
    <w:rsid w:val="001F2FF8"/>
    <w:rsid w:val="001F4FD8"/>
    <w:rsid w:val="0020296F"/>
    <w:rsid w:val="00202B9C"/>
    <w:rsid w:val="002141E4"/>
    <w:rsid w:val="002204B1"/>
    <w:rsid w:val="0022129C"/>
    <w:rsid w:val="0023252B"/>
    <w:rsid w:val="002370D5"/>
    <w:rsid w:val="00241727"/>
    <w:rsid w:val="00241962"/>
    <w:rsid w:val="00242E7A"/>
    <w:rsid w:val="0024776D"/>
    <w:rsid w:val="00255F06"/>
    <w:rsid w:val="002564CB"/>
    <w:rsid w:val="00260A0D"/>
    <w:rsid w:val="00265A4F"/>
    <w:rsid w:val="00266025"/>
    <w:rsid w:val="002725F0"/>
    <w:rsid w:val="002763E3"/>
    <w:rsid w:val="0027669A"/>
    <w:rsid w:val="00277BD6"/>
    <w:rsid w:val="0028104D"/>
    <w:rsid w:val="00282850"/>
    <w:rsid w:val="0028293F"/>
    <w:rsid w:val="00284D46"/>
    <w:rsid w:val="002850AC"/>
    <w:rsid w:val="0028510D"/>
    <w:rsid w:val="00285E13"/>
    <w:rsid w:val="00286765"/>
    <w:rsid w:val="00292A3A"/>
    <w:rsid w:val="00293EB9"/>
    <w:rsid w:val="00295112"/>
    <w:rsid w:val="002A0DFC"/>
    <w:rsid w:val="002A205D"/>
    <w:rsid w:val="002A2953"/>
    <w:rsid w:val="002B192E"/>
    <w:rsid w:val="002B20F1"/>
    <w:rsid w:val="002B5E46"/>
    <w:rsid w:val="002D1A30"/>
    <w:rsid w:val="002D53ED"/>
    <w:rsid w:val="002D5586"/>
    <w:rsid w:val="002D6BB9"/>
    <w:rsid w:val="002E1FB0"/>
    <w:rsid w:val="002F0EBF"/>
    <w:rsid w:val="002F1687"/>
    <w:rsid w:val="002F212A"/>
    <w:rsid w:val="00301A17"/>
    <w:rsid w:val="00311617"/>
    <w:rsid w:val="003220E1"/>
    <w:rsid w:val="00323C7B"/>
    <w:rsid w:val="003263B0"/>
    <w:rsid w:val="0033129F"/>
    <w:rsid w:val="0034148E"/>
    <w:rsid w:val="003454D8"/>
    <w:rsid w:val="00350C67"/>
    <w:rsid w:val="00362947"/>
    <w:rsid w:val="00371B03"/>
    <w:rsid w:val="003856D4"/>
    <w:rsid w:val="00387B6A"/>
    <w:rsid w:val="0039069A"/>
    <w:rsid w:val="0039184E"/>
    <w:rsid w:val="00397B08"/>
    <w:rsid w:val="003A1CC1"/>
    <w:rsid w:val="003B760F"/>
    <w:rsid w:val="003C5BC8"/>
    <w:rsid w:val="003D15A2"/>
    <w:rsid w:val="003D260C"/>
    <w:rsid w:val="003D4D81"/>
    <w:rsid w:val="004205E2"/>
    <w:rsid w:val="004216ED"/>
    <w:rsid w:val="00421BA3"/>
    <w:rsid w:val="00422FB7"/>
    <w:rsid w:val="00425FA5"/>
    <w:rsid w:val="00437FFE"/>
    <w:rsid w:val="00444390"/>
    <w:rsid w:val="0044680C"/>
    <w:rsid w:val="00452403"/>
    <w:rsid w:val="0046117A"/>
    <w:rsid w:val="004743FB"/>
    <w:rsid w:val="004759B9"/>
    <w:rsid w:val="00477779"/>
    <w:rsid w:val="00483013"/>
    <w:rsid w:val="00484E38"/>
    <w:rsid w:val="00485D07"/>
    <w:rsid w:val="004A5E47"/>
    <w:rsid w:val="004B56A1"/>
    <w:rsid w:val="004B71DA"/>
    <w:rsid w:val="004C0AEB"/>
    <w:rsid w:val="004C74EF"/>
    <w:rsid w:val="004D048E"/>
    <w:rsid w:val="004D1245"/>
    <w:rsid w:val="004D1AF8"/>
    <w:rsid w:val="004E160C"/>
    <w:rsid w:val="004E3656"/>
    <w:rsid w:val="004E5BBC"/>
    <w:rsid w:val="004E5DDD"/>
    <w:rsid w:val="004E7494"/>
    <w:rsid w:val="004F0210"/>
    <w:rsid w:val="004F0353"/>
    <w:rsid w:val="004F076D"/>
    <w:rsid w:val="004F778D"/>
    <w:rsid w:val="00502C17"/>
    <w:rsid w:val="00512DA7"/>
    <w:rsid w:val="005165C7"/>
    <w:rsid w:val="0051748A"/>
    <w:rsid w:val="005256E8"/>
    <w:rsid w:val="00527DD3"/>
    <w:rsid w:val="00546072"/>
    <w:rsid w:val="005508B8"/>
    <w:rsid w:val="00566C44"/>
    <w:rsid w:val="00574E59"/>
    <w:rsid w:val="00596DCC"/>
    <w:rsid w:val="005A6253"/>
    <w:rsid w:val="005B225F"/>
    <w:rsid w:val="005C1E40"/>
    <w:rsid w:val="005D21CB"/>
    <w:rsid w:val="005E2E1D"/>
    <w:rsid w:val="005E3646"/>
    <w:rsid w:val="005E6034"/>
    <w:rsid w:val="005F103A"/>
    <w:rsid w:val="005F542D"/>
    <w:rsid w:val="00617079"/>
    <w:rsid w:val="00625E69"/>
    <w:rsid w:val="00654EF3"/>
    <w:rsid w:val="00663064"/>
    <w:rsid w:val="00664130"/>
    <w:rsid w:val="00682058"/>
    <w:rsid w:val="006847D7"/>
    <w:rsid w:val="00696338"/>
    <w:rsid w:val="006A3923"/>
    <w:rsid w:val="006A6411"/>
    <w:rsid w:val="006A7273"/>
    <w:rsid w:val="006B3320"/>
    <w:rsid w:val="006B4BAE"/>
    <w:rsid w:val="006C4086"/>
    <w:rsid w:val="006C43B7"/>
    <w:rsid w:val="006C602C"/>
    <w:rsid w:val="006D26B0"/>
    <w:rsid w:val="006D4E37"/>
    <w:rsid w:val="006D757A"/>
    <w:rsid w:val="006D7957"/>
    <w:rsid w:val="006E66F8"/>
    <w:rsid w:val="006E7F4E"/>
    <w:rsid w:val="006F2AEF"/>
    <w:rsid w:val="006F2C48"/>
    <w:rsid w:val="006F37EA"/>
    <w:rsid w:val="006F4CCF"/>
    <w:rsid w:val="006F522D"/>
    <w:rsid w:val="00702916"/>
    <w:rsid w:val="00716177"/>
    <w:rsid w:val="00716EB7"/>
    <w:rsid w:val="0071709C"/>
    <w:rsid w:val="00724B3B"/>
    <w:rsid w:val="00725873"/>
    <w:rsid w:val="00726FB4"/>
    <w:rsid w:val="007323A1"/>
    <w:rsid w:val="00737945"/>
    <w:rsid w:val="00741DCB"/>
    <w:rsid w:val="007551BA"/>
    <w:rsid w:val="00755F87"/>
    <w:rsid w:val="00762322"/>
    <w:rsid w:val="00762842"/>
    <w:rsid w:val="00773B47"/>
    <w:rsid w:val="0077691A"/>
    <w:rsid w:val="0077699B"/>
    <w:rsid w:val="007859A2"/>
    <w:rsid w:val="007866AF"/>
    <w:rsid w:val="007A55FC"/>
    <w:rsid w:val="007A73EB"/>
    <w:rsid w:val="007D0641"/>
    <w:rsid w:val="007D1F03"/>
    <w:rsid w:val="007F1703"/>
    <w:rsid w:val="00800681"/>
    <w:rsid w:val="00802C9C"/>
    <w:rsid w:val="00803D20"/>
    <w:rsid w:val="00830950"/>
    <w:rsid w:val="0083099D"/>
    <w:rsid w:val="00835B0F"/>
    <w:rsid w:val="00837B90"/>
    <w:rsid w:val="00844412"/>
    <w:rsid w:val="008611E7"/>
    <w:rsid w:val="00883D9B"/>
    <w:rsid w:val="00884638"/>
    <w:rsid w:val="00895F2D"/>
    <w:rsid w:val="008A2D76"/>
    <w:rsid w:val="008B2B7C"/>
    <w:rsid w:val="008B43EA"/>
    <w:rsid w:val="008B4675"/>
    <w:rsid w:val="008D7AD2"/>
    <w:rsid w:val="008E1B57"/>
    <w:rsid w:val="008E22A5"/>
    <w:rsid w:val="008E5F5B"/>
    <w:rsid w:val="008E6419"/>
    <w:rsid w:val="00904C9F"/>
    <w:rsid w:val="00905E5C"/>
    <w:rsid w:val="00912C82"/>
    <w:rsid w:val="009164AB"/>
    <w:rsid w:val="00924C0D"/>
    <w:rsid w:val="00934B94"/>
    <w:rsid w:val="0093604F"/>
    <w:rsid w:val="00940828"/>
    <w:rsid w:val="009534BE"/>
    <w:rsid w:val="00960549"/>
    <w:rsid w:val="009627E4"/>
    <w:rsid w:val="00963EEB"/>
    <w:rsid w:val="0096471E"/>
    <w:rsid w:val="00965209"/>
    <w:rsid w:val="009670D4"/>
    <w:rsid w:val="00976359"/>
    <w:rsid w:val="00976FEA"/>
    <w:rsid w:val="00981B11"/>
    <w:rsid w:val="0098597F"/>
    <w:rsid w:val="009859D9"/>
    <w:rsid w:val="00990AC2"/>
    <w:rsid w:val="00992AAF"/>
    <w:rsid w:val="009A08D5"/>
    <w:rsid w:val="009A5F41"/>
    <w:rsid w:val="009A6563"/>
    <w:rsid w:val="009B61C5"/>
    <w:rsid w:val="009C29BC"/>
    <w:rsid w:val="009C340A"/>
    <w:rsid w:val="009C7659"/>
    <w:rsid w:val="009D08AF"/>
    <w:rsid w:val="009D29F5"/>
    <w:rsid w:val="009E0E70"/>
    <w:rsid w:val="009E5C81"/>
    <w:rsid w:val="009E695B"/>
    <w:rsid w:val="009E75C2"/>
    <w:rsid w:val="009F053C"/>
    <w:rsid w:val="009F18ED"/>
    <w:rsid w:val="009F67E4"/>
    <w:rsid w:val="009F6C33"/>
    <w:rsid w:val="00A0610C"/>
    <w:rsid w:val="00A15717"/>
    <w:rsid w:val="00A22157"/>
    <w:rsid w:val="00A41377"/>
    <w:rsid w:val="00A64CD8"/>
    <w:rsid w:val="00A652D8"/>
    <w:rsid w:val="00A6542A"/>
    <w:rsid w:val="00A65740"/>
    <w:rsid w:val="00A81B92"/>
    <w:rsid w:val="00A849D3"/>
    <w:rsid w:val="00A851E1"/>
    <w:rsid w:val="00A93061"/>
    <w:rsid w:val="00A96FB0"/>
    <w:rsid w:val="00AA22D0"/>
    <w:rsid w:val="00AC0D1E"/>
    <w:rsid w:val="00AC207D"/>
    <w:rsid w:val="00AC21EC"/>
    <w:rsid w:val="00AD47B6"/>
    <w:rsid w:val="00AD5F8A"/>
    <w:rsid w:val="00AE1108"/>
    <w:rsid w:val="00AE538B"/>
    <w:rsid w:val="00AF2B32"/>
    <w:rsid w:val="00AF68C1"/>
    <w:rsid w:val="00B00E59"/>
    <w:rsid w:val="00B17111"/>
    <w:rsid w:val="00B20B22"/>
    <w:rsid w:val="00B233CF"/>
    <w:rsid w:val="00B266A6"/>
    <w:rsid w:val="00B40CD7"/>
    <w:rsid w:val="00B47AF6"/>
    <w:rsid w:val="00B56F80"/>
    <w:rsid w:val="00B605E9"/>
    <w:rsid w:val="00B614DE"/>
    <w:rsid w:val="00B66ECE"/>
    <w:rsid w:val="00B778BE"/>
    <w:rsid w:val="00B917EB"/>
    <w:rsid w:val="00B97D2F"/>
    <w:rsid w:val="00BB3BF7"/>
    <w:rsid w:val="00BB772E"/>
    <w:rsid w:val="00BD053C"/>
    <w:rsid w:val="00BF18C2"/>
    <w:rsid w:val="00BF6CD6"/>
    <w:rsid w:val="00BF7FC3"/>
    <w:rsid w:val="00C01506"/>
    <w:rsid w:val="00C02CFD"/>
    <w:rsid w:val="00C035E9"/>
    <w:rsid w:val="00C0654F"/>
    <w:rsid w:val="00C17372"/>
    <w:rsid w:val="00C40DD7"/>
    <w:rsid w:val="00C411AF"/>
    <w:rsid w:val="00C50589"/>
    <w:rsid w:val="00C57FEF"/>
    <w:rsid w:val="00C617F3"/>
    <w:rsid w:val="00C65853"/>
    <w:rsid w:val="00C66683"/>
    <w:rsid w:val="00C76A71"/>
    <w:rsid w:val="00C823A5"/>
    <w:rsid w:val="00C9068D"/>
    <w:rsid w:val="00CA4E12"/>
    <w:rsid w:val="00CB5B9E"/>
    <w:rsid w:val="00CC27DF"/>
    <w:rsid w:val="00CC5F3C"/>
    <w:rsid w:val="00CD5C19"/>
    <w:rsid w:val="00CE24AF"/>
    <w:rsid w:val="00CE2E44"/>
    <w:rsid w:val="00CE314B"/>
    <w:rsid w:val="00CE353D"/>
    <w:rsid w:val="00D1765A"/>
    <w:rsid w:val="00D27240"/>
    <w:rsid w:val="00D360E0"/>
    <w:rsid w:val="00D36986"/>
    <w:rsid w:val="00D4655A"/>
    <w:rsid w:val="00D51F68"/>
    <w:rsid w:val="00D6173F"/>
    <w:rsid w:val="00D635FD"/>
    <w:rsid w:val="00D65DF0"/>
    <w:rsid w:val="00D7094D"/>
    <w:rsid w:val="00D8677B"/>
    <w:rsid w:val="00D932B8"/>
    <w:rsid w:val="00D979F7"/>
    <w:rsid w:val="00DA4CE4"/>
    <w:rsid w:val="00DB1388"/>
    <w:rsid w:val="00DB145A"/>
    <w:rsid w:val="00DB6BDB"/>
    <w:rsid w:val="00DC7E2E"/>
    <w:rsid w:val="00DD04B2"/>
    <w:rsid w:val="00DD2BE7"/>
    <w:rsid w:val="00DD2E4F"/>
    <w:rsid w:val="00DF5CDE"/>
    <w:rsid w:val="00E068AB"/>
    <w:rsid w:val="00E0793E"/>
    <w:rsid w:val="00E10008"/>
    <w:rsid w:val="00E13A72"/>
    <w:rsid w:val="00E14309"/>
    <w:rsid w:val="00E20473"/>
    <w:rsid w:val="00E242B1"/>
    <w:rsid w:val="00E40A8A"/>
    <w:rsid w:val="00E41D14"/>
    <w:rsid w:val="00E42FFA"/>
    <w:rsid w:val="00E540C2"/>
    <w:rsid w:val="00E60518"/>
    <w:rsid w:val="00E65E9E"/>
    <w:rsid w:val="00E72217"/>
    <w:rsid w:val="00E77038"/>
    <w:rsid w:val="00E932D1"/>
    <w:rsid w:val="00E947CB"/>
    <w:rsid w:val="00EA1AC9"/>
    <w:rsid w:val="00EA1BE1"/>
    <w:rsid w:val="00EA4119"/>
    <w:rsid w:val="00EA7A8F"/>
    <w:rsid w:val="00EB0187"/>
    <w:rsid w:val="00EB261C"/>
    <w:rsid w:val="00EB2B17"/>
    <w:rsid w:val="00EB537A"/>
    <w:rsid w:val="00EC76A6"/>
    <w:rsid w:val="00ED7E7A"/>
    <w:rsid w:val="00EF3A97"/>
    <w:rsid w:val="00EF4036"/>
    <w:rsid w:val="00F00A2E"/>
    <w:rsid w:val="00F23D26"/>
    <w:rsid w:val="00F259D2"/>
    <w:rsid w:val="00F27032"/>
    <w:rsid w:val="00F35DDB"/>
    <w:rsid w:val="00F36085"/>
    <w:rsid w:val="00F36461"/>
    <w:rsid w:val="00F36A37"/>
    <w:rsid w:val="00F4213C"/>
    <w:rsid w:val="00F52903"/>
    <w:rsid w:val="00F6087C"/>
    <w:rsid w:val="00F628AE"/>
    <w:rsid w:val="00F72853"/>
    <w:rsid w:val="00F7418C"/>
    <w:rsid w:val="00F77B0E"/>
    <w:rsid w:val="00F84694"/>
    <w:rsid w:val="00FA123D"/>
    <w:rsid w:val="00FA45F6"/>
    <w:rsid w:val="00FA5F89"/>
    <w:rsid w:val="00FA7E2C"/>
    <w:rsid w:val="00FB18EC"/>
    <w:rsid w:val="00FB4FB2"/>
    <w:rsid w:val="00FE1136"/>
    <w:rsid w:val="00FE53DA"/>
    <w:rsid w:val="00FE67B2"/>
    <w:rsid w:val="00FE6FED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4:docId w14:val="3889C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customStyle="1" w:styleId="naiskr">
    <w:name w:val="naiskr"/>
    <w:basedOn w:val="Normal"/>
    <w:pPr>
      <w:spacing w:before="75" w:after="75"/>
    </w:pPr>
  </w:style>
  <w:style w:type="paragraph" w:customStyle="1" w:styleId="naisc">
    <w:name w:val="naisc"/>
    <w:basedOn w:val="Normal"/>
    <w:pPr>
      <w:spacing w:before="75" w:after="75"/>
      <w:jc w:val="center"/>
    </w:pPr>
  </w:style>
  <w:style w:type="character" w:customStyle="1" w:styleId="th1">
    <w:name w:val="th1"/>
    <w:basedOn w:val="DefaultParagraphFont"/>
    <w:rPr>
      <w:b/>
      <w:bCs/>
      <w:color w:val="333333"/>
    </w:rPr>
  </w:style>
  <w:style w:type="character" w:customStyle="1" w:styleId="CommentTextChar">
    <w:name w:val="Comment Text Char"/>
    <w:basedOn w:val="DefaultParagraphFont"/>
    <w:link w:val="CommentText"/>
    <w:semiHidden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bidi="ar-SA"/>
    </w:rPr>
  </w:style>
  <w:style w:type="character" w:customStyle="1" w:styleId="apple-converted-space">
    <w:name w:val="apple-converted-space"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202B9C"/>
    <w:pPr>
      <w:spacing w:after="0" w:line="240" w:lineRule="auto"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western">
    <w:name w:val="western"/>
    <w:basedOn w:val="Normal"/>
    <w:rsid w:val="00485D07"/>
    <w:pPr>
      <w:spacing w:before="100" w:beforeAutospacing="1" w:after="119" w:line="240" w:lineRule="auto"/>
    </w:pPr>
    <w:rPr>
      <w:color w:val="000000"/>
      <w:lang w:val="lv-LV" w:eastAsia="lv-LV"/>
    </w:rPr>
  </w:style>
  <w:style w:type="paragraph" w:customStyle="1" w:styleId="CharChar3CharCharCharCharCharCharCharCharChar">
    <w:name w:val="Char Char3 Char Char Char Char Char Char Char Char Char"/>
    <w:basedOn w:val="Normal"/>
    <w:rsid w:val="00E40A8A"/>
    <w:pPr>
      <w:spacing w:after="0" w:line="240" w:lineRule="auto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rsid w:val="002D55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customStyle="1" w:styleId="naiskr">
    <w:name w:val="naiskr"/>
    <w:basedOn w:val="Normal"/>
    <w:pPr>
      <w:spacing w:before="75" w:after="75"/>
    </w:pPr>
  </w:style>
  <w:style w:type="paragraph" w:customStyle="1" w:styleId="naisc">
    <w:name w:val="naisc"/>
    <w:basedOn w:val="Normal"/>
    <w:pPr>
      <w:spacing w:before="75" w:after="75"/>
      <w:jc w:val="center"/>
    </w:pPr>
  </w:style>
  <w:style w:type="character" w:customStyle="1" w:styleId="th1">
    <w:name w:val="th1"/>
    <w:basedOn w:val="DefaultParagraphFont"/>
    <w:rPr>
      <w:b/>
      <w:bCs/>
      <w:color w:val="333333"/>
    </w:rPr>
  </w:style>
  <w:style w:type="character" w:customStyle="1" w:styleId="CommentTextChar">
    <w:name w:val="Comment Text Char"/>
    <w:basedOn w:val="DefaultParagraphFont"/>
    <w:link w:val="CommentText"/>
    <w:semiHidden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bidi="ar-SA"/>
    </w:rPr>
  </w:style>
  <w:style w:type="character" w:customStyle="1" w:styleId="apple-converted-space">
    <w:name w:val="apple-converted-space"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202B9C"/>
    <w:pPr>
      <w:spacing w:after="0" w:line="240" w:lineRule="auto"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western">
    <w:name w:val="western"/>
    <w:basedOn w:val="Normal"/>
    <w:rsid w:val="00485D07"/>
    <w:pPr>
      <w:spacing w:before="100" w:beforeAutospacing="1" w:after="119" w:line="240" w:lineRule="auto"/>
    </w:pPr>
    <w:rPr>
      <w:color w:val="000000"/>
      <w:lang w:val="lv-LV" w:eastAsia="lv-LV"/>
    </w:rPr>
  </w:style>
  <w:style w:type="paragraph" w:customStyle="1" w:styleId="CharChar3CharCharCharCharCharCharCharCharChar">
    <w:name w:val="Char Char3 Char Char Char Char Char Char Char Char Char"/>
    <w:basedOn w:val="Normal"/>
    <w:rsid w:val="00E40A8A"/>
    <w:pPr>
      <w:spacing w:after="0" w:line="240" w:lineRule="auto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rsid w:val="002D5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6E34E-CEBD-4AC7-A57C-E76D75C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1323</Words>
  <Characters>8507</Characters>
  <Application>Microsoft Office Word</Application>
  <DocSecurity>0</DocSecurity>
  <Lines>405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finansējuma piešķiršanu Iekšlietu ministrijai nekustamā īpašuma „Bundulīši” un Patvēruma meklētāju izmitināšanas centra „Mucenieki” ēku un katlu mājas pārbūvei”</vt:lpstr>
    </vt:vector>
  </TitlesOfParts>
  <Manager>Iekšlietu ministrija</Manager>
  <Company>Nodorošinājuma valsts aģentūra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finansējuma piešķiršanu Iekšlietu ministrijai nekustamā īpašuma „Bundulīši” un Patvēruma meklētāju izmitināšanas centra „Mucenieki” ēku un katlu mājas pārbūvei”</dc:title>
  <dc:subject>Anotācija</dc:subject>
  <dc:creator>Gatis Avotiņš</dc:creator>
  <dc:description>gatis.avotins@agentura.iem.gov.lv, 67129136</dc:description>
  <cp:lastModifiedBy>Sniedzīte Podgaiska</cp:lastModifiedBy>
  <cp:revision>12</cp:revision>
  <cp:lastPrinted>2016-01-21T06:31:00Z</cp:lastPrinted>
  <dcterms:created xsi:type="dcterms:W3CDTF">2016-01-15T11:10:00Z</dcterms:created>
  <dcterms:modified xsi:type="dcterms:W3CDTF">2016-01-21T06:31:00Z</dcterms:modified>
  <cp:category>Sākotnējās ietekmes novērtējuma ziņojums (anotācija)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