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36" w:rsidRPr="0006125D" w:rsidRDefault="004D1736" w:rsidP="004D1736">
      <w:pPr>
        <w:tabs>
          <w:tab w:val="center" w:pos="4535"/>
          <w:tab w:val="left" w:pos="7035"/>
        </w:tabs>
        <w:jc w:val="center"/>
        <w:rPr>
          <w:b/>
          <w:sz w:val="26"/>
          <w:szCs w:val="26"/>
        </w:rPr>
      </w:pPr>
      <w:bookmarkStart w:id="0" w:name="OLE_LINK3"/>
      <w:bookmarkStart w:id="1" w:name="OLE_LINK4"/>
      <w:bookmarkStart w:id="2" w:name="OLE_LINK1"/>
      <w:r w:rsidRPr="0006125D">
        <w:rPr>
          <w:b/>
          <w:sz w:val="26"/>
          <w:szCs w:val="26"/>
        </w:rPr>
        <w:t>Minis</w:t>
      </w:r>
      <w:r w:rsidR="006676C9">
        <w:rPr>
          <w:b/>
          <w:sz w:val="26"/>
          <w:szCs w:val="26"/>
        </w:rPr>
        <w:t>tru kabineta rīkojuma projekta „</w:t>
      </w:r>
      <w:r w:rsidR="006676C9" w:rsidRPr="006676C9">
        <w:rPr>
          <w:b/>
          <w:sz w:val="26"/>
          <w:szCs w:val="26"/>
        </w:rPr>
        <w:t>Par Starptautiskās Automobiļu federācijas Eiropas rallija čempionāta posma turpināšanu Latvijā 2017.–2019.gadā”</w:t>
      </w:r>
      <w:r w:rsidRPr="0006125D">
        <w:rPr>
          <w:b/>
          <w:sz w:val="26"/>
          <w:szCs w:val="26"/>
        </w:rPr>
        <w:t xml:space="preserve"> </w:t>
      </w:r>
    </w:p>
    <w:p w:rsidR="004D1736" w:rsidRDefault="004D1736" w:rsidP="004D1736">
      <w:pPr>
        <w:tabs>
          <w:tab w:val="center" w:pos="4535"/>
          <w:tab w:val="left" w:pos="7035"/>
        </w:tabs>
        <w:jc w:val="center"/>
        <w:rPr>
          <w:b/>
          <w:sz w:val="26"/>
          <w:szCs w:val="26"/>
        </w:rPr>
      </w:pPr>
      <w:r w:rsidRPr="0006125D">
        <w:rPr>
          <w:b/>
          <w:sz w:val="26"/>
          <w:szCs w:val="26"/>
        </w:rPr>
        <w:t xml:space="preserve">sākotnējās ietekmes novērtējuma </w:t>
      </w:r>
      <w:smartTag w:uri="schemas-tilde-lv/tildestengine" w:element="veidnes">
        <w:smartTagPr>
          <w:attr w:name="text" w:val="ziņojums"/>
          <w:attr w:name="baseform" w:val="ziņojums"/>
          <w:attr w:name="id" w:val="-1"/>
        </w:smartTagPr>
        <w:r w:rsidRPr="0006125D">
          <w:rPr>
            <w:b/>
            <w:sz w:val="26"/>
            <w:szCs w:val="26"/>
          </w:rPr>
          <w:t>ziņojums</w:t>
        </w:r>
      </w:smartTag>
      <w:r w:rsidRPr="0006125D">
        <w:rPr>
          <w:b/>
          <w:sz w:val="26"/>
          <w:szCs w:val="26"/>
        </w:rPr>
        <w:t xml:space="preserve"> (anotācija)</w:t>
      </w:r>
    </w:p>
    <w:p w:rsidR="002B2B30" w:rsidRPr="0006125D" w:rsidRDefault="002B2B30" w:rsidP="004D1736">
      <w:pPr>
        <w:tabs>
          <w:tab w:val="center" w:pos="4535"/>
          <w:tab w:val="left" w:pos="7035"/>
        </w:tabs>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10"/>
        <w:gridCol w:w="7229"/>
      </w:tblGrid>
      <w:tr w:rsidR="004D1736" w:rsidRPr="00C21B04" w:rsidTr="007C0FED">
        <w:tc>
          <w:tcPr>
            <w:tcW w:w="10201" w:type="dxa"/>
            <w:gridSpan w:val="3"/>
            <w:vAlign w:val="center"/>
          </w:tcPr>
          <w:bookmarkEnd w:id="0"/>
          <w:bookmarkEnd w:id="1"/>
          <w:bookmarkEnd w:id="2"/>
          <w:p w:rsidR="004D1736" w:rsidRPr="00C21B04" w:rsidRDefault="004D1736" w:rsidP="00F41C85">
            <w:pPr>
              <w:pStyle w:val="naisnod"/>
              <w:spacing w:before="0" w:after="0"/>
              <w:rPr>
                <w:sz w:val="26"/>
                <w:szCs w:val="26"/>
              </w:rPr>
            </w:pPr>
            <w:r w:rsidRPr="00C21B04">
              <w:rPr>
                <w:sz w:val="26"/>
                <w:szCs w:val="26"/>
              </w:rPr>
              <w:t>I. Tiesību akta projekta izstrādes nepieciešamība</w:t>
            </w:r>
          </w:p>
        </w:tc>
      </w:tr>
      <w:tr w:rsidR="004D1736" w:rsidRPr="00C21B04" w:rsidTr="007C0FED">
        <w:trPr>
          <w:trHeight w:val="630"/>
        </w:trPr>
        <w:tc>
          <w:tcPr>
            <w:tcW w:w="562" w:type="dxa"/>
          </w:tcPr>
          <w:p w:rsidR="004D1736" w:rsidRPr="00C21B04" w:rsidRDefault="004D1736" w:rsidP="00F41C85">
            <w:pPr>
              <w:pStyle w:val="naiskr"/>
              <w:spacing w:before="0" w:after="0"/>
              <w:jc w:val="center"/>
              <w:rPr>
                <w:sz w:val="26"/>
                <w:szCs w:val="26"/>
              </w:rPr>
            </w:pPr>
            <w:r w:rsidRPr="00C21B04">
              <w:rPr>
                <w:sz w:val="26"/>
                <w:szCs w:val="26"/>
              </w:rPr>
              <w:t>1.</w:t>
            </w:r>
          </w:p>
        </w:tc>
        <w:tc>
          <w:tcPr>
            <w:tcW w:w="2410" w:type="dxa"/>
          </w:tcPr>
          <w:p w:rsidR="004D1736" w:rsidRPr="00C21B04" w:rsidRDefault="004D1736" w:rsidP="00F41C85">
            <w:pPr>
              <w:pStyle w:val="naiskr"/>
              <w:spacing w:before="0" w:after="0"/>
              <w:ind w:left="141" w:hanging="10"/>
              <w:rPr>
                <w:sz w:val="26"/>
                <w:szCs w:val="26"/>
              </w:rPr>
            </w:pPr>
            <w:r w:rsidRPr="00C21B04">
              <w:rPr>
                <w:sz w:val="26"/>
                <w:szCs w:val="26"/>
              </w:rPr>
              <w:t>Pamatojums</w:t>
            </w:r>
          </w:p>
        </w:tc>
        <w:tc>
          <w:tcPr>
            <w:tcW w:w="7229" w:type="dxa"/>
          </w:tcPr>
          <w:p w:rsidR="004D1736" w:rsidRDefault="004D1736" w:rsidP="008C0466">
            <w:pPr>
              <w:pStyle w:val="ListParagraph"/>
              <w:numPr>
                <w:ilvl w:val="0"/>
                <w:numId w:val="13"/>
              </w:numPr>
              <w:tabs>
                <w:tab w:val="left" w:pos="142"/>
              </w:tabs>
              <w:ind w:right="142"/>
              <w:jc w:val="both"/>
              <w:rPr>
                <w:sz w:val="26"/>
                <w:szCs w:val="26"/>
              </w:rPr>
            </w:pPr>
            <w:r w:rsidRPr="008C0466">
              <w:rPr>
                <w:sz w:val="26"/>
                <w:szCs w:val="26"/>
              </w:rPr>
              <w:t>Latvijas Nacionālās sporta padomes (turpmāk – Padome) 201</w:t>
            </w:r>
            <w:r w:rsidR="006676C9" w:rsidRPr="008C0466">
              <w:rPr>
                <w:sz w:val="26"/>
                <w:szCs w:val="26"/>
              </w:rPr>
              <w:t>6</w:t>
            </w:r>
            <w:r w:rsidRPr="008C0466">
              <w:rPr>
                <w:sz w:val="26"/>
                <w:szCs w:val="26"/>
              </w:rPr>
              <w:t xml:space="preserve">.gada </w:t>
            </w:r>
            <w:r w:rsidR="006676C9" w:rsidRPr="008C0466">
              <w:rPr>
                <w:sz w:val="26"/>
                <w:szCs w:val="26"/>
              </w:rPr>
              <w:t>4.februāra</w:t>
            </w:r>
            <w:r w:rsidRPr="008C0466">
              <w:rPr>
                <w:sz w:val="26"/>
                <w:szCs w:val="26"/>
              </w:rPr>
              <w:t xml:space="preserve"> sēdē Ministru kabinetam izteiktais aicinājums (prot. Nr.</w:t>
            </w:r>
            <w:r w:rsidR="007C29F9" w:rsidRPr="008C0466">
              <w:rPr>
                <w:sz w:val="26"/>
                <w:szCs w:val="26"/>
              </w:rPr>
              <w:t xml:space="preserve"> </w:t>
            </w:r>
            <w:r w:rsidR="006676C9" w:rsidRPr="008C0466">
              <w:rPr>
                <w:sz w:val="26"/>
                <w:szCs w:val="26"/>
              </w:rPr>
              <w:t>1</w:t>
            </w:r>
            <w:r w:rsidRPr="008C0466">
              <w:rPr>
                <w:sz w:val="26"/>
                <w:szCs w:val="26"/>
              </w:rPr>
              <w:t xml:space="preserve"> </w:t>
            </w:r>
            <w:r w:rsidR="006676C9" w:rsidRPr="008C0466">
              <w:rPr>
                <w:sz w:val="26"/>
                <w:szCs w:val="26"/>
              </w:rPr>
              <w:t>3</w:t>
            </w:r>
            <w:r w:rsidRPr="008C0466">
              <w:rPr>
                <w:sz w:val="26"/>
                <w:szCs w:val="26"/>
              </w:rPr>
              <w:t>.§</w:t>
            </w:r>
            <w:r w:rsidR="006676C9" w:rsidRPr="008C0466">
              <w:rPr>
                <w:sz w:val="26"/>
                <w:szCs w:val="26"/>
              </w:rPr>
              <w:t>, 3.4.2.apakšpunkts</w:t>
            </w:r>
            <w:r w:rsidRPr="008C0466">
              <w:rPr>
                <w:sz w:val="26"/>
                <w:szCs w:val="26"/>
              </w:rPr>
              <w:t>)</w:t>
            </w:r>
            <w:r w:rsidR="00F6752B" w:rsidRPr="008C0466">
              <w:rPr>
                <w:sz w:val="26"/>
                <w:szCs w:val="26"/>
              </w:rPr>
              <w:t xml:space="preserve"> </w:t>
            </w:r>
            <w:r w:rsidR="00FB7518" w:rsidRPr="008C0466">
              <w:rPr>
                <w:sz w:val="26"/>
                <w:szCs w:val="26"/>
              </w:rPr>
              <w:t xml:space="preserve">lemt par </w:t>
            </w:r>
            <w:r w:rsidR="006676C9" w:rsidRPr="008C0466">
              <w:rPr>
                <w:sz w:val="26"/>
                <w:szCs w:val="26"/>
              </w:rPr>
              <w:t xml:space="preserve">atbalstu Starptautiskās Automobiļu federācijas </w:t>
            </w:r>
            <w:r w:rsidR="0078237B" w:rsidRPr="008C0466">
              <w:rPr>
                <w:sz w:val="26"/>
                <w:szCs w:val="26"/>
              </w:rPr>
              <w:t>(</w:t>
            </w:r>
            <w:r w:rsidR="0078237B" w:rsidRPr="008C0466">
              <w:rPr>
                <w:i/>
                <w:sz w:val="26"/>
                <w:szCs w:val="26"/>
              </w:rPr>
              <w:t>Federation Internationale de l'Automobile</w:t>
            </w:r>
            <w:r w:rsidR="0078237B" w:rsidRPr="008C0466">
              <w:rPr>
                <w:sz w:val="26"/>
                <w:szCs w:val="26"/>
              </w:rPr>
              <w:t xml:space="preserve"> – FIA) </w:t>
            </w:r>
            <w:r w:rsidR="006676C9" w:rsidRPr="008C0466">
              <w:rPr>
                <w:sz w:val="26"/>
                <w:szCs w:val="26"/>
              </w:rPr>
              <w:t>Eiropas rallija čempionāta posma (turpmāk – Sacensības) organizēšan</w:t>
            </w:r>
            <w:r w:rsidR="003D6625" w:rsidRPr="008C0466">
              <w:rPr>
                <w:sz w:val="26"/>
                <w:szCs w:val="26"/>
              </w:rPr>
              <w:t>ai</w:t>
            </w:r>
            <w:r w:rsidR="006676C9" w:rsidRPr="008C0466">
              <w:rPr>
                <w:sz w:val="26"/>
                <w:szCs w:val="26"/>
              </w:rPr>
              <w:t xml:space="preserve"> Latvijā 2017.–2019.gadā, piešķirot līdzekļus ar Sacensību sarīkošanu saistīto licences maksājum</w:t>
            </w:r>
            <w:r w:rsidR="00174310" w:rsidRPr="008C0466">
              <w:rPr>
                <w:sz w:val="26"/>
                <w:szCs w:val="26"/>
              </w:rPr>
              <w:t>u</w:t>
            </w:r>
            <w:r w:rsidR="006676C9" w:rsidRPr="008C0466">
              <w:rPr>
                <w:sz w:val="26"/>
                <w:szCs w:val="26"/>
              </w:rPr>
              <w:t xml:space="preserve"> izdevumu segšanai.</w:t>
            </w:r>
          </w:p>
          <w:p w:rsidR="008C0466" w:rsidRPr="008C0466" w:rsidRDefault="008C0466" w:rsidP="008C0466">
            <w:pPr>
              <w:pStyle w:val="ListParagraph"/>
              <w:numPr>
                <w:ilvl w:val="0"/>
                <w:numId w:val="13"/>
              </w:numPr>
              <w:tabs>
                <w:tab w:val="left" w:pos="142"/>
              </w:tabs>
              <w:ind w:right="142"/>
              <w:jc w:val="both"/>
              <w:rPr>
                <w:sz w:val="26"/>
                <w:szCs w:val="26"/>
              </w:rPr>
            </w:pPr>
            <w:r>
              <w:rPr>
                <w:sz w:val="26"/>
                <w:szCs w:val="26"/>
              </w:rPr>
              <w:t xml:space="preserve">Ministru kabineta lēmums par valsts finansiālo atbalstu Sacensību norises turpināšanai Latvijā arī 2017.–2019.gadā ir priekšnoteikums, lai varētu tikt noslēgts sadarbības līgums ar  FIA </w:t>
            </w:r>
            <w:r w:rsidRPr="006676C9">
              <w:rPr>
                <w:sz w:val="26"/>
                <w:szCs w:val="26"/>
              </w:rPr>
              <w:t xml:space="preserve">Eiropas rallija čempionāta </w:t>
            </w:r>
            <w:r>
              <w:rPr>
                <w:sz w:val="26"/>
                <w:szCs w:val="26"/>
              </w:rPr>
              <w:t xml:space="preserve">starptautisko organizatoru –starptautisko kompāniju </w:t>
            </w:r>
            <w:r w:rsidRPr="00B33613">
              <w:rPr>
                <w:i/>
                <w:sz w:val="26"/>
                <w:szCs w:val="26"/>
              </w:rPr>
              <w:t>Eurosport Events</w:t>
            </w:r>
            <w:r>
              <w:rPr>
                <w:sz w:val="26"/>
                <w:szCs w:val="26"/>
              </w:rPr>
              <w:t xml:space="preserve">, turklāt lēmums jāpieņem iespējami drīzā laikā, jo šobrīd ir uzsākta FIA </w:t>
            </w:r>
            <w:r w:rsidRPr="006676C9">
              <w:rPr>
                <w:sz w:val="26"/>
                <w:szCs w:val="26"/>
              </w:rPr>
              <w:t>Eiropas rallija čempionāta</w:t>
            </w:r>
            <w:r>
              <w:rPr>
                <w:sz w:val="26"/>
                <w:szCs w:val="26"/>
              </w:rPr>
              <w:t xml:space="preserve"> jaunās sezonas kalendāra izstrāde</w:t>
            </w:r>
            <w:r w:rsidR="0017545D">
              <w:rPr>
                <w:sz w:val="26"/>
                <w:szCs w:val="26"/>
              </w:rPr>
              <w:t>.</w:t>
            </w:r>
          </w:p>
        </w:tc>
      </w:tr>
      <w:tr w:rsidR="004D1736" w:rsidRPr="00C21B04" w:rsidTr="007C0FED">
        <w:trPr>
          <w:trHeight w:val="562"/>
        </w:trPr>
        <w:tc>
          <w:tcPr>
            <w:tcW w:w="562" w:type="dxa"/>
          </w:tcPr>
          <w:p w:rsidR="004D1736" w:rsidRPr="00C21B04" w:rsidRDefault="004D1736" w:rsidP="00F41C85">
            <w:pPr>
              <w:pStyle w:val="naiskr"/>
              <w:spacing w:before="0" w:after="0"/>
              <w:jc w:val="center"/>
              <w:rPr>
                <w:sz w:val="26"/>
                <w:szCs w:val="26"/>
              </w:rPr>
            </w:pPr>
            <w:r w:rsidRPr="00C21B04">
              <w:rPr>
                <w:sz w:val="26"/>
                <w:szCs w:val="26"/>
              </w:rPr>
              <w:t>2.</w:t>
            </w:r>
          </w:p>
        </w:tc>
        <w:tc>
          <w:tcPr>
            <w:tcW w:w="2410" w:type="dxa"/>
          </w:tcPr>
          <w:p w:rsidR="004D1736" w:rsidRPr="00C21B04" w:rsidRDefault="004D1736" w:rsidP="00F41C85">
            <w:pPr>
              <w:pStyle w:val="naiskr"/>
              <w:tabs>
                <w:tab w:val="left" w:pos="170"/>
              </w:tabs>
              <w:spacing w:before="0" w:after="0"/>
              <w:ind w:left="141"/>
              <w:rPr>
                <w:sz w:val="26"/>
                <w:szCs w:val="26"/>
              </w:rPr>
            </w:pPr>
            <w:r w:rsidRPr="00C21B04">
              <w:rPr>
                <w:sz w:val="26"/>
                <w:szCs w:val="26"/>
              </w:rPr>
              <w:t>Pašreizējā situācija un problēmas, kuru risināšanai tiesību akta projekts izstrādāts, tiesiskā regulējuma mērķis un būtība</w:t>
            </w:r>
          </w:p>
        </w:tc>
        <w:tc>
          <w:tcPr>
            <w:tcW w:w="7229" w:type="dxa"/>
          </w:tcPr>
          <w:p w:rsidR="00006CE4" w:rsidRDefault="00A8148E" w:rsidP="00006CE4">
            <w:pPr>
              <w:ind w:left="142" w:right="142" w:firstLine="567"/>
              <w:jc w:val="both"/>
              <w:rPr>
                <w:sz w:val="26"/>
                <w:szCs w:val="26"/>
              </w:rPr>
            </w:pPr>
            <w:r>
              <w:rPr>
                <w:sz w:val="26"/>
                <w:szCs w:val="26"/>
              </w:rPr>
              <w:t xml:space="preserve">Kopš 2013.gada </w:t>
            </w:r>
            <w:r w:rsidR="00AE21F0">
              <w:rPr>
                <w:sz w:val="26"/>
                <w:szCs w:val="26"/>
              </w:rPr>
              <w:t>Sabiedrība ar ierobežotu atbildību „RA EVENTS” (turpmāk – Rīkotājs) sadarbībā ar biedrību „Latvijas Automobiļu federācija” (turpmāk – Biedrība)</w:t>
            </w:r>
            <w:r w:rsidR="000F5A4C">
              <w:rPr>
                <w:sz w:val="26"/>
                <w:szCs w:val="26"/>
              </w:rPr>
              <w:t xml:space="preserve"> ar valsts finansiālu atbalstu licences iegādei (298 803 EUR apmērā gadā)</w:t>
            </w:r>
            <w:r w:rsidR="00AE21F0">
              <w:rPr>
                <w:sz w:val="26"/>
                <w:szCs w:val="26"/>
              </w:rPr>
              <w:t xml:space="preserve"> </w:t>
            </w:r>
            <w:r>
              <w:rPr>
                <w:sz w:val="26"/>
                <w:szCs w:val="26"/>
              </w:rPr>
              <w:t>Latvijā organizē</w:t>
            </w:r>
            <w:r w:rsidRPr="00B33613">
              <w:rPr>
                <w:sz w:val="26"/>
                <w:szCs w:val="26"/>
              </w:rPr>
              <w:t xml:space="preserve"> </w:t>
            </w:r>
            <w:r>
              <w:rPr>
                <w:sz w:val="26"/>
                <w:szCs w:val="26"/>
              </w:rPr>
              <w:t xml:space="preserve">Sacensības, ko atzinīgi ir novērtējusi gan </w:t>
            </w:r>
            <w:r w:rsidRPr="00B33613">
              <w:rPr>
                <w:sz w:val="26"/>
                <w:szCs w:val="26"/>
              </w:rPr>
              <w:t>FIA</w:t>
            </w:r>
            <w:r w:rsidR="00BF6B66">
              <w:rPr>
                <w:sz w:val="26"/>
                <w:szCs w:val="26"/>
              </w:rPr>
              <w:t xml:space="preserve"> (piemēram, 2015.gadā FIA Sacensībām (</w:t>
            </w:r>
            <w:r w:rsidR="00BF6B66" w:rsidRPr="00BF6B66">
              <w:rPr>
                <w:i/>
                <w:sz w:val="26"/>
                <w:szCs w:val="26"/>
              </w:rPr>
              <w:t>Rally Liepāja</w:t>
            </w:r>
            <w:r w:rsidR="00BF6B66">
              <w:rPr>
                <w:sz w:val="26"/>
                <w:szCs w:val="26"/>
              </w:rPr>
              <w:t xml:space="preserve">) </w:t>
            </w:r>
            <w:r w:rsidR="005462FE">
              <w:rPr>
                <w:sz w:val="26"/>
                <w:szCs w:val="26"/>
              </w:rPr>
              <w:t>piešķirot</w:t>
            </w:r>
            <w:r w:rsidR="00BF6B66">
              <w:rPr>
                <w:sz w:val="26"/>
                <w:szCs w:val="26"/>
              </w:rPr>
              <w:t xml:space="preserve"> augstāko novērtējumu starp visiem </w:t>
            </w:r>
            <w:r w:rsidR="00FC05E4">
              <w:rPr>
                <w:sz w:val="26"/>
                <w:szCs w:val="26"/>
              </w:rPr>
              <w:t xml:space="preserve">FIA Eiropas rallija čempionāta </w:t>
            </w:r>
            <w:r w:rsidR="00BF6B66">
              <w:rPr>
                <w:sz w:val="26"/>
                <w:szCs w:val="26"/>
              </w:rPr>
              <w:t>posmiem)</w:t>
            </w:r>
            <w:r>
              <w:rPr>
                <w:sz w:val="26"/>
                <w:szCs w:val="26"/>
              </w:rPr>
              <w:t xml:space="preserve">, gan arī starptautiskā kompānija </w:t>
            </w:r>
            <w:r w:rsidRPr="00B33613">
              <w:rPr>
                <w:i/>
                <w:sz w:val="26"/>
                <w:szCs w:val="26"/>
              </w:rPr>
              <w:t>Eurosport Events</w:t>
            </w:r>
            <w:r>
              <w:rPr>
                <w:sz w:val="26"/>
                <w:szCs w:val="26"/>
              </w:rPr>
              <w:t xml:space="preserve">. </w:t>
            </w:r>
            <w:r w:rsidR="00A71DBF">
              <w:rPr>
                <w:sz w:val="26"/>
                <w:szCs w:val="26"/>
              </w:rPr>
              <w:t xml:space="preserve">Saskaņā ar Rīkotāja sniegto informāciju </w:t>
            </w:r>
            <w:r>
              <w:rPr>
                <w:sz w:val="26"/>
                <w:szCs w:val="26"/>
              </w:rPr>
              <w:t xml:space="preserve">katru </w:t>
            </w:r>
            <w:r w:rsidR="0009548C">
              <w:rPr>
                <w:sz w:val="26"/>
                <w:szCs w:val="26"/>
              </w:rPr>
              <w:t xml:space="preserve">Sacensību </w:t>
            </w:r>
            <w:r>
              <w:rPr>
                <w:sz w:val="26"/>
                <w:szCs w:val="26"/>
              </w:rPr>
              <w:t xml:space="preserve">TV tiešraidē translē 163 pasaules valstīs, sasniedzot 830 miljonus mājsaimniecību, kā arī katru no </w:t>
            </w:r>
            <w:r w:rsidR="00FB52BF">
              <w:rPr>
                <w:sz w:val="26"/>
                <w:szCs w:val="26"/>
              </w:rPr>
              <w:t>Sacensībām</w:t>
            </w:r>
            <w:r>
              <w:rPr>
                <w:sz w:val="26"/>
                <w:szCs w:val="26"/>
              </w:rPr>
              <w:t xml:space="preserve"> </w:t>
            </w:r>
            <w:r w:rsidR="00FB52BF">
              <w:rPr>
                <w:sz w:val="26"/>
                <w:szCs w:val="26"/>
              </w:rPr>
              <w:t xml:space="preserve">Latvijā </w:t>
            </w:r>
            <w:r>
              <w:rPr>
                <w:sz w:val="26"/>
                <w:szCs w:val="26"/>
              </w:rPr>
              <w:t xml:space="preserve">klātienē apmeklē </w:t>
            </w:r>
            <w:r w:rsidR="001E0B34">
              <w:rPr>
                <w:sz w:val="26"/>
                <w:szCs w:val="26"/>
              </w:rPr>
              <w:t>vairāk nekā 2</w:t>
            </w:r>
            <w:r>
              <w:rPr>
                <w:sz w:val="26"/>
                <w:szCs w:val="26"/>
              </w:rPr>
              <w:t>0 000 skatītāju. Balstot</w:t>
            </w:r>
            <w:r w:rsidR="0002308B">
              <w:rPr>
                <w:sz w:val="26"/>
                <w:szCs w:val="26"/>
              </w:rPr>
              <w:t>ies uz pētījumu aģentūras „</w:t>
            </w:r>
            <w:r>
              <w:rPr>
                <w:sz w:val="26"/>
                <w:szCs w:val="26"/>
              </w:rPr>
              <w:t xml:space="preserve">TNS” (turpmāk – TNS) veikto pētījumu par 2014.gada </w:t>
            </w:r>
            <w:r w:rsidR="00A71DBF">
              <w:rPr>
                <w:sz w:val="26"/>
                <w:szCs w:val="26"/>
              </w:rPr>
              <w:t>Sacensību</w:t>
            </w:r>
            <w:r>
              <w:rPr>
                <w:sz w:val="26"/>
                <w:szCs w:val="26"/>
              </w:rPr>
              <w:t xml:space="preserve"> ekonomiskajiem ieguvumiem un ietekmi uz valsts budžetu, </w:t>
            </w:r>
            <w:r w:rsidR="00A71DBF">
              <w:rPr>
                <w:sz w:val="26"/>
                <w:szCs w:val="26"/>
              </w:rPr>
              <w:t>Rīkotājs</w:t>
            </w:r>
            <w:r>
              <w:rPr>
                <w:sz w:val="26"/>
                <w:szCs w:val="26"/>
              </w:rPr>
              <w:t xml:space="preserve"> norāda, ka </w:t>
            </w:r>
            <w:r w:rsidRPr="00D855A6">
              <w:rPr>
                <w:sz w:val="26"/>
                <w:szCs w:val="26"/>
              </w:rPr>
              <w:t xml:space="preserve">finansējuma piešķiršana ar </w:t>
            </w:r>
            <w:r w:rsidR="0073483A">
              <w:rPr>
                <w:sz w:val="26"/>
                <w:szCs w:val="26"/>
              </w:rPr>
              <w:t>Sacensību</w:t>
            </w:r>
            <w:r>
              <w:rPr>
                <w:sz w:val="26"/>
                <w:szCs w:val="26"/>
              </w:rPr>
              <w:t xml:space="preserve"> </w:t>
            </w:r>
            <w:r w:rsidRPr="00D855A6">
              <w:rPr>
                <w:sz w:val="26"/>
                <w:szCs w:val="26"/>
              </w:rPr>
              <w:t xml:space="preserve">Latvijā saistītā licences maksājuma izdevumu segšanai </w:t>
            </w:r>
            <w:r w:rsidR="003968C8">
              <w:rPr>
                <w:sz w:val="26"/>
                <w:szCs w:val="26"/>
              </w:rPr>
              <w:t xml:space="preserve">sekmē </w:t>
            </w:r>
            <w:r w:rsidR="003968C8" w:rsidRPr="003968C8">
              <w:rPr>
                <w:sz w:val="26"/>
                <w:szCs w:val="26"/>
              </w:rPr>
              <w:t>Latvijas ekonomikas attīstību (ēdināšanas, pārtikas un degvielas mazumtirdzniecības, kā arī viesnīc</w:t>
            </w:r>
            <w:r w:rsidR="003968C8">
              <w:rPr>
                <w:sz w:val="26"/>
                <w:szCs w:val="26"/>
              </w:rPr>
              <w:t xml:space="preserve">u un restorānu servisa jomas), </w:t>
            </w:r>
            <w:r w:rsidRPr="00D855A6">
              <w:rPr>
                <w:sz w:val="26"/>
                <w:szCs w:val="26"/>
              </w:rPr>
              <w:t>tādejādi pilnībā kompensējot ar licences iegādi saistītos izdevumus</w:t>
            </w:r>
            <w:r>
              <w:rPr>
                <w:sz w:val="26"/>
                <w:szCs w:val="26"/>
              </w:rPr>
              <w:t xml:space="preserve">. Analizējot </w:t>
            </w:r>
            <w:r w:rsidR="00396BCE">
              <w:rPr>
                <w:sz w:val="26"/>
                <w:szCs w:val="26"/>
              </w:rPr>
              <w:t>Rīkotāja</w:t>
            </w:r>
            <w:r>
              <w:rPr>
                <w:sz w:val="26"/>
                <w:szCs w:val="26"/>
              </w:rPr>
              <w:t xml:space="preserve"> un TNS piemēroto</w:t>
            </w:r>
            <w:r w:rsidRPr="00A94D1E">
              <w:rPr>
                <w:sz w:val="26"/>
                <w:szCs w:val="26"/>
              </w:rPr>
              <w:t xml:space="preserve"> </w:t>
            </w:r>
            <w:r w:rsidR="00396BCE">
              <w:rPr>
                <w:sz w:val="26"/>
                <w:szCs w:val="26"/>
              </w:rPr>
              <w:t>Sacensību</w:t>
            </w:r>
            <w:r>
              <w:rPr>
                <w:sz w:val="26"/>
                <w:szCs w:val="26"/>
              </w:rPr>
              <w:t xml:space="preserve"> posma norises ietekmes uz ekonomiku izvērtēšanas metodi, konstatējams, ka ir pielietota izdevumu – ieguvumu analīzes (</w:t>
            </w:r>
            <w:r w:rsidRPr="006E1F57">
              <w:rPr>
                <w:i/>
                <w:sz w:val="26"/>
                <w:szCs w:val="26"/>
              </w:rPr>
              <w:t>cost – benefit analysis)</w:t>
            </w:r>
            <w:r>
              <w:rPr>
                <w:sz w:val="26"/>
                <w:szCs w:val="26"/>
              </w:rPr>
              <w:t xml:space="preserve"> metode, ar kuras palīdzību tiek noteikti tiešie ekonomiskie izdevumi vietējai ekonomikai un kura ir balstīta uz tehniku, kas salīdzina tiešos ieguvumus, ko rada pasākums salīdzinot ar izdevumiem, kas radušies saistībā ar pasākuma organizēšanu. Kā iepriekš saistībā ar šīs metodes piemērošanu ir norādījusi Tūrisma attīstības valsts aģentūra (2013.gada 31.jūlija vēstule Nr.02-04-2/13/138 par </w:t>
            </w:r>
            <w:r w:rsidR="008760A9">
              <w:rPr>
                <w:sz w:val="26"/>
                <w:szCs w:val="26"/>
              </w:rPr>
              <w:t>Sacensību</w:t>
            </w:r>
            <w:r w:rsidRPr="00040AEE">
              <w:rPr>
                <w:sz w:val="26"/>
                <w:szCs w:val="26"/>
              </w:rPr>
              <w:t xml:space="preserve"> organizēšanu Latvijā</w:t>
            </w:r>
            <w:r>
              <w:rPr>
                <w:sz w:val="26"/>
                <w:szCs w:val="26"/>
              </w:rPr>
              <w:t xml:space="preserve">), tā ir efektīva, ja to </w:t>
            </w:r>
            <w:r>
              <w:rPr>
                <w:sz w:val="26"/>
                <w:szCs w:val="26"/>
              </w:rPr>
              <w:lastRenderedPageBreak/>
              <w:t>izmanto analizējot tiešos ieguvumus, nemēģinot aprēķināt netiešos izdevumus (piemēram, reģiona atpazīstamība, pozitīva publicitāte, dalībnieku un apmeklētāju atsauksmes), kuru mērīšanai ir nepieciešams izmantot citas metodes.</w:t>
            </w:r>
            <w:r w:rsidR="006B6483">
              <w:rPr>
                <w:sz w:val="26"/>
                <w:szCs w:val="26"/>
              </w:rPr>
              <w:t xml:space="preserve"> </w:t>
            </w:r>
            <w:r w:rsidR="00E34590">
              <w:rPr>
                <w:sz w:val="26"/>
                <w:szCs w:val="26"/>
              </w:rPr>
              <w:t>TNS pētījumā apkopotie dati</w:t>
            </w:r>
            <w:r w:rsidR="006B2D6F">
              <w:rPr>
                <w:sz w:val="26"/>
                <w:szCs w:val="26"/>
              </w:rPr>
              <w:t xml:space="preserve">, ko apstiprina arī Latvijas Viesnīcu un restorānu asociācija, </w:t>
            </w:r>
            <w:r w:rsidR="00E34590">
              <w:rPr>
                <w:sz w:val="26"/>
                <w:szCs w:val="26"/>
              </w:rPr>
              <w:t xml:space="preserve">liecina, ka Sacensību </w:t>
            </w:r>
            <w:r w:rsidR="0094553A">
              <w:rPr>
                <w:sz w:val="26"/>
                <w:szCs w:val="26"/>
              </w:rPr>
              <w:t xml:space="preserve">ārvalstu viesu kopējie izdevumi viena Sacensību posma laikā Latvijā bijuši 808 060 EUR, no kuriem 60% veido rallija dalībnieku un komandu pārstāvju izdevumi par Latvijā iegādātajām precēm un pakalpojumiem, </w:t>
            </w:r>
            <w:r w:rsidR="00F72610">
              <w:rPr>
                <w:sz w:val="26"/>
                <w:szCs w:val="26"/>
              </w:rPr>
              <w:t>2</w:t>
            </w:r>
            <w:r w:rsidR="0094553A">
              <w:rPr>
                <w:sz w:val="26"/>
                <w:szCs w:val="26"/>
              </w:rPr>
              <w:t>5% ārvalstu skatītāju izdevumi, savukārt 15% ārvalstu mediju pārstāvju izdevumi. Papildus minētam tiek norādīts, ka vietējā reģiona ekonomika ar šāda mēroga sporta pasākumu tiek stimulēta ar vairāk nekā vienu miljonu EUR</w:t>
            </w:r>
            <w:r w:rsidR="00D46FCA">
              <w:rPr>
                <w:sz w:val="26"/>
                <w:szCs w:val="26"/>
              </w:rPr>
              <w:t xml:space="preserve">. </w:t>
            </w:r>
            <w:r w:rsidR="00006CE4">
              <w:rPr>
                <w:sz w:val="26"/>
                <w:szCs w:val="26"/>
              </w:rPr>
              <w:t>Ņemot vērā to, ka detalizēta informāc</w:t>
            </w:r>
            <w:r w:rsidR="0058091B">
              <w:rPr>
                <w:sz w:val="26"/>
                <w:szCs w:val="26"/>
              </w:rPr>
              <w:t>ija par Sacensību norisi 2013.–</w:t>
            </w:r>
            <w:r w:rsidR="00006CE4">
              <w:rPr>
                <w:sz w:val="26"/>
                <w:szCs w:val="26"/>
              </w:rPr>
              <w:t>2015.gadā, kā arī to ietekmi uz valsts un pašvaldību budžeta ieņēmumiem sniegta pievienotajos informatīvajos materiālos, papildus informācija šajā sākotnējās ietekmes novērtējuma ziņojumā (anotācijā) netiek sniegta.</w:t>
            </w:r>
          </w:p>
          <w:p w:rsidR="00D46FCA" w:rsidRDefault="00D46FCA" w:rsidP="00EF67D4">
            <w:pPr>
              <w:ind w:left="142" w:right="142" w:firstLine="567"/>
              <w:jc w:val="both"/>
              <w:rPr>
                <w:sz w:val="26"/>
                <w:szCs w:val="26"/>
              </w:rPr>
            </w:pPr>
            <w:r>
              <w:rPr>
                <w:sz w:val="26"/>
                <w:szCs w:val="26"/>
              </w:rPr>
              <w:t xml:space="preserve">Rīkotājs 2016.gada 28.janvāra vēstulē informē par saņemto piedāvājumu no starptautiskās kompānijas </w:t>
            </w:r>
            <w:r w:rsidRPr="00B33613">
              <w:rPr>
                <w:i/>
                <w:sz w:val="26"/>
                <w:szCs w:val="26"/>
              </w:rPr>
              <w:t>Eurosport Events</w:t>
            </w:r>
            <w:r>
              <w:rPr>
                <w:sz w:val="26"/>
                <w:szCs w:val="26"/>
              </w:rPr>
              <w:t xml:space="preserve"> </w:t>
            </w:r>
            <w:r w:rsidR="00B05EA2">
              <w:rPr>
                <w:sz w:val="26"/>
                <w:szCs w:val="26"/>
              </w:rPr>
              <w:t>turpinā</w:t>
            </w:r>
            <w:r w:rsidR="00F4041E">
              <w:rPr>
                <w:sz w:val="26"/>
                <w:szCs w:val="26"/>
              </w:rPr>
              <w:t>t līdzšinējo sadarbību un noslēgt līgumu par Sacensību Latvijas posma organizēšanu arī 2017., 2018. un 2019.gadā. Latvijai noteiktā licences gada maksa par Sacensību organizēšanu ir saglabāta nemainīga – 300 000 EUR apmērā.</w:t>
            </w:r>
            <w:r w:rsidR="00535714">
              <w:rPr>
                <w:sz w:val="26"/>
                <w:szCs w:val="26"/>
              </w:rPr>
              <w:t xml:space="preserve"> Izvērtējot šo piedāvājumu, kā arī, ņemot vērā līdzšinējo Sacensību sekmīgo norisi Latvijā, kā arī Sacensību ietekmi uz valsts ekonomiku, Rīkotājs aicina atbalstīt Sacensību </w:t>
            </w:r>
            <w:r w:rsidR="00E552F8">
              <w:rPr>
                <w:sz w:val="26"/>
                <w:szCs w:val="26"/>
              </w:rPr>
              <w:t>sarīkošanu</w:t>
            </w:r>
            <w:r w:rsidR="00535714">
              <w:rPr>
                <w:sz w:val="26"/>
                <w:szCs w:val="26"/>
              </w:rPr>
              <w:t xml:space="preserve"> Latvijā</w:t>
            </w:r>
            <w:r w:rsidR="00E552F8">
              <w:rPr>
                <w:sz w:val="26"/>
                <w:szCs w:val="26"/>
              </w:rPr>
              <w:t xml:space="preserve"> arī</w:t>
            </w:r>
            <w:r w:rsidR="00535714">
              <w:rPr>
                <w:sz w:val="26"/>
                <w:szCs w:val="26"/>
              </w:rPr>
              <w:t xml:space="preserve"> </w:t>
            </w:r>
            <w:r w:rsidR="00E552F8">
              <w:rPr>
                <w:sz w:val="26"/>
                <w:szCs w:val="26"/>
              </w:rPr>
              <w:t>2017.–2019.gadā, lūdzot piešķirt 300 000 EUR gadā</w:t>
            </w:r>
            <w:r w:rsidR="00E552F8" w:rsidRPr="00D855A6">
              <w:rPr>
                <w:sz w:val="26"/>
                <w:szCs w:val="26"/>
              </w:rPr>
              <w:t xml:space="preserve"> licences maksājuma izdevumu segšanai</w:t>
            </w:r>
            <w:r w:rsidR="00E552F8">
              <w:rPr>
                <w:sz w:val="26"/>
                <w:szCs w:val="26"/>
              </w:rPr>
              <w:t>, kā arī papildus piešķirt līdzfinansējumu</w:t>
            </w:r>
            <w:r w:rsidR="00E552F8">
              <w:t xml:space="preserve"> </w:t>
            </w:r>
            <w:r w:rsidR="00E552F8" w:rsidRPr="00E552F8">
              <w:rPr>
                <w:sz w:val="26"/>
                <w:szCs w:val="26"/>
              </w:rPr>
              <w:t>(100 000 EUR gadā)</w:t>
            </w:r>
            <w:r w:rsidR="00E552F8">
              <w:rPr>
                <w:sz w:val="26"/>
                <w:szCs w:val="26"/>
              </w:rPr>
              <w:t xml:space="preserve"> </w:t>
            </w:r>
            <w:r w:rsidR="00E552F8" w:rsidRPr="00E552F8">
              <w:rPr>
                <w:sz w:val="26"/>
                <w:szCs w:val="26"/>
              </w:rPr>
              <w:t>S</w:t>
            </w:r>
            <w:r w:rsidR="00E552F8">
              <w:rPr>
                <w:sz w:val="26"/>
                <w:szCs w:val="26"/>
              </w:rPr>
              <w:t>acensību organizēšanas izdevumu segšanai</w:t>
            </w:r>
            <w:r w:rsidR="00E552F8" w:rsidRPr="00E552F8">
              <w:rPr>
                <w:sz w:val="26"/>
                <w:szCs w:val="26"/>
              </w:rPr>
              <w:t>.</w:t>
            </w:r>
            <w:r w:rsidR="00F62640">
              <w:rPr>
                <w:sz w:val="26"/>
                <w:szCs w:val="26"/>
              </w:rPr>
              <w:t xml:space="preserve"> Lūgumu atbalstīt Sacensību turpināšanu Latvijā ir izteikusi arī Biedrība, kura ir Sporta likumā noteiktā kārtībā atzītā sporta federācija</w:t>
            </w:r>
            <w:r w:rsidR="009114BB">
              <w:rPr>
                <w:sz w:val="26"/>
                <w:szCs w:val="26"/>
              </w:rPr>
              <w:t xml:space="preserve"> auto</w:t>
            </w:r>
            <w:r w:rsidR="00B759D1">
              <w:rPr>
                <w:sz w:val="26"/>
                <w:szCs w:val="26"/>
              </w:rPr>
              <w:t>sportā</w:t>
            </w:r>
            <w:r w:rsidR="009114BB">
              <w:rPr>
                <w:sz w:val="26"/>
                <w:szCs w:val="26"/>
              </w:rPr>
              <w:t>.</w:t>
            </w:r>
            <w:r w:rsidR="00E91C78">
              <w:rPr>
                <w:sz w:val="26"/>
                <w:szCs w:val="26"/>
              </w:rPr>
              <w:t xml:space="preserve"> Tāpat a</w:t>
            </w:r>
            <w:r w:rsidR="00EF67D4">
              <w:rPr>
                <w:sz w:val="26"/>
                <w:szCs w:val="26"/>
              </w:rPr>
              <w:t xml:space="preserve">icinājumu atbalstīt Sacensību organizēšanas turpināšanu Latvijā 2017.–2019.gadā ir izteikusi arī Liepājas pilsētas pašvaldība (2016.gada 25.janvāra vēstule Nr.346608) un Kuldīgas novada pašvaldība (2016.gada 26.janvāra vēstule Nr.2.10/188), kuras norāda uz Sacensību </w:t>
            </w:r>
            <w:r w:rsidRPr="00D46FCA">
              <w:rPr>
                <w:sz w:val="26"/>
                <w:szCs w:val="26"/>
              </w:rPr>
              <w:t>norises pozitīvo ietekmi uz pašvaldību budžetu un Kurzemes reģiona ekonomisko attīstību</w:t>
            </w:r>
            <w:r w:rsidR="00EF67D4">
              <w:rPr>
                <w:sz w:val="26"/>
                <w:szCs w:val="26"/>
              </w:rPr>
              <w:t xml:space="preserve"> kopumā</w:t>
            </w:r>
            <w:r w:rsidRPr="00D46FCA">
              <w:rPr>
                <w:sz w:val="26"/>
                <w:szCs w:val="26"/>
              </w:rPr>
              <w:t>.</w:t>
            </w:r>
          </w:p>
          <w:p w:rsidR="0050057D" w:rsidRDefault="0005528F" w:rsidP="0005528F">
            <w:pPr>
              <w:ind w:left="142" w:right="142" w:firstLine="567"/>
              <w:jc w:val="both"/>
              <w:rPr>
                <w:sz w:val="26"/>
                <w:szCs w:val="26"/>
              </w:rPr>
            </w:pPr>
            <w:r w:rsidRPr="00D64923">
              <w:rPr>
                <w:sz w:val="26"/>
                <w:szCs w:val="26"/>
              </w:rPr>
              <w:t xml:space="preserve">Sporta politikas pamatnostādnēs 2014.–2020.gadam (apstiprinātas ar Ministru kabineta 2013.gada 18.decembra rīkojumu Nr.666) </w:t>
            </w:r>
            <w:r>
              <w:rPr>
                <w:sz w:val="26"/>
                <w:szCs w:val="26"/>
              </w:rPr>
              <w:t xml:space="preserve">ir atzīts, ka </w:t>
            </w:r>
            <w:r w:rsidRPr="00D64923">
              <w:rPr>
                <w:sz w:val="26"/>
                <w:szCs w:val="26"/>
              </w:rPr>
              <w:t xml:space="preserve">starptautisko sporta sacensību rīkošana Latvijā </w:t>
            </w:r>
            <w:r>
              <w:rPr>
                <w:sz w:val="26"/>
                <w:szCs w:val="26"/>
              </w:rPr>
              <w:t xml:space="preserve">veicina </w:t>
            </w:r>
            <w:r w:rsidRPr="00D64923">
              <w:rPr>
                <w:sz w:val="26"/>
                <w:szCs w:val="26"/>
              </w:rPr>
              <w:t>ekonomikas attīstību (sacensību apmeklētāji no ārvalstīm kā tūristi, to uzturēšanās laikā Latvijā patērētās</w:t>
            </w:r>
            <w:r>
              <w:rPr>
                <w:sz w:val="26"/>
                <w:szCs w:val="26"/>
              </w:rPr>
              <w:t xml:space="preserve"> preces un pakalpojumi, u.tml.), kā arī veicina Latvijas atpazīstamību pasaulē (popularizē Latviju kā tūrisma galamērķi).</w:t>
            </w:r>
            <w:r w:rsidRPr="00F251F7">
              <w:rPr>
                <w:sz w:val="26"/>
                <w:szCs w:val="26"/>
              </w:rPr>
              <w:t xml:space="preserve"> </w:t>
            </w:r>
            <w:r w:rsidR="001755A7">
              <w:rPr>
                <w:sz w:val="26"/>
                <w:szCs w:val="26"/>
              </w:rPr>
              <w:t>Arī s</w:t>
            </w:r>
            <w:r w:rsidRPr="00B33613">
              <w:rPr>
                <w:sz w:val="26"/>
                <w:szCs w:val="26"/>
              </w:rPr>
              <w:t>tarptautiskā prakse liecina, ka liela mēroga sporta pasākumi veicina valsts starptautisko atpazīstamību, kā arī palīdz veidot konkurētspējīgu valsts identitāti.</w:t>
            </w:r>
            <w:r>
              <w:rPr>
                <w:sz w:val="26"/>
                <w:szCs w:val="26"/>
              </w:rPr>
              <w:t xml:space="preserve"> Ar Ministru kabineta 2013.gada </w:t>
            </w:r>
            <w:r>
              <w:rPr>
                <w:sz w:val="26"/>
                <w:szCs w:val="26"/>
              </w:rPr>
              <w:lastRenderedPageBreak/>
              <w:t>6.augusta sēdes protokollēmuma „Informatīvais ziņojums „</w:t>
            </w:r>
            <w:r w:rsidRPr="002642D4">
              <w:rPr>
                <w:sz w:val="26"/>
                <w:szCs w:val="26"/>
              </w:rPr>
              <w:t>Par Starptautiskās Automobiļu federācijas Eiropas rallija čempionāta posma</w:t>
            </w:r>
            <w:r>
              <w:rPr>
                <w:sz w:val="26"/>
                <w:szCs w:val="26"/>
              </w:rPr>
              <w:t xml:space="preserve"> organizēšanu Latvijā 2014.gadā”” </w:t>
            </w:r>
            <w:r w:rsidRPr="000D53A7">
              <w:rPr>
                <w:sz w:val="26"/>
                <w:szCs w:val="26"/>
              </w:rPr>
              <w:t>(prot. Nr.</w:t>
            </w:r>
            <w:r>
              <w:rPr>
                <w:sz w:val="26"/>
                <w:szCs w:val="26"/>
              </w:rPr>
              <w:t>42</w:t>
            </w:r>
            <w:r w:rsidRPr="000D53A7">
              <w:rPr>
                <w:sz w:val="26"/>
                <w:szCs w:val="26"/>
              </w:rPr>
              <w:t xml:space="preserve"> </w:t>
            </w:r>
            <w:r>
              <w:rPr>
                <w:sz w:val="26"/>
                <w:szCs w:val="26"/>
              </w:rPr>
              <w:t>82</w:t>
            </w:r>
            <w:r w:rsidRPr="000D53A7">
              <w:rPr>
                <w:sz w:val="26"/>
                <w:szCs w:val="26"/>
              </w:rPr>
              <w:t>.§</w:t>
            </w:r>
            <w:r>
              <w:rPr>
                <w:sz w:val="26"/>
                <w:szCs w:val="26"/>
              </w:rPr>
              <w:t>) 5.punktu noteikts, ka j</w:t>
            </w:r>
            <w:r w:rsidRPr="00821D67">
              <w:rPr>
                <w:sz w:val="26"/>
                <w:szCs w:val="26"/>
              </w:rPr>
              <w:t>autājum</w:t>
            </w:r>
            <w:r>
              <w:rPr>
                <w:sz w:val="26"/>
                <w:szCs w:val="26"/>
              </w:rPr>
              <w:t>s</w:t>
            </w:r>
            <w:r w:rsidRPr="00821D67">
              <w:rPr>
                <w:sz w:val="26"/>
                <w:szCs w:val="26"/>
              </w:rPr>
              <w:t xml:space="preserve"> par turpmāku motokrosa un rallija čempionātu finansēšanu no valsts budžeta līdzekļiem </w:t>
            </w:r>
            <w:r>
              <w:rPr>
                <w:sz w:val="26"/>
                <w:szCs w:val="26"/>
              </w:rPr>
              <w:t>izskatāms</w:t>
            </w:r>
            <w:r w:rsidRPr="00821D67">
              <w:rPr>
                <w:sz w:val="26"/>
                <w:szCs w:val="26"/>
              </w:rPr>
              <w:t xml:space="preserve"> tikai pēc tam, kad būs izvērtēti neatkarīgie pētījumi par šādu sacensību ekonomiskajiem ieguvumiem un to ietekmi uz </w:t>
            </w:r>
            <w:r w:rsidRPr="00B33613">
              <w:rPr>
                <w:sz w:val="26"/>
                <w:szCs w:val="26"/>
              </w:rPr>
              <w:t>valsts budžeta ieņēmumiem.</w:t>
            </w:r>
            <w:r>
              <w:rPr>
                <w:sz w:val="26"/>
                <w:szCs w:val="26"/>
              </w:rPr>
              <w:t xml:space="preserve"> </w:t>
            </w:r>
            <w:r w:rsidR="001C0A98">
              <w:rPr>
                <w:sz w:val="26"/>
                <w:szCs w:val="26"/>
              </w:rPr>
              <w:t>Sacensību gadījumā šāda veida pētījums ir veikts (</w:t>
            </w:r>
            <w:r w:rsidR="00007B8C">
              <w:rPr>
                <w:sz w:val="26"/>
                <w:szCs w:val="26"/>
              </w:rPr>
              <w:t xml:space="preserve">iepriekšminētais </w:t>
            </w:r>
            <w:r w:rsidR="001C0A98">
              <w:rPr>
                <w:sz w:val="26"/>
                <w:szCs w:val="26"/>
              </w:rPr>
              <w:t xml:space="preserve">TNS pētījums), kurš apliecina Rīkotāja sniegto informāciju, ka </w:t>
            </w:r>
            <w:r w:rsidR="001C0A98" w:rsidRPr="001C0A98">
              <w:rPr>
                <w:sz w:val="26"/>
                <w:szCs w:val="26"/>
              </w:rPr>
              <w:t>ar Sacensību organizēšanu Latvijā saistītā licences maksājumu izdevumu segšanai sekmēs Latvijas ekonomikas attīstību (ēdināšanas, pārtikas un degvielas mazumtirdzniecības, kā arī viesnīcu un restorānu servisa jomas), tādejādi pilnībā kompensējot ar licences iegādi saistītos izdevumus</w:t>
            </w:r>
            <w:r w:rsidR="001C0A98">
              <w:rPr>
                <w:sz w:val="26"/>
                <w:szCs w:val="26"/>
              </w:rPr>
              <w:t>.</w:t>
            </w:r>
            <w:r w:rsidR="00B17DE1">
              <w:rPr>
                <w:sz w:val="26"/>
                <w:szCs w:val="26"/>
              </w:rPr>
              <w:t xml:space="preserve"> Ņemot vērā minēto informāciju, </w:t>
            </w:r>
            <w:r w:rsidR="007762A2">
              <w:rPr>
                <w:sz w:val="26"/>
                <w:szCs w:val="26"/>
              </w:rPr>
              <w:t xml:space="preserve">uzklausot visas iesaistītās puses, </w:t>
            </w:r>
            <w:r w:rsidR="00B17DE1">
              <w:rPr>
                <w:sz w:val="26"/>
                <w:szCs w:val="26"/>
              </w:rPr>
              <w:t xml:space="preserve">izvērtējot </w:t>
            </w:r>
            <w:r w:rsidR="00320479">
              <w:rPr>
                <w:sz w:val="26"/>
                <w:szCs w:val="26"/>
              </w:rPr>
              <w:t xml:space="preserve">līdzšinējo Sacensību organizēšanas pozitīvo ietekmi, kā arī, ņemot vērā Liepājas pilsētas pašvaldības un Kuldīgas novada pašvaldības </w:t>
            </w:r>
            <w:r w:rsidR="0050057D">
              <w:rPr>
                <w:sz w:val="26"/>
                <w:szCs w:val="26"/>
              </w:rPr>
              <w:t>pausto atbalstu, Padomes 2016.gada 4.februāra sēdē tika nolemts:</w:t>
            </w:r>
          </w:p>
          <w:p w:rsidR="0050057D" w:rsidRDefault="0050057D" w:rsidP="0050057D">
            <w:pPr>
              <w:pStyle w:val="ListParagraph"/>
              <w:numPr>
                <w:ilvl w:val="0"/>
                <w:numId w:val="8"/>
              </w:numPr>
              <w:ind w:right="142"/>
              <w:jc w:val="both"/>
              <w:rPr>
                <w:sz w:val="26"/>
                <w:szCs w:val="26"/>
              </w:rPr>
            </w:pPr>
            <w:r w:rsidRPr="0050057D">
              <w:rPr>
                <w:sz w:val="26"/>
                <w:szCs w:val="26"/>
              </w:rPr>
              <w:t xml:space="preserve">konceptuāli atbalstīt </w:t>
            </w:r>
            <w:r>
              <w:rPr>
                <w:sz w:val="26"/>
                <w:szCs w:val="26"/>
              </w:rPr>
              <w:t xml:space="preserve">Rīkotāja un Biedrības </w:t>
            </w:r>
            <w:r w:rsidRPr="0050057D">
              <w:rPr>
                <w:sz w:val="26"/>
                <w:szCs w:val="26"/>
              </w:rPr>
              <w:t>ieceri par Sacensību sarīkošanu Latvijā 2017.–2019.gadā</w:t>
            </w:r>
            <w:r>
              <w:rPr>
                <w:sz w:val="26"/>
                <w:szCs w:val="26"/>
              </w:rPr>
              <w:t xml:space="preserve"> </w:t>
            </w:r>
            <w:r w:rsidRPr="002B2B30">
              <w:rPr>
                <w:sz w:val="26"/>
                <w:szCs w:val="26"/>
              </w:rPr>
              <w:t xml:space="preserve">(prot. Nr. </w:t>
            </w:r>
            <w:r>
              <w:rPr>
                <w:sz w:val="26"/>
                <w:szCs w:val="26"/>
              </w:rPr>
              <w:t>1</w:t>
            </w:r>
            <w:r w:rsidRPr="002B2B30">
              <w:rPr>
                <w:sz w:val="26"/>
                <w:szCs w:val="26"/>
              </w:rPr>
              <w:t xml:space="preserve"> </w:t>
            </w:r>
            <w:r>
              <w:rPr>
                <w:sz w:val="26"/>
                <w:szCs w:val="26"/>
              </w:rPr>
              <w:t>3</w:t>
            </w:r>
            <w:r w:rsidRPr="002B2B30">
              <w:rPr>
                <w:sz w:val="26"/>
                <w:szCs w:val="26"/>
              </w:rPr>
              <w:t>.§</w:t>
            </w:r>
            <w:r>
              <w:rPr>
                <w:sz w:val="26"/>
                <w:szCs w:val="26"/>
              </w:rPr>
              <w:t>, 3.3.apakšpunkts</w:t>
            </w:r>
            <w:r w:rsidRPr="002B2B30">
              <w:rPr>
                <w:sz w:val="26"/>
                <w:szCs w:val="26"/>
              </w:rPr>
              <w:t>)</w:t>
            </w:r>
            <w:r>
              <w:rPr>
                <w:sz w:val="26"/>
                <w:szCs w:val="26"/>
              </w:rPr>
              <w:t>;</w:t>
            </w:r>
          </w:p>
          <w:p w:rsidR="00927546" w:rsidRPr="00927546" w:rsidRDefault="00927546" w:rsidP="00927546">
            <w:pPr>
              <w:pStyle w:val="ListParagraph"/>
              <w:numPr>
                <w:ilvl w:val="0"/>
                <w:numId w:val="8"/>
              </w:numPr>
              <w:ind w:right="142"/>
              <w:jc w:val="both"/>
              <w:rPr>
                <w:sz w:val="26"/>
                <w:szCs w:val="26"/>
              </w:rPr>
            </w:pPr>
            <w:r>
              <w:rPr>
                <w:sz w:val="26"/>
                <w:szCs w:val="26"/>
              </w:rPr>
              <w:t>a</w:t>
            </w:r>
            <w:r w:rsidRPr="00927546">
              <w:rPr>
                <w:sz w:val="26"/>
                <w:szCs w:val="26"/>
              </w:rPr>
              <w:t>icināt Ministru kabinetu likumprojekta „Par vidēja termiņa budžeta ietvaru 2017., 2018. un 2019.gadam” un likumprojekta „Par valsts budžet</w:t>
            </w:r>
            <w:r>
              <w:rPr>
                <w:sz w:val="26"/>
                <w:szCs w:val="26"/>
              </w:rPr>
              <w:t xml:space="preserve">u 2017.gadam” izstrādes procesā, </w:t>
            </w:r>
            <w:r w:rsidRPr="00927546">
              <w:rPr>
                <w:sz w:val="26"/>
                <w:szCs w:val="26"/>
              </w:rPr>
              <w:t>nosakot pievienotās vērtības nodokļa valsts budžeta ieņēmumu prognozi, ņemt vērā Sacensību sarīkošanas pozitīvo ietekmi, kā arī palielināt Izglītības un zinātnes ministrijas</w:t>
            </w:r>
            <w:r w:rsidR="00D67B6B">
              <w:rPr>
                <w:sz w:val="26"/>
                <w:szCs w:val="26"/>
              </w:rPr>
              <w:t xml:space="preserve"> (turpmāk – IZM)</w:t>
            </w:r>
            <w:r w:rsidRPr="00927546">
              <w:rPr>
                <w:sz w:val="26"/>
                <w:szCs w:val="26"/>
              </w:rPr>
              <w:t xml:space="preserve"> valsts budžeta programmas 09.00.00 „Sports” apakšprogrammas 09.16.00 „Dotācija nacionālas nozīmes starptautisku sporta pasākumu organizēšanai Latvijā” izdevumus 2017., 2018. un 2019.gadam par 300 000 EUR (katru gadu) pārskaitīšanai Biedrībai, lai segtu ar Sacensību sarīkošanu Latvijā saistītos licences maksājuma izdevumus</w:t>
            </w:r>
            <w:r>
              <w:rPr>
                <w:sz w:val="26"/>
                <w:szCs w:val="26"/>
              </w:rPr>
              <w:t xml:space="preserve"> </w:t>
            </w:r>
            <w:r w:rsidRPr="002B2B30">
              <w:rPr>
                <w:sz w:val="26"/>
                <w:szCs w:val="26"/>
              </w:rPr>
              <w:t xml:space="preserve">(prot. Nr. </w:t>
            </w:r>
            <w:r>
              <w:rPr>
                <w:sz w:val="26"/>
                <w:szCs w:val="26"/>
              </w:rPr>
              <w:t>1</w:t>
            </w:r>
            <w:r w:rsidRPr="002B2B30">
              <w:rPr>
                <w:sz w:val="26"/>
                <w:szCs w:val="26"/>
              </w:rPr>
              <w:t xml:space="preserve"> </w:t>
            </w:r>
            <w:r>
              <w:rPr>
                <w:sz w:val="26"/>
                <w:szCs w:val="26"/>
              </w:rPr>
              <w:t>3</w:t>
            </w:r>
            <w:r w:rsidRPr="002B2B30">
              <w:rPr>
                <w:sz w:val="26"/>
                <w:szCs w:val="26"/>
              </w:rPr>
              <w:t>.§</w:t>
            </w:r>
            <w:r>
              <w:rPr>
                <w:sz w:val="26"/>
                <w:szCs w:val="26"/>
              </w:rPr>
              <w:t>, 3.4.2.apakšpunkts</w:t>
            </w:r>
            <w:r w:rsidRPr="002B2B30">
              <w:rPr>
                <w:sz w:val="26"/>
                <w:szCs w:val="26"/>
              </w:rPr>
              <w:t>)</w:t>
            </w:r>
            <w:r>
              <w:rPr>
                <w:sz w:val="26"/>
                <w:szCs w:val="26"/>
              </w:rPr>
              <w:t>;</w:t>
            </w:r>
          </w:p>
          <w:p w:rsidR="00927546" w:rsidRDefault="00927546" w:rsidP="002C6B16">
            <w:pPr>
              <w:pStyle w:val="ListParagraph"/>
              <w:numPr>
                <w:ilvl w:val="0"/>
                <w:numId w:val="8"/>
              </w:numPr>
              <w:ind w:right="142"/>
              <w:jc w:val="both"/>
              <w:rPr>
                <w:sz w:val="26"/>
                <w:szCs w:val="26"/>
              </w:rPr>
            </w:pPr>
            <w:r>
              <w:rPr>
                <w:sz w:val="26"/>
                <w:szCs w:val="26"/>
              </w:rPr>
              <w:t>p</w:t>
            </w:r>
            <w:r w:rsidRPr="00927546">
              <w:rPr>
                <w:sz w:val="26"/>
                <w:szCs w:val="26"/>
              </w:rPr>
              <w:t xml:space="preserve">ieņemt zināšanai, ka </w:t>
            </w:r>
            <w:r>
              <w:rPr>
                <w:sz w:val="26"/>
                <w:szCs w:val="26"/>
              </w:rPr>
              <w:t>Rīkotājs</w:t>
            </w:r>
            <w:r w:rsidRPr="00927546">
              <w:rPr>
                <w:sz w:val="26"/>
                <w:szCs w:val="26"/>
              </w:rPr>
              <w:t xml:space="preserve"> un Biedrība ir lūgusi papildus Sacensību organizēšanas licences maksājumiem līdzfinansēt arī Sacensību organizēšanas izdevumus (100 000 EUR gadā)</w:t>
            </w:r>
            <w:r>
              <w:rPr>
                <w:sz w:val="26"/>
                <w:szCs w:val="26"/>
              </w:rPr>
              <w:t xml:space="preserve"> </w:t>
            </w:r>
            <w:r w:rsidRPr="002B2B30">
              <w:rPr>
                <w:sz w:val="26"/>
                <w:szCs w:val="26"/>
              </w:rPr>
              <w:t xml:space="preserve">(prot. Nr. </w:t>
            </w:r>
            <w:r>
              <w:rPr>
                <w:sz w:val="26"/>
                <w:szCs w:val="26"/>
              </w:rPr>
              <w:t>1</w:t>
            </w:r>
            <w:r w:rsidRPr="002B2B30">
              <w:rPr>
                <w:sz w:val="26"/>
                <w:szCs w:val="26"/>
              </w:rPr>
              <w:t xml:space="preserve"> </w:t>
            </w:r>
            <w:r>
              <w:rPr>
                <w:sz w:val="26"/>
                <w:szCs w:val="26"/>
              </w:rPr>
              <w:t>3</w:t>
            </w:r>
            <w:r w:rsidRPr="002B2B30">
              <w:rPr>
                <w:sz w:val="26"/>
                <w:szCs w:val="26"/>
              </w:rPr>
              <w:t>.§</w:t>
            </w:r>
            <w:r>
              <w:rPr>
                <w:sz w:val="26"/>
                <w:szCs w:val="26"/>
              </w:rPr>
              <w:t>, 3.5.apakšpunkts</w:t>
            </w:r>
            <w:r w:rsidRPr="002B2B30">
              <w:rPr>
                <w:sz w:val="26"/>
                <w:szCs w:val="26"/>
              </w:rPr>
              <w:t>)</w:t>
            </w:r>
            <w:r w:rsidRPr="00927546">
              <w:rPr>
                <w:sz w:val="26"/>
                <w:szCs w:val="26"/>
              </w:rPr>
              <w:t>.</w:t>
            </w:r>
          </w:p>
          <w:p w:rsidR="0088436E" w:rsidRDefault="002C6B16" w:rsidP="0088436E">
            <w:pPr>
              <w:ind w:left="142" w:right="142"/>
              <w:jc w:val="both"/>
              <w:rPr>
                <w:sz w:val="26"/>
                <w:szCs w:val="26"/>
              </w:rPr>
            </w:pPr>
            <w:r>
              <w:rPr>
                <w:sz w:val="26"/>
                <w:szCs w:val="26"/>
              </w:rPr>
              <w:tab/>
            </w:r>
            <w:r w:rsidR="00D67B6B">
              <w:rPr>
                <w:sz w:val="26"/>
                <w:szCs w:val="26"/>
              </w:rPr>
              <w:t>IZM</w:t>
            </w:r>
            <w:r>
              <w:rPr>
                <w:sz w:val="26"/>
                <w:szCs w:val="26"/>
              </w:rPr>
              <w:t xml:space="preserve">, ievērojot Padomes sēdē nolemto, kā arī, ņemot vērā faktu, ka Ministru kabineta lēmums par valsts finansiālo atbalstu Sacensību norises turpināšanai Latvijā arī 2017.–2019.gadā ir priekšnoteikums, lai Rīkotājs varētu noslēgt sadarbības līgumu ar starptautisko kompāniju </w:t>
            </w:r>
            <w:r w:rsidRPr="00B33613">
              <w:rPr>
                <w:i/>
                <w:sz w:val="26"/>
                <w:szCs w:val="26"/>
              </w:rPr>
              <w:t>Eurosport Events</w:t>
            </w:r>
            <w:r>
              <w:rPr>
                <w:sz w:val="26"/>
                <w:szCs w:val="26"/>
              </w:rPr>
              <w:t xml:space="preserve">, turklāt lēmums jāpieņem iespējami drīzā laikā, jo šobrīd ir uzsākta FIA </w:t>
            </w:r>
            <w:r w:rsidRPr="006676C9">
              <w:rPr>
                <w:sz w:val="26"/>
                <w:szCs w:val="26"/>
              </w:rPr>
              <w:t>Eiropas rallija čempionāta</w:t>
            </w:r>
            <w:r>
              <w:rPr>
                <w:sz w:val="26"/>
                <w:szCs w:val="26"/>
              </w:rPr>
              <w:t xml:space="preserve"> jaunās sezonas kalendāra izstrāde, </w:t>
            </w:r>
            <w:r w:rsidR="0088436E">
              <w:rPr>
                <w:sz w:val="26"/>
                <w:szCs w:val="26"/>
              </w:rPr>
              <w:t xml:space="preserve">ir izstrādājusi Ministru kabineta rīkojuma projektu </w:t>
            </w:r>
            <w:r w:rsidR="0088436E" w:rsidRPr="0088436E">
              <w:rPr>
                <w:sz w:val="26"/>
                <w:szCs w:val="26"/>
              </w:rPr>
              <w:t xml:space="preserve">„Par Starptautiskās </w:t>
            </w:r>
            <w:r w:rsidR="0088436E" w:rsidRPr="0088436E">
              <w:rPr>
                <w:sz w:val="26"/>
                <w:szCs w:val="26"/>
              </w:rPr>
              <w:lastRenderedPageBreak/>
              <w:t>Automobiļu federācijas Eiropas rallija čempionāta posma turpināšanu Latvijā 2017.–2019.gadā”</w:t>
            </w:r>
            <w:r w:rsidR="0088436E">
              <w:rPr>
                <w:sz w:val="26"/>
                <w:szCs w:val="26"/>
              </w:rPr>
              <w:t>, kurš paredz:</w:t>
            </w:r>
          </w:p>
          <w:p w:rsidR="0088436E" w:rsidRDefault="0088436E" w:rsidP="0088436E">
            <w:pPr>
              <w:pStyle w:val="ListParagraph"/>
              <w:numPr>
                <w:ilvl w:val="0"/>
                <w:numId w:val="10"/>
              </w:numPr>
              <w:ind w:right="142"/>
              <w:jc w:val="both"/>
              <w:rPr>
                <w:sz w:val="26"/>
                <w:szCs w:val="26"/>
              </w:rPr>
            </w:pPr>
            <w:r>
              <w:rPr>
                <w:sz w:val="26"/>
                <w:szCs w:val="26"/>
              </w:rPr>
              <w:t>p</w:t>
            </w:r>
            <w:r w:rsidRPr="0088436E">
              <w:rPr>
                <w:sz w:val="26"/>
                <w:szCs w:val="26"/>
              </w:rPr>
              <w:t xml:space="preserve">ieņemt zināšanai </w:t>
            </w:r>
            <w:r w:rsidR="00D67B6B">
              <w:rPr>
                <w:sz w:val="26"/>
                <w:szCs w:val="26"/>
              </w:rPr>
              <w:t>IZM</w:t>
            </w:r>
            <w:r w:rsidRPr="0088436E">
              <w:rPr>
                <w:sz w:val="26"/>
                <w:szCs w:val="26"/>
              </w:rPr>
              <w:t xml:space="preserve"> sniegto informāciju par </w:t>
            </w:r>
            <w:r>
              <w:rPr>
                <w:sz w:val="26"/>
                <w:szCs w:val="26"/>
              </w:rPr>
              <w:t>Sacensību</w:t>
            </w:r>
            <w:r w:rsidRPr="0088436E">
              <w:rPr>
                <w:sz w:val="26"/>
                <w:szCs w:val="26"/>
              </w:rPr>
              <w:t xml:space="preserve"> norisi Latvijā kopš 2013.gada, kā arī ar Sacensību norisi saistīto pozitīvo ietekmi uz valsts un Sacensību norisē </w:t>
            </w:r>
            <w:r>
              <w:rPr>
                <w:sz w:val="26"/>
                <w:szCs w:val="26"/>
              </w:rPr>
              <w:t>iesaistīto pašvaldību budžetiem;</w:t>
            </w:r>
          </w:p>
          <w:p w:rsidR="0088436E" w:rsidRDefault="0088436E" w:rsidP="0088436E">
            <w:pPr>
              <w:pStyle w:val="ListParagraph"/>
              <w:numPr>
                <w:ilvl w:val="0"/>
                <w:numId w:val="10"/>
              </w:numPr>
              <w:ind w:right="142"/>
              <w:jc w:val="both"/>
              <w:rPr>
                <w:sz w:val="26"/>
                <w:szCs w:val="26"/>
              </w:rPr>
            </w:pPr>
            <w:r w:rsidRPr="0088436E">
              <w:rPr>
                <w:sz w:val="26"/>
                <w:szCs w:val="26"/>
              </w:rPr>
              <w:t>atbalstīt Rīkotāja un Biedrības ieceri par Sacensību turpināš</w:t>
            </w:r>
            <w:r>
              <w:rPr>
                <w:sz w:val="26"/>
                <w:szCs w:val="26"/>
              </w:rPr>
              <w:t>anu Latvijā arī 2017.–2019.gadā;</w:t>
            </w:r>
          </w:p>
          <w:p w:rsidR="0088436E" w:rsidRDefault="0088436E" w:rsidP="0088436E">
            <w:pPr>
              <w:pStyle w:val="ListParagraph"/>
              <w:numPr>
                <w:ilvl w:val="0"/>
                <w:numId w:val="10"/>
              </w:numPr>
              <w:ind w:right="142"/>
              <w:jc w:val="both"/>
              <w:rPr>
                <w:sz w:val="26"/>
                <w:szCs w:val="26"/>
              </w:rPr>
            </w:pPr>
            <w:r>
              <w:rPr>
                <w:sz w:val="26"/>
                <w:szCs w:val="26"/>
              </w:rPr>
              <w:t xml:space="preserve">uzdevumu </w:t>
            </w:r>
            <w:r w:rsidRPr="0088436E">
              <w:rPr>
                <w:sz w:val="26"/>
                <w:szCs w:val="26"/>
              </w:rPr>
              <w:t xml:space="preserve">Finanšu ministrijai likumprojekta „Par vidēja termiņa budžeta ietvaru 2017., 2018. un 2019.gadam” un likumprojekta „Par valsts budžetu 2017.gadam” izstrādes procesā, nosakot pievienotās vērtības nodokļa valsts budžeta ieņēmumu prognozi, ņemt vērā </w:t>
            </w:r>
            <w:r>
              <w:rPr>
                <w:sz w:val="26"/>
                <w:szCs w:val="26"/>
              </w:rPr>
              <w:t>informāciju par Sacensību norisi Latvijā</w:t>
            </w:r>
            <w:r w:rsidRPr="0088436E">
              <w:rPr>
                <w:sz w:val="26"/>
                <w:szCs w:val="26"/>
              </w:rPr>
              <w:t xml:space="preserve">, kā arī palielināt </w:t>
            </w:r>
            <w:r w:rsidR="00D67B6B">
              <w:rPr>
                <w:sz w:val="26"/>
                <w:szCs w:val="26"/>
              </w:rPr>
              <w:t>IZM</w:t>
            </w:r>
            <w:r w:rsidRPr="0088436E">
              <w:rPr>
                <w:sz w:val="26"/>
                <w:szCs w:val="26"/>
              </w:rPr>
              <w:t xml:space="preserve"> valsts budžeta programmas 09.00.00 „Sports” apakšprogrammas 09.16.00 „Dotācija nacionālas nozīmes starptautisku sporta pasākumu organizēšanai Latvijā” bāzes izdevumus 2017., 2018. un 2019.gadam par 300 000 EUR apmērā ik gadu, lai nodrošinātu līdzekļu piešķiršanu Biedrībai pārskaitīšanai Rīkotājam ar Sacensību sarīkošanu Latvijā saistīto licen</w:t>
            </w:r>
            <w:r>
              <w:rPr>
                <w:sz w:val="26"/>
                <w:szCs w:val="26"/>
              </w:rPr>
              <w:t>ces maksājuma izdevumu segšanai;</w:t>
            </w:r>
          </w:p>
          <w:p w:rsidR="005B06F7" w:rsidRPr="00AF6B35" w:rsidRDefault="0088436E" w:rsidP="00D67B6B">
            <w:pPr>
              <w:pStyle w:val="ListParagraph"/>
              <w:numPr>
                <w:ilvl w:val="0"/>
                <w:numId w:val="10"/>
              </w:numPr>
              <w:ind w:right="142"/>
              <w:jc w:val="both"/>
              <w:rPr>
                <w:sz w:val="26"/>
                <w:szCs w:val="26"/>
              </w:rPr>
            </w:pPr>
            <w:r>
              <w:rPr>
                <w:sz w:val="26"/>
                <w:szCs w:val="26"/>
              </w:rPr>
              <w:t xml:space="preserve">uzdevumu </w:t>
            </w:r>
            <w:r w:rsidR="00D67B6B">
              <w:rPr>
                <w:sz w:val="26"/>
                <w:szCs w:val="26"/>
              </w:rPr>
              <w:t>IZM</w:t>
            </w:r>
            <w:r w:rsidRPr="0088436E">
              <w:rPr>
                <w:sz w:val="26"/>
                <w:szCs w:val="26"/>
              </w:rPr>
              <w:t xml:space="preserve"> nodrošināt, ka Biedrība par saviem līdzekļiem Sacensību laikā 2017., 2018. un 2019.gadā organizē neatkarīgu pētījumu par Sacensību ekonomiskajiem ieguvumiem un ietekmi uz valsts budžeta ieņēmumiem un </w:t>
            </w:r>
            <w:r w:rsidR="00D67B6B">
              <w:rPr>
                <w:sz w:val="26"/>
                <w:szCs w:val="26"/>
              </w:rPr>
              <w:t>IZM</w:t>
            </w:r>
            <w:r w:rsidRPr="0088436E">
              <w:rPr>
                <w:sz w:val="26"/>
                <w:szCs w:val="26"/>
              </w:rPr>
              <w:t xml:space="preserve"> noteiktā termiņā iesniedz to </w:t>
            </w:r>
            <w:r w:rsidR="00D67B6B">
              <w:rPr>
                <w:sz w:val="26"/>
                <w:szCs w:val="26"/>
              </w:rPr>
              <w:t>IZM</w:t>
            </w:r>
            <w:r w:rsidRPr="0088436E">
              <w:rPr>
                <w:sz w:val="26"/>
                <w:szCs w:val="26"/>
              </w:rPr>
              <w:t>, Ekonomikas ministrijā un Finanšu ministrijā.</w:t>
            </w:r>
          </w:p>
        </w:tc>
      </w:tr>
      <w:tr w:rsidR="004D1736" w:rsidRPr="00C21B04" w:rsidTr="007C0FED">
        <w:trPr>
          <w:trHeight w:val="476"/>
        </w:trPr>
        <w:tc>
          <w:tcPr>
            <w:tcW w:w="562" w:type="dxa"/>
          </w:tcPr>
          <w:p w:rsidR="004D1736" w:rsidRPr="00C21B04" w:rsidRDefault="004D1736" w:rsidP="00F41C85">
            <w:pPr>
              <w:pStyle w:val="naiskr"/>
              <w:spacing w:before="0" w:after="0"/>
              <w:jc w:val="center"/>
              <w:rPr>
                <w:sz w:val="26"/>
                <w:szCs w:val="26"/>
              </w:rPr>
            </w:pPr>
            <w:r w:rsidRPr="00C21B04">
              <w:rPr>
                <w:sz w:val="26"/>
                <w:szCs w:val="26"/>
              </w:rPr>
              <w:lastRenderedPageBreak/>
              <w:t>3.</w:t>
            </w:r>
          </w:p>
        </w:tc>
        <w:tc>
          <w:tcPr>
            <w:tcW w:w="2410" w:type="dxa"/>
          </w:tcPr>
          <w:p w:rsidR="004D1736" w:rsidRPr="00C21B04" w:rsidRDefault="004D1736" w:rsidP="00F41C85">
            <w:pPr>
              <w:pStyle w:val="naiskr"/>
              <w:spacing w:before="0" w:after="0"/>
              <w:ind w:left="141"/>
              <w:rPr>
                <w:sz w:val="26"/>
                <w:szCs w:val="26"/>
              </w:rPr>
            </w:pPr>
            <w:r w:rsidRPr="00C21B04">
              <w:rPr>
                <w:sz w:val="26"/>
                <w:szCs w:val="26"/>
              </w:rPr>
              <w:t>Projekta izstrādē iesaistītās institūcijas</w:t>
            </w:r>
          </w:p>
        </w:tc>
        <w:tc>
          <w:tcPr>
            <w:tcW w:w="7229" w:type="dxa"/>
          </w:tcPr>
          <w:p w:rsidR="004D1736" w:rsidRPr="00C21B04" w:rsidRDefault="004D1736" w:rsidP="00150A43">
            <w:pPr>
              <w:ind w:left="82" w:right="141" w:firstLine="485"/>
              <w:jc w:val="both"/>
              <w:rPr>
                <w:sz w:val="26"/>
                <w:szCs w:val="26"/>
              </w:rPr>
            </w:pPr>
            <w:r w:rsidRPr="00C21B04">
              <w:rPr>
                <w:sz w:val="26"/>
                <w:szCs w:val="26"/>
              </w:rPr>
              <w:t xml:space="preserve">Ministru kabineta rīkojuma projektu izstrādāja </w:t>
            </w:r>
            <w:r w:rsidR="001E5502">
              <w:rPr>
                <w:sz w:val="26"/>
                <w:szCs w:val="26"/>
              </w:rPr>
              <w:t>IZM</w:t>
            </w:r>
            <w:r w:rsidRPr="00C21B04">
              <w:rPr>
                <w:sz w:val="26"/>
                <w:szCs w:val="26"/>
              </w:rPr>
              <w:t>,</w:t>
            </w:r>
            <w:r w:rsidR="00C76FD7">
              <w:rPr>
                <w:sz w:val="26"/>
                <w:szCs w:val="26"/>
              </w:rPr>
              <w:t xml:space="preserve"> ņemot vērā Padomes sēdē nolemto (</w:t>
            </w:r>
            <w:r w:rsidR="00C76FD7" w:rsidRPr="002B2B30">
              <w:rPr>
                <w:sz w:val="26"/>
                <w:szCs w:val="26"/>
              </w:rPr>
              <w:t xml:space="preserve">prot. Nr. </w:t>
            </w:r>
            <w:r w:rsidR="00C76FD7">
              <w:rPr>
                <w:sz w:val="26"/>
                <w:szCs w:val="26"/>
              </w:rPr>
              <w:t>1</w:t>
            </w:r>
            <w:r w:rsidR="00C76FD7" w:rsidRPr="002B2B30">
              <w:rPr>
                <w:sz w:val="26"/>
                <w:szCs w:val="26"/>
              </w:rPr>
              <w:t xml:space="preserve"> </w:t>
            </w:r>
            <w:r w:rsidR="00C76FD7">
              <w:rPr>
                <w:sz w:val="26"/>
                <w:szCs w:val="26"/>
              </w:rPr>
              <w:t>3</w:t>
            </w:r>
            <w:r w:rsidR="00C76FD7" w:rsidRPr="002B2B30">
              <w:rPr>
                <w:sz w:val="26"/>
                <w:szCs w:val="26"/>
              </w:rPr>
              <w:t>.§</w:t>
            </w:r>
            <w:r w:rsidR="00C76FD7">
              <w:rPr>
                <w:sz w:val="26"/>
                <w:szCs w:val="26"/>
              </w:rPr>
              <w:t xml:space="preserve">), kā arī </w:t>
            </w:r>
            <w:r w:rsidRPr="00C21B04">
              <w:rPr>
                <w:sz w:val="26"/>
                <w:szCs w:val="26"/>
              </w:rPr>
              <w:t xml:space="preserve">konsultējoties ar </w:t>
            </w:r>
            <w:r w:rsidR="00D67B6B">
              <w:rPr>
                <w:sz w:val="26"/>
                <w:szCs w:val="26"/>
              </w:rPr>
              <w:t>Rīkotāju un Biedrību</w:t>
            </w:r>
            <w:r w:rsidRPr="00C21B04">
              <w:rPr>
                <w:sz w:val="26"/>
                <w:szCs w:val="26"/>
              </w:rPr>
              <w:t>.</w:t>
            </w:r>
            <w:r w:rsidR="00C76FD7">
              <w:rPr>
                <w:sz w:val="26"/>
                <w:szCs w:val="26"/>
              </w:rPr>
              <w:t xml:space="preserve"> </w:t>
            </w:r>
          </w:p>
        </w:tc>
      </w:tr>
      <w:tr w:rsidR="004D1736" w:rsidRPr="00C21B04" w:rsidTr="007C0FED">
        <w:tc>
          <w:tcPr>
            <w:tcW w:w="562" w:type="dxa"/>
          </w:tcPr>
          <w:p w:rsidR="004D1736" w:rsidRPr="00C21B04" w:rsidRDefault="004D1736" w:rsidP="00F41C85">
            <w:pPr>
              <w:pStyle w:val="naiskr"/>
              <w:spacing w:before="0" w:after="0"/>
              <w:jc w:val="center"/>
              <w:rPr>
                <w:sz w:val="26"/>
                <w:szCs w:val="26"/>
              </w:rPr>
            </w:pPr>
            <w:r w:rsidRPr="00C21B04">
              <w:rPr>
                <w:sz w:val="26"/>
                <w:szCs w:val="26"/>
              </w:rPr>
              <w:t>4.</w:t>
            </w:r>
          </w:p>
        </w:tc>
        <w:tc>
          <w:tcPr>
            <w:tcW w:w="2410" w:type="dxa"/>
          </w:tcPr>
          <w:p w:rsidR="004D1736" w:rsidRPr="00C21B04" w:rsidRDefault="004D1736" w:rsidP="00F41C85">
            <w:pPr>
              <w:pStyle w:val="naiskr"/>
              <w:spacing w:before="0" w:after="0"/>
              <w:ind w:left="141"/>
              <w:rPr>
                <w:sz w:val="26"/>
                <w:szCs w:val="26"/>
              </w:rPr>
            </w:pPr>
            <w:r w:rsidRPr="00C21B04">
              <w:rPr>
                <w:sz w:val="26"/>
                <w:szCs w:val="26"/>
              </w:rPr>
              <w:t>Cita informācija</w:t>
            </w:r>
          </w:p>
        </w:tc>
        <w:tc>
          <w:tcPr>
            <w:tcW w:w="7229" w:type="dxa"/>
          </w:tcPr>
          <w:p w:rsidR="004D1736" w:rsidRPr="00C21B04" w:rsidRDefault="004D1736" w:rsidP="00D67B6B">
            <w:pPr>
              <w:ind w:left="114" w:right="127" w:firstLine="453"/>
              <w:jc w:val="both"/>
              <w:rPr>
                <w:sz w:val="26"/>
                <w:szCs w:val="26"/>
              </w:rPr>
            </w:pPr>
            <w:r w:rsidRPr="00C21B04">
              <w:rPr>
                <w:sz w:val="26"/>
                <w:szCs w:val="26"/>
              </w:rPr>
              <w:t>Ministru kabineta rīkojuma projekts tiešā veidā attiecas uz tūrisma, sporta un brīvā laika politiku (sporta politiku). Pastarpināti Ministru kabineta rīkojuma projekts attiecas uz budžeta un finanšu politiku.</w:t>
            </w:r>
          </w:p>
        </w:tc>
      </w:tr>
    </w:tbl>
    <w:p w:rsidR="001A262F" w:rsidRPr="0006125D" w:rsidRDefault="001A262F" w:rsidP="004D1736">
      <w:pPr>
        <w:pStyle w:val="naisf"/>
        <w:tabs>
          <w:tab w:val="left" w:pos="3819"/>
        </w:tabs>
        <w:spacing w:before="0" w:after="0"/>
        <w:ind w:firstLine="0"/>
        <w:rPr>
          <w:sz w:val="26"/>
          <w:szCs w:val="26"/>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559"/>
        <w:gridCol w:w="1566"/>
        <w:gridCol w:w="1227"/>
        <w:gridCol w:w="1227"/>
        <w:gridCol w:w="1367"/>
      </w:tblGrid>
      <w:tr w:rsidR="004D1736" w:rsidRPr="0006125D" w:rsidTr="0019216B">
        <w:trPr>
          <w:trHeight w:val="361"/>
          <w:jc w:val="center"/>
        </w:trPr>
        <w:tc>
          <w:tcPr>
            <w:tcW w:w="10202" w:type="dxa"/>
            <w:gridSpan w:val="6"/>
            <w:vAlign w:val="center"/>
          </w:tcPr>
          <w:p w:rsidR="004D1736" w:rsidRPr="0006125D" w:rsidRDefault="004D1736" w:rsidP="00F41C85">
            <w:pPr>
              <w:jc w:val="center"/>
              <w:rPr>
                <w:b/>
                <w:i/>
                <w:sz w:val="26"/>
                <w:szCs w:val="26"/>
              </w:rPr>
            </w:pPr>
            <w:r w:rsidRPr="0006125D">
              <w:rPr>
                <w:sz w:val="26"/>
                <w:szCs w:val="26"/>
              </w:rPr>
              <w:br w:type="page"/>
            </w:r>
            <w:r w:rsidRPr="0006125D">
              <w:rPr>
                <w:sz w:val="26"/>
                <w:szCs w:val="26"/>
              </w:rPr>
              <w:br w:type="page"/>
            </w:r>
            <w:r w:rsidRPr="0006125D">
              <w:rPr>
                <w:b/>
                <w:sz w:val="26"/>
                <w:szCs w:val="26"/>
              </w:rPr>
              <w:t>III. Tiesību akta projekta ietekme uz valsts budžetu un pašvaldību budžetiem</w:t>
            </w:r>
          </w:p>
        </w:tc>
      </w:tr>
      <w:tr w:rsidR="004D1736" w:rsidRPr="0006125D" w:rsidTr="0019216B">
        <w:trPr>
          <w:jc w:val="center"/>
        </w:trPr>
        <w:tc>
          <w:tcPr>
            <w:tcW w:w="3256" w:type="dxa"/>
            <w:vMerge w:val="restart"/>
            <w:vAlign w:val="center"/>
          </w:tcPr>
          <w:p w:rsidR="004D1736" w:rsidRPr="0006125D" w:rsidRDefault="00C21B04" w:rsidP="00F41C85">
            <w:pPr>
              <w:jc w:val="center"/>
              <w:rPr>
                <w:b/>
                <w:sz w:val="26"/>
                <w:szCs w:val="26"/>
              </w:rPr>
            </w:pPr>
            <w:r>
              <w:br w:type="page"/>
            </w:r>
            <w:r w:rsidR="004D1736" w:rsidRPr="0006125D">
              <w:rPr>
                <w:b/>
                <w:sz w:val="26"/>
                <w:szCs w:val="26"/>
              </w:rPr>
              <w:t>Rādītāji</w:t>
            </w:r>
          </w:p>
        </w:tc>
        <w:tc>
          <w:tcPr>
            <w:tcW w:w="3125" w:type="dxa"/>
            <w:gridSpan w:val="2"/>
            <w:vMerge w:val="restart"/>
            <w:vAlign w:val="center"/>
          </w:tcPr>
          <w:p w:rsidR="004D1736" w:rsidRPr="0006125D" w:rsidRDefault="004D1736" w:rsidP="00D35728">
            <w:pPr>
              <w:jc w:val="center"/>
              <w:rPr>
                <w:b/>
                <w:sz w:val="26"/>
                <w:szCs w:val="26"/>
              </w:rPr>
            </w:pPr>
            <w:r w:rsidRPr="0006125D">
              <w:rPr>
                <w:b/>
                <w:sz w:val="26"/>
                <w:szCs w:val="26"/>
              </w:rPr>
              <w:t>201</w:t>
            </w:r>
            <w:r w:rsidR="00D35728">
              <w:rPr>
                <w:b/>
                <w:sz w:val="26"/>
                <w:szCs w:val="26"/>
              </w:rPr>
              <w:t>6</w:t>
            </w:r>
          </w:p>
        </w:tc>
        <w:tc>
          <w:tcPr>
            <w:tcW w:w="3821" w:type="dxa"/>
            <w:gridSpan w:val="3"/>
            <w:vAlign w:val="center"/>
          </w:tcPr>
          <w:p w:rsidR="004D1736" w:rsidRPr="0006125D" w:rsidRDefault="004D1736" w:rsidP="00F41C85">
            <w:pPr>
              <w:jc w:val="center"/>
              <w:rPr>
                <w:b/>
                <w:i/>
                <w:sz w:val="26"/>
                <w:szCs w:val="26"/>
              </w:rPr>
            </w:pPr>
            <w:r w:rsidRPr="0006125D">
              <w:rPr>
                <w:sz w:val="26"/>
                <w:szCs w:val="26"/>
              </w:rPr>
              <w:t>Turpmākie trīs gadi (</w:t>
            </w:r>
            <w:r w:rsidRPr="0006125D">
              <w:rPr>
                <w:i/>
                <w:sz w:val="26"/>
                <w:szCs w:val="26"/>
              </w:rPr>
              <w:t>euro</w:t>
            </w:r>
            <w:r w:rsidRPr="0006125D">
              <w:rPr>
                <w:sz w:val="26"/>
                <w:szCs w:val="26"/>
              </w:rPr>
              <w:t>)</w:t>
            </w:r>
          </w:p>
        </w:tc>
      </w:tr>
      <w:tr w:rsidR="004D1736" w:rsidRPr="0006125D" w:rsidTr="0019216B">
        <w:trPr>
          <w:jc w:val="center"/>
        </w:trPr>
        <w:tc>
          <w:tcPr>
            <w:tcW w:w="3256" w:type="dxa"/>
            <w:vMerge/>
            <w:vAlign w:val="center"/>
          </w:tcPr>
          <w:p w:rsidR="004D1736" w:rsidRPr="0006125D" w:rsidRDefault="004D1736" w:rsidP="00F41C85">
            <w:pPr>
              <w:jc w:val="center"/>
              <w:rPr>
                <w:b/>
                <w:i/>
                <w:sz w:val="26"/>
                <w:szCs w:val="26"/>
              </w:rPr>
            </w:pPr>
          </w:p>
        </w:tc>
        <w:tc>
          <w:tcPr>
            <w:tcW w:w="3125" w:type="dxa"/>
            <w:gridSpan w:val="2"/>
            <w:vMerge/>
            <w:vAlign w:val="center"/>
          </w:tcPr>
          <w:p w:rsidR="004D1736" w:rsidRPr="0006125D" w:rsidRDefault="004D1736" w:rsidP="00F41C85">
            <w:pPr>
              <w:jc w:val="center"/>
              <w:rPr>
                <w:b/>
                <w:i/>
                <w:sz w:val="26"/>
                <w:szCs w:val="26"/>
              </w:rPr>
            </w:pPr>
          </w:p>
        </w:tc>
        <w:tc>
          <w:tcPr>
            <w:tcW w:w="1227" w:type="dxa"/>
            <w:vAlign w:val="center"/>
          </w:tcPr>
          <w:p w:rsidR="004D1736" w:rsidRPr="0006125D" w:rsidRDefault="004D1736" w:rsidP="00D35728">
            <w:pPr>
              <w:jc w:val="center"/>
              <w:rPr>
                <w:b/>
                <w:i/>
                <w:sz w:val="26"/>
                <w:szCs w:val="26"/>
              </w:rPr>
            </w:pPr>
            <w:r w:rsidRPr="0006125D">
              <w:rPr>
                <w:b/>
                <w:bCs/>
                <w:sz w:val="26"/>
                <w:szCs w:val="26"/>
              </w:rPr>
              <w:t>201</w:t>
            </w:r>
            <w:r w:rsidR="00D35728">
              <w:rPr>
                <w:b/>
                <w:bCs/>
                <w:sz w:val="26"/>
                <w:szCs w:val="26"/>
              </w:rPr>
              <w:t>7</w:t>
            </w:r>
          </w:p>
        </w:tc>
        <w:tc>
          <w:tcPr>
            <w:tcW w:w="1227" w:type="dxa"/>
            <w:vAlign w:val="center"/>
          </w:tcPr>
          <w:p w:rsidR="004D1736" w:rsidRPr="0006125D" w:rsidRDefault="004D1736" w:rsidP="00D35728">
            <w:pPr>
              <w:jc w:val="center"/>
              <w:rPr>
                <w:b/>
                <w:i/>
                <w:sz w:val="26"/>
                <w:szCs w:val="26"/>
              </w:rPr>
            </w:pPr>
            <w:r w:rsidRPr="0006125D">
              <w:rPr>
                <w:b/>
                <w:bCs/>
                <w:sz w:val="26"/>
                <w:szCs w:val="26"/>
              </w:rPr>
              <w:t>201</w:t>
            </w:r>
            <w:r w:rsidR="00D35728">
              <w:rPr>
                <w:b/>
                <w:bCs/>
                <w:sz w:val="26"/>
                <w:szCs w:val="26"/>
              </w:rPr>
              <w:t>8</w:t>
            </w:r>
          </w:p>
        </w:tc>
        <w:tc>
          <w:tcPr>
            <w:tcW w:w="1367" w:type="dxa"/>
            <w:vAlign w:val="center"/>
          </w:tcPr>
          <w:p w:rsidR="004D1736" w:rsidRPr="0006125D" w:rsidRDefault="004D1736" w:rsidP="00D35728">
            <w:pPr>
              <w:jc w:val="center"/>
              <w:rPr>
                <w:b/>
                <w:i/>
                <w:sz w:val="26"/>
                <w:szCs w:val="26"/>
              </w:rPr>
            </w:pPr>
            <w:r w:rsidRPr="0006125D">
              <w:rPr>
                <w:b/>
                <w:bCs/>
                <w:sz w:val="26"/>
                <w:szCs w:val="26"/>
              </w:rPr>
              <w:t>201</w:t>
            </w:r>
            <w:r w:rsidR="00D35728">
              <w:rPr>
                <w:b/>
                <w:bCs/>
                <w:sz w:val="26"/>
                <w:szCs w:val="26"/>
              </w:rPr>
              <w:t>9</w:t>
            </w:r>
          </w:p>
        </w:tc>
      </w:tr>
      <w:tr w:rsidR="004D1736" w:rsidRPr="0006125D" w:rsidTr="0019216B">
        <w:trPr>
          <w:jc w:val="center"/>
        </w:trPr>
        <w:tc>
          <w:tcPr>
            <w:tcW w:w="3256" w:type="dxa"/>
            <w:vMerge/>
            <w:vAlign w:val="center"/>
          </w:tcPr>
          <w:p w:rsidR="004D1736" w:rsidRPr="0006125D" w:rsidRDefault="004D1736" w:rsidP="00F41C85">
            <w:pPr>
              <w:jc w:val="center"/>
              <w:rPr>
                <w:b/>
                <w:i/>
                <w:sz w:val="26"/>
                <w:szCs w:val="26"/>
              </w:rPr>
            </w:pPr>
          </w:p>
        </w:tc>
        <w:tc>
          <w:tcPr>
            <w:tcW w:w="1559" w:type="dxa"/>
            <w:vAlign w:val="center"/>
          </w:tcPr>
          <w:p w:rsidR="004D1736" w:rsidRPr="0006125D" w:rsidRDefault="004D1736" w:rsidP="00F41C85">
            <w:pPr>
              <w:jc w:val="center"/>
              <w:rPr>
                <w:b/>
                <w:i/>
                <w:sz w:val="26"/>
                <w:szCs w:val="26"/>
              </w:rPr>
            </w:pPr>
            <w:r w:rsidRPr="0006125D">
              <w:rPr>
                <w:sz w:val="26"/>
                <w:szCs w:val="26"/>
              </w:rPr>
              <w:t>saskaņā ar valsts budžetu kārtējam gadam</w:t>
            </w:r>
          </w:p>
        </w:tc>
        <w:tc>
          <w:tcPr>
            <w:tcW w:w="1566" w:type="dxa"/>
            <w:vAlign w:val="center"/>
          </w:tcPr>
          <w:p w:rsidR="004D1736" w:rsidRPr="0006125D" w:rsidRDefault="004D1736" w:rsidP="00F41C85">
            <w:pPr>
              <w:jc w:val="center"/>
              <w:rPr>
                <w:b/>
                <w:i/>
                <w:sz w:val="26"/>
                <w:szCs w:val="26"/>
              </w:rPr>
            </w:pPr>
            <w:r w:rsidRPr="0006125D">
              <w:rPr>
                <w:sz w:val="26"/>
                <w:szCs w:val="26"/>
              </w:rPr>
              <w:t>izmaiņas kārtējā gadā, salīdzinot ar budžetu kārtējam gadam</w:t>
            </w:r>
          </w:p>
        </w:tc>
        <w:tc>
          <w:tcPr>
            <w:tcW w:w="1227" w:type="dxa"/>
            <w:vAlign w:val="center"/>
          </w:tcPr>
          <w:p w:rsidR="004D1736" w:rsidRPr="0006125D" w:rsidRDefault="004D1736" w:rsidP="00F41C85">
            <w:pPr>
              <w:jc w:val="center"/>
              <w:rPr>
                <w:b/>
                <w:i/>
                <w:sz w:val="26"/>
                <w:szCs w:val="26"/>
              </w:rPr>
            </w:pPr>
            <w:r w:rsidRPr="0006125D">
              <w:rPr>
                <w:sz w:val="26"/>
                <w:szCs w:val="26"/>
              </w:rPr>
              <w:t>izmaiņas, salīdzinot ar kārtējo  gadu</w:t>
            </w:r>
          </w:p>
        </w:tc>
        <w:tc>
          <w:tcPr>
            <w:tcW w:w="1227" w:type="dxa"/>
            <w:vAlign w:val="center"/>
          </w:tcPr>
          <w:p w:rsidR="004D1736" w:rsidRPr="0006125D" w:rsidRDefault="004D1736" w:rsidP="00F41C85">
            <w:pPr>
              <w:jc w:val="center"/>
              <w:rPr>
                <w:b/>
                <w:i/>
                <w:sz w:val="26"/>
                <w:szCs w:val="26"/>
              </w:rPr>
            </w:pPr>
            <w:r w:rsidRPr="0006125D">
              <w:rPr>
                <w:sz w:val="26"/>
                <w:szCs w:val="26"/>
              </w:rPr>
              <w:t>izmaiņas, salīdzinot ar kārtējo  gadu</w:t>
            </w:r>
          </w:p>
        </w:tc>
        <w:tc>
          <w:tcPr>
            <w:tcW w:w="1367" w:type="dxa"/>
            <w:vAlign w:val="center"/>
          </w:tcPr>
          <w:p w:rsidR="004D1736" w:rsidRPr="0006125D" w:rsidRDefault="004D1736" w:rsidP="00F41C85">
            <w:pPr>
              <w:jc w:val="center"/>
              <w:rPr>
                <w:b/>
                <w:i/>
                <w:sz w:val="26"/>
                <w:szCs w:val="26"/>
              </w:rPr>
            </w:pPr>
            <w:r w:rsidRPr="0006125D">
              <w:rPr>
                <w:sz w:val="26"/>
                <w:szCs w:val="26"/>
              </w:rPr>
              <w:t>izmaiņas, salīdzinot ar kārtējo  gadu</w:t>
            </w:r>
          </w:p>
        </w:tc>
      </w:tr>
      <w:tr w:rsidR="004D1736" w:rsidRPr="0006125D" w:rsidTr="0019216B">
        <w:trPr>
          <w:jc w:val="center"/>
        </w:trPr>
        <w:tc>
          <w:tcPr>
            <w:tcW w:w="3256" w:type="dxa"/>
            <w:vAlign w:val="center"/>
          </w:tcPr>
          <w:p w:rsidR="004D1736" w:rsidRPr="0006125D" w:rsidRDefault="004D1736" w:rsidP="00F41C85">
            <w:pPr>
              <w:jc w:val="center"/>
              <w:rPr>
                <w:bCs/>
                <w:sz w:val="26"/>
                <w:szCs w:val="26"/>
              </w:rPr>
            </w:pPr>
            <w:r w:rsidRPr="0006125D">
              <w:rPr>
                <w:bCs/>
                <w:sz w:val="26"/>
                <w:szCs w:val="26"/>
              </w:rPr>
              <w:t>1</w:t>
            </w:r>
          </w:p>
        </w:tc>
        <w:tc>
          <w:tcPr>
            <w:tcW w:w="1559" w:type="dxa"/>
            <w:vAlign w:val="center"/>
          </w:tcPr>
          <w:p w:rsidR="004D1736" w:rsidRPr="0006125D" w:rsidRDefault="004D1736" w:rsidP="00F41C85">
            <w:pPr>
              <w:jc w:val="center"/>
              <w:rPr>
                <w:bCs/>
                <w:sz w:val="26"/>
                <w:szCs w:val="26"/>
              </w:rPr>
            </w:pPr>
            <w:r w:rsidRPr="0006125D">
              <w:rPr>
                <w:bCs/>
                <w:sz w:val="26"/>
                <w:szCs w:val="26"/>
              </w:rPr>
              <w:t>2</w:t>
            </w:r>
          </w:p>
        </w:tc>
        <w:tc>
          <w:tcPr>
            <w:tcW w:w="1566" w:type="dxa"/>
            <w:vAlign w:val="center"/>
          </w:tcPr>
          <w:p w:rsidR="004D1736" w:rsidRPr="0006125D" w:rsidRDefault="004D1736" w:rsidP="00F41C85">
            <w:pPr>
              <w:jc w:val="center"/>
              <w:rPr>
                <w:bCs/>
                <w:sz w:val="26"/>
                <w:szCs w:val="26"/>
              </w:rPr>
            </w:pPr>
            <w:r w:rsidRPr="0006125D">
              <w:rPr>
                <w:bCs/>
                <w:sz w:val="26"/>
                <w:szCs w:val="26"/>
              </w:rPr>
              <w:t>3</w:t>
            </w:r>
          </w:p>
        </w:tc>
        <w:tc>
          <w:tcPr>
            <w:tcW w:w="1227" w:type="dxa"/>
            <w:vAlign w:val="center"/>
          </w:tcPr>
          <w:p w:rsidR="004D1736" w:rsidRPr="0006125D" w:rsidRDefault="004D1736" w:rsidP="00F41C85">
            <w:pPr>
              <w:jc w:val="center"/>
              <w:rPr>
                <w:bCs/>
                <w:sz w:val="26"/>
                <w:szCs w:val="26"/>
              </w:rPr>
            </w:pPr>
            <w:r w:rsidRPr="0006125D">
              <w:rPr>
                <w:bCs/>
                <w:sz w:val="26"/>
                <w:szCs w:val="26"/>
              </w:rPr>
              <w:t>4</w:t>
            </w:r>
          </w:p>
        </w:tc>
        <w:tc>
          <w:tcPr>
            <w:tcW w:w="1227" w:type="dxa"/>
            <w:vAlign w:val="center"/>
          </w:tcPr>
          <w:p w:rsidR="004D1736" w:rsidRPr="0006125D" w:rsidRDefault="004D1736" w:rsidP="00F41C85">
            <w:pPr>
              <w:jc w:val="center"/>
              <w:rPr>
                <w:bCs/>
                <w:sz w:val="26"/>
                <w:szCs w:val="26"/>
              </w:rPr>
            </w:pPr>
            <w:r w:rsidRPr="0006125D">
              <w:rPr>
                <w:bCs/>
                <w:sz w:val="26"/>
                <w:szCs w:val="26"/>
              </w:rPr>
              <w:t>5</w:t>
            </w:r>
          </w:p>
        </w:tc>
        <w:tc>
          <w:tcPr>
            <w:tcW w:w="1367" w:type="dxa"/>
            <w:vAlign w:val="center"/>
          </w:tcPr>
          <w:p w:rsidR="004D1736" w:rsidRPr="0006125D" w:rsidRDefault="004D1736" w:rsidP="00F41C85">
            <w:pPr>
              <w:jc w:val="center"/>
              <w:rPr>
                <w:bCs/>
                <w:sz w:val="26"/>
                <w:szCs w:val="26"/>
              </w:rPr>
            </w:pPr>
            <w:r w:rsidRPr="0006125D">
              <w:rPr>
                <w:bCs/>
                <w:sz w:val="26"/>
                <w:szCs w:val="26"/>
              </w:rPr>
              <w:t>6</w:t>
            </w:r>
          </w:p>
        </w:tc>
      </w:tr>
      <w:tr w:rsidR="00D67B6B" w:rsidRPr="0006125D" w:rsidTr="0019216B">
        <w:trPr>
          <w:jc w:val="center"/>
        </w:trPr>
        <w:tc>
          <w:tcPr>
            <w:tcW w:w="3256" w:type="dxa"/>
          </w:tcPr>
          <w:p w:rsidR="00D67B6B" w:rsidRPr="0006125D" w:rsidRDefault="00D67B6B" w:rsidP="00D67B6B">
            <w:pPr>
              <w:rPr>
                <w:i/>
                <w:sz w:val="26"/>
                <w:szCs w:val="26"/>
              </w:rPr>
            </w:pPr>
            <w:r w:rsidRPr="0006125D">
              <w:rPr>
                <w:sz w:val="26"/>
                <w:szCs w:val="26"/>
              </w:rPr>
              <w:t>1. Budžeta ieņēmumi:</w:t>
            </w:r>
          </w:p>
        </w:tc>
        <w:tc>
          <w:tcPr>
            <w:tcW w:w="1559" w:type="dxa"/>
          </w:tcPr>
          <w:p w:rsidR="00D67B6B" w:rsidRPr="0006125D" w:rsidRDefault="00150A43" w:rsidP="00D67B6B">
            <w:pPr>
              <w:jc w:val="center"/>
              <w:rPr>
                <w:b/>
                <w:sz w:val="26"/>
                <w:szCs w:val="26"/>
              </w:rPr>
            </w:pPr>
            <w:r>
              <w:rPr>
                <w:b/>
                <w:sz w:val="26"/>
                <w:szCs w:val="26"/>
              </w:rPr>
              <w:t>298 803</w:t>
            </w:r>
          </w:p>
        </w:tc>
        <w:tc>
          <w:tcPr>
            <w:tcW w:w="1566" w:type="dxa"/>
          </w:tcPr>
          <w:p w:rsidR="00D67B6B" w:rsidRPr="0006125D" w:rsidRDefault="00D67B6B" w:rsidP="00D67B6B">
            <w:pPr>
              <w:jc w:val="center"/>
              <w:rPr>
                <w:b/>
                <w:sz w:val="26"/>
                <w:szCs w:val="26"/>
              </w:rPr>
            </w:pPr>
            <w:r w:rsidRPr="0006125D">
              <w:rPr>
                <w:b/>
                <w:sz w:val="26"/>
                <w:szCs w:val="26"/>
              </w:rPr>
              <w:t>0</w:t>
            </w:r>
          </w:p>
        </w:tc>
        <w:tc>
          <w:tcPr>
            <w:tcW w:w="1227" w:type="dxa"/>
          </w:tcPr>
          <w:p w:rsidR="00D67B6B" w:rsidRPr="0006125D" w:rsidRDefault="00D67B6B" w:rsidP="00D67B6B">
            <w:pPr>
              <w:jc w:val="center"/>
              <w:rPr>
                <w:b/>
                <w:sz w:val="26"/>
                <w:szCs w:val="26"/>
              </w:rPr>
            </w:pPr>
            <w:r>
              <w:rPr>
                <w:b/>
                <w:sz w:val="26"/>
                <w:szCs w:val="26"/>
              </w:rPr>
              <w:t>300 000</w:t>
            </w:r>
          </w:p>
        </w:tc>
        <w:tc>
          <w:tcPr>
            <w:tcW w:w="1227" w:type="dxa"/>
          </w:tcPr>
          <w:p w:rsidR="00D67B6B" w:rsidRPr="0006125D" w:rsidRDefault="00D67B6B" w:rsidP="00D67B6B">
            <w:pPr>
              <w:jc w:val="center"/>
              <w:rPr>
                <w:b/>
                <w:sz w:val="26"/>
                <w:szCs w:val="26"/>
              </w:rPr>
            </w:pPr>
            <w:r>
              <w:rPr>
                <w:b/>
                <w:sz w:val="26"/>
                <w:szCs w:val="26"/>
              </w:rPr>
              <w:t>300 000</w:t>
            </w:r>
          </w:p>
        </w:tc>
        <w:tc>
          <w:tcPr>
            <w:tcW w:w="1367" w:type="dxa"/>
          </w:tcPr>
          <w:p w:rsidR="00D67B6B" w:rsidRPr="0006125D" w:rsidRDefault="00D67B6B" w:rsidP="00D67B6B">
            <w:pPr>
              <w:jc w:val="center"/>
              <w:rPr>
                <w:b/>
                <w:sz w:val="26"/>
                <w:szCs w:val="26"/>
              </w:rPr>
            </w:pPr>
            <w:r>
              <w:rPr>
                <w:b/>
                <w:sz w:val="26"/>
                <w:szCs w:val="26"/>
              </w:rPr>
              <w:t>300 000</w:t>
            </w:r>
          </w:p>
        </w:tc>
      </w:tr>
      <w:tr w:rsidR="00D67B6B" w:rsidRPr="0006125D" w:rsidTr="0019216B">
        <w:trPr>
          <w:jc w:val="center"/>
        </w:trPr>
        <w:tc>
          <w:tcPr>
            <w:tcW w:w="3256" w:type="dxa"/>
          </w:tcPr>
          <w:p w:rsidR="00D67B6B" w:rsidRPr="0006125D" w:rsidRDefault="00D67B6B" w:rsidP="00D67B6B">
            <w:pPr>
              <w:rPr>
                <w:i/>
                <w:sz w:val="26"/>
                <w:szCs w:val="26"/>
              </w:rPr>
            </w:pPr>
            <w:r w:rsidRPr="0006125D">
              <w:rPr>
                <w:sz w:val="26"/>
                <w:szCs w:val="26"/>
              </w:rPr>
              <w:lastRenderedPageBreak/>
              <w:t>1.1. valsts pamatbudžets, tai skaitā ieņēmumi no maksas pakalpojumiem un citi pašu ieņēmumi</w:t>
            </w:r>
          </w:p>
        </w:tc>
        <w:tc>
          <w:tcPr>
            <w:tcW w:w="1559" w:type="dxa"/>
          </w:tcPr>
          <w:p w:rsidR="00D67B6B" w:rsidRPr="0006125D" w:rsidRDefault="00150A43" w:rsidP="00D67B6B">
            <w:pPr>
              <w:jc w:val="center"/>
              <w:rPr>
                <w:i/>
                <w:sz w:val="26"/>
                <w:szCs w:val="26"/>
              </w:rPr>
            </w:pPr>
            <w:r>
              <w:rPr>
                <w:i/>
                <w:sz w:val="26"/>
                <w:szCs w:val="26"/>
              </w:rPr>
              <w:t>298 803</w:t>
            </w:r>
          </w:p>
        </w:tc>
        <w:tc>
          <w:tcPr>
            <w:tcW w:w="1566" w:type="dxa"/>
          </w:tcPr>
          <w:p w:rsidR="00D67B6B" w:rsidRPr="0006125D" w:rsidRDefault="00D67B6B" w:rsidP="00D67B6B">
            <w:pPr>
              <w:jc w:val="center"/>
              <w:rPr>
                <w:i/>
                <w:sz w:val="26"/>
                <w:szCs w:val="26"/>
              </w:rPr>
            </w:pPr>
          </w:p>
        </w:tc>
        <w:tc>
          <w:tcPr>
            <w:tcW w:w="1227" w:type="dxa"/>
          </w:tcPr>
          <w:p w:rsidR="00D67B6B" w:rsidRPr="0006125D" w:rsidRDefault="00D67B6B" w:rsidP="00D67B6B">
            <w:pPr>
              <w:jc w:val="center"/>
              <w:rPr>
                <w:i/>
                <w:sz w:val="26"/>
                <w:szCs w:val="26"/>
              </w:rPr>
            </w:pPr>
            <w:r>
              <w:rPr>
                <w:i/>
                <w:sz w:val="26"/>
                <w:szCs w:val="26"/>
              </w:rPr>
              <w:t>300 000</w:t>
            </w:r>
          </w:p>
        </w:tc>
        <w:tc>
          <w:tcPr>
            <w:tcW w:w="1227" w:type="dxa"/>
          </w:tcPr>
          <w:p w:rsidR="00D67B6B" w:rsidRPr="0006125D" w:rsidRDefault="00D67B6B" w:rsidP="00D67B6B">
            <w:pPr>
              <w:jc w:val="center"/>
              <w:rPr>
                <w:i/>
                <w:sz w:val="26"/>
                <w:szCs w:val="26"/>
              </w:rPr>
            </w:pPr>
            <w:r>
              <w:rPr>
                <w:i/>
                <w:sz w:val="26"/>
                <w:szCs w:val="26"/>
              </w:rPr>
              <w:t>300 000</w:t>
            </w:r>
          </w:p>
        </w:tc>
        <w:tc>
          <w:tcPr>
            <w:tcW w:w="1367" w:type="dxa"/>
          </w:tcPr>
          <w:p w:rsidR="00D67B6B" w:rsidRPr="0006125D" w:rsidRDefault="00D67B6B" w:rsidP="00D67B6B">
            <w:pPr>
              <w:jc w:val="center"/>
              <w:rPr>
                <w:i/>
                <w:sz w:val="26"/>
                <w:szCs w:val="26"/>
              </w:rPr>
            </w:pPr>
            <w:r>
              <w:rPr>
                <w:i/>
                <w:sz w:val="26"/>
                <w:szCs w:val="26"/>
              </w:rPr>
              <w:t>300 000</w:t>
            </w:r>
          </w:p>
        </w:tc>
      </w:tr>
      <w:tr w:rsidR="00D67B6B" w:rsidRPr="0006125D" w:rsidTr="0019216B">
        <w:trPr>
          <w:jc w:val="center"/>
        </w:trPr>
        <w:tc>
          <w:tcPr>
            <w:tcW w:w="3256" w:type="dxa"/>
          </w:tcPr>
          <w:p w:rsidR="00D67B6B" w:rsidRPr="0006125D" w:rsidRDefault="00D67B6B" w:rsidP="00D67B6B">
            <w:pPr>
              <w:rPr>
                <w:i/>
                <w:sz w:val="26"/>
                <w:szCs w:val="26"/>
              </w:rPr>
            </w:pPr>
            <w:r w:rsidRPr="0006125D">
              <w:rPr>
                <w:sz w:val="26"/>
                <w:szCs w:val="26"/>
              </w:rPr>
              <w:t>1.2. valsts speciālais budžets</w:t>
            </w:r>
          </w:p>
        </w:tc>
        <w:tc>
          <w:tcPr>
            <w:tcW w:w="1559" w:type="dxa"/>
          </w:tcPr>
          <w:p w:rsidR="00D67B6B" w:rsidRPr="0006125D" w:rsidRDefault="00D67B6B" w:rsidP="00D67B6B">
            <w:pPr>
              <w:jc w:val="center"/>
              <w:rPr>
                <w:sz w:val="26"/>
                <w:szCs w:val="26"/>
              </w:rPr>
            </w:pPr>
          </w:p>
        </w:tc>
        <w:tc>
          <w:tcPr>
            <w:tcW w:w="1566" w:type="dxa"/>
          </w:tcPr>
          <w:p w:rsidR="00D67B6B" w:rsidRPr="0006125D" w:rsidRDefault="00D67B6B" w:rsidP="00D67B6B">
            <w:pPr>
              <w:jc w:val="center"/>
              <w:rPr>
                <w:sz w:val="26"/>
                <w:szCs w:val="26"/>
              </w:rPr>
            </w:pPr>
          </w:p>
        </w:tc>
        <w:tc>
          <w:tcPr>
            <w:tcW w:w="1227" w:type="dxa"/>
          </w:tcPr>
          <w:p w:rsidR="00D67B6B" w:rsidRPr="0006125D" w:rsidRDefault="00D67B6B" w:rsidP="00D67B6B">
            <w:pPr>
              <w:jc w:val="center"/>
              <w:rPr>
                <w:sz w:val="26"/>
                <w:szCs w:val="26"/>
              </w:rPr>
            </w:pPr>
          </w:p>
        </w:tc>
        <w:tc>
          <w:tcPr>
            <w:tcW w:w="1227" w:type="dxa"/>
          </w:tcPr>
          <w:p w:rsidR="00D67B6B" w:rsidRPr="0006125D" w:rsidRDefault="00D67B6B" w:rsidP="00D67B6B">
            <w:pPr>
              <w:jc w:val="center"/>
              <w:rPr>
                <w:sz w:val="26"/>
                <w:szCs w:val="26"/>
              </w:rPr>
            </w:pPr>
          </w:p>
        </w:tc>
        <w:tc>
          <w:tcPr>
            <w:tcW w:w="1367" w:type="dxa"/>
          </w:tcPr>
          <w:p w:rsidR="00D67B6B" w:rsidRPr="0006125D" w:rsidRDefault="00D67B6B" w:rsidP="00D67B6B">
            <w:pPr>
              <w:jc w:val="center"/>
              <w:rPr>
                <w:sz w:val="26"/>
                <w:szCs w:val="26"/>
              </w:rPr>
            </w:pPr>
          </w:p>
        </w:tc>
      </w:tr>
      <w:tr w:rsidR="00D67B6B" w:rsidRPr="0006125D" w:rsidTr="0019216B">
        <w:trPr>
          <w:jc w:val="center"/>
        </w:trPr>
        <w:tc>
          <w:tcPr>
            <w:tcW w:w="3256" w:type="dxa"/>
          </w:tcPr>
          <w:p w:rsidR="00D67B6B" w:rsidRPr="0006125D" w:rsidRDefault="00D67B6B" w:rsidP="00D67B6B">
            <w:pPr>
              <w:rPr>
                <w:i/>
                <w:sz w:val="26"/>
                <w:szCs w:val="26"/>
              </w:rPr>
            </w:pPr>
            <w:r w:rsidRPr="0006125D">
              <w:rPr>
                <w:sz w:val="26"/>
                <w:szCs w:val="26"/>
              </w:rPr>
              <w:t>1.3. pašvaldību budžets</w:t>
            </w:r>
          </w:p>
        </w:tc>
        <w:tc>
          <w:tcPr>
            <w:tcW w:w="1559" w:type="dxa"/>
          </w:tcPr>
          <w:p w:rsidR="00D67B6B" w:rsidRPr="0006125D" w:rsidRDefault="00D67B6B" w:rsidP="00D67B6B">
            <w:pPr>
              <w:jc w:val="center"/>
              <w:rPr>
                <w:sz w:val="26"/>
                <w:szCs w:val="26"/>
              </w:rPr>
            </w:pPr>
          </w:p>
        </w:tc>
        <w:tc>
          <w:tcPr>
            <w:tcW w:w="1566" w:type="dxa"/>
          </w:tcPr>
          <w:p w:rsidR="00D67B6B" w:rsidRPr="0006125D" w:rsidRDefault="00D67B6B" w:rsidP="00D67B6B">
            <w:pPr>
              <w:jc w:val="center"/>
              <w:rPr>
                <w:sz w:val="26"/>
                <w:szCs w:val="26"/>
              </w:rPr>
            </w:pPr>
          </w:p>
        </w:tc>
        <w:tc>
          <w:tcPr>
            <w:tcW w:w="1227" w:type="dxa"/>
          </w:tcPr>
          <w:p w:rsidR="00D67B6B" w:rsidRPr="0006125D" w:rsidRDefault="00D67B6B" w:rsidP="00D67B6B">
            <w:pPr>
              <w:jc w:val="center"/>
              <w:rPr>
                <w:sz w:val="26"/>
                <w:szCs w:val="26"/>
              </w:rPr>
            </w:pPr>
          </w:p>
        </w:tc>
        <w:tc>
          <w:tcPr>
            <w:tcW w:w="1227" w:type="dxa"/>
          </w:tcPr>
          <w:p w:rsidR="00D67B6B" w:rsidRPr="0006125D" w:rsidRDefault="00D67B6B" w:rsidP="00D67B6B">
            <w:pPr>
              <w:jc w:val="center"/>
              <w:rPr>
                <w:sz w:val="26"/>
                <w:szCs w:val="26"/>
              </w:rPr>
            </w:pPr>
          </w:p>
        </w:tc>
        <w:tc>
          <w:tcPr>
            <w:tcW w:w="1367" w:type="dxa"/>
          </w:tcPr>
          <w:p w:rsidR="00D67B6B" w:rsidRPr="0006125D" w:rsidRDefault="00D67B6B" w:rsidP="00D67B6B">
            <w:pPr>
              <w:jc w:val="center"/>
              <w:rPr>
                <w:sz w:val="26"/>
                <w:szCs w:val="26"/>
              </w:rPr>
            </w:pPr>
          </w:p>
        </w:tc>
      </w:tr>
      <w:tr w:rsidR="00FC4B1F" w:rsidRPr="0006125D" w:rsidTr="0019216B">
        <w:trPr>
          <w:jc w:val="center"/>
        </w:trPr>
        <w:tc>
          <w:tcPr>
            <w:tcW w:w="3256" w:type="dxa"/>
          </w:tcPr>
          <w:p w:rsidR="00FC4B1F" w:rsidRPr="0006125D" w:rsidRDefault="00FC4B1F" w:rsidP="00FC4B1F">
            <w:pPr>
              <w:rPr>
                <w:sz w:val="26"/>
                <w:szCs w:val="26"/>
              </w:rPr>
            </w:pPr>
            <w:r w:rsidRPr="0006125D">
              <w:rPr>
                <w:sz w:val="26"/>
                <w:szCs w:val="26"/>
              </w:rPr>
              <w:t>2. Budžeta izdevumi:</w:t>
            </w:r>
          </w:p>
        </w:tc>
        <w:tc>
          <w:tcPr>
            <w:tcW w:w="1559" w:type="dxa"/>
          </w:tcPr>
          <w:p w:rsidR="00FC4B1F" w:rsidRPr="0006125D" w:rsidRDefault="00150A43" w:rsidP="00FC4B1F">
            <w:pPr>
              <w:jc w:val="center"/>
              <w:rPr>
                <w:b/>
                <w:sz w:val="26"/>
                <w:szCs w:val="26"/>
              </w:rPr>
            </w:pPr>
            <w:r>
              <w:rPr>
                <w:b/>
                <w:sz w:val="26"/>
                <w:szCs w:val="26"/>
              </w:rPr>
              <w:t>298 803</w:t>
            </w:r>
          </w:p>
        </w:tc>
        <w:tc>
          <w:tcPr>
            <w:tcW w:w="1566" w:type="dxa"/>
          </w:tcPr>
          <w:p w:rsidR="00FC4B1F" w:rsidRPr="0006125D" w:rsidRDefault="00FC4B1F" w:rsidP="00FC4B1F">
            <w:pPr>
              <w:jc w:val="center"/>
              <w:rPr>
                <w:b/>
                <w:sz w:val="26"/>
                <w:szCs w:val="26"/>
              </w:rPr>
            </w:pPr>
            <w:r w:rsidRPr="0006125D">
              <w:rPr>
                <w:b/>
                <w:sz w:val="26"/>
                <w:szCs w:val="26"/>
              </w:rPr>
              <w:t>0</w:t>
            </w:r>
          </w:p>
        </w:tc>
        <w:tc>
          <w:tcPr>
            <w:tcW w:w="1227" w:type="dxa"/>
          </w:tcPr>
          <w:p w:rsidR="00FC4B1F" w:rsidRPr="0006125D" w:rsidRDefault="00FC4B1F" w:rsidP="00FC4B1F">
            <w:pPr>
              <w:jc w:val="center"/>
              <w:rPr>
                <w:b/>
                <w:sz w:val="26"/>
                <w:szCs w:val="26"/>
              </w:rPr>
            </w:pPr>
            <w:r>
              <w:rPr>
                <w:b/>
                <w:sz w:val="26"/>
                <w:szCs w:val="26"/>
              </w:rPr>
              <w:t xml:space="preserve"> 300 000</w:t>
            </w:r>
          </w:p>
        </w:tc>
        <w:tc>
          <w:tcPr>
            <w:tcW w:w="1227" w:type="dxa"/>
          </w:tcPr>
          <w:p w:rsidR="00FC4B1F" w:rsidRPr="0006125D" w:rsidRDefault="00FC4B1F" w:rsidP="00FC4B1F">
            <w:pPr>
              <w:jc w:val="center"/>
              <w:rPr>
                <w:b/>
                <w:sz w:val="26"/>
                <w:szCs w:val="26"/>
              </w:rPr>
            </w:pPr>
            <w:r>
              <w:rPr>
                <w:b/>
                <w:sz w:val="26"/>
                <w:szCs w:val="26"/>
              </w:rPr>
              <w:t xml:space="preserve"> 300 000</w:t>
            </w:r>
          </w:p>
        </w:tc>
        <w:tc>
          <w:tcPr>
            <w:tcW w:w="1367" w:type="dxa"/>
          </w:tcPr>
          <w:p w:rsidR="00FC4B1F" w:rsidRPr="0006125D" w:rsidRDefault="00FC4B1F" w:rsidP="00FC4B1F">
            <w:pPr>
              <w:jc w:val="center"/>
              <w:rPr>
                <w:b/>
                <w:sz w:val="26"/>
                <w:szCs w:val="26"/>
              </w:rPr>
            </w:pPr>
            <w:r>
              <w:rPr>
                <w:b/>
                <w:sz w:val="26"/>
                <w:szCs w:val="26"/>
              </w:rPr>
              <w:t xml:space="preserve"> 300 000</w:t>
            </w:r>
          </w:p>
        </w:tc>
      </w:tr>
      <w:tr w:rsidR="00FC4B1F" w:rsidRPr="0006125D" w:rsidTr="0019216B">
        <w:trPr>
          <w:jc w:val="center"/>
        </w:trPr>
        <w:tc>
          <w:tcPr>
            <w:tcW w:w="3256" w:type="dxa"/>
          </w:tcPr>
          <w:p w:rsidR="00FC4B1F" w:rsidRPr="0006125D" w:rsidRDefault="00FC4B1F" w:rsidP="00FC4B1F">
            <w:pPr>
              <w:rPr>
                <w:sz w:val="26"/>
                <w:szCs w:val="26"/>
              </w:rPr>
            </w:pPr>
            <w:r w:rsidRPr="0006125D">
              <w:rPr>
                <w:sz w:val="26"/>
                <w:szCs w:val="26"/>
              </w:rPr>
              <w:t>2.1. valsts pamatbudžets</w:t>
            </w:r>
          </w:p>
        </w:tc>
        <w:tc>
          <w:tcPr>
            <w:tcW w:w="1559" w:type="dxa"/>
          </w:tcPr>
          <w:p w:rsidR="00FC4B1F" w:rsidRPr="0006125D" w:rsidRDefault="00150A43" w:rsidP="00FC4B1F">
            <w:pPr>
              <w:jc w:val="center"/>
              <w:rPr>
                <w:i/>
                <w:sz w:val="26"/>
                <w:szCs w:val="26"/>
              </w:rPr>
            </w:pPr>
            <w:r>
              <w:rPr>
                <w:i/>
                <w:sz w:val="26"/>
                <w:szCs w:val="26"/>
              </w:rPr>
              <w:t>298 803</w:t>
            </w:r>
          </w:p>
        </w:tc>
        <w:tc>
          <w:tcPr>
            <w:tcW w:w="1566" w:type="dxa"/>
          </w:tcPr>
          <w:p w:rsidR="00FC4B1F" w:rsidRPr="0006125D" w:rsidRDefault="00FC4B1F" w:rsidP="00FC4B1F">
            <w:pPr>
              <w:jc w:val="center"/>
              <w:rPr>
                <w:i/>
                <w:sz w:val="26"/>
                <w:szCs w:val="26"/>
              </w:rPr>
            </w:pPr>
            <w:r w:rsidRPr="0006125D">
              <w:rPr>
                <w:i/>
                <w:sz w:val="26"/>
                <w:szCs w:val="26"/>
              </w:rPr>
              <w:t>0</w:t>
            </w:r>
          </w:p>
        </w:tc>
        <w:tc>
          <w:tcPr>
            <w:tcW w:w="1227" w:type="dxa"/>
          </w:tcPr>
          <w:p w:rsidR="00FC4B1F" w:rsidRPr="0006125D" w:rsidRDefault="00FC4B1F" w:rsidP="00FC4B1F">
            <w:pPr>
              <w:jc w:val="center"/>
              <w:rPr>
                <w:i/>
                <w:sz w:val="26"/>
                <w:szCs w:val="26"/>
              </w:rPr>
            </w:pPr>
            <w:r>
              <w:rPr>
                <w:i/>
                <w:sz w:val="26"/>
                <w:szCs w:val="26"/>
              </w:rPr>
              <w:t xml:space="preserve"> 300 000</w:t>
            </w:r>
          </w:p>
        </w:tc>
        <w:tc>
          <w:tcPr>
            <w:tcW w:w="1227" w:type="dxa"/>
          </w:tcPr>
          <w:p w:rsidR="00FC4B1F" w:rsidRPr="0006125D" w:rsidRDefault="00FC4B1F" w:rsidP="00FC4B1F">
            <w:pPr>
              <w:jc w:val="center"/>
              <w:rPr>
                <w:i/>
                <w:sz w:val="26"/>
                <w:szCs w:val="26"/>
              </w:rPr>
            </w:pPr>
            <w:r>
              <w:rPr>
                <w:i/>
                <w:sz w:val="26"/>
                <w:szCs w:val="26"/>
              </w:rPr>
              <w:t xml:space="preserve"> 300 000</w:t>
            </w:r>
          </w:p>
        </w:tc>
        <w:tc>
          <w:tcPr>
            <w:tcW w:w="1367" w:type="dxa"/>
          </w:tcPr>
          <w:p w:rsidR="00FC4B1F" w:rsidRPr="0006125D" w:rsidRDefault="00FC4B1F" w:rsidP="00FC4B1F">
            <w:pPr>
              <w:jc w:val="center"/>
              <w:rPr>
                <w:i/>
                <w:sz w:val="26"/>
                <w:szCs w:val="26"/>
              </w:rPr>
            </w:pPr>
            <w:r>
              <w:rPr>
                <w:i/>
                <w:sz w:val="26"/>
                <w:szCs w:val="26"/>
              </w:rPr>
              <w:t xml:space="preserve"> 300 000</w:t>
            </w: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2.2. valsts speciālais budžets</w:t>
            </w:r>
          </w:p>
        </w:tc>
        <w:tc>
          <w:tcPr>
            <w:tcW w:w="1559" w:type="dxa"/>
          </w:tcPr>
          <w:p w:rsidR="004D1736" w:rsidRPr="0006125D" w:rsidRDefault="004D1736" w:rsidP="00F41C85">
            <w:pPr>
              <w:jc w:val="center"/>
              <w:rPr>
                <w:sz w:val="26"/>
                <w:szCs w:val="26"/>
              </w:rPr>
            </w:pPr>
          </w:p>
        </w:tc>
        <w:tc>
          <w:tcPr>
            <w:tcW w:w="1566"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367" w:type="dxa"/>
          </w:tcPr>
          <w:p w:rsidR="004D1736" w:rsidRPr="0006125D" w:rsidRDefault="004D1736" w:rsidP="00F41C85">
            <w:pPr>
              <w:jc w:val="center"/>
              <w:rPr>
                <w:sz w:val="26"/>
                <w:szCs w:val="26"/>
              </w:rPr>
            </w:pP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 xml:space="preserve">2.3. pašvaldību budžets </w:t>
            </w:r>
          </w:p>
        </w:tc>
        <w:tc>
          <w:tcPr>
            <w:tcW w:w="1559" w:type="dxa"/>
          </w:tcPr>
          <w:p w:rsidR="004D1736" w:rsidRPr="0006125D" w:rsidRDefault="004D1736" w:rsidP="00F41C85">
            <w:pPr>
              <w:jc w:val="center"/>
              <w:rPr>
                <w:sz w:val="26"/>
                <w:szCs w:val="26"/>
              </w:rPr>
            </w:pPr>
          </w:p>
        </w:tc>
        <w:tc>
          <w:tcPr>
            <w:tcW w:w="1566"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367" w:type="dxa"/>
          </w:tcPr>
          <w:p w:rsidR="004D1736" w:rsidRPr="0006125D" w:rsidRDefault="004D1736" w:rsidP="00F41C85">
            <w:pPr>
              <w:jc w:val="center"/>
              <w:rPr>
                <w:sz w:val="26"/>
                <w:szCs w:val="26"/>
              </w:rPr>
            </w:pP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3. Finansiālā ietekme:</w:t>
            </w:r>
          </w:p>
        </w:tc>
        <w:tc>
          <w:tcPr>
            <w:tcW w:w="1559" w:type="dxa"/>
            <w:shd w:val="clear" w:color="auto" w:fill="auto"/>
          </w:tcPr>
          <w:p w:rsidR="004D1736" w:rsidRPr="0006125D" w:rsidRDefault="004D1736" w:rsidP="00F41C85">
            <w:pPr>
              <w:jc w:val="center"/>
              <w:rPr>
                <w:b/>
                <w:sz w:val="26"/>
                <w:szCs w:val="26"/>
              </w:rPr>
            </w:pPr>
            <w:r w:rsidRPr="0006125D">
              <w:rPr>
                <w:b/>
                <w:sz w:val="26"/>
                <w:szCs w:val="26"/>
              </w:rPr>
              <w:t>0</w:t>
            </w:r>
          </w:p>
        </w:tc>
        <w:tc>
          <w:tcPr>
            <w:tcW w:w="1566" w:type="dxa"/>
          </w:tcPr>
          <w:p w:rsidR="004D1736" w:rsidRPr="0006125D" w:rsidRDefault="004D1736" w:rsidP="00F41C85">
            <w:pPr>
              <w:jc w:val="center"/>
              <w:rPr>
                <w:b/>
                <w:sz w:val="26"/>
                <w:szCs w:val="26"/>
              </w:rPr>
            </w:pPr>
            <w:r w:rsidRPr="0006125D">
              <w:rPr>
                <w:b/>
                <w:sz w:val="26"/>
                <w:szCs w:val="26"/>
              </w:rPr>
              <w:t>0</w:t>
            </w:r>
          </w:p>
        </w:tc>
        <w:tc>
          <w:tcPr>
            <w:tcW w:w="1227" w:type="dxa"/>
          </w:tcPr>
          <w:p w:rsidR="004D1736" w:rsidRPr="0006125D" w:rsidRDefault="004D1736" w:rsidP="00F41C85">
            <w:pPr>
              <w:jc w:val="center"/>
              <w:rPr>
                <w:b/>
                <w:sz w:val="26"/>
                <w:szCs w:val="26"/>
              </w:rPr>
            </w:pPr>
            <w:r w:rsidRPr="0006125D">
              <w:rPr>
                <w:b/>
                <w:sz w:val="26"/>
                <w:szCs w:val="26"/>
              </w:rPr>
              <w:t>0</w:t>
            </w:r>
          </w:p>
        </w:tc>
        <w:tc>
          <w:tcPr>
            <w:tcW w:w="1227" w:type="dxa"/>
          </w:tcPr>
          <w:p w:rsidR="004D1736" w:rsidRPr="0006125D" w:rsidRDefault="004D1736" w:rsidP="00F41C85">
            <w:pPr>
              <w:jc w:val="center"/>
              <w:rPr>
                <w:b/>
                <w:sz w:val="26"/>
                <w:szCs w:val="26"/>
              </w:rPr>
            </w:pPr>
            <w:r w:rsidRPr="0006125D">
              <w:rPr>
                <w:b/>
                <w:sz w:val="26"/>
                <w:szCs w:val="26"/>
              </w:rPr>
              <w:t>0</w:t>
            </w:r>
          </w:p>
        </w:tc>
        <w:tc>
          <w:tcPr>
            <w:tcW w:w="1367" w:type="dxa"/>
          </w:tcPr>
          <w:p w:rsidR="004D1736" w:rsidRPr="0006125D" w:rsidRDefault="004D1736" w:rsidP="00F41C85">
            <w:pPr>
              <w:jc w:val="center"/>
              <w:rPr>
                <w:b/>
                <w:sz w:val="26"/>
                <w:szCs w:val="26"/>
              </w:rPr>
            </w:pPr>
            <w:r w:rsidRPr="0006125D">
              <w:rPr>
                <w:b/>
                <w:sz w:val="26"/>
                <w:szCs w:val="26"/>
              </w:rPr>
              <w:t>0</w:t>
            </w: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3.1. valsts pamatbudžets</w:t>
            </w:r>
          </w:p>
        </w:tc>
        <w:tc>
          <w:tcPr>
            <w:tcW w:w="1559" w:type="dxa"/>
            <w:shd w:val="clear" w:color="auto" w:fill="auto"/>
          </w:tcPr>
          <w:p w:rsidR="004D1736" w:rsidRPr="0006125D" w:rsidRDefault="004D1736" w:rsidP="00F41C85">
            <w:pPr>
              <w:jc w:val="center"/>
              <w:rPr>
                <w:i/>
                <w:sz w:val="26"/>
                <w:szCs w:val="26"/>
              </w:rPr>
            </w:pPr>
            <w:r w:rsidRPr="0006125D">
              <w:rPr>
                <w:i/>
                <w:sz w:val="26"/>
                <w:szCs w:val="26"/>
              </w:rPr>
              <w:t>0</w:t>
            </w:r>
          </w:p>
        </w:tc>
        <w:tc>
          <w:tcPr>
            <w:tcW w:w="1566" w:type="dxa"/>
          </w:tcPr>
          <w:p w:rsidR="004D1736" w:rsidRPr="0006125D" w:rsidRDefault="004D1736" w:rsidP="00F41C85">
            <w:pPr>
              <w:jc w:val="center"/>
              <w:rPr>
                <w:i/>
                <w:sz w:val="26"/>
                <w:szCs w:val="26"/>
              </w:rPr>
            </w:pPr>
            <w:r w:rsidRPr="0006125D">
              <w:rPr>
                <w:i/>
                <w:sz w:val="26"/>
                <w:szCs w:val="26"/>
              </w:rPr>
              <w:t>0</w:t>
            </w:r>
          </w:p>
        </w:tc>
        <w:tc>
          <w:tcPr>
            <w:tcW w:w="1227" w:type="dxa"/>
          </w:tcPr>
          <w:p w:rsidR="004D1736" w:rsidRPr="0006125D" w:rsidRDefault="004D1736" w:rsidP="00F41C85">
            <w:pPr>
              <w:jc w:val="center"/>
              <w:rPr>
                <w:i/>
                <w:sz w:val="26"/>
                <w:szCs w:val="26"/>
              </w:rPr>
            </w:pPr>
            <w:r w:rsidRPr="0006125D">
              <w:rPr>
                <w:i/>
                <w:sz w:val="26"/>
                <w:szCs w:val="26"/>
              </w:rPr>
              <w:t>0</w:t>
            </w:r>
          </w:p>
        </w:tc>
        <w:tc>
          <w:tcPr>
            <w:tcW w:w="1227" w:type="dxa"/>
          </w:tcPr>
          <w:p w:rsidR="004D1736" w:rsidRPr="0006125D" w:rsidRDefault="004D1736" w:rsidP="00F41C85">
            <w:pPr>
              <w:jc w:val="center"/>
              <w:rPr>
                <w:i/>
                <w:sz w:val="26"/>
                <w:szCs w:val="26"/>
              </w:rPr>
            </w:pPr>
            <w:r w:rsidRPr="0006125D">
              <w:rPr>
                <w:i/>
                <w:sz w:val="26"/>
                <w:szCs w:val="26"/>
              </w:rPr>
              <w:t>0</w:t>
            </w:r>
          </w:p>
        </w:tc>
        <w:tc>
          <w:tcPr>
            <w:tcW w:w="1367" w:type="dxa"/>
          </w:tcPr>
          <w:p w:rsidR="004D1736" w:rsidRPr="0006125D" w:rsidRDefault="004D1736" w:rsidP="00F41C85">
            <w:pPr>
              <w:jc w:val="center"/>
              <w:rPr>
                <w:i/>
                <w:sz w:val="26"/>
                <w:szCs w:val="26"/>
              </w:rPr>
            </w:pPr>
            <w:r w:rsidRPr="0006125D">
              <w:rPr>
                <w:i/>
                <w:sz w:val="26"/>
                <w:szCs w:val="26"/>
              </w:rPr>
              <w:t>0</w:t>
            </w: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3.2. speciālais budžets</w:t>
            </w:r>
          </w:p>
        </w:tc>
        <w:tc>
          <w:tcPr>
            <w:tcW w:w="1559" w:type="dxa"/>
            <w:shd w:val="clear" w:color="auto" w:fill="auto"/>
          </w:tcPr>
          <w:p w:rsidR="004D1736" w:rsidRPr="0006125D" w:rsidRDefault="004D1736" w:rsidP="00F41C85">
            <w:pPr>
              <w:jc w:val="center"/>
              <w:rPr>
                <w:sz w:val="26"/>
                <w:szCs w:val="26"/>
              </w:rPr>
            </w:pPr>
          </w:p>
        </w:tc>
        <w:tc>
          <w:tcPr>
            <w:tcW w:w="1566"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367" w:type="dxa"/>
          </w:tcPr>
          <w:p w:rsidR="004D1736" w:rsidRPr="0006125D" w:rsidRDefault="004D1736" w:rsidP="00F41C85">
            <w:pPr>
              <w:jc w:val="center"/>
              <w:rPr>
                <w:sz w:val="26"/>
                <w:szCs w:val="26"/>
              </w:rPr>
            </w:pP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 xml:space="preserve">3.3. pašvaldību budžets </w:t>
            </w:r>
          </w:p>
        </w:tc>
        <w:tc>
          <w:tcPr>
            <w:tcW w:w="1559" w:type="dxa"/>
            <w:shd w:val="clear" w:color="auto" w:fill="auto"/>
          </w:tcPr>
          <w:p w:rsidR="004D1736" w:rsidRPr="0006125D" w:rsidRDefault="004D1736" w:rsidP="00F41C85">
            <w:pPr>
              <w:jc w:val="center"/>
              <w:rPr>
                <w:sz w:val="26"/>
                <w:szCs w:val="26"/>
              </w:rPr>
            </w:pPr>
          </w:p>
        </w:tc>
        <w:tc>
          <w:tcPr>
            <w:tcW w:w="1566"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367" w:type="dxa"/>
          </w:tcPr>
          <w:p w:rsidR="004D1736" w:rsidRPr="0006125D" w:rsidRDefault="004D1736" w:rsidP="00F41C85">
            <w:pPr>
              <w:jc w:val="center"/>
              <w:rPr>
                <w:sz w:val="26"/>
                <w:szCs w:val="26"/>
              </w:rPr>
            </w:pPr>
          </w:p>
        </w:tc>
      </w:tr>
      <w:tr w:rsidR="004D1736" w:rsidRPr="0006125D" w:rsidTr="0019216B">
        <w:trPr>
          <w:jc w:val="center"/>
        </w:trPr>
        <w:tc>
          <w:tcPr>
            <w:tcW w:w="3256" w:type="dxa"/>
            <w:vMerge w:val="restart"/>
          </w:tcPr>
          <w:p w:rsidR="004D1736" w:rsidRPr="0006125D" w:rsidRDefault="004D1736" w:rsidP="00F41C85">
            <w:pPr>
              <w:rPr>
                <w:sz w:val="26"/>
                <w:szCs w:val="26"/>
              </w:rPr>
            </w:pPr>
            <w:r w:rsidRPr="0006125D">
              <w:rPr>
                <w:sz w:val="26"/>
                <w:szCs w:val="26"/>
              </w:rPr>
              <w:t>4. Finanšu līdzekļi papildu izdevumu finansēšanai (kompensējošu izdevumu samazinājumu norāda ar "+" zīmi)</w:t>
            </w:r>
          </w:p>
        </w:tc>
        <w:tc>
          <w:tcPr>
            <w:tcW w:w="1559" w:type="dxa"/>
            <w:vMerge w:val="restart"/>
          </w:tcPr>
          <w:p w:rsidR="004D1736" w:rsidRPr="0006125D" w:rsidRDefault="004D1736" w:rsidP="00F41C85">
            <w:pPr>
              <w:jc w:val="center"/>
              <w:rPr>
                <w:i/>
                <w:sz w:val="26"/>
                <w:szCs w:val="26"/>
              </w:rPr>
            </w:pPr>
            <w:r w:rsidRPr="0006125D">
              <w:rPr>
                <w:sz w:val="26"/>
                <w:szCs w:val="26"/>
              </w:rPr>
              <w:t>X</w:t>
            </w:r>
          </w:p>
        </w:tc>
        <w:tc>
          <w:tcPr>
            <w:tcW w:w="1566" w:type="dxa"/>
          </w:tcPr>
          <w:p w:rsidR="004D1736" w:rsidRPr="0006125D" w:rsidRDefault="004D1736" w:rsidP="00F41C85">
            <w:pPr>
              <w:jc w:val="center"/>
              <w:rPr>
                <w:sz w:val="26"/>
                <w:szCs w:val="26"/>
              </w:rPr>
            </w:pPr>
            <w:r w:rsidRPr="0006125D">
              <w:rPr>
                <w:sz w:val="26"/>
                <w:szCs w:val="26"/>
              </w:rPr>
              <w:t>0</w:t>
            </w:r>
          </w:p>
        </w:tc>
        <w:tc>
          <w:tcPr>
            <w:tcW w:w="1227" w:type="dxa"/>
          </w:tcPr>
          <w:p w:rsidR="004D1736" w:rsidRPr="0006125D" w:rsidRDefault="004D1736" w:rsidP="00F41C85">
            <w:pPr>
              <w:jc w:val="center"/>
              <w:rPr>
                <w:sz w:val="26"/>
                <w:szCs w:val="26"/>
              </w:rPr>
            </w:pPr>
            <w:r w:rsidRPr="0006125D">
              <w:rPr>
                <w:sz w:val="26"/>
                <w:szCs w:val="26"/>
              </w:rPr>
              <w:t>0</w:t>
            </w:r>
          </w:p>
        </w:tc>
        <w:tc>
          <w:tcPr>
            <w:tcW w:w="1227" w:type="dxa"/>
          </w:tcPr>
          <w:p w:rsidR="004D1736" w:rsidRPr="0006125D" w:rsidRDefault="004D1736" w:rsidP="00F41C85">
            <w:pPr>
              <w:jc w:val="center"/>
              <w:rPr>
                <w:sz w:val="26"/>
                <w:szCs w:val="26"/>
              </w:rPr>
            </w:pPr>
            <w:r w:rsidRPr="0006125D">
              <w:rPr>
                <w:sz w:val="26"/>
                <w:szCs w:val="26"/>
              </w:rPr>
              <w:t>0</w:t>
            </w:r>
          </w:p>
        </w:tc>
        <w:tc>
          <w:tcPr>
            <w:tcW w:w="1367" w:type="dxa"/>
          </w:tcPr>
          <w:p w:rsidR="004D1736" w:rsidRPr="0006125D" w:rsidRDefault="004D1736" w:rsidP="00F41C85">
            <w:pPr>
              <w:jc w:val="center"/>
              <w:rPr>
                <w:sz w:val="26"/>
                <w:szCs w:val="26"/>
              </w:rPr>
            </w:pPr>
            <w:r w:rsidRPr="0006125D">
              <w:rPr>
                <w:sz w:val="26"/>
                <w:szCs w:val="26"/>
              </w:rPr>
              <w:t>0</w:t>
            </w:r>
          </w:p>
        </w:tc>
      </w:tr>
      <w:tr w:rsidR="004D1736" w:rsidRPr="0006125D" w:rsidTr="0019216B">
        <w:trPr>
          <w:jc w:val="center"/>
        </w:trPr>
        <w:tc>
          <w:tcPr>
            <w:tcW w:w="3256" w:type="dxa"/>
            <w:vMerge/>
          </w:tcPr>
          <w:p w:rsidR="004D1736" w:rsidRPr="0006125D" w:rsidRDefault="004D1736" w:rsidP="00F41C85">
            <w:pPr>
              <w:rPr>
                <w:sz w:val="26"/>
                <w:szCs w:val="26"/>
              </w:rPr>
            </w:pPr>
          </w:p>
        </w:tc>
        <w:tc>
          <w:tcPr>
            <w:tcW w:w="1559" w:type="dxa"/>
            <w:vMerge/>
          </w:tcPr>
          <w:p w:rsidR="004D1736" w:rsidRPr="0006125D" w:rsidRDefault="004D1736" w:rsidP="00F41C85">
            <w:pPr>
              <w:jc w:val="center"/>
              <w:rPr>
                <w:i/>
                <w:sz w:val="26"/>
                <w:szCs w:val="26"/>
              </w:rPr>
            </w:pPr>
          </w:p>
        </w:tc>
        <w:tc>
          <w:tcPr>
            <w:tcW w:w="1566"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367" w:type="dxa"/>
          </w:tcPr>
          <w:p w:rsidR="004D1736" w:rsidRPr="0006125D" w:rsidRDefault="004D1736" w:rsidP="00F41C85">
            <w:pPr>
              <w:jc w:val="center"/>
              <w:rPr>
                <w:sz w:val="26"/>
                <w:szCs w:val="26"/>
              </w:rPr>
            </w:pPr>
          </w:p>
        </w:tc>
      </w:tr>
      <w:tr w:rsidR="004D1736" w:rsidRPr="0006125D" w:rsidTr="0019216B">
        <w:trPr>
          <w:jc w:val="center"/>
        </w:trPr>
        <w:tc>
          <w:tcPr>
            <w:tcW w:w="3256" w:type="dxa"/>
            <w:vMerge/>
          </w:tcPr>
          <w:p w:rsidR="004D1736" w:rsidRPr="0006125D" w:rsidRDefault="004D1736" w:rsidP="00F41C85">
            <w:pPr>
              <w:rPr>
                <w:sz w:val="26"/>
                <w:szCs w:val="26"/>
              </w:rPr>
            </w:pPr>
          </w:p>
        </w:tc>
        <w:tc>
          <w:tcPr>
            <w:tcW w:w="1559" w:type="dxa"/>
            <w:vMerge/>
          </w:tcPr>
          <w:p w:rsidR="004D1736" w:rsidRPr="0006125D" w:rsidRDefault="004D1736" w:rsidP="00F41C85">
            <w:pPr>
              <w:jc w:val="center"/>
              <w:rPr>
                <w:i/>
                <w:sz w:val="26"/>
                <w:szCs w:val="26"/>
              </w:rPr>
            </w:pPr>
          </w:p>
        </w:tc>
        <w:tc>
          <w:tcPr>
            <w:tcW w:w="1566"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367" w:type="dxa"/>
          </w:tcPr>
          <w:p w:rsidR="004D1736" w:rsidRPr="0006125D" w:rsidRDefault="004D1736" w:rsidP="00F41C85">
            <w:pPr>
              <w:jc w:val="center"/>
              <w:rPr>
                <w:sz w:val="26"/>
                <w:szCs w:val="26"/>
              </w:rPr>
            </w:pP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5. Precizēta finansiālā ietekme:</w:t>
            </w:r>
          </w:p>
        </w:tc>
        <w:tc>
          <w:tcPr>
            <w:tcW w:w="1559" w:type="dxa"/>
            <w:vMerge w:val="restart"/>
          </w:tcPr>
          <w:p w:rsidR="004D1736" w:rsidRPr="0006125D" w:rsidRDefault="004D1736" w:rsidP="00F41C85">
            <w:pPr>
              <w:jc w:val="center"/>
              <w:rPr>
                <w:i/>
                <w:sz w:val="26"/>
                <w:szCs w:val="26"/>
              </w:rPr>
            </w:pPr>
            <w:r w:rsidRPr="0006125D">
              <w:rPr>
                <w:sz w:val="26"/>
                <w:szCs w:val="26"/>
              </w:rPr>
              <w:t>X</w:t>
            </w:r>
          </w:p>
        </w:tc>
        <w:tc>
          <w:tcPr>
            <w:tcW w:w="1566" w:type="dxa"/>
          </w:tcPr>
          <w:p w:rsidR="004D1736" w:rsidRPr="0006125D" w:rsidRDefault="004D1736" w:rsidP="00F41C85">
            <w:pPr>
              <w:jc w:val="center"/>
              <w:rPr>
                <w:b/>
                <w:sz w:val="26"/>
                <w:szCs w:val="26"/>
              </w:rPr>
            </w:pPr>
            <w:r w:rsidRPr="0006125D">
              <w:rPr>
                <w:b/>
                <w:sz w:val="26"/>
                <w:szCs w:val="26"/>
              </w:rPr>
              <w:t>0</w:t>
            </w:r>
          </w:p>
        </w:tc>
        <w:tc>
          <w:tcPr>
            <w:tcW w:w="1227" w:type="dxa"/>
          </w:tcPr>
          <w:p w:rsidR="004D1736" w:rsidRPr="0006125D" w:rsidRDefault="004D1736" w:rsidP="00F41C85">
            <w:pPr>
              <w:jc w:val="center"/>
              <w:rPr>
                <w:b/>
                <w:sz w:val="26"/>
                <w:szCs w:val="26"/>
              </w:rPr>
            </w:pPr>
            <w:r w:rsidRPr="0006125D">
              <w:rPr>
                <w:b/>
                <w:sz w:val="26"/>
                <w:szCs w:val="26"/>
              </w:rPr>
              <w:t>0</w:t>
            </w:r>
          </w:p>
        </w:tc>
        <w:tc>
          <w:tcPr>
            <w:tcW w:w="1227" w:type="dxa"/>
          </w:tcPr>
          <w:p w:rsidR="004D1736" w:rsidRPr="0006125D" w:rsidRDefault="004D1736" w:rsidP="00F41C85">
            <w:pPr>
              <w:jc w:val="center"/>
              <w:rPr>
                <w:b/>
                <w:sz w:val="26"/>
                <w:szCs w:val="26"/>
              </w:rPr>
            </w:pPr>
            <w:r w:rsidRPr="0006125D">
              <w:rPr>
                <w:b/>
                <w:sz w:val="26"/>
                <w:szCs w:val="26"/>
              </w:rPr>
              <w:t>0</w:t>
            </w:r>
          </w:p>
        </w:tc>
        <w:tc>
          <w:tcPr>
            <w:tcW w:w="1367" w:type="dxa"/>
          </w:tcPr>
          <w:p w:rsidR="004D1736" w:rsidRPr="0006125D" w:rsidRDefault="004D1736" w:rsidP="00F41C85">
            <w:pPr>
              <w:jc w:val="center"/>
              <w:rPr>
                <w:b/>
                <w:sz w:val="26"/>
                <w:szCs w:val="26"/>
              </w:rPr>
            </w:pPr>
            <w:r w:rsidRPr="0006125D">
              <w:rPr>
                <w:b/>
                <w:sz w:val="26"/>
                <w:szCs w:val="26"/>
              </w:rPr>
              <w:t>0</w:t>
            </w: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5.1. valsts pamatbudžets</w:t>
            </w:r>
          </w:p>
        </w:tc>
        <w:tc>
          <w:tcPr>
            <w:tcW w:w="1559" w:type="dxa"/>
            <w:vMerge/>
            <w:vAlign w:val="center"/>
          </w:tcPr>
          <w:p w:rsidR="004D1736" w:rsidRPr="0006125D" w:rsidRDefault="004D1736" w:rsidP="00F41C85">
            <w:pPr>
              <w:jc w:val="center"/>
              <w:rPr>
                <w:i/>
                <w:sz w:val="26"/>
                <w:szCs w:val="26"/>
              </w:rPr>
            </w:pPr>
          </w:p>
        </w:tc>
        <w:tc>
          <w:tcPr>
            <w:tcW w:w="1566" w:type="dxa"/>
          </w:tcPr>
          <w:p w:rsidR="004D1736" w:rsidRPr="0006125D" w:rsidRDefault="004D1736" w:rsidP="00F41C85">
            <w:pPr>
              <w:jc w:val="center"/>
              <w:rPr>
                <w:i/>
                <w:sz w:val="26"/>
                <w:szCs w:val="26"/>
              </w:rPr>
            </w:pPr>
            <w:r w:rsidRPr="0006125D">
              <w:rPr>
                <w:i/>
                <w:sz w:val="26"/>
                <w:szCs w:val="26"/>
              </w:rPr>
              <w:t>0</w:t>
            </w:r>
          </w:p>
        </w:tc>
        <w:tc>
          <w:tcPr>
            <w:tcW w:w="1227" w:type="dxa"/>
          </w:tcPr>
          <w:p w:rsidR="004D1736" w:rsidRPr="0006125D" w:rsidRDefault="004D1736" w:rsidP="00F41C85">
            <w:pPr>
              <w:jc w:val="center"/>
              <w:rPr>
                <w:i/>
                <w:sz w:val="26"/>
                <w:szCs w:val="26"/>
              </w:rPr>
            </w:pPr>
            <w:r w:rsidRPr="0006125D">
              <w:rPr>
                <w:i/>
                <w:sz w:val="26"/>
                <w:szCs w:val="26"/>
              </w:rPr>
              <w:t>0</w:t>
            </w:r>
          </w:p>
        </w:tc>
        <w:tc>
          <w:tcPr>
            <w:tcW w:w="1227" w:type="dxa"/>
          </w:tcPr>
          <w:p w:rsidR="004D1736" w:rsidRPr="0006125D" w:rsidRDefault="004D1736" w:rsidP="00F41C85">
            <w:pPr>
              <w:jc w:val="center"/>
              <w:rPr>
                <w:i/>
                <w:sz w:val="26"/>
                <w:szCs w:val="26"/>
              </w:rPr>
            </w:pPr>
            <w:r w:rsidRPr="0006125D">
              <w:rPr>
                <w:i/>
                <w:sz w:val="26"/>
                <w:szCs w:val="26"/>
              </w:rPr>
              <w:t>0</w:t>
            </w:r>
          </w:p>
        </w:tc>
        <w:tc>
          <w:tcPr>
            <w:tcW w:w="1367" w:type="dxa"/>
          </w:tcPr>
          <w:p w:rsidR="004D1736" w:rsidRPr="0006125D" w:rsidRDefault="004D1736" w:rsidP="00F41C85">
            <w:pPr>
              <w:jc w:val="center"/>
              <w:rPr>
                <w:i/>
                <w:sz w:val="26"/>
                <w:szCs w:val="26"/>
              </w:rPr>
            </w:pPr>
            <w:r w:rsidRPr="0006125D">
              <w:rPr>
                <w:i/>
                <w:sz w:val="26"/>
                <w:szCs w:val="26"/>
              </w:rPr>
              <w:t>0</w:t>
            </w: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5.2. speciālais budžets</w:t>
            </w:r>
          </w:p>
        </w:tc>
        <w:tc>
          <w:tcPr>
            <w:tcW w:w="1559" w:type="dxa"/>
            <w:vMerge/>
            <w:vAlign w:val="center"/>
          </w:tcPr>
          <w:p w:rsidR="004D1736" w:rsidRPr="0006125D" w:rsidRDefault="004D1736" w:rsidP="00F41C85">
            <w:pPr>
              <w:jc w:val="center"/>
              <w:rPr>
                <w:i/>
                <w:sz w:val="26"/>
                <w:szCs w:val="26"/>
              </w:rPr>
            </w:pPr>
          </w:p>
        </w:tc>
        <w:tc>
          <w:tcPr>
            <w:tcW w:w="1566"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367" w:type="dxa"/>
          </w:tcPr>
          <w:p w:rsidR="004D1736" w:rsidRPr="0006125D" w:rsidRDefault="004D1736" w:rsidP="00F41C85">
            <w:pPr>
              <w:jc w:val="center"/>
              <w:rPr>
                <w:sz w:val="26"/>
                <w:szCs w:val="26"/>
              </w:rPr>
            </w:pP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 xml:space="preserve">5.3. pašvaldību budžets </w:t>
            </w:r>
          </w:p>
        </w:tc>
        <w:tc>
          <w:tcPr>
            <w:tcW w:w="1559" w:type="dxa"/>
            <w:vMerge/>
            <w:vAlign w:val="center"/>
          </w:tcPr>
          <w:p w:rsidR="004D1736" w:rsidRPr="0006125D" w:rsidRDefault="004D1736" w:rsidP="00F41C85">
            <w:pPr>
              <w:jc w:val="center"/>
              <w:rPr>
                <w:i/>
                <w:sz w:val="26"/>
                <w:szCs w:val="26"/>
              </w:rPr>
            </w:pPr>
          </w:p>
        </w:tc>
        <w:tc>
          <w:tcPr>
            <w:tcW w:w="1566"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227" w:type="dxa"/>
          </w:tcPr>
          <w:p w:rsidR="004D1736" w:rsidRPr="0006125D" w:rsidRDefault="004D1736" w:rsidP="00F41C85">
            <w:pPr>
              <w:jc w:val="center"/>
              <w:rPr>
                <w:sz w:val="26"/>
                <w:szCs w:val="26"/>
              </w:rPr>
            </w:pPr>
          </w:p>
        </w:tc>
        <w:tc>
          <w:tcPr>
            <w:tcW w:w="1367" w:type="dxa"/>
          </w:tcPr>
          <w:p w:rsidR="004D1736" w:rsidRPr="0006125D" w:rsidRDefault="004D1736" w:rsidP="00F41C85">
            <w:pPr>
              <w:jc w:val="center"/>
              <w:rPr>
                <w:sz w:val="26"/>
                <w:szCs w:val="26"/>
              </w:rPr>
            </w:pP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6. Detalizēts ieņēmumu un izdevumu aprēķins (ja nepie</w:t>
            </w:r>
            <w:r w:rsidRPr="0006125D">
              <w:rPr>
                <w:sz w:val="26"/>
                <w:szCs w:val="26"/>
              </w:rPr>
              <w:softHyphen/>
              <w:t>ciešams, detalizētu ieņēmumu un izdevumu aprēķinu var pie</w:t>
            </w:r>
            <w:r w:rsidRPr="0006125D">
              <w:rPr>
                <w:sz w:val="26"/>
                <w:szCs w:val="26"/>
              </w:rPr>
              <w:softHyphen/>
              <w:t>vienot anotācijas pielikumā):</w:t>
            </w:r>
          </w:p>
        </w:tc>
        <w:tc>
          <w:tcPr>
            <w:tcW w:w="6946" w:type="dxa"/>
            <w:gridSpan w:val="5"/>
            <w:vMerge w:val="restart"/>
            <w:shd w:val="clear" w:color="auto" w:fill="auto"/>
          </w:tcPr>
          <w:p w:rsidR="005A6A77" w:rsidRDefault="0082088A" w:rsidP="005A6A77">
            <w:pPr>
              <w:ind w:left="-16"/>
              <w:jc w:val="both"/>
              <w:rPr>
                <w:sz w:val="26"/>
                <w:szCs w:val="26"/>
              </w:rPr>
            </w:pPr>
            <w:r>
              <w:rPr>
                <w:sz w:val="26"/>
                <w:szCs w:val="26"/>
              </w:rPr>
              <w:tab/>
            </w:r>
            <w:r>
              <w:rPr>
                <w:sz w:val="26"/>
                <w:szCs w:val="26"/>
              </w:rPr>
              <w:tab/>
            </w:r>
            <w:r w:rsidR="00150A43">
              <w:rPr>
                <w:sz w:val="26"/>
                <w:szCs w:val="26"/>
              </w:rPr>
              <w:t xml:space="preserve">Sacensību norisei 2016.gadā ir paredzēts finansējums 298 803 </w:t>
            </w:r>
            <w:r w:rsidR="00150A43" w:rsidRPr="00A938C0">
              <w:rPr>
                <w:i/>
                <w:sz w:val="26"/>
                <w:szCs w:val="26"/>
              </w:rPr>
              <w:t>euro</w:t>
            </w:r>
            <w:r w:rsidR="00150A43">
              <w:rPr>
                <w:sz w:val="26"/>
                <w:szCs w:val="26"/>
              </w:rPr>
              <w:t xml:space="preserve"> </w:t>
            </w:r>
            <w:r w:rsidR="00150A43" w:rsidRPr="00150A43">
              <w:rPr>
                <w:sz w:val="26"/>
                <w:szCs w:val="26"/>
              </w:rPr>
              <w:t>IZM valsts budžeta apakšprogrammā 09.16.00 „Dotācija nacionālas nozīmes starptautisku sporta pasākumu organizēšanai Latvijā”</w:t>
            </w:r>
            <w:r w:rsidR="00150A43">
              <w:rPr>
                <w:sz w:val="26"/>
                <w:szCs w:val="26"/>
              </w:rPr>
              <w:t xml:space="preserve">, savukārt 2017.gadā tas vairs nav paredzēts. </w:t>
            </w:r>
            <w:r w:rsidR="00030EA9">
              <w:rPr>
                <w:sz w:val="26"/>
                <w:szCs w:val="26"/>
              </w:rPr>
              <w:t xml:space="preserve">Sacensību </w:t>
            </w:r>
            <w:r w:rsidR="00150A43">
              <w:rPr>
                <w:sz w:val="26"/>
                <w:szCs w:val="26"/>
              </w:rPr>
              <w:t xml:space="preserve">turpināšana </w:t>
            </w:r>
            <w:r w:rsidR="00030EA9">
              <w:rPr>
                <w:sz w:val="26"/>
                <w:szCs w:val="26"/>
              </w:rPr>
              <w:t xml:space="preserve">Latvijā </w:t>
            </w:r>
            <w:r w:rsidR="00150A43">
              <w:rPr>
                <w:sz w:val="26"/>
                <w:szCs w:val="26"/>
              </w:rPr>
              <w:t xml:space="preserve">2017.-2019.gadā </w:t>
            </w:r>
            <w:r w:rsidR="00030EA9">
              <w:rPr>
                <w:sz w:val="26"/>
                <w:szCs w:val="26"/>
              </w:rPr>
              <w:t xml:space="preserve">sekmēs </w:t>
            </w:r>
            <w:r w:rsidR="00030EA9" w:rsidRPr="001C0A98">
              <w:rPr>
                <w:sz w:val="26"/>
                <w:szCs w:val="26"/>
              </w:rPr>
              <w:t>ekonomikas attīstību (ēdināšanas, pārtikas un degvielas mazumtirdzniecības, kā arī viesnīcu un restorānu servisa jomas),</w:t>
            </w:r>
            <w:r w:rsidR="00030EA9">
              <w:rPr>
                <w:sz w:val="26"/>
                <w:szCs w:val="26"/>
              </w:rPr>
              <w:t xml:space="preserve"> radot provizoriski vismaz 300 000 EUR</w:t>
            </w:r>
            <w:r w:rsidR="005A6A77">
              <w:rPr>
                <w:sz w:val="26"/>
                <w:szCs w:val="26"/>
              </w:rPr>
              <w:t xml:space="preserve"> </w:t>
            </w:r>
            <w:r w:rsidR="00030EA9">
              <w:rPr>
                <w:sz w:val="26"/>
                <w:szCs w:val="26"/>
              </w:rPr>
              <w:t xml:space="preserve">lielus ieņēmumus </w:t>
            </w:r>
            <w:r w:rsidR="005A6A77">
              <w:rPr>
                <w:sz w:val="26"/>
                <w:szCs w:val="26"/>
              </w:rPr>
              <w:t xml:space="preserve">2017., 2018. un 2019.gada </w:t>
            </w:r>
            <w:r w:rsidR="00030EA9">
              <w:rPr>
                <w:sz w:val="26"/>
                <w:szCs w:val="26"/>
              </w:rPr>
              <w:t>valsts budžet</w:t>
            </w:r>
            <w:r w:rsidR="005A6A77">
              <w:rPr>
                <w:sz w:val="26"/>
                <w:szCs w:val="26"/>
              </w:rPr>
              <w:t>ā. Ņemot vērā, ka Sacensību sarīkošanai nepieciešamās licences iegādei gadā nepieciešami 300 000 EUR, valsts budžeta ieņēmumu palielināšana pilnībā kompensē</w:t>
            </w:r>
            <w:r w:rsidR="00D43BAA">
              <w:rPr>
                <w:sz w:val="26"/>
                <w:szCs w:val="26"/>
              </w:rPr>
              <w:t xml:space="preserve"> </w:t>
            </w:r>
            <w:r w:rsidR="00030EA9" w:rsidRPr="001C0A98">
              <w:rPr>
                <w:sz w:val="26"/>
                <w:szCs w:val="26"/>
              </w:rPr>
              <w:t xml:space="preserve">ar </w:t>
            </w:r>
            <w:r w:rsidR="005A6A77">
              <w:rPr>
                <w:sz w:val="26"/>
                <w:szCs w:val="26"/>
              </w:rPr>
              <w:t xml:space="preserve">Sacensību sarīkošanas </w:t>
            </w:r>
            <w:r w:rsidR="00030EA9" w:rsidRPr="001C0A98">
              <w:rPr>
                <w:sz w:val="26"/>
                <w:szCs w:val="26"/>
              </w:rPr>
              <w:t>licences iegādi saistītos izdevumus</w:t>
            </w:r>
            <w:r w:rsidR="00516CE8">
              <w:rPr>
                <w:sz w:val="26"/>
                <w:szCs w:val="26"/>
              </w:rPr>
              <w:t xml:space="preserve"> </w:t>
            </w:r>
            <w:r w:rsidR="00516CE8" w:rsidRPr="00A938C0">
              <w:rPr>
                <w:sz w:val="26"/>
                <w:szCs w:val="26"/>
              </w:rPr>
              <w:t>(</w:t>
            </w:r>
            <w:r w:rsidR="00D43BAA" w:rsidRPr="00A938C0">
              <w:rPr>
                <w:sz w:val="26"/>
                <w:szCs w:val="26"/>
              </w:rPr>
              <w:t xml:space="preserve">t.i., izdevumi ar Sacensību norisi saistītās licences iegādei tiek pilnībā kompensēti ar pievienotās vērtības nodokļa prognozēto valsts budžeta ieņēmumu palielinājumu, </w:t>
            </w:r>
            <w:r w:rsidR="00516CE8" w:rsidRPr="00A938C0">
              <w:rPr>
                <w:sz w:val="26"/>
                <w:szCs w:val="26"/>
              </w:rPr>
              <w:t>tādejādi ir uzskatāms par fiskāli neitrālu pasākumu)</w:t>
            </w:r>
            <w:r w:rsidR="00030EA9" w:rsidRPr="00A938C0">
              <w:rPr>
                <w:sz w:val="26"/>
                <w:szCs w:val="26"/>
              </w:rPr>
              <w:t>.</w:t>
            </w:r>
            <w:r w:rsidR="005A6A77">
              <w:rPr>
                <w:sz w:val="26"/>
                <w:szCs w:val="26"/>
              </w:rPr>
              <w:t xml:space="preserve"> Ņemot vērā to, ka attiecīgais finansējums paredzams </w:t>
            </w:r>
            <w:r w:rsidR="005A6A77" w:rsidRPr="005A6A77">
              <w:rPr>
                <w:sz w:val="26"/>
                <w:szCs w:val="26"/>
              </w:rPr>
              <w:t>IZM valsts budžeta programmas 0</w:t>
            </w:r>
            <w:r w:rsidR="005A6A77">
              <w:rPr>
                <w:sz w:val="26"/>
                <w:szCs w:val="26"/>
              </w:rPr>
              <w:t>9.00.00 „Sports” apakšprogrammā</w:t>
            </w:r>
            <w:r w:rsidR="005A6A77" w:rsidRPr="005A6A77">
              <w:rPr>
                <w:sz w:val="26"/>
                <w:szCs w:val="26"/>
              </w:rPr>
              <w:t xml:space="preserve"> 09.16.00 „Dotācija nacionālas nozīmes starptautisku sporta pasākumu organizēšanai Latvijā”</w:t>
            </w:r>
            <w:r w:rsidR="005A6A77">
              <w:rPr>
                <w:sz w:val="26"/>
                <w:szCs w:val="26"/>
              </w:rPr>
              <w:t xml:space="preserve">, nepieciešams palielināt minētās apakšprogrammas </w:t>
            </w:r>
            <w:r w:rsidR="005A6A77" w:rsidRPr="005A6A77">
              <w:rPr>
                <w:sz w:val="26"/>
                <w:szCs w:val="26"/>
              </w:rPr>
              <w:t>bāzes izdevumus 2017., 2018. un 2019.gadam</w:t>
            </w:r>
            <w:r w:rsidR="005A6A77">
              <w:rPr>
                <w:sz w:val="26"/>
                <w:szCs w:val="26"/>
              </w:rPr>
              <w:t xml:space="preserve"> par 300 000 EUR apmērā ik gadu.</w:t>
            </w:r>
          </w:p>
          <w:p w:rsidR="002D3867" w:rsidRPr="005A6A77" w:rsidRDefault="002D3867" w:rsidP="00150A43">
            <w:pPr>
              <w:ind w:left="-16"/>
              <w:jc w:val="both"/>
              <w:rPr>
                <w:sz w:val="26"/>
                <w:szCs w:val="26"/>
              </w:rPr>
            </w:pPr>
            <w:r>
              <w:rPr>
                <w:sz w:val="26"/>
                <w:szCs w:val="26"/>
              </w:rPr>
              <w:lastRenderedPageBreak/>
              <w:tab/>
            </w:r>
            <w:r>
              <w:rPr>
                <w:sz w:val="26"/>
                <w:szCs w:val="26"/>
              </w:rPr>
              <w:tab/>
            </w:r>
            <w:r w:rsidR="003B1147">
              <w:rPr>
                <w:sz w:val="26"/>
                <w:szCs w:val="26"/>
              </w:rPr>
              <w:t>Papildus minētam</w:t>
            </w:r>
            <w:r w:rsidR="00FC47E4">
              <w:rPr>
                <w:sz w:val="26"/>
                <w:szCs w:val="26"/>
              </w:rPr>
              <w:t>, Ministru kabineta rīkojum</w:t>
            </w:r>
            <w:r w:rsidR="003B1147">
              <w:rPr>
                <w:sz w:val="26"/>
                <w:szCs w:val="26"/>
              </w:rPr>
              <w:t>a projekts</w:t>
            </w:r>
            <w:r w:rsidR="00FC47E4">
              <w:rPr>
                <w:sz w:val="26"/>
                <w:szCs w:val="26"/>
              </w:rPr>
              <w:t xml:space="preserve"> paredz uzdevumu </w:t>
            </w:r>
            <w:r w:rsidR="00FC47E4" w:rsidRPr="0088436E">
              <w:rPr>
                <w:sz w:val="26"/>
                <w:szCs w:val="26"/>
              </w:rPr>
              <w:t>Biedrība</w:t>
            </w:r>
            <w:r w:rsidR="00FC47E4">
              <w:rPr>
                <w:sz w:val="26"/>
                <w:szCs w:val="26"/>
              </w:rPr>
              <w:t>i</w:t>
            </w:r>
            <w:r w:rsidR="00FC47E4" w:rsidRPr="0088436E">
              <w:rPr>
                <w:sz w:val="26"/>
                <w:szCs w:val="26"/>
              </w:rPr>
              <w:t xml:space="preserve"> par saviem līdzekļiem Sacensību laikā 2017., 2018. un 2019.gadā organizē</w:t>
            </w:r>
            <w:r w:rsidR="00FC47E4">
              <w:rPr>
                <w:sz w:val="26"/>
                <w:szCs w:val="26"/>
              </w:rPr>
              <w:t>t</w:t>
            </w:r>
            <w:r w:rsidR="00FC47E4" w:rsidRPr="0088436E">
              <w:rPr>
                <w:sz w:val="26"/>
                <w:szCs w:val="26"/>
              </w:rPr>
              <w:t xml:space="preserve"> neatkarīgu pētījumu par Sacensību ekonomiskajiem ieguvumiem un ietekmi</w:t>
            </w:r>
            <w:r w:rsidR="00FC47E4">
              <w:rPr>
                <w:sz w:val="26"/>
                <w:szCs w:val="26"/>
              </w:rPr>
              <w:t xml:space="preserve"> uz valsts budžeta ieņēmumiem.</w:t>
            </w: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6.1. detalizēts ieņēmumu aprēķins</w:t>
            </w:r>
          </w:p>
        </w:tc>
        <w:tc>
          <w:tcPr>
            <w:tcW w:w="6946" w:type="dxa"/>
            <w:gridSpan w:val="5"/>
            <w:vMerge/>
            <w:shd w:val="clear" w:color="auto" w:fill="auto"/>
          </w:tcPr>
          <w:p w:rsidR="004D1736" w:rsidRPr="0006125D" w:rsidRDefault="004D1736" w:rsidP="00F41C85">
            <w:pPr>
              <w:rPr>
                <w:b/>
                <w:i/>
                <w:sz w:val="26"/>
                <w:szCs w:val="26"/>
              </w:rPr>
            </w:pPr>
          </w:p>
        </w:tc>
      </w:tr>
      <w:tr w:rsidR="004D1736" w:rsidRPr="0006125D" w:rsidTr="0019216B">
        <w:trPr>
          <w:jc w:val="center"/>
        </w:trPr>
        <w:tc>
          <w:tcPr>
            <w:tcW w:w="3256" w:type="dxa"/>
          </w:tcPr>
          <w:p w:rsidR="004D1736" w:rsidRPr="0006125D" w:rsidRDefault="004D1736" w:rsidP="00F41C85">
            <w:pPr>
              <w:rPr>
                <w:sz w:val="26"/>
                <w:szCs w:val="26"/>
              </w:rPr>
            </w:pPr>
            <w:r w:rsidRPr="0006125D">
              <w:rPr>
                <w:sz w:val="26"/>
                <w:szCs w:val="26"/>
              </w:rPr>
              <w:t>6.2. detalizēts izdevumu aprēķins</w:t>
            </w:r>
          </w:p>
        </w:tc>
        <w:tc>
          <w:tcPr>
            <w:tcW w:w="6946" w:type="dxa"/>
            <w:gridSpan w:val="5"/>
            <w:vMerge/>
            <w:shd w:val="clear" w:color="auto" w:fill="auto"/>
          </w:tcPr>
          <w:p w:rsidR="004D1736" w:rsidRPr="0006125D" w:rsidRDefault="004D1736" w:rsidP="00F41C85">
            <w:pPr>
              <w:rPr>
                <w:b/>
                <w:i/>
                <w:sz w:val="26"/>
                <w:szCs w:val="26"/>
              </w:rPr>
            </w:pPr>
          </w:p>
        </w:tc>
      </w:tr>
      <w:tr w:rsidR="004D1736" w:rsidRPr="0006125D" w:rsidTr="0019216B">
        <w:trPr>
          <w:trHeight w:val="399"/>
          <w:jc w:val="center"/>
        </w:trPr>
        <w:tc>
          <w:tcPr>
            <w:tcW w:w="3256" w:type="dxa"/>
          </w:tcPr>
          <w:p w:rsidR="004D1736" w:rsidRPr="0006125D" w:rsidRDefault="004D1736" w:rsidP="00F41C85">
            <w:pPr>
              <w:rPr>
                <w:sz w:val="26"/>
                <w:szCs w:val="26"/>
              </w:rPr>
            </w:pPr>
            <w:r w:rsidRPr="0006125D">
              <w:rPr>
                <w:sz w:val="26"/>
                <w:szCs w:val="26"/>
              </w:rPr>
              <w:lastRenderedPageBreak/>
              <w:t>7. Cita informācija</w:t>
            </w:r>
          </w:p>
        </w:tc>
        <w:tc>
          <w:tcPr>
            <w:tcW w:w="6946" w:type="dxa"/>
            <w:gridSpan w:val="5"/>
            <w:shd w:val="clear" w:color="auto" w:fill="auto"/>
          </w:tcPr>
          <w:p w:rsidR="004D1736" w:rsidRPr="0006125D" w:rsidRDefault="00330CA9" w:rsidP="00330CA9">
            <w:pPr>
              <w:tabs>
                <w:tab w:val="left" w:pos="601"/>
              </w:tabs>
              <w:jc w:val="both"/>
              <w:rPr>
                <w:sz w:val="26"/>
                <w:szCs w:val="26"/>
              </w:rPr>
            </w:pPr>
            <w:r>
              <w:rPr>
                <w:sz w:val="26"/>
                <w:szCs w:val="26"/>
              </w:rPr>
              <w:tab/>
            </w:r>
            <w:r w:rsidR="006A70D3" w:rsidRPr="006A70D3">
              <w:rPr>
                <w:sz w:val="26"/>
                <w:szCs w:val="26"/>
              </w:rPr>
              <w:t xml:space="preserve">Jautājums par Sacensību organizēšanas izdevumu līdzfinansēšanai </w:t>
            </w:r>
            <w:r>
              <w:rPr>
                <w:sz w:val="26"/>
                <w:szCs w:val="26"/>
              </w:rPr>
              <w:t>Biedrības (Rīkotāja)</w:t>
            </w:r>
            <w:r w:rsidR="006A70D3" w:rsidRPr="006A70D3">
              <w:rPr>
                <w:sz w:val="26"/>
                <w:szCs w:val="26"/>
              </w:rPr>
              <w:t xml:space="preserve"> lūgto valsts finansējumu (100 000 EUR gadā) 2017., 2018. un 2019.gadā ir izskatāms, sagatavojot vidēja termiņa budžeta ietvara likumprojektu un valsts budžeta projektu kārtējam gadam, vienlaikus ar visu ministriju un citu centrālo valsts iestāžu jauno politikas iniciatīvu pieprasījumiem atbilstoši attiecīgā gada valsts budžeta finansiālajām iespējām.</w:t>
            </w:r>
          </w:p>
        </w:tc>
      </w:tr>
    </w:tbl>
    <w:p w:rsidR="004D1736" w:rsidRPr="0006125D" w:rsidRDefault="004D1736" w:rsidP="004D1736">
      <w:pPr>
        <w:pStyle w:val="naisf"/>
        <w:tabs>
          <w:tab w:val="left" w:pos="3819"/>
        </w:tabs>
        <w:spacing w:before="0" w:after="0"/>
        <w:ind w:firstLine="0"/>
        <w:rPr>
          <w:sz w:val="26"/>
          <w:szCs w:val="26"/>
        </w:rPr>
      </w:pPr>
    </w:p>
    <w:p w:rsidR="004D1736" w:rsidRPr="0006125D" w:rsidRDefault="004D1736" w:rsidP="004D1736">
      <w:pPr>
        <w:ind w:left="-567" w:right="-427"/>
        <w:jc w:val="both"/>
        <w:rPr>
          <w:i/>
          <w:sz w:val="26"/>
          <w:szCs w:val="26"/>
        </w:rPr>
      </w:pPr>
      <w:r w:rsidRPr="0006125D">
        <w:rPr>
          <w:i/>
          <w:sz w:val="26"/>
          <w:szCs w:val="26"/>
        </w:rPr>
        <w:t>Anotācijas II, IV, V, VI un VII sadaļa – Ministru kabineta rīkojuma projekts šīs jomas neskar.</w:t>
      </w:r>
    </w:p>
    <w:p w:rsidR="004D1736" w:rsidRDefault="004D1736" w:rsidP="004D1736">
      <w:pPr>
        <w:rPr>
          <w:sz w:val="26"/>
          <w:szCs w:val="26"/>
        </w:rPr>
      </w:pPr>
    </w:p>
    <w:p w:rsidR="004D1736" w:rsidRPr="0006125D" w:rsidRDefault="004D1736" w:rsidP="004D1736">
      <w:pPr>
        <w:pStyle w:val="BodyText2"/>
        <w:spacing w:after="0" w:line="240" w:lineRule="auto"/>
        <w:ind w:firstLine="720"/>
        <w:jc w:val="both"/>
        <w:rPr>
          <w:sz w:val="26"/>
          <w:szCs w:val="26"/>
        </w:rPr>
      </w:pPr>
      <w:r w:rsidRPr="0006125D">
        <w:rPr>
          <w:sz w:val="26"/>
          <w:szCs w:val="26"/>
        </w:rPr>
        <w:t>Izglītības un zinātnes ministre</w:t>
      </w:r>
      <w:r w:rsidRPr="0006125D">
        <w:rPr>
          <w:sz w:val="26"/>
          <w:szCs w:val="26"/>
        </w:rPr>
        <w:tab/>
      </w:r>
      <w:r w:rsidRPr="0006125D">
        <w:rPr>
          <w:sz w:val="26"/>
          <w:szCs w:val="26"/>
        </w:rPr>
        <w:tab/>
      </w:r>
      <w:r w:rsidRPr="0006125D">
        <w:rPr>
          <w:sz w:val="26"/>
          <w:szCs w:val="26"/>
        </w:rPr>
        <w:tab/>
      </w:r>
      <w:r w:rsidRPr="0006125D">
        <w:rPr>
          <w:sz w:val="26"/>
          <w:szCs w:val="26"/>
        </w:rPr>
        <w:tab/>
        <w:t>Mārīte Seile</w:t>
      </w:r>
    </w:p>
    <w:p w:rsidR="004D1736" w:rsidRDefault="004D1736" w:rsidP="004D1736">
      <w:pPr>
        <w:rPr>
          <w:sz w:val="26"/>
          <w:szCs w:val="26"/>
        </w:rPr>
      </w:pPr>
    </w:p>
    <w:p w:rsidR="004D1736" w:rsidRPr="004D1736" w:rsidRDefault="004D1736" w:rsidP="004D1736">
      <w:pPr>
        <w:pStyle w:val="BodyText2"/>
        <w:spacing w:after="0" w:line="240" w:lineRule="auto"/>
        <w:ind w:firstLine="720"/>
        <w:jc w:val="both"/>
        <w:rPr>
          <w:sz w:val="26"/>
          <w:szCs w:val="26"/>
        </w:rPr>
      </w:pPr>
      <w:r w:rsidRPr="004D1736">
        <w:rPr>
          <w:sz w:val="26"/>
          <w:szCs w:val="26"/>
        </w:rPr>
        <w:t xml:space="preserve">Vizē: </w:t>
      </w:r>
      <w:r w:rsidRPr="004D1736">
        <w:rPr>
          <w:sz w:val="26"/>
          <w:szCs w:val="26"/>
        </w:rPr>
        <w:tab/>
      </w:r>
    </w:p>
    <w:p w:rsidR="004D1736" w:rsidRPr="004D1736" w:rsidRDefault="004D1736" w:rsidP="004D1736">
      <w:pPr>
        <w:pStyle w:val="BodyText2"/>
        <w:spacing w:after="0" w:line="240" w:lineRule="auto"/>
        <w:ind w:firstLine="720"/>
        <w:jc w:val="both"/>
        <w:rPr>
          <w:sz w:val="26"/>
          <w:szCs w:val="26"/>
        </w:rPr>
      </w:pPr>
      <w:r w:rsidRPr="004D1736">
        <w:rPr>
          <w:sz w:val="26"/>
          <w:szCs w:val="26"/>
        </w:rPr>
        <w:t>Valsts sekretāre</w:t>
      </w:r>
      <w:r w:rsidRPr="004D1736">
        <w:rPr>
          <w:sz w:val="26"/>
          <w:szCs w:val="26"/>
        </w:rPr>
        <w:tab/>
      </w:r>
      <w:r w:rsidRPr="004D1736">
        <w:rPr>
          <w:sz w:val="26"/>
          <w:szCs w:val="26"/>
        </w:rPr>
        <w:tab/>
      </w:r>
      <w:r w:rsidRPr="004D1736">
        <w:rPr>
          <w:sz w:val="26"/>
          <w:szCs w:val="26"/>
        </w:rPr>
        <w:tab/>
      </w:r>
      <w:r w:rsidRPr="004D1736">
        <w:rPr>
          <w:sz w:val="26"/>
          <w:szCs w:val="26"/>
        </w:rPr>
        <w:tab/>
      </w:r>
      <w:r w:rsidRPr="004D1736">
        <w:rPr>
          <w:sz w:val="26"/>
          <w:szCs w:val="26"/>
        </w:rPr>
        <w:tab/>
      </w:r>
      <w:r w:rsidRPr="004D1736">
        <w:rPr>
          <w:sz w:val="26"/>
          <w:szCs w:val="26"/>
        </w:rPr>
        <w:tab/>
        <w:t>Līga Lejiņa</w:t>
      </w:r>
    </w:p>
    <w:p w:rsidR="00DB0182" w:rsidRDefault="00DB0182" w:rsidP="004D1736">
      <w:pPr>
        <w:pStyle w:val="BodyText2"/>
        <w:spacing w:after="0" w:line="240" w:lineRule="auto"/>
        <w:ind w:firstLine="720"/>
        <w:jc w:val="both"/>
        <w:rPr>
          <w:sz w:val="26"/>
          <w:szCs w:val="26"/>
        </w:rPr>
      </w:pPr>
    </w:p>
    <w:p w:rsidR="00A938C0" w:rsidRDefault="00A938C0" w:rsidP="00A06BCC">
      <w:pPr>
        <w:ind w:left="720"/>
      </w:pPr>
    </w:p>
    <w:p w:rsidR="00A938C0" w:rsidRDefault="00A938C0" w:rsidP="00A06BCC">
      <w:pPr>
        <w:ind w:left="720"/>
      </w:pPr>
    </w:p>
    <w:p w:rsidR="00A938C0" w:rsidRDefault="00A938C0" w:rsidP="00A06BCC">
      <w:pPr>
        <w:ind w:left="720"/>
      </w:pPr>
    </w:p>
    <w:p w:rsidR="00A938C0" w:rsidRDefault="00A938C0" w:rsidP="00A06BCC">
      <w:pPr>
        <w:ind w:left="720"/>
      </w:pPr>
    </w:p>
    <w:p w:rsidR="003C79FD" w:rsidRDefault="003C79FD" w:rsidP="00A06BCC">
      <w:pPr>
        <w:ind w:left="720"/>
      </w:pPr>
    </w:p>
    <w:p w:rsidR="003C79FD" w:rsidRDefault="003C79FD" w:rsidP="00A06BCC">
      <w:pPr>
        <w:ind w:left="720"/>
      </w:pPr>
    </w:p>
    <w:p w:rsidR="003C79FD" w:rsidRDefault="003C79FD" w:rsidP="00A06BCC">
      <w:pPr>
        <w:ind w:left="720"/>
      </w:pPr>
    </w:p>
    <w:p w:rsidR="003C79FD" w:rsidRDefault="003C79FD" w:rsidP="00A06BCC">
      <w:pPr>
        <w:ind w:left="720"/>
      </w:pPr>
    </w:p>
    <w:p w:rsidR="00A938C0" w:rsidRDefault="00A938C0" w:rsidP="00A06BCC">
      <w:pPr>
        <w:ind w:left="720"/>
      </w:pPr>
    </w:p>
    <w:p w:rsidR="00A938C0" w:rsidRDefault="00A938C0" w:rsidP="00A06BCC">
      <w:pPr>
        <w:ind w:left="720"/>
      </w:pPr>
    </w:p>
    <w:p w:rsidR="00A06BCC" w:rsidRPr="00B9710C" w:rsidRDefault="00A06BCC" w:rsidP="00A06BCC">
      <w:pPr>
        <w:ind w:left="720"/>
      </w:pPr>
      <w:r w:rsidRPr="00B9710C">
        <w:t>0</w:t>
      </w:r>
      <w:r>
        <w:t>5</w:t>
      </w:r>
      <w:r w:rsidRPr="00B9710C">
        <w:t xml:space="preserve">.02.2016. </w:t>
      </w:r>
      <w:r w:rsidR="00012DB1">
        <w:t>11</w:t>
      </w:r>
      <w:r>
        <w:t>:</w:t>
      </w:r>
      <w:r w:rsidR="004568A8">
        <w:t>33</w:t>
      </w:r>
      <w:bookmarkStart w:id="3" w:name="_GoBack"/>
      <w:bookmarkEnd w:id="3"/>
    </w:p>
    <w:p w:rsidR="00A06BCC" w:rsidRPr="00B9710C" w:rsidRDefault="0019216B" w:rsidP="00A06BCC">
      <w:pPr>
        <w:tabs>
          <w:tab w:val="center" w:pos="4819"/>
        </w:tabs>
        <w:ind w:left="720"/>
      </w:pPr>
      <w:r>
        <w:t>1</w:t>
      </w:r>
      <w:r w:rsidR="005761A1">
        <w:t>806</w:t>
      </w:r>
      <w:r w:rsidR="00A06BCC" w:rsidRPr="00B9710C">
        <w:tab/>
      </w:r>
    </w:p>
    <w:p w:rsidR="00A06BCC" w:rsidRPr="00B9710C" w:rsidRDefault="00A06BCC" w:rsidP="00A06BCC">
      <w:pPr>
        <w:ind w:left="720"/>
      </w:pPr>
      <w:r w:rsidRPr="00B9710C">
        <w:t>Izglītības un zinātnes ministrijas</w:t>
      </w:r>
    </w:p>
    <w:p w:rsidR="00A06BCC" w:rsidRPr="00B9710C" w:rsidRDefault="00A06BCC" w:rsidP="00A06BCC">
      <w:pPr>
        <w:ind w:left="720"/>
      </w:pPr>
      <w:r w:rsidRPr="00B9710C">
        <w:t xml:space="preserve">valsts sekretāra vietnieks – </w:t>
      </w:r>
    </w:p>
    <w:p w:rsidR="00A06BCC" w:rsidRPr="00B9710C" w:rsidRDefault="00A06BCC" w:rsidP="00A06BCC">
      <w:pPr>
        <w:ind w:left="720"/>
      </w:pPr>
      <w:r w:rsidRPr="00B9710C">
        <w:t>Sporta departamenta direktors E.Severs</w:t>
      </w:r>
    </w:p>
    <w:p w:rsidR="004D1736" w:rsidRPr="004D1736" w:rsidRDefault="00A06BCC" w:rsidP="007C0FED">
      <w:pPr>
        <w:ind w:left="720"/>
        <w:rPr>
          <w:sz w:val="26"/>
          <w:szCs w:val="26"/>
        </w:rPr>
      </w:pPr>
      <w:r w:rsidRPr="00B9710C">
        <w:t>67047935, edgars.severs@izm.gov.lv</w:t>
      </w:r>
    </w:p>
    <w:sectPr w:rsidR="004D1736" w:rsidRPr="004D1736" w:rsidSect="006676C9">
      <w:headerReference w:type="default" r:id="rId7"/>
      <w:footerReference w:type="default" r:id="rId8"/>
      <w:footerReference w:type="first" r:id="rId9"/>
      <w:pgSz w:w="11906" w:h="16838"/>
      <w:pgMar w:top="709" w:right="1274" w:bottom="1134" w:left="1418" w:header="709" w:footer="3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A6" w:rsidRDefault="00050AA6" w:rsidP="00F150ED">
      <w:r>
        <w:separator/>
      </w:r>
    </w:p>
  </w:endnote>
  <w:endnote w:type="continuationSeparator" w:id="0">
    <w:p w:rsidR="00050AA6" w:rsidRDefault="00050AA6" w:rsidP="00F1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85" w:rsidRPr="006676C9" w:rsidRDefault="00F41C85" w:rsidP="006676C9">
    <w:pPr>
      <w:pStyle w:val="Footer"/>
      <w:ind w:right="-569"/>
      <w:jc w:val="both"/>
    </w:pPr>
    <w:r w:rsidRPr="002B2B30">
      <w:rPr>
        <w:sz w:val="22"/>
        <w:szCs w:val="22"/>
      </w:rPr>
      <w:t>IZMAnot_</w:t>
    </w:r>
    <w:r>
      <w:rPr>
        <w:sz w:val="22"/>
        <w:szCs w:val="22"/>
      </w:rPr>
      <w:t>0</w:t>
    </w:r>
    <w:r w:rsidR="00DD4451">
      <w:rPr>
        <w:sz w:val="22"/>
        <w:szCs w:val="22"/>
      </w:rPr>
      <w:t>5</w:t>
    </w:r>
    <w:r>
      <w:rPr>
        <w:sz w:val="22"/>
        <w:szCs w:val="22"/>
      </w:rPr>
      <w:t>0216</w:t>
    </w:r>
    <w:r w:rsidRPr="002B2B30">
      <w:rPr>
        <w:sz w:val="22"/>
        <w:szCs w:val="22"/>
      </w:rPr>
      <w:t>_</w:t>
    </w:r>
    <w:r>
      <w:rPr>
        <w:sz w:val="22"/>
        <w:szCs w:val="22"/>
      </w:rPr>
      <w:t>rallijs</w:t>
    </w:r>
    <w:r w:rsidRPr="002B2B30">
      <w:rPr>
        <w:sz w:val="22"/>
        <w:szCs w:val="22"/>
      </w:rPr>
      <w:t xml:space="preserve">; </w:t>
    </w:r>
    <w:r w:rsidRPr="006676C9">
      <w:rPr>
        <w:sz w:val="22"/>
        <w:szCs w:val="22"/>
      </w:rPr>
      <w:t>Ministru kabineta rīkojuma projekta „Par Starptautiskās Automobiļu federācijas Eiropas rallija čempionāta posma turpināšanu Latvijā 2017.–2019.gadā”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85" w:rsidRPr="002B2B30" w:rsidRDefault="00F41C85" w:rsidP="006676C9">
    <w:pPr>
      <w:pStyle w:val="Footer"/>
      <w:ind w:right="-569"/>
      <w:jc w:val="both"/>
      <w:rPr>
        <w:sz w:val="22"/>
        <w:szCs w:val="22"/>
      </w:rPr>
    </w:pPr>
    <w:r w:rsidRPr="002B2B30">
      <w:rPr>
        <w:sz w:val="22"/>
        <w:szCs w:val="22"/>
      </w:rPr>
      <w:t>IZMAnot_</w:t>
    </w:r>
    <w:r>
      <w:rPr>
        <w:sz w:val="22"/>
        <w:szCs w:val="22"/>
      </w:rPr>
      <w:t>0</w:t>
    </w:r>
    <w:r w:rsidR="00DD4451">
      <w:rPr>
        <w:sz w:val="22"/>
        <w:szCs w:val="22"/>
      </w:rPr>
      <w:t>5</w:t>
    </w:r>
    <w:r>
      <w:rPr>
        <w:sz w:val="22"/>
        <w:szCs w:val="22"/>
      </w:rPr>
      <w:t>0216</w:t>
    </w:r>
    <w:r w:rsidRPr="002B2B30">
      <w:rPr>
        <w:sz w:val="22"/>
        <w:szCs w:val="22"/>
      </w:rPr>
      <w:t>_</w:t>
    </w:r>
    <w:r>
      <w:rPr>
        <w:sz w:val="22"/>
        <w:szCs w:val="22"/>
      </w:rPr>
      <w:t>rallijs</w:t>
    </w:r>
    <w:r w:rsidRPr="002B2B30">
      <w:rPr>
        <w:sz w:val="22"/>
        <w:szCs w:val="22"/>
      </w:rPr>
      <w:t xml:space="preserve">; </w:t>
    </w:r>
    <w:r w:rsidRPr="006676C9">
      <w:rPr>
        <w:sz w:val="22"/>
        <w:szCs w:val="22"/>
      </w:rPr>
      <w:t>Ministru kabineta rīkojuma projekta „Par Starptautiskās Automobiļu federācijas Eiropas rallija čempionāta posma turpināšanu Latvijā 2017.–2019.gadā”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A6" w:rsidRDefault="00050AA6" w:rsidP="00F150ED">
      <w:r>
        <w:separator/>
      </w:r>
    </w:p>
  </w:footnote>
  <w:footnote w:type="continuationSeparator" w:id="0">
    <w:p w:rsidR="00050AA6" w:rsidRDefault="00050AA6" w:rsidP="00F1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970931"/>
      <w:docPartObj>
        <w:docPartGallery w:val="Page Numbers (Top of Page)"/>
        <w:docPartUnique/>
      </w:docPartObj>
    </w:sdtPr>
    <w:sdtEndPr>
      <w:rPr>
        <w:noProof/>
      </w:rPr>
    </w:sdtEndPr>
    <w:sdtContent>
      <w:p w:rsidR="00F41C85" w:rsidRDefault="00F41C85">
        <w:pPr>
          <w:pStyle w:val="Header"/>
          <w:jc w:val="center"/>
        </w:pPr>
        <w:r>
          <w:fldChar w:fldCharType="begin"/>
        </w:r>
        <w:r>
          <w:instrText xml:space="preserve"> PAGE   \* MERGEFORMAT </w:instrText>
        </w:r>
        <w:r>
          <w:fldChar w:fldCharType="separate"/>
        </w:r>
        <w:r w:rsidR="004568A8">
          <w:rPr>
            <w:noProof/>
          </w:rPr>
          <w:t>4</w:t>
        </w:r>
        <w:r>
          <w:rPr>
            <w:noProof/>
          </w:rPr>
          <w:fldChar w:fldCharType="end"/>
        </w:r>
      </w:p>
    </w:sdtContent>
  </w:sdt>
  <w:p w:rsidR="00F41C85" w:rsidRDefault="00F41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E2C35"/>
    <w:multiLevelType w:val="hybridMultilevel"/>
    <w:tmpl w:val="082CC3E2"/>
    <w:lvl w:ilvl="0" w:tplc="2CF2AB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5BF7B42"/>
    <w:multiLevelType w:val="hybridMultilevel"/>
    <w:tmpl w:val="8BFE0912"/>
    <w:lvl w:ilvl="0" w:tplc="FD0ECA12">
      <w:start w:val="1"/>
      <w:numFmt w:val="decimal"/>
      <w:lvlText w:val="(%1)"/>
      <w:lvlJc w:val="left"/>
      <w:pPr>
        <w:ind w:left="507" w:hanging="375"/>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nsid w:val="291E1D90"/>
    <w:multiLevelType w:val="hybridMultilevel"/>
    <w:tmpl w:val="990000D2"/>
    <w:lvl w:ilvl="0" w:tplc="74F0AC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CFB5413"/>
    <w:multiLevelType w:val="hybridMultilevel"/>
    <w:tmpl w:val="A85A0CC6"/>
    <w:lvl w:ilvl="0" w:tplc="1D1AC3BC">
      <w:start w:val="1"/>
      <w:numFmt w:val="decimal"/>
      <w:lvlText w:val="(%1)"/>
      <w:lvlJc w:val="left"/>
      <w:pPr>
        <w:ind w:left="720" w:hanging="360"/>
      </w:pPr>
      <w:rPr>
        <w:rFonts w:eastAsiaTheme="minorHAnsi" w:hint="default"/>
        <w:sz w:val="25"/>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1E082D"/>
    <w:multiLevelType w:val="hybridMultilevel"/>
    <w:tmpl w:val="E7DEEB4A"/>
    <w:lvl w:ilvl="0" w:tplc="85EC3CD4">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3A232351"/>
    <w:multiLevelType w:val="hybridMultilevel"/>
    <w:tmpl w:val="170EFC9A"/>
    <w:lvl w:ilvl="0" w:tplc="1BCEFE6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BB415DF"/>
    <w:multiLevelType w:val="hybridMultilevel"/>
    <w:tmpl w:val="725805D4"/>
    <w:lvl w:ilvl="0" w:tplc="587CF626">
      <w:start w:val="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5F1EC1"/>
    <w:multiLevelType w:val="hybridMultilevel"/>
    <w:tmpl w:val="DE529D16"/>
    <w:lvl w:ilvl="0" w:tplc="4BB25BAA">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9">
    <w:nsid w:val="52C46590"/>
    <w:multiLevelType w:val="hybridMultilevel"/>
    <w:tmpl w:val="8938CEE2"/>
    <w:lvl w:ilvl="0" w:tplc="88A6BB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23B2B37"/>
    <w:multiLevelType w:val="multilevel"/>
    <w:tmpl w:val="7AD6EFF2"/>
    <w:lvl w:ilvl="0">
      <w:start w:val="1"/>
      <w:numFmt w:val="decimal"/>
      <w:lvlText w:val="%1."/>
      <w:lvlJc w:val="left"/>
      <w:pPr>
        <w:ind w:left="720" w:hanging="360"/>
      </w:pPr>
      <w:rPr>
        <w:rFonts w:hint="default"/>
        <w:b w:val="0"/>
        <w:sz w:val="24"/>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7DC7CBC"/>
    <w:multiLevelType w:val="hybridMultilevel"/>
    <w:tmpl w:val="DE529D16"/>
    <w:lvl w:ilvl="0" w:tplc="4BB25BAA">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2">
    <w:nsid w:val="7DFA234E"/>
    <w:multiLevelType w:val="hybridMultilevel"/>
    <w:tmpl w:val="990000D2"/>
    <w:lvl w:ilvl="0" w:tplc="74F0AC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7"/>
  </w:num>
  <w:num w:numId="3">
    <w:abstractNumId w:val="5"/>
  </w:num>
  <w:num w:numId="4">
    <w:abstractNumId w:val="1"/>
  </w:num>
  <w:num w:numId="5">
    <w:abstractNumId w:val="4"/>
  </w:num>
  <w:num w:numId="6">
    <w:abstractNumId w:val="3"/>
  </w:num>
  <w:num w:numId="7">
    <w:abstractNumId w:val="9"/>
  </w:num>
  <w:num w:numId="8">
    <w:abstractNumId w:val="12"/>
  </w:num>
  <w:num w:numId="9">
    <w:abstractNumId w:val="0"/>
  </w:num>
  <w:num w:numId="10">
    <w:abstractNumId w:val="8"/>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03"/>
    <w:rsid w:val="000063D9"/>
    <w:rsid w:val="00006CE4"/>
    <w:rsid w:val="0000797F"/>
    <w:rsid w:val="00007B8C"/>
    <w:rsid w:val="00012DB1"/>
    <w:rsid w:val="00013C71"/>
    <w:rsid w:val="0002308B"/>
    <w:rsid w:val="00030EA9"/>
    <w:rsid w:val="00050AA6"/>
    <w:rsid w:val="0005528F"/>
    <w:rsid w:val="00063A2D"/>
    <w:rsid w:val="00066D46"/>
    <w:rsid w:val="0007178B"/>
    <w:rsid w:val="00072900"/>
    <w:rsid w:val="0009174B"/>
    <w:rsid w:val="00091DF9"/>
    <w:rsid w:val="000943BF"/>
    <w:rsid w:val="0009548C"/>
    <w:rsid w:val="000A2279"/>
    <w:rsid w:val="000D29F9"/>
    <w:rsid w:val="000F5A4C"/>
    <w:rsid w:val="000F70C4"/>
    <w:rsid w:val="001007CE"/>
    <w:rsid w:val="00122CC8"/>
    <w:rsid w:val="00145D0E"/>
    <w:rsid w:val="0014678E"/>
    <w:rsid w:val="00150A43"/>
    <w:rsid w:val="00153786"/>
    <w:rsid w:val="00160A69"/>
    <w:rsid w:val="0016595C"/>
    <w:rsid w:val="00174310"/>
    <w:rsid w:val="0017545D"/>
    <w:rsid w:val="001755A7"/>
    <w:rsid w:val="001879F1"/>
    <w:rsid w:val="0019216B"/>
    <w:rsid w:val="001A262F"/>
    <w:rsid w:val="001B00B8"/>
    <w:rsid w:val="001B29AC"/>
    <w:rsid w:val="001C0A98"/>
    <w:rsid w:val="001D0156"/>
    <w:rsid w:val="001D6E3F"/>
    <w:rsid w:val="001E0B34"/>
    <w:rsid w:val="001E4902"/>
    <w:rsid w:val="001E5502"/>
    <w:rsid w:val="00203D9E"/>
    <w:rsid w:val="00207395"/>
    <w:rsid w:val="00207CF8"/>
    <w:rsid w:val="002444F2"/>
    <w:rsid w:val="00247910"/>
    <w:rsid w:val="00286EB9"/>
    <w:rsid w:val="002A506E"/>
    <w:rsid w:val="002B2B30"/>
    <w:rsid w:val="002B5CD8"/>
    <w:rsid w:val="002C6B16"/>
    <w:rsid w:val="002D3867"/>
    <w:rsid w:val="002D3B14"/>
    <w:rsid w:val="002F1367"/>
    <w:rsid w:val="00320479"/>
    <w:rsid w:val="00330CA9"/>
    <w:rsid w:val="00355C25"/>
    <w:rsid w:val="00391EE6"/>
    <w:rsid w:val="003968C8"/>
    <w:rsid w:val="00396BCE"/>
    <w:rsid w:val="003B1147"/>
    <w:rsid w:val="003C5380"/>
    <w:rsid w:val="003C79FD"/>
    <w:rsid w:val="003D2313"/>
    <w:rsid w:val="003D6625"/>
    <w:rsid w:val="004122F6"/>
    <w:rsid w:val="00415905"/>
    <w:rsid w:val="00426961"/>
    <w:rsid w:val="00432FDC"/>
    <w:rsid w:val="00436BED"/>
    <w:rsid w:val="004568A8"/>
    <w:rsid w:val="00467A6A"/>
    <w:rsid w:val="004B4DBD"/>
    <w:rsid w:val="004B5624"/>
    <w:rsid w:val="004D1736"/>
    <w:rsid w:val="004E23DB"/>
    <w:rsid w:val="0050057D"/>
    <w:rsid w:val="00502306"/>
    <w:rsid w:val="005025AE"/>
    <w:rsid w:val="00510799"/>
    <w:rsid w:val="0051361F"/>
    <w:rsid w:val="00516CE8"/>
    <w:rsid w:val="00535714"/>
    <w:rsid w:val="00537364"/>
    <w:rsid w:val="00543BCA"/>
    <w:rsid w:val="005462FE"/>
    <w:rsid w:val="005465EA"/>
    <w:rsid w:val="00555DBF"/>
    <w:rsid w:val="00565FFC"/>
    <w:rsid w:val="005761A1"/>
    <w:rsid w:val="0058091B"/>
    <w:rsid w:val="005865FF"/>
    <w:rsid w:val="00587724"/>
    <w:rsid w:val="00587EA1"/>
    <w:rsid w:val="005914F6"/>
    <w:rsid w:val="00595D9A"/>
    <w:rsid w:val="00596146"/>
    <w:rsid w:val="00597659"/>
    <w:rsid w:val="005A3400"/>
    <w:rsid w:val="005A6A77"/>
    <w:rsid w:val="005B06F7"/>
    <w:rsid w:val="005B6AC3"/>
    <w:rsid w:val="005B6D30"/>
    <w:rsid w:val="005E0754"/>
    <w:rsid w:val="005F6432"/>
    <w:rsid w:val="00602829"/>
    <w:rsid w:val="00623B2B"/>
    <w:rsid w:val="00646BF0"/>
    <w:rsid w:val="006574E4"/>
    <w:rsid w:val="00660ABA"/>
    <w:rsid w:val="006676C9"/>
    <w:rsid w:val="006A70D3"/>
    <w:rsid w:val="006B2D6F"/>
    <w:rsid w:val="006B6483"/>
    <w:rsid w:val="006C31EA"/>
    <w:rsid w:val="00713DE9"/>
    <w:rsid w:val="0073483A"/>
    <w:rsid w:val="00735003"/>
    <w:rsid w:val="00735817"/>
    <w:rsid w:val="007762A2"/>
    <w:rsid w:val="0078237B"/>
    <w:rsid w:val="00786D71"/>
    <w:rsid w:val="007A731F"/>
    <w:rsid w:val="007B0231"/>
    <w:rsid w:val="007C0FED"/>
    <w:rsid w:val="007C29F9"/>
    <w:rsid w:val="007D226C"/>
    <w:rsid w:val="007E3AEF"/>
    <w:rsid w:val="0082088A"/>
    <w:rsid w:val="0084026B"/>
    <w:rsid w:val="00872A3A"/>
    <w:rsid w:val="008760A9"/>
    <w:rsid w:val="0088368A"/>
    <w:rsid w:val="0088436E"/>
    <w:rsid w:val="00891CF6"/>
    <w:rsid w:val="008A5746"/>
    <w:rsid w:val="008C0466"/>
    <w:rsid w:val="009018BF"/>
    <w:rsid w:val="009114BB"/>
    <w:rsid w:val="009125F1"/>
    <w:rsid w:val="00914B7D"/>
    <w:rsid w:val="00927546"/>
    <w:rsid w:val="00935ACA"/>
    <w:rsid w:val="0094553A"/>
    <w:rsid w:val="009612E3"/>
    <w:rsid w:val="00965CE9"/>
    <w:rsid w:val="009A09F9"/>
    <w:rsid w:val="009D0F3D"/>
    <w:rsid w:val="009D7F7E"/>
    <w:rsid w:val="009E0872"/>
    <w:rsid w:val="009E1247"/>
    <w:rsid w:val="00A06BCC"/>
    <w:rsid w:val="00A51F4A"/>
    <w:rsid w:val="00A54FE0"/>
    <w:rsid w:val="00A717A2"/>
    <w:rsid w:val="00A71DBF"/>
    <w:rsid w:val="00A721B7"/>
    <w:rsid w:val="00A800E6"/>
    <w:rsid w:val="00A8148E"/>
    <w:rsid w:val="00A83D92"/>
    <w:rsid w:val="00A938C0"/>
    <w:rsid w:val="00AB05A5"/>
    <w:rsid w:val="00AB6629"/>
    <w:rsid w:val="00AD571E"/>
    <w:rsid w:val="00AE062F"/>
    <w:rsid w:val="00AE21F0"/>
    <w:rsid w:val="00AE2C98"/>
    <w:rsid w:val="00AF10D0"/>
    <w:rsid w:val="00AF6B35"/>
    <w:rsid w:val="00B05EA2"/>
    <w:rsid w:val="00B17DE1"/>
    <w:rsid w:val="00B62BE5"/>
    <w:rsid w:val="00B705DF"/>
    <w:rsid w:val="00B74854"/>
    <w:rsid w:val="00B759D1"/>
    <w:rsid w:val="00B819B9"/>
    <w:rsid w:val="00B8443A"/>
    <w:rsid w:val="00BA0AAF"/>
    <w:rsid w:val="00BA3E79"/>
    <w:rsid w:val="00BC4B83"/>
    <w:rsid w:val="00BD15D7"/>
    <w:rsid w:val="00BD1E0B"/>
    <w:rsid w:val="00BE26D7"/>
    <w:rsid w:val="00BE6C1B"/>
    <w:rsid w:val="00BF6B66"/>
    <w:rsid w:val="00C11D00"/>
    <w:rsid w:val="00C2065D"/>
    <w:rsid w:val="00C21B04"/>
    <w:rsid w:val="00C46E1B"/>
    <w:rsid w:val="00C76FD7"/>
    <w:rsid w:val="00C82DE4"/>
    <w:rsid w:val="00CB43F5"/>
    <w:rsid w:val="00CB6AC8"/>
    <w:rsid w:val="00CC2036"/>
    <w:rsid w:val="00CE23A7"/>
    <w:rsid w:val="00D35728"/>
    <w:rsid w:val="00D41B31"/>
    <w:rsid w:val="00D43BAA"/>
    <w:rsid w:val="00D46FCA"/>
    <w:rsid w:val="00D55BCC"/>
    <w:rsid w:val="00D67B6B"/>
    <w:rsid w:val="00DA64C5"/>
    <w:rsid w:val="00DA716A"/>
    <w:rsid w:val="00DB0182"/>
    <w:rsid w:val="00DB441F"/>
    <w:rsid w:val="00DD4451"/>
    <w:rsid w:val="00DE4075"/>
    <w:rsid w:val="00E1350D"/>
    <w:rsid w:val="00E23F55"/>
    <w:rsid w:val="00E34590"/>
    <w:rsid w:val="00E45C66"/>
    <w:rsid w:val="00E50240"/>
    <w:rsid w:val="00E50CC7"/>
    <w:rsid w:val="00E552F8"/>
    <w:rsid w:val="00E91C78"/>
    <w:rsid w:val="00EE01DC"/>
    <w:rsid w:val="00EF6126"/>
    <w:rsid w:val="00EF67D4"/>
    <w:rsid w:val="00F150ED"/>
    <w:rsid w:val="00F164D2"/>
    <w:rsid w:val="00F32FAC"/>
    <w:rsid w:val="00F4041E"/>
    <w:rsid w:val="00F41C85"/>
    <w:rsid w:val="00F4636F"/>
    <w:rsid w:val="00F54DC4"/>
    <w:rsid w:val="00F62640"/>
    <w:rsid w:val="00F6752B"/>
    <w:rsid w:val="00F72610"/>
    <w:rsid w:val="00F82076"/>
    <w:rsid w:val="00F9594F"/>
    <w:rsid w:val="00F96FD8"/>
    <w:rsid w:val="00FA6FFC"/>
    <w:rsid w:val="00FB52BF"/>
    <w:rsid w:val="00FB7518"/>
    <w:rsid w:val="00FC05E4"/>
    <w:rsid w:val="00FC0C0D"/>
    <w:rsid w:val="00FC3FAF"/>
    <w:rsid w:val="00FC47E4"/>
    <w:rsid w:val="00FC4B1F"/>
    <w:rsid w:val="00FD6F3C"/>
    <w:rsid w:val="00FF7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0A54EB86-47D0-496F-ABD6-DC9B7C16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003"/>
    <w:rPr>
      <w:strike w:val="0"/>
      <w:dstrike w:val="0"/>
      <w:color w:val="0000FF"/>
      <w:u w:val="none"/>
      <w:effect w:val="none"/>
    </w:rPr>
  </w:style>
  <w:style w:type="paragraph" w:styleId="NoSpacing">
    <w:name w:val="No Spacing"/>
    <w:uiPriority w:val="1"/>
    <w:qFormat/>
    <w:rsid w:val="00735003"/>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35003"/>
    <w:pPr>
      <w:ind w:left="720"/>
      <w:contextualSpacing/>
    </w:pPr>
  </w:style>
  <w:style w:type="paragraph" w:styleId="Header">
    <w:name w:val="header"/>
    <w:basedOn w:val="Normal"/>
    <w:link w:val="HeaderChar"/>
    <w:uiPriority w:val="99"/>
    <w:unhideWhenUsed/>
    <w:rsid w:val="00F150ED"/>
    <w:pPr>
      <w:tabs>
        <w:tab w:val="center" w:pos="4153"/>
        <w:tab w:val="right" w:pos="8306"/>
      </w:tabs>
    </w:pPr>
  </w:style>
  <w:style w:type="character" w:customStyle="1" w:styleId="HeaderChar">
    <w:name w:val="Header Char"/>
    <w:basedOn w:val="DefaultParagraphFont"/>
    <w:link w:val="Header"/>
    <w:uiPriority w:val="99"/>
    <w:rsid w:val="00F150E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50ED"/>
    <w:pPr>
      <w:tabs>
        <w:tab w:val="center" w:pos="4153"/>
        <w:tab w:val="right" w:pos="8306"/>
      </w:tabs>
    </w:pPr>
  </w:style>
  <w:style w:type="character" w:customStyle="1" w:styleId="FooterChar">
    <w:name w:val="Footer Char"/>
    <w:basedOn w:val="DefaultParagraphFont"/>
    <w:link w:val="Footer"/>
    <w:uiPriority w:val="99"/>
    <w:rsid w:val="00F150ED"/>
    <w:rPr>
      <w:rFonts w:ascii="Times New Roman" w:eastAsia="Times New Roman" w:hAnsi="Times New Roman" w:cs="Times New Roman"/>
      <w:sz w:val="24"/>
      <w:szCs w:val="24"/>
      <w:lang w:eastAsia="lv-LV"/>
    </w:rPr>
  </w:style>
  <w:style w:type="paragraph" w:customStyle="1" w:styleId="naisf">
    <w:name w:val="naisf"/>
    <w:basedOn w:val="Normal"/>
    <w:rsid w:val="004D1736"/>
    <w:pPr>
      <w:spacing w:before="75" w:after="75"/>
      <w:ind w:firstLine="375"/>
      <w:jc w:val="both"/>
    </w:pPr>
    <w:rPr>
      <w:rFonts w:eastAsia="Calibri"/>
    </w:rPr>
  </w:style>
  <w:style w:type="paragraph" w:customStyle="1" w:styleId="naisnod">
    <w:name w:val="naisnod"/>
    <w:basedOn w:val="Normal"/>
    <w:rsid w:val="004D1736"/>
    <w:pPr>
      <w:spacing w:before="150" w:after="150"/>
      <w:jc w:val="center"/>
    </w:pPr>
    <w:rPr>
      <w:rFonts w:eastAsia="Calibri"/>
      <w:b/>
      <w:bCs/>
    </w:rPr>
  </w:style>
  <w:style w:type="paragraph" w:customStyle="1" w:styleId="naiskr">
    <w:name w:val="naiskr"/>
    <w:basedOn w:val="Normal"/>
    <w:rsid w:val="004D1736"/>
    <w:pPr>
      <w:spacing w:before="75" w:after="75"/>
    </w:pPr>
    <w:rPr>
      <w:rFonts w:eastAsia="Calibri"/>
    </w:rPr>
  </w:style>
  <w:style w:type="paragraph" w:styleId="BodyText2">
    <w:name w:val="Body Text 2"/>
    <w:basedOn w:val="Normal"/>
    <w:link w:val="BodyText2Char"/>
    <w:rsid w:val="004D1736"/>
    <w:pPr>
      <w:spacing w:after="120" w:line="480" w:lineRule="auto"/>
    </w:pPr>
    <w:rPr>
      <w:lang w:eastAsia="en-US"/>
    </w:rPr>
  </w:style>
  <w:style w:type="character" w:customStyle="1" w:styleId="BodyText2Char">
    <w:name w:val="Body Text 2 Char"/>
    <w:basedOn w:val="DefaultParagraphFont"/>
    <w:link w:val="BodyText2"/>
    <w:rsid w:val="004D1736"/>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D173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50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4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9122</Words>
  <Characters>5201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Roze</dc:creator>
  <cp:keywords/>
  <dc:description/>
  <cp:lastModifiedBy>Edgars Severs</cp:lastModifiedBy>
  <cp:revision>8</cp:revision>
  <dcterms:created xsi:type="dcterms:W3CDTF">2016-02-05T09:23:00Z</dcterms:created>
  <dcterms:modified xsi:type="dcterms:W3CDTF">2016-02-05T09:33:00Z</dcterms:modified>
</cp:coreProperties>
</file>