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36" w:rsidRPr="0006125D" w:rsidRDefault="004D1736" w:rsidP="004D1736">
      <w:pPr>
        <w:tabs>
          <w:tab w:val="center" w:pos="4535"/>
          <w:tab w:val="left" w:pos="7035"/>
        </w:tabs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1"/>
      <w:r w:rsidRPr="0006125D">
        <w:rPr>
          <w:b/>
          <w:sz w:val="26"/>
          <w:szCs w:val="26"/>
        </w:rPr>
        <w:t>Ministru kabineta rīkojuma projekta “</w:t>
      </w:r>
      <w:r w:rsidRPr="004D1736">
        <w:rPr>
          <w:b/>
          <w:sz w:val="26"/>
          <w:szCs w:val="26"/>
        </w:rPr>
        <w:t>Grozījum</w:t>
      </w:r>
      <w:r w:rsidR="001D6E3F">
        <w:rPr>
          <w:b/>
          <w:sz w:val="26"/>
          <w:szCs w:val="26"/>
        </w:rPr>
        <w:t xml:space="preserve">s </w:t>
      </w:r>
      <w:r w:rsidRPr="004D1736">
        <w:rPr>
          <w:b/>
          <w:sz w:val="26"/>
          <w:szCs w:val="26"/>
        </w:rPr>
        <w:t>Ministru kabineta 2014. gada 5. decembra rīkojumā Nr. 743 “Par apropriācijas pārdali”</w:t>
      </w:r>
      <w:r w:rsidRPr="0006125D">
        <w:rPr>
          <w:b/>
          <w:sz w:val="26"/>
          <w:szCs w:val="26"/>
        </w:rPr>
        <w:t xml:space="preserve">” </w:t>
      </w:r>
    </w:p>
    <w:p w:rsidR="004D1736" w:rsidRDefault="004D1736" w:rsidP="004D1736">
      <w:pPr>
        <w:tabs>
          <w:tab w:val="center" w:pos="4535"/>
          <w:tab w:val="left" w:pos="7035"/>
        </w:tabs>
        <w:jc w:val="center"/>
        <w:rPr>
          <w:b/>
          <w:sz w:val="26"/>
          <w:szCs w:val="26"/>
        </w:rPr>
      </w:pPr>
      <w:r w:rsidRPr="0006125D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6125D">
          <w:rPr>
            <w:b/>
            <w:sz w:val="26"/>
            <w:szCs w:val="26"/>
          </w:rPr>
          <w:t>ziņojums</w:t>
        </w:r>
      </w:smartTag>
      <w:r w:rsidRPr="0006125D">
        <w:rPr>
          <w:b/>
          <w:sz w:val="26"/>
          <w:szCs w:val="26"/>
        </w:rPr>
        <w:t xml:space="preserve"> (anotācija)</w:t>
      </w:r>
    </w:p>
    <w:p w:rsidR="002B2B30" w:rsidRPr="0006125D" w:rsidRDefault="002B2B30" w:rsidP="004D1736">
      <w:pPr>
        <w:tabs>
          <w:tab w:val="center" w:pos="4535"/>
          <w:tab w:val="left" w:pos="7035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7938"/>
      </w:tblGrid>
      <w:tr w:rsidR="004D1736" w:rsidRPr="00C21B04" w:rsidTr="00432FDC">
        <w:tc>
          <w:tcPr>
            <w:tcW w:w="10910" w:type="dxa"/>
            <w:gridSpan w:val="3"/>
            <w:vAlign w:val="center"/>
          </w:tcPr>
          <w:bookmarkEnd w:id="0"/>
          <w:bookmarkEnd w:id="1"/>
          <w:bookmarkEnd w:id="2"/>
          <w:p w:rsidR="004D1736" w:rsidRPr="00C21B04" w:rsidRDefault="004D1736" w:rsidP="00C26214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C21B04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D1736" w:rsidRPr="00C21B04" w:rsidTr="00432FDC">
        <w:trPr>
          <w:trHeight w:val="630"/>
        </w:trPr>
        <w:tc>
          <w:tcPr>
            <w:tcW w:w="562" w:type="dxa"/>
          </w:tcPr>
          <w:p w:rsidR="004D1736" w:rsidRPr="00C21B04" w:rsidRDefault="004D1736" w:rsidP="00C26214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C21B04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D1736" w:rsidRPr="00C21B04" w:rsidRDefault="004D1736" w:rsidP="00C26214">
            <w:pPr>
              <w:pStyle w:val="naiskr"/>
              <w:spacing w:before="0" w:after="0"/>
              <w:ind w:left="141" w:hanging="10"/>
              <w:rPr>
                <w:sz w:val="26"/>
                <w:szCs w:val="26"/>
              </w:rPr>
            </w:pPr>
            <w:r w:rsidRPr="00C21B04">
              <w:rPr>
                <w:sz w:val="26"/>
                <w:szCs w:val="26"/>
              </w:rPr>
              <w:t>Pamatojums</w:t>
            </w:r>
          </w:p>
        </w:tc>
        <w:tc>
          <w:tcPr>
            <w:tcW w:w="7938" w:type="dxa"/>
          </w:tcPr>
          <w:p w:rsidR="004D1736" w:rsidRPr="002B2B30" w:rsidRDefault="004D1736" w:rsidP="007D226C">
            <w:pPr>
              <w:tabs>
                <w:tab w:val="left" w:pos="142"/>
              </w:tabs>
              <w:ind w:left="142" w:right="142"/>
              <w:jc w:val="both"/>
              <w:rPr>
                <w:sz w:val="26"/>
                <w:szCs w:val="26"/>
              </w:rPr>
            </w:pPr>
            <w:r w:rsidRPr="002B2B30">
              <w:rPr>
                <w:sz w:val="26"/>
                <w:szCs w:val="26"/>
              </w:rPr>
              <w:t>Latvijas Nacionālās sporta padomes (turpmāk – Padome) 2015.</w:t>
            </w:r>
            <w:r w:rsidR="007C29F9" w:rsidRPr="002B2B30">
              <w:rPr>
                <w:sz w:val="26"/>
                <w:szCs w:val="26"/>
              </w:rPr>
              <w:t xml:space="preserve"> </w:t>
            </w:r>
            <w:r w:rsidRPr="002B2B30">
              <w:rPr>
                <w:sz w:val="26"/>
                <w:szCs w:val="26"/>
              </w:rPr>
              <w:t>gada 23.</w:t>
            </w:r>
            <w:r w:rsidR="007C29F9" w:rsidRPr="002B2B30">
              <w:rPr>
                <w:sz w:val="26"/>
                <w:szCs w:val="26"/>
              </w:rPr>
              <w:t xml:space="preserve"> </w:t>
            </w:r>
            <w:r w:rsidRPr="002B2B30">
              <w:rPr>
                <w:sz w:val="26"/>
                <w:szCs w:val="26"/>
              </w:rPr>
              <w:t>decembra sēdē Ministru kabinetam izteiktais aicinājums (prot. Nr.</w:t>
            </w:r>
            <w:r w:rsidR="007C29F9" w:rsidRPr="002B2B30">
              <w:rPr>
                <w:sz w:val="26"/>
                <w:szCs w:val="26"/>
              </w:rPr>
              <w:t xml:space="preserve"> </w:t>
            </w:r>
            <w:r w:rsidRPr="002B2B30">
              <w:rPr>
                <w:sz w:val="26"/>
                <w:szCs w:val="26"/>
              </w:rPr>
              <w:t xml:space="preserve">5 4.§)  par 150 000 </w:t>
            </w:r>
            <w:proofErr w:type="spellStart"/>
            <w:r w:rsidRPr="002B2B30">
              <w:rPr>
                <w:i/>
                <w:sz w:val="26"/>
                <w:szCs w:val="26"/>
              </w:rPr>
              <w:t>euro</w:t>
            </w:r>
            <w:proofErr w:type="spellEnd"/>
            <w:r w:rsidRPr="002B2B30">
              <w:rPr>
                <w:sz w:val="26"/>
                <w:szCs w:val="26"/>
              </w:rPr>
              <w:t xml:space="preserve"> atstāšanu biedrības “Latvijas Basketbola savienība” (turpmāk – LBS) rīcībā un novirzīšanu basketbola attīstības veicināšanai bērnu un jauniešu vidū.</w:t>
            </w:r>
          </w:p>
        </w:tc>
      </w:tr>
      <w:tr w:rsidR="004D1736" w:rsidRPr="00C21B04" w:rsidTr="00432FDC">
        <w:trPr>
          <w:trHeight w:val="562"/>
        </w:trPr>
        <w:tc>
          <w:tcPr>
            <w:tcW w:w="562" w:type="dxa"/>
          </w:tcPr>
          <w:p w:rsidR="004D1736" w:rsidRPr="00C21B04" w:rsidRDefault="004D1736" w:rsidP="00C26214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C21B04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4D1736" w:rsidRPr="00C21B04" w:rsidRDefault="004D1736" w:rsidP="00C26214">
            <w:pPr>
              <w:pStyle w:val="naiskr"/>
              <w:tabs>
                <w:tab w:val="left" w:pos="170"/>
              </w:tabs>
              <w:spacing w:before="0" w:after="0"/>
              <w:ind w:left="141"/>
              <w:rPr>
                <w:sz w:val="26"/>
                <w:szCs w:val="26"/>
              </w:rPr>
            </w:pPr>
            <w:r w:rsidRPr="00C21B04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938" w:type="dxa"/>
          </w:tcPr>
          <w:p w:rsidR="004D1736" w:rsidRPr="00502306" w:rsidRDefault="007D226C" w:rsidP="00066D46">
            <w:pPr>
              <w:ind w:left="142" w:right="142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 </w:t>
            </w:r>
            <w:r w:rsidR="004D1736" w:rsidRPr="00502306">
              <w:rPr>
                <w:sz w:val="26"/>
                <w:szCs w:val="26"/>
              </w:rPr>
              <w:t>Ministru kabineta 2014. gada 5. decembra rīkojum</w:t>
            </w:r>
            <w:r>
              <w:rPr>
                <w:sz w:val="26"/>
                <w:szCs w:val="26"/>
              </w:rPr>
              <w:t>u</w:t>
            </w:r>
            <w:r w:rsidR="004D1736" w:rsidRPr="00502306">
              <w:rPr>
                <w:sz w:val="26"/>
                <w:szCs w:val="26"/>
              </w:rPr>
              <w:t xml:space="preserve"> Nr. 743 “Par apropriācijas pārdali” </w:t>
            </w:r>
            <w:r w:rsidR="00C21B04" w:rsidRPr="00502306">
              <w:rPr>
                <w:sz w:val="26"/>
                <w:szCs w:val="26"/>
              </w:rPr>
              <w:t xml:space="preserve">(turpmāk </w:t>
            </w:r>
            <w:r w:rsidR="002B2B30">
              <w:rPr>
                <w:sz w:val="26"/>
                <w:szCs w:val="26"/>
              </w:rPr>
              <w:t>–</w:t>
            </w:r>
            <w:r w:rsidR="00C21B04" w:rsidRPr="005023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</w:t>
            </w:r>
            <w:r w:rsidR="00C21B04" w:rsidRPr="00502306">
              <w:rPr>
                <w:sz w:val="26"/>
                <w:szCs w:val="26"/>
              </w:rPr>
              <w:t xml:space="preserve">īkojums) </w:t>
            </w:r>
            <w:r w:rsidR="004D1736" w:rsidRPr="00502306">
              <w:rPr>
                <w:sz w:val="26"/>
                <w:szCs w:val="26"/>
              </w:rPr>
              <w:t xml:space="preserve">tika atbalstīta apropriācijas pārdale no Izglītības un zinātnes ministrijas (turpmāk – </w:t>
            </w:r>
            <w:r w:rsidR="001E5502">
              <w:rPr>
                <w:sz w:val="26"/>
                <w:szCs w:val="26"/>
              </w:rPr>
              <w:t>IZM</w:t>
            </w:r>
            <w:r w:rsidR="004D1736" w:rsidRPr="00502306">
              <w:rPr>
                <w:sz w:val="26"/>
                <w:szCs w:val="26"/>
              </w:rPr>
              <w:t>) budžeta apakšprogrammas 01.05.00 “Dotācija privātajām mācību iestādēm” 150 000 </w:t>
            </w:r>
            <w:proofErr w:type="spellStart"/>
            <w:r w:rsidR="004D1736" w:rsidRPr="00502306">
              <w:rPr>
                <w:i/>
                <w:sz w:val="26"/>
                <w:szCs w:val="26"/>
              </w:rPr>
              <w:t>euro</w:t>
            </w:r>
            <w:proofErr w:type="spellEnd"/>
            <w:r w:rsidR="004D1736" w:rsidRPr="00502306">
              <w:rPr>
                <w:sz w:val="26"/>
                <w:szCs w:val="26"/>
              </w:rPr>
              <w:t xml:space="preserve"> apmērā uz </w:t>
            </w:r>
            <w:r w:rsidR="001E5502">
              <w:rPr>
                <w:sz w:val="26"/>
                <w:szCs w:val="26"/>
              </w:rPr>
              <w:t>IZM</w:t>
            </w:r>
            <w:r w:rsidR="004D1736" w:rsidRPr="00502306">
              <w:rPr>
                <w:sz w:val="26"/>
                <w:szCs w:val="26"/>
              </w:rPr>
              <w:t xml:space="preserve"> budžeta apakšprogrammu 09.16.00 “Dotācija nacionālās nozīmes starptautisku sporta pasākumu organizēšanai Latvijā”, lai segtu ar 2015.</w:t>
            </w:r>
            <w:r w:rsidR="001A262F" w:rsidRPr="00502306">
              <w:rPr>
                <w:sz w:val="26"/>
                <w:szCs w:val="26"/>
              </w:rPr>
              <w:t xml:space="preserve"> </w:t>
            </w:r>
            <w:r w:rsidR="004D1736" w:rsidRPr="00502306">
              <w:rPr>
                <w:sz w:val="26"/>
                <w:szCs w:val="26"/>
              </w:rPr>
              <w:t>gada Eiropas čempionāta basketbolā grupu turnīra (turpmāk – čempionāts) organizēšanu Latvijā saistīto drošības depozīta maksājumu.</w:t>
            </w:r>
            <w:r w:rsidR="00F96FD8">
              <w:rPr>
                <w:sz w:val="26"/>
                <w:szCs w:val="26"/>
              </w:rPr>
              <w:t xml:space="preserve"> </w:t>
            </w:r>
            <w:r w:rsidR="00063A2D">
              <w:rPr>
                <w:sz w:val="26"/>
                <w:szCs w:val="26"/>
              </w:rPr>
              <w:t xml:space="preserve">Vienlaikus ar </w:t>
            </w:r>
            <w:r w:rsidR="00F96FD8">
              <w:rPr>
                <w:sz w:val="26"/>
                <w:szCs w:val="26"/>
              </w:rPr>
              <w:t>Rīkojuma 2.2.apakšpunkt</w:t>
            </w:r>
            <w:r w:rsidR="00063A2D">
              <w:rPr>
                <w:sz w:val="26"/>
                <w:szCs w:val="26"/>
              </w:rPr>
              <w:t>u tika noteikts</w:t>
            </w:r>
            <w:r w:rsidR="00C21B04" w:rsidRPr="00502306">
              <w:rPr>
                <w:sz w:val="26"/>
                <w:szCs w:val="26"/>
              </w:rPr>
              <w:t>, ka LBS</w:t>
            </w:r>
            <w:r w:rsidR="004D1736" w:rsidRPr="00502306">
              <w:rPr>
                <w:sz w:val="26"/>
                <w:szCs w:val="26"/>
              </w:rPr>
              <w:t xml:space="preserve"> pēc </w:t>
            </w:r>
            <w:r w:rsidR="001A262F" w:rsidRPr="00502306">
              <w:rPr>
                <w:sz w:val="26"/>
                <w:szCs w:val="26"/>
              </w:rPr>
              <w:t>čempionāta</w:t>
            </w:r>
            <w:r w:rsidR="004D1736" w:rsidRPr="00502306">
              <w:rPr>
                <w:sz w:val="26"/>
                <w:szCs w:val="26"/>
              </w:rPr>
              <w:t xml:space="preserve"> norises un drošības depozīta atmaksas saņemšanas </w:t>
            </w:r>
            <w:r w:rsidR="00C21B04" w:rsidRPr="00502306">
              <w:rPr>
                <w:sz w:val="26"/>
                <w:szCs w:val="26"/>
              </w:rPr>
              <w:t xml:space="preserve">no </w:t>
            </w:r>
            <w:r w:rsidR="001A262F" w:rsidRPr="00502306">
              <w:rPr>
                <w:sz w:val="26"/>
                <w:szCs w:val="26"/>
              </w:rPr>
              <w:t xml:space="preserve">Starptautiskās Basketbola federācijas Eiropas nodaļa (FIBA </w:t>
            </w:r>
            <w:proofErr w:type="spellStart"/>
            <w:r w:rsidR="001A262F" w:rsidRPr="002B2B30">
              <w:rPr>
                <w:i/>
                <w:sz w:val="26"/>
                <w:szCs w:val="26"/>
              </w:rPr>
              <w:t>Europe</w:t>
            </w:r>
            <w:proofErr w:type="spellEnd"/>
            <w:r w:rsidR="001A262F" w:rsidRPr="00502306">
              <w:rPr>
                <w:sz w:val="26"/>
                <w:szCs w:val="26"/>
              </w:rPr>
              <w:t xml:space="preserve">) </w:t>
            </w:r>
            <w:r w:rsidR="004D1736" w:rsidRPr="00502306">
              <w:rPr>
                <w:sz w:val="26"/>
                <w:szCs w:val="26"/>
              </w:rPr>
              <w:t xml:space="preserve">pilnā apmērā </w:t>
            </w:r>
            <w:r w:rsidR="00091DF9">
              <w:rPr>
                <w:sz w:val="26"/>
                <w:szCs w:val="26"/>
              </w:rPr>
              <w:t xml:space="preserve">šie līdzekļi </w:t>
            </w:r>
            <w:r w:rsidR="00FC0C0D">
              <w:rPr>
                <w:sz w:val="26"/>
                <w:szCs w:val="26"/>
              </w:rPr>
              <w:t>jāatmaksā</w:t>
            </w:r>
            <w:r w:rsidR="004D1736" w:rsidRPr="00502306">
              <w:rPr>
                <w:sz w:val="26"/>
                <w:szCs w:val="26"/>
              </w:rPr>
              <w:t xml:space="preserve"> valsts budžetā</w:t>
            </w:r>
            <w:r w:rsidR="00091DF9">
              <w:rPr>
                <w:sz w:val="26"/>
                <w:szCs w:val="26"/>
              </w:rPr>
              <w:t>. Š</w:t>
            </w:r>
            <w:r w:rsidR="001A262F" w:rsidRPr="00502306">
              <w:rPr>
                <w:sz w:val="26"/>
                <w:szCs w:val="26"/>
              </w:rPr>
              <w:t xml:space="preserve">ādu nosacījumu paredzēja arī starp </w:t>
            </w:r>
            <w:r w:rsidR="001E5502">
              <w:rPr>
                <w:sz w:val="26"/>
                <w:szCs w:val="26"/>
              </w:rPr>
              <w:t>IZM</w:t>
            </w:r>
            <w:r w:rsidR="001A262F" w:rsidRPr="00502306">
              <w:rPr>
                <w:sz w:val="26"/>
                <w:szCs w:val="26"/>
              </w:rPr>
              <w:t xml:space="preserve"> un LBS</w:t>
            </w:r>
            <w:r w:rsidR="00091DF9" w:rsidRPr="00502306">
              <w:rPr>
                <w:sz w:val="26"/>
                <w:szCs w:val="26"/>
              </w:rPr>
              <w:t xml:space="preserve"> noslēgtais līgums</w:t>
            </w:r>
            <w:r w:rsidR="004D1736" w:rsidRPr="00502306">
              <w:rPr>
                <w:sz w:val="26"/>
                <w:szCs w:val="26"/>
              </w:rPr>
              <w:t>.</w:t>
            </w:r>
          </w:p>
          <w:p w:rsidR="00502306" w:rsidRDefault="00B8443A" w:rsidP="00066D46">
            <w:pPr>
              <w:ind w:left="142" w:right="142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Lai </w:t>
            </w:r>
            <w:r w:rsidRPr="00EF6126">
              <w:rPr>
                <w:sz w:val="26"/>
                <w:szCs w:val="26"/>
              </w:rPr>
              <w:t>sekmētu valsts pārvaldes sadarbību ar čempionāta sarīkošanu organizatoriem, nodrošinātu regulāru informācijas apmaiņu par čempionāta organizēšanas gaitu, kā arī pārraudzītu čempionāta organizēšanai piešķirto valsts finanšu līdzekļu izlietojumu</w:t>
            </w:r>
            <w:r>
              <w:rPr>
                <w:sz w:val="26"/>
                <w:szCs w:val="26"/>
              </w:rPr>
              <w:t xml:space="preserve">, </w:t>
            </w:r>
            <w:r w:rsidR="001E5502">
              <w:rPr>
                <w:sz w:val="26"/>
                <w:szCs w:val="26"/>
              </w:rPr>
              <w:t xml:space="preserve">ar </w:t>
            </w:r>
            <w:r w:rsidR="00DA64C5">
              <w:rPr>
                <w:sz w:val="26"/>
                <w:szCs w:val="26"/>
              </w:rPr>
              <w:t>Ministru kabineta</w:t>
            </w:r>
            <w:r w:rsidR="00EF6126">
              <w:rPr>
                <w:sz w:val="26"/>
                <w:szCs w:val="26"/>
              </w:rPr>
              <w:t xml:space="preserve"> </w:t>
            </w:r>
            <w:r w:rsidR="00EF6126" w:rsidRPr="00EF6126">
              <w:rPr>
                <w:sz w:val="26"/>
                <w:szCs w:val="26"/>
              </w:rPr>
              <w:t>2015.</w:t>
            </w:r>
            <w:r w:rsidR="00510799">
              <w:rPr>
                <w:sz w:val="26"/>
                <w:szCs w:val="26"/>
              </w:rPr>
              <w:t xml:space="preserve"> </w:t>
            </w:r>
            <w:r w:rsidR="00EF6126" w:rsidRPr="00EF6126">
              <w:rPr>
                <w:sz w:val="26"/>
                <w:szCs w:val="26"/>
              </w:rPr>
              <w:t>gada 25.</w:t>
            </w:r>
            <w:r w:rsidR="00510799">
              <w:rPr>
                <w:sz w:val="26"/>
                <w:szCs w:val="26"/>
              </w:rPr>
              <w:t xml:space="preserve"> </w:t>
            </w:r>
            <w:r w:rsidR="00EF6126" w:rsidRPr="00EF6126">
              <w:rPr>
                <w:sz w:val="26"/>
                <w:szCs w:val="26"/>
              </w:rPr>
              <w:t>mart</w:t>
            </w:r>
            <w:r w:rsidR="00DA64C5">
              <w:rPr>
                <w:sz w:val="26"/>
                <w:szCs w:val="26"/>
              </w:rPr>
              <w:t xml:space="preserve">ā </w:t>
            </w:r>
            <w:r w:rsidR="00EF6126" w:rsidRPr="00EF6126">
              <w:rPr>
                <w:sz w:val="26"/>
                <w:szCs w:val="26"/>
              </w:rPr>
              <w:t>rīkojum</w:t>
            </w:r>
            <w:r w:rsidR="00EF6126">
              <w:rPr>
                <w:sz w:val="26"/>
                <w:szCs w:val="26"/>
              </w:rPr>
              <w:t>u</w:t>
            </w:r>
            <w:r w:rsidR="00EF6126" w:rsidRPr="00EF6126">
              <w:rPr>
                <w:sz w:val="26"/>
                <w:szCs w:val="26"/>
              </w:rPr>
              <w:t xml:space="preserve"> Nr.</w:t>
            </w:r>
            <w:r w:rsidR="00510799">
              <w:rPr>
                <w:sz w:val="26"/>
                <w:szCs w:val="26"/>
              </w:rPr>
              <w:t xml:space="preserve"> </w:t>
            </w:r>
            <w:r w:rsidR="00EF6126" w:rsidRPr="00EF6126">
              <w:rPr>
                <w:sz w:val="26"/>
                <w:szCs w:val="26"/>
              </w:rPr>
              <w:t>152</w:t>
            </w:r>
            <w:r w:rsidR="001E5502">
              <w:rPr>
                <w:sz w:val="26"/>
                <w:szCs w:val="26"/>
              </w:rPr>
              <w:t xml:space="preserve"> tika izveidota R</w:t>
            </w:r>
            <w:r w:rsidR="00EF6126" w:rsidRPr="00EF6126">
              <w:rPr>
                <w:sz w:val="26"/>
                <w:szCs w:val="26"/>
              </w:rPr>
              <w:t>īcības komitej</w:t>
            </w:r>
            <w:r w:rsidR="001E5502">
              <w:rPr>
                <w:sz w:val="26"/>
                <w:szCs w:val="26"/>
              </w:rPr>
              <w:t>a</w:t>
            </w:r>
            <w:r w:rsidR="00EF6126" w:rsidRPr="00EF61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čempionāta</w:t>
            </w:r>
            <w:r w:rsidR="00EF6126" w:rsidRPr="00EF6126">
              <w:rPr>
                <w:sz w:val="26"/>
                <w:szCs w:val="26"/>
              </w:rPr>
              <w:t xml:space="preserve"> organizēšanas uzraudzībai</w:t>
            </w:r>
            <w:r w:rsidR="00872A3A">
              <w:rPr>
                <w:sz w:val="26"/>
                <w:szCs w:val="26"/>
              </w:rPr>
              <w:t xml:space="preserve"> (turpmāk – </w:t>
            </w:r>
            <w:r w:rsidR="001E5502">
              <w:rPr>
                <w:sz w:val="26"/>
                <w:szCs w:val="26"/>
              </w:rPr>
              <w:t>K</w:t>
            </w:r>
            <w:r w:rsidR="00872A3A">
              <w:rPr>
                <w:sz w:val="26"/>
                <w:szCs w:val="26"/>
              </w:rPr>
              <w:t>omiteja)</w:t>
            </w:r>
            <w:r w:rsidR="00EF6126">
              <w:rPr>
                <w:sz w:val="26"/>
                <w:szCs w:val="26"/>
              </w:rPr>
              <w:t>.</w:t>
            </w:r>
            <w:r w:rsidR="00872A3A">
              <w:rPr>
                <w:sz w:val="26"/>
                <w:szCs w:val="26"/>
              </w:rPr>
              <w:t xml:space="preserve"> Komiteja</w:t>
            </w:r>
            <w:r>
              <w:rPr>
                <w:sz w:val="26"/>
                <w:szCs w:val="26"/>
              </w:rPr>
              <w:t>s</w:t>
            </w:r>
            <w:r w:rsidR="00872A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2015. gada 30</w:t>
            </w:r>
            <w:r w:rsidR="00565FFC" w:rsidRPr="005023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jūnija</w:t>
            </w:r>
            <w:r w:rsidR="00565FFC" w:rsidRPr="00502306">
              <w:rPr>
                <w:sz w:val="26"/>
                <w:szCs w:val="26"/>
              </w:rPr>
              <w:t xml:space="preserve"> sēdē</w:t>
            </w:r>
            <w:r w:rsidR="001E5502">
              <w:rPr>
                <w:sz w:val="26"/>
                <w:szCs w:val="26"/>
              </w:rPr>
              <w:t>,</w:t>
            </w:r>
            <w:r w:rsidR="00565FFC" w:rsidRPr="00502306">
              <w:rPr>
                <w:sz w:val="26"/>
                <w:szCs w:val="26"/>
              </w:rPr>
              <w:t xml:space="preserve"> </w:t>
            </w:r>
            <w:r w:rsidR="00872A3A">
              <w:rPr>
                <w:sz w:val="26"/>
                <w:szCs w:val="26"/>
              </w:rPr>
              <w:t xml:space="preserve">uzklausot </w:t>
            </w:r>
            <w:r w:rsidR="00565FFC" w:rsidRPr="00502306">
              <w:rPr>
                <w:sz w:val="26"/>
                <w:szCs w:val="26"/>
              </w:rPr>
              <w:t>LBS</w:t>
            </w:r>
            <w:r w:rsidR="00D35728">
              <w:rPr>
                <w:sz w:val="26"/>
                <w:szCs w:val="26"/>
              </w:rPr>
              <w:t xml:space="preserve"> un </w:t>
            </w:r>
            <w:r w:rsidR="001E5502">
              <w:rPr>
                <w:sz w:val="26"/>
                <w:szCs w:val="26"/>
              </w:rPr>
              <w:t xml:space="preserve">Finanšu ministrijas </w:t>
            </w:r>
            <w:r w:rsidR="00872A3A">
              <w:rPr>
                <w:sz w:val="26"/>
                <w:szCs w:val="26"/>
              </w:rPr>
              <w:t>sniegto informāciju</w:t>
            </w:r>
            <w:r w:rsidR="00D35728">
              <w:rPr>
                <w:sz w:val="26"/>
                <w:szCs w:val="26"/>
              </w:rPr>
              <w:t xml:space="preserve">, Komiteja </w:t>
            </w:r>
            <w:r w:rsidR="00872A3A">
              <w:rPr>
                <w:sz w:val="26"/>
                <w:szCs w:val="26"/>
              </w:rPr>
              <w:t xml:space="preserve">konceptuāli atbalstīja </w:t>
            </w:r>
            <w:r w:rsidRPr="00502306">
              <w:rPr>
                <w:sz w:val="26"/>
                <w:szCs w:val="26"/>
              </w:rPr>
              <w:t>(prot. Nr.1 1.§</w:t>
            </w:r>
            <w:r>
              <w:rPr>
                <w:sz w:val="26"/>
                <w:szCs w:val="26"/>
              </w:rPr>
              <w:t>, 1.3.</w:t>
            </w:r>
            <w:r w:rsidR="00595D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apakšpunkts</w:t>
            </w:r>
            <w:r w:rsidRPr="00502306">
              <w:rPr>
                <w:sz w:val="26"/>
                <w:szCs w:val="26"/>
              </w:rPr>
              <w:t xml:space="preserve">) </w:t>
            </w:r>
            <w:r w:rsidR="00565FFC" w:rsidRPr="00502306">
              <w:rPr>
                <w:sz w:val="26"/>
                <w:szCs w:val="26"/>
              </w:rPr>
              <w:t xml:space="preserve">150 000 </w:t>
            </w:r>
            <w:proofErr w:type="spellStart"/>
            <w:r w:rsidR="00565FFC" w:rsidRPr="00502306">
              <w:rPr>
                <w:i/>
                <w:sz w:val="26"/>
                <w:szCs w:val="26"/>
              </w:rPr>
              <w:t>euro</w:t>
            </w:r>
            <w:proofErr w:type="spellEnd"/>
            <w:r w:rsidR="00565FFC" w:rsidRPr="00502306">
              <w:rPr>
                <w:sz w:val="26"/>
                <w:szCs w:val="26"/>
              </w:rPr>
              <w:t xml:space="preserve"> </w:t>
            </w:r>
            <w:r w:rsidR="00502306" w:rsidRPr="00502306">
              <w:rPr>
                <w:sz w:val="26"/>
                <w:szCs w:val="26"/>
              </w:rPr>
              <w:t>ats</w:t>
            </w:r>
            <w:r w:rsidR="00565FFC" w:rsidRPr="00502306">
              <w:rPr>
                <w:sz w:val="26"/>
                <w:szCs w:val="26"/>
              </w:rPr>
              <w:t>tāšanu LBS rīcībā, lai segtu ar čempion</w:t>
            </w:r>
            <w:r w:rsidR="00502306" w:rsidRPr="00502306">
              <w:rPr>
                <w:sz w:val="26"/>
                <w:szCs w:val="26"/>
              </w:rPr>
              <w:t>ātu organizēšanu tieši saistīto</w:t>
            </w:r>
            <w:r w:rsidR="00153786">
              <w:rPr>
                <w:sz w:val="26"/>
                <w:szCs w:val="26"/>
              </w:rPr>
              <w:t>s</w:t>
            </w:r>
            <w:r w:rsidR="00502306" w:rsidRPr="00502306">
              <w:rPr>
                <w:sz w:val="26"/>
                <w:szCs w:val="26"/>
              </w:rPr>
              <w:t xml:space="preserve"> izdevumus</w:t>
            </w:r>
            <w:r w:rsidR="00872A3A">
              <w:rPr>
                <w:sz w:val="26"/>
                <w:szCs w:val="26"/>
              </w:rPr>
              <w:t>.</w:t>
            </w:r>
          </w:p>
          <w:p w:rsidR="0088368A" w:rsidRDefault="0088368A" w:rsidP="00066D46">
            <w:pPr>
              <w:ind w:left="142" w:right="142" w:firstLine="567"/>
              <w:jc w:val="both"/>
              <w:rPr>
                <w:sz w:val="26"/>
                <w:szCs w:val="26"/>
              </w:rPr>
            </w:pPr>
            <w:r w:rsidRPr="00502306">
              <w:rPr>
                <w:sz w:val="26"/>
                <w:szCs w:val="26"/>
              </w:rPr>
              <w:t>Padome</w:t>
            </w:r>
            <w:r>
              <w:rPr>
                <w:sz w:val="26"/>
                <w:szCs w:val="26"/>
              </w:rPr>
              <w:t>s</w:t>
            </w:r>
            <w:r w:rsidRPr="00502306">
              <w:rPr>
                <w:sz w:val="26"/>
                <w:szCs w:val="26"/>
              </w:rPr>
              <w:t xml:space="preserve"> 2015.</w:t>
            </w:r>
            <w:r>
              <w:rPr>
                <w:sz w:val="26"/>
                <w:szCs w:val="26"/>
              </w:rPr>
              <w:t xml:space="preserve"> </w:t>
            </w:r>
            <w:r w:rsidRPr="00502306">
              <w:rPr>
                <w:sz w:val="26"/>
                <w:szCs w:val="26"/>
              </w:rPr>
              <w:t>gada 23.</w:t>
            </w:r>
            <w:r>
              <w:rPr>
                <w:sz w:val="26"/>
                <w:szCs w:val="26"/>
              </w:rPr>
              <w:t xml:space="preserve"> </w:t>
            </w:r>
            <w:r w:rsidRPr="00502306">
              <w:rPr>
                <w:sz w:val="26"/>
                <w:szCs w:val="26"/>
              </w:rPr>
              <w:t>decembra sēdē</w:t>
            </w:r>
            <w:r>
              <w:rPr>
                <w:sz w:val="26"/>
                <w:szCs w:val="26"/>
              </w:rPr>
              <w:t xml:space="preserve">, </w:t>
            </w:r>
            <w:r w:rsidR="00D35728">
              <w:rPr>
                <w:sz w:val="26"/>
                <w:szCs w:val="26"/>
              </w:rPr>
              <w:t>iepazīstoties ar</w:t>
            </w:r>
            <w:r>
              <w:rPr>
                <w:sz w:val="26"/>
                <w:szCs w:val="26"/>
              </w:rPr>
              <w:t xml:space="preserve"> LBS</w:t>
            </w:r>
            <w:r w:rsidR="00D35728">
              <w:rPr>
                <w:sz w:val="26"/>
                <w:szCs w:val="26"/>
              </w:rPr>
              <w:t xml:space="preserve"> pārskatu par čempionāta norisi un aktuālo situāciju ar čempionāta budžetu, izvērtējot LBS veiktā pētījuma par čempionāta </w:t>
            </w:r>
            <w:r w:rsidR="00660ABA">
              <w:rPr>
                <w:sz w:val="26"/>
                <w:szCs w:val="26"/>
              </w:rPr>
              <w:t xml:space="preserve">ekonomiskajiem </w:t>
            </w:r>
            <w:r>
              <w:rPr>
                <w:sz w:val="26"/>
                <w:szCs w:val="26"/>
              </w:rPr>
              <w:t>ieguvumiem</w:t>
            </w:r>
            <w:r w:rsidRPr="0088368A">
              <w:rPr>
                <w:sz w:val="26"/>
                <w:szCs w:val="26"/>
              </w:rPr>
              <w:t xml:space="preserve"> un ietekmi </w:t>
            </w:r>
            <w:r w:rsidR="00D35728">
              <w:rPr>
                <w:sz w:val="26"/>
                <w:szCs w:val="26"/>
              </w:rPr>
              <w:t xml:space="preserve">uz valsts budžeta ieņēmumiem rezultātus, kā arī, ņemot vērā IZM un Finanšu ministrijas viedokli, Padome nolēma </w:t>
            </w:r>
            <w:r w:rsidRPr="00C21B04">
              <w:rPr>
                <w:sz w:val="26"/>
                <w:szCs w:val="26"/>
              </w:rPr>
              <w:t>(prot. Nr.5 4.§)</w:t>
            </w:r>
            <w:r w:rsidR="00660ABA">
              <w:rPr>
                <w:sz w:val="26"/>
                <w:szCs w:val="26"/>
              </w:rPr>
              <w:t xml:space="preserve"> a</w:t>
            </w:r>
            <w:r w:rsidRPr="005B6D30">
              <w:rPr>
                <w:sz w:val="26"/>
                <w:szCs w:val="26"/>
              </w:rPr>
              <w:t xml:space="preserve">tbalstīt </w:t>
            </w:r>
            <w:r w:rsidR="00660ABA">
              <w:rPr>
                <w:sz w:val="26"/>
                <w:szCs w:val="26"/>
              </w:rPr>
              <w:t>Rīkojuma</w:t>
            </w:r>
            <w:r w:rsidRPr="005B6D30">
              <w:rPr>
                <w:sz w:val="26"/>
                <w:szCs w:val="26"/>
              </w:rPr>
              <w:t xml:space="preserve"> 1.</w:t>
            </w:r>
            <w:r>
              <w:rPr>
                <w:sz w:val="26"/>
                <w:szCs w:val="26"/>
              </w:rPr>
              <w:t xml:space="preserve"> </w:t>
            </w:r>
            <w:r w:rsidRPr="005B6D30">
              <w:rPr>
                <w:sz w:val="26"/>
                <w:szCs w:val="26"/>
              </w:rPr>
              <w:t>punkt</w:t>
            </w:r>
            <w:r w:rsidR="00660ABA">
              <w:rPr>
                <w:sz w:val="26"/>
                <w:szCs w:val="26"/>
              </w:rPr>
              <w:t xml:space="preserve">ā </w:t>
            </w:r>
            <w:r>
              <w:rPr>
                <w:sz w:val="26"/>
                <w:szCs w:val="26"/>
              </w:rPr>
              <w:t xml:space="preserve">LBS ar </w:t>
            </w:r>
            <w:r w:rsidR="00A51F4A">
              <w:rPr>
                <w:sz w:val="26"/>
                <w:szCs w:val="26"/>
              </w:rPr>
              <w:t>čempionāta</w:t>
            </w:r>
            <w:r w:rsidR="00A51F4A" w:rsidRPr="005B6D30">
              <w:rPr>
                <w:sz w:val="26"/>
                <w:szCs w:val="26"/>
              </w:rPr>
              <w:t xml:space="preserve"> </w:t>
            </w:r>
            <w:r w:rsidRPr="005B6D30">
              <w:rPr>
                <w:sz w:val="26"/>
                <w:szCs w:val="26"/>
              </w:rPr>
              <w:t xml:space="preserve">organizēšanu saistītā drošības depozīta maksājuma segšanai piešķirto valsts budžeta līdzekļu 150 000 </w:t>
            </w:r>
            <w:proofErr w:type="spellStart"/>
            <w:r w:rsidRPr="005B6D30">
              <w:rPr>
                <w:i/>
                <w:sz w:val="26"/>
                <w:szCs w:val="26"/>
              </w:rPr>
              <w:t>euro</w:t>
            </w:r>
            <w:proofErr w:type="spellEnd"/>
            <w:r w:rsidRPr="005B6D30">
              <w:rPr>
                <w:sz w:val="26"/>
                <w:szCs w:val="26"/>
              </w:rPr>
              <w:t xml:space="preserve"> apmērā atstāšanu </w:t>
            </w:r>
            <w:r>
              <w:rPr>
                <w:sz w:val="26"/>
                <w:szCs w:val="26"/>
              </w:rPr>
              <w:t>LBS</w:t>
            </w:r>
            <w:r w:rsidRPr="005B6D30">
              <w:rPr>
                <w:sz w:val="26"/>
                <w:szCs w:val="26"/>
              </w:rPr>
              <w:t xml:space="preserve"> rīcībā un novirzīšanu basketbola attīstības veic</w:t>
            </w:r>
            <w:r w:rsidR="00BA0AAF">
              <w:rPr>
                <w:sz w:val="26"/>
                <w:szCs w:val="26"/>
              </w:rPr>
              <w:t>ināšanai bērnu un jauniešu vidū</w:t>
            </w:r>
            <w:r w:rsidR="00D35728">
              <w:rPr>
                <w:sz w:val="26"/>
                <w:szCs w:val="26"/>
              </w:rPr>
              <w:t xml:space="preserve"> (</w:t>
            </w:r>
            <w:proofErr w:type="spellStart"/>
            <w:r w:rsidR="00D35728">
              <w:rPr>
                <w:sz w:val="26"/>
                <w:szCs w:val="26"/>
              </w:rPr>
              <w:t>protokollēmuma</w:t>
            </w:r>
            <w:proofErr w:type="spellEnd"/>
            <w:r w:rsidR="00D35728">
              <w:rPr>
                <w:sz w:val="26"/>
                <w:szCs w:val="26"/>
              </w:rPr>
              <w:t xml:space="preserve"> 4.2.apakšpunkts), kā arī uzdeva LBS iesniegt IZM </w:t>
            </w:r>
            <w:r w:rsidR="00D35728" w:rsidRPr="00D35728">
              <w:rPr>
                <w:sz w:val="26"/>
                <w:szCs w:val="26"/>
              </w:rPr>
              <w:t xml:space="preserve">konkrētus priekšlikumus un tāmi par </w:t>
            </w:r>
            <w:r w:rsidR="00D35728">
              <w:rPr>
                <w:sz w:val="26"/>
                <w:szCs w:val="26"/>
              </w:rPr>
              <w:t>LBS</w:t>
            </w:r>
            <w:r w:rsidR="00D35728" w:rsidRPr="00D35728">
              <w:rPr>
                <w:sz w:val="26"/>
                <w:szCs w:val="26"/>
              </w:rPr>
              <w:t xml:space="preserve"> rīcībā atstāto valsts budžeta līdzekļu plānoto izlietojumu basketbola attīstības veicināšanai bērnu un jauniešu vidū</w:t>
            </w:r>
            <w:r w:rsidR="00D35728">
              <w:rPr>
                <w:sz w:val="26"/>
                <w:szCs w:val="26"/>
              </w:rPr>
              <w:t xml:space="preserve"> (</w:t>
            </w:r>
            <w:proofErr w:type="spellStart"/>
            <w:r w:rsidR="00D35728">
              <w:rPr>
                <w:sz w:val="26"/>
                <w:szCs w:val="26"/>
              </w:rPr>
              <w:t>protokollēmuma</w:t>
            </w:r>
            <w:proofErr w:type="spellEnd"/>
            <w:r w:rsidR="00D35728">
              <w:rPr>
                <w:sz w:val="26"/>
                <w:szCs w:val="26"/>
              </w:rPr>
              <w:t xml:space="preserve"> 4.3.apakšpunkts).</w:t>
            </w:r>
          </w:p>
          <w:p w:rsidR="009612E3" w:rsidRDefault="00DA64C5" w:rsidP="00066D46">
            <w:pPr>
              <w:ind w:left="142" w:right="142" w:firstLine="567"/>
              <w:jc w:val="both"/>
              <w:rPr>
                <w:sz w:val="26"/>
                <w:szCs w:val="26"/>
              </w:rPr>
            </w:pPr>
            <w:r w:rsidRPr="00432FDC">
              <w:rPr>
                <w:sz w:val="26"/>
                <w:szCs w:val="26"/>
              </w:rPr>
              <w:t xml:space="preserve">LBS 2016. gada 8. janvāra vēstulē Nr. 3/3 </w:t>
            </w:r>
            <w:r w:rsidR="001E5502" w:rsidRPr="00432FDC">
              <w:rPr>
                <w:sz w:val="26"/>
                <w:szCs w:val="26"/>
              </w:rPr>
              <w:t>IZM</w:t>
            </w:r>
            <w:r w:rsidRPr="00432FDC">
              <w:rPr>
                <w:sz w:val="26"/>
                <w:szCs w:val="26"/>
              </w:rPr>
              <w:t xml:space="preserve"> ir norādījusi konkrētus mērķus valsts budžeta līdzekļu 150 000 </w:t>
            </w:r>
            <w:proofErr w:type="spellStart"/>
            <w:r w:rsidRPr="00432FDC">
              <w:rPr>
                <w:i/>
                <w:sz w:val="26"/>
                <w:szCs w:val="26"/>
              </w:rPr>
              <w:t>euro</w:t>
            </w:r>
            <w:proofErr w:type="spellEnd"/>
            <w:r w:rsidRPr="00432FDC">
              <w:rPr>
                <w:sz w:val="26"/>
                <w:szCs w:val="26"/>
              </w:rPr>
              <w:t xml:space="preserve"> apmērā </w:t>
            </w:r>
            <w:r w:rsidRPr="00432FDC">
              <w:rPr>
                <w:sz w:val="26"/>
                <w:szCs w:val="26"/>
              </w:rPr>
              <w:lastRenderedPageBreak/>
              <w:t>izlietojumam basketbola attīstības veic</w:t>
            </w:r>
            <w:r w:rsidR="00D35728" w:rsidRPr="00432FDC">
              <w:rPr>
                <w:sz w:val="26"/>
                <w:szCs w:val="26"/>
              </w:rPr>
              <w:t xml:space="preserve">ināšanai bērnu un jauniešu vidū, no kuriem secināms, ka </w:t>
            </w:r>
            <w:r w:rsidRPr="00432FDC">
              <w:rPr>
                <w:sz w:val="26"/>
                <w:szCs w:val="26"/>
              </w:rPr>
              <w:t>LBS plāno</w:t>
            </w:r>
            <w:r>
              <w:rPr>
                <w:sz w:val="26"/>
                <w:szCs w:val="26"/>
              </w:rPr>
              <w:t xml:space="preserve"> </w:t>
            </w:r>
            <w:r w:rsidR="00D35728">
              <w:rPr>
                <w:sz w:val="26"/>
                <w:szCs w:val="26"/>
              </w:rPr>
              <w:t xml:space="preserve">(1) </w:t>
            </w:r>
            <w:r>
              <w:rPr>
                <w:sz w:val="26"/>
                <w:szCs w:val="26"/>
              </w:rPr>
              <w:t>uzstādīt brīvdabas basketbola grozus brīvā dabā visā Latvijā, lai nodrošinātu basketbola aktivitāšu pieejamību visām iedzīvotāju grupām, sekmējot veselīgas, sportiskas un aktīvas paaudzes izaugšanu</w:t>
            </w:r>
            <w:r w:rsidR="00D35728">
              <w:rPr>
                <w:sz w:val="26"/>
                <w:szCs w:val="26"/>
              </w:rPr>
              <w:t xml:space="preserve">; (2) </w:t>
            </w:r>
            <w:r>
              <w:rPr>
                <w:sz w:val="26"/>
                <w:szCs w:val="26"/>
              </w:rPr>
              <w:t>tehniski pilnveidot  Latvijas Jaunatnes basketbola līgas (turpmāk – LJBL) sacensību organizēšanu, nodrošinot jaunus datorus visiem basketbola klubiem, kas startē  LJBL, lai visās LJBL sacensībās sekretariāta tiesneši kvalitatīvi varētu izmantot jauno basketbola sacensību statistikas programmu</w:t>
            </w:r>
            <w:r w:rsidR="00D35728">
              <w:rPr>
                <w:sz w:val="26"/>
                <w:szCs w:val="26"/>
              </w:rPr>
              <w:t xml:space="preserve">; (3) sniegt atbalstu </w:t>
            </w:r>
            <w:r>
              <w:rPr>
                <w:sz w:val="26"/>
                <w:szCs w:val="26"/>
              </w:rPr>
              <w:t>Latvijas jaunatnes basketbola izlašu</w:t>
            </w:r>
            <w:r w:rsidR="00D35728">
              <w:rPr>
                <w:sz w:val="26"/>
                <w:szCs w:val="26"/>
              </w:rPr>
              <w:t xml:space="preserve"> sagatavošanai un dalībai starptautiskās sacensībās.</w:t>
            </w:r>
            <w:r w:rsidR="000D29F9">
              <w:rPr>
                <w:sz w:val="26"/>
                <w:szCs w:val="26"/>
              </w:rPr>
              <w:t xml:space="preserve"> </w:t>
            </w:r>
            <w:r w:rsidR="00432FDC">
              <w:rPr>
                <w:sz w:val="26"/>
                <w:szCs w:val="26"/>
              </w:rPr>
              <w:t xml:space="preserve">Pēc IZM pieprasījuma LBS 2016. gada 20. janvāra vēstulē Nr.03/12 iesniedza papildus informāciju, norādot finanšu aprēķinus, kā arī iesniedzot precizētu tāmi. </w:t>
            </w:r>
            <w:r w:rsidR="000D29F9">
              <w:rPr>
                <w:sz w:val="26"/>
                <w:szCs w:val="26"/>
              </w:rPr>
              <w:t xml:space="preserve">Detalizētāk skatīt </w:t>
            </w:r>
            <w:r w:rsidR="00432FDC">
              <w:rPr>
                <w:sz w:val="26"/>
                <w:szCs w:val="26"/>
              </w:rPr>
              <w:t>minētās LBS vēstules un precizēto izdevumu tāmi</w:t>
            </w:r>
            <w:r w:rsidR="000D29F9">
              <w:rPr>
                <w:sz w:val="26"/>
                <w:szCs w:val="26"/>
              </w:rPr>
              <w:t>.</w:t>
            </w:r>
          </w:p>
          <w:p w:rsidR="005B06F7" w:rsidRPr="00C21B04" w:rsidRDefault="00C2065D" w:rsidP="00D35728">
            <w:pPr>
              <w:ind w:left="142" w:right="142" w:firstLine="567"/>
              <w:jc w:val="both"/>
              <w:rPr>
                <w:sz w:val="26"/>
                <w:szCs w:val="26"/>
              </w:rPr>
            </w:pPr>
            <w:r w:rsidRPr="00C2065D">
              <w:rPr>
                <w:sz w:val="26"/>
                <w:szCs w:val="26"/>
              </w:rPr>
              <w:t xml:space="preserve">Ievērojot minēto, </w:t>
            </w:r>
            <w:r w:rsidR="00D35728">
              <w:rPr>
                <w:sz w:val="26"/>
                <w:szCs w:val="26"/>
              </w:rPr>
              <w:t xml:space="preserve">kā arī, ņemot vērā Padomes sēdē doto uzdevumu, </w:t>
            </w:r>
            <w:r w:rsidR="001E5502">
              <w:rPr>
                <w:sz w:val="26"/>
                <w:szCs w:val="26"/>
              </w:rPr>
              <w:t>IZM</w:t>
            </w:r>
            <w:r w:rsidRPr="00C2065D">
              <w:rPr>
                <w:sz w:val="26"/>
                <w:szCs w:val="26"/>
              </w:rPr>
              <w:t xml:space="preserve"> ir izstrādājusi Ministru kabineta rīkojuma projektu par grozījumu Ministru kabineta 2014.</w:t>
            </w:r>
            <w:r>
              <w:rPr>
                <w:sz w:val="26"/>
                <w:szCs w:val="26"/>
              </w:rPr>
              <w:t xml:space="preserve"> </w:t>
            </w:r>
            <w:r w:rsidRPr="00C2065D">
              <w:rPr>
                <w:sz w:val="26"/>
                <w:szCs w:val="26"/>
              </w:rPr>
              <w:t>gada 5.</w:t>
            </w:r>
            <w:r>
              <w:rPr>
                <w:sz w:val="26"/>
                <w:szCs w:val="26"/>
              </w:rPr>
              <w:t xml:space="preserve"> </w:t>
            </w:r>
            <w:r w:rsidRPr="00C2065D">
              <w:rPr>
                <w:sz w:val="26"/>
                <w:szCs w:val="26"/>
              </w:rPr>
              <w:t>decembra rīkojumā Nr.</w:t>
            </w:r>
            <w:r>
              <w:rPr>
                <w:sz w:val="26"/>
                <w:szCs w:val="26"/>
              </w:rPr>
              <w:t xml:space="preserve"> </w:t>
            </w:r>
            <w:r w:rsidRPr="00C2065D">
              <w:rPr>
                <w:sz w:val="26"/>
                <w:szCs w:val="26"/>
              </w:rPr>
              <w:t xml:space="preserve">743 „Par apropriācijas pārdali”, </w:t>
            </w:r>
            <w:r w:rsidR="00D35728">
              <w:rPr>
                <w:sz w:val="26"/>
                <w:szCs w:val="26"/>
              </w:rPr>
              <w:t xml:space="preserve">kurš paredz atcelt LBS noteikto pienākumu par drošības depozīta maksājuma atmaksu valsts budžetā (svītrot Rīkojuma 2.2.apakšpunktu), kā arī izstrādājusi </w:t>
            </w:r>
            <w:r>
              <w:rPr>
                <w:sz w:val="26"/>
                <w:szCs w:val="26"/>
              </w:rPr>
              <w:t>M</w:t>
            </w:r>
            <w:r w:rsidRPr="00C2065D">
              <w:rPr>
                <w:sz w:val="26"/>
                <w:szCs w:val="26"/>
              </w:rPr>
              <w:t xml:space="preserve">inistru kabineta sēdes </w:t>
            </w:r>
            <w:proofErr w:type="spellStart"/>
            <w:r w:rsidRPr="00C2065D">
              <w:rPr>
                <w:sz w:val="26"/>
                <w:szCs w:val="26"/>
              </w:rPr>
              <w:t>protokollēmuma</w:t>
            </w:r>
            <w:proofErr w:type="spellEnd"/>
            <w:r w:rsidRPr="00C2065D">
              <w:rPr>
                <w:sz w:val="26"/>
                <w:szCs w:val="26"/>
              </w:rPr>
              <w:t xml:space="preserve"> projektu, </w:t>
            </w:r>
            <w:r w:rsidR="00D35728">
              <w:rPr>
                <w:sz w:val="26"/>
                <w:szCs w:val="26"/>
              </w:rPr>
              <w:t xml:space="preserve">kurš paredz </w:t>
            </w:r>
            <w:r>
              <w:rPr>
                <w:sz w:val="26"/>
                <w:szCs w:val="26"/>
              </w:rPr>
              <w:t>LBS</w:t>
            </w:r>
            <w:r w:rsidRPr="00C2065D">
              <w:rPr>
                <w:sz w:val="26"/>
                <w:szCs w:val="26"/>
              </w:rPr>
              <w:t xml:space="preserve"> rīcībā atstāto valsts budžeta līdzekļu novirzīšanu basketbola attīstības veic</w:t>
            </w:r>
            <w:r>
              <w:rPr>
                <w:sz w:val="26"/>
                <w:szCs w:val="26"/>
              </w:rPr>
              <w:t xml:space="preserve">ināšanai bērnu un jauniešu vidū. </w:t>
            </w:r>
          </w:p>
        </w:tc>
      </w:tr>
      <w:tr w:rsidR="004D1736" w:rsidRPr="00C21B04" w:rsidTr="00432FDC">
        <w:trPr>
          <w:trHeight w:val="476"/>
        </w:trPr>
        <w:tc>
          <w:tcPr>
            <w:tcW w:w="562" w:type="dxa"/>
          </w:tcPr>
          <w:p w:rsidR="004D1736" w:rsidRPr="00C21B04" w:rsidRDefault="004D1736" w:rsidP="00C26214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C21B0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410" w:type="dxa"/>
          </w:tcPr>
          <w:p w:rsidR="004D1736" w:rsidRPr="00C21B04" w:rsidRDefault="004D1736" w:rsidP="00C26214">
            <w:pPr>
              <w:pStyle w:val="naiskr"/>
              <w:spacing w:before="0" w:after="0"/>
              <w:ind w:left="141"/>
              <w:rPr>
                <w:sz w:val="26"/>
                <w:szCs w:val="26"/>
              </w:rPr>
            </w:pPr>
            <w:r w:rsidRPr="00C21B04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7938" w:type="dxa"/>
          </w:tcPr>
          <w:p w:rsidR="004D1736" w:rsidRPr="00C21B04" w:rsidRDefault="004D1736" w:rsidP="001E5502">
            <w:pPr>
              <w:ind w:left="82" w:right="141" w:firstLine="485"/>
              <w:jc w:val="both"/>
              <w:rPr>
                <w:sz w:val="26"/>
                <w:szCs w:val="26"/>
              </w:rPr>
            </w:pPr>
            <w:r w:rsidRPr="00C21B04">
              <w:rPr>
                <w:sz w:val="26"/>
                <w:szCs w:val="26"/>
              </w:rPr>
              <w:t xml:space="preserve">Ministru kabineta rīkojuma projektu </w:t>
            </w:r>
            <w:r w:rsidR="00D35728">
              <w:rPr>
                <w:sz w:val="26"/>
                <w:szCs w:val="26"/>
              </w:rPr>
              <w:t xml:space="preserve">un Ministru kabineta sēdes </w:t>
            </w:r>
            <w:proofErr w:type="spellStart"/>
            <w:r w:rsidR="00D35728">
              <w:rPr>
                <w:sz w:val="26"/>
                <w:szCs w:val="26"/>
              </w:rPr>
              <w:t>protokollēmuma</w:t>
            </w:r>
            <w:proofErr w:type="spellEnd"/>
            <w:r w:rsidR="00D35728">
              <w:rPr>
                <w:sz w:val="26"/>
                <w:szCs w:val="26"/>
              </w:rPr>
              <w:t xml:space="preserve"> projektu </w:t>
            </w:r>
            <w:r w:rsidRPr="00C21B04">
              <w:rPr>
                <w:sz w:val="26"/>
                <w:szCs w:val="26"/>
              </w:rPr>
              <w:t xml:space="preserve">izstrādāja </w:t>
            </w:r>
            <w:r w:rsidR="001E5502">
              <w:rPr>
                <w:sz w:val="26"/>
                <w:szCs w:val="26"/>
              </w:rPr>
              <w:t>IZM</w:t>
            </w:r>
            <w:r w:rsidRPr="00C21B04">
              <w:rPr>
                <w:sz w:val="26"/>
                <w:szCs w:val="26"/>
              </w:rPr>
              <w:t>, konsultējoties ar Finanšu ministriju</w:t>
            </w:r>
            <w:r w:rsidR="00D35728">
              <w:rPr>
                <w:sz w:val="26"/>
                <w:szCs w:val="26"/>
              </w:rPr>
              <w:t xml:space="preserve"> un LBS</w:t>
            </w:r>
            <w:r w:rsidRPr="00C21B04">
              <w:rPr>
                <w:sz w:val="26"/>
                <w:szCs w:val="26"/>
              </w:rPr>
              <w:t>.</w:t>
            </w:r>
          </w:p>
        </w:tc>
      </w:tr>
      <w:tr w:rsidR="004D1736" w:rsidRPr="00C21B04" w:rsidTr="00432FDC">
        <w:tc>
          <w:tcPr>
            <w:tcW w:w="562" w:type="dxa"/>
          </w:tcPr>
          <w:p w:rsidR="004D1736" w:rsidRPr="00C21B04" w:rsidRDefault="004D1736" w:rsidP="00C26214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C21B04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4D1736" w:rsidRPr="00C21B04" w:rsidRDefault="004D1736" w:rsidP="00C26214">
            <w:pPr>
              <w:pStyle w:val="naiskr"/>
              <w:spacing w:before="0" w:after="0"/>
              <w:ind w:left="141"/>
              <w:rPr>
                <w:sz w:val="26"/>
                <w:szCs w:val="26"/>
              </w:rPr>
            </w:pPr>
            <w:r w:rsidRPr="00C21B04">
              <w:rPr>
                <w:sz w:val="26"/>
                <w:szCs w:val="26"/>
              </w:rPr>
              <w:t>Cita informācija</w:t>
            </w:r>
          </w:p>
        </w:tc>
        <w:tc>
          <w:tcPr>
            <w:tcW w:w="7938" w:type="dxa"/>
          </w:tcPr>
          <w:p w:rsidR="004D1736" w:rsidRPr="00C21B04" w:rsidRDefault="004D1736" w:rsidP="00D35728">
            <w:pPr>
              <w:ind w:left="114" w:right="127" w:firstLine="453"/>
              <w:jc w:val="both"/>
              <w:rPr>
                <w:sz w:val="26"/>
                <w:szCs w:val="26"/>
              </w:rPr>
            </w:pPr>
            <w:r w:rsidRPr="00C21B04">
              <w:rPr>
                <w:sz w:val="26"/>
                <w:szCs w:val="26"/>
              </w:rPr>
              <w:t xml:space="preserve">Ministru kabineta rīkojuma projekts </w:t>
            </w:r>
            <w:r w:rsidR="00D35728">
              <w:rPr>
                <w:sz w:val="26"/>
                <w:szCs w:val="26"/>
              </w:rPr>
              <w:t xml:space="preserve"> un Ministru kabineta sēdes </w:t>
            </w:r>
            <w:proofErr w:type="spellStart"/>
            <w:r w:rsidR="00D35728">
              <w:rPr>
                <w:sz w:val="26"/>
                <w:szCs w:val="26"/>
              </w:rPr>
              <w:t>protokollēmuma</w:t>
            </w:r>
            <w:proofErr w:type="spellEnd"/>
            <w:r w:rsidR="00D35728">
              <w:rPr>
                <w:sz w:val="26"/>
                <w:szCs w:val="26"/>
              </w:rPr>
              <w:t xml:space="preserve"> projekts</w:t>
            </w:r>
            <w:r w:rsidR="00D35728" w:rsidRPr="00C21B04">
              <w:rPr>
                <w:sz w:val="26"/>
                <w:szCs w:val="26"/>
              </w:rPr>
              <w:t xml:space="preserve"> </w:t>
            </w:r>
            <w:r w:rsidRPr="00C21B04">
              <w:rPr>
                <w:sz w:val="26"/>
                <w:szCs w:val="26"/>
              </w:rPr>
              <w:t xml:space="preserve">tiešā veidā attiecas uz tūrisma, sporta un brīvā laika politiku (sporta politiku). Pastarpināti   Ministru kabineta rīkojuma projekts </w:t>
            </w:r>
            <w:r w:rsidR="00D35728">
              <w:rPr>
                <w:sz w:val="26"/>
                <w:szCs w:val="26"/>
              </w:rPr>
              <w:t xml:space="preserve"> un Ministru kabineta sēdes </w:t>
            </w:r>
            <w:proofErr w:type="spellStart"/>
            <w:r w:rsidR="00D35728">
              <w:rPr>
                <w:sz w:val="26"/>
                <w:szCs w:val="26"/>
              </w:rPr>
              <w:t>protokollēmuma</w:t>
            </w:r>
            <w:proofErr w:type="spellEnd"/>
            <w:r w:rsidR="00D35728">
              <w:rPr>
                <w:sz w:val="26"/>
                <w:szCs w:val="26"/>
              </w:rPr>
              <w:t xml:space="preserve"> projekts</w:t>
            </w:r>
            <w:r w:rsidR="00D35728" w:rsidRPr="00C21B04">
              <w:rPr>
                <w:sz w:val="26"/>
                <w:szCs w:val="26"/>
              </w:rPr>
              <w:t xml:space="preserve"> </w:t>
            </w:r>
            <w:r w:rsidRPr="00C21B04">
              <w:rPr>
                <w:sz w:val="26"/>
                <w:szCs w:val="26"/>
              </w:rPr>
              <w:t>attiecas uz budžeta un finanšu politiku.</w:t>
            </w:r>
          </w:p>
        </w:tc>
      </w:tr>
    </w:tbl>
    <w:p w:rsidR="001A262F" w:rsidRPr="0006125D" w:rsidRDefault="001A262F" w:rsidP="004D1736">
      <w:pPr>
        <w:pStyle w:val="naisf"/>
        <w:tabs>
          <w:tab w:val="left" w:pos="3819"/>
        </w:tabs>
        <w:spacing w:before="0" w:after="0"/>
        <w:ind w:firstLine="0"/>
        <w:rPr>
          <w:sz w:val="26"/>
          <w:szCs w:val="26"/>
        </w:rPr>
      </w:pP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732"/>
        <w:gridCol w:w="1383"/>
        <w:gridCol w:w="1227"/>
        <w:gridCol w:w="1227"/>
        <w:gridCol w:w="1246"/>
      </w:tblGrid>
      <w:tr w:rsidR="004D1736" w:rsidRPr="0006125D" w:rsidTr="00432FDC">
        <w:trPr>
          <w:trHeight w:val="361"/>
          <w:jc w:val="center"/>
        </w:trPr>
        <w:tc>
          <w:tcPr>
            <w:tcW w:w="10921" w:type="dxa"/>
            <w:gridSpan w:val="6"/>
            <w:vAlign w:val="center"/>
          </w:tcPr>
          <w:p w:rsidR="004D1736" w:rsidRPr="0006125D" w:rsidRDefault="004D1736" w:rsidP="00C26214">
            <w:pPr>
              <w:jc w:val="center"/>
              <w:rPr>
                <w:b/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br w:type="page"/>
            </w:r>
            <w:r w:rsidRPr="0006125D">
              <w:rPr>
                <w:sz w:val="26"/>
                <w:szCs w:val="26"/>
              </w:rPr>
              <w:br w:type="page"/>
            </w:r>
            <w:r w:rsidRPr="0006125D">
              <w:rPr>
                <w:b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  <w:vMerge w:val="restart"/>
            <w:vAlign w:val="center"/>
          </w:tcPr>
          <w:p w:rsidR="004D1736" w:rsidRPr="0006125D" w:rsidRDefault="00C21B04" w:rsidP="00C26214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  <w:r w:rsidR="004D1736" w:rsidRPr="0006125D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3115" w:type="dxa"/>
            <w:gridSpan w:val="2"/>
            <w:vMerge w:val="restart"/>
            <w:vAlign w:val="center"/>
          </w:tcPr>
          <w:p w:rsidR="004D1736" w:rsidRPr="0006125D" w:rsidRDefault="004D1736" w:rsidP="00D35728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201</w:t>
            </w:r>
            <w:r w:rsidR="00D3572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700" w:type="dxa"/>
            <w:gridSpan w:val="3"/>
            <w:vAlign w:val="center"/>
          </w:tcPr>
          <w:p w:rsidR="004D1736" w:rsidRPr="0006125D" w:rsidRDefault="004D1736" w:rsidP="00C26214">
            <w:pPr>
              <w:jc w:val="center"/>
              <w:rPr>
                <w:b/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Turpmākie trīs gadi (</w:t>
            </w:r>
            <w:proofErr w:type="spellStart"/>
            <w:r w:rsidRPr="0006125D">
              <w:rPr>
                <w:i/>
                <w:sz w:val="26"/>
                <w:szCs w:val="26"/>
              </w:rPr>
              <w:t>euro</w:t>
            </w:r>
            <w:proofErr w:type="spellEnd"/>
            <w:r w:rsidRPr="0006125D">
              <w:rPr>
                <w:sz w:val="26"/>
                <w:szCs w:val="26"/>
              </w:rPr>
              <w:t>)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  <w:vMerge/>
            <w:vAlign w:val="center"/>
          </w:tcPr>
          <w:p w:rsidR="004D1736" w:rsidRPr="0006125D" w:rsidRDefault="004D1736" w:rsidP="00C2621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="004D1736" w:rsidRPr="0006125D" w:rsidRDefault="004D1736" w:rsidP="00C2621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vAlign w:val="center"/>
          </w:tcPr>
          <w:p w:rsidR="004D1736" w:rsidRPr="0006125D" w:rsidRDefault="004D1736" w:rsidP="00D35728">
            <w:pPr>
              <w:jc w:val="center"/>
              <w:rPr>
                <w:b/>
                <w:i/>
                <w:sz w:val="26"/>
                <w:szCs w:val="26"/>
              </w:rPr>
            </w:pPr>
            <w:r w:rsidRPr="0006125D">
              <w:rPr>
                <w:b/>
                <w:bCs/>
                <w:sz w:val="26"/>
                <w:szCs w:val="26"/>
              </w:rPr>
              <w:t>201</w:t>
            </w:r>
            <w:r w:rsidR="00D3572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27" w:type="dxa"/>
            <w:vAlign w:val="center"/>
          </w:tcPr>
          <w:p w:rsidR="004D1736" w:rsidRPr="0006125D" w:rsidRDefault="004D1736" w:rsidP="00D35728">
            <w:pPr>
              <w:jc w:val="center"/>
              <w:rPr>
                <w:b/>
                <w:i/>
                <w:sz w:val="26"/>
                <w:szCs w:val="26"/>
              </w:rPr>
            </w:pPr>
            <w:r w:rsidRPr="0006125D">
              <w:rPr>
                <w:b/>
                <w:bCs/>
                <w:sz w:val="26"/>
                <w:szCs w:val="26"/>
              </w:rPr>
              <w:t>201</w:t>
            </w:r>
            <w:r w:rsidR="00D35728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46" w:type="dxa"/>
            <w:vAlign w:val="center"/>
          </w:tcPr>
          <w:p w:rsidR="004D1736" w:rsidRPr="0006125D" w:rsidRDefault="004D1736" w:rsidP="00D35728">
            <w:pPr>
              <w:jc w:val="center"/>
              <w:rPr>
                <w:b/>
                <w:i/>
                <w:sz w:val="26"/>
                <w:szCs w:val="26"/>
              </w:rPr>
            </w:pPr>
            <w:r w:rsidRPr="0006125D">
              <w:rPr>
                <w:b/>
                <w:bCs/>
                <w:sz w:val="26"/>
                <w:szCs w:val="26"/>
              </w:rPr>
              <w:t>201</w:t>
            </w:r>
            <w:r w:rsidR="00D35728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  <w:vMerge/>
            <w:vAlign w:val="center"/>
          </w:tcPr>
          <w:p w:rsidR="004D1736" w:rsidRPr="0006125D" w:rsidRDefault="004D1736" w:rsidP="00C2621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:rsidR="004D1736" w:rsidRPr="0006125D" w:rsidRDefault="004D1736" w:rsidP="00C26214">
            <w:pPr>
              <w:jc w:val="center"/>
              <w:rPr>
                <w:b/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1383" w:type="dxa"/>
            <w:vAlign w:val="center"/>
          </w:tcPr>
          <w:p w:rsidR="004D1736" w:rsidRPr="0006125D" w:rsidRDefault="004D1736" w:rsidP="00C26214">
            <w:pPr>
              <w:jc w:val="center"/>
              <w:rPr>
                <w:b/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izmaiņas kārtējā gadā, salīdzinot ar budžetu kārtējam gadam</w:t>
            </w:r>
          </w:p>
        </w:tc>
        <w:tc>
          <w:tcPr>
            <w:tcW w:w="1227" w:type="dxa"/>
            <w:vAlign w:val="center"/>
          </w:tcPr>
          <w:p w:rsidR="004D1736" w:rsidRPr="0006125D" w:rsidRDefault="004D1736" w:rsidP="00C26214">
            <w:pPr>
              <w:jc w:val="center"/>
              <w:rPr>
                <w:b/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izmaiņas, salīdzinot ar kārtējo  gadu</w:t>
            </w:r>
          </w:p>
        </w:tc>
        <w:tc>
          <w:tcPr>
            <w:tcW w:w="1227" w:type="dxa"/>
            <w:vAlign w:val="center"/>
          </w:tcPr>
          <w:p w:rsidR="004D1736" w:rsidRPr="0006125D" w:rsidRDefault="004D1736" w:rsidP="00C26214">
            <w:pPr>
              <w:jc w:val="center"/>
              <w:rPr>
                <w:b/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izmaiņas, salīdzinot ar kārtējo  gadu</w:t>
            </w:r>
          </w:p>
        </w:tc>
        <w:tc>
          <w:tcPr>
            <w:tcW w:w="1246" w:type="dxa"/>
            <w:vAlign w:val="center"/>
          </w:tcPr>
          <w:p w:rsidR="004D1736" w:rsidRPr="0006125D" w:rsidRDefault="004D1736" w:rsidP="00C26214">
            <w:pPr>
              <w:jc w:val="center"/>
              <w:rPr>
                <w:b/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izmaiņas, salīdzinot ar kārtējo  gadu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  <w:vAlign w:val="center"/>
          </w:tcPr>
          <w:p w:rsidR="004D1736" w:rsidRPr="0006125D" w:rsidRDefault="004D1736" w:rsidP="00C26214">
            <w:pPr>
              <w:jc w:val="center"/>
              <w:rPr>
                <w:bCs/>
                <w:sz w:val="26"/>
                <w:szCs w:val="26"/>
              </w:rPr>
            </w:pPr>
            <w:r w:rsidRPr="0006125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32" w:type="dxa"/>
            <w:vAlign w:val="center"/>
          </w:tcPr>
          <w:p w:rsidR="004D1736" w:rsidRPr="0006125D" w:rsidRDefault="004D1736" w:rsidP="00C26214">
            <w:pPr>
              <w:jc w:val="center"/>
              <w:rPr>
                <w:bCs/>
                <w:sz w:val="26"/>
                <w:szCs w:val="26"/>
              </w:rPr>
            </w:pPr>
            <w:r w:rsidRPr="0006125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vAlign w:val="center"/>
          </w:tcPr>
          <w:p w:rsidR="004D1736" w:rsidRPr="0006125D" w:rsidRDefault="004D1736" w:rsidP="00C26214">
            <w:pPr>
              <w:jc w:val="center"/>
              <w:rPr>
                <w:bCs/>
                <w:sz w:val="26"/>
                <w:szCs w:val="26"/>
              </w:rPr>
            </w:pPr>
            <w:r w:rsidRPr="0006125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27" w:type="dxa"/>
            <w:vAlign w:val="center"/>
          </w:tcPr>
          <w:p w:rsidR="004D1736" w:rsidRPr="0006125D" w:rsidRDefault="004D1736" w:rsidP="00C26214">
            <w:pPr>
              <w:jc w:val="center"/>
              <w:rPr>
                <w:bCs/>
                <w:sz w:val="26"/>
                <w:szCs w:val="26"/>
              </w:rPr>
            </w:pPr>
            <w:r w:rsidRPr="0006125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27" w:type="dxa"/>
            <w:vAlign w:val="center"/>
          </w:tcPr>
          <w:p w:rsidR="004D1736" w:rsidRPr="0006125D" w:rsidRDefault="004D1736" w:rsidP="00C26214">
            <w:pPr>
              <w:jc w:val="center"/>
              <w:rPr>
                <w:bCs/>
                <w:sz w:val="26"/>
                <w:szCs w:val="26"/>
              </w:rPr>
            </w:pPr>
            <w:r w:rsidRPr="0006125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46" w:type="dxa"/>
            <w:vAlign w:val="center"/>
          </w:tcPr>
          <w:p w:rsidR="004D1736" w:rsidRPr="0006125D" w:rsidRDefault="004D1736" w:rsidP="00C26214">
            <w:pPr>
              <w:jc w:val="center"/>
              <w:rPr>
                <w:bCs/>
                <w:sz w:val="26"/>
                <w:szCs w:val="26"/>
              </w:rPr>
            </w:pPr>
            <w:r w:rsidRPr="0006125D">
              <w:rPr>
                <w:bCs/>
                <w:sz w:val="26"/>
                <w:szCs w:val="26"/>
              </w:rPr>
              <w:t>6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1. Budžeta ieņēmumi:</w:t>
            </w:r>
          </w:p>
        </w:tc>
        <w:tc>
          <w:tcPr>
            <w:tcW w:w="1732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1.1. valsts pamatbudžets, tai skaitā ieņēmumi no maksas pakalpojumiem un citi pašu ieņēmumi</w:t>
            </w:r>
          </w:p>
        </w:tc>
        <w:tc>
          <w:tcPr>
            <w:tcW w:w="1732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lastRenderedPageBreak/>
              <w:t>1.2. valsts speciālais budžets</w:t>
            </w:r>
          </w:p>
        </w:tc>
        <w:tc>
          <w:tcPr>
            <w:tcW w:w="1732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1732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2. Budžeta izdevumi:</w:t>
            </w:r>
          </w:p>
        </w:tc>
        <w:tc>
          <w:tcPr>
            <w:tcW w:w="1732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1732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2.2. valsts speciālais budžets</w:t>
            </w:r>
          </w:p>
        </w:tc>
        <w:tc>
          <w:tcPr>
            <w:tcW w:w="1732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 xml:space="preserve">2.3. pašvaldību budžets </w:t>
            </w:r>
          </w:p>
        </w:tc>
        <w:tc>
          <w:tcPr>
            <w:tcW w:w="1732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3. Finansiālā ietekme:</w:t>
            </w:r>
          </w:p>
        </w:tc>
        <w:tc>
          <w:tcPr>
            <w:tcW w:w="1732" w:type="dxa"/>
            <w:shd w:val="clear" w:color="auto" w:fill="auto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3.1. valsts pamatbudžets</w:t>
            </w:r>
          </w:p>
        </w:tc>
        <w:tc>
          <w:tcPr>
            <w:tcW w:w="1732" w:type="dxa"/>
            <w:shd w:val="clear" w:color="auto" w:fill="auto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3.2. speciālais budžets</w:t>
            </w:r>
          </w:p>
        </w:tc>
        <w:tc>
          <w:tcPr>
            <w:tcW w:w="1732" w:type="dxa"/>
            <w:shd w:val="clear" w:color="auto" w:fill="auto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 xml:space="preserve">3.3. pašvaldību budžets </w:t>
            </w:r>
          </w:p>
        </w:tc>
        <w:tc>
          <w:tcPr>
            <w:tcW w:w="1732" w:type="dxa"/>
            <w:shd w:val="clear" w:color="auto" w:fill="auto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  <w:vMerge w:val="restart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4. Finanšu līdzekļi papildu izdevumu finansēšanai (kompensējošu izdevumu samazinājumu norāda ar "+" zīmi)</w:t>
            </w:r>
          </w:p>
        </w:tc>
        <w:tc>
          <w:tcPr>
            <w:tcW w:w="1732" w:type="dxa"/>
            <w:vMerge w:val="restart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X</w:t>
            </w: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0</w:t>
            </w: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0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  <w:vMerge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  <w:vMerge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5. Precizēta finansiālā ietekme:</w:t>
            </w:r>
          </w:p>
        </w:tc>
        <w:tc>
          <w:tcPr>
            <w:tcW w:w="1732" w:type="dxa"/>
            <w:vMerge w:val="restart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X</w:t>
            </w: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b/>
                <w:sz w:val="26"/>
                <w:szCs w:val="26"/>
              </w:rPr>
            </w:pPr>
            <w:r w:rsidRPr="0006125D">
              <w:rPr>
                <w:b/>
                <w:sz w:val="26"/>
                <w:szCs w:val="26"/>
              </w:rPr>
              <w:t>0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1732" w:type="dxa"/>
            <w:vMerge/>
            <w:vAlign w:val="center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  <w:r w:rsidRPr="0006125D">
              <w:rPr>
                <w:i/>
                <w:sz w:val="26"/>
                <w:szCs w:val="26"/>
              </w:rPr>
              <w:t>0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5.2. speciālais budžets</w:t>
            </w:r>
          </w:p>
        </w:tc>
        <w:tc>
          <w:tcPr>
            <w:tcW w:w="1732" w:type="dxa"/>
            <w:vMerge/>
            <w:vAlign w:val="center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 xml:space="preserve">5.3. pašvaldību budžets </w:t>
            </w:r>
          </w:p>
        </w:tc>
        <w:tc>
          <w:tcPr>
            <w:tcW w:w="1732" w:type="dxa"/>
            <w:vMerge/>
            <w:vAlign w:val="center"/>
          </w:tcPr>
          <w:p w:rsidR="004D1736" w:rsidRPr="0006125D" w:rsidRDefault="004D1736" w:rsidP="00C2621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83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4D1736" w:rsidRPr="0006125D" w:rsidRDefault="004D1736" w:rsidP="00C26214">
            <w:pPr>
              <w:jc w:val="center"/>
              <w:rPr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6. Detalizēts ieņēmumu un izdevumu aprēķins (ja nepie</w:t>
            </w:r>
            <w:r w:rsidRPr="0006125D">
              <w:rPr>
                <w:sz w:val="26"/>
                <w:szCs w:val="26"/>
              </w:rPr>
              <w:softHyphen/>
              <w:t>ciešams, detalizētu ieņēmumu un izdevumu aprēķinu var pie</w:t>
            </w:r>
            <w:r w:rsidRPr="0006125D">
              <w:rPr>
                <w:sz w:val="26"/>
                <w:szCs w:val="26"/>
              </w:rPr>
              <w:softHyphen/>
              <w:t>vienot anotācijas pielikumā):</w:t>
            </w:r>
          </w:p>
        </w:tc>
        <w:tc>
          <w:tcPr>
            <w:tcW w:w="6815" w:type="dxa"/>
            <w:gridSpan w:val="5"/>
            <w:vMerge w:val="restart"/>
            <w:shd w:val="clear" w:color="auto" w:fill="auto"/>
          </w:tcPr>
          <w:p w:rsidR="0082088A" w:rsidRDefault="0082088A" w:rsidP="0082088A">
            <w:pPr>
              <w:ind w:left="-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="00B62BE5">
              <w:rPr>
                <w:sz w:val="26"/>
                <w:szCs w:val="26"/>
              </w:rPr>
              <w:t xml:space="preserve">Valsts budžeta līdzekļi </w:t>
            </w:r>
            <w:r w:rsidR="00B62BE5" w:rsidRPr="005B6D30">
              <w:rPr>
                <w:sz w:val="26"/>
                <w:szCs w:val="26"/>
              </w:rPr>
              <w:t xml:space="preserve">150 000 </w:t>
            </w:r>
            <w:proofErr w:type="spellStart"/>
            <w:r w:rsidR="00B62BE5">
              <w:rPr>
                <w:i/>
                <w:sz w:val="26"/>
                <w:szCs w:val="26"/>
              </w:rPr>
              <w:t>euro</w:t>
            </w:r>
            <w:proofErr w:type="spellEnd"/>
            <w:r w:rsidR="00B62BE5">
              <w:rPr>
                <w:i/>
                <w:sz w:val="26"/>
                <w:szCs w:val="26"/>
              </w:rPr>
              <w:t xml:space="preserve"> </w:t>
            </w:r>
            <w:r w:rsidR="00B62BE5">
              <w:rPr>
                <w:sz w:val="26"/>
                <w:szCs w:val="26"/>
              </w:rPr>
              <w:t>apmērā netiks ieskaitīti</w:t>
            </w:r>
            <w:r w:rsidR="00B62BE5" w:rsidRPr="00502306">
              <w:rPr>
                <w:sz w:val="26"/>
                <w:szCs w:val="26"/>
              </w:rPr>
              <w:t xml:space="preserve"> valsts budžetā </w:t>
            </w:r>
            <w:r w:rsidR="00B62BE5">
              <w:rPr>
                <w:sz w:val="26"/>
                <w:szCs w:val="26"/>
              </w:rPr>
              <w:t xml:space="preserve">un </w:t>
            </w:r>
            <w:r w:rsidR="00BA0AAF">
              <w:rPr>
                <w:sz w:val="26"/>
                <w:szCs w:val="26"/>
              </w:rPr>
              <w:t xml:space="preserve">paliks </w:t>
            </w:r>
            <w:r w:rsidR="00B62BE5">
              <w:rPr>
                <w:sz w:val="26"/>
                <w:szCs w:val="26"/>
              </w:rPr>
              <w:t xml:space="preserve">LBS </w:t>
            </w:r>
            <w:r w:rsidR="00BA0AAF">
              <w:rPr>
                <w:sz w:val="26"/>
                <w:szCs w:val="26"/>
              </w:rPr>
              <w:t xml:space="preserve">rīcībā. </w:t>
            </w:r>
            <w:r>
              <w:rPr>
                <w:sz w:val="26"/>
                <w:szCs w:val="26"/>
              </w:rPr>
              <w:t>Ņemot vērā faktu, ka šo līdzekļu atmaksa 2016.gada valsts budžeta projekta izstrādes procesā netika plānota (ņemot vērā jau Komitejas 2015. gada 30</w:t>
            </w:r>
            <w:r w:rsidRPr="005023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jūnija</w:t>
            </w:r>
            <w:r w:rsidRPr="00502306">
              <w:rPr>
                <w:sz w:val="26"/>
                <w:szCs w:val="26"/>
              </w:rPr>
              <w:t xml:space="preserve"> sēdē</w:t>
            </w:r>
            <w:r>
              <w:rPr>
                <w:sz w:val="26"/>
                <w:szCs w:val="26"/>
              </w:rPr>
              <w:t xml:space="preserve"> pieņemto lēmumu </w:t>
            </w:r>
            <w:r w:rsidRPr="00502306">
              <w:rPr>
                <w:sz w:val="26"/>
                <w:szCs w:val="26"/>
              </w:rPr>
              <w:t>(prot. Nr.1 1.§</w:t>
            </w:r>
            <w:r>
              <w:rPr>
                <w:sz w:val="26"/>
                <w:szCs w:val="26"/>
              </w:rPr>
              <w:t>, 1.3. apakšpunkts</w:t>
            </w:r>
            <w:r w:rsidRPr="0050230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), Ministru kabineta rīkojuma projektam un Ministru kabineta sēdes </w:t>
            </w:r>
            <w:proofErr w:type="spellStart"/>
            <w:r>
              <w:rPr>
                <w:sz w:val="26"/>
                <w:szCs w:val="26"/>
              </w:rPr>
              <w:t>protokollēmuma</w:t>
            </w:r>
            <w:proofErr w:type="spellEnd"/>
            <w:r>
              <w:rPr>
                <w:sz w:val="26"/>
                <w:szCs w:val="26"/>
              </w:rPr>
              <w:t xml:space="preserve"> projektam nav ietekme uz valsts budžetu.</w:t>
            </w:r>
          </w:p>
          <w:p w:rsidR="004D1736" w:rsidRPr="0006125D" w:rsidRDefault="0082088A" w:rsidP="0082088A">
            <w:pPr>
              <w:ind w:left="-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Pēc lēmuma pieņemšanas Ministru kabinetā </w:t>
            </w:r>
            <w:r w:rsidR="001E5502">
              <w:rPr>
                <w:sz w:val="26"/>
                <w:szCs w:val="26"/>
              </w:rPr>
              <w:t>IZM</w:t>
            </w:r>
            <w:r w:rsidR="00BA0AAF">
              <w:rPr>
                <w:sz w:val="26"/>
                <w:szCs w:val="26"/>
              </w:rPr>
              <w:t xml:space="preserve"> noslēgs līgumu </w:t>
            </w:r>
            <w:r>
              <w:rPr>
                <w:sz w:val="26"/>
                <w:szCs w:val="26"/>
              </w:rPr>
              <w:t xml:space="preserve">ar LBS (Vienošanos pie iepriekš noslēgtā līguma par depozīta maksājuma segšanai piešķirtajiem valsts budžeta līdzekļiem) </w:t>
            </w:r>
            <w:r w:rsidR="00BA0AAF">
              <w:rPr>
                <w:sz w:val="26"/>
                <w:szCs w:val="26"/>
              </w:rPr>
              <w:t xml:space="preserve">par </w:t>
            </w:r>
            <w:r w:rsidR="00BA0AAF" w:rsidRPr="002B2B30">
              <w:rPr>
                <w:sz w:val="26"/>
                <w:szCs w:val="26"/>
              </w:rPr>
              <w:t xml:space="preserve">150 000 </w:t>
            </w:r>
            <w:proofErr w:type="spellStart"/>
            <w:r w:rsidR="00BA0AAF" w:rsidRPr="002B2B30">
              <w:rPr>
                <w:i/>
                <w:sz w:val="26"/>
                <w:szCs w:val="26"/>
              </w:rPr>
              <w:t>euro</w:t>
            </w:r>
            <w:proofErr w:type="spellEnd"/>
            <w:r w:rsidR="00BA0AAF" w:rsidRPr="002B2B30">
              <w:rPr>
                <w:sz w:val="26"/>
                <w:szCs w:val="26"/>
              </w:rPr>
              <w:t xml:space="preserve"> novirzīšanu basketbola attīstības veic</w:t>
            </w:r>
            <w:r w:rsidR="00BA0AAF">
              <w:rPr>
                <w:sz w:val="26"/>
                <w:szCs w:val="26"/>
              </w:rPr>
              <w:t>ināšanai bērnu un jauniešu vidū.</w:t>
            </w: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6.1. detalizēts ieņēmumu aprēķins</w:t>
            </w:r>
          </w:p>
        </w:tc>
        <w:tc>
          <w:tcPr>
            <w:tcW w:w="6815" w:type="dxa"/>
            <w:gridSpan w:val="5"/>
            <w:vMerge/>
            <w:shd w:val="clear" w:color="auto" w:fill="auto"/>
          </w:tcPr>
          <w:p w:rsidR="004D1736" w:rsidRPr="0006125D" w:rsidRDefault="004D1736" w:rsidP="00C26214">
            <w:pPr>
              <w:rPr>
                <w:b/>
                <w:i/>
                <w:sz w:val="26"/>
                <w:szCs w:val="26"/>
              </w:rPr>
            </w:pPr>
          </w:p>
        </w:tc>
      </w:tr>
      <w:tr w:rsidR="004D1736" w:rsidRPr="0006125D" w:rsidTr="00432FDC">
        <w:trPr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6815" w:type="dxa"/>
            <w:gridSpan w:val="5"/>
            <w:vMerge/>
            <w:shd w:val="clear" w:color="auto" w:fill="auto"/>
          </w:tcPr>
          <w:p w:rsidR="004D1736" w:rsidRPr="0006125D" w:rsidRDefault="004D1736" w:rsidP="00C26214">
            <w:pPr>
              <w:rPr>
                <w:b/>
                <w:i/>
                <w:sz w:val="26"/>
                <w:szCs w:val="26"/>
              </w:rPr>
            </w:pPr>
          </w:p>
        </w:tc>
      </w:tr>
      <w:tr w:rsidR="004D1736" w:rsidRPr="0006125D" w:rsidTr="00432FDC">
        <w:trPr>
          <w:trHeight w:val="399"/>
          <w:jc w:val="center"/>
        </w:trPr>
        <w:tc>
          <w:tcPr>
            <w:tcW w:w="4106" w:type="dxa"/>
          </w:tcPr>
          <w:p w:rsidR="004D1736" w:rsidRPr="0006125D" w:rsidRDefault="004D1736" w:rsidP="00C26214">
            <w:pPr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7. Cita informācija</w:t>
            </w:r>
          </w:p>
        </w:tc>
        <w:tc>
          <w:tcPr>
            <w:tcW w:w="6815" w:type="dxa"/>
            <w:gridSpan w:val="5"/>
            <w:shd w:val="clear" w:color="auto" w:fill="auto"/>
          </w:tcPr>
          <w:p w:rsidR="004D1736" w:rsidRPr="0006125D" w:rsidRDefault="004D1736" w:rsidP="001A262F">
            <w:pPr>
              <w:tabs>
                <w:tab w:val="left" w:pos="1901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D1736" w:rsidRPr="0006125D" w:rsidRDefault="004D1736" w:rsidP="004D1736">
      <w:pPr>
        <w:pStyle w:val="naisf"/>
        <w:tabs>
          <w:tab w:val="left" w:pos="3819"/>
        </w:tabs>
        <w:spacing w:before="0" w:after="0"/>
        <w:ind w:firstLine="0"/>
        <w:rPr>
          <w:sz w:val="26"/>
          <w:szCs w:val="26"/>
        </w:rPr>
      </w:pPr>
    </w:p>
    <w:p w:rsidR="004D1736" w:rsidRPr="0006125D" w:rsidRDefault="004D1736" w:rsidP="004D1736">
      <w:pPr>
        <w:ind w:left="-567" w:right="-427"/>
        <w:jc w:val="both"/>
        <w:rPr>
          <w:i/>
          <w:sz w:val="26"/>
          <w:szCs w:val="26"/>
        </w:rPr>
      </w:pPr>
      <w:r w:rsidRPr="0006125D">
        <w:rPr>
          <w:i/>
          <w:sz w:val="26"/>
          <w:szCs w:val="26"/>
        </w:rPr>
        <w:t>Anotācijas II, IV, V, VI un VII sadaļa – Ministru kabineta rīkojuma projekts šīs jomas neskar.</w:t>
      </w:r>
    </w:p>
    <w:p w:rsidR="004D1736" w:rsidRDefault="004D1736" w:rsidP="004D1736">
      <w:pPr>
        <w:rPr>
          <w:sz w:val="26"/>
          <w:szCs w:val="26"/>
        </w:rPr>
      </w:pPr>
    </w:p>
    <w:p w:rsidR="0082088A" w:rsidRDefault="0082088A" w:rsidP="004D1736">
      <w:pPr>
        <w:rPr>
          <w:sz w:val="26"/>
          <w:szCs w:val="26"/>
        </w:rPr>
      </w:pPr>
    </w:p>
    <w:p w:rsidR="004D1736" w:rsidRPr="0006125D" w:rsidRDefault="004D1736" w:rsidP="004D1736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06125D">
        <w:rPr>
          <w:sz w:val="26"/>
          <w:szCs w:val="26"/>
        </w:rPr>
        <w:t>Izglītības un zinātnes ministre</w:t>
      </w:r>
      <w:r w:rsidRPr="0006125D">
        <w:rPr>
          <w:sz w:val="26"/>
          <w:szCs w:val="26"/>
        </w:rPr>
        <w:tab/>
      </w:r>
      <w:r w:rsidRPr="0006125D">
        <w:rPr>
          <w:sz w:val="26"/>
          <w:szCs w:val="26"/>
        </w:rPr>
        <w:tab/>
      </w:r>
      <w:r w:rsidRPr="0006125D">
        <w:rPr>
          <w:sz w:val="26"/>
          <w:szCs w:val="26"/>
        </w:rPr>
        <w:tab/>
      </w:r>
      <w:r w:rsidRPr="0006125D">
        <w:rPr>
          <w:sz w:val="26"/>
          <w:szCs w:val="26"/>
        </w:rPr>
        <w:tab/>
        <w:t>Mārīte Seile</w:t>
      </w:r>
    </w:p>
    <w:p w:rsidR="004D1736" w:rsidRDefault="004D1736" w:rsidP="004D1736">
      <w:pPr>
        <w:rPr>
          <w:sz w:val="26"/>
          <w:szCs w:val="26"/>
        </w:rPr>
      </w:pPr>
    </w:p>
    <w:p w:rsidR="004D1736" w:rsidRPr="004D1736" w:rsidRDefault="004D1736" w:rsidP="004D1736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4D1736">
        <w:rPr>
          <w:sz w:val="26"/>
          <w:szCs w:val="26"/>
        </w:rPr>
        <w:t xml:space="preserve">Vizē: </w:t>
      </w:r>
      <w:r w:rsidRPr="004D1736">
        <w:rPr>
          <w:sz w:val="26"/>
          <w:szCs w:val="26"/>
        </w:rPr>
        <w:tab/>
      </w:r>
    </w:p>
    <w:p w:rsidR="004D1736" w:rsidRPr="004D1736" w:rsidRDefault="004D1736" w:rsidP="004D1736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4D1736">
        <w:rPr>
          <w:sz w:val="26"/>
          <w:szCs w:val="26"/>
        </w:rPr>
        <w:t>Valsts sekretāre</w:t>
      </w:r>
      <w:r w:rsidRPr="004D1736">
        <w:rPr>
          <w:sz w:val="26"/>
          <w:szCs w:val="26"/>
        </w:rPr>
        <w:tab/>
      </w:r>
      <w:r w:rsidRPr="004D1736">
        <w:rPr>
          <w:sz w:val="26"/>
          <w:szCs w:val="26"/>
        </w:rPr>
        <w:tab/>
      </w:r>
      <w:r w:rsidRPr="004D1736">
        <w:rPr>
          <w:sz w:val="26"/>
          <w:szCs w:val="26"/>
        </w:rPr>
        <w:tab/>
      </w:r>
      <w:r w:rsidRPr="004D1736">
        <w:rPr>
          <w:sz w:val="26"/>
          <w:szCs w:val="26"/>
        </w:rPr>
        <w:tab/>
      </w:r>
      <w:r w:rsidRPr="004D1736">
        <w:rPr>
          <w:sz w:val="26"/>
          <w:szCs w:val="26"/>
        </w:rPr>
        <w:tab/>
      </w:r>
      <w:r w:rsidRPr="004D1736">
        <w:rPr>
          <w:sz w:val="26"/>
          <w:szCs w:val="26"/>
        </w:rPr>
        <w:tab/>
        <w:t>Līga Lejiņa</w:t>
      </w:r>
    </w:p>
    <w:p w:rsidR="00DB0182" w:rsidRDefault="00DB0182" w:rsidP="004D1736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432FDC" w:rsidRPr="004D1736" w:rsidRDefault="00432FDC" w:rsidP="004D1736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4D1736" w:rsidRPr="004D1736" w:rsidRDefault="00432FDC" w:rsidP="004D1736">
      <w:pPr>
        <w:pStyle w:val="BodyText2"/>
        <w:spacing w:after="0" w:line="240" w:lineRule="auto"/>
        <w:ind w:firstLine="720"/>
        <w:jc w:val="both"/>
        <w:rPr>
          <w:sz w:val="22"/>
          <w:szCs w:val="26"/>
        </w:rPr>
      </w:pPr>
      <w:r>
        <w:rPr>
          <w:sz w:val="22"/>
          <w:szCs w:val="26"/>
        </w:rPr>
        <w:t>2</w:t>
      </w:r>
      <w:r w:rsidR="007B0231">
        <w:rPr>
          <w:sz w:val="22"/>
          <w:szCs w:val="26"/>
        </w:rPr>
        <w:t>5</w:t>
      </w:r>
      <w:r w:rsidR="004D1736" w:rsidRPr="004D1736">
        <w:rPr>
          <w:sz w:val="22"/>
          <w:szCs w:val="26"/>
        </w:rPr>
        <w:t xml:space="preserve">.01.2016. </w:t>
      </w:r>
      <w:r>
        <w:rPr>
          <w:sz w:val="22"/>
          <w:szCs w:val="26"/>
        </w:rPr>
        <w:t>09</w:t>
      </w:r>
      <w:r w:rsidR="00CC2036">
        <w:rPr>
          <w:sz w:val="22"/>
          <w:szCs w:val="26"/>
        </w:rPr>
        <w:t>:</w:t>
      </w:r>
      <w:r w:rsidR="007B0231">
        <w:rPr>
          <w:sz w:val="22"/>
          <w:szCs w:val="26"/>
        </w:rPr>
        <w:t>45</w:t>
      </w:r>
    </w:p>
    <w:p w:rsidR="004D1736" w:rsidRPr="004D1736" w:rsidRDefault="00C11D00" w:rsidP="004D1736">
      <w:pPr>
        <w:pStyle w:val="BodyText2"/>
        <w:spacing w:after="0" w:line="240" w:lineRule="auto"/>
        <w:ind w:firstLine="720"/>
        <w:jc w:val="both"/>
        <w:rPr>
          <w:sz w:val="22"/>
          <w:szCs w:val="26"/>
        </w:rPr>
      </w:pPr>
      <w:r>
        <w:rPr>
          <w:sz w:val="22"/>
          <w:szCs w:val="26"/>
        </w:rPr>
        <w:t>9</w:t>
      </w:r>
      <w:r w:rsidR="00432FDC">
        <w:rPr>
          <w:sz w:val="22"/>
          <w:szCs w:val="26"/>
        </w:rPr>
        <w:t>89</w:t>
      </w:r>
      <w:bookmarkStart w:id="3" w:name="_GoBack"/>
      <w:bookmarkEnd w:id="3"/>
    </w:p>
    <w:p w:rsidR="004D1736" w:rsidRPr="004D1736" w:rsidRDefault="004D1736" w:rsidP="004D1736">
      <w:pPr>
        <w:pStyle w:val="BodyText2"/>
        <w:spacing w:after="0" w:line="240" w:lineRule="auto"/>
        <w:ind w:firstLine="720"/>
        <w:jc w:val="both"/>
        <w:rPr>
          <w:sz w:val="22"/>
          <w:szCs w:val="26"/>
        </w:rPr>
      </w:pPr>
      <w:r w:rsidRPr="004D1736">
        <w:rPr>
          <w:sz w:val="22"/>
          <w:szCs w:val="26"/>
        </w:rPr>
        <w:t>Izglītības un zinātnes ministrijas</w:t>
      </w:r>
    </w:p>
    <w:p w:rsidR="004D1736" w:rsidRPr="004D1736" w:rsidRDefault="004D1736" w:rsidP="004D1736">
      <w:pPr>
        <w:pStyle w:val="BodyText2"/>
        <w:spacing w:after="0" w:line="240" w:lineRule="auto"/>
        <w:ind w:firstLine="720"/>
        <w:jc w:val="both"/>
        <w:rPr>
          <w:sz w:val="22"/>
          <w:szCs w:val="26"/>
        </w:rPr>
      </w:pPr>
      <w:r w:rsidRPr="004D1736">
        <w:rPr>
          <w:sz w:val="22"/>
          <w:szCs w:val="26"/>
        </w:rPr>
        <w:t>Sporta departamenta juriskonsults K. Kalniņš</w:t>
      </w:r>
    </w:p>
    <w:p w:rsidR="004D1736" w:rsidRPr="004D1736" w:rsidRDefault="00CC2036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2"/>
          <w:szCs w:val="26"/>
        </w:rPr>
        <w:t>6704</w:t>
      </w:r>
      <w:r w:rsidR="004D1736" w:rsidRPr="004D1736">
        <w:rPr>
          <w:sz w:val="22"/>
          <w:szCs w:val="26"/>
        </w:rPr>
        <w:t xml:space="preserve">7815, karlis.kalnins@izm.gov.lv </w:t>
      </w:r>
    </w:p>
    <w:sectPr w:rsidR="004D1736" w:rsidRPr="004D1736" w:rsidSect="0082088A">
      <w:headerReference w:type="default" r:id="rId7"/>
      <w:footerReference w:type="default" r:id="rId8"/>
      <w:footerReference w:type="first" r:id="rId9"/>
      <w:pgSz w:w="11906" w:h="16838"/>
      <w:pgMar w:top="709" w:right="1418" w:bottom="1134" w:left="1418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02" w:rsidRDefault="001E4902" w:rsidP="00F150ED">
      <w:r>
        <w:separator/>
      </w:r>
    </w:p>
  </w:endnote>
  <w:endnote w:type="continuationSeparator" w:id="0">
    <w:p w:rsidR="001E4902" w:rsidRDefault="001E4902" w:rsidP="00F1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30" w:rsidRDefault="002B2B30" w:rsidP="002B2B30">
    <w:pPr>
      <w:pStyle w:val="Footer"/>
      <w:ind w:right="-569"/>
      <w:jc w:val="both"/>
    </w:pPr>
    <w:r w:rsidRPr="002B2B30">
      <w:rPr>
        <w:sz w:val="22"/>
        <w:szCs w:val="22"/>
      </w:rPr>
      <w:t>IZMAnot_</w:t>
    </w:r>
    <w:r w:rsidR="00432FDC">
      <w:rPr>
        <w:sz w:val="22"/>
        <w:szCs w:val="22"/>
      </w:rPr>
      <w:t>2</w:t>
    </w:r>
    <w:r w:rsidR="007B0231">
      <w:rPr>
        <w:sz w:val="22"/>
        <w:szCs w:val="22"/>
      </w:rPr>
      <w:t>5</w:t>
    </w:r>
    <w:r w:rsidRPr="002B2B30">
      <w:rPr>
        <w:sz w:val="22"/>
        <w:szCs w:val="22"/>
      </w:rPr>
      <w:t>0116_basketbols; Ministru kabineta rīkojuma projekta “Grozījums Ministru kabineta 2014. gada 5. decembra rīkojumā Nr. 743 “Par apropriācijas pārdali””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30" w:rsidRPr="002B2B30" w:rsidRDefault="002B2B30" w:rsidP="002B2B30">
    <w:pPr>
      <w:pStyle w:val="Footer"/>
      <w:ind w:right="-569"/>
      <w:jc w:val="both"/>
      <w:rPr>
        <w:sz w:val="22"/>
        <w:szCs w:val="22"/>
      </w:rPr>
    </w:pPr>
    <w:r w:rsidRPr="002B2B30">
      <w:rPr>
        <w:sz w:val="22"/>
        <w:szCs w:val="22"/>
      </w:rPr>
      <w:t>IZMAnot_</w:t>
    </w:r>
    <w:r w:rsidR="00432FDC">
      <w:rPr>
        <w:sz w:val="22"/>
        <w:szCs w:val="22"/>
      </w:rPr>
      <w:t>2</w:t>
    </w:r>
    <w:r w:rsidR="007B0231">
      <w:rPr>
        <w:sz w:val="22"/>
        <w:szCs w:val="22"/>
      </w:rPr>
      <w:t>5</w:t>
    </w:r>
    <w:r w:rsidRPr="002B2B30">
      <w:rPr>
        <w:sz w:val="22"/>
        <w:szCs w:val="22"/>
      </w:rPr>
      <w:t>0116_basketbols; Ministru kabineta rīkojuma projekta “Grozījums Ministru kabineta 2014. gada 5. decembra rīkojumā Nr. 743 “Par apropriācijas pārdali””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02" w:rsidRDefault="001E4902" w:rsidP="00F150ED">
      <w:r>
        <w:separator/>
      </w:r>
    </w:p>
  </w:footnote>
  <w:footnote w:type="continuationSeparator" w:id="0">
    <w:p w:rsidR="001E4902" w:rsidRDefault="001E4902" w:rsidP="00F1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970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65EA" w:rsidRDefault="00546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5EA" w:rsidRDefault="0054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7B42"/>
    <w:multiLevelType w:val="hybridMultilevel"/>
    <w:tmpl w:val="8BFE0912"/>
    <w:lvl w:ilvl="0" w:tplc="FD0ECA12">
      <w:start w:val="1"/>
      <w:numFmt w:val="decimal"/>
      <w:lvlText w:val="(%1)"/>
      <w:lvlJc w:val="left"/>
      <w:pPr>
        <w:ind w:left="507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2CFB5413"/>
    <w:multiLevelType w:val="hybridMultilevel"/>
    <w:tmpl w:val="A85A0CC6"/>
    <w:lvl w:ilvl="0" w:tplc="1D1AC3B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082D"/>
    <w:multiLevelType w:val="hybridMultilevel"/>
    <w:tmpl w:val="E7DEEB4A"/>
    <w:lvl w:ilvl="0" w:tplc="85EC3CD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35E314FB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415DF"/>
    <w:multiLevelType w:val="hybridMultilevel"/>
    <w:tmpl w:val="725805D4"/>
    <w:lvl w:ilvl="0" w:tplc="587CF626">
      <w:start w:val="4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B2B37"/>
    <w:multiLevelType w:val="multilevel"/>
    <w:tmpl w:val="7AD6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03"/>
    <w:rsid w:val="000063D9"/>
    <w:rsid w:val="0000797F"/>
    <w:rsid w:val="00013C71"/>
    <w:rsid w:val="00063A2D"/>
    <w:rsid w:val="00066D46"/>
    <w:rsid w:val="0007178B"/>
    <w:rsid w:val="00072900"/>
    <w:rsid w:val="0009174B"/>
    <w:rsid w:val="00091DF9"/>
    <w:rsid w:val="000943BF"/>
    <w:rsid w:val="000D29F9"/>
    <w:rsid w:val="000F70C4"/>
    <w:rsid w:val="00122CC8"/>
    <w:rsid w:val="00145D0E"/>
    <w:rsid w:val="00153786"/>
    <w:rsid w:val="00160A69"/>
    <w:rsid w:val="001879F1"/>
    <w:rsid w:val="001A262F"/>
    <w:rsid w:val="001B00B8"/>
    <w:rsid w:val="001D6E3F"/>
    <w:rsid w:val="001E4902"/>
    <w:rsid w:val="001E5502"/>
    <w:rsid w:val="00207CF8"/>
    <w:rsid w:val="002444F2"/>
    <w:rsid w:val="00247910"/>
    <w:rsid w:val="00286EB9"/>
    <w:rsid w:val="002B2B30"/>
    <w:rsid w:val="002B5CD8"/>
    <w:rsid w:val="002F1367"/>
    <w:rsid w:val="00355C25"/>
    <w:rsid w:val="00391EE6"/>
    <w:rsid w:val="003C5380"/>
    <w:rsid w:val="003D2313"/>
    <w:rsid w:val="004122F6"/>
    <w:rsid w:val="00415905"/>
    <w:rsid w:val="00426961"/>
    <w:rsid w:val="00432FDC"/>
    <w:rsid w:val="00467A6A"/>
    <w:rsid w:val="004B4DBD"/>
    <w:rsid w:val="004B5624"/>
    <w:rsid w:val="004D1736"/>
    <w:rsid w:val="00502306"/>
    <w:rsid w:val="005025AE"/>
    <w:rsid w:val="00510799"/>
    <w:rsid w:val="005465EA"/>
    <w:rsid w:val="00555DBF"/>
    <w:rsid w:val="00565FFC"/>
    <w:rsid w:val="00587724"/>
    <w:rsid w:val="00587EA1"/>
    <w:rsid w:val="00595D9A"/>
    <w:rsid w:val="00597659"/>
    <w:rsid w:val="005B06F7"/>
    <w:rsid w:val="005B6AC3"/>
    <w:rsid w:val="005B6D30"/>
    <w:rsid w:val="005E0754"/>
    <w:rsid w:val="005F6432"/>
    <w:rsid w:val="00623B2B"/>
    <w:rsid w:val="00660ABA"/>
    <w:rsid w:val="006C31EA"/>
    <w:rsid w:val="00713DE9"/>
    <w:rsid w:val="00735003"/>
    <w:rsid w:val="00735817"/>
    <w:rsid w:val="00786D71"/>
    <w:rsid w:val="007A731F"/>
    <w:rsid w:val="007B0231"/>
    <w:rsid w:val="007C29F9"/>
    <w:rsid w:val="007D226C"/>
    <w:rsid w:val="007E3AEF"/>
    <w:rsid w:val="0082088A"/>
    <w:rsid w:val="0084026B"/>
    <w:rsid w:val="00872A3A"/>
    <w:rsid w:val="0088368A"/>
    <w:rsid w:val="00891CF6"/>
    <w:rsid w:val="009018BF"/>
    <w:rsid w:val="009125F1"/>
    <w:rsid w:val="00935ACA"/>
    <w:rsid w:val="009612E3"/>
    <w:rsid w:val="00965CE9"/>
    <w:rsid w:val="009A09F9"/>
    <w:rsid w:val="009D7F7E"/>
    <w:rsid w:val="009E0872"/>
    <w:rsid w:val="00A51F4A"/>
    <w:rsid w:val="00A717A2"/>
    <w:rsid w:val="00AB05A5"/>
    <w:rsid w:val="00AE062F"/>
    <w:rsid w:val="00AE2C98"/>
    <w:rsid w:val="00AF10D0"/>
    <w:rsid w:val="00B62BE5"/>
    <w:rsid w:val="00B705DF"/>
    <w:rsid w:val="00B8443A"/>
    <w:rsid w:val="00BA0AAF"/>
    <w:rsid w:val="00BA3E79"/>
    <w:rsid w:val="00BC4B83"/>
    <w:rsid w:val="00BD15D7"/>
    <w:rsid w:val="00BE26D7"/>
    <w:rsid w:val="00BE6C1B"/>
    <w:rsid w:val="00C11D00"/>
    <w:rsid w:val="00C2065D"/>
    <w:rsid w:val="00C21B04"/>
    <w:rsid w:val="00C46E1B"/>
    <w:rsid w:val="00CB43F5"/>
    <w:rsid w:val="00CC2036"/>
    <w:rsid w:val="00CE23A7"/>
    <w:rsid w:val="00D35728"/>
    <w:rsid w:val="00D41B31"/>
    <w:rsid w:val="00D55BCC"/>
    <w:rsid w:val="00DA64C5"/>
    <w:rsid w:val="00DA716A"/>
    <w:rsid w:val="00DB0182"/>
    <w:rsid w:val="00DB441F"/>
    <w:rsid w:val="00E1350D"/>
    <w:rsid w:val="00E45C66"/>
    <w:rsid w:val="00E50240"/>
    <w:rsid w:val="00E50CC7"/>
    <w:rsid w:val="00EE01DC"/>
    <w:rsid w:val="00EF6126"/>
    <w:rsid w:val="00F150ED"/>
    <w:rsid w:val="00F164D2"/>
    <w:rsid w:val="00F32FAC"/>
    <w:rsid w:val="00F4636F"/>
    <w:rsid w:val="00F54DC4"/>
    <w:rsid w:val="00F82076"/>
    <w:rsid w:val="00F9594F"/>
    <w:rsid w:val="00F96FD8"/>
    <w:rsid w:val="00FA6FFC"/>
    <w:rsid w:val="00FC0C0D"/>
    <w:rsid w:val="00FD6F3C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54EB86-47D0-496F-ABD6-DC9B7C1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5003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73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735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0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E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50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E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D1736"/>
    <w:pPr>
      <w:spacing w:before="75" w:after="75"/>
      <w:ind w:firstLine="375"/>
      <w:jc w:val="both"/>
    </w:pPr>
    <w:rPr>
      <w:rFonts w:eastAsia="Calibri"/>
    </w:rPr>
  </w:style>
  <w:style w:type="paragraph" w:customStyle="1" w:styleId="naisnod">
    <w:name w:val="naisnod"/>
    <w:basedOn w:val="Normal"/>
    <w:rsid w:val="004D1736"/>
    <w:pPr>
      <w:spacing w:before="150" w:after="150"/>
      <w:jc w:val="center"/>
    </w:pPr>
    <w:rPr>
      <w:rFonts w:eastAsia="Calibri"/>
      <w:b/>
      <w:bCs/>
    </w:rPr>
  </w:style>
  <w:style w:type="paragraph" w:customStyle="1" w:styleId="naiskr">
    <w:name w:val="naiskr"/>
    <w:basedOn w:val="Normal"/>
    <w:rsid w:val="004D1736"/>
    <w:pPr>
      <w:spacing w:before="75" w:after="75"/>
    </w:pPr>
    <w:rPr>
      <w:rFonts w:eastAsia="Calibri"/>
    </w:rPr>
  </w:style>
  <w:style w:type="paragraph" w:styleId="BodyText2">
    <w:name w:val="Body Text 2"/>
    <w:basedOn w:val="Normal"/>
    <w:link w:val="BodyText2Char"/>
    <w:rsid w:val="004D1736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4D173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D173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4847</Words>
  <Characters>2763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Kārlis Kalniņš</cp:lastModifiedBy>
  <cp:revision>27</cp:revision>
  <dcterms:created xsi:type="dcterms:W3CDTF">2016-01-14T10:21:00Z</dcterms:created>
  <dcterms:modified xsi:type="dcterms:W3CDTF">2016-01-25T07:40:00Z</dcterms:modified>
</cp:coreProperties>
</file>