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11" w:rsidRPr="00115348" w:rsidRDefault="003B7D80" w:rsidP="00CA28A9">
      <w:pPr>
        <w:spacing w:before="120" w:after="120"/>
        <w:jc w:val="center"/>
        <w:rPr>
          <w:b/>
          <w:i/>
          <w:iCs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M</w:t>
      </w:r>
      <w:r w:rsidR="00576CDE" w:rsidRPr="00115348">
        <w:rPr>
          <w:b/>
          <w:sz w:val="28"/>
          <w:szCs w:val="28"/>
        </w:rPr>
        <w:t>inistru kabineta noteikumu projekta „Grozījumi Ministru kabineta 2013.gada 26.februāra noteikumos Nr.112 „Emisijas kvotu piešķiršanas kārtība stacionāro tehnoloģisko iekārtu operatoriem””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6"/>
        <w:gridCol w:w="1857"/>
        <w:gridCol w:w="7083"/>
      </w:tblGrid>
      <w:tr w:rsidR="00D94EE5" w:rsidRPr="00115348" w:rsidTr="008B2E31">
        <w:tc>
          <w:tcPr>
            <w:tcW w:w="9356" w:type="dxa"/>
            <w:gridSpan w:val="3"/>
            <w:vAlign w:val="center"/>
          </w:tcPr>
          <w:bookmarkEnd w:id="0"/>
          <w:bookmarkEnd w:id="1"/>
          <w:p w:rsidR="00D94EE5" w:rsidRPr="00115348" w:rsidRDefault="00D94EE5" w:rsidP="0045163C">
            <w:pPr>
              <w:pStyle w:val="naisnod"/>
              <w:spacing w:before="0"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I. Tiesību akta projekta izstrādes nepieciešamība</w:t>
            </w:r>
          </w:p>
        </w:tc>
      </w:tr>
      <w:tr w:rsidR="00D94EE5" w:rsidRPr="00115348" w:rsidTr="008B2E31">
        <w:trPr>
          <w:trHeight w:val="630"/>
        </w:trPr>
        <w:tc>
          <w:tcPr>
            <w:tcW w:w="416" w:type="dxa"/>
          </w:tcPr>
          <w:p w:rsidR="00D94EE5" w:rsidRPr="00115348" w:rsidRDefault="00D94EE5" w:rsidP="0045163C">
            <w:pPr>
              <w:pStyle w:val="naiskr"/>
              <w:spacing w:before="0" w:after="60"/>
              <w:jc w:val="center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57" w:type="dxa"/>
          </w:tcPr>
          <w:p w:rsidR="00D94EE5" w:rsidRPr="00115348" w:rsidRDefault="00D94EE5" w:rsidP="0045163C">
            <w:pPr>
              <w:pStyle w:val="naiskr"/>
              <w:spacing w:before="0" w:after="60"/>
              <w:ind w:hanging="1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Pamatojums</w:t>
            </w:r>
          </w:p>
          <w:p w:rsidR="00D94EE5" w:rsidRPr="00115348" w:rsidRDefault="00D94EE5" w:rsidP="0045163C">
            <w:pPr>
              <w:tabs>
                <w:tab w:val="left" w:pos="1035"/>
              </w:tabs>
              <w:spacing w:after="60"/>
              <w:rPr>
                <w:color w:val="000000" w:themeColor="text1"/>
              </w:rPr>
            </w:pPr>
          </w:p>
        </w:tc>
        <w:tc>
          <w:tcPr>
            <w:tcW w:w="7083" w:type="dxa"/>
            <w:tcMar>
              <w:left w:w="28" w:type="dxa"/>
              <w:right w:w="28" w:type="dxa"/>
            </w:tcMar>
          </w:tcPr>
          <w:p w:rsidR="00D94EE5" w:rsidRPr="00115348" w:rsidRDefault="00D94EE5" w:rsidP="00A151A0">
            <w:pPr>
              <w:pStyle w:val="naiskr"/>
              <w:spacing w:before="0" w:after="6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Ministru kabineta noteikumu projekts „Grozījumi Ministru kabineta 2013.gada 26.februāra noteikumos Nr.112 „Emisijas kvotu piešķiršanas kārtība stacionāro tehnoloģisko iekārtu operatoriem”” (turpmāk – noteikumu projekts) ir sagatavots saskaņā ar </w:t>
            </w:r>
            <w:r w:rsidRPr="00115348">
              <w:rPr>
                <w:iCs/>
                <w:color w:val="000000" w:themeColor="text1"/>
                <w:sz w:val="22"/>
                <w:szCs w:val="22"/>
              </w:rPr>
              <w:t>likuma „Par piesārņojumu” 32.</w:t>
            </w:r>
            <w:r w:rsidRPr="00115348">
              <w:rPr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15348">
              <w:rPr>
                <w:iCs/>
                <w:color w:val="000000" w:themeColor="text1"/>
                <w:sz w:val="22"/>
                <w:szCs w:val="22"/>
              </w:rPr>
              <w:t xml:space="preserve"> panta astoto daļu.</w:t>
            </w:r>
          </w:p>
        </w:tc>
      </w:tr>
      <w:tr w:rsidR="00D94EE5" w:rsidRPr="00115348" w:rsidTr="008B2E31">
        <w:trPr>
          <w:trHeight w:val="472"/>
        </w:trPr>
        <w:tc>
          <w:tcPr>
            <w:tcW w:w="416" w:type="dxa"/>
          </w:tcPr>
          <w:p w:rsidR="00D94EE5" w:rsidRPr="00115348" w:rsidRDefault="00D94EE5" w:rsidP="0045163C">
            <w:pPr>
              <w:pStyle w:val="HTMLPreformatted"/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5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57" w:type="dxa"/>
          </w:tcPr>
          <w:p w:rsidR="00D94EE5" w:rsidRPr="00115348" w:rsidRDefault="004618FD" w:rsidP="0045163C">
            <w:pPr>
              <w:pStyle w:val="HTMLPreformatted"/>
              <w:tabs>
                <w:tab w:val="left" w:pos="170"/>
              </w:tabs>
              <w:spacing w:after="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5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083" w:type="dxa"/>
            <w:tcMar>
              <w:left w:w="28" w:type="dxa"/>
              <w:right w:w="28" w:type="dxa"/>
            </w:tcMar>
          </w:tcPr>
          <w:p w:rsidR="00AB04BB" w:rsidRPr="00115348" w:rsidRDefault="00AB04BB" w:rsidP="008156A9">
            <w:pPr>
              <w:pStyle w:val="naiskr"/>
              <w:spacing w:before="0" w:after="60"/>
              <w:ind w:firstLine="170"/>
              <w:jc w:val="both"/>
              <w:rPr>
                <w:i/>
                <w:color w:val="000000" w:themeColor="text1"/>
              </w:rPr>
            </w:pPr>
            <w:r w:rsidRPr="00115348">
              <w:rPr>
                <w:i/>
                <w:color w:val="000000" w:themeColor="text1"/>
                <w:sz w:val="22"/>
                <w:szCs w:val="22"/>
              </w:rPr>
              <w:t>Pašreizējā situācija un problēmas</w:t>
            </w:r>
          </w:p>
          <w:p w:rsidR="00A00FEF" w:rsidRPr="00115348" w:rsidRDefault="007F1808" w:rsidP="00AB04BB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Ministru kabineta 2013.gada 26.februāra noteikum</w:t>
            </w:r>
            <w:r w:rsidR="003559EA" w:rsidRPr="00115348">
              <w:rPr>
                <w:color w:val="000000" w:themeColor="text1"/>
                <w:sz w:val="22"/>
                <w:szCs w:val="22"/>
              </w:rPr>
              <w:t>i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Nr.112 „Emisijas kvotu piešķiršanas kārtība stacionāro tehnoloģisko iekārtu operatoriem”</w:t>
            </w:r>
            <w:r w:rsidR="00A00FEF" w:rsidRPr="001153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(turpmāk – </w:t>
            </w:r>
            <w:r w:rsidR="00DC3632" w:rsidRPr="00115348">
              <w:rPr>
                <w:color w:val="000000" w:themeColor="text1"/>
                <w:sz w:val="22"/>
                <w:szCs w:val="22"/>
              </w:rPr>
              <w:t>noteikum</w:t>
            </w:r>
            <w:r w:rsidRPr="00115348">
              <w:rPr>
                <w:color w:val="000000" w:themeColor="text1"/>
                <w:sz w:val="22"/>
                <w:szCs w:val="22"/>
              </w:rPr>
              <w:t>i</w:t>
            </w:r>
            <w:r w:rsidR="00DC3632" w:rsidRPr="00115348">
              <w:rPr>
                <w:color w:val="000000" w:themeColor="text1"/>
                <w:sz w:val="22"/>
                <w:szCs w:val="22"/>
              </w:rPr>
              <w:t xml:space="preserve"> Nr.112</w:t>
            </w:r>
            <w:r w:rsidRPr="00115348">
              <w:rPr>
                <w:color w:val="000000" w:themeColor="text1"/>
                <w:sz w:val="22"/>
                <w:szCs w:val="22"/>
              </w:rPr>
              <w:t>)</w:t>
            </w:r>
            <w:r w:rsidR="00DC3632" w:rsidRPr="0011534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559EA" w:rsidRPr="00115348">
              <w:rPr>
                <w:color w:val="000000" w:themeColor="text1"/>
                <w:sz w:val="22"/>
                <w:szCs w:val="22"/>
              </w:rPr>
              <w:t>nosaka kārtību, kādā Vides aizsardzības un reģionālās attīstības ministrija (turpmāk – VARAM), ņemot vērā Eiropas Komisijas apstiprināto iekārtu sarakstu emisijas kvotu sadalei, pieņem lēmumu par emisijas kvotu piešķiršanu operatoram, kurš ir saņēmis siltumnīcefekta gāzu emisija</w:t>
            </w:r>
            <w:r w:rsidR="000C0A82" w:rsidRPr="00115348">
              <w:rPr>
                <w:color w:val="000000" w:themeColor="text1"/>
                <w:sz w:val="22"/>
                <w:szCs w:val="22"/>
              </w:rPr>
              <w:t>s atļauju (turpmāk – operators), kā arī veic emisijas kvotu piešķīruma grozījumus.</w:t>
            </w:r>
          </w:p>
          <w:p w:rsidR="00CA14C5" w:rsidRPr="00115348" w:rsidRDefault="00CA14C5" w:rsidP="00A151A0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Šobrīd Latvijas normatīvajos aktos nav korekti transponēti </w:t>
            </w:r>
            <w:r w:rsidRPr="00115348">
              <w:rPr>
                <w:i/>
                <w:color w:val="000000" w:themeColor="text1"/>
                <w:sz w:val="22"/>
                <w:szCs w:val="22"/>
              </w:rPr>
              <w:t>Eiropas Komisijas 2011.gada 27.aprīļa lēmumā Nr.2011/278/EK,</w:t>
            </w:r>
            <w:r w:rsidRPr="00115348">
              <w:rPr>
                <w:i/>
                <w:sz w:val="22"/>
                <w:szCs w:val="22"/>
              </w:rPr>
              <w:t xml:space="preserve"> </w:t>
            </w:r>
            <w:r w:rsidRPr="00115348">
              <w:rPr>
                <w:i/>
                <w:color w:val="000000" w:themeColor="text1"/>
                <w:sz w:val="22"/>
                <w:szCs w:val="22"/>
              </w:rPr>
              <w:t>ar kuru visā Savienībā nosaka pagaidu noteikumus saskaņotai bezmaksas emisiju kvotu sadalei atbilstoši 10.a pantam Eiropas Parlamenta un Padomes Direktīvā 2003/87/EK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(turpmāk – lēmums Nr.2011/278/EK) nosacījumi attiecībā uz Eiropas Savienības Emisijas kvotu tirdzniecības sistēmas (turpmāk – ES ETS) operatoriem piešķiramajiem emisijas kvotu apjomiem, ja operatora stacionārajā tehnoloģiskajā iekārtā (turpmāk – iekārta) ir notikusi darbības daļēja vai pilnīga pārtraukšana vai darbības atjaunošana pēc darbības daļējas vai pilnīgas pārtraukšanas. </w:t>
            </w:r>
          </w:p>
          <w:p w:rsidR="00CA14C5" w:rsidRPr="00115348" w:rsidRDefault="00CA14C5" w:rsidP="00A151A0">
            <w:pPr>
              <w:pStyle w:val="naiskr"/>
              <w:spacing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Šobrīd esošais regulējums neļauj VARAM pieņemt lēmumu par emisijas kvotu piešķiršanas atlikšanu gadījumos, ja operatori nav ziņojuši par izmaiņām iekārtas darbībā, un VARAM nav informācijas, vai emisijas kvotu piešķīrums </w:t>
            </w:r>
            <w:r w:rsidR="00ED046F" w:rsidRPr="00115348">
              <w:rPr>
                <w:color w:val="000000" w:themeColor="text1"/>
                <w:sz w:val="22"/>
                <w:szCs w:val="22"/>
              </w:rPr>
              <w:t>ir atbilstošs</w:t>
            </w:r>
            <w:r w:rsidRPr="00115348">
              <w:rPr>
                <w:color w:val="000000" w:themeColor="text1"/>
                <w:sz w:val="22"/>
                <w:szCs w:val="22"/>
              </w:rPr>
              <w:t>.</w:t>
            </w:r>
          </w:p>
          <w:p w:rsidR="008523D7" w:rsidRPr="00115348" w:rsidRDefault="00CA14C5">
            <w:pPr>
              <w:pStyle w:val="naiskr"/>
              <w:spacing w:before="0" w:after="60"/>
              <w:ind w:firstLine="279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Ir nepieciešams arī noteikt, ka VARAM ir tiesības pieņemt lēmumu par emisijas kvotu piešķīruma </w:t>
            </w:r>
            <w:r w:rsidR="00ED046F" w:rsidRPr="00115348">
              <w:rPr>
                <w:color w:val="000000" w:themeColor="text1"/>
                <w:sz w:val="22"/>
                <w:szCs w:val="22"/>
              </w:rPr>
              <w:t>atcelšanu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, ja ES ETS operatoram ir atcelta </w:t>
            </w:r>
            <w:r w:rsidR="003F09DF" w:rsidRPr="00115348">
              <w:rPr>
                <w:color w:val="000000" w:themeColor="text1"/>
                <w:sz w:val="22"/>
                <w:szCs w:val="22"/>
              </w:rPr>
              <w:t>siltumnīcefekta gāzu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atļauja, bet iesniegums emisijas kvotu piešķiršanas grozījumiem netiek iesniegts (komersants vai maksātnespējas administrators ignorē savus pienākumus).</w:t>
            </w:r>
          </w:p>
          <w:p w:rsidR="008523D7" w:rsidRPr="00115348" w:rsidRDefault="009C1D0D">
            <w:pPr>
              <w:pStyle w:val="naiskr"/>
              <w:spacing w:before="0" w:after="60"/>
              <w:ind w:firstLine="279"/>
              <w:jc w:val="both"/>
              <w:rPr>
                <w:i/>
                <w:color w:val="000000" w:themeColor="text1"/>
              </w:rPr>
            </w:pPr>
            <w:r w:rsidRPr="00115348">
              <w:rPr>
                <w:i/>
                <w:color w:val="000000" w:themeColor="text1"/>
                <w:sz w:val="22"/>
                <w:szCs w:val="22"/>
              </w:rPr>
              <w:t>Noteikumu projekta mērķis</w:t>
            </w:r>
          </w:p>
          <w:p w:rsidR="008523D7" w:rsidRPr="00115348" w:rsidRDefault="003C2304">
            <w:pPr>
              <w:pStyle w:val="naiskr"/>
              <w:spacing w:before="0" w:after="60"/>
              <w:ind w:firstLine="279"/>
              <w:jc w:val="both"/>
            </w:pPr>
            <w:r w:rsidRPr="00115348">
              <w:rPr>
                <w:sz w:val="22"/>
                <w:szCs w:val="22"/>
              </w:rPr>
              <w:t xml:space="preserve">Noteikumu projekts </w:t>
            </w:r>
            <w:r w:rsidR="00CD7C93" w:rsidRPr="00115348">
              <w:rPr>
                <w:sz w:val="22"/>
                <w:szCs w:val="22"/>
              </w:rPr>
              <w:t>izstrādāts ar mērķi</w:t>
            </w:r>
            <w:r w:rsidRPr="00115348">
              <w:rPr>
                <w:sz w:val="22"/>
                <w:szCs w:val="22"/>
              </w:rPr>
              <w:t>:</w:t>
            </w:r>
          </w:p>
          <w:p w:rsidR="003C2304" w:rsidRPr="00115348" w:rsidRDefault="00CD7C93" w:rsidP="003C2304">
            <w:pPr>
              <w:pStyle w:val="naiskr"/>
              <w:numPr>
                <w:ilvl w:val="0"/>
                <w:numId w:val="28"/>
              </w:numPr>
              <w:spacing w:before="0" w:after="60"/>
              <w:ind w:left="341" w:hanging="284"/>
              <w:jc w:val="both"/>
            </w:pPr>
            <w:r w:rsidRPr="00115348">
              <w:rPr>
                <w:sz w:val="22"/>
                <w:szCs w:val="22"/>
              </w:rPr>
              <w:t>nodrošināt normatīvajiem aktiem atbilstošu emisijas kvotu piešķiršanu</w:t>
            </w:r>
            <w:r w:rsidR="003C2304" w:rsidRPr="00115348">
              <w:rPr>
                <w:sz w:val="22"/>
                <w:szCs w:val="22"/>
              </w:rPr>
              <w:t>;</w:t>
            </w:r>
          </w:p>
          <w:p w:rsidR="00914029" w:rsidRPr="00115348" w:rsidRDefault="00CD7C93" w:rsidP="003C2304">
            <w:pPr>
              <w:pStyle w:val="naiskr"/>
              <w:numPr>
                <w:ilvl w:val="0"/>
                <w:numId w:val="28"/>
              </w:numPr>
              <w:spacing w:before="0" w:after="60"/>
              <w:ind w:left="341" w:hanging="284"/>
              <w:jc w:val="both"/>
              <w:rPr>
                <w:color w:val="000000" w:themeColor="text1"/>
              </w:rPr>
            </w:pPr>
            <w:r w:rsidRPr="00115348">
              <w:rPr>
                <w:sz w:val="22"/>
                <w:szCs w:val="22"/>
              </w:rPr>
              <w:t xml:space="preserve">novērst potenciāli nepareizu emisijas kvotu </w:t>
            </w:r>
            <w:r w:rsidR="00806E57" w:rsidRPr="00115348">
              <w:rPr>
                <w:sz w:val="22"/>
                <w:szCs w:val="22"/>
              </w:rPr>
              <w:t>apjoma</w:t>
            </w:r>
            <w:r w:rsidRPr="00115348">
              <w:rPr>
                <w:sz w:val="22"/>
                <w:szCs w:val="22"/>
              </w:rPr>
              <w:t xml:space="preserve"> piešķiršanu operatoriem;</w:t>
            </w:r>
          </w:p>
          <w:p w:rsidR="00CD7C93" w:rsidRPr="00115348" w:rsidRDefault="00CA14C5" w:rsidP="003C2304">
            <w:pPr>
              <w:pStyle w:val="naiskr"/>
              <w:numPr>
                <w:ilvl w:val="0"/>
                <w:numId w:val="28"/>
              </w:numPr>
              <w:spacing w:before="0" w:after="60"/>
              <w:ind w:left="341" w:hanging="284"/>
              <w:jc w:val="both"/>
              <w:rPr>
                <w:color w:val="000000" w:themeColor="text1"/>
              </w:rPr>
            </w:pPr>
            <w:r w:rsidRPr="00115348">
              <w:rPr>
                <w:sz w:val="22"/>
                <w:szCs w:val="22"/>
              </w:rPr>
              <w:t>n</w:t>
            </w:r>
            <w:r w:rsidR="00CD7C93" w:rsidRPr="00115348">
              <w:rPr>
                <w:sz w:val="22"/>
                <w:szCs w:val="22"/>
              </w:rPr>
              <w:t>odrošināt ES ETS papildus uzraudzību attiecībā uz emisijas kvotu piešķiršanu operatoriem.</w:t>
            </w:r>
          </w:p>
          <w:p w:rsidR="00AB04BB" w:rsidRPr="00115348" w:rsidRDefault="00AB04BB" w:rsidP="00777267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i/>
                <w:color w:val="000000" w:themeColor="text1"/>
                <w:sz w:val="22"/>
                <w:szCs w:val="22"/>
              </w:rPr>
              <w:t>Problēmu risināšana ar noteikumu projektu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774D" w:rsidRPr="00115348" w:rsidRDefault="00CA14C5" w:rsidP="00CA14C5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1)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T</w:t>
            </w:r>
            <w:r w:rsidR="00D33DF5" w:rsidRPr="00115348">
              <w:rPr>
                <w:color w:val="000000" w:themeColor="text1"/>
                <w:sz w:val="22"/>
                <w:szCs w:val="22"/>
              </w:rPr>
              <w:t>iek precizēts termiņš no kāda tiek izmainīts emisijas kvotu piešķīrums pēc jaudas ievērojamām izmaiņām. Esošajā redakcijā netiek izdalīts atsevišķi jaudas ievērojams palielinājums un samazinājums.</w:t>
            </w:r>
          </w:p>
          <w:p w:rsidR="00CA14C5" w:rsidRPr="00115348" w:rsidRDefault="00D16645" w:rsidP="00BB5BC2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2) T</w:t>
            </w:r>
            <w:r w:rsidR="00CA14C5" w:rsidRPr="00115348">
              <w:rPr>
                <w:color w:val="000000" w:themeColor="text1"/>
                <w:sz w:val="22"/>
                <w:szCs w:val="22"/>
              </w:rPr>
              <w:t xml:space="preserve">iek precizēti nosacījumi attiecībā uz emisijas kvotu piešķiršanas apjomu </w:t>
            </w:r>
            <w:proofErr w:type="spellStart"/>
            <w:r w:rsidR="00CA14C5" w:rsidRPr="00115348">
              <w:rPr>
                <w:color w:val="000000" w:themeColor="text1"/>
                <w:sz w:val="22"/>
                <w:szCs w:val="22"/>
              </w:rPr>
              <w:lastRenderedPageBreak/>
              <w:t>apakšiekārtām</w:t>
            </w:r>
            <w:proofErr w:type="spellEnd"/>
            <w:r w:rsidR="00CA14C5" w:rsidRPr="00115348">
              <w:rPr>
                <w:color w:val="000000" w:themeColor="text1"/>
                <w:sz w:val="22"/>
                <w:szCs w:val="22"/>
              </w:rPr>
              <w:t xml:space="preserve">, kurās ir notikusi darbības daļēja pārtraukšana, un </w:t>
            </w:r>
            <w:proofErr w:type="spellStart"/>
            <w:r w:rsidR="00CA14C5" w:rsidRPr="00115348">
              <w:rPr>
                <w:color w:val="000000" w:themeColor="text1"/>
                <w:sz w:val="22"/>
                <w:szCs w:val="22"/>
              </w:rPr>
              <w:t>apakšiekārtām</w:t>
            </w:r>
            <w:proofErr w:type="spellEnd"/>
            <w:r w:rsidR="00CA14C5" w:rsidRPr="00115348">
              <w:rPr>
                <w:color w:val="000000" w:themeColor="text1"/>
                <w:sz w:val="22"/>
                <w:szCs w:val="22"/>
              </w:rPr>
              <w:t>, kurās pēc darbības daļējas pārtraukšanas, darbība ir daļēji vai pilnīgi atjaunota.</w:t>
            </w:r>
            <w:r w:rsidR="00BB5BC2" w:rsidRPr="00115348">
              <w:rPr>
                <w:color w:val="000000" w:themeColor="text1"/>
                <w:sz w:val="22"/>
                <w:szCs w:val="22"/>
              </w:rPr>
              <w:t xml:space="preserve"> Esošajā situācijā Latvijas normatīvajos aktos nav korekti transponēti lēmuma Nr.2011/278/EK 23.panta 2., 3., un 4.punkts (attiecīgi noteikumu Nr.112 – 20., 21.punkts).</w:t>
            </w:r>
            <w:r w:rsidR="00285D30" w:rsidRPr="00115348">
              <w:rPr>
                <w:color w:val="000000" w:themeColor="text1"/>
                <w:sz w:val="22"/>
                <w:szCs w:val="22"/>
              </w:rPr>
              <w:t xml:space="preserve"> Esošajā noteikumu Nr.112 redakcijā </w:t>
            </w:r>
            <w:r w:rsidR="00A32D35" w:rsidRPr="00115348">
              <w:rPr>
                <w:color w:val="000000" w:themeColor="text1"/>
                <w:sz w:val="22"/>
                <w:szCs w:val="22"/>
              </w:rPr>
              <w:t>iespējamas situācijas, kurās būtu jāpiemēro lēmuma Nr.2011/278/E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>K 23.panta 2., 3., un 4.punktam</w:t>
            </w:r>
            <w:r w:rsidR="00A32D35" w:rsidRPr="00115348">
              <w:rPr>
                <w:color w:val="000000" w:themeColor="text1"/>
                <w:sz w:val="22"/>
                <w:szCs w:val="22"/>
              </w:rPr>
              <w:t xml:space="preserve"> neatbilstoša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 xml:space="preserve"> emisi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>jas kvotu piešķīruma kategorija. P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>iemēram, darbības daļēja samazināšana par 75,</w:t>
            </w:r>
            <w:r w:rsidR="00994FBC" w:rsidRPr="00115348">
              <w:rPr>
                <w:color w:val="000000" w:themeColor="text1"/>
                <w:sz w:val="22"/>
                <w:szCs w:val="22"/>
              </w:rPr>
              <w:t>2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>% pēc noteikumu Nr.112 20.punkta redakcijas atbilst 20.1.punktā minētajai kategorijai, kas ir pretēji lēmuma Nr.2011/278/EK redakcijai un Eiropas Komisijas interpretācijai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 xml:space="preserve"> (visas</w:t>
            </w:r>
            <w:proofErr w:type="gramStart"/>
            <w:r w:rsidR="00E044BD" w:rsidRPr="00115348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E044BD" w:rsidRPr="00115348">
              <w:rPr>
                <w:color w:val="000000" w:themeColor="text1"/>
                <w:sz w:val="22"/>
                <w:szCs w:val="22"/>
              </w:rPr>
              <w:t>emisijas kvotu piešķiršanas apjoma izmaiņas tiek saskaņotas ar Eiropas Komisiju)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>, kur būtu jāpiemēro 20.2.punktā minētā kategori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>ja emisijas kvotu samazināšanai</w:t>
            </w:r>
            <w:r w:rsidR="004F5225" w:rsidRPr="00115348">
              <w:rPr>
                <w:color w:val="000000" w:themeColor="text1"/>
                <w:sz w:val="22"/>
                <w:szCs w:val="22"/>
              </w:rPr>
              <w:t>.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 xml:space="preserve"> Atbilstoši Eiropas Komisijas interpretācijai – sasniedzot tieši 75 % darbības līmeņa samazinājumu</w:t>
            </w:r>
            <w:r w:rsidR="00994FBC" w:rsidRPr="00115348">
              <w:rPr>
                <w:color w:val="000000" w:themeColor="text1"/>
                <w:sz w:val="22"/>
                <w:szCs w:val="22"/>
              </w:rPr>
              <w:t xml:space="preserve"> vēl joprojām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 xml:space="preserve"> tiek piešķirt</w:t>
            </w:r>
            <w:r w:rsidR="00994FBC" w:rsidRPr="00115348">
              <w:rPr>
                <w:color w:val="000000" w:themeColor="text1"/>
                <w:sz w:val="22"/>
                <w:szCs w:val="22"/>
              </w:rPr>
              <w:t>a</w:t>
            </w:r>
            <w:r w:rsidR="00E044BD" w:rsidRPr="00115348">
              <w:rPr>
                <w:color w:val="000000" w:themeColor="text1"/>
                <w:sz w:val="22"/>
                <w:szCs w:val="22"/>
              </w:rPr>
              <w:t>s 50% emisijas kvotas, bet pārsniedzot minimāli šo robežu (piemēram, 75,001%), tiek piešķirti tikai 25% emisijas kvotu.</w:t>
            </w:r>
          </w:p>
          <w:p w:rsidR="002F5944" w:rsidRPr="00115348" w:rsidRDefault="00285D30" w:rsidP="00BB5BC2">
            <w:pPr>
              <w:pStyle w:val="naiskr"/>
              <w:spacing w:before="0" w:after="60"/>
              <w:ind w:firstLine="170"/>
              <w:jc w:val="both"/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3)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T</w:t>
            </w:r>
            <w:r w:rsidR="002F5944" w:rsidRPr="00115348">
              <w:rPr>
                <w:color w:val="000000" w:themeColor="text1"/>
                <w:sz w:val="22"/>
                <w:szCs w:val="22"/>
              </w:rPr>
              <w:t>iek noteikts, ka m</w:t>
            </w:r>
            <w:r w:rsidR="002F5944" w:rsidRPr="00115348">
              <w:rPr>
                <w:sz w:val="22"/>
                <w:szCs w:val="22"/>
              </w:rPr>
              <w:t>inistrija var pieņemt lēmumu par emisijas kvotu apjoma izmaiņām (t.sk. atcelšanu), ja</w:t>
            </w:r>
            <w:r w:rsidR="00AD11BB" w:rsidRPr="00115348">
              <w:rPr>
                <w:sz w:val="22"/>
                <w:szCs w:val="22"/>
              </w:rPr>
              <w:t>:</w:t>
            </w:r>
          </w:p>
          <w:p w:rsidR="00285D30" w:rsidRPr="00115348" w:rsidRDefault="002F5944" w:rsidP="00AD11BB">
            <w:pPr>
              <w:pStyle w:val="naiskr"/>
              <w:numPr>
                <w:ilvl w:val="0"/>
                <w:numId w:val="29"/>
              </w:numPr>
              <w:spacing w:before="0" w:after="60"/>
              <w:ind w:left="421"/>
              <w:jc w:val="both"/>
              <w:rPr>
                <w:color w:val="000000" w:themeColor="text1"/>
              </w:rPr>
            </w:pPr>
            <w:r w:rsidRPr="00115348">
              <w:rPr>
                <w:sz w:val="22"/>
                <w:szCs w:val="22"/>
              </w:rPr>
              <w:t>operatoram atbilstoši Latvijas normatīvajiem aktiem ir atcelta siltumnīcefekta gāzu atļauja</w:t>
            </w:r>
            <w:r w:rsidR="00AD11BB" w:rsidRPr="00115348">
              <w:rPr>
                <w:sz w:val="22"/>
                <w:szCs w:val="22"/>
              </w:rPr>
              <w:t>, tādējādi atb</w:t>
            </w:r>
            <w:r w:rsidR="00A32D35" w:rsidRPr="00115348">
              <w:rPr>
                <w:sz w:val="22"/>
                <w:szCs w:val="22"/>
              </w:rPr>
              <w:t>ilstoši noteikumu Nr.112 22.punktam emisijas kvotas nepiešķir;</w:t>
            </w:r>
          </w:p>
          <w:p w:rsidR="008707AC" w:rsidRPr="00115348" w:rsidRDefault="008707AC" w:rsidP="00AD11BB">
            <w:pPr>
              <w:pStyle w:val="naiskr"/>
              <w:numPr>
                <w:ilvl w:val="0"/>
                <w:numId w:val="29"/>
              </w:numPr>
              <w:spacing w:before="0" w:after="60"/>
              <w:ind w:left="421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operatoram nepieciešams grozīt piešķirto emisijas kvotu apjomu pamatojoties uz izmaiņām</w:t>
            </w:r>
            <w:r w:rsidRPr="00115348">
              <w:rPr>
                <w:sz w:val="22"/>
                <w:szCs w:val="22"/>
              </w:rPr>
              <w:t xml:space="preserve"> Eiropas Savienības likumdošanā, kas nosaka kāda aprēķinu metodi nepieciešams lietot konkrētās nozares operatoram. Situācijā, kad tiek veikti grozījumi oglekļa dioksīda pārvirzes riskam pakļauto nozaru sarakstā</w:t>
            </w:r>
            <w:r w:rsidRPr="00115348">
              <w:rPr>
                <w:rStyle w:val="FootnoteReference"/>
                <w:sz w:val="22"/>
                <w:szCs w:val="22"/>
              </w:rPr>
              <w:footnoteReference w:id="1"/>
            </w:r>
            <w:r w:rsidR="00AD11BB" w:rsidRPr="00115348">
              <w:rPr>
                <w:sz w:val="22"/>
                <w:szCs w:val="22"/>
              </w:rPr>
              <w:t>, nav nepieciešamības operatoram iesniegt atsevišķu iesniegumu, jo aprēķinu veikšanai netiek izmantoti jauni dati vai informācija no operatora, bet gan aprēķinu formulā tiek piemērots cits</w:t>
            </w:r>
            <w:proofErr w:type="gramStart"/>
            <w:r w:rsidR="00AD11BB" w:rsidRPr="00115348">
              <w:rPr>
                <w:sz w:val="22"/>
                <w:szCs w:val="22"/>
              </w:rPr>
              <w:t xml:space="preserve">  </w:t>
            </w:r>
            <w:proofErr w:type="gramEnd"/>
            <w:r w:rsidR="00AD11BB" w:rsidRPr="00115348">
              <w:rPr>
                <w:sz w:val="22"/>
                <w:szCs w:val="22"/>
              </w:rPr>
              <w:t>reizinājuma koeficients.</w:t>
            </w:r>
          </w:p>
          <w:p w:rsidR="00285D30" w:rsidRPr="00115348" w:rsidRDefault="00285D30" w:rsidP="00D16645">
            <w:pPr>
              <w:pStyle w:val="naiskr"/>
              <w:spacing w:before="0" w:after="60"/>
              <w:ind w:firstLine="17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4) Ar noteikumu projektu tiek nodrošināts, ka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 xml:space="preserve"> emisijas reģistra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valsts administrators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 xml:space="preserve"> (Valsts SIA Latvijas Vides, ģeoloģijas un meteoroloģijas centrs) 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atliek emisijas kvotu piešķiršanu operatoram, ja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VARAM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ir informācija, ka attiecīgā operatora iekārtā ir veiktas tādas darbības vai jaudas izmaiņas, kuras var </w:t>
            </w:r>
            <w:proofErr w:type="spellStart"/>
            <w:r w:rsidRPr="00115348">
              <w:rPr>
                <w:color w:val="000000" w:themeColor="text1"/>
                <w:sz w:val="22"/>
                <w:szCs w:val="22"/>
              </w:rPr>
              <w:t>rezultēties</w:t>
            </w:r>
            <w:proofErr w:type="spellEnd"/>
            <w:r w:rsidRPr="00115348">
              <w:rPr>
                <w:color w:val="000000" w:themeColor="text1"/>
                <w:sz w:val="22"/>
                <w:szCs w:val="22"/>
              </w:rPr>
              <w:t xml:space="preserve"> emisijas kvotu apjoma samazināšanā.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VARAM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šo informāciju iegūst, veicot pastāvīgu operatora datu izvērtēšanu, ņemot vērā operatora iesniegtos verificētos ikgadējos emisiju ziņojumus vai citu operatora sniegto informāciju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 xml:space="preserve"> (kas nav oficiāli iesniegts iesniegums)</w:t>
            </w:r>
            <w:r w:rsidRPr="00115348">
              <w:rPr>
                <w:color w:val="000000" w:themeColor="text1"/>
                <w:sz w:val="22"/>
                <w:szCs w:val="22"/>
              </w:rPr>
              <w:t>, kā arī ņemot vērā operatoru sniegto informāciju par savas iekārtas darbības līme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ņa un ražošanas jaudas izmaiņām,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Tādējādi VARAM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 var pieņemt lēmumu par emisijas kvotu sadales atlikšanu arī, ja operators šādu informāciju nav sniedzis un tādējādi pārkāpis noteikumos Nr.112 iekļautos nosacījumus nodrošin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ot</w:t>
            </w:r>
            <w:r w:rsidRPr="00115348">
              <w:rPr>
                <w:color w:val="000000" w:themeColor="text1"/>
                <w:sz w:val="22"/>
                <w:szCs w:val="22"/>
              </w:rPr>
              <w:t xml:space="preserve">, ka operatoram netiek piešķirts operatora iekārtās veiktajām darbībām un to izmaiņām neatbilstošs emisijas kvotu apjoms. </w:t>
            </w:r>
            <w:r w:rsidR="00D16645" w:rsidRPr="00115348">
              <w:rPr>
                <w:color w:val="000000" w:themeColor="text1"/>
                <w:sz w:val="22"/>
                <w:szCs w:val="22"/>
              </w:rPr>
              <w:t>Šobrīd n</w:t>
            </w:r>
            <w:r w:rsidRPr="00115348">
              <w:rPr>
                <w:color w:val="000000" w:themeColor="text1"/>
                <w:sz w:val="22"/>
                <w:szCs w:val="22"/>
              </w:rPr>
              <w:t>oteikumu Nr.112 41.punktā ir noteikts, ka operatoram ir pienākums ziņot līdz 20.janvārim vai iekārtu darbībā ir notikušas izmaiņas iepriekšējā gadā.</w:t>
            </w:r>
          </w:p>
        </w:tc>
      </w:tr>
      <w:tr w:rsidR="00D94EE5" w:rsidRPr="00115348" w:rsidTr="008B2E31">
        <w:trPr>
          <w:trHeight w:val="476"/>
        </w:trPr>
        <w:tc>
          <w:tcPr>
            <w:tcW w:w="416" w:type="dxa"/>
          </w:tcPr>
          <w:p w:rsidR="00D94EE5" w:rsidRPr="00115348" w:rsidRDefault="004618FD" w:rsidP="0045163C">
            <w:pPr>
              <w:pStyle w:val="naiskr"/>
              <w:spacing w:before="0" w:after="60"/>
              <w:jc w:val="center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57" w:type="dxa"/>
          </w:tcPr>
          <w:p w:rsidR="00D94EE5" w:rsidRPr="00115348" w:rsidRDefault="00D94EE5" w:rsidP="0045163C">
            <w:pPr>
              <w:pStyle w:val="naiskr"/>
              <w:spacing w:before="0"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Projekta izstrādē iesaistītās </w:t>
            </w:r>
            <w:r w:rsidRPr="00115348">
              <w:rPr>
                <w:color w:val="000000" w:themeColor="text1"/>
                <w:sz w:val="22"/>
                <w:szCs w:val="22"/>
              </w:rPr>
              <w:lastRenderedPageBreak/>
              <w:t>institūcijas</w:t>
            </w:r>
          </w:p>
        </w:tc>
        <w:tc>
          <w:tcPr>
            <w:tcW w:w="7083" w:type="dxa"/>
          </w:tcPr>
          <w:p w:rsidR="00D94EE5" w:rsidRPr="00115348" w:rsidRDefault="009F489D" w:rsidP="00A151A0">
            <w:pPr>
              <w:pStyle w:val="naiskr"/>
              <w:spacing w:before="0" w:after="60"/>
              <w:rPr>
                <w:iCs/>
                <w:color w:val="000000" w:themeColor="text1"/>
              </w:rPr>
            </w:pPr>
            <w:r w:rsidRPr="00115348">
              <w:rPr>
                <w:iCs/>
                <w:color w:val="000000" w:themeColor="text1"/>
                <w:sz w:val="22"/>
                <w:szCs w:val="22"/>
              </w:rPr>
              <w:lastRenderedPageBreak/>
              <w:t>VARAM</w:t>
            </w:r>
          </w:p>
        </w:tc>
      </w:tr>
      <w:tr w:rsidR="00D94EE5" w:rsidRPr="00115348" w:rsidTr="008B2E31">
        <w:tc>
          <w:tcPr>
            <w:tcW w:w="416" w:type="dxa"/>
          </w:tcPr>
          <w:p w:rsidR="00D94EE5" w:rsidRPr="00115348" w:rsidRDefault="004618FD" w:rsidP="0045163C">
            <w:pPr>
              <w:pStyle w:val="naiskr"/>
              <w:spacing w:before="0" w:after="60"/>
              <w:jc w:val="center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D94EE5" w:rsidRPr="001153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:rsidR="00D94EE5" w:rsidRPr="00115348" w:rsidRDefault="00D94EE5" w:rsidP="0045163C">
            <w:pPr>
              <w:pStyle w:val="naiskr"/>
              <w:spacing w:before="0"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Cita informācija</w:t>
            </w:r>
          </w:p>
        </w:tc>
        <w:tc>
          <w:tcPr>
            <w:tcW w:w="7083" w:type="dxa"/>
          </w:tcPr>
          <w:p w:rsidR="00D94EE5" w:rsidRPr="00115348" w:rsidRDefault="00D94EE5" w:rsidP="00A151A0">
            <w:pPr>
              <w:pStyle w:val="naiskr"/>
              <w:spacing w:before="0"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Nav</w:t>
            </w:r>
          </w:p>
        </w:tc>
      </w:tr>
    </w:tbl>
    <w:p w:rsidR="0000562A" w:rsidRDefault="0000562A" w:rsidP="00777267">
      <w:pPr>
        <w:spacing w:before="120" w:after="120"/>
      </w:pPr>
    </w:p>
    <w:tbl>
      <w:tblPr>
        <w:tblW w:w="9356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900"/>
        <w:gridCol w:w="5988"/>
      </w:tblGrid>
      <w:tr w:rsidR="00C02911" w:rsidRPr="00115348" w:rsidTr="000166E1">
        <w:trPr>
          <w:trHeight w:val="55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1268" w:rsidRPr="00115348" w:rsidRDefault="00C02911" w:rsidP="0045163C">
            <w:pPr>
              <w:spacing w:after="60"/>
              <w:jc w:val="center"/>
              <w:rPr>
                <w:b/>
                <w:bCs/>
                <w:color w:val="000000" w:themeColor="text1"/>
              </w:rPr>
            </w:pPr>
            <w:r w:rsidRPr="00115348">
              <w:rPr>
                <w:b/>
                <w:bCs/>
                <w:color w:val="000000" w:themeColor="text1"/>
                <w:sz w:val="22"/>
                <w:szCs w:val="22"/>
              </w:rPr>
              <w:t>II. Tiesību akta projekta ietekme uz sabiedrību, tautsaimniecības attīstību un administratīvo slogu</w:t>
            </w:r>
          </w:p>
        </w:tc>
      </w:tr>
      <w:tr w:rsidR="00C02911" w:rsidRPr="00115348" w:rsidTr="000166E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A151A0">
            <w:pPr>
              <w:pStyle w:val="naiskr"/>
              <w:spacing w:before="0" w:after="60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115348">
              <w:rPr>
                <w:iCs/>
                <w:color w:val="000000" w:themeColor="text1"/>
                <w:sz w:val="22"/>
                <w:szCs w:val="22"/>
              </w:rPr>
              <w:t xml:space="preserve">Latvijas emisijas kvotu tirdzniecības sistēmas </w:t>
            </w:r>
            <w:r w:rsidR="00806E57" w:rsidRPr="00115348">
              <w:rPr>
                <w:iCs/>
                <w:color w:val="000000" w:themeColor="text1"/>
                <w:sz w:val="22"/>
                <w:szCs w:val="22"/>
              </w:rPr>
              <w:t xml:space="preserve">66 </w:t>
            </w:r>
            <w:r w:rsidRPr="00115348">
              <w:rPr>
                <w:iCs/>
                <w:color w:val="000000" w:themeColor="text1"/>
                <w:sz w:val="22"/>
                <w:szCs w:val="22"/>
              </w:rPr>
              <w:t>operatori, kuri veic kādu no likuma „Par piesārņojumu” 2.pielikumā minētajām darbībām un kuriem ir izsniegtas siltumnīcefekta gāzu emisijas atļaujas</w:t>
            </w:r>
            <w:r w:rsidR="00A151A0" w:rsidRPr="00115348">
              <w:rPr>
                <w:rStyle w:val="apple-style-sp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02911" w:rsidRPr="00115348" w:rsidTr="000166E1">
        <w:trPr>
          <w:trHeight w:val="51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0D48E9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Projekts šo jomu neskar.</w:t>
            </w:r>
          </w:p>
        </w:tc>
      </w:tr>
      <w:tr w:rsidR="00C02911" w:rsidRPr="00115348" w:rsidTr="000166E1">
        <w:trPr>
          <w:trHeight w:val="51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Projekts šo jomu neskar.</w:t>
            </w:r>
          </w:p>
        </w:tc>
      </w:tr>
      <w:tr w:rsidR="00C02911" w:rsidRPr="00115348" w:rsidTr="000166E1">
        <w:trPr>
          <w:trHeight w:val="34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1268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Nav</w:t>
            </w:r>
          </w:p>
        </w:tc>
      </w:tr>
    </w:tbl>
    <w:p w:rsidR="007B1268" w:rsidRPr="00FB4812" w:rsidRDefault="007B1268" w:rsidP="00801659">
      <w:pPr>
        <w:pStyle w:val="naisf"/>
        <w:spacing w:before="120" w:after="120"/>
        <w:ind w:firstLine="374"/>
        <w:jc w:val="center"/>
        <w:rPr>
          <w:b/>
        </w:rPr>
      </w:pPr>
    </w:p>
    <w:tbl>
      <w:tblPr>
        <w:tblW w:w="9356" w:type="dxa"/>
        <w:jc w:val="center"/>
        <w:tblInd w:w="-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55"/>
        <w:gridCol w:w="2565"/>
        <w:gridCol w:w="6236"/>
      </w:tblGrid>
      <w:tr w:rsidR="007B1268" w:rsidRPr="00FB4812" w:rsidTr="007B1268">
        <w:trPr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1268" w:rsidRPr="00115348" w:rsidRDefault="007B1268" w:rsidP="007B1268">
            <w:pPr>
              <w:jc w:val="center"/>
              <w:rPr>
                <w:b/>
              </w:rPr>
            </w:pPr>
            <w:r w:rsidRPr="00115348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7B1268" w:rsidRPr="00FB4812" w:rsidTr="007B1268"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1.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51A0" w:rsidRPr="00115348" w:rsidRDefault="007B1268" w:rsidP="00A151A0">
            <w:pPr>
              <w:autoSpaceDE w:val="0"/>
              <w:autoSpaceDN w:val="0"/>
              <w:adjustRightInd w:val="0"/>
              <w:spacing w:after="60"/>
              <w:ind w:firstLine="170"/>
              <w:jc w:val="both"/>
            </w:pPr>
            <w:r w:rsidRPr="00115348">
              <w:rPr>
                <w:sz w:val="22"/>
                <w:szCs w:val="22"/>
              </w:rPr>
              <w:t xml:space="preserve">Normatīvā akta projekts sagatavots, ievērojot </w:t>
            </w:r>
            <w:r w:rsidR="004E42C3" w:rsidRPr="00115348">
              <w:rPr>
                <w:color w:val="000000"/>
                <w:sz w:val="22"/>
                <w:szCs w:val="22"/>
                <w:shd w:val="clear" w:color="auto" w:fill="FFFFFF"/>
              </w:rPr>
              <w:t xml:space="preserve">Eiropas </w:t>
            </w:r>
            <w:r w:rsidR="004F5225" w:rsidRPr="00115348">
              <w:rPr>
                <w:color w:val="000000"/>
                <w:sz w:val="22"/>
                <w:szCs w:val="22"/>
                <w:shd w:val="clear" w:color="auto" w:fill="FFFFFF"/>
              </w:rPr>
              <w:t>Komisijas 2011.gada 27.aprīļa lēmum</w:t>
            </w:r>
            <w:r w:rsidR="00A151A0" w:rsidRPr="00115348">
              <w:rPr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4F5225" w:rsidRPr="00115348">
              <w:rPr>
                <w:color w:val="000000"/>
                <w:sz w:val="22"/>
                <w:szCs w:val="22"/>
                <w:shd w:val="clear" w:color="auto" w:fill="FFFFFF"/>
              </w:rPr>
              <w:t xml:space="preserve"> Nr.2011/278/ES, ar kuru visā Savienībā nosaka pagaidu noteikumus saskaņotai bezmaksas emisiju kvotu sadalei atbilstoši 10.a pantam Eiropas Parlamenta un Padomes Direktīvā 2003/87/EK.</w:t>
            </w:r>
          </w:p>
          <w:p w:rsidR="007B1268" w:rsidRPr="00115348" w:rsidRDefault="007B1268" w:rsidP="00A151A0">
            <w:pPr>
              <w:autoSpaceDE w:val="0"/>
              <w:autoSpaceDN w:val="0"/>
              <w:adjustRightInd w:val="0"/>
              <w:spacing w:after="60"/>
              <w:ind w:firstLine="170"/>
              <w:jc w:val="both"/>
            </w:pPr>
            <w:r w:rsidRPr="00115348">
              <w:rPr>
                <w:bCs/>
                <w:sz w:val="22"/>
                <w:szCs w:val="22"/>
              </w:rPr>
              <w:t>Pārņemti tie Eiropas Savienības tiesību akta panti, kas attiecas uz emisijas kvotu piešķiršanu jaunām iekārtām un emisijas kvotu apjoma grozījumiem.</w:t>
            </w:r>
          </w:p>
        </w:tc>
      </w:tr>
      <w:tr w:rsidR="007B1268" w:rsidRPr="00FB4812" w:rsidTr="007B1268"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268" w:rsidRPr="00115348" w:rsidRDefault="007B1268" w:rsidP="00A151A0">
            <w:r w:rsidRPr="00115348">
              <w:rPr>
                <w:color w:val="000000"/>
                <w:sz w:val="22"/>
                <w:szCs w:val="22"/>
                <w:lang w:eastAsia="en-US"/>
              </w:rPr>
              <w:t>Projekts šo jomu neskar</w:t>
            </w:r>
            <w:r w:rsidR="00A151A0" w:rsidRPr="00115348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1268" w:rsidRPr="00FB4812" w:rsidTr="007B1268"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268" w:rsidRPr="00115348" w:rsidRDefault="007B1268" w:rsidP="007B1268">
            <w:pPr>
              <w:ind w:left="57"/>
            </w:pPr>
            <w:r w:rsidRPr="00115348">
              <w:rPr>
                <w:sz w:val="22"/>
                <w:szCs w:val="22"/>
              </w:rPr>
              <w:t>Cita informācija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268" w:rsidRPr="00115348" w:rsidRDefault="007B1268" w:rsidP="00A151A0">
            <w:r w:rsidRPr="00115348">
              <w:rPr>
                <w:sz w:val="22"/>
                <w:szCs w:val="22"/>
              </w:rPr>
              <w:t>Nav</w:t>
            </w:r>
          </w:p>
        </w:tc>
      </w:tr>
    </w:tbl>
    <w:p w:rsidR="007B1268" w:rsidRPr="007D1A29" w:rsidRDefault="007B1268" w:rsidP="007B1268">
      <w:pPr>
        <w:spacing w:before="120" w:after="120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842"/>
        <w:gridCol w:w="1835"/>
        <w:gridCol w:w="2983"/>
      </w:tblGrid>
      <w:tr w:rsidR="007B1268" w:rsidRPr="00115348" w:rsidTr="00BA7AAE">
        <w:trPr>
          <w:trHeight w:val="284"/>
          <w:jc w:val="center"/>
        </w:trPr>
        <w:tc>
          <w:tcPr>
            <w:tcW w:w="9356" w:type="dxa"/>
            <w:gridSpan w:val="4"/>
          </w:tcPr>
          <w:p w:rsidR="007B1268" w:rsidRPr="00115348" w:rsidRDefault="007B1268" w:rsidP="007B1268">
            <w:pPr>
              <w:jc w:val="center"/>
              <w:rPr>
                <w:b/>
              </w:rPr>
            </w:pPr>
            <w:r w:rsidRPr="00115348">
              <w:rPr>
                <w:b/>
                <w:sz w:val="22"/>
                <w:szCs w:val="22"/>
              </w:rPr>
              <w:t>1.tabula</w:t>
            </w:r>
          </w:p>
          <w:p w:rsidR="007B1268" w:rsidRPr="00115348" w:rsidRDefault="007B1268" w:rsidP="007B1268">
            <w:pPr>
              <w:ind w:left="57"/>
              <w:jc w:val="center"/>
            </w:pPr>
            <w:r w:rsidRPr="00115348">
              <w:rPr>
                <w:b/>
                <w:sz w:val="22"/>
                <w:szCs w:val="22"/>
              </w:rPr>
              <w:t>Tiesību akta projekta atbilstība ES tiesību aktiem</w:t>
            </w:r>
          </w:p>
        </w:tc>
      </w:tr>
      <w:tr w:rsidR="008B7AFC" w:rsidRPr="00115348" w:rsidTr="00F569A9">
        <w:trPr>
          <w:trHeight w:val="284"/>
          <w:jc w:val="center"/>
        </w:trPr>
        <w:tc>
          <w:tcPr>
            <w:tcW w:w="1696" w:type="dxa"/>
          </w:tcPr>
          <w:p w:rsidR="008B7AFC" w:rsidRPr="00115348" w:rsidRDefault="008B7AFC" w:rsidP="00F569A9">
            <w:r w:rsidRPr="00115348">
              <w:rPr>
                <w:sz w:val="22"/>
                <w:szCs w:val="22"/>
              </w:rPr>
              <w:t>Attiecīgā Eiropas Savienības tiesību akta datums, numurs un nosaukums</w:t>
            </w:r>
          </w:p>
        </w:tc>
        <w:tc>
          <w:tcPr>
            <w:tcW w:w="7660" w:type="dxa"/>
            <w:gridSpan w:val="3"/>
          </w:tcPr>
          <w:p w:rsidR="008B7AFC" w:rsidRPr="00115348" w:rsidRDefault="004F5225" w:rsidP="00A151A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15348">
              <w:rPr>
                <w:color w:val="000000"/>
                <w:sz w:val="22"/>
                <w:szCs w:val="22"/>
                <w:shd w:val="clear" w:color="auto" w:fill="FFFFFF"/>
              </w:rPr>
              <w:t>Eiropas Komisijas 2011.gada 27.aprīļa lēmum</w:t>
            </w:r>
            <w:r w:rsidR="00A151A0" w:rsidRPr="00115348"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115348">
              <w:rPr>
                <w:color w:val="000000"/>
                <w:sz w:val="22"/>
                <w:szCs w:val="22"/>
                <w:shd w:val="clear" w:color="auto" w:fill="FFFFFF"/>
              </w:rPr>
              <w:t xml:space="preserve"> Nr.2011/278/ES, ar kuru visā Savienībā nosaka pagaidu noteikumus saskaņotai bezmaksas emisiju kvotu sadalei atbilstoši 10.a pantam Eiropas Parlamenta un Padomes Direktīvā 2003/87/EK.</w:t>
            </w:r>
          </w:p>
        </w:tc>
      </w:tr>
      <w:tr w:rsidR="008B7AFC" w:rsidRPr="00115348" w:rsidTr="009967A9">
        <w:trPr>
          <w:trHeight w:val="284"/>
          <w:jc w:val="center"/>
        </w:trPr>
        <w:tc>
          <w:tcPr>
            <w:tcW w:w="1696" w:type="dxa"/>
          </w:tcPr>
          <w:p w:rsidR="008B7AFC" w:rsidRPr="00115348" w:rsidRDefault="008B7AFC" w:rsidP="00F569A9">
            <w:pPr>
              <w:jc w:val="center"/>
            </w:pPr>
            <w:r w:rsidRPr="00115348">
              <w:rPr>
                <w:sz w:val="22"/>
                <w:szCs w:val="22"/>
              </w:rPr>
              <w:t>A</w:t>
            </w:r>
          </w:p>
        </w:tc>
        <w:tc>
          <w:tcPr>
            <w:tcW w:w="2842" w:type="dxa"/>
          </w:tcPr>
          <w:p w:rsidR="008B7AFC" w:rsidRPr="00115348" w:rsidRDefault="008B7AFC" w:rsidP="00F569A9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B</w:t>
            </w:r>
          </w:p>
        </w:tc>
        <w:tc>
          <w:tcPr>
            <w:tcW w:w="1835" w:type="dxa"/>
          </w:tcPr>
          <w:p w:rsidR="008B7AFC" w:rsidRPr="00115348" w:rsidRDefault="008B7AFC" w:rsidP="00F569A9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C</w:t>
            </w:r>
          </w:p>
        </w:tc>
        <w:tc>
          <w:tcPr>
            <w:tcW w:w="2983" w:type="dxa"/>
          </w:tcPr>
          <w:p w:rsidR="008B7AFC" w:rsidRPr="00115348" w:rsidRDefault="008B7AFC" w:rsidP="00F569A9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D</w:t>
            </w:r>
          </w:p>
        </w:tc>
      </w:tr>
      <w:tr w:rsidR="00CC0333" w:rsidRPr="00115348" w:rsidTr="00A151A0">
        <w:trPr>
          <w:trHeight w:val="284"/>
          <w:jc w:val="center"/>
        </w:trPr>
        <w:tc>
          <w:tcPr>
            <w:tcW w:w="1696" w:type="dxa"/>
            <w:vAlign w:val="center"/>
          </w:tcPr>
          <w:p w:rsidR="00CC0333" w:rsidRPr="00115348" w:rsidRDefault="00CC0333" w:rsidP="00A151A0">
            <w:r w:rsidRPr="00115348">
              <w:rPr>
                <w:sz w:val="22"/>
                <w:szCs w:val="22"/>
              </w:rPr>
              <w:t>19.panta 3.punkts</w:t>
            </w:r>
          </w:p>
        </w:tc>
        <w:tc>
          <w:tcPr>
            <w:tcW w:w="2842" w:type="dxa"/>
            <w:vAlign w:val="center"/>
          </w:tcPr>
          <w:p w:rsidR="00CC0333" w:rsidRPr="00115348" w:rsidRDefault="00CC0333" w:rsidP="00A151A0">
            <w:pPr>
              <w:ind w:left="57"/>
            </w:pPr>
            <w:r w:rsidRPr="00115348">
              <w:rPr>
                <w:sz w:val="22"/>
                <w:szCs w:val="22"/>
              </w:rPr>
              <w:t>normatīvā akta projekta 1.punkts</w:t>
            </w:r>
          </w:p>
        </w:tc>
        <w:tc>
          <w:tcPr>
            <w:tcW w:w="1835" w:type="dxa"/>
            <w:vAlign w:val="center"/>
          </w:tcPr>
          <w:p w:rsidR="00CC0333" w:rsidRPr="00115348" w:rsidRDefault="00A151A0" w:rsidP="00A151A0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</w:tcPr>
          <w:p w:rsidR="00CC0333" w:rsidRPr="00115348" w:rsidRDefault="00A151A0" w:rsidP="00A151A0">
            <w:pPr>
              <w:ind w:left="57"/>
              <w:jc w:val="both"/>
            </w:pPr>
            <w:r w:rsidRPr="00115348">
              <w:rPr>
                <w:sz w:val="22"/>
                <w:szCs w:val="22"/>
              </w:rPr>
              <w:t>netiek pārņemts, paredzot stingrākas vai mazāk stingras prasības</w:t>
            </w:r>
          </w:p>
        </w:tc>
      </w:tr>
      <w:tr w:rsidR="00CC0333" w:rsidRPr="00115348" w:rsidTr="00A151A0">
        <w:trPr>
          <w:trHeight w:val="284"/>
          <w:jc w:val="center"/>
        </w:trPr>
        <w:tc>
          <w:tcPr>
            <w:tcW w:w="1696" w:type="dxa"/>
            <w:vAlign w:val="center"/>
          </w:tcPr>
          <w:p w:rsidR="00CC0333" w:rsidRPr="00115348" w:rsidRDefault="00CC0333" w:rsidP="00A151A0">
            <w:r w:rsidRPr="00115348">
              <w:rPr>
                <w:sz w:val="22"/>
                <w:szCs w:val="22"/>
              </w:rPr>
              <w:t>21.panta 3.punkts</w:t>
            </w:r>
          </w:p>
        </w:tc>
        <w:tc>
          <w:tcPr>
            <w:tcW w:w="2842" w:type="dxa"/>
            <w:vAlign w:val="center"/>
          </w:tcPr>
          <w:p w:rsidR="00CC0333" w:rsidRPr="00115348" w:rsidRDefault="00CC0333" w:rsidP="00A151A0">
            <w:pPr>
              <w:ind w:left="57"/>
            </w:pPr>
            <w:r w:rsidRPr="00115348">
              <w:rPr>
                <w:sz w:val="22"/>
                <w:szCs w:val="22"/>
              </w:rPr>
              <w:t>normatīvā akta projekta 1.punkts</w:t>
            </w:r>
          </w:p>
        </w:tc>
        <w:tc>
          <w:tcPr>
            <w:tcW w:w="1835" w:type="dxa"/>
            <w:vAlign w:val="center"/>
          </w:tcPr>
          <w:p w:rsidR="00CC0333" w:rsidRPr="00115348" w:rsidRDefault="00A151A0" w:rsidP="00A151A0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</w:tcPr>
          <w:p w:rsidR="00CC0333" w:rsidRPr="00115348" w:rsidRDefault="00A151A0" w:rsidP="00A151A0">
            <w:pPr>
              <w:ind w:left="57"/>
              <w:jc w:val="both"/>
            </w:pPr>
            <w:r w:rsidRPr="00115348">
              <w:rPr>
                <w:sz w:val="22"/>
                <w:szCs w:val="22"/>
              </w:rPr>
              <w:t>netiek pārņemts, paredzot stingrākas vai mazāk stingras prasības</w:t>
            </w:r>
          </w:p>
        </w:tc>
      </w:tr>
      <w:tr w:rsidR="008523D7" w:rsidRPr="00115348" w:rsidTr="00A151A0">
        <w:trPr>
          <w:trHeight w:val="284"/>
          <w:jc w:val="center"/>
        </w:trPr>
        <w:tc>
          <w:tcPr>
            <w:tcW w:w="1696" w:type="dxa"/>
            <w:vAlign w:val="center"/>
          </w:tcPr>
          <w:p w:rsidR="008523D7" w:rsidRPr="00115348" w:rsidRDefault="008523D7" w:rsidP="00A151A0">
            <w:r w:rsidRPr="00115348">
              <w:rPr>
                <w:sz w:val="22"/>
                <w:szCs w:val="22"/>
              </w:rPr>
              <w:t>22.panta 4.punkts</w:t>
            </w:r>
          </w:p>
        </w:tc>
        <w:tc>
          <w:tcPr>
            <w:tcW w:w="2842" w:type="dxa"/>
            <w:vAlign w:val="center"/>
          </w:tcPr>
          <w:p w:rsidR="008523D7" w:rsidRPr="00115348" w:rsidRDefault="008523D7" w:rsidP="008523D7">
            <w:pPr>
              <w:ind w:left="57"/>
            </w:pPr>
            <w:r w:rsidRPr="00115348">
              <w:rPr>
                <w:sz w:val="22"/>
                <w:szCs w:val="22"/>
              </w:rPr>
              <w:t>normatīvā akta projekta 7.punkts</w:t>
            </w:r>
          </w:p>
        </w:tc>
        <w:tc>
          <w:tcPr>
            <w:tcW w:w="1835" w:type="dxa"/>
            <w:vAlign w:val="center"/>
          </w:tcPr>
          <w:p w:rsidR="008523D7" w:rsidRPr="00115348" w:rsidRDefault="008523D7" w:rsidP="00A151A0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</w:tcPr>
          <w:p w:rsidR="008523D7" w:rsidRPr="00115348" w:rsidRDefault="008523D7" w:rsidP="00D607DC">
            <w:pPr>
              <w:ind w:left="57"/>
              <w:jc w:val="both"/>
            </w:pPr>
            <w:r w:rsidRPr="00115348">
              <w:rPr>
                <w:sz w:val="22"/>
                <w:szCs w:val="22"/>
              </w:rPr>
              <w:t>tiek pārņemts, paredzot stingrākas prasības</w:t>
            </w:r>
          </w:p>
        </w:tc>
      </w:tr>
      <w:tr w:rsidR="008B7AFC" w:rsidRPr="00115348" w:rsidTr="009967A9">
        <w:trPr>
          <w:trHeight w:val="284"/>
          <w:jc w:val="center"/>
        </w:trPr>
        <w:tc>
          <w:tcPr>
            <w:tcW w:w="1696" w:type="dxa"/>
            <w:vAlign w:val="center"/>
          </w:tcPr>
          <w:p w:rsidR="008B7AFC" w:rsidRPr="00115348" w:rsidRDefault="009967A9" w:rsidP="009967A9">
            <w:pPr>
              <w:jc w:val="both"/>
            </w:pPr>
            <w:r w:rsidRPr="00115348">
              <w:rPr>
                <w:sz w:val="22"/>
                <w:szCs w:val="22"/>
              </w:rPr>
              <w:lastRenderedPageBreak/>
              <w:t>23.panta 2.punkts</w:t>
            </w:r>
          </w:p>
        </w:tc>
        <w:tc>
          <w:tcPr>
            <w:tcW w:w="2842" w:type="dxa"/>
            <w:vAlign w:val="center"/>
          </w:tcPr>
          <w:p w:rsidR="008B7AFC" w:rsidRPr="00115348" w:rsidRDefault="00CC0333" w:rsidP="00F8269F">
            <w:pPr>
              <w:ind w:left="57"/>
            </w:pPr>
            <w:r w:rsidRPr="00115348">
              <w:rPr>
                <w:sz w:val="22"/>
                <w:szCs w:val="22"/>
              </w:rPr>
              <w:t>normatīvā akta projekta 2.</w:t>
            </w:r>
            <w:r w:rsidR="00F8269F" w:rsidRPr="00115348">
              <w:rPr>
                <w:sz w:val="22"/>
                <w:szCs w:val="22"/>
              </w:rPr>
              <w:t>, 3. un 4.</w:t>
            </w:r>
            <w:r w:rsidRPr="00115348">
              <w:rPr>
                <w:sz w:val="22"/>
                <w:szCs w:val="22"/>
              </w:rPr>
              <w:t xml:space="preserve">punkts </w:t>
            </w:r>
          </w:p>
        </w:tc>
        <w:tc>
          <w:tcPr>
            <w:tcW w:w="1835" w:type="dxa"/>
            <w:vAlign w:val="center"/>
          </w:tcPr>
          <w:p w:rsidR="008B7AFC" w:rsidRPr="00115348" w:rsidRDefault="009967A9" w:rsidP="00F569A9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  <w:vAlign w:val="center"/>
          </w:tcPr>
          <w:p w:rsidR="008B7AFC" w:rsidRPr="00115348" w:rsidRDefault="004F5225" w:rsidP="004F5225">
            <w:pPr>
              <w:ind w:left="57"/>
              <w:jc w:val="both"/>
            </w:pPr>
            <w:r w:rsidRPr="00115348">
              <w:rPr>
                <w:sz w:val="22"/>
                <w:szCs w:val="22"/>
              </w:rPr>
              <w:t>netiek pārņemts, paredzot stingrākas vai mazāk stingras prasības</w:t>
            </w:r>
          </w:p>
        </w:tc>
      </w:tr>
      <w:tr w:rsidR="008B7AFC" w:rsidRPr="00115348" w:rsidTr="009967A9">
        <w:trPr>
          <w:trHeight w:val="284"/>
          <w:jc w:val="center"/>
        </w:trPr>
        <w:tc>
          <w:tcPr>
            <w:tcW w:w="1696" w:type="dxa"/>
            <w:vAlign w:val="center"/>
          </w:tcPr>
          <w:p w:rsidR="008B7AFC" w:rsidRPr="00115348" w:rsidRDefault="009967A9" w:rsidP="009967A9">
            <w:pPr>
              <w:jc w:val="both"/>
            </w:pPr>
            <w:r w:rsidRPr="00115348">
              <w:rPr>
                <w:sz w:val="22"/>
                <w:szCs w:val="22"/>
              </w:rPr>
              <w:t>23.pants 3.punkts</w:t>
            </w:r>
          </w:p>
        </w:tc>
        <w:tc>
          <w:tcPr>
            <w:tcW w:w="2842" w:type="dxa"/>
            <w:vAlign w:val="center"/>
          </w:tcPr>
          <w:p w:rsidR="008B7AFC" w:rsidRPr="00115348" w:rsidRDefault="00CC0333" w:rsidP="00F8269F">
            <w:pPr>
              <w:ind w:left="57"/>
            </w:pPr>
            <w:r w:rsidRPr="00115348">
              <w:rPr>
                <w:sz w:val="22"/>
                <w:szCs w:val="22"/>
              </w:rPr>
              <w:t xml:space="preserve">normatīvā akta projekta </w:t>
            </w:r>
            <w:r w:rsidR="00F8269F" w:rsidRPr="00115348">
              <w:rPr>
                <w:sz w:val="22"/>
                <w:szCs w:val="22"/>
              </w:rPr>
              <w:t>5</w:t>
            </w:r>
            <w:r w:rsidRPr="00115348">
              <w:rPr>
                <w:sz w:val="22"/>
                <w:szCs w:val="22"/>
              </w:rPr>
              <w:t>.punkts</w:t>
            </w:r>
          </w:p>
        </w:tc>
        <w:tc>
          <w:tcPr>
            <w:tcW w:w="1835" w:type="dxa"/>
            <w:vAlign w:val="center"/>
          </w:tcPr>
          <w:p w:rsidR="008B7AFC" w:rsidRPr="00115348" w:rsidRDefault="009967A9" w:rsidP="00F569A9">
            <w:pPr>
              <w:ind w:left="57"/>
              <w:jc w:val="center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  <w:vAlign w:val="center"/>
          </w:tcPr>
          <w:p w:rsidR="008B7AFC" w:rsidRPr="00115348" w:rsidRDefault="004F5225" w:rsidP="004F5225">
            <w:pPr>
              <w:ind w:left="57"/>
              <w:jc w:val="both"/>
            </w:pPr>
            <w:r w:rsidRPr="00115348">
              <w:rPr>
                <w:sz w:val="22"/>
                <w:szCs w:val="22"/>
              </w:rPr>
              <w:t>netiek pārņemts, paredzot stingrākas vai mazāk stingras prasības</w:t>
            </w:r>
          </w:p>
        </w:tc>
      </w:tr>
      <w:tr w:rsidR="00F123F9" w:rsidRPr="00115348" w:rsidTr="009967A9">
        <w:trPr>
          <w:trHeight w:val="284"/>
          <w:jc w:val="center"/>
        </w:trPr>
        <w:tc>
          <w:tcPr>
            <w:tcW w:w="1696" w:type="dxa"/>
            <w:vAlign w:val="center"/>
          </w:tcPr>
          <w:p w:rsidR="00F123F9" w:rsidRPr="00115348" w:rsidRDefault="009967A9" w:rsidP="009967A9">
            <w:pPr>
              <w:jc w:val="both"/>
            </w:pPr>
            <w:r w:rsidRPr="00115348">
              <w:rPr>
                <w:sz w:val="22"/>
                <w:szCs w:val="22"/>
              </w:rPr>
              <w:t>23.panta 4.punkts</w:t>
            </w:r>
          </w:p>
        </w:tc>
        <w:tc>
          <w:tcPr>
            <w:tcW w:w="2842" w:type="dxa"/>
            <w:vAlign w:val="center"/>
          </w:tcPr>
          <w:p w:rsidR="00F123F9" w:rsidRPr="00115348" w:rsidRDefault="00CC0333" w:rsidP="00F8269F">
            <w:pPr>
              <w:ind w:left="57"/>
            </w:pPr>
            <w:r w:rsidRPr="00115348">
              <w:rPr>
                <w:sz w:val="22"/>
                <w:szCs w:val="22"/>
              </w:rPr>
              <w:t xml:space="preserve">normatīvā akta projekta </w:t>
            </w:r>
            <w:r w:rsidR="00F8269F" w:rsidRPr="00115348">
              <w:rPr>
                <w:sz w:val="22"/>
                <w:szCs w:val="22"/>
              </w:rPr>
              <w:t>6</w:t>
            </w:r>
            <w:r w:rsidRPr="00115348">
              <w:rPr>
                <w:sz w:val="22"/>
                <w:szCs w:val="22"/>
              </w:rPr>
              <w:t>.punkts</w:t>
            </w:r>
          </w:p>
        </w:tc>
        <w:tc>
          <w:tcPr>
            <w:tcW w:w="1835" w:type="dxa"/>
            <w:vAlign w:val="center"/>
          </w:tcPr>
          <w:p w:rsidR="00F123F9" w:rsidRPr="00115348" w:rsidRDefault="00F123F9" w:rsidP="00CD7C93">
            <w:pPr>
              <w:ind w:left="57"/>
            </w:pPr>
            <w:r w:rsidRPr="00115348">
              <w:rPr>
                <w:sz w:val="22"/>
                <w:szCs w:val="22"/>
              </w:rPr>
              <w:t>pārņemts pilnībā</w:t>
            </w:r>
          </w:p>
        </w:tc>
        <w:tc>
          <w:tcPr>
            <w:tcW w:w="2983" w:type="dxa"/>
            <w:vAlign w:val="center"/>
          </w:tcPr>
          <w:p w:rsidR="00F123F9" w:rsidRPr="00115348" w:rsidRDefault="00F123F9" w:rsidP="004F5225">
            <w:pPr>
              <w:pStyle w:val="naisc"/>
              <w:spacing w:before="0" w:after="0"/>
              <w:jc w:val="both"/>
            </w:pPr>
            <w:r w:rsidRPr="00115348">
              <w:rPr>
                <w:sz w:val="22"/>
                <w:szCs w:val="22"/>
              </w:rPr>
              <w:t>netiek pārņemts paredzot stingrākas vai mazāk stingras prasības</w:t>
            </w:r>
          </w:p>
        </w:tc>
      </w:tr>
      <w:tr w:rsidR="008B7AFC" w:rsidRPr="00115348" w:rsidTr="00BA7AAE">
        <w:trPr>
          <w:trHeight w:val="284"/>
          <w:jc w:val="center"/>
        </w:trPr>
        <w:tc>
          <w:tcPr>
            <w:tcW w:w="1696" w:type="dxa"/>
          </w:tcPr>
          <w:p w:rsidR="008B7AFC" w:rsidRPr="00115348" w:rsidRDefault="008B7AFC" w:rsidP="007B1268">
            <w:pPr>
              <w:pStyle w:val="naisc"/>
              <w:spacing w:before="0" w:after="0"/>
              <w:jc w:val="both"/>
            </w:pPr>
            <w:r w:rsidRPr="00115348">
              <w:rPr>
                <w:sz w:val="22"/>
                <w:szCs w:val="22"/>
              </w:rPr>
              <w:t>Kā ir izmantota ES tiesību aktā paredzētā rīcības brīvība dalībvalstij pārņemt vai ieviest noteiktas ES tiesību akta normas?</w:t>
            </w:r>
          </w:p>
          <w:p w:rsidR="008B7AFC" w:rsidRPr="00115348" w:rsidRDefault="008B7AFC" w:rsidP="007B1268">
            <w:pPr>
              <w:ind w:left="57"/>
            </w:pPr>
            <w:r w:rsidRPr="00115348">
              <w:rPr>
                <w:sz w:val="22"/>
                <w:szCs w:val="22"/>
              </w:rPr>
              <w:t>Kādēļ?</w:t>
            </w:r>
            <w:r w:rsidRPr="00115348">
              <w:rPr>
                <w:sz w:val="22"/>
                <w:szCs w:val="22"/>
              </w:rPr>
              <w:tab/>
            </w:r>
          </w:p>
        </w:tc>
        <w:tc>
          <w:tcPr>
            <w:tcW w:w="7660" w:type="dxa"/>
            <w:gridSpan w:val="3"/>
          </w:tcPr>
          <w:p w:rsidR="008B7AFC" w:rsidRPr="00115348" w:rsidRDefault="00D607DC" w:rsidP="007B1268">
            <w:pPr>
              <w:pStyle w:val="naisc"/>
              <w:spacing w:before="0" w:after="0"/>
              <w:jc w:val="both"/>
            </w:pPr>
            <w:r>
              <w:rPr>
                <w:sz w:val="22"/>
                <w:szCs w:val="22"/>
              </w:rPr>
              <w:t>22.panta 4.punkts pārņemts nosakot stingrākas prasības, jo VARAM iepriekš ir saskārusies ar līdzīgiem krāpšanas gadījumiem un nepatiesas informācijas sniegšanu, par operatora iekārtas patieso situāciju.</w:t>
            </w:r>
          </w:p>
          <w:p w:rsidR="00F569A9" w:rsidRPr="00115348" w:rsidRDefault="00F569A9" w:rsidP="009A494A">
            <w:pPr>
              <w:pStyle w:val="naisc"/>
              <w:spacing w:before="0" w:after="0"/>
              <w:jc w:val="both"/>
            </w:pPr>
          </w:p>
        </w:tc>
      </w:tr>
      <w:tr w:rsidR="008B7AFC" w:rsidRPr="00115348" w:rsidTr="00BA7AAE">
        <w:trPr>
          <w:trHeight w:val="284"/>
          <w:jc w:val="center"/>
        </w:trPr>
        <w:tc>
          <w:tcPr>
            <w:tcW w:w="1696" w:type="dxa"/>
          </w:tcPr>
          <w:p w:rsidR="008B7AFC" w:rsidRPr="00115348" w:rsidRDefault="008B7AFC" w:rsidP="007B1268">
            <w:pPr>
              <w:ind w:left="57"/>
            </w:pPr>
            <w:r w:rsidRPr="00115348">
              <w:rPr>
                <w:sz w:val="22"/>
                <w:szCs w:val="22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660" w:type="dxa"/>
            <w:gridSpan w:val="3"/>
          </w:tcPr>
          <w:p w:rsidR="008B7AFC" w:rsidRPr="00115348" w:rsidRDefault="00F123F9" w:rsidP="00A151A0">
            <w:pPr>
              <w:pStyle w:val="naisc"/>
              <w:spacing w:before="0" w:after="0"/>
              <w:jc w:val="both"/>
            </w:pPr>
            <w:r w:rsidRPr="00115348">
              <w:rPr>
                <w:color w:val="000000"/>
                <w:sz w:val="22"/>
                <w:szCs w:val="22"/>
                <w:lang w:eastAsia="en-US"/>
              </w:rPr>
              <w:t>Projekts šo jomu neskar.</w:t>
            </w:r>
          </w:p>
        </w:tc>
      </w:tr>
      <w:tr w:rsidR="008B7AFC" w:rsidRPr="00115348" w:rsidTr="00BA7AAE">
        <w:trPr>
          <w:trHeight w:val="284"/>
          <w:jc w:val="center"/>
        </w:trPr>
        <w:tc>
          <w:tcPr>
            <w:tcW w:w="1696" w:type="dxa"/>
          </w:tcPr>
          <w:p w:rsidR="008B7AFC" w:rsidRPr="00115348" w:rsidRDefault="008B7AFC" w:rsidP="007B1268">
            <w:pPr>
              <w:ind w:left="57"/>
            </w:pPr>
            <w:r w:rsidRPr="00115348">
              <w:rPr>
                <w:sz w:val="22"/>
                <w:szCs w:val="22"/>
              </w:rPr>
              <w:t>Cita informācija</w:t>
            </w:r>
          </w:p>
        </w:tc>
        <w:tc>
          <w:tcPr>
            <w:tcW w:w="7660" w:type="dxa"/>
            <w:gridSpan w:val="3"/>
          </w:tcPr>
          <w:p w:rsidR="008B7AFC" w:rsidRPr="00115348" w:rsidRDefault="008B7AFC" w:rsidP="00A151A0">
            <w:pPr>
              <w:pStyle w:val="naisc"/>
              <w:spacing w:before="0" w:after="0"/>
              <w:jc w:val="both"/>
            </w:pPr>
            <w:r w:rsidRPr="00115348">
              <w:rPr>
                <w:iCs/>
                <w:sz w:val="22"/>
                <w:szCs w:val="22"/>
                <w:lang w:val="de-DE"/>
              </w:rPr>
              <w:t>Nav</w:t>
            </w:r>
          </w:p>
        </w:tc>
      </w:tr>
      <w:tr w:rsidR="008B7AFC" w:rsidRPr="00115348" w:rsidTr="00BA7AAE">
        <w:trPr>
          <w:trHeight w:val="284"/>
          <w:jc w:val="center"/>
        </w:trPr>
        <w:tc>
          <w:tcPr>
            <w:tcW w:w="9356" w:type="dxa"/>
            <w:gridSpan w:val="4"/>
          </w:tcPr>
          <w:p w:rsidR="008B7AFC" w:rsidRPr="00115348" w:rsidRDefault="008B7AFC" w:rsidP="007B1268">
            <w:pPr>
              <w:pStyle w:val="naisc"/>
              <w:spacing w:before="0" w:after="0"/>
              <w:ind w:firstLine="266"/>
              <w:rPr>
                <w:b/>
              </w:rPr>
            </w:pPr>
            <w:r w:rsidRPr="00115348">
              <w:rPr>
                <w:b/>
                <w:sz w:val="22"/>
                <w:szCs w:val="22"/>
              </w:rPr>
              <w:t>2.tabula</w:t>
            </w:r>
          </w:p>
          <w:p w:rsidR="008B7AFC" w:rsidRPr="00115348" w:rsidRDefault="008B7AFC" w:rsidP="007B1268">
            <w:pPr>
              <w:pStyle w:val="naisc"/>
              <w:spacing w:before="0" w:after="0"/>
              <w:ind w:firstLine="266"/>
              <w:rPr>
                <w:b/>
              </w:rPr>
            </w:pPr>
            <w:r w:rsidRPr="00115348">
              <w:rPr>
                <w:b/>
                <w:sz w:val="22"/>
                <w:szCs w:val="22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8B7AFC" w:rsidRPr="00115348" w:rsidRDefault="008B7AFC" w:rsidP="007B1268">
            <w:pPr>
              <w:pStyle w:val="naisc"/>
              <w:spacing w:before="0" w:after="0"/>
              <w:ind w:firstLine="266"/>
              <w:rPr>
                <w:i/>
              </w:rPr>
            </w:pPr>
            <w:r w:rsidRPr="00115348">
              <w:rPr>
                <w:b/>
                <w:sz w:val="22"/>
                <w:szCs w:val="22"/>
              </w:rPr>
              <w:t>Pasākumi šo saistību izpildei</w:t>
            </w:r>
          </w:p>
        </w:tc>
      </w:tr>
      <w:tr w:rsidR="008B7AFC" w:rsidRPr="00115348" w:rsidTr="00BA7AAE">
        <w:trPr>
          <w:trHeight w:val="284"/>
          <w:jc w:val="center"/>
        </w:trPr>
        <w:tc>
          <w:tcPr>
            <w:tcW w:w="9356" w:type="dxa"/>
            <w:gridSpan w:val="4"/>
          </w:tcPr>
          <w:p w:rsidR="008B7AFC" w:rsidRPr="00115348" w:rsidRDefault="008B7AFC" w:rsidP="00ED046F">
            <w:pPr>
              <w:pStyle w:val="naisc"/>
              <w:jc w:val="both"/>
            </w:pPr>
            <w:r w:rsidRPr="00115348">
              <w:rPr>
                <w:sz w:val="22"/>
                <w:szCs w:val="22"/>
              </w:rPr>
              <w:t>Projekts šo jomu neskar</w:t>
            </w:r>
          </w:p>
        </w:tc>
      </w:tr>
    </w:tbl>
    <w:p w:rsidR="007B1268" w:rsidRDefault="007B1268" w:rsidP="0045163C">
      <w:pPr>
        <w:spacing w:before="120" w:after="120"/>
        <w:rPr>
          <w:b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739"/>
        <w:gridCol w:w="5935"/>
      </w:tblGrid>
      <w:tr w:rsidR="00C02911" w:rsidRPr="00115348" w:rsidTr="007B1268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1268" w:rsidRPr="00115348" w:rsidRDefault="00C02911" w:rsidP="0045163C">
            <w:pPr>
              <w:spacing w:after="60"/>
              <w:jc w:val="center"/>
              <w:rPr>
                <w:b/>
                <w:bCs/>
                <w:color w:val="000000" w:themeColor="text1"/>
              </w:rPr>
            </w:pPr>
            <w:r w:rsidRPr="00115348">
              <w:rPr>
                <w:b/>
                <w:bCs/>
                <w:color w:val="000000" w:themeColor="text1"/>
                <w:sz w:val="22"/>
                <w:szCs w:val="22"/>
              </w:rPr>
              <w:t>VI. Sabiedrības līdzdalība un komunikācijas aktivitātes</w:t>
            </w:r>
          </w:p>
        </w:tc>
      </w:tr>
      <w:tr w:rsidR="00C02911" w:rsidRPr="00115348" w:rsidTr="007B1268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13407A">
            <w:pPr>
              <w:spacing w:after="60"/>
              <w:jc w:val="both"/>
              <w:rPr>
                <w:color w:val="000000" w:themeColor="text1"/>
              </w:rPr>
            </w:pPr>
            <w:r w:rsidRPr="008D6CE3">
              <w:rPr>
                <w:color w:val="000000" w:themeColor="text1"/>
                <w:sz w:val="22"/>
                <w:szCs w:val="22"/>
              </w:rPr>
              <w:t xml:space="preserve">Noteikumu projekts ievietots publiskai apspriešanai Vides aizsardzības un reģionālās attīstības ministrijas tīmekļa vietnē </w:t>
            </w:r>
            <w:hyperlink r:id="rId8" w:history="1">
              <w:r w:rsidR="00D63E7E" w:rsidRPr="008D6CE3">
                <w:rPr>
                  <w:rStyle w:val="Hyperlink"/>
                  <w:sz w:val="22"/>
                  <w:szCs w:val="22"/>
                </w:rPr>
                <w:t>www.varam.gov.lv</w:t>
              </w:r>
            </w:hyperlink>
            <w:r w:rsidR="00454350" w:rsidRPr="008D6C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6CE3">
              <w:rPr>
                <w:color w:val="000000" w:themeColor="text1"/>
                <w:sz w:val="22"/>
                <w:szCs w:val="22"/>
              </w:rPr>
              <w:t>201</w:t>
            </w:r>
            <w:r w:rsidR="00632AA2" w:rsidRPr="008D6CE3">
              <w:rPr>
                <w:color w:val="000000" w:themeColor="text1"/>
                <w:sz w:val="22"/>
                <w:szCs w:val="22"/>
              </w:rPr>
              <w:t>5</w:t>
            </w:r>
            <w:r w:rsidRPr="008D6CE3">
              <w:rPr>
                <w:color w:val="000000" w:themeColor="text1"/>
                <w:sz w:val="22"/>
                <w:szCs w:val="22"/>
              </w:rPr>
              <w:t>.gada</w:t>
            </w:r>
            <w:r w:rsidR="00F123F9" w:rsidRPr="008D6C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2AA2" w:rsidRPr="008D6CE3">
              <w:rPr>
                <w:color w:val="000000" w:themeColor="text1"/>
                <w:sz w:val="22"/>
                <w:szCs w:val="22"/>
              </w:rPr>
              <w:t>1</w:t>
            </w:r>
            <w:r w:rsidR="0013407A">
              <w:rPr>
                <w:color w:val="000000" w:themeColor="text1"/>
                <w:sz w:val="22"/>
                <w:szCs w:val="22"/>
              </w:rPr>
              <w:t>1</w:t>
            </w:r>
            <w:r w:rsidRPr="008D6CE3">
              <w:rPr>
                <w:color w:val="000000" w:themeColor="text1"/>
                <w:sz w:val="22"/>
                <w:szCs w:val="22"/>
              </w:rPr>
              <w:t>.</w:t>
            </w:r>
            <w:r w:rsidR="00F123F9" w:rsidRPr="008D6CE3">
              <w:rPr>
                <w:color w:val="000000" w:themeColor="text1"/>
                <w:sz w:val="22"/>
                <w:szCs w:val="22"/>
              </w:rPr>
              <w:t>novembrī</w:t>
            </w:r>
            <w:r w:rsidRPr="008D6C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02911" w:rsidRPr="00115348" w:rsidTr="007B1268">
        <w:trPr>
          <w:trHeight w:val="33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 xml:space="preserve">Sabiedrības līdzdalība </w:t>
            </w:r>
            <w:r w:rsidRPr="00115348">
              <w:rPr>
                <w:color w:val="000000" w:themeColor="text1"/>
                <w:sz w:val="22"/>
                <w:szCs w:val="22"/>
              </w:rPr>
              <w:lastRenderedPageBreak/>
              <w:t>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Projekts šo jomu neskar.</w:t>
            </w:r>
          </w:p>
        </w:tc>
      </w:tr>
      <w:tr w:rsidR="00C02911" w:rsidRPr="00115348" w:rsidTr="007B1268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F123F9">
            <w:pPr>
              <w:spacing w:after="60"/>
              <w:jc w:val="both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  <w:lang w:eastAsia="en-US"/>
              </w:rPr>
              <w:t xml:space="preserve">Pēc noteikumu projekta ievietošanas tīmekļa vietnē </w:t>
            </w:r>
            <w:r w:rsidR="00F123F9" w:rsidRPr="00115348">
              <w:rPr>
                <w:color w:val="000000" w:themeColor="text1"/>
                <w:sz w:val="22"/>
                <w:szCs w:val="22"/>
                <w:lang w:eastAsia="en-US"/>
              </w:rPr>
              <w:t>ne</w:t>
            </w:r>
            <w:r w:rsidRPr="00115348">
              <w:rPr>
                <w:color w:val="000000" w:themeColor="text1"/>
                <w:sz w:val="22"/>
                <w:szCs w:val="22"/>
                <w:lang w:eastAsia="en-US"/>
              </w:rPr>
              <w:t>tika saņemti priekšlikumi par noteikumu projektu</w:t>
            </w:r>
            <w:r w:rsidR="00F123F9" w:rsidRPr="00115348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C02911" w:rsidRPr="00115348" w:rsidTr="007B1268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1268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Nav</w:t>
            </w:r>
          </w:p>
        </w:tc>
      </w:tr>
    </w:tbl>
    <w:p w:rsidR="00C02911" w:rsidRDefault="00C02911" w:rsidP="0045163C">
      <w:pPr>
        <w:pStyle w:val="naisf"/>
        <w:spacing w:before="120" w:after="120"/>
        <w:ind w:firstLine="0"/>
        <w:rPr>
          <w:b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470"/>
        <w:gridCol w:w="5205"/>
      </w:tblGrid>
      <w:tr w:rsidR="00C02911" w:rsidRPr="00115348" w:rsidTr="007B1268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1268" w:rsidRPr="00115348" w:rsidRDefault="00C02911" w:rsidP="0045163C">
            <w:pPr>
              <w:spacing w:after="60"/>
              <w:jc w:val="center"/>
              <w:rPr>
                <w:b/>
                <w:bCs/>
                <w:color w:val="000000" w:themeColor="text1"/>
              </w:rPr>
            </w:pPr>
            <w:r w:rsidRPr="00115348">
              <w:rPr>
                <w:b/>
                <w:bCs/>
                <w:color w:val="000000" w:themeColor="text1"/>
                <w:sz w:val="22"/>
                <w:szCs w:val="22"/>
              </w:rPr>
              <w:t>VII. Tiesību akta projekta izpildes nodrošināšana un tās ietekme uz institūcijām</w:t>
            </w:r>
          </w:p>
        </w:tc>
      </w:tr>
      <w:tr w:rsidR="00C02911" w:rsidRPr="00115348" w:rsidTr="007B1268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9F489D" w:rsidP="00F123F9">
            <w:pPr>
              <w:pStyle w:val="naisnod"/>
              <w:spacing w:before="0" w:after="60"/>
              <w:ind w:right="227"/>
              <w:jc w:val="left"/>
              <w:rPr>
                <w:b w:val="0"/>
                <w:color w:val="000000" w:themeColor="text1"/>
              </w:rPr>
            </w:pPr>
            <w:r w:rsidRPr="00115348">
              <w:rPr>
                <w:b w:val="0"/>
                <w:color w:val="000000" w:themeColor="text1"/>
                <w:sz w:val="22"/>
                <w:szCs w:val="22"/>
              </w:rPr>
              <w:t>VARAM</w:t>
            </w:r>
          </w:p>
        </w:tc>
      </w:tr>
      <w:tr w:rsidR="00C02911" w:rsidRPr="00115348" w:rsidTr="007B1268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Projekta izpildes ietekme uz pārvaldes funkcijām un institucionālo struktūru.</w:t>
            </w:r>
          </w:p>
          <w:p w:rsidR="007B1268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3E7E" w:rsidRPr="00115348" w:rsidRDefault="00D63E7E" w:rsidP="00D63E7E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115348">
              <w:rPr>
                <w:b w:val="0"/>
                <w:sz w:val="22"/>
                <w:szCs w:val="22"/>
              </w:rPr>
              <w:t>Noteikumu projekts neietekmē iesaistīto institūciju funkcijas un uzdevumus.</w:t>
            </w:r>
          </w:p>
          <w:p w:rsidR="00D63E7E" w:rsidRPr="00115348" w:rsidRDefault="00D63E7E" w:rsidP="00D63E7E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115348">
              <w:rPr>
                <w:b w:val="0"/>
                <w:sz w:val="22"/>
                <w:szCs w:val="22"/>
              </w:rPr>
              <w:t>Nav paredzēta jauno institūciju izveide</w:t>
            </w:r>
            <w:r w:rsidR="0000562A" w:rsidRPr="00115348">
              <w:rPr>
                <w:b w:val="0"/>
                <w:sz w:val="22"/>
                <w:szCs w:val="22"/>
              </w:rPr>
              <w:t xml:space="preserve">, </w:t>
            </w:r>
            <w:r w:rsidRPr="00115348">
              <w:rPr>
                <w:b w:val="0"/>
                <w:sz w:val="22"/>
                <w:szCs w:val="22"/>
              </w:rPr>
              <w:t>likvidēšana</w:t>
            </w:r>
            <w:r w:rsidR="0000562A" w:rsidRPr="00115348">
              <w:rPr>
                <w:b w:val="0"/>
                <w:sz w:val="22"/>
                <w:szCs w:val="22"/>
              </w:rPr>
              <w:t xml:space="preserve">, </w:t>
            </w:r>
            <w:r w:rsidRPr="00115348">
              <w:rPr>
                <w:b w:val="0"/>
                <w:sz w:val="22"/>
                <w:szCs w:val="22"/>
              </w:rPr>
              <w:t>reorganizēšana</w:t>
            </w:r>
          </w:p>
          <w:p w:rsidR="00C02911" w:rsidRPr="00115348" w:rsidRDefault="00C02911" w:rsidP="0045163C">
            <w:pPr>
              <w:spacing w:after="60"/>
              <w:ind w:firstLine="185"/>
              <w:rPr>
                <w:color w:val="000000" w:themeColor="text1"/>
              </w:rPr>
            </w:pPr>
          </w:p>
        </w:tc>
      </w:tr>
      <w:tr w:rsidR="00C02911" w:rsidRPr="00115348" w:rsidTr="007B1268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911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1268" w:rsidRPr="00115348" w:rsidRDefault="00C02911" w:rsidP="0045163C">
            <w:pPr>
              <w:spacing w:after="60"/>
              <w:rPr>
                <w:color w:val="000000" w:themeColor="text1"/>
              </w:rPr>
            </w:pPr>
            <w:r w:rsidRPr="00115348">
              <w:rPr>
                <w:color w:val="000000" w:themeColor="text1"/>
                <w:sz w:val="22"/>
                <w:szCs w:val="22"/>
              </w:rPr>
              <w:t>Nav</w:t>
            </w:r>
          </w:p>
        </w:tc>
      </w:tr>
    </w:tbl>
    <w:p w:rsidR="002E68A6" w:rsidRDefault="002E68A6" w:rsidP="00115348">
      <w:pPr>
        <w:pStyle w:val="naisf"/>
        <w:spacing w:before="0" w:after="0"/>
        <w:ind w:firstLine="0"/>
        <w:outlineLvl w:val="0"/>
        <w:rPr>
          <w:b/>
        </w:rPr>
      </w:pPr>
    </w:p>
    <w:p w:rsidR="00467F67" w:rsidRPr="00115348" w:rsidRDefault="00295A98">
      <w:pPr>
        <w:pStyle w:val="naisf"/>
        <w:spacing w:before="120" w:after="120"/>
        <w:ind w:firstLine="0"/>
        <w:outlineLvl w:val="0"/>
        <w:rPr>
          <w:b/>
          <w:sz w:val="22"/>
          <w:szCs w:val="22"/>
        </w:rPr>
      </w:pPr>
      <w:r w:rsidRPr="00115348">
        <w:rPr>
          <w:b/>
          <w:sz w:val="22"/>
          <w:szCs w:val="22"/>
        </w:rPr>
        <w:t>Anotācijas III</w:t>
      </w:r>
      <w:r w:rsidR="002E68A6" w:rsidRPr="00115348">
        <w:rPr>
          <w:b/>
          <w:sz w:val="22"/>
          <w:szCs w:val="22"/>
        </w:rPr>
        <w:t xml:space="preserve"> un</w:t>
      </w:r>
      <w:r w:rsidRPr="00115348">
        <w:rPr>
          <w:b/>
          <w:sz w:val="22"/>
          <w:szCs w:val="22"/>
        </w:rPr>
        <w:t xml:space="preserve"> IV sadaļa – projekts šo jomu neskar</w:t>
      </w:r>
    </w:p>
    <w:p w:rsidR="00D94EE5" w:rsidRDefault="00D94EE5" w:rsidP="002D0009">
      <w:pPr>
        <w:pStyle w:val="naisf"/>
        <w:tabs>
          <w:tab w:val="left" w:pos="6804"/>
        </w:tabs>
        <w:spacing w:before="0" w:after="0"/>
        <w:ind w:firstLine="0"/>
      </w:pPr>
    </w:p>
    <w:p w:rsidR="00115348" w:rsidRDefault="00115348" w:rsidP="002D0009">
      <w:pPr>
        <w:pStyle w:val="naisf"/>
        <w:tabs>
          <w:tab w:val="left" w:pos="6804"/>
        </w:tabs>
        <w:spacing w:before="0" w:after="0"/>
        <w:ind w:firstLine="0"/>
      </w:pPr>
    </w:p>
    <w:p w:rsidR="00115348" w:rsidRPr="00115348" w:rsidRDefault="00115348" w:rsidP="002D0009">
      <w:pPr>
        <w:pStyle w:val="naisf"/>
        <w:tabs>
          <w:tab w:val="left" w:pos="6804"/>
        </w:tabs>
        <w:spacing w:before="0" w:after="0"/>
        <w:ind w:firstLine="0"/>
      </w:pPr>
    </w:p>
    <w:p w:rsidR="00D94EE5" w:rsidRPr="00115348" w:rsidRDefault="00576CDE" w:rsidP="00295A98">
      <w:pPr>
        <w:pStyle w:val="naisf"/>
        <w:tabs>
          <w:tab w:val="left" w:pos="6804"/>
        </w:tabs>
        <w:spacing w:before="0" w:after="0"/>
        <w:ind w:firstLine="0"/>
        <w:outlineLvl w:val="0"/>
        <w:rPr>
          <w:sz w:val="28"/>
          <w:szCs w:val="28"/>
        </w:rPr>
      </w:pPr>
      <w:r w:rsidRPr="00115348">
        <w:rPr>
          <w:sz w:val="28"/>
          <w:szCs w:val="28"/>
        </w:rPr>
        <w:t>Vides aizsardzības un</w:t>
      </w:r>
    </w:p>
    <w:p w:rsidR="00D94EE5" w:rsidRPr="00115348" w:rsidRDefault="00576CDE" w:rsidP="00EB434F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 w:rsidRPr="00115348">
        <w:rPr>
          <w:sz w:val="28"/>
          <w:szCs w:val="28"/>
        </w:rPr>
        <w:t>reģionālās attīstības ministrs</w:t>
      </w:r>
      <w:r w:rsidRPr="00115348">
        <w:rPr>
          <w:sz w:val="28"/>
          <w:szCs w:val="28"/>
        </w:rPr>
        <w:tab/>
        <w:t>K.Gerhards</w:t>
      </w:r>
    </w:p>
    <w:p w:rsidR="0000562A" w:rsidRPr="00115348" w:rsidRDefault="0000562A" w:rsidP="00AE798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FA453D" w:rsidRDefault="00FA453D" w:rsidP="00FA453D">
      <w:pPr>
        <w:tabs>
          <w:tab w:val="left" w:pos="2467"/>
        </w:tabs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>Vīza: valsts sekretār</w:t>
      </w:r>
      <w:r>
        <w:rPr>
          <w:sz w:val="28"/>
          <w:szCs w:val="28"/>
          <w:lang w:val="nl-NL"/>
        </w:rPr>
        <w:t>a p.i.</w:t>
      </w:r>
    </w:p>
    <w:p w:rsidR="005A1398" w:rsidRPr="00115348" w:rsidRDefault="00FA453D" w:rsidP="00FA453D">
      <w:pPr>
        <w:shd w:val="clear" w:color="auto" w:fill="FFFFFF"/>
        <w:tabs>
          <w:tab w:val="left" w:pos="723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nl-NL"/>
        </w:rPr>
        <w:t>valsts sekretāra vietniece</w:t>
      </w:r>
      <w:r>
        <w:rPr>
          <w:sz w:val="28"/>
          <w:szCs w:val="28"/>
          <w:lang w:val="nl-NL"/>
        </w:rPr>
        <w:tab/>
        <w:t xml:space="preserve">   E.Turka</w:t>
      </w:r>
    </w:p>
    <w:p w:rsidR="00D94EE5" w:rsidRDefault="00D94EE5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Default="00115348" w:rsidP="00AE7980">
      <w:pPr>
        <w:jc w:val="both"/>
        <w:rPr>
          <w:color w:val="000000"/>
          <w:sz w:val="18"/>
          <w:szCs w:val="18"/>
        </w:rPr>
      </w:pPr>
    </w:p>
    <w:p w:rsidR="00115348" w:rsidRPr="00115348" w:rsidRDefault="00115348" w:rsidP="00AE7980">
      <w:pPr>
        <w:jc w:val="both"/>
        <w:rPr>
          <w:color w:val="000000"/>
          <w:sz w:val="18"/>
          <w:szCs w:val="18"/>
        </w:rPr>
      </w:pPr>
    </w:p>
    <w:p w:rsidR="009569FF" w:rsidRPr="00115348" w:rsidRDefault="00FA453D" w:rsidP="009569FF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05</w:t>
      </w:r>
      <w:r w:rsidR="00C87F70" w:rsidRPr="0011534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01</w:t>
      </w:r>
      <w:r w:rsidR="00C87F70" w:rsidRPr="00115348">
        <w:rPr>
          <w:color w:val="000000"/>
          <w:sz w:val="18"/>
          <w:szCs w:val="18"/>
        </w:rPr>
        <w:t>.201</w:t>
      </w:r>
      <w:r>
        <w:rPr>
          <w:color w:val="000000"/>
          <w:sz w:val="18"/>
          <w:szCs w:val="18"/>
        </w:rPr>
        <w:t>6</w:t>
      </w:r>
      <w:r w:rsidR="00C87F70" w:rsidRPr="00115348">
        <w:rPr>
          <w:color w:val="000000"/>
          <w:sz w:val="18"/>
          <w:szCs w:val="18"/>
        </w:rPr>
        <w:t>. 09:00</w:t>
      </w:r>
    </w:p>
    <w:p w:rsidR="009569FF" w:rsidRPr="00115348" w:rsidRDefault="003D04AF" w:rsidP="009569FF">
      <w:pPr>
        <w:shd w:val="clear" w:color="auto" w:fill="FFFFFF"/>
        <w:rPr>
          <w:sz w:val="18"/>
          <w:szCs w:val="18"/>
        </w:rPr>
      </w:pPr>
      <w:fldSimple w:instr=" NUMWORDS   \* MERGEFORMAT ">
        <w:r w:rsidR="005D527D" w:rsidRPr="005D527D">
          <w:rPr>
            <w:noProof/>
            <w:sz w:val="18"/>
            <w:szCs w:val="18"/>
          </w:rPr>
          <w:t>1317</w:t>
        </w:r>
      </w:fldSimple>
    </w:p>
    <w:p w:rsidR="009569FF" w:rsidRPr="00115348" w:rsidRDefault="009569FF" w:rsidP="009569FF">
      <w:pPr>
        <w:shd w:val="clear" w:color="auto" w:fill="FFFFFF"/>
        <w:rPr>
          <w:color w:val="000000"/>
          <w:sz w:val="18"/>
          <w:szCs w:val="18"/>
        </w:rPr>
      </w:pPr>
      <w:r w:rsidRPr="00115348">
        <w:rPr>
          <w:color w:val="000000"/>
          <w:sz w:val="18"/>
          <w:szCs w:val="18"/>
        </w:rPr>
        <w:t>F.Rūmnieks</w:t>
      </w:r>
      <w:r w:rsidRPr="00115348">
        <w:rPr>
          <w:color w:val="000000"/>
          <w:sz w:val="18"/>
          <w:szCs w:val="18"/>
        </w:rPr>
        <w:tab/>
      </w:r>
    </w:p>
    <w:p w:rsidR="00D94EE5" w:rsidRPr="00115348" w:rsidRDefault="00A32D35" w:rsidP="00635FF1">
      <w:pPr>
        <w:shd w:val="clear" w:color="auto" w:fill="FFFFFF"/>
        <w:rPr>
          <w:rStyle w:val="Hyperlink"/>
          <w:color w:val="auto"/>
          <w:sz w:val="18"/>
          <w:szCs w:val="18"/>
          <w:u w:val="none"/>
        </w:rPr>
      </w:pPr>
      <w:r w:rsidRPr="00115348">
        <w:rPr>
          <w:color w:val="000000"/>
          <w:sz w:val="18"/>
          <w:szCs w:val="18"/>
        </w:rPr>
        <w:t>67026528</w:t>
      </w:r>
      <w:r w:rsidR="009569FF" w:rsidRPr="00115348">
        <w:rPr>
          <w:color w:val="000000"/>
          <w:sz w:val="18"/>
          <w:szCs w:val="18"/>
        </w:rPr>
        <w:t xml:space="preserve">, </w:t>
      </w:r>
      <w:bookmarkStart w:id="2" w:name="piel4"/>
      <w:bookmarkEnd w:id="2"/>
      <w:r w:rsidR="003D04AF" w:rsidRPr="00115348">
        <w:rPr>
          <w:color w:val="000000"/>
          <w:sz w:val="18"/>
          <w:szCs w:val="18"/>
        </w:rPr>
        <w:fldChar w:fldCharType="begin"/>
      </w:r>
      <w:r w:rsidR="009569FF" w:rsidRPr="00115348">
        <w:rPr>
          <w:color w:val="000000"/>
          <w:sz w:val="18"/>
          <w:szCs w:val="18"/>
        </w:rPr>
        <w:instrText xml:space="preserve"> HYPERLINK "mailto:Fricis.Rumnieks@varam.gov.lv" </w:instrText>
      </w:r>
      <w:r w:rsidR="003D04AF" w:rsidRPr="00115348">
        <w:rPr>
          <w:color w:val="000000"/>
          <w:sz w:val="18"/>
          <w:szCs w:val="18"/>
        </w:rPr>
        <w:fldChar w:fldCharType="separate"/>
      </w:r>
      <w:r w:rsidR="009569FF" w:rsidRPr="00115348">
        <w:rPr>
          <w:rStyle w:val="Hyperlink"/>
          <w:sz w:val="18"/>
          <w:szCs w:val="18"/>
        </w:rPr>
        <w:t>Fricis.Rumnieks@varam.gov.lv</w:t>
      </w:r>
      <w:r w:rsidR="003D04AF" w:rsidRPr="00115348">
        <w:rPr>
          <w:color w:val="000000"/>
          <w:sz w:val="18"/>
          <w:szCs w:val="18"/>
        </w:rPr>
        <w:fldChar w:fldCharType="end"/>
      </w:r>
      <w:r w:rsidR="009569FF" w:rsidRPr="00115348">
        <w:rPr>
          <w:color w:val="000000"/>
          <w:sz w:val="18"/>
          <w:szCs w:val="18"/>
        </w:rPr>
        <w:t xml:space="preserve"> </w:t>
      </w:r>
    </w:p>
    <w:sectPr w:rsidR="00D94EE5" w:rsidRPr="00115348" w:rsidSect="001878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D8" w:rsidRDefault="000241D8">
      <w:r>
        <w:separator/>
      </w:r>
    </w:p>
  </w:endnote>
  <w:endnote w:type="continuationSeparator" w:id="0">
    <w:p w:rsidR="000241D8" w:rsidRDefault="0002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4" w:rsidRPr="00F44D8A" w:rsidRDefault="00443B94" w:rsidP="00082F24">
    <w:pPr>
      <w:jc w:val="both"/>
      <w:rPr>
        <w:sz w:val="8"/>
        <w:szCs w:val="8"/>
      </w:rPr>
    </w:pPr>
  </w:p>
  <w:p w:rsidR="00443B94" w:rsidRPr="00082F24" w:rsidRDefault="003D04AF" w:rsidP="00082F24">
    <w:pPr>
      <w:jc w:val="both"/>
      <w:rPr>
        <w:sz w:val="20"/>
        <w:szCs w:val="20"/>
      </w:rPr>
    </w:pPr>
    <w:fldSimple w:instr=" FILENAME   \* MERGEFORMAT ">
      <w:r w:rsidR="00FA453D" w:rsidRPr="00FA453D">
        <w:rPr>
          <w:noProof/>
          <w:sz w:val="20"/>
          <w:szCs w:val="20"/>
        </w:rPr>
        <w:t>VARAMAnot_050116_Groz112</w:t>
      </w:r>
    </w:fldSimple>
    <w:r w:rsidR="00443B94" w:rsidRPr="00F44D8A">
      <w:rPr>
        <w:sz w:val="20"/>
        <w:szCs w:val="20"/>
      </w:rPr>
      <w:t xml:space="preserve">; </w:t>
    </w:r>
    <w:r w:rsidR="00443B94" w:rsidRPr="00082F24">
      <w:rPr>
        <w:sz w:val="20"/>
        <w:szCs w:val="20"/>
      </w:rPr>
      <w:t>Ministru kabineta noteikumu projekta „Grozījumi Ministru kabineta 2013.gada 26.februāra noteikumos Nr.112 „Emisijas kvotu piešķiršanas kārtība stacionāro tehnoloģisko iekārtu operatoriem””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4" w:rsidRPr="00F44D8A" w:rsidRDefault="00443B94" w:rsidP="00CF6D8B">
    <w:pPr>
      <w:jc w:val="both"/>
      <w:rPr>
        <w:sz w:val="8"/>
        <w:szCs w:val="8"/>
      </w:rPr>
    </w:pPr>
  </w:p>
  <w:p w:rsidR="00443B94" w:rsidRPr="00F44D8A" w:rsidRDefault="003D04AF" w:rsidP="00CF6D8B">
    <w:pPr>
      <w:jc w:val="both"/>
      <w:rPr>
        <w:sz w:val="20"/>
        <w:szCs w:val="20"/>
      </w:rPr>
    </w:pPr>
    <w:fldSimple w:instr=" FILENAME   \* MERGEFORMAT ">
      <w:r w:rsidR="00FA453D" w:rsidRPr="00FA453D">
        <w:rPr>
          <w:noProof/>
          <w:sz w:val="20"/>
          <w:szCs w:val="20"/>
        </w:rPr>
        <w:t>VARAMAnot_050116_Groz112</w:t>
      </w:r>
    </w:fldSimple>
    <w:r w:rsidR="00443B94" w:rsidRPr="00F44D8A">
      <w:rPr>
        <w:sz w:val="20"/>
        <w:szCs w:val="20"/>
      </w:rPr>
      <w:t xml:space="preserve">; </w:t>
    </w:r>
    <w:r w:rsidR="00443B94" w:rsidRPr="00082F24">
      <w:rPr>
        <w:sz w:val="20"/>
        <w:szCs w:val="20"/>
      </w:rPr>
      <w:t>Ministru kabineta noteikumu projekta „Grozījumi Ministru kabineta 2013.gada 26.februāra noteikumos Nr.112 „Emisijas kvotu piešķiršanas kārtība stacionāro tehnoloģisko iekārtu operatoriem””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D8" w:rsidRDefault="000241D8">
      <w:r>
        <w:separator/>
      </w:r>
    </w:p>
  </w:footnote>
  <w:footnote w:type="continuationSeparator" w:id="0">
    <w:p w:rsidR="000241D8" w:rsidRDefault="000241D8">
      <w:r>
        <w:continuationSeparator/>
      </w:r>
    </w:p>
  </w:footnote>
  <w:footnote w:id="1">
    <w:p w:rsidR="00443B94" w:rsidRDefault="00443B94" w:rsidP="008707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Saraksts ar nozarēm pamatojoties uz </w:t>
      </w:r>
      <w:r w:rsidRPr="008707AC">
        <w:t>saimniecisko darbību statistiskās klasifikācijas Eiropas Kopienā (NACE) un rūpnieciskās produkcijas klasifikācijas (</w:t>
      </w:r>
      <w:proofErr w:type="spellStart"/>
      <w:r w:rsidRPr="008707AC">
        <w:t>Prodcom</w:t>
      </w:r>
      <w:proofErr w:type="spellEnd"/>
      <w:r w:rsidRPr="008707AC">
        <w:t>) kodiem</w:t>
      </w:r>
      <w:r>
        <w:t xml:space="preserve"> apstiprināts ar </w:t>
      </w:r>
      <w:r w:rsidRPr="00AD11BB">
        <w:rPr>
          <w:i/>
        </w:rPr>
        <w:t>Eiropas Komisijas 2014. gada 27. oktobra Lēmumu Nr. 2014/746/ES, ar ko atbilstoši Eiropas Parlamenta un Padomes Direktīvai 2003/87/EK 2015.-2019. gada periodam nosaka sarakstu ar nozarēm un apakšnozarēm, kurās pastāv būtisks oglekļa dioksīda emisiju pārvirzes risks.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4" w:rsidRDefault="003D04A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B94" w:rsidRDefault="00443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4" w:rsidRDefault="003D04A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B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D80">
      <w:rPr>
        <w:rStyle w:val="PageNumber"/>
        <w:noProof/>
      </w:rPr>
      <w:t>5</w:t>
    </w:r>
    <w:r>
      <w:rPr>
        <w:rStyle w:val="PageNumber"/>
      </w:rPr>
      <w:fldChar w:fldCharType="end"/>
    </w:r>
  </w:p>
  <w:p w:rsidR="00443B94" w:rsidRPr="0062376B" w:rsidRDefault="00443B94">
    <w:pPr>
      <w:pStyle w:val="Head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4" w:rsidRDefault="00443B94" w:rsidP="00DE5A3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87"/>
    <w:multiLevelType w:val="hybridMultilevel"/>
    <w:tmpl w:val="AF62EF4E"/>
    <w:lvl w:ilvl="0" w:tplc="E57676CA">
      <w:start w:val="3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49047B7"/>
    <w:multiLevelType w:val="hybridMultilevel"/>
    <w:tmpl w:val="1C3C8200"/>
    <w:lvl w:ilvl="0" w:tplc="F3909B3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79806A7"/>
    <w:multiLevelType w:val="hybridMultilevel"/>
    <w:tmpl w:val="E94219F4"/>
    <w:lvl w:ilvl="0" w:tplc="1390D23E">
      <w:start w:val="1"/>
      <w:numFmt w:val="bullet"/>
      <w:lvlText w:val="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7EF1E86"/>
    <w:multiLevelType w:val="hybridMultilevel"/>
    <w:tmpl w:val="45C85642"/>
    <w:lvl w:ilvl="0" w:tplc="1390D23E">
      <w:start w:val="1"/>
      <w:numFmt w:val="bullet"/>
      <w:lvlText w:val=""/>
      <w:lvlJc w:val="left"/>
      <w:pPr>
        <w:ind w:left="9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BD4C00"/>
    <w:multiLevelType w:val="hybridMultilevel"/>
    <w:tmpl w:val="B82C03B4"/>
    <w:lvl w:ilvl="0" w:tplc="1390D23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5BF79C5"/>
    <w:multiLevelType w:val="hybridMultilevel"/>
    <w:tmpl w:val="82D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14311"/>
    <w:multiLevelType w:val="hybridMultilevel"/>
    <w:tmpl w:val="343ADBA4"/>
    <w:lvl w:ilvl="0" w:tplc="EA66E6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560B9"/>
    <w:multiLevelType w:val="hybridMultilevel"/>
    <w:tmpl w:val="BD922A5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527C32"/>
    <w:multiLevelType w:val="hybridMultilevel"/>
    <w:tmpl w:val="B712BA36"/>
    <w:lvl w:ilvl="0" w:tplc="1390D23E">
      <w:start w:val="1"/>
      <w:numFmt w:val="bullet"/>
      <w:lvlText w:val=""/>
      <w:lvlJc w:val="left"/>
      <w:pPr>
        <w:ind w:left="9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5245E1E"/>
    <w:multiLevelType w:val="hybridMultilevel"/>
    <w:tmpl w:val="8DE4D21E"/>
    <w:lvl w:ilvl="0" w:tplc="11564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0159FB"/>
    <w:multiLevelType w:val="hybridMultilevel"/>
    <w:tmpl w:val="855A2C10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3A3243D3"/>
    <w:multiLevelType w:val="hybridMultilevel"/>
    <w:tmpl w:val="8820CC0A"/>
    <w:lvl w:ilvl="0" w:tplc="1390D23E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B04457D"/>
    <w:multiLevelType w:val="hybridMultilevel"/>
    <w:tmpl w:val="FB64CE36"/>
    <w:lvl w:ilvl="0" w:tplc="1390D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236AD"/>
    <w:multiLevelType w:val="hybridMultilevel"/>
    <w:tmpl w:val="B3765D2E"/>
    <w:lvl w:ilvl="0" w:tplc="1390D23E">
      <w:start w:val="1"/>
      <w:numFmt w:val="bullet"/>
      <w:lvlText w:val=""/>
      <w:lvlJc w:val="left"/>
      <w:pPr>
        <w:ind w:left="473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3225D"/>
    <w:multiLevelType w:val="hybridMultilevel"/>
    <w:tmpl w:val="0EEE32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8F119A"/>
    <w:multiLevelType w:val="hybridMultilevel"/>
    <w:tmpl w:val="92681CB4"/>
    <w:lvl w:ilvl="0" w:tplc="4C001D98">
      <w:start w:val="1"/>
      <w:numFmt w:val="decimal"/>
      <w:lvlText w:val="%1)"/>
      <w:lvlJc w:val="left"/>
      <w:pPr>
        <w:ind w:left="616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232AF7"/>
    <w:multiLevelType w:val="hybridMultilevel"/>
    <w:tmpl w:val="14A45DE6"/>
    <w:lvl w:ilvl="0" w:tplc="81507A4C">
      <w:start w:val="1"/>
      <w:numFmt w:val="decimal"/>
      <w:lvlText w:val="%1)"/>
      <w:lvlJc w:val="left"/>
      <w:pPr>
        <w:ind w:left="710" w:hanging="54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9"/>
  </w:num>
  <w:num w:numId="5">
    <w:abstractNumId w:val="4"/>
  </w:num>
  <w:num w:numId="6">
    <w:abstractNumId w:val="22"/>
  </w:num>
  <w:num w:numId="7">
    <w:abstractNumId w:val="28"/>
  </w:num>
  <w:num w:numId="8">
    <w:abstractNumId w:val="19"/>
  </w:num>
  <w:num w:numId="9">
    <w:abstractNumId w:val="10"/>
  </w:num>
  <w:num w:numId="10">
    <w:abstractNumId w:val="20"/>
  </w:num>
  <w:num w:numId="11">
    <w:abstractNumId w:val="21"/>
  </w:num>
  <w:num w:numId="12">
    <w:abstractNumId w:val="23"/>
  </w:num>
  <w:num w:numId="13">
    <w:abstractNumId w:val="26"/>
  </w:num>
  <w:num w:numId="14">
    <w:abstractNumId w:val="14"/>
  </w:num>
  <w:num w:numId="15">
    <w:abstractNumId w:val="6"/>
  </w:num>
  <w:num w:numId="16">
    <w:abstractNumId w:val="24"/>
  </w:num>
  <w:num w:numId="17">
    <w:abstractNumId w:val="12"/>
  </w:num>
  <w:num w:numId="18">
    <w:abstractNumId w:val="16"/>
  </w:num>
  <w:num w:numId="19">
    <w:abstractNumId w:val="8"/>
  </w:num>
  <w:num w:numId="20">
    <w:abstractNumId w:val="1"/>
  </w:num>
  <w:num w:numId="21">
    <w:abstractNumId w:val="25"/>
  </w:num>
  <w:num w:numId="22">
    <w:abstractNumId w:val="2"/>
  </w:num>
  <w:num w:numId="23">
    <w:abstractNumId w:val="7"/>
  </w:num>
  <w:num w:numId="24">
    <w:abstractNumId w:val="3"/>
  </w:num>
  <w:num w:numId="25">
    <w:abstractNumId w:val="17"/>
  </w:num>
  <w:num w:numId="26">
    <w:abstractNumId w:val="0"/>
  </w:num>
  <w:num w:numId="27">
    <w:abstractNumId w:val="18"/>
  </w:num>
  <w:num w:numId="28">
    <w:abstractNumId w:val="5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16AA"/>
    <w:rsid w:val="00003636"/>
    <w:rsid w:val="0000562A"/>
    <w:rsid w:val="00006F1C"/>
    <w:rsid w:val="00007AD5"/>
    <w:rsid w:val="00011110"/>
    <w:rsid w:val="000116BF"/>
    <w:rsid w:val="00011D24"/>
    <w:rsid w:val="00013F31"/>
    <w:rsid w:val="00013FF4"/>
    <w:rsid w:val="000151F6"/>
    <w:rsid w:val="000166E1"/>
    <w:rsid w:val="0002034A"/>
    <w:rsid w:val="00020FE1"/>
    <w:rsid w:val="00022E13"/>
    <w:rsid w:val="000241D8"/>
    <w:rsid w:val="000244E2"/>
    <w:rsid w:val="000265AB"/>
    <w:rsid w:val="00026F37"/>
    <w:rsid w:val="00027CF8"/>
    <w:rsid w:val="00031D2D"/>
    <w:rsid w:val="00032388"/>
    <w:rsid w:val="00034EFB"/>
    <w:rsid w:val="00035CE2"/>
    <w:rsid w:val="00045FE5"/>
    <w:rsid w:val="00046A5A"/>
    <w:rsid w:val="00046F89"/>
    <w:rsid w:val="000474FF"/>
    <w:rsid w:val="0005096C"/>
    <w:rsid w:val="0005217C"/>
    <w:rsid w:val="000549FA"/>
    <w:rsid w:val="0005553B"/>
    <w:rsid w:val="000604D2"/>
    <w:rsid w:val="00061E13"/>
    <w:rsid w:val="00070450"/>
    <w:rsid w:val="00075F2A"/>
    <w:rsid w:val="00076C0A"/>
    <w:rsid w:val="00082F24"/>
    <w:rsid w:val="00087945"/>
    <w:rsid w:val="0009005E"/>
    <w:rsid w:val="000908E2"/>
    <w:rsid w:val="00091325"/>
    <w:rsid w:val="00092C05"/>
    <w:rsid w:val="0009392A"/>
    <w:rsid w:val="000941C5"/>
    <w:rsid w:val="00096E50"/>
    <w:rsid w:val="00097A39"/>
    <w:rsid w:val="000A279D"/>
    <w:rsid w:val="000A2CC7"/>
    <w:rsid w:val="000A5B8A"/>
    <w:rsid w:val="000A6451"/>
    <w:rsid w:val="000A6F4E"/>
    <w:rsid w:val="000B05C8"/>
    <w:rsid w:val="000B064E"/>
    <w:rsid w:val="000B5664"/>
    <w:rsid w:val="000B66F0"/>
    <w:rsid w:val="000B69CF"/>
    <w:rsid w:val="000B727F"/>
    <w:rsid w:val="000C0A82"/>
    <w:rsid w:val="000C12AB"/>
    <w:rsid w:val="000C1696"/>
    <w:rsid w:val="000C28CB"/>
    <w:rsid w:val="000C3456"/>
    <w:rsid w:val="000C4699"/>
    <w:rsid w:val="000C790C"/>
    <w:rsid w:val="000D0288"/>
    <w:rsid w:val="000D0342"/>
    <w:rsid w:val="000D22E1"/>
    <w:rsid w:val="000D48E9"/>
    <w:rsid w:val="000D53A4"/>
    <w:rsid w:val="000D7E25"/>
    <w:rsid w:val="000E63BA"/>
    <w:rsid w:val="000F05AD"/>
    <w:rsid w:val="000F061D"/>
    <w:rsid w:val="000F4794"/>
    <w:rsid w:val="000F73E1"/>
    <w:rsid w:val="001021DC"/>
    <w:rsid w:val="00102C0D"/>
    <w:rsid w:val="00105097"/>
    <w:rsid w:val="00110A5D"/>
    <w:rsid w:val="00115164"/>
    <w:rsid w:val="00115348"/>
    <w:rsid w:val="00115F7C"/>
    <w:rsid w:val="00124F12"/>
    <w:rsid w:val="00130725"/>
    <w:rsid w:val="0013407A"/>
    <w:rsid w:val="00137E8E"/>
    <w:rsid w:val="001429E9"/>
    <w:rsid w:val="00142AB6"/>
    <w:rsid w:val="00142CCD"/>
    <w:rsid w:val="00144E16"/>
    <w:rsid w:val="00144E3A"/>
    <w:rsid w:val="00146480"/>
    <w:rsid w:val="0015060C"/>
    <w:rsid w:val="001507B4"/>
    <w:rsid w:val="00150C61"/>
    <w:rsid w:val="001527DA"/>
    <w:rsid w:val="001560A1"/>
    <w:rsid w:val="001577DB"/>
    <w:rsid w:val="0016018A"/>
    <w:rsid w:val="00161F0E"/>
    <w:rsid w:val="00163F25"/>
    <w:rsid w:val="00170E2A"/>
    <w:rsid w:val="0017438A"/>
    <w:rsid w:val="00174CE5"/>
    <w:rsid w:val="00174E60"/>
    <w:rsid w:val="00175DE1"/>
    <w:rsid w:val="00177394"/>
    <w:rsid w:val="00180614"/>
    <w:rsid w:val="001811DE"/>
    <w:rsid w:val="00182C18"/>
    <w:rsid w:val="00183743"/>
    <w:rsid w:val="00183CC2"/>
    <w:rsid w:val="00184098"/>
    <w:rsid w:val="00187835"/>
    <w:rsid w:val="001900E4"/>
    <w:rsid w:val="001903B8"/>
    <w:rsid w:val="0019049F"/>
    <w:rsid w:val="00190F88"/>
    <w:rsid w:val="0019304E"/>
    <w:rsid w:val="00194421"/>
    <w:rsid w:val="00194816"/>
    <w:rsid w:val="00195C3D"/>
    <w:rsid w:val="001A359A"/>
    <w:rsid w:val="001A4066"/>
    <w:rsid w:val="001A4DB8"/>
    <w:rsid w:val="001A6810"/>
    <w:rsid w:val="001A6AE4"/>
    <w:rsid w:val="001B0092"/>
    <w:rsid w:val="001B01FD"/>
    <w:rsid w:val="001B301A"/>
    <w:rsid w:val="001B4A71"/>
    <w:rsid w:val="001B7C1E"/>
    <w:rsid w:val="001C25AB"/>
    <w:rsid w:val="001C3CF0"/>
    <w:rsid w:val="001C653E"/>
    <w:rsid w:val="001C7680"/>
    <w:rsid w:val="001C771F"/>
    <w:rsid w:val="001D3D74"/>
    <w:rsid w:val="001D41C4"/>
    <w:rsid w:val="001D51E9"/>
    <w:rsid w:val="001D5B54"/>
    <w:rsid w:val="001D6061"/>
    <w:rsid w:val="001D760B"/>
    <w:rsid w:val="001E0329"/>
    <w:rsid w:val="001E0914"/>
    <w:rsid w:val="001E1DBF"/>
    <w:rsid w:val="001E26BE"/>
    <w:rsid w:val="001E2B32"/>
    <w:rsid w:val="001E4639"/>
    <w:rsid w:val="001E4A7D"/>
    <w:rsid w:val="001E5C30"/>
    <w:rsid w:val="001F15D1"/>
    <w:rsid w:val="001F3140"/>
    <w:rsid w:val="001F4209"/>
    <w:rsid w:val="001F43A8"/>
    <w:rsid w:val="001F5CD6"/>
    <w:rsid w:val="001F6AFC"/>
    <w:rsid w:val="0020431B"/>
    <w:rsid w:val="00204981"/>
    <w:rsid w:val="002074DE"/>
    <w:rsid w:val="00207C81"/>
    <w:rsid w:val="002119AB"/>
    <w:rsid w:val="0021263D"/>
    <w:rsid w:val="00213F0C"/>
    <w:rsid w:val="00214094"/>
    <w:rsid w:val="002149E7"/>
    <w:rsid w:val="0021592D"/>
    <w:rsid w:val="00215F45"/>
    <w:rsid w:val="00220257"/>
    <w:rsid w:val="002225BF"/>
    <w:rsid w:val="0022299B"/>
    <w:rsid w:val="00222D76"/>
    <w:rsid w:val="00223EB1"/>
    <w:rsid w:val="002271F1"/>
    <w:rsid w:val="00231344"/>
    <w:rsid w:val="0023436E"/>
    <w:rsid w:val="002347C0"/>
    <w:rsid w:val="00234A26"/>
    <w:rsid w:val="00240407"/>
    <w:rsid w:val="00241342"/>
    <w:rsid w:val="00241A6C"/>
    <w:rsid w:val="00242D2B"/>
    <w:rsid w:val="00247182"/>
    <w:rsid w:val="0024756C"/>
    <w:rsid w:val="002550F1"/>
    <w:rsid w:val="002578B9"/>
    <w:rsid w:val="00262E2B"/>
    <w:rsid w:val="002659C8"/>
    <w:rsid w:val="00265A19"/>
    <w:rsid w:val="002668F4"/>
    <w:rsid w:val="00270429"/>
    <w:rsid w:val="002723E9"/>
    <w:rsid w:val="00273598"/>
    <w:rsid w:val="002768FD"/>
    <w:rsid w:val="00277929"/>
    <w:rsid w:val="00281A14"/>
    <w:rsid w:val="00283B82"/>
    <w:rsid w:val="002846E9"/>
    <w:rsid w:val="00284C34"/>
    <w:rsid w:val="002858FF"/>
    <w:rsid w:val="00285D30"/>
    <w:rsid w:val="0028709C"/>
    <w:rsid w:val="00290042"/>
    <w:rsid w:val="0029066C"/>
    <w:rsid w:val="00292ED3"/>
    <w:rsid w:val="0029401D"/>
    <w:rsid w:val="00295A98"/>
    <w:rsid w:val="00297193"/>
    <w:rsid w:val="00297F50"/>
    <w:rsid w:val="002A1E8A"/>
    <w:rsid w:val="002A3E8C"/>
    <w:rsid w:val="002A509A"/>
    <w:rsid w:val="002A7EAC"/>
    <w:rsid w:val="002B226B"/>
    <w:rsid w:val="002B50DB"/>
    <w:rsid w:val="002C05F9"/>
    <w:rsid w:val="002C12AB"/>
    <w:rsid w:val="002C7CAC"/>
    <w:rsid w:val="002D0009"/>
    <w:rsid w:val="002D0D31"/>
    <w:rsid w:val="002D2979"/>
    <w:rsid w:val="002D3170"/>
    <w:rsid w:val="002D3306"/>
    <w:rsid w:val="002D48AA"/>
    <w:rsid w:val="002D7BAA"/>
    <w:rsid w:val="002D7F54"/>
    <w:rsid w:val="002E0479"/>
    <w:rsid w:val="002E2C9B"/>
    <w:rsid w:val="002E3FF4"/>
    <w:rsid w:val="002E4657"/>
    <w:rsid w:val="002E68A6"/>
    <w:rsid w:val="002F5944"/>
    <w:rsid w:val="002F5945"/>
    <w:rsid w:val="002F6BCF"/>
    <w:rsid w:val="002F78C8"/>
    <w:rsid w:val="00301CF3"/>
    <w:rsid w:val="003030C8"/>
    <w:rsid w:val="00304F65"/>
    <w:rsid w:val="00304FC5"/>
    <w:rsid w:val="0030774D"/>
    <w:rsid w:val="00312618"/>
    <w:rsid w:val="003144EE"/>
    <w:rsid w:val="00316B32"/>
    <w:rsid w:val="00322D18"/>
    <w:rsid w:val="00326FC4"/>
    <w:rsid w:val="0032715C"/>
    <w:rsid w:val="00327DDC"/>
    <w:rsid w:val="00330EA6"/>
    <w:rsid w:val="00331C16"/>
    <w:rsid w:val="00332036"/>
    <w:rsid w:val="003327B9"/>
    <w:rsid w:val="00336A08"/>
    <w:rsid w:val="00337CA5"/>
    <w:rsid w:val="00340FD3"/>
    <w:rsid w:val="0034236A"/>
    <w:rsid w:val="003432F8"/>
    <w:rsid w:val="00345605"/>
    <w:rsid w:val="00345A7B"/>
    <w:rsid w:val="00346C05"/>
    <w:rsid w:val="00346E47"/>
    <w:rsid w:val="0035392D"/>
    <w:rsid w:val="003559EA"/>
    <w:rsid w:val="00362478"/>
    <w:rsid w:val="00362EFD"/>
    <w:rsid w:val="00362F13"/>
    <w:rsid w:val="0036633F"/>
    <w:rsid w:val="0036696C"/>
    <w:rsid w:val="003708CB"/>
    <w:rsid w:val="00371975"/>
    <w:rsid w:val="003724A3"/>
    <w:rsid w:val="00373840"/>
    <w:rsid w:val="00374C66"/>
    <w:rsid w:val="00374D2F"/>
    <w:rsid w:val="00375B25"/>
    <w:rsid w:val="003810BA"/>
    <w:rsid w:val="0038132C"/>
    <w:rsid w:val="00385505"/>
    <w:rsid w:val="00385FE4"/>
    <w:rsid w:val="003915E0"/>
    <w:rsid w:val="003942AA"/>
    <w:rsid w:val="0039473D"/>
    <w:rsid w:val="00396542"/>
    <w:rsid w:val="0039685B"/>
    <w:rsid w:val="00397B5A"/>
    <w:rsid w:val="003A027D"/>
    <w:rsid w:val="003A2FA4"/>
    <w:rsid w:val="003A31A6"/>
    <w:rsid w:val="003A3D3A"/>
    <w:rsid w:val="003A541A"/>
    <w:rsid w:val="003A7A15"/>
    <w:rsid w:val="003A7F0C"/>
    <w:rsid w:val="003A7F79"/>
    <w:rsid w:val="003B0C7D"/>
    <w:rsid w:val="003B4426"/>
    <w:rsid w:val="003B6404"/>
    <w:rsid w:val="003B7D80"/>
    <w:rsid w:val="003C2304"/>
    <w:rsid w:val="003C449B"/>
    <w:rsid w:val="003C6AFC"/>
    <w:rsid w:val="003C6F3F"/>
    <w:rsid w:val="003D04AF"/>
    <w:rsid w:val="003D21FF"/>
    <w:rsid w:val="003E14D0"/>
    <w:rsid w:val="003E4FC2"/>
    <w:rsid w:val="003E5CD1"/>
    <w:rsid w:val="003E7454"/>
    <w:rsid w:val="003F0112"/>
    <w:rsid w:val="003F071A"/>
    <w:rsid w:val="003F09DF"/>
    <w:rsid w:val="003F160B"/>
    <w:rsid w:val="003F2A4B"/>
    <w:rsid w:val="003F35A0"/>
    <w:rsid w:val="00400032"/>
    <w:rsid w:val="00400B5B"/>
    <w:rsid w:val="00401E3E"/>
    <w:rsid w:val="00405A00"/>
    <w:rsid w:val="00410CEF"/>
    <w:rsid w:val="00411DF7"/>
    <w:rsid w:val="00414FC6"/>
    <w:rsid w:val="00415BD8"/>
    <w:rsid w:val="00420870"/>
    <w:rsid w:val="004238CA"/>
    <w:rsid w:val="00431195"/>
    <w:rsid w:val="00432D0C"/>
    <w:rsid w:val="00433064"/>
    <w:rsid w:val="00434C05"/>
    <w:rsid w:val="0043791B"/>
    <w:rsid w:val="004407C6"/>
    <w:rsid w:val="00441483"/>
    <w:rsid w:val="00441BCB"/>
    <w:rsid w:val="00443305"/>
    <w:rsid w:val="00443B94"/>
    <w:rsid w:val="004467DC"/>
    <w:rsid w:val="004470BC"/>
    <w:rsid w:val="0045163C"/>
    <w:rsid w:val="0045176A"/>
    <w:rsid w:val="00451AAD"/>
    <w:rsid w:val="00454350"/>
    <w:rsid w:val="00456332"/>
    <w:rsid w:val="00461826"/>
    <w:rsid w:val="004618FD"/>
    <w:rsid w:val="00462330"/>
    <w:rsid w:val="004674F5"/>
    <w:rsid w:val="00467CFC"/>
    <w:rsid w:val="00467F67"/>
    <w:rsid w:val="004704AB"/>
    <w:rsid w:val="004770BD"/>
    <w:rsid w:val="00477753"/>
    <w:rsid w:val="004800F9"/>
    <w:rsid w:val="00480255"/>
    <w:rsid w:val="00483F91"/>
    <w:rsid w:val="00485BD0"/>
    <w:rsid w:val="00487977"/>
    <w:rsid w:val="00490E5E"/>
    <w:rsid w:val="0049134A"/>
    <w:rsid w:val="00492B8E"/>
    <w:rsid w:val="00493C77"/>
    <w:rsid w:val="00496838"/>
    <w:rsid w:val="004974FF"/>
    <w:rsid w:val="004A58CB"/>
    <w:rsid w:val="004B066C"/>
    <w:rsid w:val="004B1795"/>
    <w:rsid w:val="004B3316"/>
    <w:rsid w:val="004B4792"/>
    <w:rsid w:val="004B4D62"/>
    <w:rsid w:val="004B56DD"/>
    <w:rsid w:val="004C020F"/>
    <w:rsid w:val="004C1442"/>
    <w:rsid w:val="004C1AFD"/>
    <w:rsid w:val="004C34F9"/>
    <w:rsid w:val="004C3D46"/>
    <w:rsid w:val="004C496B"/>
    <w:rsid w:val="004C558B"/>
    <w:rsid w:val="004C5971"/>
    <w:rsid w:val="004D2D9E"/>
    <w:rsid w:val="004D3EA6"/>
    <w:rsid w:val="004D63E8"/>
    <w:rsid w:val="004D7A47"/>
    <w:rsid w:val="004E1817"/>
    <w:rsid w:val="004E37F2"/>
    <w:rsid w:val="004E4229"/>
    <w:rsid w:val="004E42C3"/>
    <w:rsid w:val="004E4783"/>
    <w:rsid w:val="004E6238"/>
    <w:rsid w:val="004F1F88"/>
    <w:rsid w:val="004F20A3"/>
    <w:rsid w:val="004F22B8"/>
    <w:rsid w:val="004F2F32"/>
    <w:rsid w:val="004F36F5"/>
    <w:rsid w:val="004F5225"/>
    <w:rsid w:val="004F5BE1"/>
    <w:rsid w:val="004F5F1B"/>
    <w:rsid w:val="004F783F"/>
    <w:rsid w:val="00501ECB"/>
    <w:rsid w:val="00502374"/>
    <w:rsid w:val="005032E5"/>
    <w:rsid w:val="005045BE"/>
    <w:rsid w:val="00505A4E"/>
    <w:rsid w:val="005060A1"/>
    <w:rsid w:val="00516072"/>
    <w:rsid w:val="00516D4B"/>
    <w:rsid w:val="00520B69"/>
    <w:rsid w:val="00521432"/>
    <w:rsid w:val="005246D5"/>
    <w:rsid w:val="0052647E"/>
    <w:rsid w:val="00531523"/>
    <w:rsid w:val="005332EC"/>
    <w:rsid w:val="005342FC"/>
    <w:rsid w:val="00534418"/>
    <w:rsid w:val="00534DA6"/>
    <w:rsid w:val="005353AB"/>
    <w:rsid w:val="00535C44"/>
    <w:rsid w:val="00535EA8"/>
    <w:rsid w:val="00536144"/>
    <w:rsid w:val="0053783B"/>
    <w:rsid w:val="00540F15"/>
    <w:rsid w:val="00542EAE"/>
    <w:rsid w:val="005438E3"/>
    <w:rsid w:val="00544546"/>
    <w:rsid w:val="00546738"/>
    <w:rsid w:val="005478E3"/>
    <w:rsid w:val="00553F1E"/>
    <w:rsid w:val="005560BC"/>
    <w:rsid w:val="00556FA8"/>
    <w:rsid w:val="005573BE"/>
    <w:rsid w:val="005575B5"/>
    <w:rsid w:val="00560080"/>
    <w:rsid w:val="00560810"/>
    <w:rsid w:val="00560EF4"/>
    <w:rsid w:val="0056518B"/>
    <w:rsid w:val="00565E78"/>
    <w:rsid w:val="005706B6"/>
    <w:rsid w:val="00572700"/>
    <w:rsid w:val="00573F26"/>
    <w:rsid w:val="00574EE1"/>
    <w:rsid w:val="00576CDE"/>
    <w:rsid w:val="00580468"/>
    <w:rsid w:val="0058196A"/>
    <w:rsid w:val="00582231"/>
    <w:rsid w:val="0058603B"/>
    <w:rsid w:val="00590075"/>
    <w:rsid w:val="0059431B"/>
    <w:rsid w:val="00594922"/>
    <w:rsid w:val="00595603"/>
    <w:rsid w:val="005A1398"/>
    <w:rsid w:val="005A39CC"/>
    <w:rsid w:val="005A4610"/>
    <w:rsid w:val="005A493E"/>
    <w:rsid w:val="005B1F31"/>
    <w:rsid w:val="005B4730"/>
    <w:rsid w:val="005C0F55"/>
    <w:rsid w:val="005D0895"/>
    <w:rsid w:val="005D2023"/>
    <w:rsid w:val="005D3B08"/>
    <w:rsid w:val="005D444D"/>
    <w:rsid w:val="005D527D"/>
    <w:rsid w:val="005D5B35"/>
    <w:rsid w:val="005D7801"/>
    <w:rsid w:val="005E05D7"/>
    <w:rsid w:val="005E1183"/>
    <w:rsid w:val="005E162E"/>
    <w:rsid w:val="005E18E9"/>
    <w:rsid w:val="005E41E7"/>
    <w:rsid w:val="005E450F"/>
    <w:rsid w:val="005E68F6"/>
    <w:rsid w:val="005E6A0C"/>
    <w:rsid w:val="005E7289"/>
    <w:rsid w:val="005F1FA4"/>
    <w:rsid w:val="005F2261"/>
    <w:rsid w:val="005F29EA"/>
    <w:rsid w:val="005F418B"/>
    <w:rsid w:val="005F56F0"/>
    <w:rsid w:val="0060077F"/>
    <w:rsid w:val="00600EC8"/>
    <w:rsid w:val="00603B02"/>
    <w:rsid w:val="00606A96"/>
    <w:rsid w:val="00606BC0"/>
    <w:rsid w:val="00611920"/>
    <w:rsid w:val="00613A84"/>
    <w:rsid w:val="00616F30"/>
    <w:rsid w:val="0062298A"/>
    <w:rsid w:val="006233DD"/>
    <w:rsid w:val="0062376B"/>
    <w:rsid w:val="00626514"/>
    <w:rsid w:val="00626589"/>
    <w:rsid w:val="00626701"/>
    <w:rsid w:val="006307BE"/>
    <w:rsid w:val="00632AA2"/>
    <w:rsid w:val="006339A0"/>
    <w:rsid w:val="006342F1"/>
    <w:rsid w:val="00635FF1"/>
    <w:rsid w:val="006413A8"/>
    <w:rsid w:val="00642E56"/>
    <w:rsid w:val="0064381A"/>
    <w:rsid w:val="0064568B"/>
    <w:rsid w:val="00651E00"/>
    <w:rsid w:val="00653890"/>
    <w:rsid w:val="00654A0A"/>
    <w:rsid w:val="00660559"/>
    <w:rsid w:val="00660C52"/>
    <w:rsid w:val="00662CA1"/>
    <w:rsid w:val="00663CED"/>
    <w:rsid w:val="006671A5"/>
    <w:rsid w:val="00667970"/>
    <w:rsid w:val="00672CE0"/>
    <w:rsid w:val="00674572"/>
    <w:rsid w:val="00674A80"/>
    <w:rsid w:val="00675DF2"/>
    <w:rsid w:val="00677C61"/>
    <w:rsid w:val="00684116"/>
    <w:rsid w:val="00687763"/>
    <w:rsid w:val="006907DD"/>
    <w:rsid w:val="00692B0D"/>
    <w:rsid w:val="00693E0E"/>
    <w:rsid w:val="006954E4"/>
    <w:rsid w:val="00697114"/>
    <w:rsid w:val="006A11F8"/>
    <w:rsid w:val="006A1AE3"/>
    <w:rsid w:val="006A1CEF"/>
    <w:rsid w:val="006A5815"/>
    <w:rsid w:val="006B1113"/>
    <w:rsid w:val="006B51E2"/>
    <w:rsid w:val="006B613D"/>
    <w:rsid w:val="006B69E9"/>
    <w:rsid w:val="006B7890"/>
    <w:rsid w:val="006C2F76"/>
    <w:rsid w:val="006C30E1"/>
    <w:rsid w:val="006C373B"/>
    <w:rsid w:val="006C4607"/>
    <w:rsid w:val="006C72D9"/>
    <w:rsid w:val="006D48F1"/>
    <w:rsid w:val="006D5106"/>
    <w:rsid w:val="006D67C5"/>
    <w:rsid w:val="006D720E"/>
    <w:rsid w:val="006E0BD4"/>
    <w:rsid w:val="006E2380"/>
    <w:rsid w:val="006E3703"/>
    <w:rsid w:val="006E5A5A"/>
    <w:rsid w:val="006E71FC"/>
    <w:rsid w:val="006E7D54"/>
    <w:rsid w:val="006E7E03"/>
    <w:rsid w:val="006F0318"/>
    <w:rsid w:val="006F100A"/>
    <w:rsid w:val="006F1A2E"/>
    <w:rsid w:val="006F417F"/>
    <w:rsid w:val="006F45BE"/>
    <w:rsid w:val="006F537D"/>
    <w:rsid w:val="006F6534"/>
    <w:rsid w:val="006F7336"/>
    <w:rsid w:val="006F76B6"/>
    <w:rsid w:val="006F7E5A"/>
    <w:rsid w:val="007004FC"/>
    <w:rsid w:val="00701FD7"/>
    <w:rsid w:val="0070312B"/>
    <w:rsid w:val="0070401B"/>
    <w:rsid w:val="00704856"/>
    <w:rsid w:val="00705806"/>
    <w:rsid w:val="00705EB0"/>
    <w:rsid w:val="00706670"/>
    <w:rsid w:val="00711728"/>
    <w:rsid w:val="00711756"/>
    <w:rsid w:val="00711F59"/>
    <w:rsid w:val="007128FC"/>
    <w:rsid w:val="00717C10"/>
    <w:rsid w:val="00720E0C"/>
    <w:rsid w:val="0072203E"/>
    <w:rsid w:val="0072417C"/>
    <w:rsid w:val="00731A39"/>
    <w:rsid w:val="00732B5E"/>
    <w:rsid w:val="00733C93"/>
    <w:rsid w:val="00734450"/>
    <w:rsid w:val="007353C2"/>
    <w:rsid w:val="0073590B"/>
    <w:rsid w:val="00744C7E"/>
    <w:rsid w:val="00744E5B"/>
    <w:rsid w:val="00745F67"/>
    <w:rsid w:val="0075039E"/>
    <w:rsid w:val="00750D21"/>
    <w:rsid w:val="00752D9D"/>
    <w:rsid w:val="0075318A"/>
    <w:rsid w:val="00754784"/>
    <w:rsid w:val="00754922"/>
    <w:rsid w:val="00757C6E"/>
    <w:rsid w:val="00760A5C"/>
    <w:rsid w:val="00762BDA"/>
    <w:rsid w:val="007634EE"/>
    <w:rsid w:val="00767E7B"/>
    <w:rsid w:val="007705DF"/>
    <w:rsid w:val="0077696E"/>
    <w:rsid w:val="00777267"/>
    <w:rsid w:val="007805FD"/>
    <w:rsid w:val="00781F57"/>
    <w:rsid w:val="00782D53"/>
    <w:rsid w:val="0078338E"/>
    <w:rsid w:val="00784422"/>
    <w:rsid w:val="00785CE1"/>
    <w:rsid w:val="00786AF9"/>
    <w:rsid w:val="00790B72"/>
    <w:rsid w:val="00792642"/>
    <w:rsid w:val="00792A68"/>
    <w:rsid w:val="007A036B"/>
    <w:rsid w:val="007A0B6B"/>
    <w:rsid w:val="007A2DE9"/>
    <w:rsid w:val="007B1268"/>
    <w:rsid w:val="007B3B54"/>
    <w:rsid w:val="007B3FA0"/>
    <w:rsid w:val="007C0BB0"/>
    <w:rsid w:val="007C0F2C"/>
    <w:rsid w:val="007C2BCC"/>
    <w:rsid w:val="007C30DF"/>
    <w:rsid w:val="007C4EF0"/>
    <w:rsid w:val="007C53A7"/>
    <w:rsid w:val="007C762B"/>
    <w:rsid w:val="007D099D"/>
    <w:rsid w:val="007D1A29"/>
    <w:rsid w:val="007D2C79"/>
    <w:rsid w:val="007D3B32"/>
    <w:rsid w:val="007D58AD"/>
    <w:rsid w:val="007D7A0C"/>
    <w:rsid w:val="007E2664"/>
    <w:rsid w:val="007E329A"/>
    <w:rsid w:val="007E388C"/>
    <w:rsid w:val="007E3ABF"/>
    <w:rsid w:val="007E5BFA"/>
    <w:rsid w:val="007E5F47"/>
    <w:rsid w:val="007E6689"/>
    <w:rsid w:val="007E731C"/>
    <w:rsid w:val="007F0A03"/>
    <w:rsid w:val="007F1808"/>
    <w:rsid w:val="007F6E75"/>
    <w:rsid w:val="007F73C1"/>
    <w:rsid w:val="00801659"/>
    <w:rsid w:val="0080167C"/>
    <w:rsid w:val="008029AD"/>
    <w:rsid w:val="00805589"/>
    <w:rsid w:val="008069F8"/>
    <w:rsid w:val="00806E57"/>
    <w:rsid w:val="00810040"/>
    <w:rsid w:val="00810931"/>
    <w:rsid w:val="008114C4"/>
    <w:rsid w:val="00811720"/>
    <w:rsid w:val="008129C4"/>
    <w:rsid w:val="00812E34"/>
    <w:rsid w:val="00814591"/>
    <w:rsid w:val="008156A9"/>
    <w:rsid w:val="0082023A"/>
    <w:rsid w:val="008210AE"/>
    <w:rsid w:val="00821A7A"/>
    <w:rsid w:val="00821A7F"/>
    <w:rsid w:val="00823A75"/>
    <w:rsid w:val="008253F8"/>
    <w:rsid w:val="00827728"/>
    <w:rsid w:val="00827C7B"/>
    <w:rsid w:val="00830ECC"/>
    <w:rsid w:val="0083183B"/>
    <w:rsid w:val="008325E4"/>
    <w:rsid w:val="00832A2B"/>
    <w:rsid w:val="0083307A"/>
    <w:rsid w:val="0083418A"/>
    <w:rsid w:val="00836FE8"/>
    <w:rsid w:val="00842525"/>
    <w:rsid w:val="00844678"/>
    <w:rsid w:val="00845811"/>
    <w:rsid w:val="00846994"/>
    <w:rsid w:val="00850451"/>
    <w:rsid w:val="00852042"/>
    <w:rsid w:val="008523D7"/>
    <w:rsid w:val="008534C9"/>
    <w:rsid w:val="0085599D"/>
    <w:rsid w:val="008562BF"/>
    <w:rsid w:val="0086003F"/>
    <w:rsid w:val="00860667"/>
    <w:rsid w:val="00866D15"/>
    <w:rsid w:val="0087003B"/>
    <w:rsid w:val="008707AC"/>
    <w:rsid w:val="00870962"/>
    <w:rsid w:val="008709CC"/>
    <w:rsid w:val="008723D8"/>
    <w:rsid w:val="0087510C"/>
    <w:rsid w:val="00875663"/>
    <w:rsid w:val="0088465D"/>
    <w:rsid w:val="008849C8"/>
    <w:rsid w:val="008937FA"/>
    <w:rsid w:val="008968D2"/>
    <w:rsid w:val="0089738E"/>
    <w:rsid w:val="008975EF"/>
    <w:rsid w:val="008A14C8"/>
    <w:rsid w:val="008A25CC"/>
    <w:rsid w:val="008B2E31"/>
    <w:rsid w:val="008B31BA"/>
    <w:rsid w:val="008B373F"/>
    <w:rsid w:val="008B5696"/>
    <w:rsid w:val="008B5FDB"/>
    <w:rsid w:val="008B7AFC"/>
    <w:rsid w:val="008C0196"/>
    <w:rsid w:val="008C0C8D"/>
    <w:rsid w:val="008C1B48"/>
    <w:rsid w:val="008C38DD"/>
    <w:rsid w:val="008C4094"/>
    <w:rsid w:val="008C4F5D"/>
    <w:rsid w:val="008C50F4"/>
    <w:rsid w:val="008C5649"/>
    <w:rsid w:val="008C57A4"/>
    <w:rsid w:val="008C6251"/>
    <w:rsid w:val="008D279B"/>
    <w:rsid w:val="008D3364"/>
    <w:rsid w:val="008D3CC4"/>
    <w:rsid w:val="008D3E3E"/>
    <w:rsid w:val="008D6CE3"/>
    <w:rsid w:val="008E03E9"/>
    <w:rsid w:val="008E0562"/>
    <w:rsid w:val="008E0FD9"/>
    <w:rsid w:val="008E12C0"/>
    <w:rsid w:val="008E17FC"/>
    <w:rsid w:val="008E1A6C"/>
    <w:rsid w:val="008E25C7"/>
    <w:rsid w:val="008E3B57"/>
    <w:rsid w:val="008E44A2"/>
    <w:rsid w:val="008E5CC1"/>
    <w:rsid w:val="008E680C"/>
    <w:rsid w:val="008E697D"/>
    <w:rsid w:val="008F2541"/>
    <w:rsid w:val="00901725"/>
    <w:rsid w:val="00901DF3"/>
    <w:rsid w:val="00903263"/>
    <w:rsid w:val="00904D9F"/>
    <w:rsid w:val="00906A21"/>
    <w:rsid w:val="00907095"/>
    <w:rsid w:val="0090731C"/>
    <w:rsid w:val="009079C3"/>
    <w:rsid w:val="00910462"/>
    <w:rsid w:val="0091134D"/>
    <w:rsid w:val="00914029"/>
    <w:rsid w:val="009148D9"/>
    <w:rsid w:val="00915AB1"/>
    <w:rsid w:val="009162A4"/>
    <w:rsid w:val="00917532"/>
    <w:rsid w:val="0092170B"/>
    <w:rsid w:val="009235BA"/>
    <w:rsid w:val="00924023"/>
    <w:rsid w:val="00924CE2"/>
    <w:rsid w:val="0092501B"/>
    <w:rsid w:val="00925162"/>
    <w:rsid w:val="00925B9F"/>
    <w:rsid w:val="009263D1"/>
    <w:rsid w:val="00931AED"/>
    <w:rsid w:val="0093570F"/>
    <w:rsid w:val="00941F35"/>
    <w:rsid w:val="009455A2"/>
    <w:rsid w:val="009476A3"/>
    <w:rsid w:val="009510DE"/>
    <w:rsid w:val="0095126F"/>
    <w:rsid w:val="00951757"/>
    <w:rsid w:val="00952580"/>
    <w:rsid w:val="0095334F"/>
    <w:rsid w:val="009548EF"/>
    <w:rsid w:val="009569FF"/>
    <w:rsid w:val="009604F7"/>
    <w:rsid w:val="00965897"/>
    <w:rsid w:val="00966CA5"/>
    <w:rsid w:val="00966E56"/>
    <w:rsid w:val="0096765C"/>
    <w:rsid w:val="009723E7"/>
    <w:rsid w:val="009727E4"/>
    <w:rsid w:val="00977658"/>
    <w:rsid w:val="00983677"/>
    <w:rsid w:val="009841DF"/>
    <w:rsid w:val="0098765C"/>
    <w:rsid w:val="0098768D"/>
    <w:rsid w:val="00990176"/>
    <w:rsid w:val="00990B4F"/>
    <w:rsid w:val="009934C5"/>
    <w:rsid w:val="00994C0F"/>
    <w:rsid w:val="00994FBC"/>
    <w:rsid w:val="009967A9"/>
    <w:rsid w:val="009A3804"/>
    <w:rsid w:val="009A494A"/>
    <w:rsid w:val="009A6537"/>
    <w:rsid w:val="009B1134"/>
    <w:rsid w:val="009B22D7"/>
    <w:rsid w:val="009B72ED"/>
    <w:rsid w:val="009C1D0D"/>
    <w:rsid w:val="009C238B"/>
    <w:rsid w:val="009C2E8F"/>
    <w:rsid w:val="009C43F8"/>
    <w:rsid w:val="009C5241"/>
    <w:rsid w:val="009C6DEB"/>
    <w:rsid w:val="009C72F5"/>
    <w:rsid w:val="009D5EF2"/>
    <w:rsid w:val="009D6504"/>
    <w:rsid w:val="009E12D7"/>
    <w:rsid w:val="009E1C97"/>
    <w:rsid w:val="009E4171"/>
    <w:rsid w:val="009E444E"/>
    <w:rsid w:val="009E49A2"/>
    <w:rsid w:val="009E63CD"/>
    <w:rsid w:val="009E661A"/>
    <w:rsid w:val="009E7D58"/>
    <w:rsid w:val="009F160E"/>
    <w:rsid w:val="009F489D"/>
    <w:rsid w:val="009F7578"/>
    <w:rsid w:val="009F78F5"/>
    <w:rsid w:val="00A00FEF"/>
    <w:rsid w:val="00A01A47"/>
    <w:rsid w:val="00A01A6A"/>
    <w:rsid w:val="00A05C18"/>
    <w:rsid w:val="00A06781"/>
    <w:rsid w:val="00A074C3"/>
    <w:rsid w:val="00A1487E"/>
    <w:rsid w:val="00A1509C"/>
    <w:rsid w:val="00A151A0"/>
    <w:rsid w:val="00A155CE"/>
    <w:rsid w:val="00A163DA"/>
    <w:rsid w:val="00A16C18"/>
    <w:rsid w:val="00A20352"/>
    <w:rsid w:val="00A209D5"/>
    <w:rsid w:val="00A21D32"/>
    <w:rsid w:val="00A249B9"/>
    <w:rsid w:val="00A25719"/>
    <w:rsid w:val="00A32D35"/>
    <w:rsid w:val="00A3382E"/>
    <w:rsid w:val="00A34260"/>
    <w:rsid w:val="00A34C25"/>
    <w:rsid w:val="00A35213"/>
    <w:rsid w:val="00A35B31"/>
    <w:rsid w:val="00A3670E"/>
    <w:rsid w:val="00A37482"/>
    <w:rsid w:val="00A37CED"/>
    <w:rsid w:val="00A43D3A"/>
    <w:rsid w:val="00A44CDD"/>
    <w:rsid w:val="00A46236"/>
    <w:rsid w:val="00A47E37"/>
    <w:rsid w:val="00A5077A"/>
    <w:rsid w:val="00A52227"/>
    <w:rsid w:val="00A52846"/>
    <w:rsid w:val="00A538BA"/>
    <w:rsid w:val="00A541A5"/>
    <w:rsid w:val="00A55435"/>
    <w:rsid w:val="00A61044"/>
    <w:rsid w:val="00A626C3"/>
    <w:rsid w:val="00A63146"/>
    <w:rsid w:val="00A637C5"/>
    <w:rsid w:val="00A70285"/>
    <w:rsid w:val="00A708B6"/>
    <w:rsid w:val="00A70CFD"/>
    <w:rsid w:val="00A72A0B"/>
    <w:rsid w:val="00A72F74"/>
    <w:rsid w:val="00A74B9C"/>
    <w:rsid w:val="00A754D5"/>
    <w:rsid w:val="00A7617A"/>
    <w:rsid w:val="00A8152B"/>
    <w:rsid w:val="00A81E42"/>
    <w:rsid w:val="00A864FE"/>
    <w:rsid w:val="00A8665D"/>
    <w:rsid w:val="00A86F41"/>
    <w:rsid w:val="00A87D04"/>
    <w:rsid w:val="00A900D1"/>
    <w:rsid w:val="00A91917"/>
    <w:rsid w:val="00A928FB"/>
    <w:rsid w:val="00A950C5"/>
    <w:rsid w:val="00A958DB"/>
    <w:rsid w:val="00A95C54"/>
    <w:rsid w:val="00A9687B"/>
    <w:rsid w:val="00AA1D25"/>
    <w:rsid w:val="00AA4807"/>
    <w:rsid w:val="00AA6615"/>
    <w:rsid w:val="00AA6866"/>
    <w:rsid w:val="00AA6CD5"/>
    <w:rsid w:val="00AB03B5"/>
    <w:rsid w:val="00AB04BB"/>
    <w:rsid w:val="00AB2B1A"/>
    <w:rsid w:val="00AB397F"/>
    <w:rsid w:val="00AB5832"/>
    <w:rsid w:val="00AB6237"/>
    <w:rsid w:val="00AC469E"/>
    <w:rsid w:val="00AC51F2"/>
    <w:rsid w:val="00AC67EC"/>
    <w:rsid w:val="00AC7BAF"/>
    <w:rsid w:val="00AD11BB"/>
    <w:rsid w:val="00AD3269"/>
    <w:rsid w:val="00AD4451"/>
    <w:rsid w:val="00AE12EA"/>
    <w:rsid w:val="00AE3067"/>
    <w:rsid w:val="00AE3368"/>
    <w:rsid w:val="00AE4C3A"/>
    <w:rsid w:val="00AE5066"/>
    <w:rsid w:val="00AE53B0"/>
    <w:rsid w:val="00AE5E24"/>
    <w:rsid w:val="00AE61B7"/>
    <w:rsid w:val="00AE6CBA"/>
    <w:rsid w:val="00AE7980"/>
    <w:rsid w:val="00AE79AD"/>
    <w:rsid w:val="00AF01E7"/>
    <w:rsid w:val="00AF0416"/>
    <w:rsid w:val="00AF19D3"/>
    <w:rsid w:val="00AF35E4"/>
    <w:rsid w:val="00AF544C"/>
    <w:rsid w:val="00AF57C4"/>
    <w:rsid w:val="00AF5CDE"/>
    <w:rsid w:val="00AF6B25"/>
    <w:rsid w:val="00B00C03"/>
    <w:rsid w:val="00B01C9A"/>
    <w:rsid w:val="00B03A5E"/>
    <w:rsid w:val="00B079B2"/>
    <w:rsid w:val="00B11006"/>
    <w:rsid w:val="00B11A57"/>
    <w:rsid w:val="00B12D2C"/>
    <w:rsid w:val="00B179D9"/>
    <w:rsid w:val="00B211C3"/>
    <w:rsid w:val="00B228F1"/>
    <w:rsid w:val="00B232E2"/>
    <w:rsid w:val="00B25597"/>
    <w:rsid w:val="00B260BA"/>
    <w:rsid w:val="00B26600"/>
    <w:rsid w:val="00B267B9"/>
    <w:rsid w:val="00B31B7A"/>
    <w:rsid w:val="00B33E09"/>
    <w:rsid w:val="00B350B8"/>
    <w:rsid w:val="00B376E2"/>
    <w:rsid w:val="00B41746"/>
    <w:rsid w:val="00B42AB7"/>
    <w:rsid w:val="00B44F20"/>
    <w:rsid w:val="00B460FC"/>
    <w:rsid w:val="00B46F2D"/>
    <w:rsid w:val="00B470FE"/>
    <w:rsid w:val="00B50708"/>
    <w:rsid w:val="00B50C68"/>
    <w:rsid w:val="00B51293"/>
    <w:rsid w:val="00B52B1E"/>
    <w:rsid w:val="00B533B9"/>
    <w:rsid w:val="00B55481"/>
    <w:rsid w:val="00B56C32"/>
    <w:rsid w:val="00B57ACF"/>
    <w:rsid w:val="00B6423F"/>
    <w:rsid w:val="00B64BB1"/>
    <w:rsid w:val="00B666CD"/>
    <w:rsid w:val="00B67717"/>
    <w:rsid w:val="00B73166"/>
    <w:rsid w:val="00B83098"/>
    <w:rsid w:val="00B8426C"/>
    <w:rsid w:val="00B845A1"/>
    <w:rsid w:val="00B85441"/>
    <w:rsid w:val="00B85DF5"/>
    <w:rsid w:val="00B9139B"/>
    <w:rsid w:val="00B9172C"/>
    <w:rsid w:val="00B91B8D"/>
    <w:rsid w:val="00B9385A"/>
    <w:rsid w:val="00B939C8"/>
    <w:rsid w:val="00B94375"/>
    <w:rsid w:val="00B94E90"/>
    <w:rsid w:val="00BA11C8"/>
    <w:rsid w:val="00BA3C4F"/>
    <w:rsid w:val="00BA5318"/>
    <w:rsid w:val="00BA7AAE"/>
    <w:rsid w:val="00BB0A82"/>
    <w:rsid w:val="00BB44C2"/>
    <w:rsid w:val="00BB5BC2"/>
    <w:rsid w:val="00BB79E0"/>
    <w:rsid w:val="00BB7C94"/>
    <w:rsid w:val="00BC0A9D"/>
    <w:rsid w:val="00BC401D"/>
    <w:rsid w:val="00BD2657"/>
    <w:rsid w:val="00BD27C9"/>
    <w:rsid w:val="00BD28D4"/>
    <w:rsid w:val="00BD37BB"/>
    <w:rsid w:val="00BD40D7"/>
    <w:rsid w:val="00BE0778"/>
    <w:rsid w:val="00BE1916"/>
    <w:rsid w:val="00BE2643"/>
    <w:rsid w:val="00BE4CD9"/>
    <w:rsid w:val="00BE5094"/>
    <w:rsid w:val="00BE7EE1"/>
    <w:rsid w:val="00BF0A41"/>
    <w:rsid w:val="00BF0B1F"/>
    <w:rsid w:val="00BF3007"/>
    <w:rsid w:val="00BF40ED"/>
    <w:rsid w:val="00BF4F13"/>
    <w:rsid w:val="00BF5BC2"/>
    <w:rsid w:val="00C0144E"/>
    <w:rsid w:val="00C02911"/>
    <w:rsid w:val="00C03181"/>
    <w:rsid w:val="00C05A4B"/>
    <w:rsid w:val="00C1133D"/>
    <w:rsid w:val="00C20997"/>
    <w:rsid w:val="00C23101"/>
    <w:rsid w:val="00C24AE2"/>
    <w:rsid w:val="00C27A08"/>
    <w:rsid w:val="00C30BEC"/>
    <w:rsid w:val="00C31312"/>
    <w:rsid w:val="00C31E36"/>
    <w:rsid w:val="00C324CA"/>
    <w:rsid w:val="00C326C6"/>
    <w:rsid w:val="00C33E2D"/>
    <w:rsid w:val="00C34209"/>
    <w:rsid w:val="00C35295"/>
    <w:rsid w:val="00C3587A"/>
    <w:rsid w:val="00C36ADD"/>
    <w:rsid w:val="00C36E74"/>
    <w:rsid w:val="00C40595"/>
    <w:rsid w:val="00C41621"/>
    <w:rsid w:val="00C41BA3"/>
    <w:rsid w:val="00C431DD"/>
    <w:rsid w:val="00C449FA"/>
    <w:rsid w:val="00C460CB"/>
    <w:rsid w:val="00C46997"/>
    <w:rsid w:val="00C46B4F"/>
    <w:rsid w:val="00C471F0"/>
    <w:rsid w:val="00C474F0"/>
    <w:rsid w:val="00C53256"/>
    <w:rsid w:val="00C5384F"/>
    <w:rsid w:val="00C538B5"/>
    <w:rsid w:val="00C56964"/>
    <w:rsid w:val="00C60010"/>
    <w:rsid w:val="00C62EFD"/>
    <w:rsid w:val="00C63293"/>
    <w:rsid w:val="00C632F0"/>
    <w:rsid w:val="00C6563F"/>
    <w:rsid w:val="00C656D5"/>
    <w:rsid w:val="00C663A0"/>
    <w:rsid w:val="00C67103"/>
    <w:rsid w:val="00C7126F"/>
    <w:rsid w:val="00C71BB9"/>
    <w:rsid w:val="00C72731"/>
    <w:rsid w:val="00C75D15"/>
    <w:rsid w:val="00C7612B"/>
    <w:rsid w:val="00C76FFD"/>
    <w:rsid w:val="00C81F42"/>
    <w:rsid w:val="00C842C4"/>
    <w:rsid w:val="00C874C0"/>
    <w:rsid w:val="00C877C8"/>
    <w:rsid w:val="00C87F70"/>
    <w:rsid w:val="00C91534"/>
    <w:rsid w:val="00C9282A"/>
    <w:rsid w:val="00C94C28"/>
    <w:rsid w:val="00C972B0"/>
    <w:rsid w:val="00CA14C5"/>
    <w:rsid w:val="00CA28A9"/>
    <w:rsid w:val="00CA3261"/>
    <w:rsid w:val="00CA604C"/>
    <w:rsid w:val="00CA6CA0"/>
    <w:rsid w:val="00CB00B6"/>
    <w:rsid w:val="00CB0247"/>
    <w:rsid w:val="00CB2C6E"/>
    <w:rsid w:val="00CB3440"/>
    <w:rsid w:val="00CB43CE"/>
    <w:rsid w:val="00CC0333"/>
    <w:rsid w:val="00CC1692"/>
    <w:rsid w:val="00CC2240"/>
    <w:rsid w:val="00CC31F4"/>
    <w:rsid w:val="00CC5B14"/>
    <w:rsid w:val="00CC5D9C"/>
    <w:rsid w:val="00CD063B"/>
    <w:rsid w:val="00CD138B"/>
    <w:rsid w:val="00CD3E31"/>
    <w:rsid w:val="00CD63FB"/>
    <w:rsid w:val="00CD74A3"/>
    <w:rsid w:val="00CD7C93"/>
    <w:rsid w:val="00CD7E5D"/>
    <w:rsid w:val="00CE0527"/>
    <w:rsid w:val="00CE0F16"/>
    <w:rsid w:val="00CE105C"/>
    <w:rsid w:val="00CE2AB9"/>
    <w:rsid w:val="00CE4B18"/>
    <w:rsid w:val="00CE5B23"/>
    <w:rsid w:val="00CE67C2"/>
    <w:rsid w:val="00CE6CD3"/>
    <w:rsid w:val="00CF07E3"/>
    <w:rsid w:val="00CF2038"/>
    <w:rsid w:val="00CF2A49"/>
    <w:rsid w:val="00CF2BD9"/>
    <w:rsid w:val="00CF3CE7"/>
    <w:rsid w:val="00CF6D8B"/>
    <w:rsid w:val="00CF70AD"/>
    <w:rsid w:val="00CF7729"/>
    <w:rsid w:val="00D00059"/>
    <w:rsid w:val="00D01737"/>
    <w:rsid w:val="00D040B3"/>
    <w:rsid w:val="00D107FA"/>
    <w:rsid w:val="00D10F17"/>
    <w:rsid w:val="00D12275"/>
    <w:rsid w:val="00D12766"/>
    <w:rsid w:val="00D14186"/>
    <w:rsid w:val="00D16645"/>
    <w:rsid w:val="00D2084F"/>
    <w:rsid w:val="00D20FF4"/>
    <w:rsid w:val="00D211BA"/>
    <w:rsid w:val="00D24D2C"/>
    <w:rsid w:val="00D31D81"/>
    <w:rsid w:val="00D33DF5"/>
    <w:rsid w:val="00D35881"/>
    <w:rsid w:val="00D3726E"/>
    <w:rsid w:val="00D40825"/>
    <w:rsid w:val="00D41D8D"/>
    <w:rsid w:val="00D47186"/>
    <w:rsid w:val="00D50253"/>
    <w:rsid w:val="00D51DB0"/>
    <w:rsid w:val="00D56D9F"/>
    <w:rsid w:val="00D607DC"/>
    <w:rsid w:val="00D63E7E"/>
    <w:rsid w:val="00D64DD8"/>
    <w:rsid w:val="00D6720D"/>
    <w:rsid w:val="00D71109"/>
    <w:rsid w:val="00D736D7"/>
    <w:rsid w:val="00D75BF4"/>
    <w:rsid w:val="00D8020A"/>
    <w:rsid w:val="00D81043"/>
    <w:rsid w:val="00D8355C"/>
    <w:rsid w:val="00D84333"/>
    <w:rsid w:val="00D8552F"/>
    <w:rsid w:val="00D93EFF"/>
    <w:rsid w:val="00D9434C"/>
    <w:rsid w:val="00D94871"/>
    <w:rsid w:val="00D94EE5"/>
    <w:rsid w:val="00D9596D"/>
    <w:rsid w:val="00DA28C2"/>
    <w:rsid w:val="00DA2C1D"/>
    <w:rsid w:val="00DA7DA5"/>
    <w:rsid w:val="00DB00B9"/>
    <w:rsid w:val="00DB073B"/>
    <w:rsid w:val="00DB2842"/>
    <w:rsid w:val="00DB2DC8"/>
    <w:rsid w:val="00DB2FEE"/>
    <w:rsid w:val="00DB4F71"/>
    <w:rsid w:val="00DB5CF2"/>
    <w:rsid w:val="00DB7398"/>
    <w:rsid w:val="00DB78F0"/>
    <w:rsid w:val="00DB7BD9"/>
    <w:rsid w:val="00DC0CEA"/>
    <w:rsid w:val="00DC293C"/>
    <w:rsid w:val="00DC2D3F"/>
    <w:rsid w:val="00DC2E43"/>
    <w:rsid w:val="00DC3632"/>
    <w:rsid w:val="00DD095C"/>
    <w:rsid w:val="00DD1020"/>
    <w:rsid w:val="00DD1330"/>
    <w:rsid w:val="00DD2880"/>
    <w:rsid w:val="00DD4BA8"/>
    <w:rsid w:val="00DD643A"/>
    <w:rsid w:val="00DE0B83"/>
    <w:rsid w:val="00DE1A81"/>
    <w:rsid w:val="00DE1BA0"/>
    <w:rsid w:val="00DE1C13"/>
    <w:rsid w:val="00DE1C9F"/>
    <w:rsid w:val="00DE32EB"/>
    <w:rsid w:val="00DE3618"/>
    <w:rsid w:val="00DE4E10"/>
    <w:rsid w:val="00DE5A3F"/>
    <w:rsid w:val="00DE64DA"/>
    <w:rsid w:val="00DE78D8"/>
    <w:rsid w:val="00DF672E"/>
    <w:rsid w:val="00DF676D"/>
    <w:rsid w:val="00E008FB"/>
    <w:rsid w:val="00E0197B"/>
    <w:rsid w:val="00E02ABF"/>
    <w:rsid w:val="00E044BD"/>
    <w:rsid w:val="00E055F5"/>
    <w:rsid w:val="00E10833"/>
    <w:rsid w:val="00E10C3A"/>
    <w:rsid w:val="00E10CC1"/>
    <w:rsid w:val="00E14128"/>
    <w:rsid w:val="00E14995"/>
    <w:rsid w:val="00E14F2A"/>
    <w:rsid w:val="00E17900"/>
    <w:rsid w:val="00E179CD"/>
    <w:rsid w:val="00E22CB3"/>
    <w:rsid w:val="00E23E8D"/>
    <w:rsid w:val="00E25B0F"/>
    <w:rsid w:val="00E26010"/>
    <w:rsid w:val="00E37F98"/>
    <w:rsid w:val="00E40578"/>
    <w:rsid w:val="00E40979"/>
    <w:rsid w:val="00E40AA5"/>
    <w:rsid w:val="00E44632"/>
    <w:rsid w:val="00E45299"/>
    <w:rsid w:val="00E46559"/>
    <w:rsid w:val="00E4659A"/>
    <w:rsid w:val="00E4687C"/>
    <w:rsid w:val="00E53D6F"/>
    <w:rsid w:val="00E5465F"/>
    <w:rsid w:val="00E56447"/>
    <w:rsid w:val="00E5700B"/>
    <w:rsid w:val="00E609D9"/>
    <w:rsid w:val="00E6670C"/>
    <w:rsid w:val="00E714EA"/>
    <w:rsid w:val="00E71E17"/>
    <w:rsid w:val="00E776E8"/>
    <w:rsid w:val="00E8298C"/>
    <w:rsid w:val="00E8671A"/>
    <w:rsid w:val="00E86F21"/>
    <w:rsid w:val="00E915D1"/>
    <w:rsid w:val="00E9202A"/>
    <w:rsid w:val="00E92C1F"/>
    <w:rsid w:val="00E92DFC"/>
    <w:rsid w:val="00E93B8A"/>
    <w:rsid w:val="00E955C1"/>
    <w:rsid w:val="00E95D4B"/>
    <w:rsid w:val="00E97E05"/>
    <w:rsid w:val="00E97FC5"/>
    <w:rsid w:val="00EA14D4"/>
    <w:rsid w:val="00EA1AD5"/>
    <w:rsid w:val="00EA63BF"/>
    <w:rsid w:val="00EB0428"/>
    <w:rsid w:val="00EB199F"/>
    <w:rsid w:val="00EB38E8"/>
    <w:rsid w:val="00EB434F"/>
    <w:rsid w:val="00EB47BB"/>
    <w:rsid w:val="00EC02C7"/>
    <w:rsid w:val="00EC09F3"/>
    <w:rsid w:val="00EC23F7"/>
    <w:rsid w:val="00EC2B1D"/>
    <w:rsid w:val="00EC4BD8"/>
    <w:rsid w:val="00EC5DC5"/>
    <w:rsid w:val="00EC63EB"/>
    <w:rsid w:val="00ED0358"/>
    <w:rsid w:val="00ED046F"/>
    <w:rsid w:val="00ED1823"/>
    <w:rsid w:val="00ED2780"/>
    <w:rsid w:val="00ED412F"/>
    <w:rsid w:val="00ED43F3"/>
    <w:rsid w:val="00ED67ED"/>
    <w:rsid w:val="00ED73F4"/>
    <w:rsid w:val="00ED7886"/>
    <w:rsid w:val="00ED7A20"/>
    <w:rsid w:val="00ED7E1F"/>
    <w:rsid w:val="00EE2AAA"/>
    <w:rsid w:val="00EE364E"/>
    <w:rsid w:val="00EE7426"/>
    <w:rsid w:val="00EF0EB7"/>
    <w:rsid w:val="00EF1174"/>
    <w:rsid w:val="00EF166C"/>
    <w:rsid w:val="00EF36B2"/>
    <w:rsid w:val="00EF3825"/>
    <w:rsid w:val="00EF55C9"/>
    <w:rsid w:val="00EF5696"/>
    <w:rsid w:val="00F01A58"/>
    <w:rsid w:val="00F05BB4"/>
    <w:rsid w:val="00F123F9"/>
    <w:rsid w:val="00F1246B"/>
    <w:rsid w:val="00F15649"/>
    <w:rsid w:val="00F201EC"/>
    <w:rsid w:val="00F20478"/>
    <w:rsid w:val="00F208A9"/>
    <w:rsid w:val="00F22F01"/>
    <w:rsid w:val="00F33D4F"/>
    <w:rsid w:val="00F36B19"/>
    <w:rsid w:val="00F376BC"/>
    <w:rsid w:val="00F41D75"/>
    <w:rsid w:val="00F42A0A"/>
    <w:rsid w:val="00F4369B"/>
    <w:rsid w:val="00F442B5"/>
    <w:rsid w:val="00F4446D"/>
    <w:rsid w:val="00F44D8A"/>
    <w:rsid w:val="00F46466"/>
    <w:rsid w:val="00F47740"/>
    <w:rsid w:val="00F5139D"/>
    <w:rsid w:val="00F530A4"/>
    <w:rsid w:val="00F569A9"/>
    <w:rsid w:val="00F6209C"/>
    <w:rsid w:val="00F63D66"/>
    <w:rsid w:val="00F63DAC"/>
    <w:rsid w:val="00F71B3C"/>
    <w:rsid w:val="00F72815"/>
    <w:rsid w:val="00F73A9F"/>
    <w:rsid w:val="00F7454F"/>
    <w:rsid w:val="00F77988"/>
    <w:rsid w:val="00F77F48"/>
    <w:rsid w:val="00F80062"/>
    <w:rsid w:val="00F801DF"/>
    <w:rsid w:val="00F80967"/>
    <w:rsid w:val="00F8269F"/>
    <w:rsid w:val="00F87F5F"/>
    <w:rsid w:val="00F92643"/>
    <w:rsid w:val="00F92C42"/>
    <w:rsid w:val="00FA036C"/>
    <w:rsid w:val="00FA0758"/>
    <w:rsid w:val="00FA3CF6"/>
    <w:rsid w:val="00FA453D"/>
    <w:rsid w:val="00FA49BB"/>
    <w:rsid w:val="00FB22F8"/>
    <w:rsid w:val="00FB24EC"/>
    <w:rsid w:val="00FB30F1"/>
    <w:rsid w:val="00FB3399"/>
    <w:rsid w:val="00FB3F6E"/>
    <w:rsid w:val="00FB4812"/>
    <w:rsid w:val="00FB53E7"/>
    <w:rsid w:val="00FB5D12"/>
    <w:rsid w:val="00FC0E52"/>
    <w:rsid w:val="00FC7175"/>
    <w:rsid w:val="00FD05E9"/>
    <w:rsid w:val="00FD2A8A"/>
    <w:rsid w:val="00FE0000"/>
    <w:rsid w:val="00FE030B"/>
    <w:rsid w:val="00FE0DB1"/>
    <w:rsid w:val="00FE1598"/>
    <w:rsid w:val="00FE4E86"/>
    <w:rsid w:val="00FE51F8"/>
    <w:rsid w:val="00FE6DBD"/>
    <w:rsid w:val="00FE7BF9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FA4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C5649"/>
    <w:rPr>
      <w:rFonts w:cs="Times New Roman"/>
    </w:rPr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uiPriority w:val="99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C5649"/>
    <w:rPr>
      <w:rFonts w:cs="Times New Roman"/>
      <w:b/>
      <w:bCs/>
      <w:color w:val="333333"/>
    </w:rPr>
  </w:style>
  <w:style w:type="character" w:styleId="CommentReference">
    <w:name w:val="annotation reference"/>
    <w:basedOn w:val="DefaultParagraphFont"/>
    <w:uiPriority w:val="99"/>
    <w:semiHidden/>
    <w:rsid w:val="008C56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649"/>
    <w:rPr>
      <w:rFonts w:cs="Times New Roman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717"/>
    <w:rPr>
      <w:rFonts w:cs="Times New Roman"/>
      <w:sz w:val="2"/>
    </w:rPr>
  </w:style>
  <w:style w:type="table" w:styleId="TableGrid">
    <w:name w:val="Table Grid"/>
    <w:basedOn w:val="TableNormal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7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5649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717"/>
    <w:rPr>
      <w:rFonts w:cs="Times New Roman"/>
      <w:b/>
      <w:bCs/>
      <w:sz w:val="20"/>
      <w:szCs w:val="20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344"/>
    <w:rPr>
      <w:rFonts w:cs="Times New Roman"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7717"/>
    <w:rPr>
      <w:rFonts w:cs="Times New Roman"/>
      <w:sz w:val="2"/>
    </w:rPr>
  </w:style>
  <w:style w:type="character" w:customStyle="1" w:styleId="apple-style-span">
    <w:name w:val="apple-style-span"/>
    <w:uiPriority w:val="99"/>
    <w:rsid w:val="001D51E9"/>
  </w:style>
  <w:style w:type="paragraph" w:styleId="ListParagraph">
    <w:name w:val="List Paragraph"/>
    <w:basedOn w:val="Normal"/>
    <w:uiPriority w:val="99"/>
    <w:qFormat/>
    <w:rsid w:val="001D51E9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A1CEF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A1CEF"/>
    <w:rPr>
      <w:rFonts w:eastAsia="Times New Roman" w:cs="Times New Roman"/>
      <w:b/>
      <w:bCs/>
      <w:sz w:val="28"/>
      <w:szCs w:val="28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FC0E5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C0E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0E52"/>
    <w:rPr>
      <w:rFonts w:cs="Times New Roman"/>
      <w:sz w:val="24"/>
      <w:szCs w:val="24"/>
      <w:lang w:val="lv-LV" w:eastAsia="lv-LV" w:bidi="ar-SA"/>
    </w:rPr>
  </w:style>
  <w:style w:type="paragraph" w:customStyle="1" w:styleId="Default">
    <w:name w:val="Default"/>
    <w:uiPriority w:val="99"/>
    <w:rsid w:val="00FC0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E5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7717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3007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322D18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Revision">
    <w:name w:val="Revision"/>
    <w:hidden/>
    <w:uiPriority w:val="99"/>
    <w:semiHidden/>
    <w:rsid w:val="004470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FA4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C5649"/>
    <w:rPr>
      <w:rFonts w:cs="Times New Roman"/>
    </w:rPr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uiPriority w:val="99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C5649"/>
    <w:rPr>
      <w:rFonts w:cs="Times New Roman"/>
      <w:b/>
      <w:bCs/>
      <w:color w:val="333333"/>
    </w:rPr>
  </w:style>
  <w:style w:type="character" w:styleId="CommentReference">
    <w:name w:val="annotation reference"/>
    <w:basedOn w:val="DefaultParagraphFont"/>
    <w:uiPriority w:val="99"/>
    <w:semiHidden/>
    <w:rsid w:val="008C56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649"/>
    <w:rPr>
      <w:rFonts w:cs="Times New Roman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717"/>
    <w:rPr>
      <w:rFonts w:cs="Times New Roman"/>
      <w:sz w:val="2"/>
    </w:rPr>
  </w:style>
  <w:style w:type="table" w:styleId="TableGrid">
    <w:name w:val="Table Grid"/>
    <w:basedOn w:val="TableNormal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7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5649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717"/>
    <w:rPr>
      <w:rFonts w:cs="Times New Roman"/>
      <w:b/>
      <w:bCs/>
      <w:sz w:val="20"/>
      <w:szCs w:val="20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344"/>
    <w:rPr>
      <w:rFonts w:cs="Times New Roman"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7717"/>
    <w:rPr>
      <w:rFonts w:cs="Times New Roman"/>
      <w:sz w:val="2"/>
    </w:rPr>
  </w:style>
  <w:style w:type="character" w:customStyle="1" w:styleId="apple-style-span">
    <w:name w:val="apple-style-span"/>
    <w:uiPriority w:val="99"/>
    <w:rsid w:val="001D51E9"/>
  </w:style>
  <w:style w:type="paragraph" w:styleId="ListParagraph">
    <w:name w:val="List Paragraph"/>
    <w:basedOn w:val="Normal"/>
    <w:uiPriority w:val="99"/>
    <w:qFormat/>
    <w:rsid w:val="001D51E9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A1CEF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A1CEF"/>
    <w:rPr>
      <w:rFonts w:eastAsia="Times New Roman" w:cs="Times New Roman"/>
      <w:b/>
      <w:bCs/>
      <w:sz w:val="28"/>
      <w:szCs w:val="28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FC0E5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C0E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0E52"/>
    <w:rPr>
      <w:rFonts w:cs="Times New Roman"/>
      <w:sz w:val="24"/>
      <w:szCs w:val="24"/>
      <w:lang w:val="lv-LV" w:eastAsia="lv-LV" w:bidi="ar-SA"/>
    </w:rPr>
  </w:style>
  <w:style w:type="paragraph" w:customStyle="1" w:styleId="Default">
    <w:name w:val="Default"/>
    <w:uiPriority w:val="99"/>
    <w:rsid w:val="00FC0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E5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7717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3007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322D18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Revision">
    <w:name w:val="Revision"/>
    <w:hidden/>
    <w:uiPriority w:val="99"/>
    <w:semiHidden/>
    <w:rsid w:val="004470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71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773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C0CC-0E1D-469D-87EC-8295AF12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„Emisijas kvotu piešķiršanas kārtība stacionāro tehnoloģisko iekārtu operatoriem” sākotnējās ietekmes novērtējuma ziņojums (anotācija)</vt:lpstr>
    </vt:vector>
  </TitlesOfParts>
  <Manager>Helena.Rimsa@varam.gov.lv</Manager>
  <Company>Vides aizsardzības un reģionālās attīstības ministrija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„Emisijas kvotu piešķiršanas kārtība stacionāro tehnoloģisko iekārtu operatoriem” sākotnējās ietekmes novērtējuma ziņojums (anotācija)</dc:title>
  <dc:subject>Ministru kabineta noteikumu projekta sākotnējās ietekmes ziņojums</dc:subject>
  <dc:creator>Helena.Rimsa@varam.gov.lv</dc:creator>
  <cp:lastModifiedBy>larisat</cp:lastModifiedBy>
  <cp:revision>6</cp:revision>
  <cp:lastPrinted>2015-10-14T13:00:00Z</cp:lastPrinted>
  <dcterms:created xsi:type="dcterms:W3CDTF">2015-11-24T08:02:00Z</dcterms:created>
  <dcterms:modified xsi:type="dcterms:W3CDTF">2016-01-15T07:24:00Z</dcterms:modified>
  <cp:category>Vides politika</cp:category>
</cp:coreProperties>
</file>